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DE383" w14:textId="162AEB04" w:rsidR="001F4561" w:rsidRPr="006D66EA" w:rsidRDefault="006D66EA" w:rsidP="00B853DA">
      <w:pPr>
        <w:jc w:val="both"/>
        <w:rPr>
          <w:rFonts w:ascii="Times" w:hAnsi="Times"/>
          <w:b/>
        </w:rPr>
      </w:pPr>
      <w:r w:rsidRPr="006D66EA">
        <w:rPr>
          <w:rFonts w:ascii="Times" w:hAnsi="Times"/>
          <w:b/>
        </w:rPr>
        <w:t xml:space="preserve">“Redlining” The British City </w:t>
      </w:r>
    </w:p>
    <w:p w14:paraId="1C5DFA99" w14:textId="77777777" w:rsidR="001F4561" w:rsidRDefault="001F4561" w:rsidP="00B853DA">
      <w:pPr>
        <w:jc w:val="both"/>
        <w:rPr>
          <w:rFonts w:ascii="Times" w:hAnsi="Times"/>
        </w:rPr>
      </w:pPr>
    </w:p>
    <w:p w14:paraId="7986BCCE" w14:textId="37DDEF87" w:rsidR="00EA3DE7" w:rsidRDefault="00EA3DE7" w:rsidP="00B853DA">
      <w:pPr>
        <w:jc w:val="both"/>
        <w:rPr>
          <w:rFonts w:ascii="Times" w:hAnsi="Times"/>
        </w:rPr>
      </w:pPr>
      <w:r w:rsidRPr="00B853DA">
        <w:rPr>
          <w:rFonts w:ascii="Times" w:hAnsi="Times"/>
        </w:rPr>
        <w:t xml:space="preserve">In 1935, the Home Owners Loan Corporation (HOLC), one of the many new and clumsily named federal bodies created as part of </w:t>
      </w:r>
      <w:r w:rsidR="00ED7521">
        <w:rPr>
          <w:rFonts w:ascii="Times" w:hAnsi="Times"/>
        </w:rPr>
        <w:t>the</w:t>
      </w:r>
      <w:r w:rsidRPr="00B853DA">
        <w:rPr>
          <w:rFonts w:ascii="Times" w:hAnsi="Times"/>
        </w:rPr>
        <w:t xml:space="preserve"> New Deal, set out to draw maps of more than 200 of America’s largest cities. </w:t>
      </w:r>
      <w:r w:rsidR="008C0081" w:rsidRPr="00B853DA">
        <w:rPr>
          <w:rFonts w:ascii="Times" w:hAnsi="Times"/>
        </w:rPr>
        <w:t>T</w:t>
      </w:r>
      <w:r w:rsidR="00066CE1" w:rsidRPr="00B853DA">
        <w:rPr>
          <w:rFonts w:ascii="Times" w:hAnsi="Times"/>
        </w:rPr>
        <w:t xml:space="preserve">he </w:t>
      </w:r>
      <w:r w:rsidR="008C0081" w:rsidRPr="00B853DA">
        <w:rPr>
          <w:rFonts w:ascii="Times" w:hAnsi="Times"/>
        </w:rPr>
        <w:t xml:space="preserve">HOLC was one of several bodies tasked with overseeing the federal underwriting of millions of American mortgages, a means of restoring confidence in a housing market that had </w:t>
      </w:r>
      <w:r w:rsidR="00F76E48">
        <w:rPr>
          <w:rFonts w:ascii="Times" w:hAnsi="Times"/>
        </w:rPr>
        <w:t>flat-</w:t>
      </w:r>
      <w:r w:rsidR="00F76E48" w:rsidRPr="00B853DA">
        <w:rPr>
          <w:rFonts w:ascii="Times" w:hAnsi="Times"/>
        </w:rPr>
        <w:t>lined</w:t>
      </w:r>
      <w:r w:rsidR="008C0081" w:rsidRPr="00B853DA">
        <w:rPr>
          <w:rFonts w:ascii="Times" w:hAnsi="Times"/>
        </w:rPr>
        <w:t xml:space="preserve"> since the Depression. The HOLC’s maps were colour coded, </w:t>
      </w:r>
      <w:r w:rsidR="00D348EF" w:rsidRPr="00B853DA">
        <w:rPr>
          <w:rFonts w:ascii="Times" w:hAnsi="Times"/>
        </w:rPr>
        <w:t xml:space="preserve">indicating the different levels of risk associated with each neighbourhood. </w:t>
      </w:r>
      <w:r w:rsidR="00E43990" w:rsidRPr="00B853DA">
        <w:rPr>
          <w:rFonts w:ascii="Times" w:hAnsi="Times"/>
        </w:rPr>
        <w:t xml:space="preserve">Neighbourhoods deemed creditworthy were coloured </w:t>
      </w:r>
      <w:r w:rsidR="00C46AFF" w:rsidRPr="00B853DA">
        <w:rPr>
          <w:rFonts w:ascii="Times" w:hAnsi="Times"/>
        </w:rPr>
        <w:t xml:space="preserve">green or blue, while those deemed </w:t>
      </w:r>
      <w:r w:rsidR="00606E40">
        <w:rPr>
          <w:rFonts w:ascii="Times" w:hAnsi="Times"/>
        </w:rPr>
        <w:t xml:space="preserve">too </w:t>
      </w:r>
      <w:r w:rsidR="00C46AFF" w:rsidRPr="00B853DA">
        <w:rPr>
          <w:rFonts w:ascii="Times" w:hAnsi="Times"/>
        </w:rPr>
        <w:t xml:space="preserve">“hazardous” </w:t>
      </w:r>
      <w:r w:rsidR="00606E40">
        <w:rPr>
          <w:rFonts w:ascii="Times" w:hAnsi="Times"/>
        </w:rPr>
        <w:t>to be given mortgages were coloured red</w:t>
      </w:r>
      <w:r w:rsidR="00C46AFF" w:rsidRPr="00B853DA">
        <w:rPr>
          <w:rFonts w:ascii="Times" w:hAnsi="Times"/>
        </w:rPr>
        <w:t xml:space="preserve">. </w:t>
      </w:r>
      <w:r w:rsidR="00D05470" w:rsidRPr="00B853DA">
        <w:rPr>
          <w:rFonts w:ascii="Times" w:hAnsi="Times"/>
        </w:rPr>
        <w:t xml:space="preserve">The maps were drawn </w:t>
      </w:r>
      <w:r w:rsidR="003B064D" w:rsidRPr="00B853DA">
        <w:rPr>
          <w:rFonts w:ascii="Times" w:hAnsi="Times"/>
        </w:rPr>
        <w:t xml:space="preserve">at a time of acute white supremacy and it is </w:t>
      </w:r>
      <w:r w:rsidR="00D05470" w:rsidRPr="00B853DA">
        <w:rPr>
          <w:rFonts w:ascii="Times" w:hAnsi="Times"/>
        </w:rPr>
        <w:t>no surprise that the neighbourhoods which were “redlined” tended</w:t>
      </w:r>
      <w:r w:rsidR="00E615EB" w:rsidRPr="00B853DA">
        <w:rPr>
          <w:rFonts w:ascii="Times" w:hAnsi="Times"/>
        </w:rPr>
        <w:t xml:space="preserve"> to</w:t>
      </w:r>
      <w:r w:rsidR="00D05470" w:rsidRPr="00B853DA">
        <w:rPr>
          <w:rFonts w:ascii="Times" w:hAnsi="Times"/>
        </w:rPr>
        <w:t xml:space="preserve"> house African Americans. For more than a generation, the “redlining” of black </w:t>
      </w:r>
      <w:r w:rsidR="00385D1B" w:rsidRPr="00B853DA">
        <w:rPr>
          <w:rFonts w:ascii="Times" w:hAnsi="Times"/>
        </w:rPr>
        <w:t>neighbourhoods</w:t>
      </w:r>
      <w:r w:rsidR="00D05470" w:rsidRPr="00B853DA">
        <w:rPr>
          <w:rFonts w:ascii="Times" w:hAnsi="Times"/>
        </w:rPr>
        <w:t xml:space="preserve"> in urban America b</w:t>
      </w:r>
      <w:r w:rsidR="00E615EB" w:rsidRPr="00B853DA">
        <w:rPr>
          <w:rFonts w:ascii="Times" w:hAnsi="Times"/>
        </w:rPr>
        <w:t>y both public and private banks</w:t>
      </w:r>
      <w:r w:rsidR="00D05470" w:rsidRPr="00B853DA">
        <w:rPr>
          <w:rFonts w:ascii="Times" w:hAnsi="Times"/>
        </w:rPr>
        <w:t xml:space="preserve"> excluded millions of black Americans from the </w:t>
      </w:r>
      <w:r w:rsidR="00E615EB" w:rsidRPr="00B853DA">
        <w:rPr>
          <w:rFonts w:ascii="Times" w:hAnsi="Times"/>
        </w:rPr>
        <w:t>privileges</w:t>
      </w:r>
      <w:r w:rsidR="00D05470" w:rsidRPr="00B853DA">
        <w:rPr>
          <w:rFonts w:ascii="Times" w:hAnsi="Times"/>
        </w:rPr>
        <w:t xml:space="preserve"> o</w:t>
      </w:r>
      <w:r w:rsidR="00A86A77">
        <w:rPr>
          <w:rFonts w:ascii="Times" w:hAnsi="Times"/>
        </w:rPr>
        <w:t xml:space="preserve">f home ownership and continues to shape </w:t>
      </w:r>
      <w:r w:rsidR="006C6D0E">
        <w:rPr>
          <w:rFonts w:ascii="Times" w:hAnsi="Times"/>
        </w:rPr>
        <w:t>the unequal</w:t>
      </w:r>
      <w:r w:rsidR="00D05470" w:rsidRPr="00B853DA">
        <w:rPr>
          <w:rFonts w:ascii="Times" w:hAnsi="Times"/>
        </w:rPr>
        <w:t xml:space="preserve"> racial geography of American cities</w:t>
      </w:r>
      <w:r w:rsidR="00A86A77">
        <w:rPr>
          <w:rFonts w:ascii="Times" w:hAnsi="Times"/>
        </w:rPr>
        <w:t xml:space="preserve">, </w:t>
      </w:r>
      <w:r w:rsidR="006C6D0E">
        <w:rPr>
          <w:rFonts w:ascii="Times" w:hAnsi="Times"/>
        </w:rPr>
        <w:t xml:space="preserve">decades </w:t>
      </w:r>
      <w:r w:rsidR="00D05470" w:rsidRPr="00B853DA">
        <w:rPr>
          <w:rFonts w:ascii="Times" w:hAnsi="Times"/>
        </w:rPr>
        <w:t>after the legal segr</w:t>
      </w:r>
      <w:r w:rsidR="006C6D0E">
        <w:rPr>
          <w:rFonts w:ascii="Times" w:hAnsi="Times"/>
        </w:rPr>
        <w:t>egation of urban space had ended.</w:t>
      </w:r>
    </w:p>
    <w:p w14:paraId="5612EA59" w14:textId="77777777" w:rsidR="004C3980" w:rsidRDefault="004C3980" w:rsidP="00B853DA">
      <w:pPr>
        <w:jc w:val="both"/>
        <w:rPr>
          <w:rFonts w:ascii="Times" w:hAnsi="Times"/>
        </w:rPr>
      </w:pPr>
    </w:p>
    <w:p w14:paraId="185166E8" w14:textId="6ECFA6E2" w:rsidR="00E615EB" w:rsidRDefault="00606E40" w:rsidP="00B853DA">
      <w:pPr>
        <w:jc w:val="both"/>
        <w:rPr>
          <w:rFonts w:ascii="Times" w:hAnsi="Times"/>
        </w:rPr>
      </w:pPr>
      <w:r>
        <w:rPr>
          <w:rFonts w:ascii="Times" w:hAnsi="Times"/>
        </w:rPr>
        <w:t>The disastrous long-term effects of “redlining” are acknowledged by many American academics, journalists and policymakers. In a now famous 2014 article, for example, the journalist Ta-Nehisi Coates called for reparations, not just for centuries of slavery, but also for discriminatory mortgage practices faced by black Americans in the twentieth century.</w:t>
      </w:r>
      <w:r w:rsidR="00F76E48">
        <w:rPr>
          <w:rStyle w:val="EndnoteReference"/>
          <w:rFonts w:ascii="Times" w:hAnsi="Times"/>
        </w:rPr>
        <w:endnoteReference w:id="1"/>
      </w:r>
      <w:r>
        <w:rPr>
          <w:rFonts w:ascii="Times" w:hAnsi="Times"/>
        </w:rPr>
        <w:t xml:space="preserve"> </w:t>
      </w:r>
      <w:r w:rsidR="00E615EB" w:rsidRPr="00B853DA">
        <w:rPr>
          <w:rFonts w:ascii="Times" w:hAnsi="Times"/>
        </w:rPr>
        <w:t xml:space="preserve">Over the last few decades, US historians have drawn attention to the various ways in which America’s </w:t>
      </w:r>
      <w:r>
        <w:rPr>
          <w:rFonts w:ascii="Times" w:hAnsi="Times"/>
        </w:rPr>
        <w:t>New Deal</w:t>
      </w:r>
      <w:r w:rsidR="00E615EB" w:rsidRPr="00B853DA">
        <w:rPr>
          <w:rFonts w:ascii="Times" w:hAnsi="Times"/>
        </w:rPr>
        <w:t>, a political formation characterised by welfare, warfare and state-backed mass consumerism, operated selectively, leaving millions of black Americans behind as it sec</w:t>
      </w:r>
      <w:r w:rsidR="00A52989" w:rsidRPr="00B853DA">
        <w:rPr>
          <w:rFonts w:ascii="Times" w:hAnsi="Times"/>
        </w:rPr>
        <w:t>ured social mobility and middle-</w:t>
      </w:r>
      <w:r w:rsidR="00E615EB" w:rsidRPr="00B853DA">
        <w:rPr>
          <w:rFonts w:ascii="Times" w:hAnsi="Times"/>
        </w:rPr>
        <w:t xml:space="preserve">class stability for a generation of whites. Social security, </w:t>
      </w:r>
      <w:r w:rsidR="00A52989" w:rsidRPr="00B853DA">
        <w:rPr>
          <w:rFonts w:ascii="Times" w:hAnsi="Times"/>
        </w:rPr>
        <w:t xml:space="preserve">tuition-free college </w:t>
      </w:r>
      <w:r w:rsidR="00636B84">
        <w:rPr>
          <w:rFonts w:ascii="Times" w:hAnsi="Times"/>
        </w:rPr>
        <w:t xml:space="preserve">and </w:t>
      </w:r>
      <w:r w:rsidR="00A86A77">
        <w:rPr>
          <w:rFonts w:ascii="Times" w:hAnsi="Times"/>
        </w:rPr>
        <w:t xml:space="preserve">subsidized home ownership </w:t>
      </w:r>
      <w:r w:rsidR="00636B84">
        <w:rPr>
          <w:rFonts w:ascii="Times" w:hAnsi="Times"/>
        </w:rPr>
        <w:t xml:space="preserve">were </w:t>
      </w:r>
      <w:r w:rsidR="00A52989" w:rsidRPr="00B853DA">
        <w:rPr>
          <w:rFonts w:ascii="Times" w:hAnsi="Times"/>
        </w:rPr>
        <w:t xml:space="preserve">engines of prosperity which excluded, either </w:t>
      </w:r>
      <w:r w:rsidR="00A52989" w:rsidRPr="005C58FE">
        <w:rPr>
          <w:rFonts w:ascii="Times" w:hAnsi="Times"/>
          <w:i/>
        </w:rPr>
        <w:t>de facto</w:t>
      </w:r>
      <w:r w:rsidR="00A52989" w:rsidRPr="00B853DA">
        <w:rPr>
          <w:rFonts w:ascii="Times" w:hAnsi="Times"/>
        </w:rPr>
        <w:t xml:space="preserve"> or </w:t>
      </w:r>
      <w:r w:rsidR="00A52989" w:rsidRPr="005C58FE">
        <w:rPr>
          <w:rFonts w:ascii="Times" w:hAnsi="Times"/>
          <w:i/>
        </w:rPr>
        <w:t>de jure</w:t>
      </w:r>
      <w:r w:rsidR="00B23789">
        <w:rPr>
          <w:rFonts w:ascii="Times" w:hAnsi="Times"/>
        </w:rPr>
        <w:t>, large numbers of</w:t>
      </w:r>
      <w:r w:rsidR="00A52989" w:rsidRPr="00B853DA">
        <w:rPr>
          <w:rFonts w:ascii="Times" w:hAnsi="Times"/>
        </w:rPr>
        <w:t xml:space="preserve"> black Americans with consequences that have echoed through the twentieth century and which still shape the life experiences of black people in the US. To paraphrase the historian Ira Katznelson, the mid-twentieth century US state was an affirmative action program for white people.</w:t>
      </w:r>
      <w:r w:rsidR="00F76E48">
        <w:rPr>
          <w:rStyle w:val="EndnoteReference"/>
          <w:rFonts w:ascii="Times" w:hAnsi="Times"/>
        </w:rPr>
        <w:endnoteReference w:id="2"/>
      </w:r>
      <w:r w:rsidR="00A52989" w:rsidRPr="00B853DA">
        <w:rPr>
          <w:rFonts w:ascii="Times" w:hAnsi="Times"/>
        </w:rPr>
        <w:t xml:space="preserve"> </w:t>
      </w:r>
    </w:p>
    <w:p w14:paraId="2D1E10EA" w14:textId="77777777" w:rsidR="00636B84" w:rsidRDefault="00636B84" w:rsidP="00B853DA">
      <w:pPr>
        <w:jc w:val="both"/>
        <w:rPr>
          <w:rFonts w:ascii="Times" w:hAnsi="Times"/>
        </w:rPr>
      </w:pPr>
    </w:p>
    <w:p w14:paraId="1C2DC584" w14:textId="3166F693" w:rsidR="00924B10" w:rsidRPr="00B853DA" w:rsidRDefault="00636B84" w:rsidP="00B853DA">
      <w:pPr>
        <w:jc w:val="both"/>
        <w:rPr>
          <w:rFonts w:ascii="Times" w:hAnsi="Times"/>
        </w:rPr>
      </w:pPr>
      <w:r>
        <w:rPr>
          <w:rFonts w:ascii="Times" w:hAnsi="Times"/>
        </w:rPr>
        <w:t>As an urban historian of Britain who has spent much of the last decade living in the Unit</w:t>
      </w:r>
      <w:r w:rsidR="00161E49">
        <w:rPr>
          <w:rFonts w:ascii="Times" w:hAnsi="Times"/>
        </w:rPr>
        <w:t>ed States</w:t>
      </w:r>
      <w:r w:rsidR="006F5A7A">
        <w:rPr>
          <w:rFonts w:ascii="Times" w:hAnsi="Times"/>
        </w:rPr>
        <w:t>,</w:t>
      </w:r>
      <w:r w:rsidR="00161E49">
        <w:rPr>
          <w:rFonts w:ascii="Times" w:hAnsi="Times"/>
        </w:rPr>
        <w:t xml:space="preserve"> </w:t>
      </w:r>
      <w:r>
        <w:rPr>
          <w:rFonts w:ascii="Times" w:hAnsi="Times"/>
        </w:rPr>
        <w:t xml:space="preserve">I have often wondered what a comparable story might look like from the perspective of Britain’s twentieth century history. Were there ways in which the modernizing force of social democracy structurally excluded people of colour at the level of housing and urban space with similarly </w:t>
      </w:r>
      <w:r w:rsidR="00161E49">
        <w:rPr>
          <w:rFonts w:ascii="Times" w:hAnsi="Times"/>
        </w:rPr>
        <w:t>harmful</w:t>
      </w:r>
      <w:r>
        <w:rPr>
          <w:rFonts w:ascii="Times" w:hAnsi="Times"/>
        </w:rPr>
        <w:t xml:space="preserve"> long-term consequences for non-white Britons? </w:t>
      </w:r>
      <w:r w:rsidR="004B6289">
        <w:rPr>
          <w:rFonts w:ascii="Times" w:hAnsi="Times"/>
        </w:rPr>
        <w:t>Like their American counterparts, m</w:t>
      </w:r>
      <w:r w:rsidR="00B35721" w:rsidRPr="00B853DA">
        <w:rPr>
          <w:rFonts w:ascii="Times" w:hAnsi="Times"/>
        </w:rPr>
        <w:t xml:space="preserve">any </w:t>
      </w:r>
      <w:r w:rsidR="004B6289">
        <w:rPr>
          <w:rFonts w:ascii="Times" w:hAnsi="Times"/>
        </w:rPr>
        <w:t xml:space="preserve">recent </w:t>
      </w:r>
      <w:r w:rsidR="00B35721" w:rsidRPr="00B853DA">
        <w:rPr>
          <w:rFonts w:ascii="Times" w:hAnsi="Times"/>
        </w:rPr>
        <w:t xml:space="preserve">historians </w:t>
      </w:r>
      <w:r w:rsidR="005855AF" w:rsidRPr="00B853DA">
        <w:rPr>
          <w:rFonts w:ascii="Times" w:hAnsi="Times"/>
        </w:rPr>
        <w:t>of</w:t>
      </w:r>
      <w:r w:rsidR="00B35721" w:rsidRPr="00B853DA">
        <w:rPr>
          <w:rFonts w:ascii="Times" w:hAnsi="Times"/>
        </w:rPr>
        <w:t xml:space="preserve"> Britain have also </w:t>
      </w:r>
      <w:r w:rsidR="004B6289">
        <w:rPr>
          <w:rFonts w:ascii="Times" w:hAnsi="Times"/>
        </w:rPr>
        <w:t>drawn attention to the ways in which</w:t>
      </w:r>
      <w:r w:rsidR="009131A0" w:rsidRPr="00B853DA">
        <w:rPr>
          <w:rFonts w:ascii="Times" w:hAnsi="Times"/>
        </w:rPr>
        <w:t xml:space="preserve"> British social democracy, implemented and expanding</w:t>
      </w:r>
      <w:r w:rsidR="005C58FE">
        <w:rPr>
          <w:rFonts w:ascii="Times" w:hAnsi="Times"/>
        </w:rPr>
        <w:t xml:space="preserve"> during decades of significant C</w:t>
      </w:r>
      <w:r w:rsidR="009131A0" w:rsidRPr="00B853DA">
        <w:rPr>
          <w:rFonts w:ascii="Times" w:hAnsi="Times"/>
        </w:rPr>
        <w:t xml:space="preserve">ommonwealth migration, </w:t>
      </w:r>
      <w:r w:rsidR="00DA5B77" w:rsidRPr="00B853DA">
        <w:rPr>
          <w:rFonts w:ascii="Times" w:hAnsi="Times"/>
        </w:rPr>
        <w:t>operated selectively on the grounds of race. This has been the conclusion of Kennetta Hammond Perry’s work on pol</w:t>
      </w:r>
      <w:r w:rsidR="00A352EC" w:rsidRPr="00B853DA">
        <w:rPr>
          <w:rFonts w:ascii="Times" w:hAnsi="Times"/>
        </w:rPr>
        <w:t>icing, Radhika Natarajan’s work on community</w:t>
      </w:r>
      <w:r w:rsidR="00201A38">
        <w:rPr>
          <w:rFonts w:ascii="Times" w:hAnsi="Times"/>
        </w:rPr>
        <w:t xml:space="preserve">, Nadine El-Enany’s work on borders </w:t>
      </w:r>
      <w:r w:rsidR="00A352EC" w:rsidRPr="00B853DA">
        <w:rPr>
          <w:rFonts w:ascii="Times" w:hAnsi="Times"/>
        </w:rPr>
        <w:t>and Rob Waters’ work on black radicalism (among many others).</w:t>
      </w:r>
      <w:r w:rsidR="00F76E48">
        <w:rPr>
          <w:rStyle w:val="EndnoteReference"/>
          <w:rFonts w:ascii="Times" w:hAnsi="Times"/>
        </w:rPr>
        <w:endnoteReference w:id="3"/>
      </w:r>
      <w:r w:rsidR="00A352EC" w:rsidRPr="00B853DA">
        <w:rPr>
          <w:rFonts w:ascii="Times" w:hAnsi="Times"/>
        </w:rPr>
        <w:t xml:space="preserve"> </w:t>
      </w:r>
      <w:r>
        <w:rPr>
          <w:rFonts w:ascii="Times" w:hAnsi="Times"/>
        </w:rPr>
        <w:t xml:space="preserve">I want to add </w:t>
      </w:r>
      <w:r w:rsidR="00037448">
        <w:rPr>
          <w:rFonts w:ascii="Times" w:hAnsi="Times"/>
        </w:rPr>
        <w:t>to this scholarship with</w:t>
      </w:r>
      <w:r w:rsidR="00C47249">
        <w:rPr>
          <w:rFonts w:ascii="Times" w:hAnsi="Times"/>
        </w:rPr>
        <w:t xml:space="preserve"> some brief</w:t>
      </w:r>
      <w:r>
        <w:rPr>
          <w:rFonts w:ascii="Times" w:hAnsi="Times"/>
        </w:rPr>
        <w:t xml:space="preserve"> reflections </w:t>
      </w:r>
      <w:r w:rsidR="00C47249">
        <w:rPr>
          <w:rFonts w:ascii="Times" w:hAnsi="Times"/>
        </w:rPr>
        <w:t>about the</w:t>
      </w:r>
      <w:r w:rsidR="00924B10" w:rsidRPr="00B853DA">
        <w:rPr>
          <w:rFonts w:ascii="Times" w:hAnsi="Times"/>
        </w:rPr>
        <w:t xml:space="preserve"> structural </w:t>
      </w:r>
      <w:r w:rsidR="00C47249">
        <w:rPr>
          <w:rFonts w:ascii="Times" w:hAnsi="Times"/>
        </w:rPr>
        <w:t>ways in which</w:t>
      </w:r>
      <w:r w:rsidR="00A352EC" w:rsidRPr="00B853DA">
        <w:rPr>
          <w:rFonts w:ascii="Times" w:hAnsi="Times"/>
        </w:rPr>
        <w:t xml:space="preserve"> race, social democracy and housing intersected</w:t>
      </w:r>
      <w:r w:rsidR="00037448">
        <w:rPr>
          <w:rFonts w:ascii="Times" w:hAnsi="Times"/>
        </w:rPr>
        <w:t xml:space="preserve"> in Britain in the twentieth century</w:t>
      </w:r>
      <w:r w:rsidR="00A352EC" w:rsidRPr="00B853DA">
        <w:rPr>
          <w:rFonts w:ascii="Times" w:hAnsi="Times"/>
        </w:rPr>
        <w:t xml:space="preserve">. </w:t>
      </w:r>
      <w:r w:rsidR="00C47249">
        <w:rPr>
          <w:rFonts w:ascii="Times" w:hAnsi="Times"/>
        </w:rPr>
        <w:t>In doing so</w:t>
      </w:r>
      <w:r w:rsidR="00037448">
        <w:rPr>
          <w:rFonts w:ascii="Times" w:hAnsi="Times"/>
        </w:rPr>
        <w:t>, I will</w:t>
      </w:r>
      <w:r w:rsidR="004B6289">
        <w:rPr>
          <w:rFonts w:ascii="Times" w:hAnsi="Times"/>
        </w:rPr>
        <w:t xml:space="preserve"> sketch out some ways that “redlining” might be a useful concept for thinking about British as well as American urban history.</w:t>
      </w:r>
    </w:p>
    <w:p w14:paraId="6876BF59" w14:textId="77777777" w:rsidR="009131A0" w:rsidRPr="00B853DA" w:rsidRDefault="009131A0" w:rsidP="00B853DA">
      <w:pPr>
        <w:jc w:val="both"/>
        <w:rPr>
          <w:rFonts w:ascii="Times" w:hAnsi="Times"/>
        </w:rPr>
      </w:pPr>
    </w:p>
    <w:p w14:paraId="2E979E7D" w14:textId="7E59A399" w:rsidR="009131A0" w:rsidRPr="00B853DA" w:rsidRDefault="00B71814" w:rsidP="00B853DA">
      <w:pPr>
        <w:jc w:val="both"/>
        <w:outlineLvl w:val="0"/>
        <w:rPr>
          <w:rFonts w:ascii="Times" w:hAnsi="Times"/>
          <w:b/>
        </w:rPr>
      </w:pPr>
      <w:r w:rsidRPr="00B853DA">
        <w:rPr>
          <w:rFonts w:ascii="Times" w:hAnsi="Times"/>
          <w:b/>
        </w:rPr>
        <w:t>Council Housing and Migration</w:t>
      </w:r>
    </w:p>
    <w:p w14:paraId="688CD87A" w14:textId="77777777" w:rsidR="00B71814" w:rsidRPr="00B853DA" w:rsidRDefault="00B71814" w:rsidP="00B853DA">
      <w:pPr>
        <w:jc w:val="both"/>
        <w:rPr>
          <w:rFonts w:ascii="Times" w:hAnsi="Times"/>
          <w:b/>
        </w:rPr>
      </w:pPr>
    </w:p>
    <w:p w14:paraId="4FE61845" w14:textId="7FDE863E" w:rsidR="00B71814" w:rsidRPr="00B853DA" w:rsidRDefault="003E4A2C" w:rsidP="00B853DA">
      <w:pPr>
        <w:jc w:val="both"/>
        <w:rPr>
          <w:rFonts w:ascii="Times" w:hAnsi="Times"/>
        </w:rPr>
      </w:pPr>
      <w:r w:rsidRPr="00B853DA">
        <w:rPr>
          <w:rFonts w:ascii="Times" w:hAnsi="Times"/>
        </w:rPr>
        <w:t xml:space="preserve">During the </w:t>
      </w:r>
      <w:r w:rsidR="00077BE8" w:rsidRPr="00B853DA">
        <w:rPr>
          <w:rFonts w:ascii="Times" w:hAnsi="Times"/>
        </w:rPr>
        <w:t xml:space="preserve">fourteen years </w:t>
      </w:r>
      <w:r w:rsidR="004B76B7" w:rsidRPr="00B853DA">
        <w:rPr>
          <w:rFonts w:ascii="Times" w:hAnsi="Times"/>
        </w:rPr>
        <w:t>between the 1948 British Nationality Act and t</w:t>
      </w:r>
      <w:r w:rsidR="005C58FE">
        <w:rPr>
          <w:rFonts w:ascii="Times" w:hAnsi="Times"/>
        </w:rPr>
        <w:t>he 1962 Commonwealth Immigrants</w:t>
      </w:r>
      <w:r w:rsidR="004B76B7" w:rsidRPr="00B853DA">
        <w:rPr>
          <w:rFonts w:ascii="Times" w:hAnsi="Times"/>
        </w:rPr>
        <w:t xml:space="preserve"> Act, Britain </w:t>
      </w:r>
      <w:r w:rsidRPr="00B853DA">
        <w:rPr>
          <w:rFonts w:ascii="Times" w:hAnsi="Times"/>
        </w:rPr>
        <w:t xml:space="preserve">had open borders within what remained of its disintegrating empire. Although people of colour had lived in Britain for hundreds of years, </w:t>
      </w:r>
      <w:r w:rsidRPr="00B853DA">
        <w:rPr>
          <w:rFonts w:ascii="Times" w:hAnsi="Times"/>
        </w:rPr>
        <w:lastRenderedPageBreak/>
        <w:t xml:space="preserve">this decade saw </w:t>
      </w:r>
      <w:r w:rsidR="00F90127" w:rsidRPr="00B853DA">
        <w:rPr>
          <w:rFonts w:ascii="Times" w:hAnsi="Times"/>
        </w:rPr>
        <w:t xml:space="preserve">the arrival of significant numbers of new migrants from the West Indies and South Asia. </w:t>
      </w:r>
    </w:p>
    <w:p w14:paraId="7317CCCD" w14:textId="77777777" w:rsidR="00E40BD4" w:rsidRDefault="00E40BD4" w:rsidP="00B853DA">
      <w:pPr>
        <w:jc w:val="both"/>
        <w:rPr>
          <w:rFonts w:ascii="Times" w:hAnsi="Times"/>
        </w:rPr>
      </w:pPr>
    </w:p>
    <w:p w14:paraId="7E5D5BCA" w14:textId="560E3739" w:rsidR="00937437" w:rsidRPr="00B853DA" w:rsidRDefault="00F90127" w:rsidP="00B853DA">
      <w:pPr>
        <w:jc w:val="both"/>
        <w:rPr>
          <w:rFonts w:ascii="Times" w:hAnsi="Times"/>
        </w:rPr>
      </w:pPr>
      <w:r w:rsidRPr="00B853DA">
        <w:rPr>
          <w:rFonts w:ascii="Times" w:hAnsi="Times"/>
        </w:rPr>
        <w:t>During years when London’s population was being hollowed out by slum clearances and new town building, many migrants settled in neighbourhoods such as Brixton and Notting Hill that were being e</w:t>
      </w:r>
      <w:r w:rsidR="00971495">
        <w:rPr>
          <w:rFonts w:ascii="Times" w:hAnsi="Times"/>
        </w:rPr>
        <w:t xml:space="preserve">vacuated of white residents and </w:t>
      </w:r>
      <w:r w:rsidR="00037448">
        <w:rPr>
          <w:rFonts w:ascii="Times" w:hAnsi="Times"/>
        </w:rPr>
        <w:t xml:space="preserve">were </w:t>
      </w:r>
      <w:r w:rsidRPr="00B853DA">
        <w:rPr>
          <w:rFonts w:ascii="Times" w:hAnsi="Times"/>
        </w:rPr>
        <w:t xml:space="preserve">in many </w:t>
      </w:r>
      <w:r w:rsidR="00937437" w:rsidRPr="00B853DA">
        <w:rPr>
          <w:rFonts w:ascii="Times" w:hAnsi="Times"/>
        </w:rPr>
        <w:t>instances,</w:t>
      </w:r>
      <w:r w:rsidRPr="00B853DA">
        <w:rPr>
          <w:rFonts w:ascii="Times" w:hAnsi="Times"/>
        </w:rPr>
        <w:t xml:space="preserve"> were still</w:t>
      </w:r>
      <w:r w:rsidR="00971495">
        <w:rPr>
          <w:rFonts w:ascii="Times" w:hAnsi="Times"/>
        </w:rPr>
        <w:t xml:space="preserve"> pock-marked by bomb craters</w:t>
      </w:r>
      <w:r w:rsidRPr="00B853DA">
        <w:rPr>
          <w:rFonts w:ascii="Times" w:hAnsi="Times"/>
        </w:rPr>
        <w:t>.</w:t>
      </w:r>
      <w:r w:rsidR="00F76E48">
        <w:rPr>
          <w:rStyle w:val="EndnoteReference"/>
          <w:rFonts w:ascii="Times" w:hAnsi="Times"/>
        </w:rPr>
        <w:endnoteReference w:id="4"/>
      </w:r>
      <w:r w:rsidRPr="00B853DA">
        <w:rPr>
          <w:rFonts w:ascii="Times" w:hAnsi="Times"/>
        </w:rPr>
        <w:t xml:space="preserve"> </w:t>
      </w:r>
      <w:r w:rsidR="00937437" w:rsidRPr="00B853DA">
        <w:rPr>
          <w:rFonts w:ascii="Times" w:hAnsi="Times"/>
        </w:rPr>
        <w:t>Many first-generation migrants settled in lodging houses owned by their employers. Those who tried to rent on the private market were often at the mercy of white landlords, many of whom refused to accept black lodgers or tenants. Overwhelmingly, this migrant generation lived in precarious and overcrowded conditions, shaped by poverty and by exclusion from other types of housing. In the early 1960s, compared with other city dwellers, Commonwealth migrants were more than five times more likely to live in overcrowded housing without exclusive access to a stove or a sink.</w:t>
      </w:r>
      <w:r w:rsidR="00F76E48">
        <w:rPr>
          <w:rStyle w:val="EndnoteReference"/>
          <w:rFonts w:ascii="Times" w:hAnsi="Times"/>
        </w:rPr>
        <w:endnoteReference w:id="5"/>
      </w:r>
    </w:p>
    <w:p w14:paraId="5E973D48" w14:textId="77777777" w:rsidR="00937437" w:rsidRPr="00B853DA" w:rsidRDefault="00937437" w:rsidP="00B853DA">
      <w:pPr>
        <w:jc w:val="both"/>
        <w:rPr>
          <w:rFonts w:ascii="Times" w:hAnsi="Times"/>
        </w:rPr>
      </w:pPr>
    </w:p>
    <w:p w14:paraId="33448D44" w14:textId="7BEE969B" w:rsidR="00907184" w:rsidRPr="00BA5C1A" w:rsidRDefault="004B76B7" w:rsidP="00B853DA">
      <w:pPr>
        <w:jc w:val="both"/>
        <w:rPr>
          <w:rFonts w:ascii="Times" w:hAnsi="Times"/>
          <w:b/>
        </w:rPr>
      </w:pPr>
      <w:r w:rsidRPr="00B853DA">
        <w:rPr>
          <w:rFonts w:ascii="Times" w:hAnsi="Times"/>
        </w:rPr>
        <w:t>The first two decades after the War also marked the peak of Britain’s exper</w:t>
      </w:r>
      <w:r w:rsidR="004508E8" w:rsidRPr="00B853DA">
        <w:rPr>
          <w:rFonts w:ascii="Times" w:hAnsi="Times"/>
        </w:rPr>
        <w:t xml:space="preserve">iment with mass public housing. Wartime bombings and a postwar population boom had necessitated a massive boom in public and private housebuilding. </w:t>
      </w:r>
      <w:r w:rsidR="00507D09">
        <w:rPr>
          <w:rFonts w:ascii="Times" w:hAnsi="Times"/>
        </w:rPr>
        <w:t>In the first twenty years after the War,</w:t>
      </w:r>
      <w:r w:rsidR="001B3AC9" w:rsidRPr="00B853DA">
        <w:rPr>
          <w:rFonts w:ascii="Times" w:hAnsi="Times"/>
        </w:rPr>
        <w:t xml:space="preserve"> local authorities were building an ave</w:t>
      </w:r>
      <w:r w:rsidR="005C58FE">
        <w:rPr>
          <w:rFonts w:ascii="Times" w:hAnsi="Times"/>
        </w:rPr>
        <w:t>rage of a 172,000 council homes</w:t>
      </w:r>
      <w:r w:rsidR="001B3AC9" w:rsidRPr="00B853DA">
        <w:rPr>
          <w:rFonts w:ascii="Times" w:hAnsi="Times"/>
        </w:rPr>
        <w:t xml:space="preserve"> a year.</w:t>
      </w:r>
      <w:r w:rsidR="00F76E48">
        <w:rPr>
          <w:rStyle w:val="EndnoteReference"/>
          <w:rFonts w:ascii="Times" w:hAnsi="Times"/>
        </w:rPr>
        <w:endnoteReference w:id="6"/>
      </w:r>
      <w:r w:rsidR="001B3AC9" w:rsidRPr="00B853DA">
        <w:rPr>
          <w:rFonts w:ascii="Times" w:hAnsi="Times"/>
        </w:rPr>
        <w:t xml:space="preserve"> </w:t>
      </w:r>
      <w:r w:rsidR="00BC566A" w:rsidRPr="00B853DA">
        <w:rPr>
          <w:rFonts w:ascii="Times" w:hAnsi="Times"/>
        </w:rPr>
        <w:t xml:space="preserve">Council homes with indoor bathrooms, fitted kitchens and central heating systems modernized the domestic lives of millions of Britons, for whom many of these things would have been a novelty. </w:t>
      </w:r>
      <w:r w:rsidR="0042221B" w:rsidRPr="00B853DA">
        <w:rPr>
          <w:rFonts w:ascii="Times" w:hAnsi="Times"/>
        </w:rPr>
        <w:t>This spurt of public sector construction transformed the look and feel of British cities, ringing cities with low rise suburban estates and vast towe</w:t>
      </w:r>
      <w:r w:rsidR="00BC578E" w:rsidRPr="00B853DA">
        <w:rPr>
          <w:rFonts w:ascii="Times" w:hAnsi="Times"/>
        </w:rPr>
        <w:t xml:space="preserve">r blocks. By 1980, almost one </w:t>
      </w:r>
      <w:r w:rsidR="003E45D1">
        <w:rPr>
          <w:rFonts w:ascii="Times" w:hAnsi="Times"/>
        </w:rPr>
        <w:t>in three homes</w:t>
      </w:r>
      <w:r w:rsidR="005C58FE">
        <w:rPr>
          <w:rFonts w:ascii="Times" w:hAnsi="Times"/>
        </w:rPr>
        <w:t xml:space="preserve"> were </w:t>
      </w:r>
      <w:r w:rsidR="003E45D1">
        <w:rPr>
          <w:rFonts w:ascii="Times" w:hAnsi="Times"/>
        </w:rPr>
        <w:t>owned by the Council</w:t>
      </w:r>
      <w:r w:rsidR="00BC578E" w:rsidRPr="00B853DA">
        <w:rPr>
          <w:rFonts w:ascii="Times" w:hAnsi="Times"/>
        </w:rPr>
        <w:t>.</w:t>
      </w:r>
      <w:r w:rsidR="00507D09">
        <w:rPr>
          <w:rStyle w:val="EndnoteReference"/>
          <w:rFonts w:ascii="Times" w:hAnsi="Times"/>
        </w:rPr>
        <w:endnoteReference w:id="7"/>
      </w:r>
    </w:p>
    <w:p w14:paraId="6A0347E2" w14:textId="77777777" w:rsidR="00BC566A" w:rsidRPr="00B853DA" w:rsidRDefault="00BC566A" w:rsidP="00B853DA">
      <w:pPr>
        <w:jc w:val="both"/>
        <w:rPr>
          <w:rFonts w:ascii="Times" w:hAnsi="Times"/>
        </w:rPr>
      </w:pPr>
    </w:p>
    <w:p w14:paraId="4F1C7C12" w14:textId="12B2C796" w:rsidR="00E554DF" w:rsidRPr="00B853DA" w:rsidRDefault="008A1DD8" w:rsidP="00B853DA">
      <w:pPr>
        <w:jc w:val="both"/>
        <w:rPr>
          <w:rFonts w:ascii="Times" w:hAnsi="Times"/>
        </w:rPr>
      </w:pPr>
      <w:r w:rsidRPr="00B853DA">
        <w:rPr>
          <w:rFonts w:ascii="Times" w:hAnsi="Times"/>
        </w:rPr>
        <w:t>Despite their precarious living conditions,</w:t>
      </w:r>
      <w:r w:rsidR="00BC578E" w:rsidRPr="00B853DA">
        <w:rPr>
          <w:rFonts w:ascii="Times" w:hAnsi="Times"/>
        </w:rPr>
        <w:t xml:space="preserve"> </w:t>
      </w:r>
      <w:r w:rsidR="00BA5C1A">
        <w:rPr>
          <w:rFonts w:ascii="Times" w:hAnsi="Times"/>
        </w:rPr>
        <w:t>C</w:t>
      </w:r>
      <w:r w:rsidRPr="00B853DA">
        <w:rPr>
          <w:rFonts w:ascii="Times" w:hAnsi="Times"/>
        </w:rPr>
        <w:t>ommonwealth migrants struggled to gain access to</w:t>
      </w:r>
      <w:r w:rsidR="00971495">
        <w:rPr>
          <w:rFonts w:ascii="Times" w:hAnsi="Times"/>
        </w:rPr>
        <w:t xml:space="preserve"> this new</w:t>
      </w:r>
      <w:r w:rsidR="00BC578E" w:rsidRPr="00B853DA">
        <w:rPr>
          <w:rFonts w:ascii="Times" w:hAnsi="Times"/>
        </w:rPr>
        <w:t xml:space="preserve"> glut of</w:t>
      </w:r>
      <w:r w:rsidRPr="00B853DA">
        <w:rPr>
          <w:rFonts w:ascii="Times" w:hAnsi="Times"/>
        </w:rPr>
        <w:t xml:space="preserve"> council</w:t>
      </w:r>
      <w:r w:rsidR="00971495">
        <w:rPr>
          <w:rFonts w:ascii="Times" w:hAnsi="Times"/>
        </w:rPr>
        <w:t xml:space="preserve"> homes in the 1950s and 1960s</w:t>
      </w:r>
      <w:r w:rsidRPr="00B853DA">
        <w:rPr>
          <w:rFonts w:ascii="Times" w:hAnsi="Times"/>
        </w:rPr>
        <w:t xml:space="preserve">. </w:t>
      </w:r>
      <w:r w:rsidR="001D422D" w:rsidRPr="00B853DA">
        <w:rPr>
          <w:rFonts w:ascii="Times" w:hAnsi="Times"/>
        </w:rPr>
        <w:t xml:space="preserve">This exclusion took a variety of different forms. </w:t>
      </w:r>
      <w:r w:rsidR="00F36714" w:rsidRPr="00B853DA">
        <w:rPr>
          <w:rFonts w:ascii="Times" w:hAnsi="Times"/>
        </w:rPr>
        <w:t xml:space="preserve">Many </w:t>
      </w:r>
      <w:r w:rsidR="007B4732" w:rsidRPr="00B853DA">
        <w:rPr>
          <w:rFonts w:ascii="Times" w:hAnsi="Times"/>
        </w:rPr>
        <w:t>first-generation</w:t>
      </w:r>
      <w:r w:rsidR="00F36714" w:rsidRPr="00B853DA">
        <w:rPr>
          <w:rFonts w:ascii="Times" w:hAnsi="Times"/>
        </w:rPr>
        <w:t xml:space="preserve"> migrants were unwilling to apply for council housing, not wanting to leave the relative safety of their neighbourhood. </w:t>
      </w:r>
      <w:r w:rsidR="00EE24C2" w:rsidRPr="00B853DA">
        <w:rPr>
          <w:rFonts w:ascii="Times" w:hAnsi="Times"/>
        </w:rPr>
        <w:t xml:space="preserve">Many found themselves at the bottom of waiting lists that were allocated based on </w:t>
      </w:r>
      <w:r w:rsidR="00E554DF" w:rsidRPr="00B853DA">
        <w:rPr>
          <w:rFonts w:ascii="Times" w:hAnsi="Times"/>
        </w:rPr>
        <w:t>the principle of first come first serve, or based</w:t>
      </w:r>
      <w:r w:rsidR="00507D09">
        <w:rPr>
          <w:rFonts w:ascii="Times" w:hAnsi="Times"/>
        </w:rPr>
        <w:t xml:space="preserve"> on the number of years a person</w:t>
      </w:r>
      <w:r w:rsidR="00E554DF" w:rsidRPr="00B853DA">
        <w:rPr>
          <w:rFonts w:ascii="Times" w:hAnsi="Times"/>
        </w:rPr>
        <w:t xml:space="preserve"> had lived in a particular neighbourhood. </w:t>
      </w:r>
      <w:r w:rsidR="007B4732" w:rsidRPr="00B853DA">
        <w:rPr>
          <w:rFonts w:ascii="Times" w:hAnsi="Times"/>
        </w:rPr>
        <w:t xml:space="preserve">In many instances, however, more direct forms of racism </w:t>
      </w:r>
      <w:r w:rsidR="009C29C7" w:rsidRPr="00B853DA">
        <w:rPr>
          <w:rFonts w:ascii="Times" w:hAnsi="Times"/>
        </w:rPr>
        <w:t>played a role. In the mid-1960s it was found that many housing authorities in London boroughs were deliberately moving white Britons up waiting lists at the expense of people of colour. Migrant families were often discriminated against by white council officers who would inspect families to ascertain their fitness for council housing. Reports by housing investigators were one of the most important factors deciding where an applicant would be placed on a waiting list for council housing in the 1960s. According to one investigation in 1965, these officials were often “baffled” and “biased” when faced with people of colour, and would “play it safe” by giving applicants low marks.</w:t>
      </w:r>
      <w:r w:rsidR="00F76E48">
        <w:rPr>
          <w:rStyle w:val="EndnoteReference"/>
          <w:rFonts w:ascii="Times" w:hAnsi="Times"/>
        </w:rPr>
        <w:endnoteReference w:id="8"/>
      </w:r>
    </w:p>
    <w:p w14:paraId="259F587B" w14:textId="77777777" w:rsidR="009C29C7" w:rsidRPr="00B853DA" w:rsidRDefault="009C29C7" w:rsidP="00B853DA">
      <w:pPr>
        <w:jc w:val="both"/>
        <w:rPr>
          <w:rFonts w:ascii="Times" w:hAnsi="Times"/>
        </w:rPr>
      </w:pPr>
    </w:p>
    <w:p w14:paraId="41190C7E" w14:textId="41D69C6E" w:rsidR="00331613" w:rsidRDefault="009C29C7" w:rsidP="00331613">
      <w:pPr>
        <w:jc w:val="both"/>
        <w:rPr>
          <w:rFonts w:ascii="Times" w:hAnsi="Times"/>
        </w:rPr>
      </w:pPr>
      <w:r w:rsidRPr="00B853DA">
        <w:rPr>
          <w:rFonts w:ascii="Times" w:hAnsi="Times"/>
        </w:rPr>
        <w:t xml:space="preserve">Migrants also suffered from a belief, widespread among many urban planners, architects and housing departments, that council estates, with </w:t>
      </w:r>
      <w:r w:rsidR="00971495">
        <w:rPr>
          <w:rFonts w:ascii="Times" w:hAnsi="Times"/>
        </w:rPr>
        <w:t xml:space="preserve">their </w:t>
      </w:r>
      <w:r w:rsidRPr="00B853DA">
        <w:rPr>
          <w:rFonts w:ascii="Times" w:hAnsi="Times"/>
        </w:rPr>
        <w:t xml:space="preserve">shared facilities and generous amounts of public space, could be utilized to form discrete homogenous communities of residents. Camilla Schofield and Ben Jones have recently shown how, after the 1958 uprisings among the black </w:t>
      </w:r>
      <w:r w:rsidR="00971495">
        <w:rPr>
          <w:rFonts w:ascii="Times" w:hAnsi="Times"/>
        </w:rPr>
        <w:t>residents of</w:t>
      </w:r>
      <w:r w:rsidRPr="00B853DA">
        <w:rPr>
          <w:rFonts w:ascii="Times" w:hAnsi="Times"/>
        </w:rPr>
        <w:t xml:space="preserve"> N</w:t>
      </w:r>
      <w:r w:rsidR="00971495">
        <w:rPr>
          <w:rFonts w:ascii="Times" w:hAnsi="Times"/>
        </w:rPr>
        <w:t>otting Hill and Nottingham, some</w:t>
      </w:r>
      <w:r w:rsidRPr="00B853DA">
        <w:rPr>
          <w:rFonts w:ascii="Times" w:hAnsi="Times"/>
        </w:rPr>
        <w:t xml:space="preserve"> community workers became pessimistic that </w:t>
      </w:r>
      <w:r w:rsidR="007955B6">
        <w:rPr>
          <w:rFonts w:ascii="Times" w:hAnsi="Times"/>
        </w:rPr>
        <w:t>stable communities</w:t>
      </w:r>
      <w:r w:rsidR="00432789" w:rsidRPr="00B853DA">
        <w:rPr>
          <w:rFonts w:ascii="Times" w:hAnsi="Times"/>
        </w:rPr>
        <w:t xml:space="preserve"> could be forged between residents of different races.</w:t>
      </w:r>
      <w:r w:rsidR="00F76E48">
        <w:rPr>
          <w:rStyle w:val="EndnoteReference"/>
          <w:rFonts w:ascii="Times" w:hAnsi="Times"/>
        </w:rPr>
        <w:endnoteReference w:id="9"/>
      </w:r>
      <w:r w:rsidR="00432789" w:rsidRPr="00B853DA">
        <w:rPr>
          <w:rFonts w:ascii="Times" w:hAnsi="Times"/>
        </w:rPr>
        <w:t xml:space="preserve"> Many housing departments were unwilling to test the “tolerance” of white residents in new estates. As one housing manager in the West Midlands</w:t>
      </w:r>
      <w:r w:rsidR="001F3FB9" w:rsidRPr="00B853DA">
        <w:rPr>
          <w:rFonts w:ascii="Times" w:hAnsi="Times"/>
        </w:rPr>
        <w:t xml:space="preserve"> in the early 1960s</w:t>
      </w:r>
      <w:r w:rsidR="00432789" w:rsidRPr="00B853DA">
        <w:rPr>
          <w:rFonts w:ascii="Times" w:hAnsi="Times"/>
        </w:rPr>
        <w:t xml:space="preserve"> put it, “I wouldn’t put coloured people on a new estate mixed up with all the young couples. It’s got to go slowly.”</w:t>
      </w:r>
      <w:r w:rsidR="00F76E48">
        <w:rPr>
          <w:rStyle w:val="EndnoteReference"/>
          <w:rFonts w:ascii="Times" w:hAnsi="Times"/>
        </w:rPr>
        <w:endnoteReference w:id="10"/>
      </w:r>
      <w:r w:rsidR="008763C1" w:rsidRPr="00B853DA">
        <w:rPr>
          <w:rFonts w:ascii="Times" w:hAnsi="Times"/>
        </w:rPr>
        <w:t xml:space="preserve"> </w:t>
      </w:r>
      <w:r w:rsidR="00331613" w:rsidRPr="00B853DA">
        <w:rPr>
          <w:rFonts w:ascii="Times" w:hAnsi="Times"/>
        </w:rPr>
        <w:t>As a result of these barriers, people of colour were significantly under-represented among council house tenants in the 1950s and 1960s. In 1961, just 4.3 percent of all Commonwealth migrants in the six largest cities in England and Wales were living in council housing, compared with 23 percent of all households.</w:t>
      </w:r>
      <w:r w:rsidR="00F76E48">
        <w:rPr>
          <w:rStyle w:val="EndnoteReference"/>
          <w:rFonts w:ascii="Times" w:hAnsi="Times"/>
        </w:rPr>
        <w:endnoteReference w:id="11"/>
      </w:r>
      <w:r w:rsidR="00331613" w:rsidRPr="00B853DA">
        <w:rPr>
          <w:rFonts w:ascii="Times" w:hAnsi="Times"/>
        </w:rPr>
        <w:t xml:space="preserve"> </w:t>
      </w:r>
    </w:p>
    <w:p w14:paraId="4F0A5888" w14:textId="77777777" w:rsidR="004173C3" w:rsidRDefault="004173C3" w:rsidP="00B853DA">
      <w:pPr>
        <w:jc w:val="both"/>
        <w:rPr>
          <w:rFonts w:ascii="Times" w:hAnsi="Times"/>
        </w:rPr>
      </w:pPr>
    </w:p>
    <w:p w14:paraId="60BD0237" w14:textId="4E81E488" w:rsidR="008763C1" w:rsidRDefault="004173C3" w:rsidP="00B853DA">
      <w:pPr>
        <w:jc w:val="both"/>
        <w:rPr>
          <w:rFonts w:ascii="Times" w:hAnsi="Times"/>
        </w:rPr>
      </w:pPr>
      <w:r>
        <w:rPr>
          <w:rFonts w:ascii="Times" w:hAnsi="Times"/>
        </w:rPr>
        <w:t xml:space="preserve">Another significant factor </w:t>
      </w:r>
      <w:r w:rsidR="00343494">
        <w:rPr>
          <w:rFonts w:ascii="Times" w:hAnsi="Times"/>
        </w:rPr>
        <w:t>deterring people of colour from council housing was the fear of violence and harassment. Studies of Pakistani migrants to Bradford and to Glasgow</w:t>
      </w:r>
      <w:r w:rsidR="00331613">
        <w:rPr>
          <w:rFonts w:ascii="Times" w:hAnsi="Times"/>
        </w:rPr>
        <w:t xml:space="preserve"> </w:t>
      </w:r>
      <w:r w:rsidR="00971495">
        <w:rPr>
          <w:rFonts w:ascii="Times" w:hAnsi="Times"/>
        </w:rPr>
        <w:t>from the 1970s</w:t>
      </w:r>
      <w:r w:rsidR="00331613">
        <w:rPr>
          <w:rFonts w:ascii="Times" w:hAnsi="Times"/>
        </w:rPr>
        <w:t xml:space="preserve"> showed a reluctance</w:t>
      </w:r>
      <w:r w:rsidR="00343494">
        <w:rPr>
          <w:rFonts w:ascii="Times" w:hAnsi="Times"/>
        </w:rPr>
        <w:t xml:space="preserve"> to apply for council housing</w:t>
      </w:r>
      <w:r w:rsidR="00331613">
        <w:rPr>
          <w:rFonts w:ascii="Times" w:hAnsi="Times"/>
        </w:rPr>
        <w:t>,</w:t>
      </w:r>
      <w:r w:rsidR="00343494">
        <w:rPr>
          <w:rFonts w:ascii="Times" w:hAnsi="Times"/>
        </w:rPr>
        <w:t xml:space="preserve"> partly motivated by the fear of being left isolated and vulnerable on mostly white council estates.</w:t>
      </w:r>
      <w:r w:rsidR="00672394">
        <w:rPr>
          <w:rStyle w:val="EndnoteReference"/>
          <w:rFonts w:ascii="Times" w:hAnsi="Times"/>
        </w:rPr>
        <w:endnoteReference w:id="12"/>
      </w:r>
      <w:r w:rsidR="00343494">
        <w:rPr>
          <w:rFonts w:ascii="Times" w:hAnsi="Times"/>
        </w:rPr>
        <w:t xml:space="preserve"> </w:t>
      </w:r>
      <w:r>
        <w:rPr>
          <w:rFonts w:ascii="Times" w:hAnsi="Times"/>
        </w:rPr>
        <w:t>The scale of this problem is difficult to assess, particularly as</w:t>
      </w:r>
      <w:r w:rsidR="00343494">
        <w:rPr>
          <w:rFonts w:ascii="Times" w:hAnsi="Times"/>
        </w:rPr>
        <w:t xml:space="preserve">, in many reported instances, harassment on council estates </w:t>
      </w:r>
      <w:r w:rsidR="00331613">
        <w:rPr>
          <w:rFonts w:ascii="Times" w:hAnsi="Times"/>
        </w:rPr>
        <w:t>occurred</w:t>
      </w:r>
      <w:r>
        <w:rPr>
          <w:rFonts w:ascii="Times" w:hAnsi="Times"/>
        </w:rPr>
        <w:t xml:space="preserve"> with the complicity of the police and housing associations. </w:t>
      </w:r>
      <w:r w:rsidR="007F705B">
        <w:rPr>
          <w:rFonts w:ascii="Times" w:hAnsi="Times"/>
        </w:rPr>
        <w:t xml:space="preserve">The first detailed study of racial harassment on council estates did not emerge until the mid-1980s. </w:t>
      </w:r>
      <w:r w:rsidR="004D3C02">
        <w:rPr>
          <w:rFonts w:ascii="Times" w:hAnsi="Times"/>
        </w:rPr>
        <w:t>Among its most shocking findings was the fact that more than half of all people of colour on council</w:t>
      </w:r>
      <w:r w:rsidR="003B0724">
        <w:rPr>
          <w:rFonts w:ascii="Times" w:hAnsi="Times"/>
        </w:rPr>
        <w:t xml:space="preserve"> estates in Scotland had been victims of racist graffiti.</w:t>
      </w:r>
      <w:r w:rsidR="00F76E48">
        <w:rPr>
          <w:rStyle w:val="EndnoteReference"/>
          <w:rFonts w:ascii="Times" w:hAnsi="Times"/>
        </w:rPr>
        <w:endnoteReference w:id="13"/>
      </w:r>
      <w:r w:rsidR="003B0724">
        <w:rPr>
          <w:rFonts w:ascii="Times" w:hAnsi="Times"/>
        </w:rPr>
        <w:t xml:space="preserve"> </w:t>
      </w:r>
    </w:p>
    <w:p w14:paraId="2EA62597" w14:textId="77777777" w:rsidR="00CA26F2" w:rsidRPr="00B853DA" w:rsidRDefault="00CA26F2" w:rsidP="00B853DA">
      <w:pPr>
        <w:jc w:val="both"/>
        <w:rPr>
          <w:rFonts w:ascii="Times" w:hAnsi="Times"/>
        </w:rPr>
      </w:pPr>
    </w:p>
    <w:p w14:paraId="636FFC05" w14:textId="16A0E2EC" w:rsidR="00CA2EE6" w:rsidRDefault="00A92104" w:rsidP="00063B9B">
      <w:pPr>
        <w:jc w:val="both"/>
        <w:rPr>
          <w:rFonts w:ascii="Times" w:hAnsi="Times"/>
        </w:rPr>
      </w:pPr>
      <w:r w:rsidRPr="00063B9B">
        <w:rPr>
          <w:rFonts w:ascii="Times" w:hAnsi="Times"/>
        </w:rPr>
        <w:t>A series of race relations acts in 1965, 1968 and 1976 attempted to mitigate the housing crisis facing people of colo</w:t>
      </w:r>
      <w:r>
        <w:rPr>
          <w:rFonts w:ascii="Times" w:hAnsi="Times"/>
        </w:rPr>
        <w:t>ur</w:t>
      </w:r>
      <w:r w:rsidRPr="00063B9B">
        <w:rPr>
          <w:rFonts w:ascii="Times" w:hAnsi="Times"/>
        </w:rPr>
        <w:t>, banning discrimination by private</w:t>
      </w:r>
      <w:r w:rsidR="007955B6">
        <w:rPr>
          <w:rFonts w:ascii="Times" w:hAnsi="Times"/>
        </w:rPr>
        <w:t xml:space="preserve"> landlords and by local </w:t>
      </w:r>
      <w:r w:rsidR="00672394">
        <w:rPr>
          <w:rFonts w:ascii="Times" w:hAnsi="Times"/>
        </w:rPr>
        <w:t>authorities</w:t>
      </w:r>
      <w:r w:rsidRPr="00063B9B">
        <w:rPr>
          <w:rFonts w:ascii="Times" w:hAnsi="Times"/>
        </w:rPr>
        <w:t xml:space="preserve">. </w:t>
      </w:r>
      <w:r>
        <w:rPr>
          <w:rFonts w:ascii="Times" w:hAnsi="Times"/>
        </w:rPr>
        <w:t>However,</w:t>
      </w:r>
      <w:r w:rsidR="000A1DEF" w:rsidRPr="00B853DA">
        <w:rPr>
          <w:rFonts w:ascii="Times" w:hAnsi="Times"/>
        </w:rPr>
        <w:t xml:space="preserve"> concerns about residency criteria and about community cohesion </w:t>
      </w:r>
      <w:r w:rsidR="00BA11EB" w:rsidRPr="00B853DA">
        <w:rPr>
          <w:rFonts w:ascii="Times" w:hAnsi="Times"/>
        </w:rPr>
        <w:t>meant that when people of colour did manage to secure access to council housing</w:t>
      </w:r>
      <w:r w:rsidR="00CA26F2">
        <w:rPr>
          <w:rFonts w:ascii="Times" w:hAnsi="Times"/>
        </w:rPr>
        <w:t xml:space="preserve"> in the 1950s, 1960s and 1970s</w:t>
      </w:r>
      <w:r w:rsidR="00672394">
        <w:rPr>
          <w:rFonts w:ascii="Times" w:hAnsi="Times"/>
        </w:rPr>
        <w:t>, they tended to be allocated types of housing that were deemed to be undesirable</w:t>
      </w:r>
      <w:r w:rsidR="00BA11EB" w:rsidRPr="00B853DA">
        <w:rPr>
          <w:rFonts w:ascii="Times" w:hAnsi="Times"/>
        </w:rPr>
        <w:t xml:space="preserve">. </w:t>
      </w:r>
      <w:r w:rsidR="008763C1" w:rsidRPr="00B853DA">
        <w:rPr>
          <w:rFonts w:ascii="Times" w:hAnsi="Times"/>
        </w:rPr>
        <w:t xml:space="preserve">With most housing departments of local authorities not keeping statistics on the ethnic backgrounds </w:t>
      </w:r>
      <w:r w:rsidR="00971495">
        <w:rPr>
          <w:rFonts w:ascii="Times" w:hAnsi="Times"/>
        </w:rPr>
        <w:t>of their tenants, the extent of this problem was difficult</w:t>
      </w:r>
      <w:r w:rsidR="008763C1" w:rsidRPr="00B853DA">
        <w:rPr>
          <w:rFonts w:ascii="Times" w:hAnsi="Times"/>
        </w:rPr>
        <w:t xml:space="preserve"> to gauge. In the </w:t>
      </w:r>
      <w:r w:rsidR="00492DF4" w:rsidRPr="00B853DA">
        <w:rPr>
          <w:rFonts w:ascii="Times" w:hAnsi="Times"/>
        </w:rPr>
        <w:t xml:space="preserve">early 1970s, </w:t>
      </w:r>
      <w:r w:rsidR="002C70FD">
        <w:rPr>
          <w:rFonts w:ascii="Times" w:hAnsi="Times"/>
        </w:rPr>
        <w:t xml:space="preserve">working mostly in London, </w:t>
      </w:r>
      <w:r w:rsidR="00492DF4" w:rsidRPr="00B853DA">
        <w:rPr>
          <w:rFonts w:ascii="Times" w:hAnsi="Times"/>
        </w:rPr>
        <w:t xml:space="preserve">independent public bodies and think tanks such as the Commission for Racial Equality and the Runnymede Trust began to collect their own data. </w:t>
      </w:r>
      <w:r w:rsidR="00EA6F7D">
        <w:rPr>
          <w:rFonts w:ascii="Times" w:hAnsi="Times"/>
        </w:rPr>
        <w:t>Their findings</w:t>
      </w:r>
      <w:r w:rsidR="00E55B8F" w:rsidRPr="00B853DA">
        <w:rPr>
          <w:rFonts w:ascii="Times" w:hAnsi="Times"/>
        </w:rPr>
        <w:t xml:space="preserve"> overwhelmingly</w:t>
      </w:r>
      <w:r w:rsidR="00EA6F7D">
        <w:rPr>
          <w:rFonts w:ascii="Times" w:hAnsi="Times"/>
        </w:rPr>
        <w:t xml:space="preserve"> showed </w:t>
      </w:r>
      <w:r w:rsidR="00E55B8F" w:rsidRPr="00B853DA">
        <w:rPr>
          <w:rFonts w:ascii="Times" w:hAnsi="Times"/>
        </w:rPr>
        <w:t>that “black families [were] being located on poorer, older, least desirable estates.”</w:t>
      </w:r>
      <w:r w:rsidR="00F76E48">
        <w:rPr>
          <w:rStyle w:val="EndnoteReference"/>
          <w:rFonts w:ascii="Times" w:hAnsi="Times"/>
        </w:rPr>
        <w:endnoteReference w:id="14"/>
      </w:r>
      <w:r w:rsidR="00E55B8F" w:rsidRPr="00B853DA">
        <w:rPr>
          <w:rFonts w:ascii="Times" w:hAnsi="Times"/>
        </w:rPr>
        <w:t xml:space="preserve"> </w:t>
      </w:r>
    </w:p>
    <w:p w14:paraId="3CCA55E5" w14:textId="77777777" w:rsidR="00CA2EE6" w:rsidRDefault="00CA2EE6" w:rsidP="00063B9B">
      <w:pPr>
        <w:jc w:val="both"/>
        <w:rPr>
          <w:rFonts w:ascii="Times" w:hAnsi="Times"/>
        </w:rPr>
      </w:pPr>
    </w:p>
    <w:p w14:paraId="4F962D11" w14:textId="10FBFB22" w:rsidR="004A7826" w:rsidRDefault="009B4171" w:rsidP="00063B9B">
      <w:pPr>
        <w:jc w:val="both"/>
        <w:rPr>
          <w:rFonts w:ascii="Times" w:hAnsi="Times"/>
        </w:rPr>
      </w:pPr>
      <w:r>
        <w:rPr>
          <w:rFonts w:ascii="Times" w:hAnsi="Times"/>
        </w:rPr>
        <w:t>The most significant finding of</w:t>
      </w:r>
      <w:r w:rsidR="00CA2EE6">
        <w:rPr>
          <w:rFonts w:ascii="Times" w:hAnsi="Times"/>
        </w:rPr>
        <w:t xml:space="preserve"> many of these studies</w:t>
      </w:r>
      <w:r>
        <w:rPr>
          <w:rFonts w:ascii="Times" w:hAnsi="Times"/>
        </w:rPr>
        <w:t xml:space="preserve"> was that while white applicants </w:t>
      </w:r>
      <w:r w:rsidR="007955B6">
        <w:rPr>
          <w:rFonts w:ascii="Times" w:hAnsi="Times"/>
        </w:rPr>
        <w:t>were</w:t>
      </w:r>
      <w:r>
        <w:rPr>
          <w:rFonts w:ascii="Times" w:hAnsi="Times"/>
        </w:rPr>
        <w:t xml:space="preserve"> allocated houses, people of colour tended to be allocated flats in high density estates. </w:t>
      </w:r>
      <w:r w:rsidR="00C97F39" w:rsidRPr="00B853DA">
        <w:rPr>
          <w:rFonts w:ascii="Times" w:hAnsi="Times"/>
        </w:rPr>
        <w:t xml:space="preserve">In an investigation into housing practices in the East London borough of Hackney, the Commission </w:t>
      </w:r>
      <w:r w:rsidR="00C97F39">
        <w:rPr>
          <w:rFonts w:ascii="Times" w:hAnsi="Times"/>
        </w:rPr>
        <w:t xml:space="preserve">for Racial Equality found that </w:t>
      </w:r>
      <w:r w:rsidR="00C97F39" w:rsidRPr="00B853DA">
        <w:rPr>
          <w:rFonts w:ascii="Times" w:hAnsi="Times"/>
        </w:rPr>
        <w:t xml:space="preserve">77 percent of </w:t>
      </w:r>
      <w:r w:rsidR="00C97F39">
        <w:rPr>
          <w:rFonts w:ascii="Times" w:hAnsi="Times"/>
        </w:rPr>
        <w:t>non-white</w:t>
      </w:r>
      <w:r w:rsidR="00C97F39" w:rsidRPr="00B853DA">
        <w:rPr>
          <w:rFonts w:ascii="Times" w:hAnsi="Times"/>
        </w:rPr>
        <w:t xml:space="preserve"> tenants were living in </w:t>
      </w:r>
      <w:r>
        <w:rPr>
          <w:rFonts w:ascii="Times" w:hAnsi="Times"/>
        </w:rPr>
        <w:t xml:space="preserve">flats </w:t>
      </w:r>
      <w:r w:rsidR="008849AC">
        <w:rPr>
          <w:rFonts w:ascii="Times" w:hAnsi="Times"/>
        </w:rPr>
        <w:t xml:space="preserve">on </w:t>
      </w:r>
      <w:r w:rsidR="00C97F39" w:rsidRPr="00B853DA">
        <w:rPr>
          <w:rFonts w:ascii="Times" w:hAnsi="Times"/>
        </w:rPr>
        <w:t>high density estates in London compared with 56 percent of the total population.</w:t>
      </w:r>
      <w:r w:rsidR="00C97F39">
        <w:rPr>
          <w:rStyle w:val="EndnoteReference"/>
          <w:rFonts w:ascii="Times" w:hAnsi="Times"/>
        </w:rPr>
        <w:endnoteReference w:id="15"/>
      </w:r>
      <w:r w:rsidR="00C97F39">
        <w:rPr>
          <w:rFonts w:ascii="Times" w:hAnsi="Times"/>
        </w:rPr>
        <w:t xml:space="preserve"> In the late 1970s</w:t>
      </w:r>
      <w:r w:rsidR="008849AC">
        <w:rPr>
          <w:rFonts w:ascii="Times" w:hAnsi="Times"/>
        </w:rPr>
        <w:t>,</w:t>
      </w:r>
      <w:r w:rsidR="00C97F39">
        <w:rPr>
          <w:rFonts w:ascii="Times" w:hAnsi="Times"/>
        </w:rPr>
        <w:t xml:space="preserve"> Nottingham’s Community Relations Council found that Caribbean migrants and their descendants were twice as likely to be housed in flats on high density estates when compared with white applicants.</w:t>
      </w:r>
      <w:r w:rsidR="00C97F39">
        <w:rPr>
          <w:rStyle w:val="EndnoteReference"/>
          <w:rFonts w:ascii="Times" w:hAnsi="Times"/>
        </w:rPr>
        <w:endnoteReference w:id="16"/>
      </w:r>
      <w:r w:rsidR="00C97F39">
        <w:rPr>
          <w:rFonts w:ascii="Times" w:hAnsi="Times"/>
        </w:rPr>
        <w:t xml:space="preserve"> These trends continued into the 1980s. The 1986-9</w:t>
      </w:r>
      <w:r w:rsidR="00EB7531">
        <w:rPr>
          <w:rFonts w:ascii="Times" w:hAnsi="Times"/>
        </w:rPr>
        <w:t xml:space="preserve"> general housing survey</w:t>
      </w:r>
      <w:r w:rsidR="00D24BDD">
        <w:rPr>
          <w:rFonts w:ascii="Times" w:hAnsi="Times"/>
        </w:rPr>
        <w:t xml:space="preserve"> of council tenants</w:t>
      </w:r>
      <w:r w:rsidR="00EB7531">
        <w:rPr>
          <w:rFonts w:ascii="Times" w:hAnsi="Times"/>
        </w:rPr>
        <w:t xml:space="preserve"> found that </w:t>
      </w:r>
      <w:r w:rsidR="009571EF">
        <w:rPr>
          <w:rFonts w:ascii="Times" w:hAnsi="Times"/>
        </w:rPr>
        <w:t>47</w:t>
      </w:r>
      <w:r w:rsidR="00D24BDD">
        <w:rPr>
          <w:rFonts w:ascii="Times" w:hAnsi="Times"/>
        </w:rPr>
        <w:t>.8</w:t>
      </w:r>
      <w:r w:rsidR="009571EF">
        <w:rPr>
          <w:rFonts w:ascii="Times" w:hAnsi="Times"/>
        </w:rPr>
        <w:t xml:space="preserve"> percent of Britons of Caribbean dissent were living in </w:t>
      </w:r>
      <w:r w:rsidR="00D24BDD">
        <w:rPr>
          <w:rFonts w:ascii="Times" w:hAnsi="Times"/>
        </w:rPr>
        <w:t xml:space="preserve">flats in medium rise estates and 21.1 percent were living in high tower blocks (compared with 33.1 percent and 6.8 percent of whites respectively). </w:t>
      </w:r>
      <w:r w:rsidR="004A7826">
        <w:rPr>
          <w:rFonts w:ascii="Times" w:hAnsi="Times"/>
        </w:rPr>
        <w:t xml:space="preserve">Conversely, while </w:t>
      </w:r>
      <w:r w:rsidR="006D2F5D">
        <w:rPr>
          <w:rFonts w:ascii="Times" w:hAnsi="Times"/>
        </w:rPr>
        <w:t>25.4 of white Britons were allocated low-rise semi-detached houses, the comparable figure for Caribbean migrants was just 8.7 percent.</w:t>
      </w:r>
      <w:r w:rsidR="00F76E48">
        <w:rPr>
          <w:rStyle w:val="EndnoteReference"/>
          <w:rFonts w:ascii="Times" w:hAnsi="Times"/>
        </w:rPr>
        <w:endnoteReference w:id="17"/>
      </w:r>
      <w:r w:rsidR="006D2F5D">
        <w:rPr>
          <w:rFonts w:ascii="Times" w:hAnsi="Times"/>
        </w:rPr>
        <w:t xml:space="preserve"> </w:t>
      </w:r>
      <w:r w:rsidR="00FE1A52">
        <w:rPr>
          <w:rFonts w:ascii="Times" w:hAnsi="Times"/>
        </w:rPr>
        <w:t xml:space="preserve">Britain’s colour line even ran through the stairwells of tower blocks, with black Britons tending to be allocated the least desirable flats on the very bottom or the very top floors. </w:t>
      </w:r>
    </w:p>
    <w:p w14:paraId="1397AEA5" w14:textId="77777777" w:rsidR="003F37FB" w:rsidRDefault="003F37FB" w:rsidP="00063B9B">
      <w:pPr>
        <w:jc w:val="both"/>
        <w:rPr>
          <w:rFonts w:ascii="Times" w:hAnsi="Times"/>
        </w:rPr>
      </w:pPr>
    </w:p>
    <w:p w14:paraId="578F606E" w14:textId="37B50B31" w:rsidR="00063B9B" w:rsidRPr="00063B9B" w:rsidRDefault="004A7826" w:rsidP="00063B9B">
      <w:pPr>
        <w:jc w:val="both"/>
        <w:rPr>
          <w:rFonts w:ascii="Times" w:hAnsi="Times"/>
        </w:rPr>
      </w:pPr>
      <w:r>
        <w:rPr>
          <w:rFonts w:ascii="Times" w:hAnsi="Times"/>
        </w:rPr>
        <w:t>Meanwhile</w:t>
      </w:r>
      <w:r w:rsidR="00007164">
        <w:rPr>
          <w:rFonts w:ascii="Times" w:hAnsi="Times"/>
        </w:rPr>
        <w:t>, a new housing act in 1977 c</w:t>
      </w:r>
      <w:r w:rsidR="00007164" w:rsidRPr="00063B9B">
        <w:rPr>
          <w:rFonts w:ascii="Times" w:hAnsi="Times"/>
        </w:rPr>
        <w:t>ompelled local authorities to house groups that had previously been deemed too young, too old or too ill for council housing. These measures meant that by the late 1970s and 1980s council housing was increasingly being allocated on the basis of need, rather than the length of time spent on waiting lists. The result of this has been an intensification of the “residualization” of Britain’s remaining council estates, a term used to describe the process by which council housing became an option of last resort, housing only those deemed to be in precarious living situations.</w:t>
      </w:r>
      <w:r w:rsidR="00F76E48">
        <w:rPr>
          <w:rStyle w:val="EndnoteReference"/>
          <w:rFonts w:ascii="Times" w:hAnsi="Times"/>
        </w:rPr>
        <w:endnoteReference w:id="18"/>
      </w:r>
      <w:r w:rsidR="00007164">
        <w:rPr>
          <w:rFonts w:ascii="Times" w:hAnsi="Times"/>
        </w:rPr>
        <w:t xml:space="preserve"> Just as access to council housing began to improve, many council estates were being redefined as</w:t>
      </w:r>
      <w:r w:rsidR="00EA6F7D">
        <w:rPr>
          <w:rFonts w:ascii="Times" w:hAnsi="Times"/>
        </w:rPr>
        <w:t xml:space="preserve"> a safety net for the homeless</w:t>
      </w:r>
      <w:r w:rsidR="00063B9B" w:rsidRPr="00063B9B">
        <w:rPr>
          <w:rFonts w:ascii="Times" w:hAnsi="Times"/>
        </w:rPr>
        <w:t xml:space="preserve"> rather than a long-term option for a significant portion of the population.</w:t>
      </w:r>
    </w:p>
    <w:p w14:paraId="0D7810C1" w14:textId="77777777" w:rsidR="00EF431E" w:rsidRPr="00B853DA" w:rsidRDefault="00EF431E" w:rsidP="00B853DA">
      <w:pPr>
        <w:jc w:val="both"/>
        <w:rPr>
          <w:rFonts w:ascii="Times" w:hAnsi="Times"/>
        </w:rPr>
      </w:pPr>
    </w:p>
    <w:p w14:paraId="52278218" w14:textId="481E4141" w:rsidR="00EF431E" w:rsidRPr="00B853DA" w:rsidRDefault="00007164" w:rsidP="00B853DA">
      <w:pPr>
        <w:jc w:val="both"/>
        <w:rPr>
          <w:rFonts w:ascii="Times" w:hAnsi="Times"/>
        </w:rPr>
      </w:pPr>
      <w:r>
        <w:rPr>
          <w:rFonts w:ascii="Times" w:hAnsi="Times"/>
        </w:rPr>
        <w:t>For all of these reasons, p</w:t>
      </w:r>
      <w:r w:rsidR="00EF431E" w:rsidRPr="00B853DA">
        <w:rPr>
          <w:rFonts w:ascii="Times" w:hAnsi="Times"/>
        </w:rPr>
        <w:t>eople o</w:t>
      </w:r>
      <w:r w:rsidR="005047EE" w:rsidRPr="00B853DA">
        <w:rPr>
          <w:rFonts w:ascii="Times" w:hAnsi="Times"/>
        </w:rPr>
        <w:t xml:space="preserve">f colour </w:t>
      </w:r>
      <w:r w:rsidR="00EA6F7D">
        <w:rPr>
          <w:rFonts w:ascii="Times" w:hAnsi="Times"/>
        </w:rPr>
        <w:t>held a subordinate place within</w:t>
      </w:r>
      <w:r w:rsidR="00EF431E" w:rsidRPr="00B853DA">
        <w:rPr>
          <w:rFonts w:ascii="Times" w:hAnsi="Times"/>
        </w:rPr>
        <w:t xml:space="preserve"> </w:t>
      </w:r>
      <w:r w:rsidR="005B0C11" w:rsidRPr="00B853DA">
        <w:rPr>
          <w:rFonts w:ascii="Times" w:hAnsi="Times"/>
        </w:rPr>
        <w:t xml:space="preserve">postwar public housing. </w:t>
      </w:r>
      <w:r w:rsidR="00A86A77">
        <w:rPr>
          <w:rFonts w:ascii="Times" w:hAnsi="Times"/>
        </w:rPr>
        <w:t>It is for this reason that the sociologist and activist Sidney Jacobs, writing in 1985, referred to council housing as “the British road to apartheid.”</w:t>
      </w:r>
      <w:r w:rsidR="00A86A77">
        <w:rPr>
          <w:rStyle w:val="EndnoteReference"/>
          <w:rFonts w:ascii="Times" w:hAnsi="Times"/>
        </w:rPr>
        <w:endnoteReference w:id="19"/>
      </w:r>
      <w:r w:rsidR="00A86A77">
        <w:rPr>
          <w:rFonts w:ascii="Times" w:hAnsi="Times"/>
        </w:rPr>
        <w:t xml:space="preserve"> </w:t>
      </w:r>
      <w:r w:rsidR="005B0C11" w:rsidRPr="00B853DA">
        <w:rPr>
          <w:rFonts w:ascii="Times" w:hAnsi="Times"/>
        </w:rPr>
        <w:t xml:space="preserve">While council housing modernised the lives of millions of white former slum dwellers, </w:t>
      </w:r>
      <w:r w:rsidR="00EA6F7D">
        <w:rPr>
          <w:rFonts w:ascii="Times" w:hAnsi="Times"/>
        </w:rPr>
        <w:t xml:space="preserve">many </w:t>
      </w:r>
      <w:r w:rsidR="005B0C11" w:rsidRPr="00B853DA">
        <w:rPr>
          <w:rFonts w:ascii="Times" w:hAnsi="Times"/>
        </w:rPr>
        <w:t xml:space="preserve">migrants to Britain </w:t>
      </w:r>
      <w:r w:rsidR="004B3B01" w:rsidRPr="00B853DA">
        <w:rPr>
          <w:rFonts w:ascii="Times" w:hAnsi="Times"/>
        </w:rPr>
        <w:t xml:space="preserve">were either excluded from council housing entirely or </w:t>
      </w:r>
      <w:r w:rsidR="00900A00">
        <w:rPr>
          <w:rFonts w:ascii="Times" w:hAnsi="Times"/>
        </w:rPr>
        <w:t>concentrated on urban high-density estates</w:t>
      </w:r>
      <w:r w:rsidR="004B3B01" w:rsidRPr="00B853DA">
        <w:rPr>
          <w:rFonts w:ascii="Times" w:hAnsi="Times"/>
        </w:rPr>
        <w:t xml:space="preserve">. </w:t>
      </w:r>
      <w:r w:rsidR="00992D70" w:rsidRPr="00B853DA">
        <w:rPr>
          <w:rFonts w:ascii="Times" w:hAnsi="Times"/>
        </w:rPr>
        <w:t>That this was the case</w:t>
      </w:r>
      <w:r w:rsidR="00E254E4" w:rsidRPr="00B853DA">
        <w:rPr>
          <w:rFonts w:ascii="Times" w:hAnsi="Times"/>
        </w:rPr>
        <w:t xml:space="preserve"> is not, in itself, sufficient to argue to argue that Britain saw something comparable to the US experience of “redlining.” Unlike in the United States, the differential treatment of white people and people of colour within Britain’s public housing system had no immediate </w:t>
      </w:r>
      <w:r w:rsidR="00FF6000" w:rsidRPr="00B853DA">
        <w:rPr>
          <w:rFonts w:ascii="Times" w:hAnsi="Times"/>
        </w:rPr>
        <w:t xml:space="preserve">effect on their ability to accumulate capital. </w:t>
      </w:r>
      <w:r w:rsidR="00305A2C" w:rsidRPr="00B853DA">
        <w:rPr>
          <w:rFonts w:ascii="Times" w:hAnsi="Times"/>
        </w:rPr>
        <w:t>What happened next,</w:t>
      </w:r>
      <w:r w:rsidR="00FF6000" w:rsidRPr="00B853DA">
        <w:rPr>
          <w:rFonts w:ascii="Times" w:hAnsi="Times"/>
        </w:rPr>
        <w:t xml:space="preserve"> however, changed all of that.  </w:t>
      </w:r>
    </w:p>
    <w:p w14:paraId="592ADBE8" w14:textId="77777777" w:rsidR="004B3B01" w:rsidRPr="00B853DA" w:rsidRDefault="004B3B01" w:rsidP="00B853DA">
      <w:pPr>
        <w:jc w:val="both"/>
        <w:rPr>
          <w:rFonts w:ascii="Times" w:hAnsi="Times"/>
        </w:rPr>
      </w:pPr>
    </w:p>
    <w:p w14:paraId="17FE91BF" w14:textId="5E4D2EE5" w:rsidR="004B3B01" w:rsidRPr="00B853DA" w:rsidRDefault="004B3B01" w:rsidP="00B853DA">
      <w:pPr>
        <w:jc w:val="both"/>
        <w:rPr>
          <w:rFonts w:ascii="Times" w:hAnsi="Times"/>
          <w:b/>
        </w:rPr>
      </w:pPr>
      <w:r w:rsidRPr="00B853DA">
        <w:rPr>
          <w:rFonts w:ascii="Times" w:hAnsi="Times"/>
          <w:b/>
        </w:rPr>
        <w:t xml:space="preserve">The Limits of </w:t>
      </w:r>
      <w:r w:rsidR="00690339" w:rsidRPr="00B853DA">
        <w:rPr>
          <w:rFonts w:ascii="Times" w:hAnsi="Times"/>
          <w:b/>
        </w:rPr>
        <w:t>the “Right to Buy”</w:t>
      </w:r>
    </w:p>
    <w:p w14:paraId="60315ACB" w14:textId="1F7F7A21" w:rsidR="001F3FB9" w:rsidRPr="00B853DA" w:rsidRDefault="001F3FB9" w:rsidP="00B853DA">
      <w:pPr>
        <w:jc w:val="both"/>
        <w:rPr>
          <w:rFonts w:ascii="Times" w:hAnsi="Times"/>
        </w:rPr>
      </w:pPr>
    </w:p>
    <w:p w14:paraId="1AD1540D" w14:textId="20380725" w:rsidR="00B853DA" w:rsidRDefault="00690339" w:rsidP="00B853DA">
      <w:pPr>
        <w:jc w:val="both"/>
        <w:rPr>
          <w:rFonts w:ascii="Times" w:hAnsi="Times"/>
        </w:rPr>
      </w:pPr>
      <w:r w:rsidRPr="00B853DA">
        <w:rPr>
          <w:rFonts w:ascii="Times" w:hAnsi="Times"/>
        </w:rPr>
        <w:t>In her first full year as Prime Minister</w:t>
      </w:r>
      <w:r w:rsidR="00777223">
        <w:rPr>
          <w:rFonts w:ascii="Times" w:hAnsi="Times"/>
        </w:rPr>
        <w:t>,</w:t>
      </w:r>
      <w:r w:rsidRPr="00B853DA">
        <w:rPr>
          <w:rFonts w:ascii="Times" w:hAnsi="Times"/>
        </w:rPr>
        <w:t xml:space="preserve"> Margaret Thatcher’s government passed the 1980 Housing Act, arguably her most famous and consequential piece of legislation. </w:t>
      </w:r>
      <w:r w:rsidR="00FF6000" w:rsidRPr="00B853DA">
        <w:rPr>
          <w:rFonts w:ascii="Times" w:hAnsi="Times"/>
        </w:rPr>
        <w:t xml:space="preserve">The act </w:t>
      </w:r>
      <w:r w:rsidR="00B853DA" w:rsidRPr="00B853DA">
        <w:rPr>
          <w:rFonts w:ascii="Times" w:hAnsi="Times"/>
        </w:rPr>
        <w:t xml:space="preserve">gave every possible incentive for those in council houses to buy their home from the state. Those who had been tenants for more than three years were given a 33 percent discount on their home’s market rate, a discount that rose to a maximum of 50 percent (increasing to 70 percent in some cases after 1986). </w:t>
      </w:r>
      <w:r w:rsidR="00356013">
        <w:rPr>
          <w:rFonts w:ascii="Times" w:hAnsi="Times"/>
        </w:rPr>
        <w:t xml:space="preserve">It was an extraordinary success, initiating </w:t>
      </w:r>
      <w:r w:rsidR="000B3770">
        <w:rPr>
          <w:rFonts w:ascii="Times" w:hAnsi="Times"/>
        </w:rPr>
        <w:t>1.3 million sales in its first ten years</w:t>
      </w:r>
      <w:r w:rsidR="00356013">
        <w:rPr>
          <w:rFonts w:ascii="Times" w:hAnsi="Times"/>
        </w:rPr>
        <w:t xml:space="preserve"> and forever changing the ownership structure of Britain’s housing stock. </w:t>
      </w:r>
    </w:p>
    <w:p w14:paraId="62163070" w14:textId="77777777" w:rsidR="00B853DA" w:rsidRDefault="00B853DA" w:rsidP="00B853DA">
      <w:pPr>
        <w:jc w:val="both"/>
        <w:rPr>
          <w:rFonts w:ascii="Times" w:hAnsi="Times"/>
        </w:rPr>
      </w:pPr>
    </w:p>
    <w:p w14:paraId="084D2783" w14:textId="11A8F23E" w:rsidR="00B853DA" w:rsidRDefault="00B853DA" w:rsidP="00B853DA">
      <w:pPr>
        <w:jc w:val="both"/>
        <w:rPr>
          <w:rFonts w:ascii="Times" w:hAnsi="Times"/>
        </w:rPr>
      </w:pPr>
      <w:r>
        <w:rPr>
          <w:rFonts w:ascii="Times" w:hAnsi="Times"/>
        </w:rPr>
        <w:t>Although the “right to buy” is most commonly associat</w:t>
      </w:r>
      <w:r w:rsidR="006637F1">
        <w:rPr>
          <w:rFonts w:ascii="Times" w:hAnsi="Times"/>
        </w:rPr>
        <w:t>ed with low rise council houses</w:t>
      </w:r>
      <w:r>
        <w:rPr>
          <w:rFonts w:ascii="Times" w:hAnsi="Times"/>
        </w:rPr>
        <w:t xml:space="preserve"> in the kinds of estates that fuse seamlessly into the rest of Britain’s built environment, the same advantages were offered to those living in large tower blocks or older multi-storey estates, the kinds of spaces </w:t>
      </w:r>
      <w:r w:rsidR="00356013">
        <w:rPr>
          <w:rFonts w:ascii="Times" w:hAnsi="Times"/>
        </w:rPr>
        <w:t xml:space="preserve">that people of colour were more likely to have been housed in. Here, </w:t>
      </w:r>
      <w:r w:rsidR="00464534">
        <w:rPr>
          <w:rFonts w:ascii="Times" w:hAnsi="Times"/>
        </w:rPr>
        <w:t xml:space="preserve">however, </w:t>
      </w:r>
      <w:r w:rsidR="00356013">
        <w:rPr>
          <w:rFonts w:ascii="Times" w:hAnsi="Times"/>
        </w:rPr>
        <w:t xml:space="preserve">much to the frustration of the government, efforts at incentivizing residents to buy their homes (usually flats) were not nearly as successful. </w:t>
      </w:r>
      <w:r w:rsidR="003E25AB">
        <w:rPr>
          <w:rFonts w:ascii="Times" w:hAnsi="Times"/>
        </w:rPr>
        <w:t>By 1987, local authorities had sold 865,000 houses but only 49,000 flats. Flats comprised just over 5 percent of all sales, despite making up a third of all British public housing stock.</w:t>
      </w:r>
      <w:r w:rsidR="00F76E48">
        <w:rPr>
          <w:rStyle w:val="EndnoteReference"/>
          <w:rFonts w:ascii="Times" w:hAnsi="Times"/>
        </w:rPr>
        <w:endnoteReference w:id="20"/>
      </w:r>
      <w:r w:rsidR="003E25AB">
        <w:rPr>
          <w:rFonts w:ascii="Times" w:hAnsi="Times"/>
        </w:rPr>
        <w:t xml:space="preserve"> </w:t>
      </w:r>
      <w:r w:rsidR="00233C8E">
        <w:rPr>
          <w:rFonts w:ascii="Times" w:hAnsi="Times"/>
        </w:rPr>
        <w:t>Furthermore, most flat sales were concentrated in a handful of London boroughs. By 1985, Birmingham City Council had sold just 314 of its 55,372 flats.</w:t>
      </w:r>
      <w:r w:rsidR="00233C8E">
        <w:rPr>
          <w:rStyle w:val="EndnoteReference"/>
          <w:rFonts w:ascii="Times" w:hAnsi="Times"/>
        </w:rPr>
        <w:endnoteReference w:id="21"/>
      </w:r>
      <w:r w:rsidR="00233C8E">
        <w:rPr>
          <w:rFonts w:ascii="Times" w:hAnsi="Times"/>
        </w:rPr>
        <w:t xml:space="preserve"> </w:t>
      </w:r>
    </w:p>
    <w:p w14:paraId="3D5F9277" w14:textId="77777777" w:rsidR="00356013" w:rsidRDefault="00356013" w:rsidP="00B853DA">
      <w:pPr>
        <w:jc w:val="both"/>
        <w:rPr>
          <w:rFonts w:ascii="Times" w:hAnsi="Times"/>
        </w:rPr>
      </w:pPr>
    </w:p>
    <w:p w14:paraId="3BE3527B" w14:textId="2ABF9B70" w:rsidR="006224F5" w:rsidRDefault="00356013" w:rsidP="00B853DA">
      <w:pPr>
        <w:jc w:val="both"/>
        <w:rPr>
          <w:rFonts w:ascii="Times" w:hAnsi="Times"/>
        </w:rPr>
      </w:pPr>
      <w:r>
        <w:rPr>
          <w:rFonts w:ascii="Times" w:hAnsi="Times"/>
        </w:rPr>
        <w:t xml:space="preserve">There were a number of reasons </w:t>
      </w:r>
      <w:r w:rsidR="003E25AB">
        <w:rPr>
          <w:rFonts w:ascii="Times" w:hAnsi="Times"/>
        </w:rPr>
        <w:t>for this</w:t>
      </w:r>
      <w:r w:rsidR="007F1313">
        <w:rPr>
          <w:rFonts w:ascii="Times" w:hAnsi="Times"/>
        </w:rPr>
        <w:t xml:space="preserve">. </w:t>
      </w:r>
      <w:r w:rsidR="006224F5">
        <w:rPr>
          <w:rFonts w:ascii="Times" w:hAnsi="Times"/>
        </w:rPr>
        <w:t>The sale of individual flats on council-owned estates raised a number of technical problems and disputes over maintenance and governance. In a corridor where half the flats were owned by residents and half still owned by the Council</w:t>
      </w:r>
      <w:r w:rsidR="006637F1">
        <w:rPr>
          <w:rFonts w:ascii="Times" w:hAnsi="Times"/>
        </w:rPr>
        <w:t>, who would be</w:t>
      </w:r>
      <w:r w:rsidR="006224F5">
        <w:rPr>
          <w:rFonts w:ascii="Times" w:hAnsi="Times"/>
        </w:rPr>
        <w:t xml:space="preserve"> responsible for cleaning windows, changing communal lightbulbs and fulfilling maintenance requests? Could a new owner secede from their building’s collectively managed heat</w:t>
      </w:r>
      <w:r w:rsidR="006637F1">
        <w:rPr>
          <w:rFonts w:ascii="Times" w:hAnsi="Times"/>
        </w:rPr>
        <w:t>ing</w:t>
      </w:r>
      <w:r w:rsidR="006224F5">
        <w:rPr>
          <w:rFonts w:ascii="Times" w:hAnsi="Times"/>
        </w:rPr>
        <w:t xml:space="preserve"> system</w:t>
      </w:r>
      <w:r w:rsidR="006637F1">
        <w:rPr>
          <w:rFonts w:ascii="Times" w:hAnsi="Times"/>
        </w:rPr>
        <w:t xml:space="preserve"> </w:t>
      </w:r>
      <w:r w:rsidR="006224F5">
        <w:rPr>
          <w:rFonts w:ascii="Times" w:hAnsi="Times"/>
        </w:rPr>
        <w:t xml:space="preserve">and install their own boilers? Service charges were also an issue. Would a theoretical private owner of a council flat continue to pay service charges to fund lift maintenance, for example, in an </w:t>
      </w:r>
      <w:r w:rsidR="00345B71">
        <w:rPr>
          <w:rFonts w:ascii="Times" w:hAnsi="Times"/>
        </w:rPr>
        <w:t>adjacent tower block? L</w:t>
      </w:r>
      <w:r w:rsidR="006224F5">
        <w:rPr>
          <w:rFonts w:ascii="Times" w:hAnsi="Times"/>
        </w:rPr>
        <w:t xml:space="preserve">awyers </w:t>
      </w:r>
      <w:r w:rsidR="00345B71">
        <w:rPr>
          <w:rFonts w:ascii="Times" w:hAnsi="Times"/>
        </w:rPr>
        <w:t>were</w:t>
      </w:r>
      <w:r w:rsidR="006224F5">
        <w:rPr>
          <w:rFonts w:ascii="Times" w:hAnsi="Times"/>
        </w:rPr>
        <w:t xml:space="preserve"> hired to puzzle through these questions and even in Conservative boroughs such as Wandsworth, who were zealous advocates for the “</w:t>
      </w:r>
      <w:r w:rsidR="00A45DBF">
        <w:rPr>
          <w:rFonts w:ascii="Times" w:hAnsi="Times"/>
        </w:rPr>
        <w:t>r</w:t>
      </w:r>
      <w:r w:rsidR="006224F5">
        <w:rPr>
          <w:rFonts w:ascii="Times" w:hAnsi="Times"/>
        </w:rPr>
        <w:t>ig</w:t>
      </w:r>
      <w:r w:rsidR="00A45DBF">
        <w:rPr>
          <w:rFonts w:ascii="Times" w:hAnsi="Times"/>
        </w:rPr>
        <w:t>ht to b</w:t>
      </w:r>
      <w:r w:rsidR="006224F5">
        <w:rPr>
          <w:rFonts w:ascii="Times" w:hAnsi="Times"/>
        </w:rPr>
        <w:t>uy”, sales proceeded slowly and the borough was forced to continue cleaning, maintaini</w:t>
      </w:r>
      <w:r w:rsidR="003E25AB">
        <w:rPr>
          <w:rFonts w:ascii="Times" w:hAnsi="Times"/>
        </w:rPr>
        <w:t>ng and heating most of its high-</w:t>
      </w:r>
      <w:r w:rsidR="006224F5">
        <w:rPr>
          <w:rFonts w:ascii="Times" w:hAnsi="Times"/>
        </w:rPr>
        <w:t xml:space="preserve">density housing stock. </w:t>
      </w:r>
    </w:p>
    <w:p w14:paraId="6383F9EE" w14:textId="77777777" w:rsidR="007F1313" w:rsidRDefault="007F1313" w:rsidP="00B853DA">
      <w:pPr>
        <w:jc w:val="both"/>
        <w:rPr>
          <w:rFonts w:ascii="Times" w:hAnsi="Times"/>
        </w:rPr>
      </w:pPr>
    </w:p>
    <w:p w14:paraId="4655B5C3" w14:textId="4D116244" w:rsidR="003E25AB" w:rsidRDefault="00836B4B" w:rsidP="00B853DA">
      <w:pPr>
        <w:jc w:val="both"/>
        <w:rPr>
          <w:rFonts w:ascii="Times" w:hAnsi="Times"/>
        </w:rPr>
      </w:pPr>
      <w:r>
        <w:rPr>
          <w:rFonts w:ascii="Times" w:hAnsi="Times"/>
        </w:rPr>
        <w:t>Partly</w:t>
      </w:r>
      <w:r w:rsidR="006637F1">
        <w:rPr>
          <w:rFonts w:ascii="Times" w:hAnsi="Times"/>
        </w:rPr>
        <w:t xml:space="preserve"> as a result of these </w:t>
      </w:r>
      <w:r>
        <w:rPr>
          <w:rFonts w:ascii="Times" w:hAnsi="Times"/>
        </w:rPr>
        <w:t>p</w:t>
      </w:r>
      <w:r w:rsidR="00B67E6D">
        <w:rPr>
          <w:rFonts w:ascii="Times" w:hAnsi="Times"/>
        </w:rPr>
        <w:t xml:space="preserve">roblems, flats were deemed too risky for many mortgage providers. </w:t>
      </w:r>
      <w:r w:rsidR="00ED02A7">
        <w:rPr>
          <w:rFonts w:ascii="Times" w:hAnsi="Times"/>
        </w:rPr>
        <w:t>By 1982</w:t>
      </w:r>
      <w:r w:rsidR="00A45DBF">
        <w:rPr>
          <w:rFonts w:ascii="Times" w:hAnsi="Times"/>
        </w:rPr>
        <w:t>,</w:t>
      </w:r>
      <w:r w:rsidR="00ED02A7">
        <w:rPr>
          <w:rFonts w:ascii="Times" w:hAnsi="Times"/>
        </w:rPr>
        <w:t xml:space="preserve"> there were reports that building societies were refusing, on principle, to lend to those in tower blocks where council tenants also lived. Building societies such as Halifax, when pressured by the government, cited the difficulty of maintaining, managing and policing communal areas as grounds for their refusal. Halifax’s report to the government claimed: “as a home-owner the occupier becomes master of his own environment whereas a flat owner is dependent on outside factors.”</w:t>
      </w:r>
      <w:r w:rsidR="00F76E48">
        <w:rPr>
          <w:rStyle w:val="EndnoteReference"/>
          <w:rFonts w:ascii="Times" w:hAnsi="Times"/>
        </w:rPr>
        <w:endnoteReference w:id="22"/>
      </w:r>
      <w:r w:rsidR="00ED02A7">
        <w:rPr>
          <w:rFonts w:ascii="Times" w:hAnsi="Times"/>
        </w:rPr>
        <w:t xml:space="preserve"> Problems persisted when the first generation of successful </w:t>
      </w:r>
      <w:r w:rsidR="006637F1">
        <w:rPr>
          <w:rFonts w:ascii="Times" w:hAnsi="Times"/>
        </w:rPr>
        <w:t>“</w:t>
      </w:r>
      <w:r w:rsidR="00A45DBF">
        <w:rPr>
          <w:rFonts w:ascii="Times" w:hAnsi="Times"/>
        </w:rPr>
        <w:t>right to b</w:t>
      </w:r>
      <w:r w:rsidR="00ED02A7">
        <w:rPr>
          <w:rFonts w:ascii="Times" w:hAnsi="Times"/>
        </w:rPr>
        <w:t>uy</w:t>
      </w:r>
      <w:r w:rsidR="006637F1">
        <w:rPr>
          <w:rFonts w:ascii="Times" w:hAnsi="Times"/>
        </w:rPr>
        <w:t>”</w:t>
      </w:r>
      <w:r w:rsidR="00ED02A7">
        <w:rPr>
          <w:rFonts w:ascii="Times" w:hAnsi="Times"/>
        </w:rPr>
        <w:t xml:space="preserve"> flat owners tried to sell their homes. By the early 1990s</w:t>
      </w:r>
      <w:r w:rsidR="007952AC">
        <w:rPr>
          <w:rFonts w:ascii="Times" w:hAnsi="Times"/>
        </w:rPr>
        <w:t>,</w:t>
      </w:r>
      <w:r w:rsidR="00ED02A7">
        <w:rPr>
          <w:rFonts w:ascii="Times" w:hAnsi="Times"/>
        </w:rPr>
        <w:t xml:space="preserve"> Chelsea Building Society were turning down any </w:t>
      </w:r>
      <w:r w:rsidR="007952AC">
        <w:rPr>
          <w:rFonts w:ascii="Times" w:hAnsi="Times"/>
        </w:rPr>
        <w:t xml:space="preserve">applications for loans from those living in buildings that were not more </w:t>
      </w:r>
      <w:r w:rsidR="006637F1">
        <w:rPr>
          <w:rFonts w:ascii="Times" w:hAnsi="Times"/>
        </w:rPr>
        <w:t>than 60 percent owner occupied.</w:t>
      </w:r>
      <w:r w:rsidR="008C6B53">
        <w:rPr>
          <w:rFonts w:ascii="Times" w:hAnsi="Times"/>
        </w:rPr>
        <w:t xml:space="preserve"> In 1992 a fleet of coaches full of people from across London who had bought their flats from local authorities only to be denied mortgages descended </w:t>
      </w:r>
      <w:r w:rsidR="00037448">
        <w:rPr>
          <w:rFonts w:ascii="Times" w:hAnsi="Times"/>
        </w:rPr>
        <w:t xml:space="preserve">on </w:t>
      </w:r>
      <w:r w:rsidR="008C6B53">
        <w:rPr>
          <w:rFonts w:ascii="Times" w:hAnsi="Times"/>
        </w:rPr>
        <w:t>Hammersmith Town Hall</w:t>
      </w:r>
      <w:r w:rsidR="00037448">
        <w:rPr>
          <w:rFonts w:ascii="Times" w:hAnsi="Times"/>
        </w:rPr>
        <w:t xml:space="preserve"> to protest</w:t>
      </w:r>
      <w:r w:rsidR="008C6B53">
        <w:rPr>
          <w:rFonts w:ascii="Times" w:hAnsi="Times"/>
        </w:rPr>
        <w:t xml:space="preserve">, with little success. The same year </w:t>
      </w:r>
      <w:r w:rsidR="007952AC">
        <w:rPr>
          <w:rFonts w:ascii="Times" w:hAnsi="Times"/>
        </w:rPr>
        <w:t>one</w:t>
      </w:r>
      <w:r w:rsidR="008C6B53">
        <w:rPr>
          <w:rFonts w:ascii="Times" w:hAnsi="Times"/>
        </w:rPr>
        <w:t xml:space="preserve"> frustrated</w:t>
      </w:r>
      <w:r w:rsidR="007952AC">
        <w:rPr>
          <w:rFonts w:ascii="Times" w:hAnsi="Times"/>
        </w:rPr>
        <w:t xml:space="preserve"> government official </w:t>
      </w:r>
      <w:r w:rsidR="006637F1">
        <w:rPr>
          <w:rFonts w:ascii="Times" w:hAnsi="Times"/>
        </w:rPr>
        <w:t>even accused banks of</w:t>
      </w:r>
      <w:r w:rsidR="007952AC">
        <w:rPr>
          <w:rFonts w:ascii="Times" w:hAnsi="Times"/>
        </w:rPr>
        <w:t xml:space="preserve"> “redlining” high density council estates.</w:t>
      </w:r>
      <w:r w:rsidR="00F76E48">
        <w:rPr>
          <w:rStyle w:val="EndnoteReference"/>
          <w:rFonts w:ascii="Times" w:hAnsi="Times"/>
        </w:rPr>
        <w:endnoteReference w:id="23"/>
      </w:r>
      <w:r w:rsidR="007952AC">
        <w:rPr>
          <w:rFonts w:ascii="Times" w:hAnsi="Times"/>
        </w:rPr>
        <w:t xml:space="preserve"> </w:t>
      </w:r>
    </w:p>
    <w:p w14:paraId="015FF222" w14:textId="77777777" w:rsidR="00B67E6D" w:rsidRDefault="00B67E6D" w:rsidP="00B853DA">
      <w:pPr>
        <w:jc w:val="both"/>
        <w:rPr>
          <w:rFonts w:ascii="Times" w:hAnsi="Times"/>
        </w:rPr>
      </w:pPr>
    </w:p>
    <w:p w14:paraId="66088E41" w14:textId="7C1F7F72" w:rsidR="005B23BE" w:rsidRDefault="00B67E6D" w:rsidP="00B853DA">
      <w:pPr>
        <w:jc w:val="both"/>
        <w:rPr>
          <w:rFonts w:ascii="Times" w:hAnsi="Times"/>
        </w:rPr>
      </w:pPr>
      <w:r>
        <w:rPr>
          <w:rFonts w:ascii="Times" w:hAnsi="Times"/>
        </w:rPr>
        <w:t>Despite the fact that housing loans from banks increased tenfold in the decade after 1978, a period which saw an increasing overlap between the roles of building societies an</w:t>
      </w:r>
      <w:r w:rsidR="00037448">
        <w:rPr>
          <w:rFonts w:ascii="Times" w:hAnsi="Times"/>
        </w:rPr>
        <w:t>d banks, many of those living in</w:t>
      </w:r>
      <w:r>
        <w:rPr>
          <w:rFonts w:ascii="Times" w:hAnsi="Times"/>
        </w:rPr>
        <w:t xml:space="preserve"> high density urban council estates did not have access to this new glut of capital. </w:t>
      </w:r>
      <w:r w:rsidR="00092596">
        <w:rPr>
          <w:rFonts w:ascii="Times" w:hAnsi="Times"/>
        </w:rPr>
        <w:t xml:space="preserve">Mortgage lenders </w:t>
      </w:r>
      <w:bookmarkStart w:id="0" w:name="_GoBack"/>
      <w:bookmarkEnd w:id="0"/>
      <w:r w:rsidR="005B23BE">
        <w:rPr>
          <w:rFonts w:ascii="Times" w:hAnsi="Times"/>
        </w:rPr>
        <w:t>were happy to provide loans to those buying apartments in ne</w:t>
      </w:r>
      <w:r w:rsidR="00037448">
        <w:rPr>
          <w:rFonts w:ascii="Times" w:hAnsi="Times"/>
        </w:rPr>
        <w:t xml:space="preserve">w luxury developments </w:t>
      </w:r>
      <w:r w:rsidR="005B23BE">
        <w:rPr>
          <w:rFonts w:ascii="Times" w:hAnsi="Times"/>
        </w:rPr>
        <w:t xml:space="preserve">being built in the 1980s in places like the former Docklands </w:t>
      </w:r>
      <w:r w:rsidR="00A53039">
        <w:rPr>
          <w:rFonts w:ascii="Times" w:hAnsi="Times"/>
        </w:rPr>
        <w:t xml:space="preserve">of London, </w:t>
      </w:r>
      <w:r w:rsidR="00037448">
        <w:rPr>
          <w:rFonts w:ascii="Times" w:hAnsi="Times"/>
        </w:rPr>
        <w:t xml:space="preserve">but </w:t>
      </w:r>
      <w:r w:rsidR="00A53039">
        <w:rPr>
          <w:rFonts w:ascii="Times" w:hAnsi="Times"/>
        </w:rPr>
        <w:t xml:space="preserve">were </w:t>
      </w:r>
      <w:r w:rsidR="00F00F6C">
        <w:rPr>
          <w:rFonts w:ascii="Times" w:hAnsi="Times"/>
        </w:rPr>
        <w:t>loath</w:t>
      </w:r>
      <w:r w:rsidR="00A53039">
        <w:rPr>
          <w:rFonts w:ascii="Times" w:hAnsi="Times"/>
        </w:rPr>
        <w:t xml:space="preserve"> to lend to those in local authority tower blocks. The kinds of spaces where people of colour </w:t>
      </w:r>
      <w:r w:rsidR="0013018A">
        <w:rPr>
          <w:rFonts w:ascii="Times" w:hAnsi="Times"/>
        </w:rPr>
        <w:t xml:space="preserve">were </w:t>
      </w:r>
      <w:r w:rsidR="00A53039">
        <w:rPr>
          <w:rFonts w:ascii="Times" w:hAnsi="Times"/>
        </w:rPr>
        <w:t xml:space="preserve">over-represented as a result </w:t>
      </w:r>
      <w:r w:rsidR="0013018A">
        <w:rPr>
          <w:rFonts w:ascii="Times" w:hAnsi="Times"/>
        </w:rPr>
        <w:t xml:space="preserve">of local authorities’ actions in the 1950s, 1960s and 1970s </w:t>
      </w:r>
      <w:r w:rsidR="00F00F6C">
        <w:rPr>
          <w:rFonts w:ascii="Times" w:hAnsi="Times"/>
        </w:rPr>
        <w:t xml:space="preserve">were also some of most difficult places to secure mortgages. </w:t>
      </w:r>
    </w:p>
    <w:p w14:paraId="2F66DFFE" w14:textId="77777777" w:rsidR="005B23BE" w:rsidRDefault="005B23BE" w:rsidP="00B853DA">
      <w:pPr>
        <w:jc w:val="both"/>
        <w:rPr>
          <w:rFonts w:ascii="Times" w:hAnsi="Times"/>
        </w:rPr>
      </w:pPr>
    </w:p>
    <w:p w14:paraId="178A3274" w14:textId="7FF7732F" w:rsidR="007952AC" w:rsidRDefault="00BD3879" w:rsidP="00B853DA">
      <w:pPr>
        <w:jc w:val="both"/>
        <w:rPr>
          <w:rFonts w:ascii="Times" w:hAnsi="Times"/>
        </w:rPr>
      </w:pPr>
      <w:r w:rsidRPr="00BD3879">
        <w:rPr>
          <w:rFonts w:ascii="Times" w:hAnsi="Times"/>
        </w:rPr>
        <w:t>Legi</w:t>
      </w:r>
      <w:r w:rsidR="006637F1">
        <w:rPr>
          <w:rFonts w:ascii="Times" w:hAnsi="Times"/>
        </w:rPr>
        <w:t xml:space="preserve">slation in 1986 and 1988 </w:t>
      </w:r>
      <w:r w:rsidRPr="00BD3879">
        <w:rPr>
          <w:rFonts w:ascii="Times" w:hAnsi="Times"/>
        </w:rPr>
        <w:t>gave councils the power to rehouse the residents of a single estate, paving the way for the entire development to be offloaded. Sometimes these estates were sold to property developers, many of whom spent more than their purchase price on renovations such as new heating and security systems that would turn flats into desirable assets safe for homeownership. More often, however, what was left of Britain’s public housing stock was transferred to housing associations</w:t>
      </w:r>
      <w:r w:rsidR="00F76E48">
        <w:rPr>
          <w:rFonts w:ascii="Times" w:hAnsi="Times"/>
        </w:rPr>
        <w:t>—</w:t>
      </w:r>
      <w:r w:rsidRPr="00BD3879">
        <w:rPr>
          <w:rFonts w:ascii="Times" w:hAnsi="Times"/>
        </w:rPr>
        <w:t>non-profit organizations that blurred the line between state and non-state ownership.</w:t>
      </w:r>
      <w:r w:rsidR="00F00F6C">
        <w:rPr>
          <w:rFonts w:ascii="Times" w:hAnsi="Times"/>
        </w:rPr>
        <w:t xml:space="preserve"> By the 1990s, plans to turn large council estates into little republics of homeowners were falling by the wayside, and estates where non-white council tenants were most likely to live were increasingly being run by non-profit organisations or sold wholesale to developers after t</w:t>
      </w:r>
      <w:r w:rsidR="00494A8C">
        <w:rPr>
          <w:rFonts w:ascii="Times" w:hAnsi="Times"/>
        </w:rPr>
        <w:t>heir residents had been rehoused</w:t>
      </w:r>
      <w:r w:rsidR="00F00F6C">
        <w:rPr>
          <w:rFonts w:ascii="Times" w:hAnsi="Times"/>
        </w:rPr>
        <w:t xml:space="preserve">. </w:t>
      </w:r>
    </w:p>
    <w:p w14:paraId="2BBE3D25" w14:textId="77777777" w:rsidR="007952AC" w:rsidRDefault="007952AC" w:rsidP="00B853DA">
      <w:pPr>
        <w:jc w:val="both"/>
        <w:rPr>
          <w:rFonts w:ascii="Times" w:hAnsi="Times"/>
        </w:rPr>
      </w:pPr>
    </w:p>
    <w:p w14:paraId="3C3C8657" w14:textId="0F73ACCB" w:rsidR="007952AC" w:rsidRDefault="008970BB" w:rsidP="00B853DA">
      <w:pPr>
        <w:jc w:val="both"/>
        <w:rPr>
          <w:rFonts w:ascii="Times" w:hAnsi="Times"/>
          <w:b/>
        </w:rPr>
      </w:pPr>
      <w:r>
        <w:rPr>
          <w:rFonts w:ascii="Times" w:hAnsi="Times"/>
          <w:b/>
        </w:rPr>
        <w:t>Redlining</w:t>
      </w:r>
    </w:p>
    <w:p w14:paraId="7E293F70" w14:textId="77777777" w:rsidR="008970BB" w:rsidRDefault="008970BB" w:rsidP="00B853DA">
      <w:pPr>
        <w:jc w:val="both"/>
        <w:rPr>
          <w:rFonts w:ascii="Times" w:hAnsi="Times"/>
          <w:b/>
        </w:rPr>
      </w:pPr>
    </w:p>
    <w:p w14:paraId="63B89A05" w14:textId="5489B08A" w:rsidR="008970BB" w:rsidRPr="008970BB" w:rsidRDefault="008970BB" w:rsidP="0072730D">
      <w:pPr>
        <w:jc w:val="both"/>
        <w:rPr>
          <w:rFonts w:ascii="Times" w:hAnsi="Times"/>
        </w:rPr>
      </w:pPr>
      <w:r>
        <w:rPr>
          <w:rFonts w:ascii="Times" w:hAnsi="Times"/>
        </w:rPr>
        <w:t xml:space="preserve">Redlining in Britain </w:t>
      </w:r>
      <w:r w:rsidR="00FE2433">
        <w:rPr>
          <w:rFonts w:ascii="Times" w:hAnsi="Times"/>
        </w:rPr>
        <w:t>was, therefore, the outcome of two historical processes.</w:t>
      </w:r>
      <w:r w:rsidR="00402E8B">
        <w:rPr>
          <w:rFonts w:ascii="Times" w:hAnsi="Times"/>
        </w:rPr>
        <w:t xml:space="preserve"> F</w:t>
      </w:r>
      <w:r w:rsidR="006637F1">
        <w:rPr>
          <w:rFonts w:ascii="Times" w:hAnsi="Times"/>
        </w:rPr>
        <w:t xml:space="preserve">irst, </w:t>
      </w:r>
      <w:r w:rsidR="00FE2433">
        <w:rPr>
          <w:rFonts w:ascii="Times" w:hAnsi="Times"/>
        </w:rPr>
        <w:t xml:space="preserve">people of colour </w:t>
      </w:r>
      <w:r w:rsidR="006637F1">
        <w:rPr>
          <w:rFonts w:ascii="Times" w:hAnsi="Times"/>
        </w:rPr>
        <w:t xml:space="preserve">occupied a subordinate position </w:t>
      </w:r>
      <w:r w:rsidR="00FE2433">
        <w:rPr>
          <w:rFonts w:ascii="Times" w:hAnsi="Times"/>
        </w:rPr>
        <w:t xml:space="preserve">within the massive expansion of council housing between </w:t>
      </w:r>
      <w:r w:rsidR="00324CB0">
        <w:rPr>
          <w:rFonts w:ascii="Times" w:hAnsi="Times"/>
        </w:rPr>
        <w:t xml:space="preserve">the 1940s and the 1970s. During this period, people of colour were under-represented </w:t>
      </w:r>
      <w:r w:rsidR="00E32B59">
        <w:rPr>
          <w:rFonts w:ascii="Times" w:hAnsi="Times"/>
        </w:rPr>
        <w:t>in council housing across the board, shunted</w:t>
      </w:r>
      <w:r w:rsidR="00B6727E">
        <w:rPr>
          <w:rFonts w:ascii="Times" w:hAnsi="Times"/>
        </w:rPr>
        <w:t xml:space="preserve"> to</w:t>
      </w:r>
      <w:r w:rsidR="00E32B59">
        <w:rPr>
          <w:rFonts w:ascii="Times" w:hAnsi="Times"/>
        </w:rPr>
        <w:t xml:space="preserve"> the bottom of waiting lists, discriminated against by visitation officers, alienated by complex bureaucracies and rightfully fearful </w:t>
      </w:r>
      <w:r w:rsidR="00B6727E">
        <w:rPr>
          <w:rFonts w:ascii="Times" w:hAnsi="Times"/>
        </w:rPr>
        <w:t xml:space="preserve">of </w:t>
      </w:r>
      <w:r w:rsidR="00E32B59">
        <w:rPr>
          <w:rFonts w:ascii="Times" w:hAnsi="Times"/>
        </w:rPr>
        <w:t xml:space="preserve">being left isolated and vulnerable </w:t>
      </w:r>
      <w:r w:rsidR="004F3393">
        <w:rPr>
          <w:rFonts w:ascii="Times" w:hAnsi="Times"/>
        </w:rPr>
        <w:t>on predominantly white estates. Even</w:t>
      </w:r>
      <w:r w:rsidR="006637F1">
        <w:rPr>
          <w:rFonts w:ascii="Times" w:hAnsi="Times"/>
        </w:rPr>
        <w:t xml:space="preserve"> as</w:t>
      </w:r>
      <w:r w:rsidR="00FE1A52">
        <w:rPr>
          <w:rFonts w:ascii="Times" w:hAnsi="Times"/>
        </w:rPr>
        <w:t xml:space="preserve"> access to hou</w:t>
      </w:r>
      <w:r w:rsidR="00657EA0">
        <w:rPr>
          <w:rFonts w:ascii="Times" w:hAnsi="Times"/>
        </w:rPr>
        <w:t>sing improved over the 1960s and</w:t>
      </w:r>
      <w:r w:rsidR="00FE1A52">
        <w:rPr>
          <w:rFonts w:ascii="Times" w:hAnsi="Times"/>
        </w:rPr>
        <w:t xml:space="preserve"> 1970s, </w:t>
      </w:r>
      <w:r w:rsidR="004F3393">
        <w:rPr>
          <w:rFonts w:ascii="Times" w:hAnsi="Times"/>
        </w:rPr>
        <w:t xml:space="preserve">people of colour were disproportionately housed in flats on urban high-density housing estates. Second, </w:t>
      </w:r>
      <w:r w:rsidR="00402E8B">
        <w:rPr>
          <w:rFonts w:ascii="Times" w:hAnsi="Times"/>
        </w:rPr>
        <w:t xml:space="preserve">when council tenants were given enormous incentives to purchase their homes from local authorities at heavily discounted rates, </w:t>
      </w:r>
      <w:r w:rsidR="0072730D">
        <w:rPr>
          <w:rFonts w:ascii="Times" w:hAnsi="Times"/>
        </w:rPr>
        <w:t xml:space="preserve">those living in high density flats struggled to buy their homes, and were frequently snubbed by mortgage lenders. </w:t>
      </w:r>
    </w:p>
    <w:p w14:paraId="78FA7F89" w14:textId="77777777" w:rsidR="007952AC" w:rsidRDefault="007952AC" w:rsidP="00B853DA">
      <w:pPr>
        <w:jc w:val="both"/>
        <w:rPr>
          <w:rFonts w:ascii="Times" w:hAnsi="Times"/>
        </w:rPr>
      </w:pPr>
    </w:p>
    <w:p w14:paraId="0AD40D69" w14:textId="7A26CFA4" w:rsidR="00673D33" w:rsidRDefault="00673D33" w:rsidP="00B853DA">
      <w:pPr>
        <w:jc w:val="both"/>
        <w:rPr>
          <w:rFonts w:ascii="Times" w:hAnsi="Times"/>
        </w:rPr>
      </w:pPr>
      <w:r>
        <w:rPr>
          <w:rFonts w:ascii="Times" w:hAnsi="Times"/>
        </w:rPr>
        <w:t>I</w:t>
      </w:r>
      <w:r w:rsidR="004F3393">
        <w:rPr>
          <w:rFonts w:ascii="Times" w:hAnsi="Times"/>
        </w:rPr>
        <w:t>t</w:t>
      </w:r>
      <w:r w:rsidR="006A1112">
        <w:rPr>
          <w:rFonts w:ascii="Times" w:hAnsi="Times"/>
        </w:rPr>
        <w:t xml:space="preserve"> seems clear that structural forces internal to social democracy as well as to neoliberalism </w:t>
      </w:r>
      <w:r w:rsidR="00B4379E">
        <w:rPr>
          <w:rFonts w:ascii="Times" w:hAnsi="Times"/>
        </w:rPr>
        <w:t>have meant that white Britons have disproportionally benefited from homeow</w:t>
      </w:r>
      <w:r w:rsidR="006637F1">
        <w:rPr>
          <w:rFonts w:ascii="Times" w:hAnsi="Times"/>
        </w:rPr>
        <w:t>nership</w:t>
      </w:r>
      <w:r w:rsidR="00037448">
        <w:rPr>
          <w:rFonts w:ascii="Times" w:hAnsi="Times"/>
        </w:rPr>
        <w:t xml:space="preserve"> and the financial benefits it </w:t>
      </w:r>
      <w:r w:rsidR="00B4379E">
        <w:rPr>
          <w:rFonts w:ascii="Times" w:hAnsi="Times"/>
        </w:rPr>
        <w:t xml:space="preserve">entails. </w:t>
      </w:r>
      <w:r w:rsidR="006637F1">
        <w:rPr>
          <w:rFonts w:ascii="Times" w:hAnsi="Times"/>
        </w:rPr>
        <w:t>Non-white</w:t>
      </w:r>
      <w:r w:rsidR="004F3393">
        <w:rPr>
          <w:rFonts w:ascii="Times" w:hAnsi="Times"/>
        </w:rPr>
        <w:t xml:space="preserve"> Britons tended to lose out from both the modernising processes of mid-century state-led economic deve</w:t>
      </w:r>
      <w:r w:rsidR="006359C6">
        <w:rPr>
          <w:rFonts w:ascii="Times" w:hAnsi="Times"/>
        </w:rPr>
        <w:t xml:space="preserve">lopment, as well as </w:t>
      </w:r>
      <w:r w:rsidR="006637F1">
        <w:rPr>
          <w:rFonts w:ascii="Times" w:hAnsi="Times"/>
        </w:rPr>
        <w:t xml:space="preserve">the </w:t>
      </w:r>
      <w:r w:rsidR="006359C6">
        <w:rPr>
          <w:rFonts w:ascii="Times" w:hAnsi="Times"/>
        </w:rPr>
        <w:t>sp</w:t>
      </w:r>
      <w:r w:rsidR="00037448">
        <w:rPr>
          <w:rFonts w:ascii="Times" w:hAnsi="Times"/>
        </w:rPr>
        <w:t>oils of financialized, property-</w:t>
      </w:r>
      <w:r w:rsidR="006359C6">
        <w:rPr>
          <w:rFonts w:ascii="Times" w:hAnsi="Times"/>
        </w:rPr>
        <w:t xml:space="preserve">driven late twentieth-century private wealth. </w:t>
      </w:r>
      <w:r w:rsidR="00112FB8">
        <w:rPr>
          <w:rFonts w:ascii="Times" w:hAnsi="Times"/>
        </w:rPr>
        <w:t>If</w:t>
      </w:r>
      <w:r>
        <w:rPr>
          <w:rFonts w:ascii="Times" w:hAnsi="Times"/>
        </w:rPr>
        <w:t xml:space="preserve"> Margaret</w:t>
      </w:r>
      <w:r w:rsidR="00112FB8">
        <w:rPr>
          <w:rFonts w:ascii="Times" w:hAnsi="Times"/>
        </w:rPr>
        <w:t xml:space="preserve"> Thatcher’s intent was to create a “property owning democracy”</w:t>
      </w:r>
      <w:r w:rsidR="00E64F8C">
        <w:rPr>
          <w:rFonts w:ascii="Times" w:hAnsi="Times"/>
        </w:rPr>
        <w:t>,</w:t>
      </w:r>
      <w:r w:rsidR="00112FB8">
        <w:rPr>
          <w:rFonts w:ascii="Times" w:hAnsi="Times"/>
        </w:rPr>
        <w:t xml:space="preserve"> various historical forces converged to make this a </w:t>
      </w:r>
      <w:r w:rsidR="000004C6">
        <w:rPr>
          <w:rFonts w:ascii="Times" w:hAnsi="Times"/>
        </w:rPr>
        <w:t>privilege</w:t>
      </w:r>
      <w:r w:rsidR="00112FB8">
        <w:rPr>
          <w:rFonts w:ascii="Times" w:hAnsi="Times"/>
        </w:rPr>
        <w:t xml:space="preserve"> enjoyed predominantly by white Britons. </w:t>
      </w:r>
      <w:r w:rsidR="00B9646A">
        <w:rPr>
          <w:rFonts w:ascii="Times" w:hAnsi="Times"/>
        </w:rPr>
        <w:t>With property wealth having become the second most significant source of wealth in Britain (after private pensions w</w:t>
      </w:r>
      <w:r w:rsidR="000E3302">
        <w:rPr>
          <w:rFonts w:ascii="Times" w:hAnsi="Times"/>
        </w:rPr>
        <w:t xml:space="preserve">ealth), </w:t>
      </w:r>
      <w:r w:rsidR="00B9646A">
        <w:rPr>
          <w:rFonts w:ascii="Times" w:hAnsi="Times"/>
        </w:rPr>
        <w:t>with house price increases significantly outstripping wage increases over the last</w:t>
      </w:r>
      <w:r w:rsidR="000E3302">
        <w:rPr>
          <w:rFonts w:ascii="Times" w:hAnsi="Times"/>
        </w:rPr>
        <w:t xml:space="preserve"> generation and with the</w:t>
      </w:r>
      <w:r w:rsidR="000004C6">
        <w:rPr>
          <w:rFonts w:ascii="Times" w:hAnsi="Times"/>
        </w:rPr>
        <w:t xml:space="preserve"> average house </w:t>
      </w:r>
      <w:r w:rsidR="002A157E">
        <w:rPr>
          <w:rFonts w:ascii="Times" w:hAnsi="Times"/>
        </w:rPr>
        <w:t xml:space="preserve">costing nine times more in 2019 than it did in 1980, </w:t>
      </w:r>
      <w:r w:rsidR="00B9646A">
        <w:rPr>
          <w:rFonts w:ascii="Times" w:hAnsi="Times"/>
        </w:rPr>
        <w:t xml:space="preserve">these structural forces will have had demonstrable negative effects on the lives of many people of colour in Britain. </w:t>
      </w:r>
      <w:r>
        <w:rPr>
          <w:rFonts w:ascii="Times" w:hAnsi="Times"/>
        </w:rPr>
        <w:t>Just as in in the United States, the actions of racist local authorities, white activists on the ground and mortgage brokers combined together over decades to exclude significant numbers of people of colour from homeownership in Britain. For this reason, it makes sense to think about redlin</w:t>
      </w:r>
      <w:r w:rsidR="00B9646A">
        <w:rPr>
          <w:rFonts w:ascii="Times" w:hAnsi="Times"/>
        </w:rPr>
        <w:t xml:space="preserve">ing here as well as there. </w:t>
      </w:r>
    </w:p>
    <w:p w14:paraId="22B92B35" w14:textId="77777777" w:rsidR="00804ADB" w:rsidRDefault="00804ADB" w:rsidP="00B853DA">
      <w:pPr>
        <w:jc w:val="both"/>
        <w:rPr>
          <w:rFonts w:ascii="Times" w:hAnsi="Times"/>
        </w:rPr>
      </w:pPr>
    </w:p>
    <w:p w14:paraId="34BB54F7" w14:textId="77777777" w:rsidR="00804ADB" w:rsidRPr="00B853DA" w:rsidRDefault="00804ADB" w:rsidP="00B853DA">
      <w:pPr>
        <w:jc w:val="both"/>
        <w:rPr>
          <w:rFonts w:ascii="Times" w:hAnsi="Times"/>
        </w:rPr>
      </w:pPr>
    </w:p>
    <w:sectPr w:rsidR="00804ADB" w:rsidRPr="00B853DA" w:rsidSect="00B9009E">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0AADB" w14:textId="77777777" w:rsidR="00F83E9F" w:rsidRDefault="00F83E9F" w:rsidP="00937437">
      <w:r>
        <w:separator/>
      </w:r>
    </w:p>
  </w:endnote>
  <w:endnote w:type="continuationSeparator" w:id="0">
    <w:p w14:paraId="59EED501" w14:textId="77777777" w:rsidR="00F83E9F" w:rsidRDefault="00F83E9F" w:rsidP="00937437">
      <w:r>
        <w:continuationSeparator/>
      </w:r>
    </w:p>
  </w:endnote>
  <w:endnote w:id="1">
    <w:p w14:paraId="7AADADFE" w14:textId="77777777" w:rsidR="00781871" w:rsidRPr="00781871" w:rsidRDefault="00F76E48" w:rsidP="00781871">
      <w:pPr>
        <w:rPr>
          <w:rFonts w:ascii="Times" w:eastAsia="Times New Roman" w:hAnsi="Times" w:cs="Times New Roman"/>
          <w:lang w:val="en-US"/>
        </w:rPr>
      </w:pPr>
      <w:r w:rsidRPr="00781871">
        <w:rPr>
          <w:rStyle w:val="EndnoteReference"/>
          <w:rFonts w:ascii="Times" w:hAnsi="Times"/>
        </w:rPr>
        <w:endnoteRef/>
      </w:r>
      <w:r w:rsidRPr="00781871">
        <w:rPr>
          <w:rFonts w:ascii="Times" w:hAnsi="Times"/>
        </w:rPr>
        <w:t xml:space="preserve"> </w:t>
      </w:r>
      <w:r w:rsidR="009930A0" w:rsidRPr="00781871">
        <w:rPr>
          <w:rFonts w:ascii="Times" w:hAnsi="Times"/>
        </w:rPr>
        <w:t xml:space="preserve">Ta-Nehisi Coates, ‘The Case for Reparations,’ </w:t>
      </w:r>
      <w:r w:rsidR="009930A0" w:rsidRPr="00781871">
        <w:rPr>
          <w:rFonts w:ascii="Times" w:hAnsi="Times"/>
          <w:i/>
        </w:rPr>
        <w:t>The Atlantic</w:t>
      </w:r>
      <w:r w:rsidR="009930A0" w:rsidRPr="00781871">
        <w:rPr>
          <w:rFonts w:ascii="Times" w:hAnsi="Times"/>
        </w:rPr>
        <w:t>, June 2014</w:t>
      </w:r>
      <w:r w:rsidR="00781871" w:rsidRPr="00781871">
        <w:rPr>
          <w:rFonts w:ascii="Times" w:hAnsi="Times"/>
        </w:rPr>
        <w:t xml:space="preserve">: </w:t>
      </w:r>
      <w:hyperlink r:id="rId1" w:history="1">
        <w:r w:rsidR="00781871" w:rsidRPr="00781871">
          <w:rPr>
            <w:rFonts w:ascii="Times" w:eastAsia="Times New Roman" w:hAnsi="Times" w:cs="Times New Roman"/>
            <w:color w:val="0000FF"/>
            <w:u w:val="single"/>
            <w:lang w:val="en-US"/>
          </w:rPr>
          <w:t>https://www.theatlantic.com/magazine/archive/2014/06/the-case-for-reparations/361631/</w:t>
        </w:r>
      </w:hyperlink>
    </w:p>
    <w:p w14:paraId="2892D12F" w14:textId="77777777" w:rsidR="00F76E48" w:rsidRPr="00781871" w:rsidRDefault="00F76E48">
      <w:pPr>
        <w:pStyle w:val="EndnoteText"/>
        <w:rPr>
          <w:rFonts w:ascii="Times" w:hAnsi="Times"/>
        </w:rPr>
      </w:pPr>
    </w:p>
  </w:endnote>
  <w:endnote w:id="2">
    <w:p w14:paraId="0DA9B179" w14:textId="248591E7" w:rsidR="00F76E48" w:rsidRPr="00517B3B" w:rsidRDefault="00F76E48">
      <w:pPr>
        <w:pStyle w:val="EndnoteText"/>
        <w:rPr>
          <w:rFonts w:ascii="Times" w:hAnsi="Times"/>
        </w:rPr>
      </w:pPr>
      <w:r w:rsidRPr="00781871">
        <w:rPr>
          <w:rStyle w:val="EndnoteReference"/>
          <w:rFonts w:ascii="Times" w:hAnsi="Times"/>
        </w:rPr>
        <w:endnoteRef/>
      </w:r>
      <w:r w:rsidRPr="00781871">
        <w:rPr>
          <w:rFonts w:ascii="Times" w:hAnsi="Times"/>
        </w:rPr>
        <w:t xml:space="preserve"> </w:t>
      </w:r>
      <w:r w:rsidR="00781871" w:rsidRPr="00781871">
        <w:rPr>
          <w:rFonts w:ascii="Times" w:hAnsi="Times"/>
        </w:rPr>
        <w:t>Ira Katznelson</w:t>
      </w:r>
      <w:r w:rsidR="00781871">
        <w:rPr>
          <w:rFonts w:ascii="Times" w:hAnsi="Times"/>
        </w:rPr>
        <w:t xml:space="preserve">, </w:t>
      </w:r>
      <w:r w:rsidR="00517B3B">
        <w:rPr>
          <w:rFonts w:ascii="Times" w:hAnsi="Times"/>
          <w:i/>
        </w:rPr>
        <w:t>When Affirmative Action Was White: The Untold Story of Racial Inequality in Twentieth-Century America</w:t>
      </w:r>
      <w:r w:rsidR="00517B3B">
        <w:rPr>
          <w:rFonts w:ascii="Times" w:hAnsi="Times"/>
        </w:rPr>
        <w:t>, New York, W. W. Norton, 2006</w:t>
      </w:r>
    </w:p>
    <w:p w14:paraId="23ED728E" w14:textId="77777777" w:rsidR="00F76E48" w:rsidRPr="00781871" w:rsidRDefault="00F76E48">
      <w:pPr>
        <w:pStyle w:val="EndnoteText"/>
        <w:rPr>
          <w:rFonts w:ascii="Times" w:hAnsi="Times"/>
        </w:rPr>
      </w:pPr>
    </w:p>
  </w:endnote>
  <w:endnote w:id="3">
    <w:p w14:paraId="0F93566A" w14:textId="66882E57" w:rsidR="00CF6D9E" w:rsidRPr="00CF6D9E" w:rsidRDefault="00F76E48" w:rsidP="00CF6D9E">
      <w:pPr>
        <w:pStyle w:val="EndnoteText"/>
        <w:rPr>
          <w:rFonts w:ascii="Times" w:hAnsi="Times"/>
        </w:rPr>
      </w:pPr>
      <w:r w:rsidRPr="00781871">
        <w:rPr>
          <w:rStyle w:val="EndnoteReference"/>
          <w:rFonts w:ascii="Times" w:hAnsi="Times"/>
        </w:rPr>
        <w:endnoteRef/>
      </w:r>
      <w:r w:rsidRPr="00781871">
        <w:rPr>
          <w:rFonts w:ascii="Times" w:hAnsi="Times"/>
        </w:rPr>
        <w:t xml:space="preserve"> </w:t>
      </w:r>
      <w:r w:rsidR="00517B3B">
        <w:rPr>
          <w:rFonts w:ascii="Times" w:hAnsi="Times"/>
        </w:rPr>
        <w:t xml:space="preserve">Kennetta Hammond Perry, </w:t>
      </w:r>
      <w:r w:rsidR="00517B3B">
        <w:rPr>
          <w:rFonts w:ascii="Times" w:hAnsi="Times"/>
          <w:i/>
        </w:rPr>
        <w:t xml:space="preserve">London is the </w:t>
      </w:r>
      <w:r w:rsidR="00233C8E">
        <w:rPr>
          <w:rFonts w:ascii="Times" w:hAnsi="Times"/>
          <w:i/>
        </w:rPr>
        <w:t>Place f</w:t>
      </w:r>
      <w:r w:rsidR="00517B3B">
        <w:rPr>
          <w:rFonts w:ascii="Times" w:hAnsi="Times"/>
          <w:i/>
        </w:rPr>
        <w:t>or Me: Black Britons, Citizenship and the Politics of Race</w:t>
      </w:r>
      <w:r w:rsidR="00517B3B">
        <w:rPr>
          <w:rFonts w:ascii="Times" w:hAnsi="Times"/>
        </w:rPr>
        <w:t xml:space="preserve">, Oxford University Press, 2015; </w:t>
      </w:r>
      <w:r w:rsidR="00CF6D9E" w:rsidRPr="00CF6D9E">
        <w:rPr>
          <w:rFonts w:ascii="Times" w:hAnsi="Times"/>
        </w:rPr>
        <w:t>Radhika Natarajan, “Organizing Community: Commonwealth Citizens and Social Ac</w:t>
      </w:r>
      <w:r w:rsidR="00CF6D9E">
        <w:rPr>
          <w:rFonts w:ascii="Times" w:hAnsi="Times"/>
        </w:rPr>
        <w:t xml:space="preserve">tivism in Britain, 1948-1982,” </w:t>
      </w:r>
      <w:r w:rsidR="00CF6D9E" w:rsidRPr="00CF6D9E">
        <w:rPr>
          <w:rFonts w:ascii="Times" w:hAnsi="Times"/>
        </w:rPr>
        <w:t>PhD. Diss., Universit</w:t>
      </w:r>
      <w:r w:rsidR="00CF6D9E">
        <w:rPr>
          <w:rFonts w:ascii="Times" w:hAnsi="Times"/>
        </w:rPr>
        <w:t>y of California, Berkeley 2013</w:t>
      </w:r>
      <w:r w:rsidR="00CF6D9E" w:rsidRPr="00CF6D9E">
        <w:rPr>
          <w:rFonts w:ascii="Times" w:hAnsi="Times"/>
        </w:rPr>
        <w:t>;</w:t>
      </w:r>
      <w:r w:rsidR="00CF6D9E">
        <w:rPr>
          <w:rFonts w:ascii="Times" w:hAnsi="Times"/>
        </w:rPr>
        <w:t xml:space="preserve"> Nadine El-Enany, </w:t>
      </w:r>
      <w:r w:rsidR="00CF6D9E">
        <w:rPr>
          <w:rFonts w:ascii="Times" w:hAnsi="Times"/>
          <w:i/>
        </w:rPr>
        <w:t>Bordering Britain: Law Race and Empire</w:t>
      </w:r>
      <w:r w:rsidR="00CF6D9E">
        <w:rPr>
          <w:rFonts w:ascii="Times" w:hAnsi="Times"/>
        </w:rPr>
        <w:t>, Manchester University Press, Manchester 2020</w:t>
      </w:r>
      <w:r w:rsidR="00CF6D9E" w:rsidRPr="00CF6D9E">
        <w:rPr>
          <w:rFonts w:ascii="Times" w:hAnsi="Times"/>
        </w:rPr>
        <w:t xml:space="preserve">; Rob Waters, </w:t>
      </w:r>
      <w:r w:rsidR="00CF6D9E" w:rsidRPr="00CF6D9E">
        <w:rPr>
          <w:rFonts w:ascii="Times" w:hAnsi="Times"/>
          <w:i/>
        </w:rPr>
        <w:t>Thinking Black: Britain, 1964-1985</w:t>
      </w:r>
      <w:r w:rsidR="00CF6D9E">
        <w:rPr>
          <w:rFonts w:ascii="Times" w:hAnsi="Times"/>
          <w:i/>
        </w:rPr>
        <w:t xml:space="preserve"> </w:t>
      </w:r>
      <w:r w:rsidR="00CF6D9E" w:rsidRPr="00CF6D9E">
        <w:rPr>
          <w:rFonts w:ascii="Times" w:hAnsi="Times"/>
        </w:rPr>
        <w:t>University of California Press,</w:t>
      </w:r>
      <w:r w:rsidR="00CF6D9E">
        <w:rPr>
          <w:rFonts w:ascii="Times" w:hAnsi="Times"/>
        </w:rPr>
        <w:t xml:space="preserve"> Berkeley, CA 2018.</w:t>
      </w:r>
    </w:p>
    <w:p w14:paraId="00CFC05A" w14:textId="77777777" w:rsidR="00F76E48" w:rsidRPr="00781871" w:rsidRDefault="00F76E48">
      <w:pPr>
        <w:pStyle w:val="EndnoteText"/>
        <w:rPr>
          <w:rFonts w:ascii="Times" w:hAnsi="Times"/>
        </w:rPr>
      </w:pPr>
    </w:p>
  </w:endnote>
  <w:endnote w:id="4">
    <w:p w14:paraId="2F4B1482" w14:textId="682E8B84" w:rsidR="00F76E48" w:rsidRPr="009E2E1C" w:rsidRDefault="00F76E48">
      <w:pPr>
        <w:pStyle w:val="EndnoteText"/>
        <w:rPr>
          <w:rFonts w:ascii="Times" w:hAnsi="Times"/>
        </w:rPr>
      </w:pPr>
      <w:r w:rsidRPr="00781871">
        <w:rPr>
          <w:rStyle w:val="EndnoteReference"/>
          <w:rFonts w:ascii="Times" w:hAnsi="Times"/>
        </w:rPr>
        <w:endnoteRef/>
      </w:r>
      <w:r w:rsidRPr="00781871">
        <w:rPr>
          <w:rFonts w:ascii="Times" w:hAnsi="Times"/>
        </w:rPr>
        <w:t xml:space="preserve"> </w:t>
      </w:r>
      <w:r w:rsidR="009E2E1C">
        <w:rPr>
          <w:rFonts w:ascii="Times" w:hAnsi="Times"/>
        </w:rPr>
        <w:t xml:space="preserve">For accounts of the living conditions of first generation migrants in the late 1940s and 1950s see Ruth Glass, </w:t>
      </w:r>
      <w:r w:rsidR="009E2E1C">
        <w:rPr>
          <w:rFonts w:ascii="Times" w:hAnsi="Times"/>
          <w:i/>
        </w:rPr>
        <w:t>Newcommers: The West Indian Migrants</w:t>
      </w:r>
      <w:r w:rsidR="009E2E1C">
        <w:rPr>
          <w:rFonts w:ascii="Times" w:hAnsi="Times"/>
        </w:rPr>
        <w:t>, Harvard University Press, Cambridge MA, 1961.</w:t>
      </w:r>
    </w:p>
    <w:p w14:paraId="3D12FF4F" w14:textId="77777777" w:rsidR="00F76E48" w:rsidRPr="00781871" w:rsidRDefault="00F76E48">
      <w:pPr>
        <w:pStyle w:val="EndnoteText"/>
        <w:rPr>
          <w:rFonts w:ascii="Times" w:hAnsi="Times"/>
        </w:rPr>
      </w:pPr>
    </w:p>
  </w:endnote>
  <w:endnote w:id="5">
    <w:p w14:paraId="4859948A" w14:textId="0E7521EC" w:rsidR="00F76E48" w:rsidRPr="009E2E1C" w:rsidRDefault="00F76E48">
      <w:pPr>
        <w:pStyle w:val="EndnoteText"/>
        <w:rPr>
          <w:rFonts w:ascii="Times" w:hAnsi="Times"/>
        </w:rPr>
      </w:pPr>
      <w:r w:rsidRPr="009E2E1C">
        <w:rPr>
          <w:rStyle w:val="EndnoteReference"/>
          <w:rFonts w:ascii="Times" w:hAnsi="Times"/>
        </w:rPr>
        <w:endnoteRef/>
      </w:r>
      <w:r w:rsidRPr="009E2E1C">
        <w:rPr>
          <w:rFonts w:ascii="Times" w:hAnsi="Times"/>
        </w:rPr>
        <w:t xml:space="preserve"> </w:t>
      </w:r>
      <w:r w:rsidR="009E2E1C" w:rsidRPr="009E2E1C">
        <w:rPr>
          <w:rFonts w:ascii="Times" w:hAnsi="Times"/>
        </w:rPr>
        <w:t xml:space="preserve">Elizabeth Mary Burney, </w:t>
      </w:r>
      <w:r w:rsidR="009E2E1C" w:rsidRPr="009E2E1C">
        <w:rPr>
          <w:rFonts w:ascii="Times" w:hAnsi="Times"/>
          <w:i/>
        </w:rPr>
        <w:t>Housing on Trial: A Study of Immigrants and Local Government</w:t>
      </w:r>
      <w:r w:rsidR="009E2E1C">
        <w:rPr>
          <w:rFonts w:ascii="Times" w:hAnsi="Times"/>
        </w:rPr>
        <w:t xml:space="preserve"> </w:t>
      </w:r>
      <w:r w:rsidR="009E2E1C" w:rsidRPr="009E2E1C">
        <w:rPr>
          <w:rFonts w:ascii="Times" w:hAnsi="Times"/>
        </w:rPr>
        <w:t>Oxford University Press,</w:t>
      </w:r>
      <w:r w:rsidR="009E2E1C">
        <w:rPr>
          <w:rFonts w:ascii="Times" w:hAnsi="Times"/>
        </w:rPr>
        <w:t xml:space="preserve"> Oxford, 1967.</w:t>
      </w:r>
    </w:p>
    <w:p w14:paraId="1CD93F89" w14:textId="77777777" w:rsidR="00F76E48" w:rsidRPr="00781871" w:rsidRDefault="00F76E48">
      <w:pPr>
        <w:pStyle w:val="EndnoteText"/>
        <w:rPr>
          <w:rFonts w:ascii="Times" w:hAnsi="Times"/>
        </w:rPr>
      </w:pPr>
    </w:p>
  </w:endnote>
  <w:endnote w:id="6">
    <w:p w14:paraId="2968C9FC" w14:textId="363A3130" w:rsidR="00F76E48" w:rsidRPr="00781871" w:rsidRDefault="00F76E48" w:rsidP="00231781">
      <w:pPr>
        <w:pStyle w:val="FootnoteText"/>
        <w:rPr>
          <w:rFonts w:ascii="Times" w:hAnsi="Times"/>
        </w:rPr>
      </w:pPr>
      <w:r w:rsidRPr="009E2E1C">
        <w:rPr>
          <w:rStyle w:val="EndnoteReference"/>
          <w:rFonts w:ascii="Times" w:hAnsi="Times"/>
        </w:rPr>
        <w:endnoteRef/>
      </w:r>
      <w:r w:rsidRPr="009E2E1C">
        <w:rPr>
          <w:rFonts w:ascii="Times" w:hAnsi="Times"/>
        </w:rPr>
        <w:t xml:space="preserve"> </w:t>
      </w:r>
      <w:r w:rsidR="009E2E1C">
        <w:rPr>
          <w:rFonts w:ascii="Times" w:hAnsi="Times"/>
        </w:rPr>
        <w:t xml:space="preserve">Annual house-building data in the public and private sectors has been compiled by </w:t>
      </w:r>
      <w:r w:rsidR="009E2E1C" w:rsidRPr="009E2E1C">
        <w:rPr>
          <w:rFonts w:ascii="Times" w:hAnsi="Times"/>
        </w:rPr>
        <w:t xml:space="preserve">David Butler and Gareth Butler, </w:t>
      </w:r>
      <w:r w:rsidR="009E2E1C" w:rsidRPr="009E2E1C">
        <w:rPr>
          <w:rFonts w:ascii="Times" w:hAnsi="Times"/>
          <w:i/>
        </w:rPr>
        <w:t>British Political Facts</w:t>
      </w:r>
      <w:r w:rsidR="005D72AD">
        <w:rPr>
          <w:rFonts w:ascii="Times" w:hAnsi="Times"/>
        </w:rPr>
        <w:t>,</w:t>
      </w:r>
      <w:r w:rsidR="009E2E1C" w:rsidRPr="009E2E1C">
        <w:rPr>
          <w:rFonts w:ascii="Times" w:hAnsi="Times"/>
          <w:i/>
        </w:rPr>
        <w:t xml:space="preserve"> </w:t>
      </w:r>
      <w:r w:rsidR="009E2E1C" w:rsidRPr="009E2E1C">
        <w:rPr>
          <w:rFonts w:ascii="Times" w:hAnsi="Times"/>
        </w:rPr>
        <w:t xml:space="preserve">Palgrave Macmillan, </w:t>
      </w:r>
      <w:r w:rsidR="009E2E1C">
        <w:rPr>
          <w:rFonts w:ascii="Times" w:hAnsi="Times"/>
        </w:rPr>
        <w:t>Basingstoke, 2011.</w:t>
      </w:r>
    </w:p>
    <w:p w14:paraId="556734CC" w14:textId="77777777" w:rsidR="00F76E48" w:rsidRPr="00781871" w:rsidRDefault="00F76E48">
      <w:pPr>
        <w:pStyle w:val="EndnoteText"/>
        <w:rPr>
          <w:rFonts w:ascii="Times" w:hAnsi="Times"/>
        </w:rPr>
      </w:pPr>
    </w:p>
  </w:endnote>
  <w:endnote w:id="7">
    <w:p w14:paraId="321654A7" w14:textId="0800A999" w:rsidR="00507D09" w:rsidRPr="00231781" w:rsidRDefault="00507D09">
      <w:pPr>
        <w:pStyle w:val="EndnoteText"/>
        <w:rPr>
          <w:rFonts w:ascii="Times" w:hAnsi="Times"/>
        </w:rPr>
      </w:pPr>
      <w:r w:rsidRPr="00231781">
        <w:rPr>
          <w:rStyle w:val="EndnoteReference"/>
          <w:rFonts w:ascii="Times" w:hAnsi="Times"/>
        </w:rPr>
        <w:endnoteRef/>
      </w:r>
      <w:r w:rsidRPr="00231781">
        <w:rPr>
          <w:rFonts w:ascii="Times" w:hAnsi="Times"/>
        </w:rPr>
        <w:t xml:space="preserve"> </w:t>
      </w:r>
      <w:r w:rsidR="00231781" w:rsidRPr="00231781">
        <w:rPr>
          <w:rFonts w:ascii="Times" w:hAnsi="Times"/>
        </w:rPr>
        <w:t xml:space="preserve">Ray Forrest, Alan Murie and Peter Williams, </w:t>
      </w:r>
      <w:r w:rsidR="00231781" w:rsidRPr="00231781">
        <w:rPr>
          <w:rFonts w:ascii="Times" w:hAnsi="Times"/>
          <w:i/>
        </w:rPr>
        <w:t>Home Ownership: Differentiation and Fragmentation</w:t>
      </w:r>
      <w:r w:rsidR="00231781">
        <w:rPr>
          <w:rFonts w:ascii="Times" w:hAnsi="Times"/>
        </w:rPr>
        <w:t xml:space="preserve">, </w:t>
      </w:r>
      <w:r w:rsidR="00231781" w:rsidRPr="00231781">
        <w:rPr>
          <w:rFonts w:ascii="Times" w:hAnsi="Times"/>
        </w:rPr>
        <w:t>Unwin</w:t>
      </w:r>
      <w:r w:rsidR="00231781">
        <w:rPr>
          <w:rFonts w:ascii="Times" w:hAnsi="Times"/>
        </w:rPr>
        <w:t xml:space="preserve"> Hyman, London, 1990.</w:t>
      </w:r>
    </w:p>
    <w:p w14:paraId="161EBB41" w14:textId="77777777" w:rsidR="00507D09" w:rsidRPr="00781871" w:rsidRDefault="00507D09">
      <w:pPr>
        <w:pStyle w:val="EndnoteText"/>
        <w:rPr>
          <w:rFonts w:ascii="Times" w:hAnsi="Times"/>
        </w:rPr>
      </w:pPr>
    </w:p>
  </w:endnote>
  <w:endnote w:id="8">
    <w:p w14:paraId="6439A758" w14:textId="6E90E62F" w:rsidR="00F76E48" w:rsidRPr="00152914" w:rsidRDefault="00F76E48">
      <w:pPr>
        <w:pStyle w:val="EndnoteText"/>
        <w:rPr>
          <w:rFonts w:ascii="Times" w:hAnsi="Times"/>
        </w:rPr>
      </w:pPr>
      <w:r w:rsidRPr="00781871">
        <w:rPr>
          <w:rStyle w:val="EndnoteReference"/>
          <w:rFonts w:ascii="Times" w:hAnsi="Times"/>
        </w:rPr>
        <w:endnoteRef/>
      </w:r>
      <w:r w:rsidRPr="00781871">
        <w:rPr>
          <w:rFonts w:ascii="Times" w:hAnsi="Times"/>
        </w:rPr>
        <w:t xml:space="preserve"> </w:t>
      </w:r>
      <w:r w:rsidR="00152914">
        <w:rPr>
          <w:rFonts w:ascii="Times" w:hAnsi="Times"/>
        </w:rPr>
        <w:t xml:space="preserve">Burney, </w:t>
      </w:r>
      <w:r w:rsidR="00152914">
        <w:rPr>
          <w:rFonts w:ascii="Times" w:hAnsi="Times"/>
          <w:i/>
        </w:rPr>
        <w:t>Housing on Trial</w:t>
      </w:r>
      <w:r w:rsidR="00152914">
        <w:rPr>
          <w:rFonts w:ascii="Times" w:hAnsi="Times"/>
        </w:rPr>
        <w:t xml:space="preserve">. </w:t>
      </w:r>
    </w:p>
    <w:p w14:paraId="736161A1" w14:textId="77777777" w:rsidR="00F76E48" w:rsidRPr="00781871" w:rsidRDefault="00F76E48">
      <w:pPr>
        <w:pStyle w:val="EndnoteText"/>
        <w:rPr>
          <w:rFonts w:ascii="Times" w:hAnsi="Times"/>
        </w:rPr>
      </w:pPr>
    </w:p>
  </w:endnote>
  <w:endnote w:id="9">
    <w:p w14:paraId="430A671A" w14:textId="59DCA982" w:rsidR="00F76E48" w:rsidRPr="002F4607" w:rsidRDefault="00F76E48">
      <w:pPr>
        <w:pStyle w:val="EndnoteText"/>
        <w:rPr>
          <w:rFonts w:ascii="Times" w:hAnsi="Times"/>
        </w:rPr>
      </w:pPr>
      <w:r w:rsidRPr="002F4607">
        <w:rPr>
          <w:rStyle w:val="EndnoteReference"/>
          <w:rFonts w:ascii="Times" w:hAnsi="Times"/>
        </w:rPr>
        <w:endnoteRef/>
      </w:r>
      <w:r w:rsidRPr="002F4607">
        <w:rPr>
          <w:rFonts w:ascii="Times" w:hAnsi="Times"/>
        </w:rPr>
        <w:t xml:space="preserve"> </w:t>
      </w:r>
      <w:r w:rsidR="002F4607" w:rsidRPr="002F4607">
        <w:rPr>
          <w:rFonts w:ascii="Times" w:hAnsi="Times"/>
        </w:rPr>
        <w:t xml:space="preserve">Camilla Schofield and Ben Jones, “‘Whatever Community Is, This Is Not It’: Notting Hill and the Reconstruction of “Race” in Britain After 1958,” </w:t>
      </w:r>
      <w:r w:rsidR="002F4607" w:rsidRPr="002F4607">
        <w:rPr>
          <w:rFonts w:ascii="Times" w:hAnsi="Times"/>
          <w:i/>
        </w:rPr>
        <w:t>Journal of British Studies</w:t>
      </w:r>
      <w:r w:rsidR="007809EB">
        <w:rPr>
          <w:rFonts w:ascii="Times" w:hAnsi="Times"/>
        </w:rPr>
        <w:t>, Vol.</w:t>
      </w:r>
      <w:r w:rsidR="00843C3F">
        <w:rPr>
          <w:rFonts w:ascii="Times" w:hAnsi="Times"/>
        </w:rPr>
        <w:t xml:space="preserve"> 58, Issue 1, 2019. </w:t>
      </w:r>
    </w:p>
    <w:p w14:paraId="79EB506D" w14:textId="77777777" w:rsidR="00F76E48" w:rsidRPr="00781871" w:rsidRDefault="00F76E48">
      <w:pPr>
        <w:pStyle w:val="EndnoteText"/>
        <w:rPr>
          <w:rFonts w:ascii="Times" w:hAnsi="Times"/>
        </w:rPr>
      </w:pPr>
    </w:p>
  </w:endnote>
  <w:endnote w:id="10">
    <w:p w14:paraId="286F7F4D" w14:textId="56D8D986" w:rsidR="00F76E48" w:rsidRPr="00B92D32" w:rsidRDefault="00F76E48">
      <w:pPr>
        <w:pStyle w:val="EndnoteText"/>
        <w:rPr>
          <w:rFonts w:ascii="Times" w:hAnsi="Times"/>
        </w:rPr>
      </w:pPr>
      <w:r w:rsidRPr="00781871">
        <w:rPr>
          <w:rStyle w:val="EndnoteReference"/>
          <w:rFonts w:ascii="Times" w:hAnsi="Times"/>
        </w:rPr>
        <w:endnoteRef/>
      </w:r>
      <w:r w:rsidRPr="00781871">
        <w:rPr>
          <w:rFonts w:ascii="Times" w:hAnsi="Times"/>
        </w:rPr>
        <w:t xml:space="preserve"> </w:t>
      </w:r>
      <w:r w:rsidR="00B92D32">
        <w:rPr>
          <w:rFonts w:ascii="Times" w:hAnsi="Times"/>
        </w:rPr>
        <w:t xml:space="preserve">Quoted in Burney, </w:t>
      </w:r>
      <w:r w:rsidR="00B92D32">
        <w:rPr>
          <w:rFonts w:ascii="Times" w:hAnsi="Times"/>
          <w:i/>
        </w:rPr>
        <w:t>Housing on Trial</w:t>
      </w:r>
      <w:r w:rsidR="00B92D32">
        <w:rPr>
          <w:rFonts w:ascii="Times" w:hAnsi="Times"/>
        </w:rPr>
        <w:t xml:space="preserve">. </w:t>
      </w:r>
    </w:p>
    <w:p w14:paraId="53795803" w14:textId="77777777" w:rsidR="00F76E48" w:rsidRPr="00781871" w:rsidRDefault="00F76E48">
      <w:pPr>
        <w:pStyle w:val="EndnoteText"/>
        <w:rPr>
          <w:rFonts w:ascii="Times" w:hAnsi="Times"/>
        </w:rPr>
      </w:pPr>
    </w:p>
  </w:endnote>
  <w:endnote w:id="11">
    <w:p w14:paraId="56EB7054" w14:textId="69BC5635" w:rsidR="00F76E48" w:rsidRPr="00B92D32" w:rsidRDefault="00F76E48">
      <w:pPr>
        <w:pStyle w:val="EndnoteText"/>
        <w:rPr>
          <w:rFonts w:ascii="Times" w:hAnsi="Times"/>
        </w:rPr>
      </w:pPr>
      <w:r w:rsidRPr="00781871">
        <w:rPr>
          <w:rStyle w:val="EndnoteReference"/>
          <w:rFonts w:ascii="Times" w:hAnsi="Times"/>
        </w:rPr>
        <w:endnoteRef/>
      </w:r>
      <w:r w:rsidRPr="00781871">
        <w:rPr>
          <w:rFonts w:ascii="Times" w:hAnsi="Times"/>
        </w:rPr>
        <w:t xml:space="preserve"> </w:t>
      </w:r>
      <w:r w:rsidR="00B92D32">
        <w:rPr>
          <w:rFonts w:ascii="Times" w:hAnsi="Times"/>
        </w:rPr>
        <w:t xml:space="preserve">Burney, </w:t>
      </w:r>
      <w:r w:rsidR="00B92D32">
        <w:rPr>
          <w:rFonts w:ascii="Times" w:hAnsi="Times"/>
          <w:i/>
        </w:rPr>
        <w:t>Housing on Trial</w:t>
      </w:r>
      <w:r w:rsidR="00B92D32">
        <w:rPr>
          <w:rFonts w:ascii="Times" w:hAnsi="Times"/>
        </w:rPr>
        <w:t>.</w:t>
      </w:r>
    </w:p>
    <w:p w14:paraId="71325303" w14:textId="77777777" w:rsidR="00F76E48" w:rsidRPr="00781871" w:rsidRDefault="00F76E48">
      <w:pPr>
        <w:pStyle w:val="EndnoteText"/>
        <w:rPr>
          <w:rFonts w:ascii="Times" w:hAnsi="Times"/>
        </w:rPr>
      </w:pPr>
    </w:p>
  </w:endnote>
  <w:endnote w:id="12">
    <w:p w14:paraId="6829056D" w14:textId="72600016" w:rsidR="00672394" w:rsidRPr="00640988" w:rsidRDefault="00672394">
      <w:pPr>
        <w:pStyle w:val="EndnoteText"/>
        <w:rPr>
          <w:rFonts w:ascii="Times" w:hAnsi="Times"/>
        </w:rPr>
      </w:pPr>
      <w:r w:rsidRPr="00640988">
        <w:rPr>
          <w:rStyle w:val="EndnoteReference"/>
          <w:rFonts w:ascii="Times" w:hAnsi="Times"/>
        </w:rPr>
        <w:endnoteRef/>
      </w:r>
      <w:r w:rsidRPr="00640988">
        <w:rPr>
          <w:rFonts w:ascii="Times" w:hAnsi="Times"/>
        </w:rPr>
        <w:t xml:space="preserve"> For example, </w:t>
      </w:r>
      <w:r w:rsidR="00640988" w:rsidRPr="00640988">
        <w:rPr>
          <w:rFonts w:ascii="Times" w:hAnsi="Times"/>
        </w:rPr>
        <w:t xml:space="preserve">A. Bowes et. al., “Pakistanis and Social Rented Housing: A Study in Glasgow,” in A Bowes and et. al. eds., </w:t>
      </w:r>
      <w:r w:rsidR="00640988" w:rsidRPr="00640988">
        <w:rPr>
          <w:rFonts w:ascii="Times" w:hAnsi="Times"/>
          <w:i/>
        </w:rPr>
        <w:t>Perspectives on Welfare: The Experience of Minority Groups in Scotland</w:t>
      </w:r>
      <w:r w:rsidR="00640988">
        <w:rPr>
          <w:rFonts w:ascii="Times" w:hAnsi="Times"/>
        </w:rPr>
        <w:t>, Ashgate, Aldersho</w:t>
      </w:r>
      <w:r w:rsidR="00640988" w:rsidRPr="00640988">
        <w:rPr>
          <w:rFonts w:ascii="Times" w:hAnsi="Times"/>
        </w:rPr>
        <w:t xml:space="preserve">t, 1997. </w:t>
      </w:r>
    </w:p>
    <w:p w14:paraId="47C3B545" w14:textId="77777777" w:rsidR="00672394" w:rsidRDefault="00672394">
      <w:pPr>
        <w:pStyle w:val="EndnoteText"/>
      </w:pPr>
    </w:p>
  </w:endnote>
  <w:endnote w:id="13">
    <w:p w14:paraId="138B7F94" w14:textId="557BF924" w:rsidR="00F76E48" w:rsidRPr="00B92D32" w:rsidRDefault="00F76E48">
      <w:pPr>
        <w:pStyle w:val="EndnoteText"/>
        <w:rPr>
          <w:rFonts w:ascii="Times" w:hAnsi="Times"/>
        </w:rPr>
      </w:pPr>
      <w:r w:rsidRPr="00B92D32">
        <w:rPr>
          <w:rStyle w:val="EndnoteReference"/>
          <w:rFonts w:ascii="Times" w:hAnsi="Times"/>
        </w:rPr>
        <w:endnoteRef/>
      </w:r>
      <w:r w:rsidRPr="00B92D32">
        <w:rPr>
          <w:rFonts w:ascii="Times" w:hAnsi="Times"/>
        </w:rPr>
        <w:t xml:space="preserve"> </w:t>
      </w:r>
      <w:r w:rsidR="00B92D32" w:rsidRPr="00B92D32">
        <w:rPr>
          <w:rFonts w:ascii="Times" w:hAnsi="Times"/>
        </w:rPr>
        <w:t xml:space="preserve">Commission for Racial Equality, </w:t>
      </w:r>
      <w:r w:rsidR="00B92D32" w:rsidRPr="00B92D32">
        <w:rPr>
          <w:rFonts w:ascii="Times" w:hAnsi="Times"/>
          <w:i/>
        </w:rPr>
        <w:t xml:space="preserve">Living in Terror: A Report on Racial Violence and Harassment in </w:t>
      </w:r>
      <w:r w:rsidR="00B92D32" w:rsidRPr="00B92D32">
        <w:rPr>
          <w:rFonts w:ascii="Times" w:hAnsi="Times"/>
        </w:rPr>
        <w:t>Housing</w:t>
      </w:r>
      <w:r w:rsidR="00B92D32">
        <w:rPr>
          <w:rFonts w:ascii="Times" w:hAnsi="Times"/>
        </w:rPr>
        <w:t xml:space="preserve">, </w:t>
      </w:r>
      <w:r w:rsidR="00B92D32" w:rsidRPr="00B92D32">
        <w:rPr>
          <w:rFonts w:ascii="Times" w:hAnsi="Times"/>
        </w:rPr>
        <w:t xml:space="preserve">Commission for Racial Equality, </w:t>
      </w:r>
      <w:r w:rsidR="00B92D32">
        <w:rPr>
          <w:rFonts w:ascii="Times" w:hAnsi="Times"/>
        </w:rPr>
        <w:t>London, 1987</w:t>
      </w:r>
      <w:r w:rsidR="00B92D32" w:rsidRPr="00B92D32">
        <w:rPr>
          <w:rFonts w:ascii="Times" w:hAnsi="Times"/>
        </w:rPr>
        <w:t>.</w:t>
      </w:r>
    </w:p>
    <w:p w14:paraId="32A797D2" w14:textId="77777777" w:rsidR="00F76E48" w:rsidRPr="00781871" w:rsidRDefault="00F76E48">
      <w:pPr>
        <w:pStyle w:val="EndnoteText"/>
        <w:rPr>
          <w:rFonts w:ascii="Times" w:hAnsi="Times"/>
        </w:rPr>
      </w:pPr>
    </w:p>
  </w:endnote>
  <w:endnote w:id="14">
    <w:p w14:paraId="7D890BCE" w14:textId="58414B7A" w:rsidR="007E3B70" w:rsidRPr="007E3B70" w:rsidRDefault="00F76E48">
      <w:pPr>
        <w:pStyle w:val="EndnoteText"/>
        <w:rPr>
          <w:rFonts w:ascii="Times" w:hAnsi="Times"/>
        </w:rPr>
      </w:pPr>
      <w:r w:rsidRPr="00781871">
        <w:rPr>
          <w:rStyle w:val="EndnoteReference"/>
          <w:rFonts w:ascii="Times" w:hAnsi="Times"/>
        </w:rPr>
        <w:endnoteRef/>
      </w:r>
      <w:r w:rsidRPr="00781871">
        <w:rPr>
          <w:rFonts w:ascii="Times" w:hAnsi="Times"/>
        </w:rPr>
        <w:t xml:space="preserve"> </w:t>
      </w:r>
      <w:r w:rsidR="00BB0AC1">
        <w:rPr>
          <w:rFonts w:ascii="Times" w:hAnsi="Times"/>
        </w:rPr>
        <w:t xml:space="preserve">See, for </w:t>
      </w:r>
      <w:r w:rsidR="00BB0AC1" w:rsidRPr="005A286D">
        <w:rPr>
          <w:rFonts w:ascii="Times" w:hAnsi="Times"/>
        </w:rPr>
        <w:t xml:space="preserve">example, </w:t>
      </w:r>
      <w:r w:rsidR="004824BC">
        <w:rPr>
          <w:rFonts w:ascii="Times" w:hAnsi="Times"/>
        </w:rPr>
        <w:t xml:space="preserve">Runnymede Trust, </w:t>
      </w:r>
      <w:r w:rsidR="004824BC">
        <w:rPr>
          <w:rFonts w:ascii="Times" w:hAnsi="Times"/>
          <w:i/>
        </w:rPr>
        <w:t>Race and Council Housing in London</w:t>
      </w:r>
      <w:r w:rsidR="004824BC">
        <w:rPr>
          <w:rFonts w:ascii="Times" w:hAnsi="Times"/>
        </w:rPr>
        <w:t xml:space="preserve">, Runnymede Trust, London, 1975; </w:t>
      </w:r>
      <w:r w:rsidR="007E3B70">
        <w:rPr>
          <w:rFonts w:ascii="Times" w:hAnsi="Times"/>
        </w:rPr>
        <w:t xml:space="preserve">D. Smith, </w:t>
      </w:r>
      <w:r w:rsidR="007E3B70" w:rsidRPr="007E3B70">
        <w:rPr>
          <w:rFonts w:ascii="Times" w:hAnsi="Times"/>
          <w:i/>
        </w:rPr>
        <w:t>Racial Minorities and Public Housing</w:t>
      </w:r>
      <w:r w:rsidR="007E3B70">
        <w:rPr>
          <w:rFonts w:ascii="Times" w:hAnsi="Times"/>
        </w:rPr>
        <w:t xml:space="preserve">, PEP, </w:t>
      </w:r>
      <w:r w:rsidR="002C70FD">
        <w:rPr>
          <w:rFonts w:ascii="Times" w:hAnsi="Times"/>
        </w:rPr>
        <w:t xml:space="preserve">London, </w:t>
      </w:r>
      <w:r w:rsidR="005D72AD">
        <w:rPr>
          <w:rFonts w:ascii="Times" w:hAnsi="Times"/>
        </w:rPr>
        <w:t>1975;</w:t>
      </w:r>
      <w:r w:rsidR="007E3B70">
        <w:rPr>
          <w:rFonts w:ascii="Times" w:hAnsi="Times"/>
        </w:rPr>
        <w:t xml:space="preserve"> </w:t>
      </w:r>
    </w:p>
    <w:p w14:paraId="4638479A" w14:textId="020782AE" w:rsidR="00F76E48" w:rsidRPr="005A286D" w:rsidRDefault="007E3B70">
      <w:pPr>
        <w:pStyle w:val="EndnoteText"/>
        <w:rPr>
          <w:rFonts w:ascii="Times" w:hAnsi="Times"/>
        </w:rPr>
      </w:pPr>
      <w:r>
        <w:rPr>
          <w:rFonts w:ascii="Times" w:hAnsi="Times"/>
        </w:rPr>
        <w:t xml:space="preserve">J. Parker, </w:t>
      </w:r>
      <w:r>
        <w:rPr>
          <w:rFonts w:ascii="Times" w:hAnsi="Times"/>
          <w:i/>
        </w:rPr>
        <w:t>Colour and the Allocation of GLC Housing: The Report of the GLC Lettings Survey</w:t>
      </w:r>
      <w:r>
        <w:rPr>
          <w:rFonts w:ascii="Times" w:hAnsi="Times"/>
        </w:rPr>
        <w:t>, GLC I</w:t>
      </w:r>
      <w:r w:rsidR="005D72AD">
        <w:rPr>
          <w:rFonts w:ascii="Times" w:hAnsi="Times"/>
        </w:rPr>
        <w:t>nformation Centre, London, 1976;</w:t>
      </w:r>
      <w:r>
        <w:rPr>
          <w:rFonts w:ascii="Times" w:hAnsi="Times"/>
        </w:rPr>
        <w:t xml:space="preserve"> </w:t>
      </w:r>
      <w:r w:rsidR="005A286D" w:rsidRPr="005A286D">
        <w:rPr>
          <w:rFonts w:ascii="Times" w:hAnsi="Times"/>
        </w:rPr>
        <w:t xml:space="preserve">London Housing Research Group Working Party on Race and Housing, </w:t>
      </w:r>
      <w:r w:rsidR="005A286D" w:rsidRPr="005A286D">
        <w:rPr>
          <w:rFonts w:ascii="Times" w:hAnsi="Times"/>
          <w:i/>
        </w:rPr>
        <w:t>Race and Local Authority Housing: A Report of the London Housing Research Group</w:t>
      </w:r>
      <w:r w:rsidR="008438D5">
        <w:rPr>
          <w:rFonts w:ascii="Times" w:hAnsi="Times"/>
        </w:rPr>
        <w:t>,</w:t>
      </w:r>
      <w:r w:rsidR="005A286D" w:rsidRPr="005A286D">
        <w:rPr>
          <w:rFonts w:ascii="Times" w:hAnsi="Times"/>
          <w:i/>
        </w:rPr>
        <w:t xml:space="preserve"> </w:t>
      </w:r>
      <w:r w:rsidR="005A286D" w:rsidRPr="005A286D">
        <w:rPr>
          <w:rFonts w:ascii="Times" w:hAnsi="Times"/>
        </w:rPr>
        <w:t>Commun</w:t>
      </w:r>
      <w:r w:rsidR="005A286D">
        <w:rPr>
          <w:rFonts w:ascii="Times" w:hAnsi="Times"/>
        </w:rPr>
        <w:t>ity Relations Commission, London, 1977;</w:t>
      </w:r>
      <w:r w:rsidR="005A286D" w:rsidRPr="005A286D">
        <w:rPr>
          <w:rFonts w:ascii="Times" w:hAnsi="Times"/>
        </w:rPr>
        <w:t xml:space="preserve"> Commission for Racial Equality, </w:t>
      </w:r>
      <w:r w:rsidR="005A286D" w:rsidRPr="005A286D">
        <w:rPr>
          <w:rFonts w:ascii="Times" w:hAnsi="Times"/>
          <w:i/>
        </w:rPr>
        <w:t>Race and Council Housing in Hackney: Report of a Formal Investigation</w:t>
      </w:r>
      <w:r w:rsidR="005A286D">
        <w:rPr>
          <w:rFonts w:ascii="Times" w:hAnsi="Times"/>
          <w:i/>
        </w:rPr>
        <w:t xml:space="preserve">, </w:t>
      </w:r>
      <w:r w:rsidR="005A286D" w:rsidRPr="005A286D">
        <w:rPr>
          <w:rFonts w:ascii="Times" w:hAnsi="Times"/>
        </w:rPr>
        <w:t xml:space="preserve">Commission for Racial Equality, </w:t>
      </w:r>
      <w:r w:rsidR="005A286D">
        <w:rPr>
          <w:rFonts w:ascii="Times" w:hAnsi="Times"/>
        </w:rPr>
        <w:t>London, 1984</w:t>
      </w:r>
      <w:r w:rsidR="005A286D" w:rsidRPr="005A286D">
        <w:rPr>
          <w:rFonts w:ascii="Times" w:hAnsi="Times"/>
        </w:rPr>
        <w:t>.</w:t>
      </w:r>
    </w:p>
    <w:p w14:paraId="62782555" w14:textId="77777777" w:rsidR="00F76E48" w:rsidRPr="00781871" w:rsidRDefault="00F76E48">
      <w:pPr>
        <w:pStyle w:val="EndnoteText"/>
        <w:rPr>
          <w:rFonts w:ascii="Times" w:hAnsi="Times"/>
        </w:rPr>
      </w:pPr>
    </w:p>
  </w:endnote>
  <w:endnote w:id="15">
    <w:p w14:paraId="493D9FA4" w14:textId="65E5EE39" w:rsidR="00C97F39" w:rsidRPr="008438D5" w:rsidRDefault="00C97F39" w:rsidP="00C97F39">
      <w:pPr>
        <w:pStyle w:val="EndnoteText"/>
        <w:rPr>
          <w:rFonts w:ascii="Times" w:hAnsi="Times"/>
          <w:i/>
        </w:rPr>
      </w:pPr>
      <w:r w:rsidRPr="00781871">
        <w:rPr>
          <w:rStyle w:val="EndnoteReference"/>
          <w:rFonts w:ascii="Times" w:hAnsi="Times"/>
        </w:rPr>
        <w:endnoteRef/>
      </w:r>
      <w:r w:rsidRPr="00781871">
        <w:rPr>
          <w:rFonts w:ascii="Times" w:hAnsi="Times"/>
        </w:rPr>
        <w:t xml:space="preserve"> </w:t>
      </w:r>
      <w:r w:rsidR="008438D5">
        <w:rPr>
          <w:rFonts w:ascii="Times" w:hAnsi="Times"/>
        </w:rPr>
        <w:t xml:space="preserve">Commission for Racial Equality, </w:t>
      </w:r>
      <w:r w:rsidR="008438D5">
        <w:rPr>
          <w:rFonts w:ascii="Times" w:hAnsi="Times"/>
          <w:i/>
        </w:rPr>
        <w:t>Race and Council Housing in Hackney</w:t>
      </w:r>
      <w:r w:rsidR="009D432A">
        <w:rPr>
          <w:rFonts w:ascii="Times" w:hAnsi="Times"/>
          <w:i/>
        </w:rPr>
        <w:t>.</w:t>
      </w:r>
    </w:p>
    <w:p w14:paraId="5C2227B9" w14:textId="77777777" w:rsidR="00C97F39" w:rsidRPr="00781871" w:rsidRDefault="00C97F39" w:rsidP="00C97F39">
      <w:pPr>
        <w:pStyle w:val="EndnoteText"/>
        <w:rPr>
          <w:rFonts w:ascii="Times" w:hAnsi="Times"/>
        </w:rPr>
      </w:pPr>
    </w:p>
  </w:endnote>
  <w:endnote w:id="16">
    <w:p w14:paraId="255AD98C" w14:textId="7FE3EC1C" w:rsidR="00C97F39" w:rsidRPr="009D432A" w:rsidRDefault="00C97F39" w:rsidP="00C97F39">
      <w:pPr>
        <w:pStyle w:val="EndnoteText"/>
        <w:rPr>
          <w:rFonts w:ascii="Times" w:hAnsi="Times"/>
        </w:rPr>
      </w:pPr>
      <w:r w:rsidRPr="009D432A">
        <w:rPr>
          <w:rStyle w:val="EndnoteReference"/>
          <w:rFonts w:ascii="Times" w:hAnsi="Times"/>
        </w:rPr>
        <w:endnoteRef/>
      </w:r>
      <w:r w:rsidRPr="009D432A">
        <w:rPr>
          <w:rFonts w:ascii="Times" w:hAnsi="Times"/>
        </w:rPr>
        <w:t xml:space="preserve"> </w:t>
      </w:r>
      <w:r w:rsidR="009D432A" w:rsidRPr="009D432A">
        <w:rPr>
          <w:rFonts w:ascii="Times" w:hAnsi="Times"/>
        </w:rPr>
        <w:t xml:space="preserve">Alan Simpson, </w:t>
      </w:r>
      <w:r w:rsidR="009D432A" w:rsidRPr="009D432A">
        <w:rPr>
          <w:rFonts w:ascii="Times" w:hAnsi="Times"/>
          <w:i/>
        </w:rPr>
        <w:t>Stacking the Decks: A Study of Race, Inequality and Council Housing in Nottingham</w:t>
      </w:r>
      <w:r w:rsidR="009D432A">
        <w:rPr>
          <w:rFonts w:ascii="Times" w:hAnsi="Times"/>
        </w:rPr>
        <w:t xml:space="preserve"> </w:t>
      </w:r>
      <w:r w:rsidR="009D432A" w:rsidRPr="009D432A">
        <w:rPr>
          <w:rFonts w:ascii="Times" w:hAnsi="Times"/>
        </w:rPr>
        <w:t>Nottingham and District Co</w:t>
      </w:r>
      <w:r w:rsidR="009D432A">
        <w:rPr>
          <w:rFonts w:ascii="Times" w:hAnsi="Times"/>
        </w:rPr>
        <w:t>mmunity Relations Council, Nottingham, 1981.</w:t>
      </w:r>
    </w:p>
    <w:p w14:paraId="29589492" w14:textId="77777777" w:rsidR="00C97F39" w:rsidRDefault="00C97F39" w:rsidP="00C97F39">
      <w:pPr>
        <w:pStyle w:val="EndnoteText"/>
      </w:pPr>
    </w:p>
  </w:endnote>
  <w:endnote w:id="17">
    <w:p w14:paraId="0C21CE9F" w14:textId="3ADBAC9E" w:rsidR="00F76E48" w:rsidRPr="009D432A" w:rsidRDefault="00F76E48">
      <w:pPr>
        <w:pStyle w:val="EndnoteText"/>
        <w:rPr>
          <w:rFonts w:ascii="Times" w:hAnsi="Times"/>
        </w:rPr>
      </w:pPr>
      <w:r w:rsidRPr="00781871">
        <w:rPr>
          <w:rStyle w:val="EndnoteReference"/>
          <w:rFonts w:ascii="Times" w:hAnsi="Times"/>
        </w:rPr>
        <w:endnoteRef/>
      </w:r>
      <w:r w:rsidRPr="00781871">
        <w:rPr>
          <w:rFonts w:ascii="Times" w:hAnsi="Times"/>
        </w:rPr>
        <w:t xml:space="preserve"> </w:t>
      </w:r>
      <w:r w:rsidR="009D432A">
        <w:rPr>
          <w:rFonts w:ascii="Times" w:hAnsi="Times"/>
        </w:rPr>
        <w:t xml:space="preserve">Ceri Peach and Margaret Byron, “Council House Sales, Residualisation and Afro Caribbean Tenants,” </w:t>
      </w:r>
      <w:r w:rsidR="009D432A">
        <w:rPr>
          <w:rFonts w:ascii="Times" w:hAnsi="Times"/>
          <w:i/>
        </w:rPr>
        <w:t>Journal of Social Policy</w:t>
      </w:r>
      <w:r w:rsidR="009D432A">
        <w:rPr>
          <w:rFonts w:ascii="Times" w:hAnsi="Times"/>
        </w:rPr>
        <w:t xml:space="preserve">, Volume 23, Issue 3, 1994. </w:t>
      </w:r>
      <w:r w:rsidR="00B35DD6">
        <w:rPr>
          <w:rFonts w:ascii="Times" w:hAnsi="Times"/>
        </w:rPr>
        <w:t xml:space="preserve">It is worth also noting that housing allocation patterns differed slightly in some parts of the country. In Liverpool, for example, although non-white applications were reported to have had a harder time finding high quality housing, people of colour were not over-represented in high density housing specifically. </w:t>
      </w:r>
    </w:p>
    <w:p w14:paraId="63855427" w14:textId="77777777" w:rsidR="00F76E48" w:rsidRPr="00781871" w:rsidRDefault="00F76E48">
      <w:pPr>
        <w:pStyle w:val="EndnoteText"/>
        <w:rPr>
          <w:rFonts w:ascii="Times" w:hAnsi="Times"/>
        </w:rPr>
      </w:pPr>
    </w:p>
  </w:endnote>
  <w:endnote w:id="18">
    <w:p w14:paraId="1D8D7D82" w14:textId="54EE5323" w:rsidR="00F76E48" w:rsidRPr="009D432A" w:rsidRDefault="00F76E48" w:rsidP="009D432A">
      <w:pPr>
        <w:pStyle w:val="FootnoteText"/>
        <w:rPr>
          <w:rFonts w:ascii="Times" w:hAnsi="Times"/>
          <w:i/>
        </w:rPr>
      </w:pPr>
      <w:r w:rsidRPr="00781871">
        <w:rPr>
          <w:rStyle w:val="EndnoteReference"/>
          <w:rFonts w:ascii="Times" w:hAnsi="Times"/>
        </w:rPr>
        <w:endnoteRef/>
      </w:r>
      <w:r w:rsidRPr="00781871">
        <w:rPr>
          <w:rFonts w:ascii="Times" w:hAnsi="Times"/>
        </w:rPr>
        <w:t xml:space="preserve"> </w:t>
      </w:r>
      <w:r w:rsidR="009D432A">
        <w:rPr>
          <w:rFonts w:ascii="Times" w:hAnsi="Times"/>
        </w:rPr>
        <w:t xml:space="preserve">For “residualisation” after </w:t>
      </w:r>
      <w:r w:rsidR="009D432A" w:rsidRPr="009D432A">
        <w:rPr>
          <w:rFonts w:ascii="Times" w:hAnsi="Times"/>
        </w:rPr>
        <w:t xml:space="preserve">1977 see Alison Ravetz, </w:t>
      </w:r>
      <w:r w:rsidR="009D432A" w:rsidRPr="009D432A">
        <w:rPr>
          <w:rFonts w:ascii="Times" w:hAnsi="Times"/>
          <w:i/>
        </w:rPr>
        <w:t>Council Housing and Culture: The History of a Social Experiment</w:t>
      </w:r>
      <w:r w:rsidR="009D432A">
        <w:rPr>
          <w:rFonts w:ascii="Times" w:hAnsi="Times"/>
        </w:rPr>
        <w:t xml:space="preserve">, </w:t>
      </w:r>
      <w:r w:rsidR="009D432A" w:rsidRPr="009D432A">
        <w:rPr>
          <w:rFonts w:ascii="Times" w:hAnsi="Times"/>
        </w:rPr>
        <w:t xml:space="preserve">Routledge, </w:t>
      </w:r>
      <w:r w:rsidR="009D432A">
        <w:rPr>
          <w:rFonts w:ascii="Times" w:hAnsi="Times"/>
        </w:rPr>
        <w:t xml:space="preserve">London, </w:t>
      </w:r>
      <w:r w:rsidR="009D432A" w:rsidRPr="009D432A">
        <w:rPr>
          <w:rFonts w:ascii="Times" w:hAnsi="Times"/>
        </w:rPr>
        <w:t>2001</w:t>
      </w:r>
      <w:r w:rsidR="009D432A">
        <w:rPr>
          <w:rFonts w:ascii="Times" w:hAnsi="Times"/>
        </w:rPr>
        <w:t xml:space="preserve">; </w:t>
      </w:r>
      <w:r w:rsidR="009D432A" w:rsidRPr="009D432A">
        <w:rPr>
          <w:rFonts w:ascii="Times" w:hAnsi="Times"/>
        </w:rPr>
        <w:t xml:space="preserve">Anne Power, </w:t>
      </w:r>
      <w:r w:rsidR="009D432A" w:rsidRPr="009D432A">
        <w:rPr>
          <w:rFonts w:ascii="Times" w:hAnsi="Times"/>
          <w:i/>
        </w:rPr>
        <w:t>Property Before People: The Management of Twentieth Century Council Housing</w:t>
      </w:r>
      <w:r w:rsidR="009D432A">
        <w:rPr>
          <w:rFonts w:ascii="Times" w:hAnsi="Times"/>
        </w:rPr>
        <w:t xml:space="preserve">, </w:t>
      </w:r>
      <w:r w:rsidR="009D432A" w:rsidRPr="009D432A">
        <w:rPr>
          <w:rFonts w:ascii="Times" w:hAnsi="Times"/>
        </w:rPr>
        <w:t xml:space="preserve">Allen and Unwin, </w:t>
      </w:r>
      <w:r w:rsidR="009D432A">
        <w:rPr>
          <w:rFonts w:ascii="Times" w:hAnsi="Times"/>
        </w:rPr>
        <w:t>London 1987;</w:t>
      </w:r>
      <w:r w:rsidR="009D432A" w:rsidRPr="009D432A">
        <w:rPr>
          <w:rFonts w:ascii="Times" w:hAnsi="Times"/>
          <w:i/>
        </w:rPr>
        <w:t xml:space="preserve"> </w:t>
      </w:r>
      <w:r w:rsidR="009D432A" w:rsidRPr="009D432A">
        <w:rPr>
          <w:rFonts w:ascii="Times" w:hAnsi="Times"/>
        </w:rPr>
        <w:t xml:space="preserve">Peter Malpass, </w:t>
      </w:r>
      <w:r w:rsidR="009D432A" w:rsidRPr="009D432A">
        <w:rPr>
          <w:rFonts w:ascii="Times" w:hAnsi="Times"/>
          <w:i/>
        </w:rPr>
        <w:t>Reshaping Housing Policy: Subsidies, Rents and Residualisation</w:t>
      </w:r>
      <w:r w:rsidR="009D432A">
        <w:rPr>
          <w:rFonts w:ascii="Times" w:hAnsi="Times"/>
        </w:rPr>
        <w:t xml:space="preserve">, Routledge, London, 1990. </w:t>
      </w:r>
      <w:r w:rsidR="009D432A" w:rsidRPr="009D432A">
        <w:rPr>
          <w:rFonts w:ascii="Times" w:hAnsi="Times"/>
        </w:rPr>
        <w:t xml:space="preserve"> </w:t>
      </w:r>
    </w:p>
    <w:p w14:paraId="0CFA5029" w14:textId="77777777" w:rsidR="00F76E48" w:rsidRPr="00781871" w:rsidRDefault="00F76E48">
      <w:pPr>
        <w:pStyle w:val="EndnoteText"/>
        <w:rPr>
          <w:rFonts w:ascii="Times" w:hAnsi="Times"/>
        </w:rPr>
      </w:pPr>
    </w:p>
  </w:endnote>
  <w:endnote w:id="19">
    <w:p w14:paraId="03C57438" w14:textId="0C4099AE" w:rsidR="00A86A77" w:rsidRPr="00A86A77" w:rsidRDefault="00A86A77" w:rsidP="00A86A77">
      <w:pPr>
        <w:pStyle w:val="EndnoteText"/>
        <w:rPr>
          <w:rFonts w:ascii="Times" w:hAnsi="Times"/>
        </w:rPr>
      </w:pPr>
      <w:r w:rsidRPr="00A86A77">
        <w:rPr>
          <w:rStyle w:val="EndnoteReference"/>
          <w:rFonts w:ascii="Times" w:hAnsi="Times"/>
        </w:rPr>
        <w:endnoteRef/>
      </w:r>
      <w:r w:rsidRPr="00A86A77">
        <w:rPr>
          <w:rFonts w:ascii="Times" w:hAnsi="Times"/>
        </w:rPr>
        <w:t xml:space="preserve"> Sidney Jacobs, “Race, Empire and the Welfare State: Council Housing and Racism,” </w:t>
      </w:r>
      <w:r w:rsidRPr="00A86A77">
        <w:rPr>
          <w:rFonts w:ascii="Times" w:hAnsi="Times"/>
          <w:i/>
        </w:rPr>
        <w:t>Critical Social Policy</w:t>
      </w:r>
      <w:r w:rsidRPr="00A86A77">
        <w:rPr>
          <w:rFonts w:ascii="Times" w:hAnsi="Times"/>
        </w:rPr>
        <w:t xml:space="preserve">, Volume 5, no. 13, 1985. </w:t>
      </w:r>
    </w:p>
    <w:p w14:paraId="4BBA441D" w14:textId="77777777" w:rsidR="00A86A77" w:rsidRDefault="00A86A77" w:rsidP="00A86A77">
      <w:pPr>
        <w:pStyle w:val="EndnoteText"/>
      </w:pPr>
    </w:p>
  </w:endnote>
  <w:endnote w:id="20">
    <w:p w14:paraId="380B5031" w14:textId="69CCAF86" w:rsidR="00F76E48" w:rsidRPr="00781871" w:rsidRDefault="00F76E48">
      <w:pPr>
        <w:pStyle w:val="EndnoteText"/>
        <w:rPr>
          <w:rFonts w:ascii="Times" w:hAnsi="Times"/>
        </w:rPr>
      </w:pPr>
      <w:r w:rsidRPr="00781871">
        <w:rPr>
          <w:rStyle w:val="EndnoteReference"/>
          <w:rFonts w:ascii="Times" w:hAnsi="Times"/>
        </w:rPr>
        <w:endnoteRef/>
      </w:r>
      <w:r w:rsidRPr="00781871">
        <w:rPr>
          <w:rFonts w:ascii="Times" w:hAnsi="Times"/>
        </w:rPr>
        <w:t xml:space="preserve"> </w:t>
      </w:r>
      <w:r w:rsidR="00E62B07">
        <w:rPr>
          <w:rFonts w:ascii="Times" w:hAnsi="Times"/>
        </w:rPr>
        <w:t xml:space="preserve">From the Government’s internal figures on sales reported in 1988. The National Archives (henceforward TNA) AT 131/19. </w:t>
      </w:r>
    </w:p>
    <w:p w14:paraId="79E1EF43" w14:textId="77777777" w:rsidR="00F76E48" w:rsidRPr="00781871" w:rsidRDefault="00F76E48">
      <w:pPr>
        <w:pStyle w:val="EndnoteText"/>
        <w:rPr>
          <w:rFonts w:ascii="Times" w:hAnsi="Times"/>
        </w:rPr>
      </w:pPr>
    </w:p>
  </w:endnote>
  <w:endnote w:id="21">
    <w:p w14:paraId="43FF3D05" w14:textId="1BE974E8" w:rsidR="00233C8E" w:rsidRPr="00233C8E" w:rsidRDefault="00233C8E">
      <w:pPr>
        <w:pStyle w:val="EndnoteText"/>
        <w:rPr>
          <w:rFonts w:ascii="Times" w:hAnsi="Times"/>
        </w:rPr>
      </w:pPr>
      <w:r w:rsidRPr="00233C8E">
        <w:rPr>
          <w:rStyle w:val="EndnoteReference"/>
          <w:rFonts w:ascii="Times" w:hAnsi="Times"/>
        </w:rPr>
        <w:endnoteRef/>
      </w:r>
      <w:r w:rsidRPr="00233C8E">
        <w:rPr>
          <w:rFonts w:ascii="Times" w:hAnsi="Times"/>
        </w:rPr>
        <w:t xml:space="preserve"> </w:t>
      </w:r>
      <w:r w:rsidR="00E62B07">
        <w:rPr>
          <w:rFonts w:ascii="Times" w:hAnsi="Times"/>
        </w:rPr>
        <w:t xml:space="preserve">Figure from the report of a meeting between government housing officials and Birmingham City Council in 1985, TNA HLG 118/4408. </w:t>
      </w:r>
    </w:p>
    <w:p w14:paraId="38B8D5E5" w14:textId="77777777" w:rsidR="00233C8E" w:rsidRDefault="00233C8E">
      <w:pPr>
        <w:pStyle w:val="EndnoteText"/>
      </w:pPr>
    </w:p>
  </w:endnote>
  <w:endnote w:id="22">
    <w:p w14:paraId="29628267" w14:textId="5BBC81CE" w:rsidR="00F76E48" w:rsidRPr="00781871" w:rsidRDefault="00F76E48">
      <w:pPr>
        <w:pStyle w:val="EndnoteText"/>
        <w:rPr>
          <w:rFonts w:ascii="Times" w:hAnsi="Times"/>
        </w:rPr>
      </w:pPr>
      <w:r w:rsidRPr="00781871">
        <w:rPr>
          <w:rStyle w:val="EndnoteReference"/>
          <w:rFonts w:ascii="Times" w:hAnsi="Times"/>
        </w:rPr>
        <w:endnoteRef/>
      </w:r>
      <w:r w:rsidRPr="00781871">
        <w:rPr>
          <w:rFonts w:ascii="Times" w:hAnsi="Times"/>
        </w:rPr>
        <w:t xml:space="preserve"> </w:t>
      </w:r>
      <w:r w:rsidR="00E62B07">
        <w:rPr>
          <w:rFonts w:ascii="Times" w:hAnsi="Times"/>
        </w:rPr>
        <w:t xml:space="preserve">Quote is from a report drawn up by Halifax and submitted to the government in 1987. TNA AT 131/19. </w:t>
      </w:r>
    </w:p>
    <w:p w14:paraId="6BA4CA49" w14:textId="77777777" w:rsidR="00F76E48" w:rsidRPr="00781871" w:rsidRDefault="00F76E48">
      <w:pPr>
        <w:pStyle w:val="EndnoteText"/>
        <w:rPr>
          <w:rFonts w:ascii="Times" w:hAnsi="Times"/>
        </w:rPr>
      </w:pPr>
    </w:p>
  </w:endnote>
  <w:endnote w:id="23">
    <w:p w14:paraId="7CB7BFFC" w14:textId="1D944234" w:rsidR="00F76E48" w:rsidRDefault="00F76E48">
      <w:pPr>
        <w:pStyle w:val="EndnoteText"/>
        <w:rPr>
          <w:rFonts w:ascii="Times" w:hAnsi="Times"/>
        </w:rPr>
      </w:pPr>
      <w:r w:rsidRPr="00781871">
        <w:rPr>
          <w:rStyle w:val="EndnoteReference"/>
          <w:rFonts w:ascii="Times" w:hAnsi="Times"/>
        </w:rPr>
        <w:endnoteRef/>
      </w:r>
      <w:r w:rsidRPr="00781871">
        <w:rPr>
          <w:rFonts w:ascii="Times" w:hAnsi="Times"/>
        </w:rPr>
        <w:t xml:space="preserve"> </w:t>
      </w:r>
      <w:r w:rsidR="00E62B07">
        <w:rPr>
          <w:rFonts w:ascii="Times" w:hAnsi="Times"/>
        </w:rPr>
        <w:t xml:space="preserve">The term was used in an internal government memo in 1992. TNA AT 131/18. </w:t>
      </w:r>
    </w:p>
    <w:p w14:paraId="67867F12" w14:textId="77777777" w:rsidR="002A157E" w:rsidRPr="00781871" w:rsidRDefault="002A157E">
      <w:pPr>
        <w:pStyle w:val="EndnoteText"/>
        <w:rPr>
          <w:rFonts w:ascii="Times" w:hAnsi="Tim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A2E8" w14:textId="77777777" w:rsidR="00F83E9F" w:rsidRDefault="00F83E9F" w:rsidP="00937437">
      <w:r>
        <w:separator/>
      </w:r>
    </w:p>
  </w:footnote>
  <w:footnote w:type="continuationSeparator" w:id="0">
    <w:p w14:paraId="0C3D373B" w14:textId="77777777" w:rsidR="00F83E9F" w:rsidRDefault="00F83E9F" w:rsidP="00937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43A"/>
    <w:rsid w:val="000004C6"/>
    <w:rsid w:val="000040E1"/>
    <w:rsid w:val="000045F7"/>
    <w:rsid w:val="00004D2B"/>
    <w:rsid w:val="00004D87"/>
    <w:rsid w:val="00007164"/>
    <w:rsid w:val="00007B7E"/>
    <w:rsid w:val="00037448"/>
    <w:rsid w:val="00063B9B"/>
    <w:rsid w:val="00066CE1"/>
    <w:rsid w:val="00077BE8"/>
    <w:rsid w:val="000823AB"/>
    <w:rsid w:val="000857DE"/>
    <w:rsid w:val="000902AB"/>
    <w:rsid w:val="00092596"/>
    <w:rsid w:val="000A1DEF"/>
    <w:rsid w:val="000A25CE"/>
    <w:rsid w:val="000B3770"/>
    <w:rsid w:val="000C0035"/>
    <w:rsid w:val="000E3302"/>
    <w:rsid w:val="00112FB8"/>
    <w:rsid w:val="00117148"/>
    <w:rsid w:val="0013018A"/>
    <w:rsid w:val="00152914"/>
    <w:rsid w:val="00161E49"/>
    <w:rsid w:val="001B3AC9"/>
    <w:rsid w:val="001D422D"/>
    <w:rsid w:val="001F3FB9"/>
    <w:rsid w:val="001F4561"/>
    <w:rsid w:val="00201A38"/>
    <w:rsid w:val="002064F0"/>
    <w:rsid w:val="00231781"/>
    <w:rsid w:val="00233C8E"/>
    <w:rsid w:val="0025656C"/>
    <w:rsid w:val="00256D03"/>
    <w:rsid w:val="00281069"/>
    <w:rsid w:val="002A157E"/>
    <w:rsid w:val="002C70FD"/>
    <w:rsid w:val="002D7364"/>
    <w:rsid w:val="002D7D37"/>
    <w:rsid w:val="002F4607"/>
    <w:rsid w:val="00305A2C"/>
    <w:rsid w:val="003169AD"/>
    <w:rsid w:val="00324CB0"/>
    <w:rsid w:val="00325F75"/>
    <w:rsid w:val="00331613"/>
    <w:rsid w:val="003339D7"/>
    <w:rsid w:val="00343494"/>
    <w:rsid w:val="00345B71"/>
    <w:rsid w:val="00356013"/>
    <w:rsid w:val="00377943"/>
    <w:rsid w:val="00385C74"/>
    <w:rsid w:val="00385D1B"/>
    <w:rsid w:val="003A6CBF"/>
    <w:rsid w:val="003B064D"/>
    <w:rsid w:val="003B0724"/>
    <w:rsid w:val="003C7AE3"/>
    <w:rsid w:val="003E25AB"/>
    <w:rsid w:val="003E45D1"/>
    <w:rsid w:val="003E4A2C"/>
    <w:rsid w:val="003F37FB"/>
    <w:rsid w:val="00402E8B"/>
    <w:rsid w:val="004173C3"/>
    <w:rsid w:val="0042221B"/>
    <w:rsid w:val="00432789"/>
    <w:rsid w:val="00443E04"/>
    <w:rsid w:val="004508E8"/>
    <w:rsid w:val="00450CAC"/>
    <w:rsid w:val="00464534"/>
    <w:rsid w:val="004824BC"/>
    <w:rsid w:val="00492DF4"/>
    <w:rsid w:val="00494A8C"/>
    <w:rsid w:val="004A7826"/>
    <w:rsid w:val="004B3B01"/>
    <w:rsid w:val="004B6289"/>
    <w:rsid w:val="004B76B7"/>
    <w:rsid w:val="004C3980"/>
    <w:rsid w:val="004D3C02"/>
    <w:rsid w:val="004F3393"/>
    <w:rsid w:val="005047EE"/>
    <w:rsid w:val="00507D09"/>
    <w:rsid w:val="0051184B"/>
    <w:rsid w:val="00517B3B"/>
    <w:rsid w:val="005855AF"/>
    <w:rsid w:val="005A286D"/>
    <w:rsid w:val="005B0C11"/>
    <w:rsid w:val="005B23BE"/>
    <w:rsid w:val="005C58FE"/>
    <w:rsid w:val="005D72AD"/>
    <w:rsid w:val="00606E40"/>
    <w:rsid w:val="00616641"/>
    <w:rsid w:val="00617102"/>
    <w:rsid w:val="006224F5"/>
    <w:rsid w:val="006359C6"/>
    <w:rsid w:val="00636B84"/>
    <w:rsid w:val="00640988"/>
    <w:rsid w:val="00651CB1"/>
    <w:rsid w:val="0065514D"/>
    <w:rsid w:val="00656FF9"/>
    <w:rsid w:val="00657EA0"/>
    <w:rsid w:val="00660EB1"/>
    <w:rsid w:val="006637F1"/>
    <w:rsid w:val="00670317"/>
    <w:rsid w:val="00672394"/>
    <w:rsid w:val="00673D33"/>
    <w:rsid w:val="00681FC1"/>
    <w:rsid w:val="00690339"/>
    <w:rsid w:val="00696CD2"/>
    <w:rsid w:val="006A1112"/>
    <w:rsid w:val="006C6D0E"/>
    <w:rsid w:val="006D2F5D"/>
    <w:rsid w:val="006D66EA"/>
    <w:rsid w:val="006F091E"/>
    <w:rsid w:val="006F5A7A"/>
    <w:rsid w:val="00705AC1"/>
    <w:rsid w:val="0070743A"/>
    <w:rsid w:val="0072730D"/>
    <w:rsid w:val="007471AB"/>
    <w:rsid w:val="00760CDB"/>
    <w:rsid w:val="00777223"/>
    <w:rsid w:val="007809EB"/>
    <w:rsid w:val="00781871"/>
    <w:rsid w:val="007952AC"/>
    <w:rsid w:val="007955B6"/>
    <w:rsid w:val="007B4732"/>
    <w:rsid w:val="007B5CBC"/>
    <w:rsid w:val="007C1592"/>
    <w:rsid w:val="007E3B70"/>
    <w:rsid w:val="007F1313"/>
    <w:rsid w:val="007F705B"/>
    <w:rsid w:val="0080129A"/>
    <w:rsid w:val="00804ADB"/>
    <w:rsid w:val="008247B2"/>
    <w:rsid w:val="00836B4B"/>
    <w:rsid w:val="008400A5"/>
    <w:rsid w:val="008438D5"/>
    <w:rsid w:val="00843C3F"/>
    <w:rsid w:val="00853CE3"/>
    <w:rsid w:val="00864D73"/>
    <w:rsid w:val="008713DF"/>
    <w:rsid w:val="008734D6"/>
    <w:rsid w:val="008763C1"/>
    <w:rsid w:val="00876816"/>
    <w:rsid w:val="008849AC"/>
    <w:rsid w:val="008970BB"/>
    <w:rsid w:val="008A1DD8"/>
    <w:rsid w:val="008B0D7D"/>
    <w:rsid w:val="008B2CCD"/>
    <w:rsid w:val="008C0081"/>
    <w:rsid w:val="008C6B53"/>
    <w:rsid w:val="008F26B2"/>
    <w:rsid w:val="00900A00"/>
    <w:rsid w:val="00903681"/>
    <w:rsid w:val="0090610E"/>
    <w:rsid w:val="00907184"/>
    <w:rsid w:val="009131A0"/>
    <w:rsid w:val="00916294"/>
    <w:rsid w:val="00924B10"/>
    <w:rsid w:val="00927F7A"/>
    <w:rsid w:val="00936DE0"/>
    <w:rsid w:val="00937437"/>
    <w:rsid w:val="009571EF"/>
    <w:rsid w:val="00971495"/>
    <w:rsid w:val="00992D70"/>
    <w:rsid w:val="009930A0"/>
    <w:rsid w:val="009B4171"/>
    <w:rsid w:val="009C29C7"/>
    <w:rsid w:val="009D432A"/>
    <w:rsid w:val="009E2E1C"/>
    <w:rsid w:val="00A17C9B"/>
    <w:rsid w:val="00A2726F"/>
    <w:rsid w:val="00A352EC"/>
    <w:rsid w:val="00A438EA"/>
    <w:rsid w:val="00A45DBF"/>
    <w:rsid w:val="00A52989"/>
    <w:rsid w:val="00A53039"/>
    <w:rsid w:val="00A5686D"/>
    <w:rsid w:val="00A64B67"/>
    <w:rsid w:val="00A856AB"/>
    <w:rsid w:val="00A86A77"/>
    <w:rsid w:val="00A92104"/>
    <w:rsid w:val="00AB521E"/>
    <w:rsid w:val="00AC0862"/>
    <w:rsid w:val="00AC1626"/>
    <w:rsid w:val="00AE4064"/>
    <w:rsid w:val="00B126F9"/>
    <w:rsid w:val="00B23789"/>
    <w:rsid w:val="00B26C54"/>
    <w:rsid w:val="00B35721"/>
    <w:rsid w:val="00B35DD6"/>
    <w:rsid w:val="00B4379E"/>
    <w:rsid w:val="00B500AB"/>
    <w:rsid w:val="00B6727E"/>
    <w:rsid w:val="00B67E6D"/>
    <w:rsid w:val="00B71814"/>
    <w:rsid w:val="00B853DA"/>
    <w:rsid w:val="00B9009E"/>
    <w:rsid w:val="00B92D32"/>
    <w:rsid w:val="00B9646A"/>
    <w:rsid w:val="00BA11EB"/>
    <w:rsid w:val="00BA5C1A"/>
    <w:rsid w:val="00BB0AC1"/>
    <w:rsid w:val="00BB24B5"/>
    <w:rsid w:val="00BB6616"/>
    <w:rsid w:val="00BC0D98"/>
    <w:rsid w:val="00BC566A"/>
    <w:rsid w:val="00BC578E"/>
    <w:rsid w:val="00BD07FA"/>
    <w:rsid w:val="00BD3879"/>
    <w:rsid w:val="00BF77DE"/>
    <w:rsid w:val="00C11477"/>
    <w:rsid w:val="00C46AFF"/>
    <w:rsid w:val="00C47249"/>
    <w:rsid w:val="00C57B76"/>
    <w:rsid w:val="00C57FFD"/>
    <w:rsid w:val="00C60074"/>
    <w:rsid w:val="00C82A4A"/>
    <w:rsid w:val="00C867BF"/>
    <w:rsid w:val="00C97F39"/>
    <w:rsid w:val="00CA26F2"/>
    <w:rsid w:val="00CA2EE6"/>
    <w:rsid w:val="00CF6D9E"/>
    <w:rsid w:val="00D05470"/>
    <w:rsid w:val="00D14073"/>
    <w:rsid w:val="00D21252"/>
    <w:rsid w:val="00D24BDD"/>
    <w:rsid w:val="00D346E8"/>
    <w:rsid w:val="00D348EF"/>
    <w:rsid w:val="00D52986"/>
    <w:rsid w:val="00D662AF"/>
    <w:rsid w:val="00D7303A"/>
    <w:rsid w:val="00D824B0"/>
    <w:rsid w:val="00D91909"/>
    <w:rsid w:val="00DA5B77"/>
    <w:rsid w:val="00DB41FC"/>
    <w:rsid w:val="00DE321B"/>
    <w:rsid w:val="00E149C8"/>
    <w:rsid w:val="00E2132D"/>
    <w:rsid w:val="00E254E4"/>
    <w:rsid w:val="00E32B59"/>
    <w:rsid w:val="00E33123"/>
    <w:rsid w:val="00E40648"/>
    <w:rsid w:val="00E40BD4"/>
    <w:rsid w:val="00E43990"/>
    <w:rsid w:val="00E44F56"/>
    <w:rsid w:val="00E54074"/>
    <w:rsid w:val="00E554DF"/>
    <w:rsid w:val="00E55B8F"/>
    <w:rsid w:val="00E615EB"/>
    <w:rsid w:val="00E62B07"/>
    <w:rsid w:val="00E62B5D"/>
    <w:rsid w:val="00E64F8C"/>
    <w:rsid w:val="00EA3DE7"/>
    <w:rsid w:val="00EA6F7D"/>
    <w:rsid w:val="00EB7531"/>
    <w:rsid w:val="00ED02A7"/>
    <w:rsid w:val="00ED7521"/>
    <w:rsid w:val="00EE24C2"/>
    <w:rsid w:val="00EF431E"/>
    <w:rsid w:val="00F00F6C"/>
    <w:rsid w:val="00F14868"/>
    <w:rsid w:val="00F36714"/>
    <w:rsid w:val="00F47ECD"/>
    <w:rsid w:val="00F50944"/>
    <w:rsid w:val="00F74E70"/>
    <w:rsid w:val="00F75457"/>
    <w:rsid w:val="00F76E48"/>
    <w:rsid w:val="00F83E9F"/>
    <w:rsid w:val="00F90127"/>
    <w:rsid w:val="00FD24D1"/>
    <w:rsid w:val="00FE1A52"/>
    <w:rsid w:val="00FE2433"/>
    <w:rsid w:val="00FF04C1"/>
    <w:rsid w:val="00FF6000"/>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BCFB02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131A0"/>
    <w:rPr>
      <w:rFonts w:ascii="Helvetica" w:hAnsi="Helvetica" w:cs="Times New Roman"/>
      <w:color w:val="454545"/>
      <w:sz w:val="18"/>
      <w:szCs w:val="18"/>
      <w:lang w:val="en-US"/>
    </w:rPr>
  </w:style>
  <w:style w:type="character" w:customStyle="1" w:styleId="apple-converted-space">
    <w:name w:val="apple-converted-space"/>
    <w:basedOn w:val="DefaultParagraphFont"/>
    <w:rsid w:val="009131A0"/>
  </w:style>
  <w:style w:type="paragraph" w:styleId="FootnoteText">
    <w:name w:val="footnote text"/>
    <w:basedOn w:val="Normal"/>
    <w:link w:val="FootnoteTextChar"/>
    <w:uiPriority w:val="99"/>
    <w:unhideWhenUsed/>
    <w:rsid w:val="00937437"/>
  </w:style>
  <w:style w:type="character" w:customStyle="1" w:styleId="FootnoteTextChar">
    <w:name w:val="Footnote Text Char"/>
    <w:basedOn w:val="DefaultParagraphFont"/>
    <w:link w:val="FootnoteText"/>
    <w:uiPriority w:val="99"/>
    <w:rsid w:val="00937437"/>
  </w:style>
  <w:style w:type="character" w:styleId="FootnoteReference">
    <w:name w:val="footnote reference"/>
    <w:basedOn w:val="DefaultParagraphFont"/>
    <w:uiPriority w:val="99"/>
    <w:unhideWhenUsed/>
    <w:rsid w:val="00937437"/>
    <w:rPr>
      <w:vertAlign w:val="superscript"/>
    </w:rPr>
  </w:style>
  <w:style w:type="character" w:styleId="Emphasis">
    <w:name w:val="Emphasis"/>
    <w:basedOn w:val="DefaultParagraphFont"/>
    <w:uiPriority w:val="20"/>
    <w:qFormat/>
    <w:rsid w:val="009C29C7"/>
    <w:rPr>
      <w:i/>
      <w:iCs/>
    </w:rPr>
  </w:style>
  <w:style w:type="paragraph" w:styleId="EndnoteText">
    <w:name w:val="endnote text"/>
    <w:basedOn w:val="Normal"/>
    <w:link w:val="EndnoteTextChar"/>
    <w:uiPriority w:val="99"/>
    <w:unhideWhenUsed/>
    <w:rsid w:val="00804ADB"/>
  </w:style>
  <w:style w:type="character" w:customStyle="1" w:styleId="EndnoteTextChar">
    <w:name w:val="Endnote Text Char"/>
    <w:basedOn w:val="DefaultParagraphFont"/>
    <w:link w:val="EndnoteText"/>
    <w:uiPriority w:val="99"/>
    <w:rsid w:val="00804ADB"/>
  </w:style>
  <w:style w:type="character" w:styleId="EndnoteReference">
    <w:name w:val="endnote reference"/>
    <w:basedOn w:val="DefaultParagraphFont"/>
    <w:uiPriority w:val="99"/>
    <w:unhideWhenUsed/>
    <w:rsid w:val="00804ADB"/>
    <w:rPr>
      <w:vertAlign w:val="superscript"/>
    </w:rPr>
  </w:style>
  <w:style w:type="character" w:styleId="Hyperlink">
    <w:name w:val="Hyperlink"/>
    <w:basedOn w:val="DefaultParagraphFont"/>
    <w:uiPriority w:val="99"/>
    <w:semiHidden/>
    <w:unhideWhenUsed/>
    <w:rsid w:val="00781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823916">
      <w:bodyDiv w:val="1"/>
      <w:marLeft w:val="0"/>
      <w:marRight w:val="0"/>
      <w:marTop w:val="0"/>
      <w:marBottom w:val="0"/>
      <w:divBdr>
        <w:top w:val="none" w:sz="0" w:space="0" w:color="auto"/>
        <w:left w:val="none" w:sz="0" w:space="0" w:color="auto"/>
        <w:bottom w:val="none" w:sz="0" w:space="0" w:color="auto"/>
        <w:right w:val="none" w:sz="0" w:space="0" w:color="auto"/>
      </w:divBdr>
    </w:div>
    <w:div w:id="9392945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endnotes.xml.rels><?xml version="1.0" encoding="UTF-8" standalone="yes"?>
<Relationships xmlns="http://schemas.openxmlformats.org/package/2006/relationships"><Relationship Id="rId1" Type="http://schemas.openxmlformats.org/officeDocument/2006/relationships/hyperlink" Target="https://www.theatlantic.com/magazine/archive/2014/06/the-case-for-reparations/3616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581</TotalTime>
  <Pages>7</Pages>
  <Words>3040</Words>
  <Characters>17330</Characters>
  <Application>Microsoft Macintosh Word</Application>
  <DocSecurity>0</DocSecurity>
  <Lines>144</Lines>
  <Paragraphs>40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Council Housing and Migration</vt:lpstr>
    </vt:vector>
  </TitlesOfParts>
  <LinksUpToDate>false</LinksUpToDate>
  <CharactersWithSpaces>20330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wetherellsam@gmail.com</dc:creator>
  <cp:keywords/>
  <dc:description/>
  <cp:lastModifiedBy>wetherellsam@gmail.com</cp:lastModifiedBy>
  <cp:revision>29</cp:revision>
  <dcterms:created xsi:type="dcterms:W3CDTF">2020-01-04T15:27:00Z</dcterms:created>
  <dcterms:modified xsi:type="dcterms:W3CDTF">2020-01-30T14:35:00Z</dcterms:modified>
</cp:coreProperties>
</file>