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66" w:rsidRDefault="000025D4" w:rsidP="00CE1BD1">
      <w:pPr>
        <w:spacing w:after="0" w:line="240" w:lineRule="auto"/>
        <w:jc w:val="center"/>
        <w:rPr>
          <w:b/>
        </w:rPr>
      </w:pPr>
      <w:r w:rsidRPr="00B4485E">
        <w:rPr>
          <w:b/>
        </w:rPr>
        <w:t xml:space="preserve">Edwards on behalf of the estate of the late Thomas Arthur </w:t>
      </w:r>
      <w:r w:rsidR="00E863D9" w:rsidRPr="00B4485E">
        <w:rPr>
          <w:b/>
        </w:rPr>
        <w:t>Watkins v</w:t>
      </w:r>
      <w:r w:rsidR="006B3B03">
        <w:rPr>
          <w:b/>
        </w:rPr>
        <w:t xml:space="preserve"> </w:t>
      </w:r>
      <w:r w:rsidRPr="00B4485E">
        <w:rPr>
          <w:b/>
        </w:rPr>
        <w:t>Hugh</w:t>
      </w:r>
      <w:r w:rsidR="00333880">
        <w:rPr>
          <w:b/>
        </w:rPr>
        <w:t xml:space="preserve"> </w:t>
      </w:r>
      <w:r w:rsidR="00E863D9" w:rsidRPr="00B4485E">
        <w:rPr>
          <w:b/>
        </w:rPr>
        <w:t>James Ford</w:t>
      </w:r>
      <w:r w:rsidRPr="00B4485E">
        <w:rPr>
          <w:b/>
        </w:rPr>
        <w:t xml:space="preserve"> Simey Solicitors</w:t>
      </w:r>
    </w:p>
    <w:p w:rsidR="00CE1BD1" w:rsidRPr="00B4485E" w:rsidRDefault="00CE1BD1" w:rsidP="00CE1BD1">
      <w:pPr>
        <w:spacing w:after="0" w:line="240" w:lineRule="auto"/>
        <w:jc w:val="center"/>
      </w:pPr>
    </w:p>
    <w:p w:rsidR="000025D4" w:rsidRPr="00B4485E" w:rsidRDefault="00FA5866" w:rsidP="009435D6">
      <w:pPr>
        <w:spacing w:after="0" w:line="240" w:lineRule="auto"/>
      </w:pPr>
      <w:r w:rsidRPr="00B4485E">
        <w:t>Supreme Court (</w:t>
      </w:r>
      <w:r w:rsidR="000025D4" w:rsidRPr="00B4485E">
        <w:t>Lady Hale P, and Lords Lloyd-Jones, Reed, Sales, Thomas):</w:t>
      </w:r>
      <w:bookmarkStart w:id="0" w:name="_GoBack"/>
      <w:bookmarkEnd w:id="0"/>
    </w:p>
    <w:p w:rsidR="000025D4" w:rsidRPr="00B4485E" w:rsidRDefault="000025D4" w:rsidP="009435D6">
      <w:pPr>
        <w:spacing w:after="0" w:line="240" w:lineRule="auto"/>
      </w:pPr>
    </w:p>
    <w:p w:rsidR="00333880" w:rsidRDefault="000025D4" w:rsidP="00333880">
      <w:pPr>
        <w:spacing w:after="0" w:line="240" w:lineRule="auto"/>
      </w:pPr>
      <w:r w:rsidRPr="00B4485E">
        <w:t>20 November 2019</w:t>
      </w:r>
    </w:p>
    <w:p w:rsidR="00333880" w:rsidRDefault="00333880" w:rsidP="00333880">
      <w:pPr>
        <w:spacing w:after="0" w:line="240" w:lineRule="auto"/>
      </w:pPr>
    </w:p>
    <w:p w:rsidR="00333880" w:rsidRDefault="000025D4" w:rsidP="00B4485E">
      <w:pPr>
        <w:spacing w:after="0" w:line="240" w:lineRule="auto"/>
      </w:pPr>
      <w:r w:rsidRPr="00B4485E">
        <w:t>[2019] UKSC 54</w:t>
      </w:r>
    </w:p>
    <w:p w:rsidR="00333880" w:rsidRDefault="00333880" w:rsidP="00B4485E">
      <w:pPr>
        <w:spacing w:after="0" w:line="240" w:lineRule="auto"/>
      </w:pPr>
    </w:p>
    <w:p w:rsidR="00B4485E" w:rsidRPr="00333880" w:rsidRDefault="00255DAC" w:rsidP="00B4485E">
      <w:pPr>
        <w:spacing w:after="0" w:line="240" w:lineRule="auto"/>
      </w:pPr>
      <w:r>
        <w:rPr>
          <w:i/>
        </w:rPr>
        <w:t>Professional n</w:t>
      </w:r>
      <w:r w:rsidR="000025D4" w:rsidRPr="00B4485E">
        <w:rPr>
          <w:i/>
        </w:rPr>
        <w:t>egligence –</w:t>
      </w:r>
      <w:r w:rsidR="00DA16AD">
        <w:rPr>
          <w:i/>
        </w:rPr>
        <w:t xml:space="preserve"> s</w:t>
      </w:r>
      <w:r w:rsidR="000025D4" w:rsidRPr="00B4485E">
        <w:rPr>
          <w:i/>
        </w:rPr>
        <w:t>olicitor –</w:t>
      </w:r>
      <w:r w:rsidR="00DA16AD">
        <w:rPr>
          <w:i/>
        </w:rPr>
        <w:t xml:space="preserve"> v</w:t>
      </w:r>
      <w:r>
        <w:rPr>
          <w:i/>
        </w:rPr>
        <w:t>ibratio</w:t>
      </w:r>
      <w:r w:rsidR="00DA16AD">
        <w:rPr>
          <w:i/>
        </w:rPr>
        <w:t>n white f</w:t>
      </w:r>
      <w:r w:rsidR="000025D4" w:rsidRPr="00B4485E">
        <w:rPr>
          <w:i/>
        </w:rPr>
        <w:t xml:space="preserve">inger scheme – under settlement </w:t>
      </w:r>
      <w:r w:rsidR="00472C96" w:rsidRPr="00B4485E">
        <w:rPr>
          <w:i/>
        </w:rPr>
        <w:t xml:space="preserve">of claim </w:t>
      </w:r>
      <w:r w:rsidR="000025D4" w:rsidRPr="00B4485E">
        <w:rPr>
          <w:i/>
        </w:rPr>
        <w:t xml:space="preserve">– loss of chance – fresh evidence </w:t>
      </w:r>
      <w:r w:rsidR="00DA16AD" w:rsidRPr="00B4485E">
        <w:rPr>
          <w:i/>
        </w:rPr>
        <w:t>–</w:t>
      </w:r>
      <w:r w:rsidR="00472C96" w:rsidRPr="00B4485E">
        <w:rPr>
          <w:i/>
        </w:rPr>
        <w:t xml:space="preserve"> </w:t>
      </w:r>
      <w:r w:rsidR="00CE1BD1">
        <w:rPr>
          <w:i/>
        </w:rPr>
        <w:t xml:space="preserve">expert report </w:t>
      </w:r>
      <w:r w:rsidR="00DA16AD" w:rsidRPr="00DA16AD">
        <w:rPr>
          <w:i/>
        </w:rPr>
        <w:t>–</w:t>
      </w:r>
      <w:r w:rsidR="00CE1BD1">
        <w:rPr>
          <w:i/>
        </w:rPr>
        <w:t xml:space="preserve"> </w:t>
      </w:r>
      <w:r w:rsidR="00472C96" w:rsidRPr="00B4485E">
        <w:rPr>
          <w:i/>
        </w:rPr>
        <w:t xml:space="preserve">subsequent evidence showing claimant’s injury less significant </w:t>
      </w:r>
    </w:p>
    <w:p w:rsidR="00472C96" w:rsidRPr="00B4485E" w:rsidRDefault="00472C96" w:rsidP="00B4485E">
      <w:pPr>
        <w:spacing w:after="0" w:line="240" w:lineRule="auto"/>
        <w:rPr>
          <w:i/>
        </w:rPr>
      </w:pPr>
      <w:r w:rsidRPr="00B4485E">
        <w:rPr>
          <w:i/>
        </w:rPr>
        <w:t xml:space="preserve"> </w:t>
      </w:r>
    </w:p>
    <w:p w:rsidR="00B4485E" w:rsidRDefault="00C72B9C" w:rsidP="00B4485E">
      <w:pPr>
        <w:spacing w:after="0" w:line="240" w:lineRule="auto"/>
        <w:jc w:val="both"/>
        <w:rPr>
          <w:rFonts w:eastAsia="Times New Roman" w:cs="Times New Roman"/>
          <w:color w:val="000000"/>
          <w:lang w:eastAsia="en-GB"/>
        </w:rPr>
      </w:pPr>
      <w:r>
        <w:t>The c</w:t>
      </w:r>
      <w:r w:rsidR="00B4485E" w:rsidRPr="00B4485E">
        <w:t>laimant (</w:t>
      </w:r>
      <w:bookmarkStart w:id="1" w:name="para1"/>
      <w:r w:rsidR="00B4485E" w:rsidRPr="00B4485E">
        <w:rPr>
          <w:rFonts w:eastAsia="Times New Roman" w:cs="Times New Roman"/>
          <w:color w:val="000000"/>
          <w:lang w:eastAsia="en-GB"/>
        </w:rPr>
        <w:t xml:space="preserve">W) was employed by the National Coal Board as a miner. In that employment he </w:t>
      </w:r>
      <w:bookmarkEnd w:id="1"/>
      <w:r w:rsidR="00B4485E" w:rsidRPr="00B4485E">
        <w:rPr>
          <w:rFonts w:eastAsia="Times New Roman" w:cs="Times New Roman"/>
          <w:color w:val="000000"/>
          <w:lang w:eastAsia="en-GB"/>
        </w:rPr>
        <w:t>developed Vibration White Finger (“VWF”)</w:t>
      </w:r>
      <w:r w:rsidR="00B4485E" w:rsidRPr="00B4485E">
        <w:rPr>
          <w:rFonts w:eastAsia="Times New Roman" w:cs="Times New Roman"/>
          <w:noProof/>
          <w:color w:val="954F72"/>
          <w:lang w:eastAsia="en-GB"/>
        </w:rPr>
        <w:t xml:space="preserve">.  </w:t>
      </w:r>
      <w:r w:rsidR="00B4485E" w:rsidRPr="00B4485E">
        <w:rPr>
          <w:rFonts w:eastAsia="Times New Roman" w:cs="Times New Roman"/>
          <w:color w:val="000000"/>
          <w:lang w:eastAsia="en-GB"/>
        </w:rPr>
        <w:t xml:space="preserve">The claimant also suffered from osteoarthritis in both knees.  The Department for Trade and Industry (“DTI”) set up a scheme to provide compensation to miners who suffered from VWF as a result of exposure to excessive vibration (“the Scheme”).  </w:t>
      </w:r>
      <w:bookmarkStart w:id="2" w:name="para9"/>
    </w:p>
    <w:p w:rsidR="00440783" w:rsidRDefault="00440783" w:rsidP="00B4485E">
      <w:pPr>
        <w:spacing w:after="0" w:line="240" w:lineRule="auto"/>
        <w:jc w:val="both"/>
        <w:rPr>
          <w:rFonts w:eastAsia="Times New Roman" w:cs="Times New Roman"/>
          <w:color w:val="000000"/>
          <w:lang w:eastAsia="en-GB"/>
        </w:rPr>
      </w:pPr>
    </w:p>
    <w:p w:rsidR="00B4485E" w:rsidRDefault="00B4485E" w:rsidP="00B4485E">
      <w:pPr>
        <w:spacing w:after="0" w:line="240" w:lineRule="auto"/>
        <w:jc w:val="both"/>
        <w:rPr>
          <w:rFonts w:eastAsia="Times New Roman" w:cs="Times New Roman"/>
          <w:color w:val="000000"/>
          <w:lang w:eastAsia="en-GB"/>
        </w:rPr>
      </w:pPr>
      <w:r w:rsidRPr="00B4485E">
        <w:rPr>
          <w:rFonts w:eastAsia="Times New Roman" w:cs="Times New Roman"/>
          <w:color w:val="000000"/>
          <w:lang w:eastAsia="en-GB"/>
        </w:rPr>
        <w:t>W instructed </w:t>
      </w:r>
      <w:bookmarkStart w:id="3" w:name="disp27"/>
      <w:bookmarkEnd w:id="2"/>
      <w:r w:rsidRPr="00B4485E">
        <w:rPr>
          <w:rFonts w:eastAsia="Times New Roman" w:cs="Times New Roman"/>
          <w:color w:val="000000"/>
          <w:lang w:eastAsia="en-GB"/>
        </w:rPr>
        <w:t>the defendant Hugh James</w:t>
      </w:r>
      <w:bookmarkEnd w:id="3"/>
      <w:r w:rsidRPr="00B4485E">
        <w:rPr>
          <w:rFonts w:eastAsia="Times New Roman" w:cs="Times New Roman"/>
          <w:color w:val="000000"/>
          <w:lang w:eastAsia="en-GB"/>
        </w:rPr>
        <w:t> Ford Simey Solicitors (H) to act for him in relati</w:t>
      </w:r>
      <w:r w:rsidR="00333880">
        <w:rPr>
          <w:rFonts w:eastAsia="Times New Roman" w:cs="Times New Roman"/>
          <w:color w:val="000000"/>
          <w:lang w:eastAsia="en-GB"/>
        </w:rPr>
        <w:t xml:space="preserve">on to a claim under the Scheme.  </w:t>
      </w:r>
      <w:r w:rsidRPr="00B4485E">
        <w:rPr>
          <w:rFonts w:eastAsia="Times New Roman" w:cs="Times New Roman"/>
          <w:color w:val="000000"/>
          <w:lang w:eastAsia="en-GB"/>
        </w:rPr>
        <w:t xml:space="preserve">W undertook </w:t>
      </w:r>
      <w:r w:rsidR="008A6585">
        <w:rPr>
          <w:rFonts w:eastAsia="Times New Roman" w:cs="Times New Roman"/>
          <w:color w:val="000000"/>
          <w:lang w:eastAsia="en-GB"/>
        </w:rPr>
        <w:t>a</w:t>
      </w:r>
      <w:r w:rsidR="00440783">
        <w:rPr>
          <w:rFonts w:eastAsia="Times New Roman" w:cs="Times New Roman"/>
          <w:color w:val="000000"/>
          <w:lang w:eastAsia="en-GB"/>
        </w:rPr>
        <w:t xml:space="preserve"> </w:t>
      </w:r>
      <w:r w:rsidRPr="00B4485E">
        <w:rPr>
          <w:rFonts w:eastAsia="Times New Roman" w:cs="Times New Roman"/>
          <w:color w:val="000000"/>
          <w:lang w:eastAsia="en-GB"/>
        </w:rPr>
        <w:t xml:space="preserve">medical assessment process (“MAP 1”) </w:t>
      </w:r>
      <w:r w:rsidR="00333880">
        <w:rPr>
          <w:rFonts w:eastAsia="Times New Roman" w:cs="Times New Roman"/>
          <w:color w:val="000000"/>
          <w:lang w:eastAsia="en-GB"/>
        </w:rPr>
        <w:t xml:space="preserve">under the Scheme </w:t>
      </w:r>
      <w:r w:rsidRPr="00B4485E">
        <w:rPr>
          <w:rFonts w:eastAsia="Times New Roman" w:cs="Times New Roman"/>
          <w:color w:val="000000"/>
          <w:lang w:eastAsia="en-GB"/>
        </w:rPr>
        <w:t xml:space="preserve">and was diagnosed with </w:t>
      </w:r>
      <w:bookmarkStart w:id="4" w:name="disp32"/>
      <w:r w:rsidRPr="00B4485E">
        <w:rPr>
          <w:rFonts w:eastAsia="Times New Roman" w:cs="Times New Roman"/>
          <w:color w:val="000000"/>
          <w:lang w:eastAsia="en-GB"/>
        </w:rPr>
        <w:t>VWF</w:t>
      </w:r>
      <w:bookmarkEnd w:id="4"/>
      <w:r w:rsidRPr="00B4485E">
        <w:rPr>
          <w:rFonts w:eastAsia="Times New Roman" w:cs="Times New Roman"/>
          <w:color w:val="000000"/>
          <w:lang w:eastAsia="en-GB"/>
        </w:rPr>
        <w:t xml:space="preserve"> with </w:t>
      </w:r>
      <w:r w:rsidR="00255DAC">
        <w:rPr>
          <w:rFonts w:eastAsia="Times New Roman" w:cs="Times New Roman"/>
          <w:color w:val="000000"/>
          <w:lang w:eastAsia="en-GB"/>
        </w:rPr>
        <w:t>“</w:t>
      </w:r>
      <w:r w:rsidRPr="00B4485E">
        <w:rPr>
          <w:rFonts w:eastAsia="Times New Roman" w:cs="Times New Roman"/>
          <w:color w:val="000000"/>
          <w:lang w:eastAsia="en-GB"/>
        </w:rPr>
        <w:t>stagings of 3V and 3Sn bilaterally</w:t>
      </w:r>
      <w:r w:rsidR="00255DAC">
        <w:rPr>
          <w:rFonts w:eastAsia="Times New Roman" w:cs="Times New Roman"/>
          <w:color w:val="000000"/>
          <w:lang w:eastAsia="en-GB"/>
        </w:rPr>
        <w:t>”</w:t>
      </w:r>
      <w:r w:rsidRPr="00B4485E">
        <w:rPr>
          <w:rFonts w:eastAsia="Times New Roman" w:cs="Times New Roman"/>
          <w:color w:val="000000"/>
          <w:lang w:eastAsia="en-GB"/>
        </w:rPr>
        <w:t xml:space="preserve">.  </w:t>
      </w:r>
      <w:r w:rsidR="00333880">
        <w:rPr>
          <w:rFonts w:eastAsia="Times New Roman" w:cs="Times New Roman"/>
          <w:color w:val="000000"/>
          <w:lang w:eastAsia="en-GB"/>
        </w:rPr>
        <w:t>Pursuant to</w:t>
      </w:r>
      <w:r w:rsidRPr="00B4485E">
        <w:rPr>
          <w:rFonts w:eastAsia="Times New Roman" w:cs="Times New Roman"/>
          <w:color w:val="000000"/>
          <w:lang w:eastAsia="en-GB"/>
        </w:rPr>
        <w:t xml:space="preserve"> </w:t>
      </w:r>
      <w:r w:rsidR="00255DAC">
        <w:rPr>
          <w:rFonts w:eastAsia="Times New Roman" w:cs="Times New Roman"/>
          <w:color w:val="000000"/>
          <w:lang w:eastAsia="en-GB"/>
        </w:rPr>
        <w:t>the S</w:t>
      </w:r>
      <w:r w:rsidRPr="00B4485E">
        <w:rPr>
          <w:rFonts w:eastAsia="Times New Roman" w:cs="Times New Roman"/>
          <w:color w:val="000000"/>
          <w:lang w:eastAsia="en-GB"/>
        </w:rPr>
        <w:t xml:space="preserve">cheme this was sufficient for W to obtain general damages and to entitle him to a presumption in his favour </w:t>
      </w:r>
      <w:r w:rsidR="008A6585">
        <w:rPr>
          <w:rFonts w:eastAsia="Times New Roman" w:cs="Times New Roman"/>
          <w:color w:val="000000"/>
          <w:lang w:eastAsia="en-GB"/>
        </w:rPr>
        <w:t>that he satisfied the</w:t>
      </w:r>
      <w:r w:rsidRPr="00B4485E">
        <w:rPr>
          <w:rFonts w:eastAsia="Times New Roman" w:cs="Times New Roman"/>
          <w:color w:val="000000"/>
          <w:lang w:eastAsia="en-GB"/>
        </w:rPr>
        <w:t xml:space="preserve"> requirements for an additional services award.</w:t>
      </w:r>
    </w:p>
    <w:p w:rsidR="00B4485E" w:rsidRDefault="00B4485E" w:rsidP="00B4485E">
      <w:pPr>
        <w:spacing w:after="0" w:line="240" w:lineRule="auto"/>
        <w:jc w:val="both"/>
        <w:rPr>
          <w:rFonts w:eastAsia="Times New Roman" w:cs="Times New Roman"/>
          <w:color w:val="000000"/>
          <w:lang w:eastAsia="en-GB"/>
        </w:rPr>
      </w:pPr>
    </w:p>
    <w:p w:rsidR="00B4485E" w:rsidRDefault="00333880" w:rsidP="00B4485E">
      <w:pPr>
        <w:spacing w:after="0" w:line="240" w:lineRule="auto"/>
        <w:jc w:val="both"/>
        <w:rPr>
          <w:rFonts w:eastAsia="Times New Roman" w:cs="Times New Roman"/>
          <w:color w:val="000000"/>
          <w:lang w:eastAsia="en-GB"/>
        </w:rPr>
      </w:pPr>
      <w:r>
        <w:rPr>
          <w:rFonts w:eastAsia="Times New Roman" w:cs="Times New Roman"/>
          <w:color w:val="000000"/>
          <w:lang w:eastAsia="en-GB"/>
        </w:rPr>
        <w:t xml:space="preserve">The </w:t>
      </w:r>
      <w:r w:rsidR="00B4485E" w:rsidRPr="00B4485E">
        <w:rPr>
          <w:rFonts w:eastAsia="Times New Roman" w:cs="Times New Roman"/>
          <w:color w:val="000000"/>
          <w:lang w:eastAsia="en-GB"/>
        </w:rPr>
        <w:t xml:space="preserve">Scheme </w:t>
      </w:r>
      <w:r>
        <w:rPr>
          <w:rFonts w:eastAsia="Times New Roman" w:cs="Times New Roman"/>
          <w:color w:val="000000"/>
          <w:lang w:eastAsia="en-GB"/>
        </w:rPr>
        <w:t xml:space="preserve">contained a </w:t>
      </w:r>
      <w:r w:rsidR="00B4485E" w:rsidRPr="00B4485E">
        <w:rPr>
          <w:rFonts w:eastAsia="Times New Roman" w:cs="Times New Roman"/>
          <w:color w:val="000000"/>
          <w:lang w:eastAsia="en-GB"/>
        </w:rPr>
        <w:t xml:space="preserve">presumption that once the condition had reached a certain level a person could no longer carry out certain household tasks without assistance.  </w:t>
      </w:r>
      <w:r>
        <w:rPr>
          <w:rFonts w:eastAsia="Times New Roman" w:cs="Times New Roman"/>
          <w:color w:val="000000"/>
          <w:lang w:eastAsia="en-GB"/>
        </w:rPr>
        <w:t>However, for a claimant t</w:t>
      </w:r>
      <w:r w:rsidR="00B4485E" w:rsidRPr="00B4485E">
        <w:rPr>
          <w:rFonts w:eastAsia="Times New Roman" w:cs="Times New Roman"/>
          <w:color w:val="000000"/>
          <w:lang w:eastAsia="en-GB"/>
        </w:rPr>
        <w:t xml:space="preserve">o pursue a services award </w:t>
      </w:r>
      <w:r w:rsidR="00440783">
        <w:rPr>
          <w:rFonts w:eastAsia="Times New Roman" w:cs="Times New Roman"/>
          <w:color w:val="000000"/>
          <w:lang w:eastAsia="en-GB"/>
        </w:rPr>
        <w:t xml:space="preserve">the Scheme </w:t>
      </w:r>
      <w:r>
        <w:rPr>
          <w:rFonts w:eastAsia="Times New Roman" w:cs="Times New Roman"/>
          <w:color w:val="000000"/>
          <w:lang w:eastAsia="en-GB"/>
        </w:rPr>
        <w:t xml:space="preserve">required </w:t>
      </w:r>
      <w:r w:rsidR="00B4485E" w:rsidRPr="00B4485E">
        <w:rPr>
          <w:rFonts w:eastAsia="Times New Roman" w:cs="Times New Roman"/>
          <w:color w:val="000000"/>
          <w:lang w:eastAsia="en-GB"/>
        </w:rPr>
        <w:t>claimant</w:t>
      </w:r>
      <w:r>
        <w:rPr>
          <w:rFonts w:eastAsia="Times New Roman" w:cs="Times New Roman"/>
          <w:color w:val="000000"/>
          <w:lang w:eastAsia="en-GB"/>
        </w:rPr>
        <w:t xml:space="preserve">s to undergo </w:t>
      </w:r>
      <w:r w:rsidR="00B4485E" w:rsidRPr="00B4485E">
        <w:rPr>
          <w:rFonts w:eastAsia="Times New Roman" w:cs="Times New Roman"/>
          <w:color w:val="000000"/>
          <w:lang w:eastAsia="en-GB"/>
        </w:rPr>
        <w:t xml:space="preserve">further medical examination (“MAP 2”) which was solely concerned </w:t>
      </w:r>
      <w:r w:rsidR="00440783">
        <w:rPr>
          <w:rFonts w:eastAsia="Times New Roman" w:cs="Times New Roman"/>
          <w:color w:val="000000"/>
          <w:lang w:eastAsia="en-GB"/>
        </w:rPr>
        <w:t>with</w:t>
      </w:r>
      <w:r w:rsidR="00B4485E" w:rsidRPr="00B4485E">
        <w:rPr>
          <w:rFonts w:eastAsia="Times New Roman" w:cs="Times New Roman"/>
          <w:color w:val="000000"/>
          <w:lang w:eastAsia="en-GB"/>
        </w:rPr>
        <w:t xml:space="preserve"> whether there were any other conditions which, of themselves, would have prevented the claimant from undertaking the task in question. </w:t>
      </w:r>
    </w:p>
    <w:p w:rsidR="00B4485E" w:rsidRDefault="00B4485E" w:rsidP="00B4485E">
      <w:pPr>
        <w:spacing w:after="0" w:line="240" w:lineRule="auto"/>
        <w:jc w:val="both"/>
        <w:rPr>
          <w:rFonts w:eastAsia="Times New Roman" w:cs="Times New Roman"/>
          <w:color w:val="000000"/>
          <w:lang w:eastAsia="en-GB"/>
        </w:rPr>
      </w:pPr>
    </w:p>
    <w:p w:rsidR="00B4485E" w:rsidRDefault="00B4485E" w:rsidP="00B4485E">
      <w:pPr>
        <w:spacing w:after="0" w:line="240" w:lineRule="auto"/>
        <w:jc w:val="both"/>
        <w:rPr>
          <w:rFonts w:eastAsia="Times New Roman" w:cs="Times New Roman"/>
          <w:color w:val="000000"/>
          <w:lang w:eastAsia="en-GB"/>
        </w:rPr>
      </w:pPr>
      <w:r w:rsidRPr="00B4485E">
        <w:rPr>
          <w:rFonts w:eastAsia="Times New Roman" w:cs="Times New Roman"/>
          <w:color w:val="000000"/>
          <w:lang w:eastAsia="en-GB"/>
        </w:rPr>
        <w:t xml:space="preserve">The </w:t>
      </w:r>
      <w:r w:rsidR="00255DAC">
        <w:rPr>
          <w:rFonts w:eastAsia="Times New Roman" w:cs="Times New Roman"/>
          <w:color w:val="000000"/>
          <w:lang w:eastAsia="en-GB"/>
        </w:rPr>
        <w:t>claims handlers wrote to</w:t>
      </w:r>
      <w:r w:rsidRPr="00B4485E">
        <w:rPr>
          <w:rFonts w:eastAsia="Times New Roman" w:cs="Times New Roman"/>
          <w:color w:val="000000"/>
          <w:lang w:eastAsia="en-GB"/>
        </w:rPr>
        <w:t xml:space="preserve"> H, offerin</w:t>
      </w:r>
      <w:r w:rsidR="008A6585">
        <w:rPr>
          <w:rFonts w:eastAsia="Times New Roman" w:cs="Times New Roman"/>
          <w:color w:val="000000"/>
          <w:lang w:eastAsia="en-GB"/>
        </w:rPr>
        <w:t>g the</w:t>
      </w:r>
      <w:r w:rsidRPr="00B4485E">
        <w:rPr>
          <w:rFonts w:eastAsia="Times New Roman" w:cs="Times New Roman"/>
          <w:color w:val="000000"/>
          <w:lang w:eastAsia="en-GB"/>
        </w:rPr>
        <w:t xml:space="preserve"> award for general damages to which W would have been entitled under the Scheme on the basis of his MAP 1 diagnosis “in full and final settlement”.  The offer did not include any allowance for a services award.  Following negligent advice by H, W accepted the settlement and discontinued his claim for a services award.</w:t>
      </w:r>
      <w:bookmarkStart w:id="5" w:name="para5"/>
    </w:p>
    <w:p w:rsidR="00B4485E" w:rsidRDefault="00B4485E" w:rsidP="00B4485E">
      <w:pPr>
        <w:spacing w:after="0" w:line="240" w:lineRule="auto"/>
        <w:jc w:val="both"/>
        <w:rPr>
          <w:rFonts w:eastAsia="Times New Roman" w:cs="Times New Roman"/>
          <w:color w:val="000000"/>
          <w:lang w:eastAsia="en-GB"/>
        </w:rPr>
      </w:pPr>
    </w:p>
    <w:p w:rsidR="00B4485E" w:rsidRDefault="00B4485E" w:rsidP="00045682">
      <w:pPr>
        <w:spacing w:line="240" w:lineRule="auto"/>
        <w:jc w:val="both"/>
        <w:rPr>
          <w:rFonts w:eastAsia="Times New Roman" w:cs="Times New Roman"/>
          <w:color w:val="000000"/>
          <w:lang w:eastAsia="en-GB"/>
        </w:rPr>
      </w:pPr>
      <w:r w:rsidRPr="00B4485E">
        <w:rPr>
          <w:rFonts w:eastAsia="Times New Roman" w:cs="Times New Roman"/>
          <w:color w:val="000000"/>
          <w:lang w:eastAsia="en-GB"/>
        </w:rPr>
        <w:t xml:space="preserve">W subsequently commenced action against H, contending that as a result of </w:t>
      </w:r>
      <w:r w:rsidR="00322179">
        <w:rPr>
          <w:rFonts w:eastAsia="Times New Roman" w:cs="Times New Roman"/>
          <w:color w:val="000000"/>
          <w:lang w:eastAsia="en-GB"/>
        </w:rPr>
        <w:t>H’s</w:t>
      </w:r>
      <w:r w:rsidRPr="00B4485E">
        <w:rPr>
          <w:rFonts w:eastAsia="Times New Roman" w:cs="Times New Roman"/>
          <w:color w:val="000000"/>
          <w:lang w:eastAsia="en-GB"/>
        </w:rPr>
        <w:t xml:space="preserve"> negligence he lost the opportunity to bring a services claim under the Scheme or otherwise.</w:t>
      </w:r>
      <w:bookmarkStart w:id="6" w:name="_Ref15158625"/>
      <w:bookmarkStart w:id="7" w:name="para13"/>
      <w:bookmarkEnd w:id="6"/>
      <w:r w:rsidRPr="00B4485E">
        <w:rPr>
          <w:rFonts w:eastAsia="Times New Roman" w:cs="Times New Roman"/>
          <w:color w:val="000000"/>
          <w:lang w:eastAsia="en-GB"/>
        </w:rPr>
        <w:t xml:space="preserve">  Following W’s death his daughter was appointed to continue the claim on behalf of his estate.</w:t>
      </w:r>
      <w:bookmarkStart w:id="8" w:name="_Ref15804916"/>
      <w:bookmarkStart w:id="9" w:name="para17"/>
      <w:bookmarkEnd w:id="7"/>
      <w:bookmarkEnd w:id="8"/>
      <w:r w:rsidR="00045682">
        <w:rPr>
          <w:rFonts w:eastAsia="Times New Roman" w:cs="Times New Roman"/>
          <w:color w:val="000000"/>
          <w:lang w:eastAsia="en-GB"/>
        </w:rPr>
        <w:t xml:space="preserve">  </w:t>
      </w:r>
      <w:r w:rsidRPr="00B4485E">
        <w:rPr>
          <w:rFonts w:eastAsia="Times New Roman" w:cs="Times New Roman"/>
          <w:color w:val="000000"/>
          <w:lang w:eastAsia="en-GB"/>
        </w:rPr>
        <w:t>For the purpose</w:t>
      </w:r>
      <w:r w:rsidR="00440783">
        <w:rPr>
          <w:rFonts w:eastAsia="Times New Roman" w:cs="Times New Roman"/>
          <w:color w:val="000000"/>
          <w:lang w:eastAsia="en-GB"/>
        </w:rPr>
        <w:t>s</w:t>
      </w:r>
      <w:r w:rsidRPr="00B4485E">
        <w:rPr>
          <w:rFonts w:eastAsia="Times New Roman" w:cs="Times New Roman"/>
          <w:color w:val="000000"/>
          <w:lang w:eastAsia="en-GB"/>
        </w:rPr>
        <w:t xml:space="preserve"> of th</w:t>
      </w:r>
      <w:r w:rsidR="00255DAC">
        <w:rPr>
          <w:rFonts w:eastAsia="Times New Roman" w:cs="Times New Roman"/>
          <w:color w:val="000000"/>
          <w:lang w:eastAsia="en-GB"/>
        </w:rPr>
        <w:t>e</w:t>
      </w:r>
      <w:r w:rsidRPr="00B4485E">
        <w:rPr>
          <w:rFonts w:eastAsia="Times New Roman" w:cs="Times New Roman"/>
          <w:color w:val="000000"/>
          <w:lang w:eastAsia="en-GB"/>
        </w:rPr>
        <w:t xml:space="preserve"> </w:t>
      </w:r>
      <w:r w:rsidR="00255DAC">
        <w:rPr>
          <w:rFonts w:eastAsia="Times New Roman" w:cs="Times New Roman"/>
          <w:color w:val="000000"/>
          <w:lang w:eastAsia="en-GB"/>
        </w:rPr>
        <w:t xml:space="preserve">professional </w:t>
      </w:r>
      <w:r w:rsidRPr="00B4485E">
        <w:rPr>
          <w:rFonts w:eastAsia="Times New Roman" w:cs="Times New Roman"/>
          <w:color w:val="000000"/>
          <w:lang w:eastAsia="en-GB"/>
        </w:rPr>
        <w:t>negligence claim</w:t>
      </w:r>
      <w:r w:rsidR="00440783">
        <w:rPr>
          <w:rFonts w:eastAsia="Times New Roman" w:cs="Times New Roman"/>
          <w:color w:val="000000"/>
          <w:lang w:eastAsia="en-GB"/>
        </w:rPr>
        <w:t xml:space="preserve"> against H</w:t>
      </w:r>
      <w:r w:rsidRPr="00B4485E">
        <w:rPr>
          <w:rFonts w:eastAsia="Times New Roman" w:cs="Times New Roman"/>
          <w:color w:val="000000"/>
          <w:lang w:eastAsia="en-GB"/>
        </w:rPr>
        <w:t xml:space="preserve">, W was examined by a consultant (T) who concluded that his level of VWF was much lower </w:t>
      </w:r>
      <w:r w:rsidR="00255DAC">
        <w:rPr>
          <w:rFonts w:eastAsia="Times New Roman" w:cs="Times New Roman"/>
          <w:color w:val="000000"/>
          <w:lang w:eastAsia="en-GB"/>
        </w:rPr>
        <w:t xml:space="preserve">than diagnosed at MAP 1, </w:t>
      </w:r>
      <w:r w:rsidRPr="00B4485E">
        <w:rPr>
          <w:rFonts w:eastAsia="Times New Roman" w:cs="Times New Roman"/>
          <w:color w:val="000000"/>
          <w:lang w:eastAsia="en-GB"/>
        </w:rPr>
        <w:t>which would have yielded an award of less than the amount already received by W.</w:t>
      </w:r>
    </w:p>
    <w:p w:rsidR="00B4485E" w:rsidRDefault="00B4485E" w:rsidP="00B4485E">
      <w:pPr>
        <w:spacing w:after="0" w:line="240" w:lineRule="auto"/>
        <w:jc w:val="both"/>
        <w:rPr>
          <w:rFonts w:eastAsia="Times New Roman" w:cs="Times New Roman"/>
          <w:color w:val="000000"/>
          <w:lang w:eastAsia="en-GB"/>
        </w:rPr>
      </w:pPr>
      <w:r w:rsidRPr="00B4485E">
        <w:rPr>
          <w:rFonts w:eastAsia="Times New Roman" w:cs="Times New Roman"/>
          <w:color w:val="000000"/>
          <w:lang w:eastAsia="en-GB"/>
        </w:rPr>
        <w:t xml:space="preserve">Mr Recorder Miller at first instance </w:t>
      </w:r>
      <w:r w:rsidR="00322179">
        <w:rPr>
          <w:rFonts w:eastAsia="Times New Roman" w:cs="Times New Roman"/>
          <w:color w:val="000000"/>
          <w:lang w:eastAsia="en-GB"/>
        </w:rPr>
        <w:t xml:space="preserve">dismissed the claim.  He </w:t>
      </w:r>
      <w:r w:rsidRPr="00B4485E">
        <w:rPr>
          <w:rFonts w:eastAsia="Times New Roman" w:cs="Times New Roman"/>
          <w:color w:val="000000"/>
          <w:lang w:eastAsia="en-GB"/>
        </w:rPr>
        <w:t xml:space="preserve">held that had W received non-negligent advice he would have pursued an honest services claim. However, he </w:t>
      </w:r>
      <w:r w:rsidR="00322179">
        <w:rPr>
          <w:rFonts w:eastAsia="Times New Roman" w:cs="Times New Roman"/>
          <w:color w:val="000000"/>
          <w:lang w:eastAsia="en-GB"/>
        </w:rPr>
        <w:t xml:space="preserve">held </w:t>
      </w:r>
      <w:r w:rsidRPr="00B4485E">
        <w:rPr>
          <w:rFonts w:eastAsia="Times New Roman" w:cs="Times New Roman"/>
          <w:color w:val="000000"/>
          <w:lang w:eastAsia="en-GB"/>
        </w:rPr>
        <w:t xml:space="preserve">that </w:t>
      </w:r>
      <w:bookmarkEnd w:id="9"/>
      <w:r w:rsidR="00255DAC">
        <w:rPr>
          <w:rFonts w:eastAsia="Times New Roman" w:cs="Times New Roman"/>
          <w:color w:val="000000"/>
          <w:lang w:eastAsia="en-GB"/>
        </w:rPr>
        <w:t>W had suffered no loss.  F</w:t>
      </w:r>
      <w:r w:rsidRPr="00B4485E">
        <w:rPr>
          <w:rFonts w:eastAsia="Times New Roman" w:cs="Times New Roman"/>
          <w:color w:val="000000"/>
          <w:lang w:eastAsia="en-GB"/>
        </w:rPr>
        <w:t xml:space="preserve">ollowing T’s evidence the claimant would </w:t>
      </w:r>
      <w:r w:rsidR="00920850">
        <w:rPr>
          <w:rFonts w:eastAsia="Times New Roman" w:cs="Times New Roman"/>
          <w:color w:val="000000"/>
          <w:lang w:eastAsia="en-GB"/>
        </w:rPr>
        <w:t xml:space="preserve">have been offered a lower sum </w:t>
      </w:r>
      <w:r w:rsidRPr="00B4485E">
        <w:rPr>
          <w:rFonts w:eastAsia="Times New Roman" w:cs="Times New Roman"/>
          <w:color w:val="000000"/>
          <w:lang w:eastAsia="en-GB"/>
        </w:rPr>
        <w:t>for general damages and a services claim would not have been possible.</w:t>
      </w:r>
      <w:bookmarkStart w:id="10" w:name="para18"/>
    </w:p>
    <w:p w:rsidR="00322179" w:rsidRDefault="00322179" w:rsidP="00B4485E">
      <w:pPr>
        <w:spacing w:after="0" w:line="240" w:lineRule="auto"/>
        <w:jc w:val="both"/>
        <w:rPr>
          <w:rFonts w:eastAsia="Times New Roman" w:cs="Times New Roman"/>
          <w:color w:val="000000"/>
          <w:lang w:eastAsia="en-GB"/>
        </w:rPr>
      </w:pPr>
    </w:p>
    <w:p w:rsidR="00B4485E" w:rsidRDefault="00B4485E" w:rsidP="00B4485E">
      <w:pPr>
        <w:spacing w:after="0" w:line="240" w:lineRule="auto"/>
        <w:jc w:val="both"/>
        <w:rPr>
          <w:rFonts w:eastAsia="Times New Roman" w:cs="Times New Roman"/>
          <w:color w:val="000000"/>
          <w:lang w:eastAsia="en-GB"/>
        </w:rPr>
      </w:pPr>
      <w:r w:rsidRPr="00B4485E">
        <w:rPr>
          <w:rFonts w:eastAsia="Times New Roman" w:cs="Times New Roman"/>
          <w:color w:val="000000"/>
          <w:lang w:eastAsia="en-GB"/>
        </w:rPr>
        <w:t>The claimant appealed.  The Court of Appeal (Underhill, Irwin</w:t>
      </w:r>
      <w:r w:rsidR="00440783">
        <w:rPr>
          <w:rFonts w:eastAsia="Times New Roman" w:cs="Times New Roman"/>
          <w:color w:val="000000"/>
          <w:lang w:eastAsia="en-GB"/>
        </w:rPr>
        <w:t>,</w:t>
      </w:r>
      <w:r w:rsidRPr="00B4485E">
        <w:rPr>
          <w:rFonts w:eastAsia="Times New Roman" w:cs="Times New Roman"/>
          <w:color w:val="000000"/>
          <w:lang w:eastAsia="en-GB"/>
        </w:rPr>
        <w:t xml:space="preserve"> and Singh LJJ) allowed the appeal ([2018] P.N.L.R. 30)</w:t>
      </w:r>
      <w:bookmarkEnd w:id="10"/>
      <w:r w:rsidRPr="00B4485E">
        <w:rPr>
          <w:rFonts w:eastAsia="Times New Roman" w:cs="Times New Roman"/>
          <w:color w:val="000000"/>
          <w:lang w:eastAsia="en-GB"/>
        </w:rPr>
        <w:t>, holding that the trial judge had been wrong to conduct a trial within a trial to determine the value of W’s claim against the DTI</w:t>
      </w:r>
      <w:r w:rsidR="00440783">
        <w:rPr>
          <w:rFonts w:eastAsia="Times New Roman" w:cs="Times New Roman"/>
          <w:color w:val="000000"/>
          <w:lang w:eastAsia="en-GB"/>
        </w:rPr>
        <w:t>,</w:t>
      </w:r>
      <w:r w:rsidRPr="00B4485E">
        <w:rPr>
          <w:rFonts w:eastAsia="Times New Roman" w:cs="Times New Roman"/>
          <w:color w:val="000000"/>
          <w:lang w:eastAsia="en-GB"/>
        </w:rPr>
        <w:t xml:space="preserve"> and the severity of his</w:t>
      </w:r>
      <w:r w:rsidR="00440783">
        <w:rPr>
          <w:rFonts w:eastAsia="Times New Roman" w:cs="Times New Roman"/>
          <w:color w:val="000000"/>
          <w:lang w:eastAsia="en-GB"/>
        </w:rPr>
        <w:t xml:space="preserve"> VWF</w:t>
      </w:r>
      <w:r w:rsidR="00322179">
        <w:rPr>
          <w:rFonts w:eastAsia="Times New Roman" w:cs="Times New Roman"/>
          <w:color w:val="000000"/>
          <w:lang w:eastAsia="en-GB"/>
        </w:rPr>
        <w:t>.  F</w:t>
      </w:r>
      <w:r w:rsidRPr="00B4485E">
        <w:rPr>
          <w:rFonts w:eastAsia="Times New Roman" w:cs="Times New Roman"/>
          <w:color w:val="000000"/>
          <w:lang w:eastAsia="en-GB"/>
        </w:rPr>
        <w:t>urther the judge was wrong to de</w:t>
      </w:r>
      <w:r w:rsidR="008A6585">
        <w:rPr>
          <w:rFonts w:eastAsia="Times New Roman" w:cs="Times New Roman"/>
          <w:color w:val="000000"/>
          <w:lang w:eastAsia="en-GB"/>
        </w:rPr>
        <w:t>cide</w:t>
      </w:r>
      <w:r w:rsidRPr="00B4485E">
        <w:rPr>
          <w:rFonts w:eastAsia="Times New Roman" w:cs="Times New Roman"/>
          <w:color w:val="000000"/>
          <w:lang w:eastAsia="en-GB"/>
        </w:rPr>
        <w:t xml:space="preserve"> these matters on the basis of T’s evidence since </w:t>
      </w:r>
      <w:r w:rsidR="008A6585">
        <w:rPr>
          <w:rFonts w:eastAsia="Times New Roman" w:cs="Times New Roman"/>
          <w:color w:val="000000"/>
          <w:lang w:eastAsia="en-GB"/>
        </w:rPr>
        <w:t>it</w:t>
      </w:r>
      <w:r w:rsidRPr="00B4485E">
        <w:rPr>
          <w:rFonts w:eastAsia="Times New Roman" w:cs="Times New Roman"/>
          <w:color w:val="000000"/>
          <w:lang w:eastAsia="en-GB"/>
        </w:rPr>
        <w:t xml:space="preserve"> would not have been available at the time of W’s notional services claim under the Scheme. </w:t>
      </w:r>
      <w:bookmarkStart w:id="11" w:name="_Ref16671702"/>
      <w:bookmarkEnd w:id="5"/>
      <w:bookmarkEnd w:id="11"/>
    </w:p>
    <w:p w:rsidR="00B4485E" w:rsidRDefault="00B4485E" w:rsidP="00B4485E">
      <w:pPr>
        <w:spacing w:after="0" w:line="240" w:lineRule="auto"/>
        <w:jc w:val="both"/>
        <w:rPr>
          <w:rFonts w:eastAsia="Times New Roman" w:cs="Times New Roman"/>
          <w:color w:val="000000"/>
          <w:lang w:eastAsia="en-GB"/>
        </w:rPr>
      </w:pPr>
    </w:p>
    <w:p w:rsidR="00B4485E" w:rsidRDefault="00B4485E" w:rsidP="00B4485E">
      <w:pPr>
        <w:spacing w:after="0" w:line="240" w:lineRule="auto"/>
        <w:jc w:val="both"/>
        <w:rPr>
          <w:rFonts w:eastAsia="Times New Roman" w:cs="Times New Roman"/>
          <w:color w:val="000000"/>
          <w:lang w:eastAsia="en-GB"/>
        </w:rPr>
      </w:pPr>
      <w:r w:rsidRPr="00B4485E">
        <w:rPr>
          <w:rFonts w:eastAsia="Times New Roman" w:cs="Times New Roman"/>
          <w:color w:val="000000"/>
          <w:lang w:eastAsia="en-GB"/>
        </w:rPr>
        <w:t xml:space="preserve">H appealed to the Supreme Court on the ground of whether the prospects of success of the claim are to be judged as at the date when the claim was lost or at the date when damages are awarded.  H argued that the trial judge was right to rely on T’s evidence: the question </w:t>
      </w:r>
      <w:r w:rsidR="00440783">
        <w:rPr>
          <w:rFonts w:eastAsia="Times New Roman" w:cs="Times New Roman"/>
          <w:color w:val="000000"/>
          <w:lang w:eastAsia="en-GB"/>
        </w:rPr>
        <w:t xml:space="preserve">of </w:t>
      </w:r>
      <w:r w:rsidRPr="00B4485E">
        <w:rPr>
          <w:rFonts w:eastAsia="Times New Roman" w:cs="Times New Roman"/>
          <w:color w:val="000000"/>
          <w:lang w:eastAsia="en-GB"/>
        </w:rPr>
        <w:t xml:space="preserve">whether W had suffered loss should be determined as at the date of the trial of the claim against H; that the court should take account of all of the evidence available at the trial to enable a more accurate assessment of </w:t>
      </w:r>
      <w:r w:rsidR="00322179">
        <w:rPr>
          <w:rFonts w:eastAsia="Times New Roman" w:cs="Times New Roman"/>
          <w:color w:val="000000"/>
          <w:lang w:eastAsia="en-GB"/>
        </w:rPr>
        <w:t xml:space="preserve">the </w:t>
      </w:r>
      <w:r w:rsidR="008A6585">
        <w:rPr>
          <w:rFonts w:eastAsia="Times New Roman" w:cs="Times New Roman"/>
          <w:color w:val="000000"/>
          <w:lang w:eastAsia="en-GB"/>
        </w:rPr>
        <w:t xml:space="preserve">original claim’s </w:t>
      </w:r>
      <w:r w:rsidR="00322179">
        <w:rPr>
          <w:rFonts w:eastAsia="Times New Roman" w:cs="Times New Roman"/>
          <w:color w:val="000000"/>
          <w:lang w:eastAsia="en-GB"/>
        </w:rPr>
        <w:t>value</w:t>
      </w:r>
      <w:r w:rsidRPr="00B4485E">
        <w:rPr>
          <w:rFonts w:eastAsia="Times New Roman" w:cs="Times New Roman"/>
          <w:color w:val="000000"/>
          <w:lang w:eastAsia="en-GB"/>
        </w:rPr>
        <w:t>; and that evidence was needed to enable the issue of loss to be determined “with all the adversarial rigour of a trial” (</w:t>
      </w:r>
      <w:r w:rsidRPr="00B4485E">
        <w:rPr>
          <w:rFonts w:eastAsia="Times New Roman" w:cs="Times New Roman"/>
          <w:i/>
          <w:color w:val="000000"/>
          <w:lang w:eastAsia="en-GB"/>
        </w:rPr>
        <w:t>Perry  v  Raleys Solicitors</w:t>
      </w:r>
      <w:r w:rsidRPr="00B4485E">
        <w:rPr>
          <w:rFonts w:eastAsia="Times New Roman" w:cs="Times New Roman"/>
          <w:color w:val="000000"/>
          <w:lang w:eastAsia="en-GB"/>
        </w:rPr>
        <w:t xml:space="preserve"> [2019] UKSC 5; [2019] 2 W.L.R. 636; [2019] P.N.L.R. 17, </w:t>
      </w:r>
      <w:r w:rsidR="00322179">
        <w:rPr>
          <w:rFonts w:eastAsia="Times New Roman" w:cs="Times New Roman"/>
          <w:color w:val="000000"/>
          <w:lang w:eastAsia="en-GB"/>
        </w:rPr>
        <w:t xml:space="preserve">Para. </w:t>
      </w:r>
      <w:r w:rsidRPr="00B4485E">
        <w:rPr>
          <w:rFonts w:eastAsia="Times New Roman" w:cs="Times New Roman"/>
          <w:color w:val="000000"/>
          <w:lang w:eastAsia="en-GB"/>
        </w:rPr>
        <w:t>[19]).</w:t>
      </w:r>
    </w:p>
    <w:p w:rsidR="00B4485E" w:rsidRPr="00B4485E" w:rsidRDefault="00B4485E" w:rsidP="00B4485E">
      <w:pPr>
        <w:spacing w:after="0" w:line="240" w:lineRule="auto"/>
        <w:jc w:val="both"/>
        <w:rPr>
          <w:rFonts w:eastAsia="Times New Roman" w:cs="Times New Roman"/>
          <w:color w:val="000000"/>
          <w:lang w:eastAsia="en-GB"/>
        </w:rPr>
      </w:pPr>
    </w:p>
    <w:p w:rsidR="00B4485E" w:rsidRPr="00E17737" w:rsidRDefault="00B4485E" w:rsidP="00B4485E">
      <w:pPr>
        <w:spacing w:line="240" w:lineRule="auto"/>
      </w:pPr>
      <w:r w:rsidRPr="00E17737">
        <w:rPr>
          <w:b/>
        </w:rPr>
        <w:t xml:space="preserve">Held: </w:t>
      </w:r>
      <w:r w:rsidRPr="00E17737">
        <w:t>The appeal should be dismissed</w:t>
      </w:r>
      <w:r w:rsidR="00E17737" w:rsidRPr="00E17737">
        <w:t>, and the case remitted to the Recorder</w:t>
      </w:r>
    </w:p>
    <w:p w:rsidR="00B4485E" w:rsidRPr="00440783" w:rsidRDefault="00B4485E" w:rsidP="00B4485E">
      <w:pPr>
        <w:pStyle w:val="ListParagraph"/>
        <w:numPr>
          <w:ilvl w:val="0"/>
          <w:numId w:val="3"/>
        </w:numPr>
        <w:spacing w:after="520" w:line="240" w:lineRule="auto"/>
        <w:jc w:val="both"/>
        <w:rPr>
          <w:rFonts w:eastAsia="Times New Roman" w:cs="Times New Roman"/>
          <w:color w:val="000000"/>
          <w:lang w:eastAsia="en-GB"/>
        </w:rPr>
      </w:pPr>
      <w:r w:rsidRPr="00440783">
        <w:rPr>
          <w:rFonts w:eastAsia="Times New Roman" w:cs="Times New Roman"/>
          <w:color w:val="000000"/>
          <w:lang w:eastAsia="en-GB"/>
        </w:rPr>
        <w:t>The claimant lost the value of his claim under the Scheme as it would have been administered in accordance with its terms.</w:t>
      </w:r>
      <w:r w:rsidR="00255DAC" w:rsidRPr="00440783">
        <w:rPr>
          <w:rFonts w:eastAsia="Times New Roman" w:cs="Times New Roman"/>
          <w:color w:val="000000"/>
          <w:lang w:eastAsia="en-GB"/>
        </w:rPr>
        <w:t xml:space="preserve">  </w:t>
      </w:r>
      <w:r w:rsidRPr="00440783">
        <w:rPr>
          <w:rFonts w:eastAsia="Times New Roman" w:cs="Times New Roman"/>
          <w:color w:val="000000"/>
          <w:lang w:eastAsia="en-GB"/>
        </w:rPr>
        <w:t xml:space="preserve">The Scheme is intended to provide an efficient, economic, and broadly fair system. Recoverability </w:t>
      </w:r>
      <w:r w:rsidR="00440783">
        <w:rPr>
          <w:rFonts w:eastAsia="Times New Roman" w:cs="Times New Roman"/>
          <w:color w:val="000000"/>
          <w:lang w:eastAsia="en-GB"/>
        </w:rPr>
        <w:t xml:space="preserve">under </w:t>
      </w:r>
      <w:r w:rsidR="00322179">
        <w:rPr>
          <w:rFonts w:eastAsia="Times New Roman" w:cs="Times New Roman"/>
          <w:color w:val="000000"/>
          <w:lang w:eastAsia="en-GB"/>
        </w:rPr>
        <w:t>it does</w:t>
      </w:r>
      <w:r w:rsidRPr="00440783">
        <w:rPr>
          <w:rFonts w:eastAsia="Times New Roman" w:cs="Times New Roman"/>
          <w:color w:val="000000"/>
          <w:lang w:eastAsia="en-GB"/>
        </w:rPr>
        <w:t xml:space="preserve"> not depend on entitlement at common law nor does it correspond with what might have been the outcome in conventional civil proceedings.  </w:t>
      </w:r>
      <w:bookmarkStart w:id="12" w:name="para23"/>
      <w:bookmarkStart w:id="13" w:name="para26"/>
      <w:r w:rsidR="00E17737" w:rsidRPr="00440783">
        <w:rPr>
          <w:rFonts w:eastAsia="Times New Roman" w:cs="Times New Roman"/>
          <w:color w:val="000000"/>
          <w:lang w:eastAsia="en-GB"/>
        </w:rPr>
        <w:t xml:space="preserve"> (Para</w:t>
      </w:r>
      <w:r w:rsidR="00440783">
        <w:rPr>
          <w:rFonts w:eastAsia="Times New Roman" w:cs="Times New Roman"/>
          <w:color w:val="000000"/>
          <w:lang w:eastAsia="en-GB"/>
        </w:rPr>
        <w:t>s</w:t>
      </w:r>
      <w:r w:rsidR="00E17737" w:rsidRPr="00440783">
        <w:rPr>
          <w:rFonts w:eastAsia="Times New Roman" w:cs="Times New Roman"/>
          <w:color w:val="000000"/>
          <w:lang w:eastAsia="en-GB"/>
        </w:rPr>
        <w:t xml:space="preserve">. </w:t>
      </w:r>
      <w:r w:rsidR="00440783">
        <w:rPr>
          <w:rFonts w:eastAsia="Times New Roman" w:cs="Times New Roman"/>
          <w:color w:val="000000"/>
          <w:lang w:eastAsia="en-GB"/>
        </w:rPr>
        <w:t xml:space="preserve">[23], </w:t>
      </w:r>
      <w:r w:rsidR="00E17737" w:rsidRPr="00440783">
        <w:rPr>
          <w:rFonts w:eastAsia="Times New Roman" w:cs="Times New Roman"/>
          <w:color w:val="000000"/>
          <w:lang w:eastAsia="en-GB"/>
        </w:rPr>
        <w:t>[26])</w:t>
      </w:r>
    </w:p>
    <w:p w:rsidR="00B4485E" w:rsidRPr="00E17737" w:rsidRDefault="00B4485E" w:rsidP="00B4485E">
      <w:pPr>
        <w:pStyle w:val="ListParagraph"/>
        <w:numPr>
          <w:ilvl w:val="0"/>
          <w:numId w:val="3"/>
        </w:numPr>
        <w:spacing w:after="520" w:line="240" w:lineRule="auto"/>
        <w:jc w:val="both"/>
        <w:rPr>
          <w:rFonts w:eastAsia="Times New Roman" w:cs="Times New Roman"/>
          <w:color w:val="000000"/>
          <w:lang w:eastAsia="en-GB"/>
        </w:rPr>
      </w:pPr>
      <w:r w:rsidRPr="00E17737">
        <w:rPr>
          <w:rFonts w:eastAsia="Times New Roman" w:cs="Times New Roman"/>
          <w:color w:val="000000"/>
          <w:lang w:eastAsia="en-GB"/>
        </w:rPr>
        <w:t xml:space="preserve">Services claims were dealt by reference to presumptions derived from the </w:t>
      </w:r>
      <w:r w:rsidR="008A6585">
        <w:rPr>
          <w:rFonts w:eastAsia="Times New Roman" w:cs="Times New Roman"/>
          <w:color w:val="000000"/>
          <w:lang w:eastAsia="en-GB"/>
        </w:rPr>
        <w:t>MAP 1 procedure</w:t>
      </w:r>
      <w:r w:rsidRPr="00E17737">
        <w:rPr>
          <w:rFonts w:eastAsia="Times New Roman" w:cs="Times New Roman"/>
          <w:color w:val="000000"/>
          <w:lang w:eastAsia="en-GB"/>
        </w:rPr>
        <w:t xml:space="preserve">. </w:t>
      </w:r>
      <w:r w:rsidR="00E863D9">
        <w:rPr>
          <w:rFonts w:eastAsia="Times New Roman" w:cs="Times New Roman"/>
          <w:color w:val="000000"/>
          <w:lang w:eastAsia="en-GB"/>
        </w:rPr>
        <w:t>The s</w:t>
      </w:r>
      <w:r w:rsidRPr="00E17737">
        <w:rPr>
          <w:rFonts w:eastAsia="Times New Roman" w:cs="Times New Roman"/>
          <w:color w:val="000000"/>
          <w:lang w:eastAsia="en-GB"/>
        </w:rPr>
        <w:t xml:space="preserve">ubsequent MAP 2 procedure was limited to the issue of assessing co-morbidity.  There was no provision within the Scheme whereby the DTI could appeal against a general award, nor did the Scheme contemplate reopening or reassessing the diagnosis established at MAP 1. </w:t>
      </w:r>
      <w:r w:rsidR="00E17737" w:rsidRPr="00E17737">
        <w:rPr>
          <w:rFonts w:eastAsia="Times New Roman" w:cs="Times New Roman"/>
          <w:color w:val="000000"/>
          <w:lang w:eastAsia="en-GB"/>
        </w:rPr>
        <w:t xml:space="preserve"> (Paras. [26], [29])</w:t>
      </w:r>
    </w:p>
    <w:p w:rsidR="00B4485E" w:rsidRPr="00E17737" w:rsidRDefault="00B4485E" w:rsidP="00B4485E">
      <w:pPr>
        <w:pStyle w:val="ListParagraph"/>
        <w:numPr>
          <w:ilvl w:val="0"/>
          <w:numId w:val="3"/>
        </w:numPr>
        <w:spacing w:after="520" w:line="240" w:lineRule="auto"/>
        <w:jc w:val="both"/>
        <w:rPr>
          <w:rFonts w:eastAsia="Times New Roman" w:cs="Times New Roman"/>
          <w:color w:val="000000"/>
          <w:lang w:eastAsia="en-GB"/>
        </w:rPr>
      </w:pPr>
      <w:r w:rsidRPr="00E17737">
        <w:rPr>
          <w:rFonts w:eastAsia="Times New Roman" w:cs="Times New Roman"/>
          <w:color w:val="000000"/>
          <w:lang w:eastAsia="en-GB"/>
        </w:rPr>
        <w:t xml:space="preserve">The purpose of the medical </w:t>
      </w:r>
      <w:r w:rsidR="00E863D9">
        <w:rPr>
          <w:rFonts w:eastAsia="Times New Roman" w:cs="Times New Roman"/>
          <w:color w:val="000000"/>
          <w:lang w:eastAsia="en-GB"/>
        </w:rPr>
        <w:t xml:space="preserve">report </w:t>
      </w:r>
      <w:r w:rsidRPr="00E17737">
        <w:rPr>
          <w:rFonts w:eastAsia="Times New Roman" w:cs="Times New Roman"/>
          <w:color w:val="000000"/>
          <w:lang w:eastAsia="en-GB"/>
        </w:rPr>
        <w:t xml:space="preserve">obtained for the trial was to </w:t>
      </w:r>
      <w:r w:rsidR="00255DAC" w:rsidRPr="00E17737">
        <w:rPr>
          <w:rFonts w:eastAsia="Times New Roman" w:cs="Times New Roman"/>
          <w:color w:val="000000"/>
          <w:lang w:eastAsia="en-GB"/>
        </w:rPr>
        <w:t xml:space="preserve">evaluate </w:t>
      </w:r>
      <w:r w:rsidRPr="00E17737">
        <w:rPr>
          <w:rFonts w:eastAsia="Times New Roman" w:cs="Times New Roman"/>
          <w:color w:val="000000"/>
          <w:lang w:eastAsia="en-GB"/>
        </w:rPr>
        <w:t>W’s case on causation</w:t>
      </w:r>
      <w:r w:rsidR="00255DAC" w:rsidRPr="00E17737">
        <w:rPr>
          <w:rFonts w:eastAsia="Times New Roman" w:cs="Times New Roman"/>
          <w:color w:val="000000"/>
          <w:lang w:eastAsia="en-GB"/>
        </w:rPr>
        <w:t>, and was not relevant to the issue of loss</w:t>
      </w:r>
      <w:r w:rsidRPr="00E17737">
        <w:rPr>
          <w:rFonts w:eastAsia="Times New Roman" w:cs="Times New Roman"/>
          <w:color w:val="000000"/>
          <w:lang w:eastAsia="en-GB"/>
        </w:rPr>
        <w:t>.</w:t>
      </w:r>
      <w:r w:rsidR="00255DAC" w:rsidRPr="00E17737">
        <w:rPr>
          <w:rFonts w:eastAsia="Times New Roman" w:cs="Times New Roman"/>
          <w:color w:val="000000"/>
          <w:lang w:eastAsia="en-GB"/>
        </w:rPr>
        <w:t xml:space="preserve">  </w:t>
      </w:r>
      <w:r w:rsidRPr="00E17737">
        <w:rPr>
          <w:rFonts w:eastAsia="Times New Roman" w:cs="Times New Roman"/>
          <w:color w:val="000000"/>
          <w:lang w:eastAsia="en-GB"/>
        </w:rPr>
        <w:t xml:space="preserve">The judge at first instance found that if W had received non-negligent advice he would have pursued an honest services claim.  The report is not relevant </w:t>
      </w:r>
      <w:r w:rsidR="00E17737" w:rsidRPr="00E17737">
        <w:rPr>
          <w:rFonts w:eastAsia="Times New Roman" w:cs="Times New Roman"/>
          <w:color w:val="000000"/>
          <w:lang w:eastAsia="en-GB"/>
        </w:rPr>
        <w:t>to</w:t>
      </w:r>
      <w:r w:rsidRPr="00E17737">
        <w:rPr>
          <w:rFonts w:eastAsia="Times New Roman" w:cs="Times New Roman"/>
          <w:color w:val="000000"/>
          <w:lang w:eastAsia="en-GB"/>
        </w:rPr>
        <w:t xml:space="preserve"> constructing the counterfactual situation which would have arisen if H had fulfilled </w:t>
      </w:r>
      <w:r w:rsidR="00322179">
        <w:rPr>
          <w:rFonts w:eastAsia="Times New Roman" w:cs="Times New Roman"/>
          <w:color w:val="000000"/>
          <w:lang w:eastAsia="en-GB"/>
        </w:rPr>
        <w:t>its duty</w:t>
      </w:r>
      <w:r w:rsidRPr="00E17737">
        <w:rPr>
          <w:rFonts w:eastAsia="Times New Roman" w:cs="Times New Roman"/>
          <w:color w:val="000000"/>
          <w:lang w:eastAsia="en-GB"/>
        </w:rPr>
        <w:t>.  To include</w:t>
      </w:r>
      <w:r w:rsidR="00E17737" w:rsidRPr="00E17737">
        <w:rPr>
          <w:rFonts w:eastAsia="Times New Roman" w:cs="Times New Roman"/>
          <w:color w:val="000000"/>
          <w:lang w:eastAsia="en-GB"/>
        </w:rPr>
        <w:t xml:space="preserve"> </w:t>
      </w:r>
      <w:r w:rsidR="00E863D9">
        <w:rPr>
          <w:rFonts w:eastAsia="Times New Roman" w:cs="Times New Roman"/>
          <w:color w:val="000000"/>
          <w:lang w:eastAsia="en-GB"/>
        </w:rPr>
        <w:t xml:space="preserve">the report </w:t>
      </w:r>
      <w:r w:rsidRPr="00E17737">
        <w:rPr>
          <w:rFonts w:eastAsia="Times New Roman" w:cs="Times New Roman"/>
          <w:color w:val="000000"/>
          <w:lang w:eastAsia="en-GB"/>
        </w:rPr>
        <w:t xml:space="preserve">would be to add to the counterfactual situation the effect of a further medical examination which would never have been commissioned. </w:t>
      </w:r>
      <w:r w:rsidR="00E17737" w:rsidRPr="00E17737">
        <w:rPr>
          <w:rFonts w:eastAsia="Times New Roman" w:cs="Times New Roman"/>
          <w:color w:val="000000"/>
          <w:lang w:eastAsia="en-GB"/>
        </w:rPr>
        <w:t xml:space="preserve"> (Paras. [22], [27]-[31])</w:t>
      </w:r>
    </w:p>
    <w:p w:rsidR="00B4485E" w:rsidRPr="00E17737" w:rsidRDefault="00B4485E" w:rsidP="00B4485E">
      <w:pPr>
        <w:pStyle w:val="ListParagraph"/>
        <w:numPr>
          <w:ilvl w:val="0"/>
          <w:numId w:val="3"/>
        </w:numPr>
        <w:spacing w:after="520" w:line="240" w:lineRule="auto"/>
        <w:jc w:val="both"/>
        <w:rPr>
          <w:rFonts w:eastAsia="Times New Roman" w:cs="Times New Roman"/>
          <w:color w:val="000000"/>
          <w:lang w:eastAsia="en-GB"/>
        </w:rPr>
      </w:pPr>
      <w:r w:rsidRPr="00E17737">
        <w:rPr>
          <w:rFonts w:eastAsia="Times New Roman" w:cs="Times New Roman"/>
          <w:color w:val="000000"/>
          <w:lang w:eastAsia="en-GB"/>
        </w:rPr>
        <w:t>To argue that a professional negli</w:t>
      </w:r>
      <w:r w:rsidR="008A6585">
        <w:rPr>
          <w:rFonts w:eastAsia="Times New Roman" w:cs="Times New Roman"/>
          <w:color w:val="000000"/>
          <w:lang w:eastAsia="en-GB"/>
        </w:rPr>
        <w:t>gence claim would be a</w:t>
      </w:r>
      <w:r w:rsidRPr="00E17737">
        <w:rPr>
          <w:rFonts w:eastAsia="Times New Roman" w:cs="Times New Roman"/>
          <w:color w:val="000000"/>
          <w:lang w:eastAsia="en-GB"/>
        </w:rPr>
        <w:t xml:space="preserve"> windfall to W </w:t>
      </w:r>
      <w:r w:rsidRPr="00BA58C2">
        <w:rPr>
          <w:rFonts w:eastAsia="Times New Roman" w:cs="Times New Roman"/>
          <w:color w:val="000000"/>
          <w:lang w:eastAsia="en-GB"/>
        </w:rPr>
        <w:t>overlooks the natu</w:t>
      </w:r>
      <w:r w:rsidR="00E17737" w:rsidRPr="00BA58C2">
        <w:rPr>
          <w:rFonts w:eastAsia="Times New Roman" w:cs="Times New Roman"/>
          <w:color w:val="000000"/>
          <w:lang w:eastAsia="en-GB"/>
        </w:rPr>
        <w:t xml:space="preserve">re and operation of the Scheme.  </w:t>
      </w:r>
      <w:r w:rsidRPr="00BA58C2">
        <w:rPr>
          <w:rFonts w:eastAsia="Times New Roman" w:cs="Times New Roman"/>
          <w:color w:val="000000"/>
          <w:lang w:eastAsia="en-GB"/>
        </w:rPr>
        <w:t>W ha</w:t>
      </w:r>
      <w:r w:rsidR="00E863D9">
        <w:rPr>
          <w:rFonts w:eastAsia="Times New Roman" w:cs="Times New Roman"/>
          <w:color w:val="000000"/>
          <w:lang w:eastAsia="en-GB"/>
        </w:rPr>
        <w:t>s</w:t>
      </w:r>
      <w:r w:rsidRPr="00BA58C2">
        <w:rPr>
          <w:rFonts w:eastAsia="Times New Roman" w:cs="Times New Roman"/>
          <w:color w:val="000000"/>
          <w:lang w:eastAsia="en-GB"/>
        </w:rPr>
        <w:t xml:space="preserve"> lost a claim under the Scheme of some</w:t>
      </w:r>
      <w:r w:rsidR="00BA58C2">
        <w:rPr>
          <w:rFonts w:eastAsia="Times New Roman" w:cs="Times New Roman"/>
          <w:color w:val="000000"/>
          <w:lang w:eastAsia="en-GB"/>
        </w:rPr>
        <w:t xml:space="preserve"> value,</w:t>
      </w:r>
      <w:r w:rsidRPr="00E17737">
        <w:rPr>
          <w:rFonts w:eastAsia="Times New Roman" w:cs="Times New Roman"/>
          <w:noProof/>
          <w:color w:val="954F72"/>
          <w:lang w:eastAsia="en-GB"/>
        </w:rPr>
        <w:t xml:space="preserve"> </w:t>
      </w:r>
      <w:r w:rsidRPr="00E17737">
        <w:rPr>
          <w:rFonts w:eastAsia="Times New Roman" w:cs="Times New Roman"/>
          <w:color w:val="000000"/>
          <w:lang w:eastAsia="en-GB"/>
        </w:rPr>
        <w:t>to be</w:t>
      </w:r>
      <w:r w:rsidRPr="00E17737">
        <w:rPr>
          <w:rFonts w:eastAsia="Times New Roman" w:cs="Times New Roman"/>
          <w:noProof/>
          <w:color w:val="954F72"/>
          <w:lang w:eastAsia="en-GB"/>
        </w:rPr>
        <w:t xml:space="preserve"> </w:t>
      </w:r>
      <w:r w:rsidRPr="00E17737">
        <w:rPr>
          <w:rFonts w:eastAsia="Times New Roman" w:cs="Times New Roman"/>
          <w:color w:val="000000"/>
          <w:lang w:eastAsia="en-GB"/>
        </w:rPr>
        <w:t xml:space="preserve">assessed on a loss of opportunity basis. </w:t>
      </w:r>
      <w:bookmarkStart w:id="14" w:name="para24"/>
      <w:bookmarkEnd w:id="12"/>
      <w:bookmarkEnd w:id="13"/>
      <w:r w:rsidR="00E17737" w:rsidRPr="00E17737">
        <w:rPr>
          <w:rFonts w:eastAsia="Times New Roman" w:cs="Times New Roman"/>
          <w:color w:val="000000"/>
          <w:lang w:eastAsia="en-GB"/>
        </w:rPr>
        <w:t xml:space="preserve"> (Para. [31])</w:t>
      </w:r>
    </w:p>
    <w:p w:rsidR="00B4485E" w:rsidRPr="00BA58C2" w:rsidRDefault="00E17737" w:rsidP="009435D6">
      <w:pPr>
        <w:pStyle w:val="ListParagraph"/>
        <w:numPr>
          <w:ilvl w:val="0"/>
          <w:numId w:val="3"/>
        </w:numPr>
        <w:spacing w:after="520" w:line="240" w:lineRule="auto"/>
        <w:jc w:val="both"/>
        <w:rPr>
          <w:i/>
        </w:rPr>
      </w:pPr>
      <w:r w:rsidRPr="00BA58C2">
        <w:rPr>
          <w:rFonts w:eastAsia="Times New Roman" w:cs="Times New Roman"/>
          <w:color w:val="000000"/>
          <w:lang w:eastAsia="en-GB"/>
        </w:rPr>
        <w:t>S</w:t>
      </w:r>
      <w:r w:rsidR="00B4485E" w:rsidRPr="00BA58C2">
        <w:rPr>
          <w:rFonts w:eastAsia="Times New Roman" w:cs="Times New Roman"/>
          <w:color w:val="000000"/>
          <w:lang w:eastAsia="en-GB"/>
        </w:rPr>
        <w:t>ince the report was not relevan</w:t>
      </w:r>
      <w:r w:rsidR="003B4E0D">
        <w:rPr>
          <w:rFonts w:eastAsia="Times New Roman" w:cs="Times New Roman"/>
          <w:color w:val="000000"/>
          <w:lang w:eastAsia="en-GB"/>
        </w:rPr>
        <w:t>t to any issue before the court, i</w:t>
      </w:r>
      <w:r w:rsidR="00B4485E" w:rsidRPr="00BA58C2">
        <w:rPr>
          <w:rFonts w:eastAsia="Times New Roman" w:cs="Times New Roman"/>
          <w:color w:val="000000"/>
          <w:lang w:eastAsia="en-GB"/>
        </w:rPr>
        <w:t>t is not necessary to express a concluded view in relation to the issue of the admissibility in a professional negligence action of subsequently ac</w:t>
      </w:r>
      <w:r w:rsidR="00045682">
        <w:rPr>
          <w:rFonts w:eastAsia="Times New Roman" w:cs="Times New Roman"/>
          <w:color w:val="000000"/>
          <w:lang w:eastAsia="en-GB"/>
        </w:rPr>
        <w:t>quired evidence relating to the</w:t>
      </w:r>
      <w:r w:rsidR="00920850">
        <w:rPr>
          <w:rFonts w:eastAsia="Times New Roman" w:cs="Times New Roman"/>
          <w:color w:val="000000"/>
          <w:lang w:eastAsia="en-GB"/>
        </w:rPr>
        <w:t xml:space="preserve"> value </w:t>
      </w:r>
      <w:r w:rsidR="00B4485E" w:rsidRPr="00BA58C2">
        <w:rPr>
          <w:rFonts w:eastAsia="Times New Roman" w:cs="Times New Roman"/>
          <w:color w:val="000000"/>
          <w:lang w:eastAsia="en-GB"/>
        </w:rPr>
        <w:t>of the original claim</w:t>
      </w:r>
      <w:r w:rsidR="00A07CC6">
        <w:rPr>
          <w:rFonts w:eastAsia="Times New Roman" w:cs="Times New Roman"/>
          <w:color w:val="000000"/>
          <w:lang w:eastAsia="en-GB"/>
        </w:rPr>
        <w:t>.</w:t>
      </w:r>
      <w:r w:rsidR="00B4485E" w:rsidRPr="00BA58C2">
        <w:rPr>
          <w:rFonts w:eastAsia="Times New Roman" w:cs="Times New Roman"/>
          <w:color w:val="000000"/>
          <w:lang w:eastAsia="en-GB"/>
        </w:rPr>
        <w:t xml:space="preserve"> </w:t>
      </w:r>
      <w:r w:rsidRPr="00BA58C2">
        <w:rPr>
          <w:rFonts w:eastAsia="Times New Roman" w:cs="Times New Roman"/>
          <w:color w:val="000000"/>
          <w:lang w:eastAsia="en-GB"/>
        </w:rPr>
        <w:t>(Para.</w:t>
      </w:r>
      <w:r w:rsidR="00B4485E" w:rsidRPr="00BA58C2">
        <w:rPr>
          <w:rFonts w:eastAsia="Times New Roman" w:cs="Times New Roman"/>
          <w:color w:val="000000"/>
          <w:lang w:eastAsia="en-GB"/>
        </w:rPr>
        <w:t xml:space="preserve"> [24])</w:t>
      </w:r>
      <w:bookmarkEnd w:id="14"/>
    </w:p>
    <w:p w:rsidR="009435D6" w:rsidRPr="00472C96" w:rsidRDefault="009435D6" w:rsidP="009435D6">
      <w:pPr>
        <w:pStyle w:val="ListParagraph"/>
        <w:spacing w:line="240" w:lineRule="auto"/>
        <w:rPr>
          <w:highlight w:val="cyan"/>
        </w:rPr>
      </w:pPr>
    </w:p>
    <w:p w:rsidR="000358FA" w:rsidRPr="004F68FA" w:rsidRDefault="009F1A87" w:rsidP="009435D6">
      <w:pPr>
        <w:spacing w:line="240" w:lineRule="auto"/>
        <w:rPr>
          <w:b/>
        </w:rPr>
      </w:pPr>
      <w:r w:rsidRPr="004F68FA">
        <w:rPr>
          <w:b/>
        </w:rPr>
        <w:t>Cases referred to in</w:t>
      </w:r>
      <w:r w:rsidR="000358FA" w:rsidRPr="004F68FA">
        <w:rPr>
          <w:b/>
        </w:rPr>
        <w:t xml:space="preserve"> the opinion</w:t>
      </w:r>
      <w:r w:rsidR="00FB32D7" w:rsidRPr="004F68FA">
        <w:rPr>
          <w:b/>
        </w:rPr>
        <w:t>:</w:t>
      </w:r>
    </w:p>
    <w:p w:rsidR="000358FA" w:rsidRPr="0097073D" w:rsidRDefault="0065089C" w:rsidP="009435D6">
      <w:pPr>
        <w:spacing w:after="0" w:line="240" w:lineRule="auto"/>
      </w:pPr>
      <w:r w:rsidRPr="004F68FA">
        <w:rPr>
          <w:i/>
        </w:rPr>
        <w:t xml:space="preserve">Bwllfa and Merthyr Dare Steam Collieries (1891) </w:t>
      </w:r>
      <w:r w:rsidR="00E863D9" w:rsidRPr="004F68FA">
        <w:rPr>
          <w:i/>
        </w:rPr>
        <w:t>Ltd v Pontypridd</w:t>
      </w:r>
      <w:r w:rsidRPr="004F68FA">
        <w:rPr>
          <w:i/>
        </w:rPr>
        <w:t xml:space="preserve"> Waterworks Co</w:t>
      </w:r>
      <w:r w:rsidRPr="0097073D">
        <w:t xml:space="preserve"> [1903] A</w:t>
      </w:r>
      <w:r w:rsidR="004F68FA">
        <w:t>.</w:t>
      </w:r>
      <w:r w:rsidRPr="0097073D">
        <w:t>C</w:t>
      </w:r>
      <w:r w:rsidR="004F68FA">
        <w:t>.</w:t>
      </w:r>
      <w:r w:rsidRPr="0097073D">
        <w:t xml:space="preserve"> 426</w:t>
      </w:r>
    </w:p>
    <w:p w:rsidR="0065089C" w:rsidRPr="0097073D" w:rsidRDefault="0065089C" w:rsidP="009435D6">
      <w:pPr>
        <w:spacing w:after="0" w:line="240" w:lineRule="auto"/>
        <w:rPr>
          <w:highlight w:val="cyan"/>
        </w:rPr>
      </w:pPr>
    </w:p>
    <w:p w:rsidR="0065089C" w:rsidRPr="0097073D" w:rsidRDefault="00E863D9" w:rsidP="009435D6">
      <w:pPr>
        <w:spacing w:after="0" w:line="240" w:lineRule="auto"/>
      </w:pPr>
      <w:r w:rsidRPr="004F68FA">
        <w:rPr>
          <w:i/>
        </w:rPr>
        <w:t>Armstrong v British</w:t>
      </w:r>
      <w:r w:rsidR="0065089C" w:rsidRPr="004F68FA">
        <w:rPr>
          <w:i/>
        </w:rPr>
        <w:t xml:space="preserve"> Coal Corpn</w:t>
      </w:r>
      <w:r w:rsidR="0065089C" w:rsidRPr="0097073D">
        <w:t xml:space="preserve"> [1998] C</w:t>
      </w:r>
      <w:r w:rsidR="004F68FA">
        <w:t>.</w:t>
      </w:r>
      <w:r w:rsidR="0065089C" w:rsidRPr="0097073D">
        <w:t>L</w:t>
      </w:r>
      <w:r w:rsidR="004F68FA">
        <w:t>.</w:t>
      </w:r>
      <w:r w:rsidR="0065089C" w:rsidRPr="0097073D">
        <w:t>Y</w:t>
      </w:r>
      <w:r w:rsidR="004F68FA">
        <w:t>.</w:t>
      </w:r>
      <w:r w:rsidR="0065089C" w:rsidRPr="0097073D">
        <w:t xml:space="preserve"> 975</w:t>
      </w:r>
    </w:p>
    <w:p w:rsidR="00234BCE" w:rsidRPr="0097073D" w:rsidRDefault="00234BCE" w:rsidP="009435D6">
      <w:pPr>
        <w:spacing w:after="0" w:line="240" w:lineRule="auto"/>
      </w:pPr>
    </w:p>
    <w:p w:rsidR="00234BCE" w:rsidRPr="0097073D" w:rsidRDefault="00E863D9" w:rsidP="009435D6">
      <w:pPr>
        <w:spacing w:after="0" w:line="240" w:lineRule="auto"/>
      </w:pPr>
      <w:r w:rsidRPr="004F68FA">
        <w:rPr>
          <w:i/>
        </w:rPr>
        <w:t>Mount v Barker</w:t>
      </w:r>
      <w:r w:rsidR="00234BCE" w:rsidRPr="004F68FA">
        <w:rPr>
          <w:i/>
        </w:rPr>
        <w:t xml:space="preserve"> Austin</w:t>
      </w:r>
      <w:r w:rsidR="00234BCE" w:rsidRPr="0097073D">
        <w:t xml:space="preserve"> [1998] P</w:t>
      </w:r>
      <w:r w:rsidR="004F68FA">
        <w:t>.</w:t>
      </w:r>
      <w:r w:rsidR="00234BCE" w:rsidRPr="0097073D">
        <w:t>N</w:t>
      </w:r>
      <w:r w:rsidR="004F68FA">
        <w:t>.</w:t>
      </w:r>
      <w:r w:rsidR="00234BCE" w:rsidRPr="0097073D">
        <w:t>L</w:t>
      </w:r>
      <w:r w:rsidR="004F68FA">
        <w:t>.</w:t>
      </w:r>
      <w:r w:rsidR="00234BCE" w:rsidRPr="0097073D">
        <w:t>R</w:t>
      </w:r>
      <w:r w:rsidR="004F68FA">
        <w:t>.</w:t>
      </w:r>
      <w:r w:rsidR="00234BCE" w:rsidRPr="0097073D">
        <w:t xml:space="preserve"> 493</w:t>
      </w:r>
    </w:p>
    <w:p w:rsidR="0065089C" w:rsidRPr="0097073D" w:rsidRDefault="0065089C" w:rsidP="009435D6">
      <w:pPr>
        <w:spacing w:after="0" w:line="240" w:lineRule="auto"/>
      </w:pPr>
    </w:p>
    <w:p w:rsidR="0065089C" w:rsidRPr="0097073D" w:rsidRDefault="00E863D9" w:rsidP="009435D6">
      <w:pPr>
        <w:spacing w:after="0" w:line="240" w:lineRule="auto"/>
      </w:pPr>
      <w:r w:rsidRPr="004F68FA">
        <w:rPr>
          <w:i/>
        </w:rPr>
        <w:t>Green v Collyer</w:t>
      </w:r>
      <w:r w:rsidR="004F68FA" w:rsidRPr="004F68FA">
        <w:rPr>
          <w:i/>
        </w:rPr>
        <w:t>-Bristow</w:t>
      </w:r>
      <w:r w:rsidR="004F68FA">
        <w:t xml:space="preserve"> [1999] Lloyd’</w:t>
      </w:r>
      <w:r w:rsidR="00234BCE" w:rsidRPr="0097073D">
        <w:t xml:space="preserve">s </w:t>
      </w:r>
      <w:r w:rsidR="0065089C" w:rsidRPr="0097073D">
        <w:t>Rep</w:t>
      </w:r>
      <w:r w:rsidR="004F68FA">
        <w:t>.</w:t>
      </w:r>
      <w:r w:rsidR="0065089C" w:rsidRPr="0097073D">
        <w:t xml:space="preserve"> P</w:t>
      </w:r>
      <w:r w:rsidR="004F68FA">
        <w:t>.</w:t>
      </w:r>
      <w:r w:rsidR="0065089C" w:rsidRPr="0097073D">
        <w:t>N</w:t>
      </w:r>
      <w:r w:rsidR="004F68FA">
        <w:t>.</w:t>
      </w:r>
      <w:r w:rsidR="0065089C" w:rsidRPr="0097073D">
        <w:t xml:space="preserve"> 798</w:t>
      </w:r>
    </w:p>
    <w:p w:rsidR="0065089C" w:rsidRPr="0097073D" w:rsidRDefault="0065089C" w:rsidP="009435D6">
      <w:pPr>
        <w:spacing w:after="0" w:line="240" w:lineRule="auto"/>
      </w:pPr>
    </w:p>
    <w:p w:rsidR="0065089C" w:rsidRPr="0097073D" w:rsidRDefault="004F68FA" w:rsidP="004F68FA">
      <w:pPr>
        <w:spacing w:after="0" w:line="240" w:lineRule="auto"/>
      </w:pPr>
      <w:r w:rsidRPr="004F68FA">
        <w:rPr>
          <w:i/>
        </w:rPr>
        <w:t xml:space="preserve">Charles </w:t>
      </w:r>
      <w:r w:rsidR="0065089C" w:rsidRPr="004F68FA">
        <w:rPr>
          <w:i/>
        </w:rPr>
        <w:t>v</w:t>
      </w:r>
      <w:r w:rsidRPr="004F68FA">
        <w:rPr>
          <w:i/>
        </w:rPr>
        <w:t xml:space="preserve"> </w:t>
      </w:r>
      <w:r w:rsidR="0065089C" w:rsidRPr="004F68FA">
        <w:rPr>
          <w:i/>
        </w:rPr>
        <w:t>Hugh</w:t>
      </w:r>
      <w:r w:rsidRPr="004F68FA">
        <w:rPr>
          <w:i/>
        </w:rPr>
        <w:t xml:space="preserve"> </w:t>
      </w:r>
      <w:r w:rsidR="00E863D9" w:rsidRPr="004F68FA">
        <w:rPr>
          <w:i/>
        </w:rPr>
        <w:t>James Jones</w:t>
      </w:r>
      <w:r w:rsidR="0065089C" w:rsidRPr="004F68FA">
        <w:rPr>
          <w:i/>
        </w:rPr>
        <w:t xml:space="preserve"> &amp; Jenkins</w:t>
      </w:r>
      <w:r w:rsidR="0065089C" w:rsidRPr="0097073D">
        <w:t xml:space="preserve"> [2000] 1 W</w:t>
      </w:r>
      <w:r>
        <w:t>.</w:t>
      </w:r>
      <w:r w:rsidR="0065089C" w:rsidRPr="0097073D">
        <w:t>L</w:t>
      </w:r>
      <w:r>
        <w:t>.</w:t>
      </w:r>
      <w:r w:rsidR="0065089C" w:rsidRPr="0097073D">
        <w:t>R</w:t>
      </w:r>
      <w:r>
        <w:t>.</w:t>
      </w:r>
      <w:r w:rsidR="0065089C" w:rsidRPr="0097073D">
        <w:t xml:space="preserve"> 1278</w:t>
      </w:r>
    </w:p>
    <w:p w:rsidR="0065089C" w:rsidRPr="0097073D" w:rsidRDefault="0065089C" w:rsidP="009435D6">
      <w:pPr>
        <w:spacing w:after="0" w:line="240" w:lineRule="auto"/>
      </w:pPr>
    </w:p>
    <w:p w:rsidR="0065089C" w:rsidRPr="0097073D" w:rsidRDefault="0065089C" w:rsidP="009435D6">
      <w:pPr>
        <w:spacing w:after="0" w:line="240" w:lineRule="auto"/>
      </w:pPr>
      <w:r w:rsidRPr="004F68FA">
        <w:rPr>
          <w:i/>
        </w:rPr>
        <w:t xml:space="preserve">Somatra </w:t>
      </w:r>
      <w:r w:rsidR="00E863D9" w:rsidRPr="004F68FA">
        <w:rPr>
          <w:i/>
        </w:rPr>
        <w:t>Ltd v Sinclair</w:t>
      </w:r>
      <w:r w:rsidRPr="004F68FA">
        <w:rPr>
          <w:i/>
        </w:rPr>
        <w:t xml:space="preserve"> Roche and Temperley</w:t>
      </w:r>
      <w:r w:rsidRPr="0097073D">
        <w:t xml:space="preserve"> </w:t>
      </w:r>
      <w:r w:rsidR="00234BCE" w:rsidRPr="0097073D">
        <w:t xml:space="preserve">[2003] EWCA Civ 1474; </w:t>
      </w:r>
      <w:r w:rsidRPr="0097073D">
        <w:t>[2003] 2 Lloyd’s Rep</w:t>
      </w:r>
      <w:r w:rsidR="004F68FA">
        <w:t>.</w:t>
      </w:r>
      <w:r w:rsidRPr="0097073D">
        <w:t xml:space="preserve"> 855</w:t>
      </w:r>
    </w:p>
    <w:p w:rsidR="0065089C" w:rsidRPr="0097073D" w:rsidRDefault="0065089C" w:rsidP="009435D6">
      <w:pPr>
        <w:spacing w:after="0" w:line="240" w:lineRule="auto"/>
      </w:pPr>
    </w:p>
    <w:p w:rsidR="00234BCE" w:rsidRPr="0097073D" w:rsidRDefault="00E863D9" w:rsidP="009435D6">
      <w:pPr>
        <w:spacing w:after="0" w:line="240" w:lineRule="auto"/>
      </w:pPr>
      <w:r w:rsidRPr="004F68FA">
        <w:rPr>
          <w:i/>
        </w:rPr>
        <w:lastRenderedPageBreak/>
        <w:t>Dudarec v Andrews</w:t>
      </w:r>
      <w:r w:rsidR="0065089C" w:rsidRPr="0097073D">
        <w:t xml:space="preserve"> </w:t>
      </w:r>
      <w:r w:rsidR="00234BCE" w:rsidRPr="0097073D">
        <w:t xml:space="preserve">[2006] EWCA Civ 256; </w:t>
      </w:r>
      <w:r w:rsidR="0065089C" w:rsidRPr="0097073D">
        <w:t>[2006] 1 W</w:t>
      </w:r>
      <w:r w:rsidR="004F68FA">
        <w:t>.</w:t>
      </w:r>
      <w:r w:rsidR="0065089C" w:rsidRPr="0097073D">
        <w:t>L</w:t>
      </w:r>
      <w:r w:rsidR="004F68FA">
        <w:t>.</w:t>
      </w:r>
      <w:r w:rsidR="0065089C" w:rsidRPr="0097073D">
        <w:t>R</w:t>
      </w:r>
      <w:r w:rsidR="004F68FA">
        <w:t>.</w:t>
      </w:r>
      <w:r w:rsidR="0065089C" w:rsidRPr="0097073D">
        <w:t xml:space="preserve"> 3002</w:t>
      </w:r>
      <w:r w:rsidR="00234BCE" w:rsidRPr="0097073D">
        <w:t>; [2006] P.N.L.R. 26</w:t>
      </w:r>
    </w:p>
    <w:p w:rsidR="0065089C" w:rsidRPr="0097073D" w:rsidRDefault="0065089C" w:rsidP="009435D6">
      <w:pPr>
        <w:spacing w:after="0" w:line="240" w:lineRule="auto"/>
      </w:pPr>
    </w:p>
    <w:p w:rsidR="0065089C" w:rsidRPr="0097073D" w:rsidRDefault="0065089C" w:rsidP="009435D6">
      <w:pPr>
        <w:spacing w:after="0" w:line="240" w:lineRule="auto"/>
      </w:pPr>
      <w:r w:rsidRPr="004F68FA">
        <w:rPr>
          <w:i/>
        </w:rPr>
        <w:t xml:space="preserve">Golden Strait </w:t>
      </w:r>
      <w:r w:rsidR="00E863D9" w:rsidRPr="004F68FA">
        <w:rPr>
          <w:i/>
        </w:rPr>
        <w:t>Corpn v Nippon</w:t>
      </w:r>
      <w:r w:rsidRPr="004F68FA">
        <w:rPr>
          <w:i/>
        </w:rPr>
        <w:t xml:space="preserve"> Yusen Kubishika Kaisha (The </w:t>
      </w:r>
      <w:r w:rsidR="00E863D9" w:rsidRPr="004F68FA">
        <w:rPr>
          <w:i/>
        </w:rPr>
        <w:t>Golden Victory)</w:t>
      </w:r>
      <w:r w:rsidR="00E863D9" w:rsidRPr="0097073D">
        <w:t xml:space="preserve"> [</w:t>
      </w:r>
      <w:r w:rsidR="00234BCE" w:rsidRPr="0097073D">
        <w:t xml:space="preserve">2007] UKHL 12; </w:t>
      </w:r>
      <w:r w:rsidRPr="0097073D">
        <w:t>[2007] 2 A</w:t>
      </w:r>
      <w:r w:rsidR="004F68FA">
        <w:t>.</w:t>
      </w:r>
      <w:r w:rsidRPr="0097073D">
        <w:t>C</w:t>
      </w:r>
      <w:r w:rsidR="004F68FA">
        <w:t>.</w:t>
      </w:r>
      <w:r w:rsidRPr="0097073D">
        <w:t xml:space="preserve"> 353</w:t>
      </w:r>
    </w:p>
    <w:p w:rsidR="0065089C" w:rsidRPr="0097073D" w:rsidRDefault="0065089C" w:rsidP="009435D6">
      <w:pPr>
        <w:spacing w:after="0" w:line="240" w:lineRule="auto"/>
      </w:pPr>
    </w:p>
    <w:p w:rsidR="00234BCE" w:rsidRPr="0097073D" w:rsidRDefault="00E863D9" w:rsidP="00234BCE">
      <w:pPr>
        <w:spacing w:after="0" w:line="240" w:lineRule="auto"/>
      </w:pPr>
      <w:r w:rsidRPr="004F68FA">
        <w:rPr>
          <w:i/>
        </w:rPr>
        <w:t>Whitehead v Searle</w:t>
      </w:r>
      <w:r w:rsidR="0065089C" w:rsidRPr="0097073D">
        <w:t xml:space="preserve"> </w:t>
      </w:r>
      <w:r w:rsidR="00234BCE" w:rsidRPr="0097073D">
        <w:t>[2008] EWCA Civ 285; [2009] 1 W.L.R. 549; [2008] P.N.L.R. 25</w:t>
      </w:r>
    </w:p>
    <w:p w:rsidR="00234BCE" w:rsidRPr="0097073D" w:rsidRDefault="00234BCE" w:rsidP="00234BCE">
      <w:pPr>
        <w:spacing w:after="0" w:line="240" w:lineRule="auto"/>
        <w:rPr>
          <w:highlight w:val="cyan"/>
        </w:rPr>
      </w:pPr>
    </w:p>
    <w:p w:rsidR="00234BCE" w:rsidRPr="0097073D" w:rsidRDefault="00E863D9" w:rsidP="009435D6">
      <w:pPr>
        <w:spacing w:line="240" w:lineRule="auto"/>
      </w:pPr>
      <w:r w:rsidRPr="004F68FA">
        <w:rPr>
          <w:i/>
        </w:rPr>
        <w:t>Perry v Raleys</w:t>
      </w:r>
      <w:r w:rsidR="0065089C" w:rsidRPr="004F68FA">
        <w:rPr>
          <w:i/>
        </w:rPr>
        <w:t xml:space="preserve"> Solicitors</w:t>
      </w:r>
      <w:r w:rsidR="0065089C" w:rsidRPr="0097073D">
        <w:t xml:space="preserve"> </w:t>
      </w:r>
      <w:r w:rsidR="00234BCE" w:rsidRPr="0097073D">
        <w:t>[2017] EWCA Civ 314; [2017] P.N.L.R. 27</w:t>
      </w:r>
    </w:p>
    <w:p w:rsidR="0097073D" w:rsidRPr="0097073D" w:rsidRDefault="00E863D9" w:rsidP="009435D6">
      <w:pPr>
        <w:spacing w:line="240" w:lineRule="auto"/>
      </w:pPr>
      <w:r w:rsidRPr="004F68FA">
        <w:rPr>
          <w:i/>
        </w:rPr>
        <w:t>Perry v Raleys</w:t>
      </w:r>
      <w:r w:rsidR="0097073D" w:rsidRPr="004F68FA">
        <w:rPr>
          <w:i/>
        </w:rPr>
        <w:t xml:space="preserve"> Solicitors</w:t>
      </w:r>
      <w:r w:rsidR="0097073D" w:rsidRPr="0097073D">
        <w:t xml:space="preserve"> [2019] UKSC 5; [2019] 2 W.L.R. 636; [2019] P.N.L.R. 17</w:t>
      </w:r>
    </w:p>
    <w:p w:rsidR="0097073D" w:rsidRDefault="0097073D" w:rsidP="009435D6">
      <w:pPr>
        <w:spacing w:line="240" w:lineRule="auto"/>
      </w:pPr>
    </w:p>
    <w:p w:rsidR="00472C96" w:rsidRPr="00472C96" w:rsidRDefault="009F1A87" w:rsidP="00472C96">
      <w:pPr>
        <w:spacing w:line="240" w:lineRule="auto"/>
      </w:pPr>
      <w:r w:rsidRPr="00472C96">
        <w:rPr>
          <w:b/>
        </w:rPr>
        <w:t xml:space="preserve">Appeal </w:t>
      </w:r>
      <w:r w:rsidRPr="00472C96">
        <w:t xml:space="preserve">from a decision of the Court of Appeal dated </w:t>
      </w:r>
      <w:r w:rsidR="00472C96" w:rsidRPr="00472C96">
        <w:t>June 6</w:t>
      </w:r>
      <w:r w:rsidRPr="00472C96">
        <w:t>, 2018 (</w:t>
      </w:r>
      <w:r w:rsidR="00472C96" w:rsidRPr="00472C96">
        <w:t>[2018] EWCA Civ 1299; [2018] P.N.L.R. 30)</w:t>
      </w:r>
    </w:p>
    <w:p w:rsidR="00472C96" w:rsidRDefault="00472C96" w:rsidP="009435D6">
      <w:pPr>
        <w:spacing w:line="240" w:lineRule="auto"/>
        <w:rPr>
          <w:i/>
        </w:rPr>
      </w:pPr>
    </w:p>
    <w:p w:rsidR="009F1A87" w:rsidRPr="00472C96" w:rsidRDefault="00472C96" w:rsidP="009435D6">
      <w:pPr>
        <w:spacing w:line="240" w:lineRule="auto"/>
      </w:pPr>
      <w:r w:rsidRPr="00472C96">
        <w:rPr>
          <w:i/>
        </w:rPr>
        <w:t xml:space="preserve">Michael Pooles QC </w:t>
      </w:r>
      <w:r w:rsidRPr="00472C96">
        <w:t xml:space="preserve">and </w:t>
      </w:r>
      <w:r w:rsidRPr="00472C96">
        <w:rPr>
          <w:i/>
        </w:rPr>
        <w:t>Matthew Jackson</w:t>
      </w:r>
      <w:r>
        <w:t xml:space="preserve"> </w:t>
      </w:r>
      <w:r w:rsidR="009F1A87" w:rsidRPr="00472C96">
        <w:t xml:space="preserve">(instructed by </w:t>
      </w:r>
      <w:r w:rsidRPr="00472C96">
        <w:t>DAC Beachcroft LLP (Bristol)</w:t>
      </w:r>
      <w:r w:rsidR="009F1A87" w:rsidRPr="00472C96">
        <w:t>) for the Appellant</w:t>
      </w:r>
    </w:p>
    <w:p w:rsidR="009F1A87" w:rsidRDefault="00472C96" w:rsidP="009435D6">
      <w:pPr>
        <w:spacing w:line="240" w:lineRule="auto"/>
      </w:pPr>
      <w:r w:rsidRPr="00472C96">
        <w:rPr>
          <w:i/>
        </w:rPr>
        <w:t>Richard Copnall</w:t>
      </w:r>
      <w:r w:rsidR="009F1A87" w:rsidRPr="00472C96">
        <w:t xml:space="preserve"> and </w:t>
      </w:r>
      <w:r w:rsidRPr="00472C96">
        <w:rPr>
          <w:i/>
        </w:rPr>
        <w:t>Abigail Telford</w:t>
      </w:r>
      <w:r>
        <w:t xml:space="preserve"> </w:t>
      </w:r>
      <w:r w:rsidR="009F1A87" w:rsidRPr="00472C96">
        <w:t xml:space="preserve">(instructed by </w:t>
      </w:r>
      <w:r w:rsidRPr="00472C96">
        <w:t>BPS Law LLP (Manchester)</w:t>
      </w:r>
      <w:r w:rsidR="009F1A87" w:rsidRPr="00472C96">
        <w:t>) for the Respondent</w:t>
      </w:r>
    </w:p>
    <w:p w:rsidR="004F68FA" w:rsidRDefault="004F68FA" w:rsidP="009435D6">
      <w:pPr>
        <w:spacing w:line="240" w:lineRule="auto"/>
      </w:pPr>
    </w:p>
    <w:p w:rsidR="004F68FA" w:rsidRDefault="004F68FA" w:rsidP="009435D6">
      <w:pPr>
        <w:spacing w:line="240" w:lineRule="auto"/>
      </w:pPr>
      <w:r w:rsidRPr="004F68FA">
        <w:rPr>
          <w:b/>
        </w:rPr>
        <w:t>LORD LLOYD-JONES</w:t>
      </w:r>
      <w:r>
        <w:t xml:space="preserve"> </w:t>
      </w:r>
      <w:r w:rsidRPr="004F68FA">
        <w:t>(with whom Lady Hale, Lord Reed, Lord Sales and Lord Thomas agree)</w:t>
      </w:r>
      <w:r>
        <w:t>:</w:t>
      </w:r>
    </w:p>
    <w:p w:rsidR="004F68FA" w:rsidRPr="00472C96" w:rsidRDefault="004F68FA" w:rsidP="009435D6">
      <w:pPr>
        <w:spacing w:line="240" w:lineRule="auto"/>
      </w:pPr>
    </w:p>
    <w:sectPr w:rsidR="004F68FA" w:rsidRPr="00472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17671"/>
    <w:multiLevelType w:val="hybridMultilevel"/>
    <w:tmpl w:val="B46038BE"/>
    <w:lvl w:ilvl="0" w:tplc="04F8E7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7D345D"/>
    <w:multiLevelType w:val="hybridMultilevel"/>
    <w:tmpl w:val="D4126DD2"/>
    <w:lvl w:ilvl="0" w:tplc="B41AE4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6AB5156"/>
    <w:multiLevelType w:val="hybridMultilevel"/>
    <w:tmpl w:val="97B69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DFD1767"/>
    <w:multiLevelType w:val="hybridMultilevel"/>
    <w:tmpl w:val="4080FC18"/>
    <w:lvl w:ilvl="0" w:tplc="AAA869D0">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66"/>
    <w:rsid w:val="000025D4"/>
    <w:rsid w:val="00003DBF"/>
    <w:rsid w:val="00006376"/>
    <w:rsid w:val="000358FA"/>
    <w:rsid w:val="00045682"/>
    <w:rsid w:val="000B1295"/>
    <w:rsid w:val="00167C71"/>
    <w:rsid w:val="00194763"/>
    <w:rsid w:val="001B2A92"/>
    <w:rsid w:val="001D4419"/>
    <w:rsid w:val="001E72D9"/>
    <w:rsid w:val="00234BCE"/>
    <w:rsid w:val="00255DAC"/>
    <w:rsid w:val="00322179"/>
    <w:rsid w:val="00333880"/>
    <w:rsid w:val="0039535D"/>
    <w:rsid w:val="003B4E0D"/>
    <w:rsid w:val="003D4E01"/>
    <w:rsid w:val="003F6FE6"/>
    <w:rsid w:val="00440783"/>
    <w:rsid w:val="00451B95"/>
    <w:rsid w:val="00463B60"/>
    <w:rsid w:val="00472C96"/>
    <w:rsid w:val="00480054"/>
    <w:rsid w:val="004C2E31"/>
    <w:rsid w:val="004E7358"/>
    <w:rsid w:val="004F68FA"/>
    <w:rsid w:val="00543C1B"/>
    <w:rsid w:val="0065089C"/>
    <w:rsid w:val="0066601F"/>
    <w:rsid w:val="006717CE"/>
    <w:rsid w:val="006B3B03"/>
    <w:rsid w:val="007734DF"/>
    <w:rsid w:val="007C5938"/>
    <w:rsid w:val="008973F4"/>
    <w:rsid w:val="008A0B2A"/>
    <w:rsid w:val="008A6585"/>
    <w:rsid w:val="008E09A7"/>
    <w:rsid w:val="00920850"/>
    <w:rsid w:val="009435D6"/>
    <w:rsid w:val="0097073D"/>
    <w:rsid w:val="009B44CF"/>
    <w:rsid w:val="009F1A87"/>
    <w:rsid w:val="00A07CC6"/>
    <w:rsid w:val="00B37285"/>
    <w:rsid w:val="00B4485E"/>
    <w:rsid w:val="00BA58C2"/>
    <w:rsid w:val="00C63CA5"/>
    <w:rsid w:val="00C72B9C"/>
    <w:rsid w:val="00CE1BD1"/>
    <w:rsid w:val="00DA16AD"/>
    <w:rsid w:val="00DC7DB0"/>
    <w:rsid w:val="00DF291F"/>
    <w:rsid w:val="00E03D25"/>
    <w:rsid w:val="00E17737"/>
    <w:rsid w:val="00E421D6"/>
    <w:rsid w:val="00E863D9"/>
    <w:rsid w:val="00FA5866"/>
    <w:rsid w:val="00FB3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B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3712</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dc:creator>
  <cp:lastModifiedBy>Phillip</cp:lastModifiedBy>
  <cp:revision>8</cp:revision>
  <dcterms:created xsi:type="dcterms:W3CDTF">2020-01-01T01:02:00Z</dcterms:created>
  <dcterms:modified xsi:type="dcterms:W3CDTF">2020-01-03T15:46:00Z</dcterms:modified>
</cp:coreProperties>
</file>