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DBB" w:rsidRPr="00136204" w:rsidRDefault="00B70DBB" w:rsidP="00B70DBB">
      <w:pPr>
        <w:suppressAutoHyphens w:val="0"/>
        <w:jc w:val="center"/>
        <w:rPr>
          <w:rFonts w:ascii="Calibri" w:eastAsia="Calibri" w:hAnsi="Calibri" w:cs="Times New Roman"/>
          <w:b/>
          <w:kern w:val="0"/>
          <w:sz w:val="22"/>
          <w:szCs w:val="22"/>
          <w:lang w:eastAsia="en-US" w:bidi="ar-SA"/>
        </w:rPr>
      </w:pPr>
      <w:r>
        <w:rPr>
          <w:rFonts w:ascii="Calibri" w:eastAsia="Calibri" w:hAnsi="Calibri" w:cs="Times New Roman"/>
          <w:b/>
          <w:kern w:val="0"/>
          <w:sz w:val="22"/>
          <w:szCs w:val="22"/>
          <w:lang w:eastAsia="en-US" w:bidi="ar-SA"/>
        </w:rPr>
        <w:t xml:space="preserve">W M Morrison Supermarkets PLC v (1) </w:t>
      </w:r>
      <w:r w:rsidRPr="00136204">
        <w:rPr>
          <w:rFonts w:ascii="Calibri" w:eastAsia="Calibri" w:hAnsi="Calibri" w:cs="Times New Roman"/>
          <w:b/>
          <w:kern w:val="0"/>
          <w:sz w:val="22"/>
          <w:szCs w:val="22"/>
          <w:lang w:eastAsia="en-US" w:bidi="ar-SA"/>
        </w:rPr>
        <w:t>LEM E</w:t>
      </w:r>
      <w:r>
        <w:rPr>
          <w:rFonts w:ascii="Calibri" w:eastAsia="Calibri" w:hAnsi="Calibri" w:cs="Times New Roman"/>
          <w:b/>
          <w:kern w:val="0"/>
          <w:sz w:val="22"/>
          <w:szCs w:val="22"/>
          <w:lang w:eastAsia="en-US" w:bidi="ar-SA"/>
        </w:rPr>
        <w:t>states Ltd</w:t>
      </w:r>
      <w:r w:rsidRPr="00136204">
        <w:rPr>
          <w:rFonts w:ascii="Calibri" w:eastAsia="Calibri" w:hAnsi="Calibri" w:cs="Times New Roman"/>
          <w:b/>
          <w:kern w:val="0"/>
          <w:sz w:val="22"/>
          <w:szCs w:val="22"/>
          <w:lang w:eastAsia="en-US" w:bidi="ar-SA"/>
        </w:rPr>
        <w:t xml:space="preserve"> (I</w:t>
      </w:r>
      <w:r>
        <w:rPr>
          <w:rFonts w:ascii="Calibri" w:eastAsia="Calibri" w:hAnsi="Calibri" w:cs="Times New Roman"/>
          <w:b/>
          <w:kern w:val="0"/>
          <w:sz w:val="22"/>
          <w:szCs w:val="22"/>
          <w:lang w:eastAsia="en-US" w:bidi="ar-SA"/>
        </w:rPr>
        <w:t>n Liquidation</w:t>
      </w:r>
      <w:r w:rsidRPr="00136204">
        <w:rPr>
          <w:rFonts w:ascii="Calibri" w:eastAsia="Calibri" w:hAnsi="Calibri" w:cs="Times New Roman"/>
          <w:b/>
          <w:kern w:val="0"/>
          <w:sz w:val="22"/>
          <w:szCs w:val="22"/>
          <w:lang w:eastAsia="en-US" w:bidi="ar-SA"/>
        </w:rPr>
        <w:t>) and K</w:t>
      </w:r>
      <w:r>
        <w:rPr>
          <w:rFonts w:ascii="Calibri" w:eastAsia="Calibri" w:hAnsi="Calibri" w:cs="Times New Roman"/>
          <w:b/>
          <w:kern w:val="0"/>
          <w:sz w:val="22"/>
          <w:szCs w:val="22"/>
          <w:lang w:eastAsia="en-US" w:bidi="ar-SA"/>
        </w:rPr>
        <w:t>eith Anderson,</w:t>
      </w:r>
      <w:r w:rsidRPr="00136204">
        <w:rPr>
          <w:rFonts w:ascii="Calibri" w:eastAsia="Calibri" w:hAnsi="Calibri" w:cs="Times New Roman"/>
          <w:b/>
          <w:kern w:val="0"/>
          <w:sz w:val="22"/>
          <w:szCs w:val="22"/>
          <w:lang w:eastAsia="en-US" w:bidi="ar-SA"/>
        </w:rPr>
        <w:t xml:space="preserve"> the</w:t>
      </w:r>
    </w:p>
    <w:p w:rsidR="00B70DBB" w:rsidRPr="002D0A96" w:rsidRDefault="00B70DBB" w:rsidP="00B70DBB">
      <w:pPr>
        <w:suppressAutoHyphens w:val="0"/>
        <w:jc w:val="center"/>
        <w:rPr>
          <w:rFonts w:ascii="Calibri" w:eastAsia="Calibri" w:hAnsi="Calibri" w:cs="Times New Roman"/>
          <w:b/>
          <w:kern w:val="0"/>
          <w:sz w:val="22"/>
          <w:szCs w:val="22"/>
          <w:lang w:eastAsia="en-US" w:bidi="ar-SA"/>
        </w:rPr>
      </w:pPr>
      <w:r w:rsidRPr="00136204">
        <w:rPr>
          <w:rFonts w:ascii="Calibri" w:eastAsia="Calibri" w:hAnsi="Calibri" w:cs="Times New Roman"/>
          <w:b/>
          <w:kern w:val="0"/>
          <w:sz w:val="22"/>
          <w:szCs w:val="22"/>
          <w:lang w:eastAsia="en-US" w:bidi="ar-SA"/>
        </w:rPr>
        <w:t>liquidator thereof; (</w:t>
      </w:r>
      <w:r>
        <w:rPr>
          <w:rFonts w:ascii="Calibri" w:eastAsia="Calibri" w:hAnsi="Calibri" w:cs="Times New Roman"/>
          <w:b/>
          <w:kern w:val="0"/>
          <w:sz w:val="22"/>
          <w:szCs w:val="22"/>
          <w:lang w:eastAsia="en-US" w:bidi="ar-SA"/>
        </w:rPr>
        <w:t>2)</w:t>
      </w:r>
      <w:r w:rsidRPr="00136204">
        <w:rPr>
          <w:rFonts w:ascii="Calibri" w:eastAsia="Calibri" w:hAnsi="Calibri" w:cs="Times New Roman"/>
          <w:b/>
          <w:kern w:val="0"/>
          <w:sz w:val="22"/>
          <w:szCs w:val="22"/>
          <w:lang w:eastAsia="en-US" w:bidi="ar-SA"/>
        </w:rPr>
        <w:t xml:space="preserve"> S</w:t>
      </w:r>
      <w:r>
        <w:rPr>
          <w:rFonts w:ascii="Calibri" w:eastAsia="Calibri" w:hAnsi="Calibri" w:cs="Times New Roman"/>
          <w:b/>
          <w:kern w:val="0"/>
          <w:sz w:val="22"/>
          <w:szCs w:val="22"/>
          <w:lang w:eastAsia="en-US" w:bidi="ar-SA"/>
        </w:rPr>
        <w:t>truer Consulting Engineers Ltd; (3) Muir Construction Ltd</w:t>
      </w:r>
    </w:p>
    <w:p w:rsidR="00B70DBB" w:rsidRPr="002D0A96" w:rsidRDefault="00B70DBB" w:rsidP="00B70DBB">
      <w:pPr>
        <w:suppressAutoHyphens w:val="0"/>
        <w:rPr>
          <w:rFonts w:ascii="Calibri" w:eastAsia="Calibri" w:hAnsi="Calibri" w:cs="Times New Roman"/>
          <w:kern w:val="0"/>
          <w:sz w:val="22"/>
          <w:szCs w:val="22"/>
          <w:lang w:eastAsia="en-US" w:bidi="ar-SA"/>
        </w:rPr>
      </w:pPr>
    </w:p>
    <w:p w:rsidR="00B70DBB" w:rsidRPr="002D0A96" w:rsidRDefault="00B70DBB" w:rsidP="00B70DBB">
      <w:pPr>
        <w:suppressAutoHyphens w:val="0"/>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 xml:space="preserve">Court of Session, Outer House </w:t>
      </w:r>
      <w:r w:rsidRPr="002D0A96">
        <w:rPr>
          <w:rFonts w:ascii="Calibri" w:eastAsia="Calibri" w:hAnsi="Calibri" w:cs="Times New Roman"/>
          <w:kern w:val="0"/>
          <w:sz w:val="22"/>
          <w:szCs w:val="22"/>
          <w:lang w:eastAsia="en-US" w:bidi="ar-SA"/>
        </w:rPr>
        <w:t>(</w:t>
      </w:r>
      <w:r>
        <w:rPr>
          <w:rFonts w:ascii="Calibri" w:eastAsia="Calibri" w:hAnsi="Calibri" w:cs="Times New Roman"/>
          <w:kern w:val="0"/>
          <w:sz w:val="22"/>
          <w:szCs w:val="22"/>
          <w:lang w:eastAsia="en-US" w:bidi="ar-SA"/>
        </w:rPr>
        <w:t>Lord Doherty</w:t>
      </w:r>
      <w:r w:rsidRPr="002D0A96">
        <w:rPr>
          <w:rFonts w:ascii="Calibri" w:eastAsia="Calibri" w:hAnsi="Calibri" w:cs="Times New Roman"/>
          <w:kern w:val="0"/>
          <w:sz w:val="22"/>
          <w:szCs w:val="22"/>
          <w:lang w:eastAsia="en-US" w:bidi="ar-SA"/>
        </w:rPr>
        <w:t>):</w:t>
      </w:r>
    </w:p>
    <w:p w:rsidR="00B70DBB" w:rsidRPr="002D0A96" w:rsidRDefault="00B70DBB" w:rsidP="00B70DBB">
      <w:pPr>
        <w:suppressAutoHyphens w:val="0"/>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11 March 2020</w:t>
      </w:r>
    </w:p>
    <w:p w:rsidR="00B70DBB" w:rsidRDefault="00B70DBB" w:rsidP="00B70DBB">
      <w:pPr>
        <w:suppressAutoHyphens w:val="0"/>
        <w:spacing w:after="200"/>
        <w:rPr>
          <w:rFonts w:ascii="Calibri" w:eastAsia="Calibri" w:hAnsi="Calibri" w:cs="Times New Roman"/>
          <w:kern w:val="0"/>
          <w:sz w:val="22"/>
          <w:szCs w:val="22"/>
          <w:lang w:eastAsia="en-US" w:bidi="ar-SA"/>
        </w:rPr>
      </w:pPr>
    </w:p>
    <w:p w:rsidR="00B70DBB" w:rsidRDefault="00B70DBB" w:rsidP="00B70DBB">
      <w:pPr>
        <w:suppressAutoHyphens w:val="0"/>
        <w:spacing w:after="200"/>
        <w:rPr>
          <w:rFonts w:ascii="Calibri" w:eastAsia="Calibri" w:hAnsi="Calibri" w:cs="Times New Roman"/>
          <w:kern w:val="0"/>
          <w:sz w:val="22"/>
          <w:szCs w:val="22"/>
          <w:lang w:eastAsia="en-US" w:bidi="ar-SA"/>
        </w:rPr>
      </w:pPr>
      <w:r w:rsidRPr="00136204">
        <w:rPr>
          <w:rFonts w:ascii="Calibri" w:eastAsia="Calibri" w:hAnsi="Calibri" w:cs="Times New Roman"/>
          <w:kern w:val="0"/>
          <w:sz w:val="22"/>
          <w:szCs w:val="22"/>
          <w:lang w:eastAsia="en-US" w:bidi="ar-SA"/>
        </w:rPr>
        <w:t xml:space="preserve">[2020] CSOH 31 </w:t>
      </w:r>
    </w:p>
    <w:p w:rsidR="00B70DBB" w:rsidRPr="0085251A" w:rsidRDefault="00B70DBB" w:rsidP="00B70DBB">
      <w:pPr>
        <w:suppressAutoHyphens w:val="0"/>
        <w:spacing w:after="200"/>
        <w:rPr>
          <w:rFonts w:ascii="Calibri" w:eastAsia="Calibri" w:hAnsi="Calibri" w:cs="Times New Roman"/>
          <w:i/>
          <w:kern w:val="0"/>
          <w:sz w:val="22"/>
          <w:szCs w:val="22"/>
          <w:lang w:eastAsia="en-US" w:bidi="ar-SA"/>
        </w:rPr>
      </w:pPr>
      <w:r w:rsidRPr="0085251A">
        <w:rPr>
          <w:rFonts w:ascii="Calibri" w:eastAsia="Calibri" w:hAnsi="Calibri" w:cs="Times New Roman"/>
          <w:i/>
          <w:kern w:val="0"/>
          <w:sz w:val="22"/>
          <w:szCs w:val="22"/>
          <w:lang w:eastAsia="en-US" w:bidi="ar-SA"/>
        </w:rPr>
        <w:t>Supermarket development – building contract – collateral warranties - pooling of water in car park – pursuer’s agent suggested use of inappropriate material - breach of contract – interpretation – personal bar – adjustments - prescription</w:t>
      </w:r>
    </w:p>
    <w:p w:rsidR="00B70DBB" w:rsidRPr="005A16C9" w:rsidRDefault="00B70DBB" w:rsidP="00B70DBB">
      <w:pPr>
        <w:suppressAutoHyphens w:val="0"/>
        <w:spacing w:after="200"/>
        <w:rPr>
          <w:rFonts w:ascii="Calibri" w:eastAsia="Calibri" w:hAnsi="Calibri" w:cs="Times New Roman"/>
          <w:kern w:val="0"/>
          <w:sz w:val="22"/>
          <w:szCs w:val="22"/>
          <w:lang w:eastAsia="en-US" w:bidi="ar-SA"/>
        </w:rPr>
      </w:pPr>
      <w:r w:rsidRPr="005A16C9">
        <w:rPr>
          <w:rFonts w:ascii="Calibri" w:eastAsia="Calibri" w:hAnsi="Calibri" w:cs="Times New Roman"/>
          <w:kern w:val="0"/>
          <w:sz w:val="22"/>
          <w:szCs w:val="22"/>
          <w:lang w:eastAsia="en-US" w:bidi="ar-SA"/>
        </w:rPr>
        <w:t xml:space="preserve">The pursuer </w:t>
      </w:r>
      <w:r>
        <w:rPr>
          <w:rFonts w:ascii="Calibri" w:eastAsia="Calibri" w:hAnsi="Calibri" w:cs="Times New Roman"/>
          <w:kern w:val="0"/>
          <w:sz w:val="22"/>
          <w:szCs w:val="22"/>
          <w:lang w:eastAsia="en-US" w:bidi="ar-SA"/>
        </w:rPr>
        <w:t xml:space="preserve">(Morrison) </w:t>
      </w:r>
      <w:r w:rsidRPr="005A16C9">
        <w:rPr>
          <w:rFonts w:ascii="Calibri" w:eastAsia="Calibri" w:hAnsi="Calibri" w:cs="Times New Roman"/>
          <w:kern w:val="0"/>
          <w:sz w:val="22"/>
          <w:szCs w:val="22"/>
          <w:lang w:eastAsia="en-US" w:bidi="ar-SA"/>
        </w:rPr>
        <w:t>is a supermarket operator, and tenant of a supermarket.</w:t>
      </w:r>
      <w:r>
        <w:rPr>
          <w:rFonts w:ascii="Calibri" w:eastAsia="Calibri" w:hAnsi="Calibri" w:cs="Times New Roman"/>
          <w:kern w:val="0"/>
          <w:sz w:val="22"/>
          <w:szCs w:val="22"/>
          <w:lang w:eastAsia="en-US" w:bidi="ar-SA"/>
        </w:rPr>
        <w:t xml:space="preserve"> </w:t>
      </w:r>
      <w:r w:rsidRPr="005A16C9">
        <w:rPr>
          <w:rFonts w:ascii="Calibri" w:eastAsia="Calibri" w:hAnsi="Calibri" w:cs="Times New Roman"/>
          <w:kern w:val="0"/>
          <w:sz w:val="22"/>
          <w:szCs w:val="22"/>
          <w:lang w:eastAsia="en-US" w:bidi="ar-SA"/>
        </w:rPr>
        <w:t xml:space="preserve">Under an Agreement for Lease the first defender </w:t>
      </w:r>
      <w:r>
        <w:rPr>
          <w:rFonts w:ascii="Calibri" w:eastAsia="Calibri" w:hAnsi="Calibri" w:cs="Times New Roman"/>
          <w:kern w:val="0"/>
          <w:sz w:val="22"/>
          <w:szCs w:val="22"/>
          <w:lang w:eastAsia="en-US" w:bidi="ar-SA"/>
        </w:rPr>
        <w:t xml:space="preserve">(LEM) </w:t>
      </w:r>
      <w:r w:rsidRPr="005A16C9">
        <w:rPr>
          <w:rFonts w:ascii="Calibri" w:eastAsia="Calibri" w:hAnsi="Calibri" w:cs="Times New Roman"/>
          <w:kern w:val="0"/>
          <w:sz w:val="22"/>
          <w:szCs w:val="22"/>
          <w:lang w:eastAsia="en-US" w:bidi="ar-SA"/>
        </w:rPr>
        <w:t xml:space="preserve">agreed to develop a supermarket and </w:t>
      </w:r>
      <w:r>
        <w:rPr>
          <w:rFonts w:ascii="Calibri" w:eastAsia="Calibri" w:hAnsi="Calibri" w:cs="Times New Roman"/>
          <w:kern w:val="0"/>
          <w:sz w:val="22"/>
          <w:szCs w:val="22"/>
          <w:lang w:eastAsia="en-US" w:bidi="ar-SA"/>
        </w:rPr>
        <w:t>Morrison</w:t>
      </w:r>
      <w:r w:rsidRPr="005A16C9">
        <w:rPr>
          <w:rFonts w:ascii="Calibri" w:eastAsia="Calibri" w:hAnsi="Calibri" w:cs="Times New Roman"/>
          <w:kern w:val="0"/>
          <w:sz w:val="22"/>
          <w:szCs w:val="22"/>
          <w:lang w:eastAsia="en-US" w:bidi="ar-SA"/>
        </w:rPr>
        <w:t xml:space="preserve"> agreed that it would lease</w:t>
      </w:r>
      <w:r>
        <w:rPr>
          <w:rFonts w:ascii="Calibri" w:eastAsia="Calibri" w:hAnsi="Calibri" w:cs="Times New Roman"/>
          <w:kern w:val="0"/>
          <w:sz w:val="22"/>
          <w:szCs w:val="22"/>
          <w:lang w:eastAsia="en-US" w:bidi="ar-SA"/>
        </w:rPr>
        <w:t xml:space="preserve"> it once it had been completed. </w:t>
      </w:r>
      <w:r w:rsidRPr="005A16C9">
        <w:rPr>
          <w:rFonts w:ascii="Calibri" w:eastAsia="Calibri" w:hAnsi="Calibri" w:cs="Times New Roman"/>
          <w:kern w:val="0"/>
          <w:sz w:val="22"/>
          <w:szCs w:val="22"/>
          <w:lang w:eastAsia="en-US" w:bidi="ar-SA"/>
        </w:rPr>
        <w:t xml:space="preserve">The </w:t>
      </w:r>
      <w:r>
        <w:rPr>
          <w:rFonts w:ascii="Calibri" w:eastAsia="Calibri" w:hAnsi="Calibri" w:cs="Times New Roman"/>
          <w:kern w:val="0"/>
          <w:sz w:val="22"/>
          <w:szCs w:val="22"/>
          <w:lang w:eastAsia="en-US" w:bidi="ar-SA"/>
        </w:rPr>
        <w:t>second defender (</w:t>
      </w:r>
      <w:r w:rsidRPr="005A16C9">
        <w:rPr>
          <w:rFonts w:ascii="Calibri" w:eastAsia="Calibri" w:hAnsi="Calibri" w:cs="Times New Roman"/>
          <w:kern w:val="0"/>
          <w:sz w:val="22"/>
          <w:szCs w:val="22"/>
          <w:lang w:eastAsia="en-US" w:bidi="ar-SA"/>
        </w:rPr>
        <w:t>Struer</w:t>
      </w:r>
      <w:r>
        <w:rPr>
          <w:rFonts w:ascii="Calibri" w:eastAsia="Calibri" w:hAnsi="Calibri" w:cs="Times New Roman"/>
          <w:kern w:val="0"/>
          <w:sz w:val="22"/>
          <w:szCs w:val="22"/>
          <w:lang w:eastAsia="en-US" w:bidi="ar-SA"/>
        </w:rPr>
        <w:t>)</w:t>
      </w:r>
      <w:r w:rsidRPr="005A16C9">
        <w:rPr>
          <w:rFonts w:ascii="Calibri" w:eastAsia="Calibri" w:hAnsi="Calibri" w:cs="Times New Roman"/>
          <w:kern w:val="0"/>
          <w:sz w:val="22"/>
          <w:szCs w:val="22"/>
          <w:lang w:eastAsia="en-US" w:bidi="ar-SA"/>
        </w:rPr>
        <w:t xml:space="preserve"> are consulting civil and structural en</w:t>
      </w:r>
      <w:r>
        <w:rPr>
          <w:rFonts w:ascii="Calibri" w:eastAsia="Calibri" w:hAnsi="Calibri" w:cs="Times New Roman"/>
          <w:kern w:val="0"/>
          <w:sz w:val="22"/>
          <w:szCs w:val="22"/>
          <w:lang w:eastAsia="en-US" w:bidi="ar-SA"/>
        </w:rPr>
        <w:t>gineers, and the third defender (</w:t>
      </w:r>
      <w:r w:rsidRPr="005A16C9">
        <w:rPr>
          <w:rFonts w:ascii="Calibri" w:eastAsia="Calibri" w:hAnsi="Calibri" w:cs="Times New Roman"/>
          <w:kern w:val="0"/>
          <w:sz w:val="22"/>
          <w:szCs w:val="22"/>
          <w:lang w:eastAsia="en-US" w:bidi="ar-SA"/>
        </w:rPr>
        <w:t>Muir</w:t>
      </w:r>
      <w:r>
        <w:rPr>
          <w:rFonts w:ascii="Calibri" w:eastAsia="Calibri" w:hAnsi="Calibri" w:cs="Times New Roman"/>
          <w:kern w:val="0"/>
          <w:sz w:val="22"/>
          <w:szCs w:val="22"/>
          <w:lang w:eastAsia="en-US" w:bidi="ar-SA"/>
        </w:rPr>
        <w:t>)</w:t>
      </w:r>
      <w:r w:rsidRPr="005A16C9">
        <w:rPr>
          <w:rFonts w:ascii="Calibri" w:eastAsia="Calibri" w:hAnsi="Calibri" w:cs="Times New Roman"/>
          <w:kern w:val="0"/>
          <w:sz w:val="22"/>
          <w:szCs w:val="22"/>
          <w:lang w:eastAsia="en-US" w:bidi="ar-SA"/>
        </w:rPr>
        <w:t xml:space="preserve"> are building contractors.</w:t>
      </w:r>
    </w:p>
    <w:p w:rsidR="00B70DBB" w:rsidRPr="005A16C9" w:rsidRDefault="00B70DBB" w:rsidP="00B70DBB">
      <w:pPr>
        <w:suppressAutoHyphens w:val="0"/>
        <w:spacing w:after="200"/>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LEM and Muir</w:t>
      </w:r>
      <w:r w:rsidRPr="005A16C9">
        <w:rPr>
          <w:rFonts w:ascii="Calibri" w:eastAsia="Calibri" w:hAnsi="Calibri" w:cs="Times New Roman"/>
          <w:kern w:val="0"/>
          <w:sz w:val="22"/>
          <w:szCs w:val="22"/>
          <w:lang w:eastAsia="en-US" w:bidi="ar-SA"/>
        </w:rPr>
        <w:t xml:space="preserve"> entered into a Building Contract to design</w:t>
      </w:r>
      <w:r>
        <w:rPr>
          <w:rFonts w:ascii="Calibri" w:eastAsia="Calibri" w:hAnsi="Calibri" w:cs="Times New Roman"/>
          <w:kern w:val="0"/>
          <w:sz w:val="22"/>
          <w:szCs w:val="22"/>
          <w:lang w:eastAsia="en-US" w:bidi="ar-SA"/>
        </w:rPr>
        <w:t xml:space="preserve"> and construct the supermarket. Struer </w:t>
      </w:r>
      <w:r w:rsidRPr="005A16C9">
        <w:rPr>
          <w:rFonts w:ascii="Calibri" w:eastAsia="Calibri" w:hAnsi="Calibri" w:cs="Times New Roman"/>
          <w:kern w:val="0"/>
          <w:sz w:val="22"/>
          <w:szCs w:val="22"/>
          <w:lang w:eastAsia="en-US" w:bidi="ar-SA"/>
        </w:rPr>
        <w:t xml:space="preserve">contracted to provide civil and structural engineering services to </w:t>
      </w:r>
      <w:r>
        <w:rPr>
          <w:rFonts w:ascii="Calibri" w:eastAsia="Calibri" w:hAnsi="Calibri" w:cs="Times New Roman"/>
          <w:kern w:val="0"/>
          <w:sz w:val="22"/>
          <w:szCs w:val="22"/>
          <w:lang w:eastAsia="en-US" w:bidi="ar-SA"/>
        </w:rPr>
        <w:t>LEM</w:t>
      </w:r>
      <w:r w:rsidRPr="005A16C9">
        <w:rPr>
          <w:rFonts w:ascii="Calibri" w:eastAsia="Calibri" w:hAnsi="Calibri" w:cs="Times New Roman"/>
          <w:kern w:val="0"/>
          <w:sz w:val="22"/>
          <w:szCs w:val="22"/>
          <w:lang w:eastAsia="en-US" w:bidi="ar-SA"/>
        </w:rPr>
        <w:t xml:space="preserve"> under an Appointment Agreement.</w:t>
      </w:r>
    </w:p>
    <w:p w:rsidR="00B70DBB" w:rsidRPr="005A16C9" w:rsidRDefault="00B70DBB" w:rsidP="00B70DBB">
      <w:pPr>
        <w:suppressAutoHyphens w:val="0"/>
        <w:spacing w:after="200"/>
        <w:rPr>
          <w:rFonts w:ascii="Calibri" w:eastAsia="Calibri" w:hAnsi="Calibri" w:cs="Times New Roman"/>
          <w:kern w:val="0"/>
          <w:sz w:val="22"/>
          <w:szCs w:val="22"/>
          <w:lang w:eastAsia="en-US" w:bidi="ar-SA"/>
        </w:rPr>
      </w:pPr>
      <w:r w:rsidRPr="005A16C9">
        <w:rPr>
          <w:rFonts w:ascii="Calibri" w:eastAsia="Calibri" w:hAnsi="Calibri" w:cs="Times New Roman"/>
          <w:kern w:val="0"/>
          <w:sz w:val="22"/>
          <w:szCs w:val="22"/>
          <w:lang w:eastAsia="en-US" w:bidi="ar-SA"/>
        </w:rPr>
        <w:t>Through a Novation Agreement between the defenders the rights, obligations</w:t>
      </w:r>
      <w:r>
        <w:rPr>
          <w:rFonts w:ascii="Calibri" w:eastAsia="Calibri" w:hAnsi="Calibri" w:cs="Times New Roman"/>
          <w:kern w:val="0"/>
          <w:sz w:val="22"/>
          <w:szCs w:val="22"/>
          <w:lang w:eastAsia="en-US" w:bidi="ar-SA"/>
        </w:rPr>
        <w:t>,</w:t>
      </w:r>
      <w:r w:rsidRPr="005A16C9">
        <w:rPr>
          <w:rFonts w:ascii="Calibri" w:eastAsia="Calibri" w:hAnsi="Calibri" w:cs="Times New Roman"/>
          <w:kern w:val="0"/>
          <w:sz w:val="22"/>
          <w:szCs w:val="22"/>
          <w:lang w:eastAsia="en-US" w:bidi="ar-SA"/>
        </w:rPr>
        <w:t xml:space="preserve"> and liabilities of </w:t>
      </w:r>
      <w:r>
        <w:rPr>
          <w:rFonts w:ascii="Calibri" w:eastAsia="Calibri" w:hAnsi="Calibri" w:cs="Times New Roman"/>
          <w:kern w:val="0"/>
          <w:sz w:val="22"/>
          <w:szCs w:val="22"/>
          <w:lang w:eastAsia="en-US" w:bidi="ar-SA"/>
        </w:rPr>
        <w:t>LEM</w:t>
      </w:r>
      <w:r w:rsidRPr="005A16C9">
        <w:rPr>
          <w:rFonts w:ascii="Calibri" w:eastAsia="Calibri" w:hAnsi="Calibri" w:cs="Times New Roman"/>
          <w:kern w:val="0"/>
          <w:sz w:val="22"/>
          <w:szCs w:val="22"/>
          <w:lang w:eastAsia="en-US" w:bidi="ar-SA"/>
        </w:rPr>
        <w:t xml:space="preserve"> under the Appointment Agreement were tran</w:t>
      </w:r>
      <w:r>
        <w:rPr>
          <w:rFonts w:ascii="Calibri" w:eastAsia="Calibri" w:hAnsi="Calibri" w:cs="Times New Roman"/>
          <w:kern w:val="0"/>
          <w:sz w:val="22"/>
          <w:szCs w:val="22"/>
          <w:lang w:eastAsia="en-US" w:bidi="ar-SA"/>
        </w:rPr>
        <w:t>sferred to Muir</w:t>
      </w:r>
      <w:r w:rsidRPr="005A16C9">
        <w:rPr>
          <w:rFonts w:ascii="Calibri" w:eastAsia="Calibri" w:hAnsi="Calibri" w:cs="Times New Roman"/>
          <w:kern w:val="0"/>
          <w:sz w:val="22"/>
          <w:szCs w:val="22"/>
          <w:lang w:eastAsia="en-US" w:bidi="ar-SA"/>
        </w:rPr>
        <w:t xml:space="preserve">, and </w:t>
      </w:r>
      <w:r>
        <w:rPr>
          <w:rFonts w:ascii="Calibri" w:eastAsia="Calibri" w:hAnsi="Calibri" w:cs="Times New Roman"/>
          <w:kern w:val="0"/>
          <w:sz w:val="22"/>
          <w:szCs w:val="22"/>
          <w:lang w:eastAsia="en-US" w:bidi="ar-SA"/>
        </w:rPr>
        <w:t xml:space="preserve">Struer </w:t>
      </w:r>
      <w:r w:rsidRPr="005A16C9">
        <w:rPr>
          <w:rFonts w:ascii="Calibri" w:eastAsia="Calibri" w:hAnsi="Calibri" w:cs="Times New Roman"/>
          <w:kern w:val="0"/>
          <w:sz w:val="22"/>
          <w:szCs w:val="22"/>
          <w:lang w:eastAsia="en-US" w:bidi="ar-SA"/>
        </w:rPr>
        <w:t xml:space="preserve">obliged itself to perform the services under the Appointment Agreement to and in favour of </w:t>
      </w:r>
      <w:r>
        <w:rPr>
          <w:rFonts w:ascii="Calibri" w:eastAsia="Calibri" w:hAnsi="Calibri" w:cs="Times New Roman"/>
          <w:kern w:val="0"/>
          <w:sz w:val="22"/>
          <w:szCs w:val="22"/>
          <w:lang w:eastAsia="en-US" w:bidi="ar-SA"/>
        </w:rPr>
        <w:t xml:space="preserve">Muir. </w:t>
      </w:r>
      <w:r w:rsidRPr="005A16C9">
        <w:rPr>
          <w:rFonts w:ascii="Calibri" w:eastAsia="Calibri" w:hAnsi="Calibri" w:cs="Times New Roman"/>
          <w:kern w:val="0"/>
          <w:sz w:val="22"/>
          <w:szCs w:val="22"/>
          <w:lang w:eastAsia="en-US" w:bidi="ar-SA"/>
        </w:rPr>
        <w:t xml:space="preserve">Via collateral warranties </w:t>
      </w:r>
      <w:r>
        <w:rPr>
          <w:rFonts w:ascii="Calibri" w:eastAsia="Calibri" w:hAnsi="Calibri" w:cs="Times New Roman"/>
          <w:kern w:val="0"/>
          <w:sz w:val="22"/>
          <w:szCs w:val="22"/>
          <w:lang w:eastAsia="en-US" w:bidi="ar-SA"/>
        </w:rPr>
        <w:t xml:space="preserve">Struer </w:t>
      </w:r>
      <w:r w:rsidRPr="005A16C9">
        <w:rPr>
          <w:rFonts w:ascii="Calibri" w:eastAsia="Calibri" w:hAnsi="Calibri" w:cs="Times New Roman"/>
          <w:kern w:val="0"/>
          <w:sz w:val="22"/>
          <w:szCs w:val="22"/>
          <w:lang w:eastAsia="en-US" w:bidi="ar-SA"/>
        </w:rPr>
        <w:t xml:space="preserve">undertook obligations to </w:t>
      </w:r>
      <w:r>
        <w:rPr>
          <w:rFonts w:ascii="Calibri" w:eastAsia="Calibri" w:hAnsi="Calibri" w:cs="Times New Roman"/>
          <w:kern w:val="0"/>
          <w:sz w:val="22"/>
          <w:szCs w:val="22"/>
          <w:lang w:eastAsia="en-US" w:bidi="ar-SA"/>
        </w:rPr>
        <w:t>Morrison</w:t>
      </w:r>
      <w:r w:rsidRPr="005A16C9">
        <w:rPr>
          <w:rFonts w:ascii="Calibri" w:eastAsia="Calibri" w:hAnsi="Calibri" w:cs="Times New Roman"/>
          <w:kern w:val="0"/>
          <w:sz w:val="22"/>
          <w:szCs w:val="22"/>
          <w:lang w:eastAsia="en-US" w:bidi="ar-SA"/>
        </w:rPr>
        <w:t xml:space="preserve"> in respect of the services provided under the Appointment Agreement, (“the Struer Collateral Warranty”), and </w:t>
      </w:r>
      <w:r>
        <w:rPr>
          <w:rFonts w:ascii="Calibri" w:eastAsia="Calibri" w:hAnsi="Calibri" w:cs="Times New Roman"/>
          <w:kern w:val="0"/>
          <w:sz w:val="22"/>
          <w:szCs w:val="22"/>
          <w:lang w:eastAsia="en-US" w:bidi="ar-SA"/>
        </w:rPr>
        <w:t xml:space="preserve">Muir </w:t>
      </w:r>
      <w:r w:rsidRPr="005A16C9">
        <w:rPr>
          <w:rFonts w:ascii="Calibri" w:eastAsia="Calibri" w:hAnsi="Calibri" w:cs="Times New Roman"/>
          <w:kern w:val="0"/>
          <w:sz w:val="22"/>
          <w:szCs w:val="22"/>
          <w:lang w:eastAsia="en-US" w:bidi="ar-SA"/>
        </w:rPr>
        <w:t xml:space="preserve">undertook obligations to </w:t>
      </w:r>
      <w:r>
        <w:rPr>
          <w:rFonts w:ascii="Calibri" w:eastAsia="Calibri" w:hAnsi="Calibri" w:cs="Times New Roman"/>
          <w:kern w:val="0"/>
          <w:sz w:val="22"/>
          <w:szCs w:val="22"/>
          <w:lang w:eastAsia="en-US" w:bidi="ar-SA"/>
        </w:rPr>
        <w:t>Morrison</w:t>
      </w:r>
      <w:r w:rsidRPr="005A16C9">
        <w:rPr>
          <w:rFonts w:ascii="Calibri" w:eastAsia="Calibri" w:hAnsi="Calibri" w:cs="Times New Roman"/>
          <w:kern w:val="0"/>
          <w:sz w:val="22"/>
          <w:szCs w:val="22"/>
          <w:lang w:eastAsia="en-US" w:bidi="ar-SA"/>
        </w:rPr>
        <w:t xml:space="preserve"> in respect of the works carried out under the Building Contract, (“the Muir Collateral Warranty”).</w:t>
      </w:r>
    </w:p>
    <w:p w:rsidR="00B70DBB" w:rsidRPr="005A16C9" w:rsidRDefault="008D2366" w:rsidP="00B70DBB">
      <w:pPr>
        <w:suppressAutoHyphens w:val="0"/>
        <w:spacing w:after="200"/>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After completion of the</w:t>
      </w:r>
      <w:r w:rsidR="00B70DBB" w:rsidRPr="005A16C9">
        <w:rPr>
          <w:rFonts w:ascii="Calibri" w:eastAsia="Calibri" w:hAnsi="Calibri" w:cs="Times New Roman"/>
          <w:kern w:val="0"/>
          <w:sz w:val="22"/>
          <w:szCs w:val="22"/>
          <w:lang w:eastAsia="en-US" w:bidi="ar-SA"/>
        </w:rPr>
        <w:t xml:space="preserve"> works </w:t>
      </w:r>
      <w:r w:rsidR="00B70DBB">
        <w:rPr>
          <w:rFonts w:ascii="Calibri" w:eastAsia="Calibri" w:hAnsi="Calibri" w:cs="Times New Roman"/>
          <w:kern w:val="0"/>
          <w:sz w:val="22"/>
          <w:szCs w:val="22"/>
          <w:lang w:eastAsia="en-US" w:bidi="ar-SA"/>
        </w:rPr>
        <w:t>Morrison</w:t>
      </w:r>
      <w:r w:rsidR="00B70DBB" w:rsidRPr="005A16C9">
        <w:rPr>
          <w:rFonts w:ascii="Calibri" w:eastAsia="Calibri" w:hAnsi="Calibri" w:cs="Times New Roman"/>
          <w:kern w:val="0"/>
          <w:sz w:val="22"/>
          <w:szCs w:val="22"/>
          <w:lang w:eastAsia="en-US" w:bidi="ar-SA"/>
        </w:rPr>
        <w:t xml:space="preserve"> entere</w:t>
      </w:r>
      <w:r w:rsidR="00B70DBB">
        <w:rPr>
          <w:rFonts w:ascii="Calibri" w:eastAsia="Calibri" w:hAnsi="Calibri" w:cs="Times New Roman"/>
          <w:kern w:val="0"/>
          <w:sz w:val="22"/>
          <w:szCs w:val="22"/>
          <w:lang w:eastAsia="en-US" w:bidi="ar-SA"/>
        </w:rPr>
        <w:t xml:space="preserve">d into a lease of the premises. </w:t>
      </w:r>
      <w:r w:rsidR="00B70DBB" w:rsidRPr="005A16C9">
        <w:rPr>
          <w:rFonts w:ascii="Calibri" w:eastAsia="Calibri" w:hAnsi="Calibri" w:cs="Times New Roman"/>
          <w:kern w:val="0"/>
          <w:sz w:val="22"/>
          <w:szCs w:val="22"/>
          <w:lang w:eastAsia="en-US" w:bidi="ar-SA"/>
        </w:rPr>
        <w:t>Subsequently significant ponding of water in the car park of the premises occurred, and damaged areas of the ca</w:t>
      </w:r>
      <w:r w:rsidR="00B70DBB">
        <w:rPr>
          <w:rFonts w:ascii="Calibri" w:eastAsia="Calibri" w:hAnsi="Calibri" w:cs="Times New Roman"/>
          <w:kern w:val="0"/>
          <w:sz w:val="22"/>
          <w:szCs w:val="22"/>
          <w:lang w:eastAsia="en-US" w:bidi="ar-SA"/>
        </w:rPr>
        <w:t>r park surface became apparent. Morrison</w:t>
      </w:r>
      <w:r w:rsidR="00B70DBB" w:rsidRPr="005A16C9">
        <w:rPr>
          <w:rFonts w:ascii="Calibri" w:eastAsia="Calibri" w:hAnsi="Calibri" w:cs="Times New Roman"/>
          <w:kern w:val="0"/>
          <w:sz w:val="22"/>
          <w:szCs w:val="22"/>
          <w:lang w:eastAsia="en-US" w:bidi="ar-SA"/>
        </w:rPr>
        <w:t xml:space="preserve"> maintained that these were caused by </w:t>
      </w:r>
      <w:r w:rsidR="00B70DBB">
        <w:rPr>
          <w:rFonts w:ascii="Calibri" w:eastAsia="Calibri" w:hAnsi="Calibri" w:cs="Times New Roman"/>
          <w:kern w:val="0"/>
          <w:sz w:val="22"/>
          <w:szCs w:val="22"/>
          <w:lang w:eastAsia="en-US" w:bidi="ar-SA"/>
        </w:rPr>
        <w:t>LEM’s</w:t>
      </w:r>
      <w:r w:rsidR="00B70DBB" w:rsidRPr="005A16C9">
        <w:rPr>
          <w:rFonts w:ascii="Calibri" w:eastAsia="Calibri" w:hAnsi="Calibri" w:cs="Times New Roman"/>
          <w:kern w:val="0"/>
          <w:sz w:val="22"/>
          <w:szCs w:val="22"/>
          <w:lang w:eastAsia="en-US" w:bidi="ar-SA"/>
        </w:rPr>
        <w:t xml:space="preserve"> breach of the Agreement for Lease; by </w:t>
      </w:r>
      <w:r w:rsidR="00B70DBB">
        <w:rPr>
          <w:rFonts w:ascii="Calibri" w:eastAsia="Calibri" w:hAnsi="Calibri" w:cs="Times New Roman"/>
          <w:kern w:val="0"/>
          <w:sz w:val="22"/>
          <w:szCs w:val="22"/>
          <w:lang w:eastAsia="en-US" w:bidi="ar-SA"/>
        </w:rPr>
        <w:t xml:space="preserve">Struer’s </w:t>
      </w:r>
      <w:r w:rsidR="00B70DBB" w:rsidRPr="005A16C9">
        <w:rPr>
          <w:rFonts w:ascii="Calibri" w:eastAsia="Calibri" w:hAnsi="Calibri" w:cs="Times New Roman"/>
          <w:kern w:val="0"/>
          <w:sz w:val="22"/>
          <w:szCs w:val="22"/>
          <w:lang w:eastAsia="en-US" w:bidi="ar-SA"/>
        </w:rPr>
        <w:t xml:space="preserve">breach of the Struer Collateral Warranty; and by </w:t>
      </w:r>
      <w:r w:rsidR="00B70DBB">
        <w:rPr>
          <w:rFonts w:ascii="Calibri" w:eastAsia="Calibri" w:hAnsi="Calibri" w:cs="Times New Roman"/>
          <w:kern w:val="0"/>
          <w:sz w:val="22"/>
          <w:szCs w:val="22"/>
          <w:lang w:eastAsia="en-US" w:bidi="ar-SA"/>
        </w:rPr>
        <w:t xml:space="preserve">Muir’s </w:t>
      </w:r>
      <w:r w:rsidR="00B70DBB" w:rsidRPr="005A16C9">
        <w:rPr>
          <w:rFonts w:ascii="Calibri" w:eastAsia="Calibri" w:hAnsi="Calibri" w:cs="Times New Roman"/>
          <w:kern w:val="0"/>
          <w:sz w:val="22"/>
          <w:szCs w:val="22"/>
          <w:lang w:eastAsia="en-US" w:bidi="ar-SA"/>
        </w:rPr>
        <w:t>breach o</w:t>
      </w:r>
      <w:r w:rsidR="00B70DBB">
        <w:rPr>
          <w:rFonts w:ascii="Calibri" w:eastAsia="Calibri" w:hAnsi="Calibri" w:cs="Times New Roman"/>
          <w:kern w:val="0"/>
          <w:sz w:val="22"/>
          <w:szCs w:val="22"/>
          <w:lang w:eastAsia="en-US" w:bidi="ar-SA"/>
        </w:rPr>
        <w:t>f the Muir Collateral Warranty. Morrison</w:t>
      </w:r>
      <w:r w:rsidR="00B70DBB" w:rsidRPr="005A16C9">
        <w:rPr>
          <w:rFonts w:ascii="Calibri" w:eastAsia="Calibri" w:hAnsi="Calibri" w:cs="Times New Roman"/>
          <w:kern w:val="0"/>
          <w:sz w:val="22"/>
          <w:szCs w:val="22"/>
          <w:lang w:eastAsia="en-US" w:bidi="ar-SA"/>
        </w:rPr>
        <w:t xml:space="preserve"> sought redress for loss and damag</w:t>
      </w:r>
      <w:r w:rsidR="00B70DBB">
        <w:rPr>
          <w:rFonts w:ascii="Calibri" w:eastAsia="Calibri" w:hAnsi="Calibri" w:cs="Times New Roman"/>
          <w:kern w:val="0"/>
          <w:sz w:val="22"/>
          <w:szCs w:val="22"/>
          <w:lang w:eastAsia="en-US" w:bidi="ar-SA"/>
        </w:rPr>
        <w:t xml:space="preserve">e. </w:t>
      </w:r>
      <w:r w:rsidR="00B70DBB" w:rsidRPr="005A16C9">
        <w:rPr>
          <w:rFonts w:ascii="Calibri" w:eastAsia="Calibri" w:hAnsi="Calibri" w:cs="Times New Roman"/>
          <w:kern w:val="0"/>
          <w:sz w:val="22"/>
          <w:szCs w:val="22"/>
          <w:lang w:eastAsia="en-US" w:bidi="ar-SA"/>
        </w:rPr>
        <w:t>The pursuer’s pleadings were subsequently adjusted</w:t>
      </w:r>
      <w:r w:rsidR="00B70DBB">
        <w:rPr>
          <w:rFonts w:ascii="Calibri" w:eastAsia="Calibri" w:hAnsi="Calibri" w:cs="Times New Roman"/>
          <w:kern w:val="0"/>
          <w:sz w:val="22"/>
          <w:szCs w:val="22"/>
          <w:lang w:eastAsia="en-US" w:bidi="ar-SA"/>
        </w:rPr>
        <w:t xml:space="preserve"> to include a failure to warn that </w:t>
      </w:r>
      <w:r w:rsidR="00B70DBB" w:rsidRPr="00110F20">
        <w:rPr>
          <w:rFonts w:ascii="Calibri" w:eastAsia="Calibri" w:hAnsi="Calibri" w:cs="Times New Roman"/>
          <w:kern w:val="0"/>
          <w:sz w:val="22"/>
          <w:szCs w:val="22"/>
          <w:lang w:eastAsia="en-US" w:bidi="ar-SA"/>
        </w:rPr>
        <w:t>TarmacDry was unsuitable</w:t>
      </w:r>
      <w:r w:rsidR="00B70DBB">
        <w:rPr>
          <w:rFonts w:ascii="Calibri" w:eastAsia="Calibri" w:hAnsi="Calibri" w:cs="Times New Roman"/>
          <w:kern w:val="0"/>
          <w:sz w:val="22"/>
          <w:szCs w:val="22"/>
          <w:lang w:eastAsia="en-US" w:bidi="ar-SA"/>
        </w:rPr>
        <w:t xml:space="preserve">, and further that the </w:t>
      </w:r>
      <w:r w:rsidR="00B70DBB" w:rsidRPr="00110F20">
        <w:rPr>
          <w:rFonts w:ascii="Calibri" w:eastAsia="Calibri" w:hAnsi="Calibri" w:cs="Times New Roman"/>
          <w:kern w:val="0"/>
          <w:sz w:val="22"/>
          <w:szCs w:val="22"/>
          <w:lang w:eastAsia="en-US" w:bidi="ar-SA"/>
        </w:rPr>
        <w:t xml:space="preserve">problems were materially contributed to by poor </w:t>
      </w:r>
      <w:r w:rsidR="00B70DBB">
        <w:rPr>
          <w:rFonts w:ascii="Calibri" w:eastAsia="Calibri" w:hAnsi="Calibri" w:cs="Times New Roman"/>
          <w:kern w:val="0"/>
          <w:sz w:val="22"/>
          <w:szCs w:val="22"/>
          <w:lang w:eastAsia="en-US" w:bidi="ar-SA"/>
        </w:rPr>
        <w:t>workmanship during installation.</w:t>
      </w:r>
    </w:p>
    <w:p w:rsidR="00B70DBB" w:rsidRDefault="00B70DBB" w:rsidP="00B70DBB">
      <w:pPr>
        <w:suppressAutoHyphens w:val="0"/>
        <w:spacing w:after="200"/>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 xml:space="preserve">Before Lord Doherty, sitting in the Court of </w:t>
      </w:r>
      <w:r w:rsidRPr="00847699">
        <w:rPr>
          <w:rFonts w:ascii="Calibri" w:eastAsia="Calibri" w:hAnsi="Calibri" w:cs="Times New Roman"/>
          <w:kern w:val="0"/>
          <w:sz w:val="22"/>
          <w:szCs w:val="22"/>
          <w:lang w:eastAsia="en-US" w:bidi="ar-SA"/>
        </w:rPr>
        <w:t>Session, Outer House</w:t>
      </w:r>
      <w:r>
        <w:rPr>
          <w:rFonts w:ascii="Calibri" w:eastAsia="Calibri" w:hAnsi="Calibri" w:cs="Times New Roman"/>
          <w:kern w:val="0"/>
          <w:sz w:val="22"/>
          <w:szCs w:val="22"/>
          <w:lang w:eastAsia="en-US" w:bidi="ar-SA"/>
        </w:rPr>
        <w:t xml:space="preserve">, Struer and Muir </w:t>
      </w:r>
      <w:r w:rsidRPr="005A16C9">
        <w:rPr>
          <w:rFonts w:ascii="Calibri" w:eastAsia="Calibri" w:hAnsi="Calibri" w:cs="Times New Roman"/>
          <w:kern w:val="0"/>
          <w:sz w:val="22"/>
          <w:szCs w:val="22"/>
          <w:lang w:eastAsia="en-US" w:bidi="ar-SA"/>
        </w:rPr>
        <w:t>advanced that they were not contractually responsible for the pooling</w:t>
      </w:r>
      <w:r>
        <w:rPr>
          <w:rFonts w:ascii="Calibri" w:eastAsia="Calibri" w:hAnsi="Calibri" w:cs="Times New Roman"/>
          <w:kern w:val="0"/>
          <w:sz w:val="22"/>
          <w:szCs w:val="22"/>
          <w:lang w:eastAsia="en-US" w:bidi="ar-SA"/>
        </w:rPr>
        <w:t xml:space="preserve"> of water and damage, and that Morrison were subject to a personal bar. Morrison</w:t>
      </w:r>
      <w:r w:rsidRPr="005A16C9">
        <w:rPr>
          <w:rFonts w:ascii="Calibri" w:eastAsia="Calibri" w:hAnsi="Calibri" w:cs="Times New Roman"/>
          <w:kern w:val="0"/>
          <w:sz w:val="22"/>
          <w:szCs w:val="22"/>
          <w:lang w:eastAsia="en-US" w:bidi="ar-SA"/>
        </w:rPr>
        <w:t xml:space="preserve"> had employed an agent Stuart McTaggart Ltd </w:t>
      </w:r>
      <w:r>
        <w:rPr>
          <w:rFonts w:ascii="Calibri" w:eastAsia="Calibri" w:hAnsi="Calibri" w:cs="Times New Roman"/>
          <w:kern w:val="0"/>
          <w:sz w:val="22"/>
          <w:szCs w:val="22"/>
          <w:lang w:eastAsia="en-US" w:bidi="ar-SA"/>
        </w:rPr>
        <w:t xml:space="preserve">(SM) </w:t>
      </w:r>
      <w:r w:rsidRPr="005A16C9">
        <w:rPr>
          <w:rFonts w:ascii="Calibri" w:eastAsia="Calibri" w:hAnsi="Calibri" w:cs="Times New Roman"/>
          <w:kern w:val="0"/>
          <w:sz w:val="22"/>
          <w:szCs w:val="22"/>
          <w:lang w:eastAsia="en-US" w:bidi="ar-SA"/>
        </w:rPr>
        <w:t>who represented that the selection of TarmacDry was suitable for use, and this led to TarmacDry being included with</w:t>
      </w:r>
      <w:r>
        <w:rPr>
          <w:rFonts w:ascii="Calibri" w:eastAsia="Calibri" w:hAnsi="Calibri" w:cs="Times New Roman"/>
          <w:kern w:val="0"/>
          <w:sz w:val="22"/>
          <w:szCs w:val="22"/>
          <w:lang w:eastAsia="en-US" w:bidi="ar-SA"/>
        </w:rPr>
        <w:t xml:space="preserve">in the Employer’s Requirements. </w:t>
      </w:r>
      <w:r w:rsidRPr="005A16C9">
        <w:rPr>
          <w:rFonts w:ascii="Calibri" w:eastAsia="Calibri" w:hAnsi="Calibri" w:cs="Times New Roman"/>
          <w:kern w:val="0"/>
          <w:sz w:val="22"/>
          <w:szCs w:val="22"/>
          <w:lang w:eastAsia="en-US" w:bidi="ar-SA"/>
        </w:rPr>
        <w:t xml:space="preserve">The defenders alleged that </w:t>
      </w:r>
      <w:r>
        <w:rPr>
          <w:rFonts w:ascii="Calibri" w:eastAsia="Calibri" w:hAnsi="Calibri" w:cs="Times New Roman"/>
          <w:kern w:val="0"/>
          <w:sz w:val="22"/>
          <w:szCs w:val="22"/>
          <w:lang w:eastAsia="en-US" w:bidi="ar-SA"/>
        </w:rPr>
        <w:t>Morrison was</w:t>
      </w:r>
      <w:r w:rsidRPr="005A16C9">
        <w:rPr>
          <w:rFonts w:ascii="Calibri" w:eastAsia="Calibri" w:hAnsi="Calibri" w:cs="Times New Roman"/>
          <w:kern w:val="0"/>
          <w:sz w:val="22"/>
          <w:szCs w:val="22"/>
          <w:lang w:eastAsia="en-US" w:bidi="ar-SA"/>
        </w:rPr>
        <w:t xml:space="preserve"> barred from founding upon its inclusion in the </w:t>
      </w:r>
      <w:r>
        <w:rPr>
          <w:rFonts w:ascii="Calibri" w:eastAsia="Calibri" w:hAnsi="Calibri" w:cs="Times New Roman"/>
          <w:kern w:val="0"/>
          <w:sz w:val="22"/>
          <w:szCs w:val="22"/>
          <w:lang w:eastAsia="en-US" w:bidi="ar-SA"/>
        </w:rPr>
        <w:t xml:space="preserve">Employer’s </w:t>
      </w:r>
      <w:r w:rsidRPr="005A16C9">
        <w:rPr>
          <w:rFonts w:ascii="Calibri" w:eastAsia="Calibri" w:hAnsi="Calibri" w:cs="Times New Roman"/>
          <w:kern w:val="0"/>
          <w:sz w:val="22"/>
          <w:szCs w:val="22"/>
          <w:lang w:eastAsia="en-US" w:bidi="ar-SA"/>
        </w:rPr>
        <w:t>Requirements breaches of either the Collateral Warrant</w:t>
      </w:r>
      <w:r>
        <w:rPr>
          <w:rFonts w:ascii="Calibri" w:eastAsia="Calibri" w:hAnsi="Calibri" w:cs="Times New Roman"/>
          <w:kern w:val="0"/>
          <w:sz w:val="22"/>
          <w:szCs w:val="22"/>
          <w:lang w:eastAsia="en-US" w:bidi="ar-SA"/>
        </w:rPr>
        <w:t>ies</w:t>
      </w:r>
      <w:r w:rsidRPr="005A16C9">
        <w:rPr>
          <w:rFonts w:ascii="Calibri" w:eastAsia="Calibri" w:hAnsi="Calibri" w:cs="Times New Roman"/>
          <w:kern w:val="0"/>
          <w:sz w:val="22"/>
          <w:szCs w:val="22"/>
          <w:lang w:eastAsia="en-US" w:bidi="ar-SA"/>
        </w:rPr>
        <w:t xml:space="preserve"> or the Building Contract, or that the material’s cleaning criteria </w:t>
      </w:r>
      <w:r>
        <w:rPr>
          <w:rFonts w:ascii="Calibri" w:eastAsia="Calibri" w:hAnsi="Calibri" w:cs="Times New Roman"/>
          <w:kern w:val="0"/>
          <w:sz w:val="22"/>
          <w:szCs w:val="22"/>
          <w:lang w:eastAsia="en-US" w:bidi="ar-SA"/>
        </w:rPr>
        <w:t>were</w:t>
      </w:r>
      <w:r w:rsidRPr="005A16C9">
        <w:rPr>
          <w:rFonts w:ascii="Calibri" w:eastAsia="Calibri" w:hAnsi="Calibri" w:cs="Times New Roman"/>
          <w:kern w:val="0"/>
          <w:sz w:val="22"/>
          <w:szCs w:val="22"/>
          <w:lang w:eastAsia="en-US" w:bidi="ar-SA"/>
        </w:rPr>
        <w:t xml:space="preserve"> not in accordance with the Building Contract or Collateral Warrant</w:t>
      </w:r>
      <w:r>
        <w:rPr>
          <w:rFonts w:ascii="Calibri" w:eastAsia="Calibri" w:hAnsi="Calibri" w:cs="Times New Roman"/>
          <w:kern w:val="0"/>
          <w:sz w:val="22"/>
          <w:szCs w:val="22"/>
          <w:lang w:eastAsia="en-US" w:bidi="ar-SA"/>
        </w:rPr>
        <w:t xml:space="preserve">ies. </w:t>
      </w:r>
      <w:r w:rsidRPr="005A16C9">
        <w:rPr>
          <w:rFonts w:ascii="Calibri" w:eastAsia="Calibri" w:hAnsi="Calibri" w:cs="Times New Roman"/>
          <w:kern w:val="0"/>
          <w:sz w:val="22"/>
          <w:szCs w:val="22"/>
          <w:lang w:eastAsia="en-US" w:bidi="ar-SA"/>
        </w:rPr>
        <w:t>Further that the defenders were absolved of responsibility for any defects arising from its use.</w:t>
      </w:r>
      <w:r>
        <w:rPr>
          <w:rFonts w:ascii="Calibri" w:eastAsia="Calibri" w:hAnsi="Calibri" w:cs="Times New Roman"/>
          <w:kern w:val="0"/>
          <w:sz w:val="22"/>
          <w:szCs w:val="22"/>
          <w:lang w:eastAsia="en-US" w:bidi="ar-SA"/>
        </w:rPr>
        <w:t xml:space="preserve"> </w:t>
      </w:r>
    </w:p>
    <w:p w:rsidR="00B70DBB" w:rsidRDefault="00B70DBB" w:rsidP="00B70DBB">
      <w:pPr>
        <w:suppressAutoHyphens w:val="0"/>
        <w:spacing w:after="200"/>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 xml:space="preserve">Morrison </w:t>
      </w:r>
      <w:r w:rsidRPr="005A16C9">
        <w:rPr>
          <w:rFonts w:ascii="Calibri" w:eastAsia="Calibri" w:hAnsi="Calibri" w:cs="Times New Roman"/>
          <w:kern w:val="0"/>
          <w:sz w:val="22"/>
          <w:szCs w:val="22"/>
          <w:lang w:eastAsia="en-US" w:bidi="ar-SA"/>
        </w:rPr>
        <w:t xml:space="preserve">submitted that on a proper construction of the obligations </w:t>
      </w:r>
      <w:r>
        <w:rPr>
          <w:rFonts w:ascii="Calibri" w:eastAsia="Calibri" w:hAnsi="Calibri" w:cs="Times New Roman"/>
          <w:kern w:val="0"/>
          <w:sz w:val="22"/>
          <w:szCs w:val="22"/>
          <w:lang w:eastAsia="en-US" w:bidi="ar-SA"/>
        </w:rPr>
        <w:t xml:space="preserve">Struer and Muir </w:t>
      </w:r>
      <w:r w:rsidRPr="005A16C9">
        <w:rPr>
          <w:rFonts w:ascii="Calibri" w:eastAsia="Calibri" w:hAnsi="Calibri" w:cs="Times New Roman"/>
          <w:kern w:val="0"/>
          <w:sz w:val="22"/>
          <w:szCs w:val="22"/>
          <w:lang w:eastAsia="en-US" w:bidi="ar-SA"/>
        </w:rPr>
        <w:t xml:space="preserve">had contractual responsibility for the </w:t>
      </w:r>
      <w:r>
        <w:rPr>
          <w:rFonts w:ascii="Calibri" w:eastAsia="Calibri" w:hAnsi="Calibri" w:cs="Times New Roman"/>
          <w:kern w:val="0"/>
          <w:sz w:val="22"/>
          <w:szCs w:val="22"/>
          <w:lang w:eastAsia="en-US" w:bidi="ar-SA"/>
        </w:rPr>
        <w:t xml:space="preserve">selection and use of TarmacDry. </w:t>
      </w:r>
      <w:r w:rsidRPr="005A16C9">
        <w:rPr>
          <w:rFonts w:ascii="Calibri" w:eastAsia="Calibri" w:hAnsi="Calibri" w:cs="Times New Roman"/>
          <w:kern w:val="0"/>
          <w:sz w:val="22"/>
          <w:szCs w:val="22"/>
          <w:lang w:eastAsia="en-US" w:bidi="ar-SA"/>
        </w:rPr>
        <w:t>Further,</w:t>
      </w:r>
      <w:r>
        <w:rPr>
          <w:rFonts w:ascii="Calibri" w:eastAsia="Calibri" w:hAnsi="Calibri" w:cs="Times New Roman"/>
          <w:kern w:val="0"/>
          <w:sz w:val="22"/>
          <w:szCs w:val="22"/>
          <w:lang w:eastAsia="en-US" w:bidi="ar-SA"/>
        </w:rPr>
        <w:t xml:space="preserve"> that a</w:t>
      </w:r>
      <w:r w:rsidRPr="005A16C9">
        <w:rPr>
          <w:rFonts w:ascii="Calibri" w:eastAsia="Calibri" w:hAnsi="Calibri" w:cs="Times New Roman"/>
          <w:kern w:val="0"/>
          <w:sz w:val="22"/>
          <w:szCs w:val="22"/>
          <w:lang w:eastAsia="en-US" w:bidi="ar-SA"/>
        </w:rPr>
        <w:t xml:space="preserve"> personal bar was irrelevant since it requires a person to have an existing right and to act inconsistently w</w:t>
      </w:r>
      <w:r>
        <w:rPr>
          <w:rFonts w:ascii="Calibri" w:eastAsia="Calibri" w:hAnsi="Calibri" w:cs="Times New Roman"/>
          <w:kern w:val="0"/>
          <w:sz w:val="22"/>
          <w:szCs w:val="22"/>
          <w:lang w:eastAsia="en-US" w:bidi="ar-SA"/>
        </w:rPr>
        <w:t xml:space="preserve">ith enforcement of that right. </w:t>
      </w:r>
      <w:r w:rsidRPr="005A16C9">
        <w:rPr>
          <w:rFonts w:ascii="Calibri" w:eastAsia="Calibri" w:hAnsi="Calibri" w:cs="Times New Roman"/>
          <w:kern w:val="0"/>
          <w:sz w:val="22"/>
          <w:szCs w:val="22"/>
          <w:lang w:eastAsia="en-US" w:bidi="ar-SA"/>
        </w:rPr>
        <w:t>Any representation by S</w:t>
      </w:r>
      <w:r>
        <w:rPr>
          <w:rFonts w:ascii="Calibri" w:eastAsia="Calibri" w:hAnsi="Calibri" w:cs="Times New Roman"/>
          <w:kern w:val="0"/>
          <w:sz w:val="22"/>
          <w:szCs w:val="22"/>
          <w:lang w:eastAsia="en-US" w:bidi="ar-SA"/>
        </w:rPr>
        <w:t>M</w:t>
      </w:r>
      <w:r w:rsidRPr="005A16C9">
        <w:rPr>
          <w:rFonts w:ascii="Calibri" w:eastAsia="Calibri" w:hAnsi="Calibri" w:cs="Times New Roman"/>
          <w:kern w:val="0"/>
          <w:sz w:val="22"/>
          <w:szCs w:val="22"/>
          <w:lang w:eastAsia="en-US" w:bidi="ar-SA"/>
        </w:rPr>
        <w:t xml:space="preserve"> pre-dated the contracts, and given the contractual scheme any such representation could not be relied upon.</w:t>
      </w:r>
      <w:r>
        <w:rPr>
          <w:rFonts w:ascii="Calibri" w:eastAsia="Calibri" w:hAnsi="Calibri" w:cs="Times New Roman"/>
          <w:kern w:val="0"/>
          <w:sz w:val="22"/>
          <w:szCs w:val="22"/>
          <w:lang w:eastAsia="en-US" w:bidi="ar-SA"/>
        </w:rPr>
        <w:t xml:space="preserve"> </w:t>
      </w:r>
      <w:r w:rsidRPr="005A16C9">
        <w:rPr>
          <w:rFonts w:ascii="Calibri" w:eastAsia="Calibri" w:hAnsi="Calibri" w:cs="Times New Roman"/>
          <w:kern w:val="0"/>
          <w:sz w:val="22"/>
          <w:szCs w:val="22"/>
          <w:lang w:eastAsia="en-US" w:bidi="ar-SA"/>
        </w:rPr>
        <w:t xml:space="preserve">The defenders also alleged that any new obligation advanced in </w:t>
      </w:r>
      <w:r>
        <w:rPr>
          <w:rFonts w:ascii="Calibri" w:eastAsia="Calibri" w:hAnsi="Calibri" w:cs="Times New Roman"/>
          <w:kern w:val="0"/>
          <w:sz w:val="22"/>
          <w:szCs w:val="22"/>
          <w:lang w:eastAsia="en-US" w:bidi="ar-SA"/>
        </w:rPr>
        <w:t>Morrison</w:t>
      </w:r>
      <w:r w:rsidRPr="005A16C9">
        <w:rPr>
          <w:rFonts w:ascii="Calibri" w:eastAsia="Calibri" w:hAnsi="Calibri" w:cs="Times New Roman"/>
          <w:kern w:val="0"/>
          <w:sz w:val="22"/>
          <w:szCs w:val="22"/>
          <w:lang w:eastAsia="en-US" w:bidi="ar-SA"/>
        </w:rPr>
        <w:t>’</w:t>
      </w:r>
      <w:r>
        <w:rPr>
          <w:rFonts w:ascii="Calibri" w:eastAsia="Calibri" w:hAnsi="Calibri" w:cs="Times New Roman"/>
          <w:kern w:val="0"/>
          <w:sz w:val="22"/>
          <w:szCs w:val="22"/>
          <w:lang w:eastAsia="en-US" w:bidi="ar-SA"/>
        </w:rPr>
        <w:t>s</w:t>
      </w:r>
      <w:r w:rsidRPr="005A16C9">
        <w:rPr>
          <w:rFonts w:ascii="Calibri" w:eastAsia="Calibri" w:hAnsi="Calibri" w:cs="Times New Roman"/>
          <w:kern w:val="0"/>
          <w:sz w:val="22"/>
          <w:szCs w:val="22"/>
          <w:lang w:eastAsia="en-US" w:bidi="ar-SA"/>
        </w:rPr>
        <w:t xml:space="preserve"> adjustments would have been extinguished by prescription </w:t>
      </w:r>
      <w:r w:rsidRPr="00135B3C">
        <w:rPr>
          <w:rFonts w:ascii="Calibri" w:eastAsia="Calibri" w:hAnsi="Calibri" w:cs="Times New Roman"/>
          <w:kern w:val="0"/>
          <w:sz w:val="22"/>
          <w:szCs w:val="22"/>
          <w:lang w:eastAsia="en-US" w:bidi="ar-SA"/>
        </w:rPr>
        <w:t xml:space="preserve">under </w:t>
      </w:r>
      <w:r>
        <w:rPr>
          <w:rFonts w:ascii="Calibri" w:eastAsia="Calibri" w:hAnsi="Calibri" w:cs="Times New Roman"/>
          <w:kern w:val="0"/>
          <w:sz w:val="22"/>
          <w:szCs w:val="22"/>
          <w:lang w:eastAsia="en-US" w:bidi="ar-SA"/>
        </w:rPr>
        <w:t xml:space="preserve">the </w:t>
      </w:r>
      <w:r w:rsidRPr="00135B3C">
        <w:rPr>
          <w:rFonts w:ascii="Calibri" w:eastAsia="Calibri" w:hAnsi="Calibri" w:cs="Times New Roman"/>
          <w:kern w:val="0"/>
          <w:sz w:val="22"/>
          <w:szCs w:val="22"/>
          <w:lang w:eastAsia="en-US" w:bidi="ar-SA"/>
        </w:rPr>
        <w:t>Prescription and Limitation (Scotland) Act 1973, section 6</w:t>
      </w:r>
      <w:r>
        <w:rPr>
          <w:rFonts w:ascii="Calibri" w:eastAsia="Calibri" w:hAnsi="Calibri" w:cs="Times New Roman"/>
          <w:kern w:val="0"/>
          <w:sz w:val="22"/>
          <w:szCs w:val="22"/>
          <w:lang w:eastAsia="en-US" w:bidi="ar-SA"/>
        </w:rPr>
        <w:t>. Morrison</w:t>
      </w:r>
      <w:r w:rsidRPr="00135B3C">
        <w:rPr>
          <w:rFonts w:ascii="Calibri" w:eastAsia="Calibri" w:hAnsi="Calibri" w:cs="Times New Roman"/>
          <w:kern w:val="0"/>
          <w:sz w:val="22"/>
          <w:szCs w:val="22"/>
          <w:lang w:eastAsia="en-US" w:bidi="ar-SA"/>
        </w:rPr>
        <w:t xml:space="preserve"> advanced that no element of </w:t>
      </w:r>
      <w:r w:rsidRPr="00135B3C">
        <w:rPr>
          <w:rFonts w:ascii="Calibri" w:eastAsia="Calibri" w:hAnsi="Calibri" w:cs="Times New Roman"/>
          <w:kern w:val="0"/>
          <w:sz w:val="22"/>
          <w:szCs w:val="22"/>
          <w:lang w:eastAsia="en-US" w:bidi="ar-SA"/>
        </w:rPr>
        <w:lastRenderedPageBreak/>
        <w:t>the adjustments</w:t>
      </w:r>
      <w:r w:rsidRPr="005A16C9">
        <w:rPr>
          <w:rFonts w:ascii="Calibri" w:eastAsia="Calibri" w:hAnsi="Calibri" w:cs="Times New Roman"/>
          <w:kern w:val="0"/>
          <w:sz w:val="22"/>
          <w:szCs w:val="22"/>
          <w:lang w:eastAsia="en-US" w:bidi="ar-SA"/>
        </w:rPr>
        <w:t xml:space="preserve"> included any substantially different complaint, and therefore no claim was extinguished.</w:t>
      </w:r>
    </w:p>
    <w:p w:rsidR="00B70DBB" w:rsidRDefault="00B70DBB" w:rsidP="00B70DBB">
      <w:pPr>
        <w:suppressAutoHyphens w:val="0"/>
        <w:spacing w:after="200"/>
        <w:rPr>
          <w:rFonts w:ascii="Calibri" w:eastAsia="Calibri" w:hAnsi="Calibri" w:cs="Times New Roman"/>
          <w:kern w:val="0"/>
          <w:sz w:val="22"/>
          <w:szCs w:val="22"/>
          <w:lang w:eastAsia="en-US" w:bidi="ar-SA"/>
        </w:rPr>
      </w:pPr>
    </w:p>
    <w:p w:rsidR="00B70DBB" w:rsidRPr="00AD121D" w:rsidRDefault="00B70DBB" w:rsidP="00B70DBB">
      <w:pPr>
        <w:suppressAutoHyphens w:val="0"/>
        <w:spacing w:after="200"/>
        <w:rPr>
          <w:rFonts w:ascii="Calibri" w:eastAsia="Calibri" w:hAnsi="Calibri" w:cs="Times New Roman"/>
          <w:kern w:val="0"/>
          <w:sz w:val="22"/>
          <w:szCs w:val="22"/>
          <w:lang w:eastAsia="en-US" w:bidi="ar-SA"/>
        </w:rPr>
      </w:pPr>
      <w:r w:rsidRPr="00AD121D">
        <w:rPr>
          <w:rFonts w:ascii="Calibri" w:eastAsia="Calibri" w:hAnsi="Calibri" w:cs="Times New Roman"/>
          <w:b/>
          <w:kern w:val="0"/>
          <w:sz w:val="22"/>
          <w:szCs w:val="22"/>
          <w:lang w:eastAsia="en-US" w:bidi="ar-SA"/>
        </w:rPr>
        <w:t xml:space="preserve">Held: </w:t>
      </w:r>
      <w:r w:rsidRPr="00AD121D">
        <w:rPr>
          <w:rFonts w:ascii="Calibri" w:eastAsia="Calibri" w:hAnsi="Calibri" w:cs="Times New Roman"/>
          <w:kern w:val="0"/>
          <w:sz w:val="22"/>
          <w:szCs w:val="22"/>
          <w:lang w:eastAsia="en-US" w:bidi="ar-SA"/>
        </w:rPr>
        <w:t>Holding for the Pursuer, save on one prescription ground.  Case</w:t>
      </w:r>
      <w:r w:rsidRPr="00AD121D">
        <w:rPr>
          <w:rFonts w:ascii="Calibri" w:eastAsia="Calibri" w:hAnsi="Calibri" w:cs="Times New Roman"/>
          <w:b/>
          <w:kern w:val="0"/>
          <w:sz w:val="22"/>
          <w:szCs w:val="22"/>
          <w:lang w:eastAsia="en-US" w:bidi="ar-SA"/>
        </w:rPr>
        <w:t xml:space="preserve"> </w:t>
      </w:r>
      <w:r w:rsidRPr="00AD121D">
        <w:rPr>
          <w:rFonts w:ascii="Calibri" w:eastAsia="Calibri" w:hAnsi="Calibri" w:cs="Times New Roman"/>
          <w:kern w:val="0"/>
          <w:sz w:val="22"/>
          <w:szCs w:val="22"/>
          <w:lang w:eastAsia="en-US" w:bidi="ar-SA"/>
        </w:rPr>
        <w:t>put out by order</w:t>
      </w:r>
      <w:r>
        <w:rPr>
          <w:rFonts w:ascii="Calibri" w:eastAsia="Calibri" w:hAnsi="Calibri" w:cs="Times New Roman"/>
          <w:kern w:val="0"/>
          <w:sz w:val="22"/>
          <w:szCs w:val="22"/>
          <w:lang w:eastAsia="en-US" w:bidi="ar-SA"/>
        </w:rPr>
        <w:t>:</w:t>
      </w:r>
      <w:r w:rsidRPr="00AD121D">
        <w:rPr>
          <w:rFonts w:ascii="Calibri" w:eastAsia="Calibri" w:hAnsi="Calibri" w:cs="Times New Roman"/>
          <w:kern w:val="0"/>
          <w:sz w:val="22"/>
          <w:szCs w:val="22"/>
          <w:lang w:eastAsia="en-US" w:bidi="ar-SA"/>
        </w:rPr>
        <w:t xml:space="preserve"> (i) to discuss an appropriate interlocutor to give effect to the decision; (ii) to discuss further procedure; and (iii) to consider motions for expenses.</w:t>
      </w:r>
    </w:p>
    <w:p w:rsidR="00B70DBB" w:rsidRPr="00AD121D" w:rsidRDefault="00B70DBB" w:rsidP="00B70DBB">
      <w:pPr>
        <w:numPr>
          <w:ilvl w:val="0"/>
          <w:numId w:val="1"/>
        </w:numPr>
        <w:spacing w:line="276" w:lineRule="auto"/>
        <w:rPr>
          <w:rFonts w:ascii="Calibri" w:hAnsi="Calibri" w:cs="Times New Roman"/>
          <w:sz w:val="22"/>
          <w:szCs w:val="22"/>
        </w:rPr>
      </w:pPr>
      <w:r w:rsidRPr="00AD121D">
        <w:rPr>
          <w:rFonts w:ascii="Calibri" w:hAnsi="Calibri" w:cs="Times New Roman"/>
          <w:sz w:val="22"/>
          <w:szCs w:val="22"/>
        </w:rPr>
        <w:t>On proper construction of the Appointment Agreement Struer remained fully responsible for all of the works necessary for completion of the project (including the design)</w:t>
      </w:r>
      <w:r>
        <w:rPr>
          <w:rFonts w:ascii="Calibri" w:hAnsi="Calibri" w:cs="Times New Roman"/>
          <w:sz w:val="22"/>
          <w:szCs w:val="22"/>
        </w:rPr>
        <w:t xml:space="preserve">. </w:t>
      </w:r>
      <w:r w:rsidRPr="00AD121D">
        <w:rPr>
          <w:rFonts w:ascii="Calibri" w:hAnsi="Calibri" w:cs="Times New Roman"/>
          <w:sz w:val="22"/>
          <w:szCs w:val="22"/>
        </w:rPr>
        <w:t>SM’s suggestion of the use of TarmacDry, and that it should be included in the Employer’s Requirements d</w:t>
      </w:r>
      <w:r>
        <w:rPr>
          <w:rFonts w:ascii="Calibri" w:hAnsi="Calibri" w:cs="Times New Roman"/>
          <w:sz w:val="22"/>
          <w:szCs w:val="22"/>
        </w:rPr>
        <w:t>id</w:t>
      </w:r>
      <w:r w:rsidRPr="00AD121D">
        <w:rPr>
          <w:rFonts w:ascii="Calibri" w:hAnsi="Calibri" w:cs="Times New Roman"/>
          <w:sz w:val="22"/>
          <w:szCs w:val="22"/>
        </w:rPr>
        <w:t xml:space="preserve"> not curtail or vary Struer’s design responsibility.</w:t>
      </w:r>
      <w:r>
        <w:rPr>
          <w:rFonts w:ascii="Calibri" w:hAnsi="Calibri" w:cs="Times New Roman"/>
          <w:sz w:val="22"/>
          <w:szCs w:val="22"/>
        </w:rPr>
        <w:t xml:space="preserve"> </w:t>
      </w:r>
      <w:r w:rsidRPr="00AD121D">
        <w:rPr>
          <w:rFonts w:ascii="Calibri" w:hAnsi="Calibri" w:cs="Times New Roman"/>
          <w:sz w:val="22"/>
          <w:szCs w:val="22"/>
        </w:rPr>
        <w:t xml:space="preserve">On a proper construction of the Building Contract Muir was responsible to </w:t>
      </w:r>
      <w:r>
        <w:rPr>
          <w:rFonts w:ascii="Calibri" w:hAnsi="Calibri" w:cs="Times New Roman"/>
          <w:sz w:val="22"/>
          <w:szCs w:val="22"/>
        </w:rPr>
        <w:t>Morrison</w:t>
      </w:r>
      <w:r w:rsidRPr="00AD121D">
        <w:rPr>
          <w:rFonts w:ascii="Calibri" w:hAnsi="Calibri" w:cs="Times New Roman"/>
          <w:sz w:val="22"/>
          <w:szCs w:val="22"/>
        </w:rPr>
        <w:t xml:space="preserve"> for the design of the car park surface course (Paras. [32]-[38]).   </w:t>
      </w:r>
    </w:p>
    <w:p w:rsidR="00B70DBB" w:rsidRPr="00AD121D" w:rsidRDefault="00B70DBB" w:rsidP="00B70DBB">
      <w:pPr>
        <w:spacing w:line="276" w:lineRule="auto"/>
        <w:ind w:left="720"/>
        <w:rPr>
          <w:rFonts w:ascii="Calibri" w:hAnsi="Calibri" w:cs="Times New Roman"/>
          <w:sz w:val="22"/>
          <w:szCs w:val="22"/>
        </w:rPr>
      </w:pPr>
    </w:p>
    <w:p w:rsidR="00B70DBB" w:rsidRPr="00AD121D" w:rsidRDefault="00B70DBB" w:rsidP="00B70DBB">
      <w:pPr>
        <w:numPr>
          <w:ilvl w:val="0"/>
          <w:numId w:val="1"/>
        </w:numPr>
        <w:spacing w:line="276" w:lineRule="auto"/>
        <w:rPr>
          <w:rFonts w:ascii="Calibri" w:hAnsi="Calibri" w:cs="Times New Roman"/>
          <w:sz w:val="22"/>
          <w:szCs w:val="22"/>
        </w:rPr>
      </w:pPr>
      <w:r w:rsidRPr="00AD121D">
        <w:rPr>
          <w:rFonts w:ascii="Calibri" w:hAnsi="Calibri" w:cs="Times New Roman"/>
          <w:sz w:val="22"/>
          <w:szCs w:val="22"/>
        </w:rPr>
        <w:t>That SM suggested the use of TarmacDry and that it should be included in the Employer’</w:t>
      </w:r>
      <w:r>
        <w:rPr>
          <w:rFonts w:ascii="Calibri" w:hAnsi="Calibri" w:cs="Times New Roman"/>
          <w:sz w:val="22"/>
          <w:szCs w:val="22"/>
        </w:rPr>
        <w:t xml:space="preserve">s Requirements </w:t>
      </w:r>
      <w:r w:rsidRPr="00AD121D">
        <w:rPr>
          <w:rFonts w:ascii="Calibri" w:hAnsi="Calibri" w:cs="Times New Roman"/>
          <w:sz w:val="22"/>
          <w:szCs w:val="22"/>
        </w:rPr>
        <w:t xml:space="preserve">does not assist </w:t>
      </w:r>
      <w:r>
        <w:rPr>
          <w:rFonts w:ascii="Calibri" w:hAnsi="Calibri" w:cs="Times New Roman"/>
          <w:sz w:val="22"/>
          <w:szCs w:val="22"/>
        </w:rPr>
        <w:t xml:space="preserve">Muir. </w:t>
      </w:r>
      <w:r w:rsidRPr="00AD121D">
        <w:rPr>
          <w:rFonts w:ascii="Calibri" w:hAnsi="Calibri" w:cs="Times New Roman"/>
          <w:sz w:val="22"/>
          <w:szCs w:val="22"/>
        </w:rPr>
        <w:t>Muir warranted that it had carefully checked the Employer’s Requirements and accepted full responsibility for the design (Para. [39]).</w:t>
      </w:r>
    </w:p>
    <w:p w:rsidR="00B70DBB" w:rsidRPr="00AD121D" w:rsidRDefault="00B70DBB" w:rsidP="00B70DBB">
      <w:pPr>
        <w:ind w:left="720"/>
        <w:rPr>
          <w:rFonts w:ascii="Calibri" w:hAnsi="Calibri" w:cs="Times New Roman"/>
          <w:sz w:val="22"/>
          <w:szCs w:val="22"/>
        </w:rPr>
      </w:pPr>
    </w:p>
    <w:p w:rsidR="00B70DBB" w:rsidRPr="00AD121D" w:rsidRDefault="00B70DBB" w:rsidP="00B70DBB">
      <w:pPr>
        <w:numPr>
          <w:ilvl w:val="0"/>
          <w:numId w:val="1"/>
        </w:numPr>
        <w:spacing w:line="276" w:lineRule="auto"/>
        <w:rPr>
          <w:rFonts w:ascii="Calibri" w:hAnsi="Calibri" w:cs="Times New Roman"/>
          <w:sz w:val="22"/>
          <w:szCs w:val="22"/>
        </w:rPr>
      </w:pPr>
      <w:r w:rsidRPr="00AD121D">
        <w:rPr>
          <w:rFonts w:ascii="Calibri" w:hAnsi="Calibri" w:cs="Times New Roman"/>
          <w:sz w:val="22"/>
          <w:szCs w:val="22"/>
        </w:rPr>
        <w:t>Even assuming that SM had authority to make representations on Morrison’s behalf a perso</w:t>
      </w:r>
      <w:r>
        <w:rPr>
          <w:rFonts w:ascii="Calibri" w:hAnsi="Calibri" w:cs="Times New Roman"/>
          <w:sz w:val="22"/>
          <w:szCs w:val="22"/>
        </w:rPr>
        <w:t xml:space="preserve">nal bar should not be imposed. </w:t>
      </w:r>
      <w:r w:rsidRPr="00AD121D">
        <w:rPr>
          <w:rFonts w:ascii="Calibri" w:hAnsi="Calibri" w:cs="Times New Roman"/>
          <w:sz w:val="22"/>
          <w:szCs w:val="22"/>
        </w:rPr>
        <w:t>Bars ought not readily be imposed</w:t>
      </w:r>
      <w:r>
        <w:rPr>
          <w:rFonts w:ascii="Calibri" w:hAnsi="Calibri" w:cs="Times New Roman"/>
          <w:sz w:val="22"/>
          <w:szCs w:val="22"/>
        </w:rPr>
        <w:t xml:space="preserve">. </w:t>
      </w:r>
      <w:r w:rsidRPr="00AD121D">
        <w:rPr>
          <w:rFonts w:ascii="Calibri" w:hAnsi="Calibri" w:cs="Times New Roman"/>
          <w:sz w:val="22"/>
          <w:szCs w:val="22"/>
        </w:rPr>
        <w:t>The representation was one of opinion, and a plea of personal bar cannot be founded upon a mere statement of opinion (</w:t>
      </w:r>
      <w:r w:rsidRPr="00AD121D">
        <w:rPr>
          <w:rFonts w:ascii="Calibri" w:hAnsi="Calibri" w:cs="Times New Roman"/>
          <w:i/>
          <w:sz w:val="22"/>
          <w:szCs w:val="22"/>
        </w:rPr>
        <w:t>Maclaine and Others v Gatty and Another</w:t>
      </w:r>
      <w:r w:rsidRPr="00AD121D">
        <w:rPr>
          <w:rFonts w:ascii="Calibri" w:hAnsi="Calibri" w:cs="Times New Roman"/>
          <w:sz w:val="22"/>
          <w:szCs w:val="22"/>
        </w:rPr>
        <w:t xml:space="preserve"> [1921] 1 A.C. 376, per Lord Birkenhead L.C., applied) (Paras. [41]-[42]).</w:t>
      </w:r>
    </w:p>
    <w:p w:rsidR="00B70DBB" w:rsidRPr="00AD121D" w:rsidRDefault="00B70DBB" w:rsidP="00B70DBB">
      <w:pPr>
        <w:spacing w:line="276" w:lineRule="auto"/>
        <w:ind w:left="720"/>
        <w:rPr>
          <w:rFonts w:ascii="Calibri" w:hAnsi="Calibri" w:cs="Times New Roman"/>
          <w:sz w:val="22"/>
          <w:szCs w:val="22"/>
        </w:rPr>
      </w:pPr>
    </w:p>
    <w:p w:rsidR="00B70DBB" w:rsidRPr="00AD121D" w:rsidRDefault="00B70DBB" w:rsidP="00B70DBB">
      <w:pPr>
        <w:numPr>
          <w:ilvl w:val="0"/>
          <w:numId w:val="1"/>
        </w:numPr>
        <w:spacing w:line="276" w:lineRule="auto"/>
        <w:rPr>
          <w:rFonts w:ascii="Calibri" w:hAnsi="Calibri" w:cs="Times New Roman"/>
          <w:sz w:val="22"/>
          <w:szCs w:val="22"/>
        </w:rPr>
      </w:pPr>
      <w:r w:rsidRPr="00AD121D">
        <w:rPr>
          <w:rFonts w:ascii="Calibri" w:hAnsi="Calibri" w:cs="Times New Roman"/>
          <w:i/>
          <w:sz w:val="22"/>
          <w:szCs w:val="22"/>
        </w:rPr>
        <w:t xml:space="preserve">Nairn v South-East Lancashire Insurance Co Ltd </w:t>
      </w:r>
      <w:r w:rsidRPr="00AD121D">
        <w:rPr>
          <w:rFonts w:ascii="Calibri" w:hAnsi="Calibri" w:cs="Times New Roman"/>
          <w:sz w:val="22"/>
          <w:szCs w:val="22"/>
        </w:rPr>
        <w:t>1930 S.C. 606 is clear authority for the proposition that personal bar is irrelevant unless there is inconsistency with a pre-existing right</w:t>
      </w:r>
      <w:r>
        <w:rPr>
          <w:rFonts w:ascii="Calibri" w:hAnsi="Calibri" w:cs="Times New Roman"/>
          <w:sz w:val="22"/>
          <w:szCs w:val="22"/>
        </w:rPr>
        <w:t>.</w:t>
      </w:r>
      <w:r w:rsidRPr="00AD121D">
        <w:rPr>
          <w:rFonts w:ascii="Calibri" w:hAnsi="Calibri" w:cs="Times New Roman"/>
          <w:sz w:val="22"/>
          <w:szCs w:val="22"/>
        </w:rPr>
        <w:t xml:space="preserve"> At the time of the alleged representation the contract and collateral warranty had not been executed, and the rights </w:t>
      </w:r>
      <w:r>
        <w:rPr>
          <w:rFonts w:ascii="Calibri" w:hAnsi="Calibri" w:cs="Times New Roman"/>
          <w:sz w:val="22"/>
          <w:szCs w:val="22"/>
        </w:rPr>
        <w:t xml:space="preserve">were not yet in existence. </w:t>
      </w:r>
      <w:r w:rsidRPr="00AD121D">
        <w:rPr>
          <w:rFonts w:ascii="Calibri" w:hAnsi="Calibri" w:cs="Times New Roman"/>
          <w:sz w:val="22"/>
          <w:szCs w:val="22"/>
        </w:rPr>
        <w:t>The representation was not and could not be a representation inconsistent with antecedent rights, (Para. 43).</w:t>
      </w:r>
    </w:p>
    <w:p w:rsidR="00B70DBB" w:rsidRPr="00AD121D" w:rsidRDefault="00B70DBB" w:rsidP="00B70DBB">
      <w:pPr>
        <w:pStyle w:val="ListParagraph"/>
        <w:rPr>
          <w:rFonts w:ascii="Calibri" w:hAnsi="Calibri" w:cs="Times New Roman"/>
          <w:sz w:val="22"/>
          <w:szCs w:val="22"/>
        </w:rPr>
      </w:pPr>
    </w:p>
    <w:p w:rsidR="00B70DBB" w:rsidRPr="00AD121D" w:rsidRDefault="00B70DBB" w:rsidP="00B70DBB">
      <w:pPr>
        <w:numPr>
          <w:ilvl w:val="0"/>
          <w:numId w:val="1"/>
        </w:numPr>
        <w:spacing w:line="276" w:lineRule="auto"/>
        <w:rPr>
          <w:rFonts w:ascii="Calibri" w:hAnsi="Calibri" w:cs="Times New Roman"/>
          <w:sz w:val="22"/>
          <w:szCs w:val="22"/>
        </w:rPr>
      </w:pPr>
      <w:r w:rsidRPr="00AD121D">
        <w:rPr>
          <w:rFonts w:ascii="Calibri" w:hAnsi="Calibri" w:cs="Times New Roman"/>
          <w:sz w:val="22"/>
          <w:szCs w:val="22"/>
        </w:rPr>
        <w:t>It would have been unreasonable in the circumstances to rely upon SM’s representation.</w:t>
      </w:r>
      <w:r>
        <w:rPr>
          <w:rFonts w:ascii="Calibri" w:hAnsi="Calibri" w:cs="Times New Roman"/>
          <w:sz w:val="22"/>
          <w:szCs w:val="22"/>
        </w:rPr>
        <w:t xml:space="preserve"> </w:t>
      </w:r>
      <w:r w:rsidRPr="00AD121D">
        <w:rPr>
          <w:rFonts w:ascii="Calibri" w:hAnsi="Calibri" w:cs="Times New Roman"/>
          <w:sz w:val="22"/>
          <w:szCs w:val="22"/>
        </w:rPr>
        <w:t>SM represented Morrison’s interests, but the ultimate decision as to what was included within the Employer’s Requirements was LEM’s. In terms of the Appointment Agreement Struer had design responsibility to LEM for TarmacDry’s inclusion in the Employer’s Requirements. In terms of the Building Contract Muir had design responsi</w:t>
      </w:r>
      <w:r>
        <w:rPr>
          <w:rFonts w:ascii="Calibri" w:hAnsi="Calibri" w:cs="Times New Roman"/>
          <w:sz w:val="22"/>
          <w:szCs w:val="22"/>
        </w:rPr>
        <w:t xml:space="preserve">bility to LEM for that matter. Neither </w:t>
      </w:r>
      <w:r w:rsidRPr="00AD121D">
        <w:rPr>
          <w:rFonts w:ascii="Calibri" w:hAnsi="Calibri" w:cs="Times New Roman"/>
          <w:sz w:val="22"/>
          <w:szCs w:val="22"/>
        </w:rPr>
        <w:t xml:space="preserve">Struer nor Muir were required to follow SM’s </w:t>
      </w:r>
      <w:r>
        <w:rPr>
          <w:rFonts w:ascii="Calibri" w:hAnsi="Calibri" w:cs="Times New Roman"/>
          <w:sz w:val="22"/>
          <w:szCs w:val="22"/>
        </w:rPr>
        <w:t>suggestion. G</w:t>
      </w:r>
      <w:r w:rsidRPr="00AD121D">
        <w:rPr>
          <w:rFonts w:ascii="Calibri" w:hAnsi="Calibri" w:cs="Times New Roman"/>
          <w:sz w:val="22"/>
          <w:szCs w:val="22"/>
        </w:rPr>
        <w:t>iven their design responsibilities they would not be expected to have done so without satisfying themselves as to the appropriateness of the suggested design.  Further, a person in Muir’s position would not reasonably have believed that the relevant rights under the Muir Collateral Warranty would not be exercised (Paras. [43]-[45]).</w:t>
      </w:r>
    </w:p>
    <w:p w:rsidR="00B70DBB" w:rsidRPr="00AD121D" w:rsidRDefault="00B70DBB" w:rsidP="00B70DBB">
      <w:pPr>
        <w:pStyle w:val="ListParagraph"/>
        <w:rPr>
          <w:rFonts w:ascii="Calibri" w:hAnsi="Calibri" w:cs="Times New Roman"/>
          <w:sz w:val="22"/>
          <w:szCs w:val="22"/>
        </w:rPr>
      </w:pPr>
    </w:p>
    <w:p w:rsidR="00B70DBB" w:rsidRPr="00A842E0" w:rsidRDefault="00B70DBB" w:rsidP="00B70DBB">
      <w:pPr>
        <w:numPr>
          <w:ilvl w:val="0"/>
          <w:numId w:val="1"/>
        </w:numPr>
        <w:spacing w:line="276" w:lineRule="auto"/>
        <w:rPr>
          <w:rFonts w:ascii="Calibri" w:hAnsi="Calibri" w:cs="Times New Roman"/>
          <w:sz w:val="22"/>
          <w:szCs w:val="22"/>
        </w:rPr>
      </w:pPr>
      <w:r w:rsidRPr="00A842E0">
        <w:rPr>
          <w:rFonts w:ascii="Calibri" w:hAnsi="Calibri" w:cs="Times New Roman"/>
          <w:sz w:val="22"/>
          <w:szCs w:val="22"/>
        </w:rPr>
        <w:t>Where issues of prescription may arise a pursuer should take care that some reference is made in his pleadings to each obligation to make reparation which he seeks to enforce. That can be done by incorporating a report brevitatis causa in his</w:t>
      </w:r>
      <w:r>
        <w:rPr>
          <w:rFonts w:ascii="Calibri" w:hAnsi="Calibri" w:cs="Times New Roman"/>
          <w:sz w:val="22"/>
          <w:szCs w:val="22"/>
        </w:rPr>
        <w:t xml:space="preserve"> pleadings. </w:t>
      </w:r>
      <w:r w:rsidRPr="00A842E0">
        <w:rPr>
          <w:rFonts w:ascii="Calibri" w:hAnsi="Calibri" w:cs="Times New Roman"/>
          <w:sz w:val="22"/>
          <w:szCs w:val="22"/>
        </w:rPr>
        <w:t xml:space="preserve">It is not necessary in order to satisfy the </w:t>
      </w:r>
      <w:r w:rsidRPr="00135B3C">
        <w:rPr>
          <w:rFonts w:ascii="Calibri" w:hAnsi="Calibri" w:cs="Times New Roman"/>
          <w:sz w:val="22"/>
          <w:szCs w:val="22"/>
        </w:rPr>
        <w:t xml:space="preserve">requirements of </w:t>
      </w:r>
      <w:r>
        <w:rPr>
          <w:rFonts w:ascii="Calibri" w:hAnsi="Calibri" w:cs="Times New Roman"/>
          <w:sz w:val="22"/>
          <w:szCs w:val="22"/>
        </w:rPr>
        <w:t xml:space="preserve">the </w:t>
      </w:r>
      <w:r w:rsidRPr="00135B3C">
        <w:rPr>
          <w:rFonts w:ascii="Calibri" w:hAnsi="Calibri" w:cs="Times New Roman"/>
          <w:sz w:val="22"/>
          <w:szCs w:val="22"/>
        </w:rPr>
        <w:t>Prescription and Limitation (Scotland) Act 1973</w:t>
      </w:r>
      <w:r w:rsidRPr="00135B3C">
        <w:t xml:space="preserve">, </w:t>
      </w:r>
      <w:r w:rsidRPr="00135B3C">
        <w:rPr>
          <w:rFonts w:ascii="Calibri" w:hAnsi="Calibri" w:cs="Times New Roman"/>
          <w:sz w:val="22"/>
          <w:szCs w:val="22"/>
        </w:rPr>
        <w:lastRenderedPageBreak/>
        <w:t>section 9(1)(a), that</w:t>
      </w:r>
      <w:r w:rsidRPr="00A842E0">
        <w:rPr>
          <w:rFonts w:ascii="Calibri" w:hAnsi="Calibri" w:cs="Times New Roman"/>
          <w:sz w:val="22"/>
          <w:szCs w:val="22"/>
        </w:rPr>
        <w:t xml:space="preserve"> claims are stated at length in the pleadings (Para. [68]).</w:t>
      </w:r>
      <w:r>
        <w:rPr>
          <w:rFonts w:ascii="Calibri" w:hAnsi="Calibri" w:cs="Times New Roman"/>
          <w:sz w:val="22"/>
          <w:szCs w:val="22"/>
        </w:rPr>
        <w:t xml:space="preserve"> </w:t>
      </w:r>
      <w:r w:rsidRPr="00A842E0">
        <w:rPr>
          <w:rFonts w:ascii="Calibri" w:hAnsi="Calibri" w:cs="Times New Roman"/>
          <w:sz w:val="22"/>
          <w:szCs w:val="22"/>
        </w:rPr>
        <w:t xml:space="preserve">Morrison’s adjustments to include a warning case did not involve it seeking to enforce obligations to make reparation which </w:t>
      </w:r>
      <w:r>
        <w:rPr>
          <w:rFonts w:ascii="Calibri" w:hAnsi="Calibri" w:cs="Times New Roman"/>
          <w:sz w:val="22"/>
          <w:szCs w:val="22"/>
        </w:rPr>
        <w:t>were</w:t>
      </w:r>
      <w:r w:rsidRPr="00A842E0">
        <w:rPr>
          <w:rFonts w:ascii="Calibri" w:hAnsi="Calibri" w:cs="Times New Roman"/>
          <w:sz w:val="22"/>
          <w:szCs w:val="22"/>
        </w:rPr>
        <w:t xml:space="preserve"> different from those in the summons (</w:t>
      </w:r>
      <w:r>
        <w:rPr>
          <w:rFonts w:ascii="Calibri" w:hAnsi="Calibri" w:cs="Times New Roman"/>
          <w:sz w:val="22"/>
          <w:szCs w:val="22"/>
        </w:rPr>
        <w:t xml:space="preserve">design breach). </w:t>
      </w:r>
      <w:r w:rsidRPr="00A842E0">
        <w:rPr>
          <w:rFonts w:ascii="Calibri" w:hAnsi="Calibri" w:cs="Times New Roman"/>
          <w:sz w:val="22"/>
          <w:szCs w:val="22"/>
        </w:rPr>
        <w:t>The essence of both is that TarmacDry was unsuitable and ought not to have been used, and that the problems with it ought to</w:t>
      </w:r>
      <w:r>
        <w:rPr>
          <w:rFonts w:ascii="Calibri" w:hAnsi="Calibri" w:cs="Times New Roman"/>
          <w:sz w:val="22"/>
          <w:szCs w:val="22"/>
        </w:rPr>
        <w:t xml:space="preserve"> have been pointed out. </w:t>
      </w:r>
      <w:r w:rsidRPr="00A842E0">
        <w:rPr>
          <w:rFonts w:ascii="Calibri" w:hAnsi="Calibri" w:cs="Times New Roman"/>
          <w:sz w:val="22"/>
          <w:szCs w:val="22"/>
        </w:rPr>
        <w:t>However, adjustments averring that the problems were materially contributed to by poor workmanship during installation were substantially different</w:t>
      </w:r>
      <w:r>
        <w:rPr>
          <w:rFonts w:ascii="Calibri" w:hAnsi="Calibri" w:cs="Times New Roman"/>
          <w:sz w:val="22"/>
          <w:szCs w:val="22"/>
        </w:rPr>
        <w:t xml:space="preserve">. </w:t>
      </w:r>
      <w:r w:rsidRPr="00A842E0">
        <w:rPr>
          <w:rFonts w:ascii="Calibri" w:hAnsi="Calibri" w:cs="Times New Roman"/>
          <w:sz w:val="22"/>
          <w:szCs w:val="22"/>
        </w:rPr>
        <w:t>Unlike the warning case the poor workmanship adjustment was an attempt to advance a new and different case after the expiry of the prescriptive period, (Para. [65]).</w:t>
      </w:r>
    </w:p>
    <w:p w:rsidR="00B70DBB" w:rsidRPr="00FC0EBE" w:rsidRDefault="00B70DBB" w:rsidP="00B70DBB">
      <w:pPr>
        <w:suppressAutoHyphens w:val="0"/>
        <w:spacing w:after="200"/>
        <w:ind w:left="720"/>
        <w:contextualSpacing/>
        <w:rPr>
          <w:rFonts w:ascii="Calibri" w:eastAsia="Calibri" w:hAnsi="Calibri" w:cs="Times New Roman"/>
          <w:kern w:val="0"/>
          <w:sz w:val="22"/>
          <w:szCs w:val="22"/>
          <w:highlight w:val="yellow"/>
          <w:lang w:eastAsia="en-US" w:bidi="ar-SA"/>
        </w:rPr>
      </w:pPr>
    </w:p>
    <w:p w:rsidR="00B70DBB" w:rsidRPr="00A842E0" w:rsidRDefault="00B70DBB" w:rsidP="00B70DBB">
      <w:pPr>
        <w:suppressAutoHyphens w:val="0"/>
        <w:spacing w:after="200"/>
        <w:rPr>
          <w:rFonts w:ascii="Calibri" w:eastAsia="Calibri" w:hAnsi="Calibri" w:cs="Times New Roman"/>
          <w:b/>
          <w:kern w:val="0"/>
          <w:sz w:val="22"/>
          <w:szCs w:val="22"/>
          <w:lang w:eastAsia="en-US" w:bidi="ar-SA"/>
        </w:rPr>
      </w:pPr>
      <w:r w:rsidRPr="00A842E0">
        <w:rPr>
          <w:rFonts w:ascii="Calibri" w:eastAsia="Calibri" w:hAnsi="Calibri" w:cs="Times New Roman"/>
          <w:b/>
          <w:kern w:val="0"/>
          <w:sz w:val="22"/>
          <w:szCs w:val="22"/>
          <w:lang w:eastAsia="en-US" w:bidi="ar-SA"/>
        </w:rPr>
        <w:t>Cases referred to in the opinion:</w:t>
      </w:r>
    </w:p>
    <w:p w:rsidR="00B70DBB" w:rsidRDefault="00B70DBB" w:rsidP="00B70DBB">
      <w:pPr>
        <w:suppressAutoHyphens w:val="0"/>
        <w:rPr>
          <w:rFonts w:ascii="Calibri" w:eastAsia="Calibri" w:hAnsi="Calibri" w:cs="Times New Roman"/>
          <w:kern w:val="0"/>
          <w:sz w:val="22"/>
          <w:szCs w:val="22"/>
          <w:lang w:eastAsia="en-US" w:bidi="ar-SA"/>
        </w:rPr>
      </w:pPr>
      <w:r w:rsidRPr="00A15742">
        <w:rPr>
          <w:rFonts w:ascii="Calibri" w:eastAsia="Calibri" w:hAnsi="Calibri" w:cs="Times New Roman"/>
          <w:i/>
          <w:kern w:val="0"/>
          <w:sz w:val="22"/>
          <w:szCs w:val="22"/>
          <w:lang w:eastAsia="en-US" w:bidi="ar-SA"/>
        </w:rPr>
        <w:t xml:space="preserve">A M Gillespie &amp; Co v James Howden &amp; Co </w:t>
      </w:r>
      <w:r w:rsidRPr="00A15742">
        <w:rPr>
          <w:rFonts w:ascii="Calibri" w:eastAsia="Calibri" w:hAnsi="Calibri" w:cs="Times New Roman"/>
          <w:kern w:val="0"/>
          <w:sz w:val="22"/>
          <w:szCs w:val="22"/>
          <w:lang w:eastAsia="en-US" w:bidi="ar-SA"/>
        </w:rPr>
        <w:t xml:space="preserve">(1885) 12 R. 800 </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A15742">
        <w:rPr>
          <w:rFonts w:ascii="Calibri" w:eastAsia="Calibri" w:hAnsi="Calibri" w:cs="Times New Roman"/>
          <w:i/>
          <w:kern w:val="0"/>
          <w:sz w:val="22"/>
          <w:szCs w:val="22"/>
          <w:lang w:eastAsia="en-US" w:bidi="ar-SA"/>
        </w:rPr>
        <w:t>Assuranceforeningen Skuld v International Oil Pollution Compensation Fund</w:t>
      </w:r>
      <w:r w:rsidRPr="00A15742">
        <w:rPr>
          <w:rFonts w:ascii="Calibri" w:eastAsia="Calibri" w:hAnsi="Calibri" w:cs="Times New Roman"/>
          <w:kern w:val="0"/>
          <w:sz w:val="22"/>
          <w:szCs w:val="22"/>
          <w:lang w:eastAsia="en-US" w:bidi="ar-SA"/>
        </w:rPr>
        <w:t xml:space="preserve"> (No</w:t>
      </w:r>
      <w:r>
        <w:rPr>
          <w:rFonts w:ascii="Calibri" w:eastAsia="Calibri" w:hAnsi="Calibri" w:cs="Times New Roman"/>
          <w:kern w:val="0"/>
          <w:sz w:val="22"/>
          <w:szCs w:val="22"/>
          <w:lang w:eastAsia="en-US" w:bidi="ar-SA"/>
        </w:rPr>
        <w:t>.</w:t>
      </w:r>
      <w:r w:rsidRPr="00A15742">
        <w:rPr>
          <w:rFonts w:ascii="Calibri" w:eastAsia="Calibri" w:hAnsi="Calibri" w:cs="Times New Roman"/>
          <w:kern w:val="0"/>
          <w:sz w:val="22"/>
          <w:szCs w:val="22"/>
          <w:lang w:eastAsia="en-US" w:bidi="ar-SA"/>
        </w:rPr>
        <w:t xml:space="preserve"> 2)</w:t>
      </w:r>
      <w:r>
        <w:rPr>
          <w:rFonts w:ascii="Calibri" w:eastAsia="Calibri" w:hAnsi="Calibri" w:cs="Times New Roman"/>
          <w:kern w:val="0"/>
          <w:sz w:val="22"/>
          <w:szCs w:val="22"/>
          <w:lang w:eastAsia="en-US" w:bidi="ar-SA"/>
        </w:rPr>
        <w:t xml:space="preserve"> </w:t>
      </w:r>
      <w:r w:rsidRPr="00A15742">
        <w:rPr>
          <w:rFonts w:ascii="Calibri" w:eastAsia="Calibri" w:hAnsi="Calibri" w:cs="Times New Roman"/>
          <w:kern w:val="0"/>
          <w:sz w:val="22"/>
          <w:szCs w:val="22"/>
          <w:lang w:eastAsia="en-US" w:bidi="ar-SA"/>
        </w:rPr>
        <w:t>2000 S.L.T. 1348</w:t>
      </w:r>
    </w:p>
    <w:p w:rsidR="00B70DBB" w:rsidRPr="00DD4833"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A15742">
        <w:rPr>
          <w:rFonts w:ascii="Calibri" w:eastAsia="Calibri" w:hAnsi="Calibri" w:cs="Times New Roman"/>
          <w:i/>
          <w:kern w:val="0"/>
          <w:sz w:val="22"/>
          <w:szCs w:val="22"/>
          <w:lang w:eastAsia="en-US" w:bidi="ar-SA"/>
        </w:rPr>
        <w:t xml:space="preserve">Ben Cleuch Estates Ltd v Scottish Enterprise </w:t>
      </w:r>
      <w:r w:rsidRPr="00A15742">
        <w:rPr>
          <w:rFonts w:ascii="Calibri" w:eastAsia="Calibri" w:hAnsi="Calibri" w:cs="Times New Roman"/>
          <w:kern w:val="0"/>
          <w:sz w:val="22"/>
          <w:szCs w:val="22"/>
          <w:lang w:eastAsia="en-US" w:bidi="ar-SA"/>
        </w:rPr>
        <w:t>[2006] CSOH 35</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A15742">
        <w:rPr>
          <w:rFonts w:ascii="Calibri" w:eastAsia="Calibri" w:hAnsi="Calibri" w:cs="Times New Roman"/>
          <w:i/>
          <w:kern w:val="0"/>
          <w:sz w:val="22"/>
          <w:szCs w:val="22"/>
          <w:lang w:eastAsia="en-US" w:bidi="ar-SA"/>
        </w:rPr>
        <w:t>Ben Cleuch Estates Ltd v Scottish Enterprise</w:t>
      </w:r>
      <w:r>
        <w:rPr>
          <w:rFonts w:ascii="Calibri" w:eastAsia="Calibri" w:hAnsi="Calibri" w:cs="Times New Roman"/>
          <w:kern w:val="0"/>
          <w:sz w:val="22"/>
          <w:szCs w:val="22"/>
          <w:lang w:eastAsia="en-US" w:bidi="ar-SA"/>
        </w:rPr>
        <w:t xml:space="preserve"> </w:t>
      </w:r>
      <w:r w:rsidRPr="00A15742">
        <w:rPr>
          <w:rFonts w:ascii="Calibri" w:eastAsia="Calibri" w:hAnsi="Calibri" w:cs="Times New Roman"/>
          <w:kern w:val="0"/>
          <w:sz w:val="22"/>
          <w:szCs w:val="22"/>
          <w:lang w:eastAsia="en-US" w:bidi="ar-SA"/>
        </w:rPr>
        <w:t>[2008] CSIH 1</w:t>
      </w:r>
      <w:r>
        <w:rPr>
          <w:rFonts w:ascii="Calibri" w:eastAsia="Calibri" w:hAnsi="Calibri" w:cs="Times New Roman"/>
          <w:kern w:val="0"/>
          <w:sz w:val="22"/>
          <w:szCs w:val="22"/>
          <w:lang w:eastAsia="en-US" w:bidi="ar-SA"/>
        </w:rPr>
        <w:t xml:space="preserve">; </w:t>
      </w:r>
      <w:r w:rsidRPr="00A15742">
        <w:rPr>
          <w:rFonts w:ascii="Calibri" w:eastAsia="Calibri" w:hAnsi="Calibri" w:cs="Times New Roman"/>
          <w:kern w:val="0"/>
          <w:sz w:val="22"/>
          <w:szCs w:val="22"/>
          <w:lang w:eastAsia="en-US" w:bidi="ar-SA"/>
        </w:rPr>
        <w:t>2008 S.C. 252</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EF3D5F">
        <w:rPr>
          <w:rFonts w:ascii="Calibri" w:eastAsia="Calibri" w:hAnsi="Calibri" w:cs="Times New Roman"/>
          <w:i/>
          <w:kern w:val="0"/>
          <w:sz w:val="22"/>
          <w:szCs w:val="22"/>
          <w:lang w:eastAsia="en-US" w:bidi="ar-SA"/>
        </w:rPr>
        <w:t>British Overseas Bank Nominees Ltd &amp; Others v Stewart Milne Group Ltd</w:t>
      </w:r>
      <w:r w:rsidRPr="00DD4833">
        <w:rPr>
          <w:rFonts w:ascii="Calibri" w:eastAsia="Calibri" w:hAnsi="Calibri" w:cs="Times New Roman"/>
          <w:kern w:val="0"/>
          <w:sz w:val="22"/>
          <w:szCs w:val="22"/>
          <w:lang w:eastAsia="en-US" w:bidi="ar-SA"/>
        </w:rPr>
        <w:t xml:space="preserve"> </w:t>
      </w:r>
      <w:r w:rsidRPr="00A15742">
        <w:rPr>
          <w:rFonts w:ascii="Calibri" w:eastAsia="Calibri" w:hAnsi="Calibri" w:cs="Times New Roman"/>
          <w:kern w:val="0"/>
          <w:sz w:val="22"/>
          <w:szCs w:val="22"/>
          <w:lang w:eastAsia="en-US" w:bidi="ar-SA"/>
        </w:rPr>
        <w:t>[2019] CSIH 47</w:t>
      </w:r>
      <w:r>
        <w:rPr>
          <w:rFonts w:ascii="Calibri" w:eastAsia="Calibri" w:hAnsi="Calibri" w:cs="Times New Roman"/>
          <w:kern w:val="0"/>
          <w:sz w:val="22"/>
          <w:szCs w:val="22"/>
          <w:lang w:eastAsia="en-US" w:bidi="ar-SA"/>
        </w:rPr>
        <w:t>;</w:t>
      </w:r>
      <w:r w:rsidRPr="00A15742">
        <w:rPr>
          <w:rFonts w:ascii="Calibri" w:eastAsia="Calibri" w:hAnsi="Calibri" w:cs="Times New Roman"/>
          <w:kern w:val="0"/>
          <w:sz w:val="22"/>
          <w:szCs w:val="22"/>
          <w:lang w:eastAsia="en-US" w:bidi="ar-SA"/>
        </w:rPr>
        <w:t xml:space="preserve"> 2019 S.L.T. 1253</w:t>
      </w:r>
      <w:r>
        <w:rPr>
          <w:rFonts w:ascii="Calibri" w:eastAsia="Calibri" w:hAnsi="Calibri" w:cs="Times New Roman"/>
          <w:kern w:val="0"/>
          <w:sz w:val="22"/>
          <w:szCs w:val="22"/>
          <w:lang w:eastAsia="en-US" w:bidi="ar-SA"/>
        </w:rPr>
        <w:t>;</w:t>
      </w:r>
      <w:r w:rsidRPr="00A15742">
        <w:rPr>
          <w:rFonts w:ascii="Calibri" w:eastAsia="Calibri" w:hAnsi="Calibri" w:cs="Times New Roman"/>
          <w:kern w:val="0"/>
          <w:sz w:val="22"/>
          <w:szCs w:val="22"/>
          <w:lang w:eastAsia="en-US" w:bidi="ar-SA"/>
        </w:rPr>
        <w:t xml:space="preserve"> [2020] P.N.L.R. 2</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E74D62">
        <w:rPr>
          <w:rFonts w:ascii="Calibri" w:eastAsia="Calibri" w:hAnsi="Calibri" w:cs="Times New Roman"/>
          <w:i/>
          <w:kern w:val="0"/>
          <w:sz w:val="22"/>
          <w:szCs w:val="22"/>
          <w:lang w:eastAsia="en-US" w:bidi="ar-SA"/>
        </w:rPr>
        <w:t>Cantors Properties (Scotland) Ltd v Swears &amp; Wells Ltd</w:t>
      </w:r>
      <w:r>
        <w:rPr>
          <w:rFonts w:ascii="Calibri" w:eastAsia="Calibri" w:hAnsi="Calibri" w:cs="Times New Roman"/>
          <w:kern w:val="0"/>
          <w:sz w:val="22"/>
          <w:szCs w:val="22"/>
          <w:lang w:eastAsia="en-US" w:bidi="ar-SA"/>
        </w:rPr>
        <w:t xml:space="preserve"> 1978 S.C. 310</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E74D62">
        <w:rPr>
          <w:rFonts w:ascii="Calibri" w:eastAsia="Calibri" w:hAnsi="Calibri" w:cs="Times New Roman"/>
          <w:i/>
          <w:kern w:val="0"/>
          <w:sz w:val="22"/>
          <w:szCs w:val="22"/>
          <w:lang w:eastAsia="en-US" w:bidi="ar-SA"/>
        </w:rPr>
        <w:t>Classic House Developments Ltd v GD Lodge &amp; Partners and Others</w:t>
      </w:r>
      <w:r>
        <w:rPr>
          <w:rFonts w:ascii="Calibri" w:eastAsia="Calibri" w:hAnsi="Calibri" w:cs="Times New Roman"/>
          <w:kern w:val="0"/>
          <w:sz w:val="22"/>
          <w:szCs w:val="22"/>
          <w:lang w:eastAsia="en-US" w:bidi="ar-SA"/>
        </w:rPr>
        <w:t>, Unreported, 30 January 1998</w:t>
      </w:r>
    </w:p>
    <w:p w:rsidR="00B70DBB" w:rsidRDefault="00B70DBB" w:rsidP="00B70DBB">
      <w:pPr>
        <w:suppressAutoHyphens w:val="0"/>
        <w:rPr>
          <w:rFonts w:ascii="Calibri" w:eastAsia="Calibri" w:hAnsi="Calibri" w:cs="Times New Roman"/>
          <w:kern w:val="0"/>
          <w:sz w:val="22"/>
          <w:szCs w:val="22"/>
          <w:lang w:eastAsia="en-US" w:bidi="ar-SA"/>
        </w:rPr>
      </w:pPr>
      <w:bookmarkStart w:id="0" w:name="_GoBack"/>
      <w:bookmarkEnd w:id="0"/>
    </w:p>
    <w:p w:rsidR="00B70DBB" w:rsidRDefault="00B70DBB" w:rsidP="00B70DBB">
      <w:pPr>
        <w:suppressAutoHyphens w:val="0"/>
        <w:rPr>
          <w:rFonts w:ascii="Calibri" w:eastAsia="Calibri" w:hAnsi="Calibri" w:cs="Times New Roman"/>
          <w:kern w:val="0"/>
          <w:sz w:val="22"/>
          <w:szCs w:val="22"/>
          <w:lang w:eastAsia="en-US" w:bidi="ar-SA"/>
        </w:rPr>
      </w:pPr>
      <w:r w:rsidRPr="00E74D62">
        <w:rPr>
          <w:rFonts w:ascii="Calibri" w:eastAsia="Calibri" w:hAnsi="Calibri" w:cs="Times New Roman"/>
          <w:i/>
          <w:kern w:val="0"/>
          <w:sz w:val="22"/>
          <w:szCs w:val="22"/>
          <w:lang w:eastAsia="en-US" w:bidi="ar-SA"/>
        </w:rPr>
        <w:t>Cole v Lonie</w:t>
      </w:r>
      <w:r>
        <w:rPr>
          <w:rFonts w:ascii="Calibri" w:eastAsia="Calibri" w:hAnsi="Calibri" w:cs="Times New Roman"/>
          <w:kern w:val="0"/>
          <w:sz w:val="22"/>
          <w:szCs w:val="22"/>
          <w:lang w:eastAsia="en-US" w:bidi="ar-SA"/>
        </w:rPr>
        <w:t xml:space="preserve"> </w:t>
      </w:r>
      <w:r w:rsidRPr="00E74D62">
        <w:rPr>
          <w:rFonts w:ascii="Calibri" w:eastAsia="Calibri" w:hAnsi="Calibri" w:cs="Times New Roman"/>
          <w:kern w:val="0"/>
          <w:sz w:val="22"/>
          <w:szCs w:val="22"/>
          <w:lang w:eastAsia="en-US" w:bidi="ar-SA"/>
        </w:rPr>
        <w:t xml:space="preserve">2001 S.C. 610 </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E74D62">
        <w:rPr>
          <w:rFonts w:ascii="Calibri" w:eastAsia="Calibri" w:hAnsi="Calibri" w:cs="Times New Roman"/>
          <w:i/>
          <w:kern w:val="0"/>
          <w:sz w:val="22"/>
          <w:szCs w:val="22"/>
          <w:lang w:eastAsia="en-US" w:bidi="ar-SA"/>
        </w:rPr>
        <w:t>David T Morrison &amp; Co Ltd (t/a Gael Home Interiors) v ICL Plastics Ltd</w:t>
      </w:r>
      <w:r>
        <w:rPr>
          <w:rFonts w:ascii="Calibri" w:eastAsia="Calibri" w:hAnsi="Calibri" w:cs="Times New Roman"/>
          <w:kern w:val="0"/>
          <w:sz w:val="22"/>
          <w:szCs w:val="22"/>
          <w:lang w:eastAsia="en-US" w:bidi="ar-SA"/>
        </w:rPr>
        <w:t xml:space="preserve"> </w:t>
      </w:r>
      <w:r w:rsidRPr="00E74D62">
        <w:rPr>
          <w:rFonts w:ascii="Calibri" w:eastAsia="Calibri" w:hAnsi="Calibri" w:cs="Times New Roman"/>
          <w:kern w:val="0"/>
          <w:sz w:val="22"/>
          <w:szCs w:val="22"/>
          <w:lang w:eastAsia="en-US" w:bidi="ar-SA"/>
        </w:rPr>
        <w:t>[2014] UKSC 48</w:t>
      </w:r>
      <w:r>
        <w:rPr>
          <w:rFonts w:ascii="Calibri" w:eastAsia="Calibri" w:hAnsi="Calibri" w:cs="Times New Roman"/>
          <w:kern w:val="0"/>
          <w:sz w:val="22"/>
          <w:szCs w:val="22"/>
          <w:lang w:eastAsia="en-US" w:bidi="ar-SA"/>
        </w:rPr>
        <w:t>;</w:t>
      </w:r>
      <w:r w:rsidRPr="00E74D62">
        <w:rPr>
          <w:rFonts w:ascii="Calibri" w:eastAsia="Calibri" w:hAnsi="Calibri" w:cs="Times New Roman"/>
          <w:kern w:val="0"/>
          <w:sz w:val="22"/>
          <w:szCs w:val="22"/>
          <w:lang w:eastAsia="en-US" w:bidi="ar-SA"/>
        </w:rPr>
        <w:t xml:space="preserve"> 2014 S.C. (U.K.S.C.) 222</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E74D62">
        <w:rPr>
          <w:rFonts w:ascii="Calibri" w:eastAsia="Calibri" w:hAnsi="Calibri" w:cs="Times New Roman"/>
          <w:i/>
          <w:kern w:val="0"/>
          <w:sz w:val="22"/>
          <w:szCs w:val="22"/>
          <w:lang w:eastAsia="en-US" w:bidi="ar-SA"/>
        </w:rPr>
        <w:t>Dunlop v McGowans</w:t>
      </w:r>
      <w:r>
        <w:rPr>
          <w:rFonts w:ascii="Calibri" w:eastAsia="Calibri" w:hAnsi="Calibri" w:cs="Times New Roman"/>
          <w:kern w:val="0"/>
          <w:sz w:val="22"/>
          <w:szCs w:val="22"/>
          <w:lang w:eastAsia="en-US" w:bidi="ar-SA"/>
        </w:rPr>
        <w:t xml:space="preserve"> </w:t>
      </w:r>
      <w:r w:rsidRPr="00E74D62">
        <w:rPr>
          <w:rFonts w:ascii="Calibri" w:eastAsia="Calibri" w:hAnsi="Calibri" w:cs="Times New Roman"/>
          <w:kern w:val="0"/>
          <w:sz w:val="22"/>
          <w:szCs w:val="22"/>
          <w:lang w:eastAsia="en-US" w:bidi="ar-SA"/>
        </w:rPr>
        <w:t xml:space="preserve">1980 S.C. (H.L.) 73 </w:t>
      </w:r>
      <w:r>
        <w:rPr>
          <w:rFonts w:ascii="Calibri" w:eastAsia="Calibri" w:hAnsi="Calibri" w:cs="Times New Roman"/>
          <w:kern w:val="0"/>
          <w:sz w:val="22"/>
          <w:szCs w:val="22"/>
          <w:lang w:eastAsia="en-US" w:bidi="ar-SA"/>
        </w:rPr>
        <w:t xml:space="preserve"> </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E74D62">
        <w:rPr>
          <w:rFonts w:ascii="Calibri" w:eastAsia="Calibri" w:hAnsi="Calibri" w:cs="Times New Roman"/>
          <w:i/>
          <w:kern w:val="0"/>
          <w:sz w:val="22"/>
          <w:szCs w:val="22"/>
          <w:lang w:eastAsia="en-US" w:bidi="ar-SA"/>
        </w:rPr>
        <w:t>Eadie Cairns v Programmed Maintenance Painting Ltd</w:t>
      </w:r>
      <w:r>
        <w:rPr>
          <w:rFonts w:ascii="Calibri" w:eastAsia="Calibri" w:hAnsi="Calibri" w:cs="Times New Roman"/>
          <w:kern w:val="0"/>
          <w:sz w:val="22"/>
          <w:szCs w:val="22"/>
          <w:lang w:eastAsia="en-US" w:bidi="ar-SA"/>
        </w:rPr>
        <w:t xml:space="preserve"> </w:t>
      </w:r>
      <w:r w:rsidRPr="00E74D62">
        <w:rPr>
          <w:rFonts w:ascii="Calibri" w:eastAsia="Calibri" w:hAnsi="Calibri" w:cs="Times New Roman"/>
          <w:kern w:val="0"/>
          <w:sz w:val="22"/>
          <w:szCs w:val="22"/>
          <w:lang w:eastAsia="en-US" w:bidi="ar-SA"/>
        </w:rPr>
        <w:t>1987 S.L.T. 777</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E74D62">
        <w:rPr>
          <w:rFonts w:ascii="Calibri" w:eastAsia="Calibri" w:hAnsi="Calibri" w:cs="Times New Roman"/>
          <w:i/>
          <w:kern w:val="0"/>
          <w:sz w:val="22"/>
          <w:szCs w:val="22"/>
          <w:lang w:eastAsia="en-US" w:bidi="ar-SA"/>
        </w:rPr>
        <w:t>Electricity Supply (Nominees) (Scotland) L</w:t>
      </w:r>
      <w:r>
        <w:rPr>
          <w:rFonts w:ascii="Calibri" w:eastAsia="Calibri" w:hAnsi="Calibri" w:cs="Times New Roman"/>
          <w:i/>
          <w:kern w:val="0"/>
          <w:sz w:val="22"/>
          <w:szCs w:val="22"/>
          <w:lang w:eastAsia="en-US" w:bidi="ar-SA"/>
        </w:rPr>
        <w:t>td</w:t>
      </w:r>
      <w:r w:rsidRPr="00E74D62">
        <w:rPr>
          <w:rFonts w:ascii="Calibri" w:eastAsia="Calibri" w:hAnsi="Calibri" w:cs="Times New Roman"/>
          <w:i/>
          <w:kern w:val="0"/>
          <w:sz w:val="22"/>
          <w:szCs w:val="22"/>
          <w:lang w:eastAsia="en-US" w:bidi="ar-SA"/>
        </w:rPr>
        <w:t xml:space="preserve"> v Combined Capital L</w:t>
      </w:r>
      <w:r>
        <w:rPr>
          <w:rFonts w:ascii="Calibri" w:eastAsia="Calibri" w:hAnsi="Calibri" w:cs="Times New Roman"/>
          <w:i/>
          <w:kern w:val="0"/>
          <w:sz w:val="22"/>
          <w:szCs w:val="22"/>
          <w:lang w:eastAsia="en-US" w:bidi="ar-SA"/>
        </w:rPr>
        <w:t>td</w:t>
      </w:r>
      <w:r w:rsidRPr="00DD4833">
        <w:rPr>
          <w:rFonts w:ascii="Calibri" w:eastAsia="Calibri" w:hAnsi="Calibri" w:cs="Times New Roman"/>
          <w:kern w:val="0"/>
          <w:sz w:val="22"/>
          <w:szCs w:val="22"/>
          <w:lang w:eastAsia="en-US" w:bidi="ar-SA"/>
        </w:rPr>
        <w:t xml:space="preserve"> </w:t>
      </w:r>
      <w:r w:rsidRPr="00E74D62">
        <w:rPr>
          <w:rFonts w:ascii="Calibri" w:eastAsia="Calibri" w:hAnsi="Calibri" w:cs="Times New Roman"/>
          <w:kern w:val="0"/>
          <w:sz w:val="22"/>
          <w:szCs w:val="22"/>
          <w:lang w:eastAsia="en-US" w:bidi="ar-SA"/>
        </w:rPr>
        <w:t>1987 S.C. 303</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CA1C90">
        <w:rPr>
          <w:rFonts w:ascii="Calibri" w:eastAsia="Calibri" w:hAnsi="Calibri" w:cs="Times New Roman"/>
          <w:i/>
          <w:kern w:val="0"/>
          <w:sz w:val="22"/>
          <w:szCs w:val="22"/>
          <w:lang w:eastAsia="en-US" w:bidi="ar-SA"/>
        </w:rPr>
        <w:t>Huntaven Properties Ltd v Hunter Construction (Aberdeen) Ltd &amp; Ors</w:t>
      </w:r>
      <w:r>
        <w:rPr>
          <w:rFonts w:ascii="Calibri" w:eastAsia="Calibri" w:hAnsi="Calibri" w:cs="Times New Roman"/>
          <w:kern w:val="0"/>
          <w:sz w:val="22"/>
          <w:szCs w:val="22"/>
          <w:lang w:eastAsia="en-US" w:bidi="ar-SA"/>
        </w:rPr>
        <w:t xml:space="preserve"> [2017] CSOH 57; </w:t>
      </w:r>
      <w:r w:rsidRPr="0024367C">
        <w:rPr>
          <w:rFonts w:ascii="Calibri" w:eastAsia="Calibri" w:hAnsi="Calibri" w:cs="Times New Roman"/>
          <w:kern w:val="0"/>
          <w:sz w:val="22"/>
          <w:szCs w:val="22"/>
          <w:lang w:eastAsia="en-US" w:bidi="ar-SA"/>
        </w:rPr>
        <w:t>2017 G.W.D. 14-229</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24367C">
        <w:rPr>
          <w:rFonts w:ascii="Calibri" w:eastAsia="Calibri" w:hAnsi="Calibri" w:cs="Times New Roman"/>
          <w:i/>
          <w:kern w:val="0"/>
          <w:sz w:val="22"/>
          <w:szCs w:val="22"/>
          <w:lang w:eastAsia="en-US" w:bidi="ar-SA"/>
        </w:rPr>
        <w:t xml:space="preserve">J G Martin Plant Hire Ltd v Bannatyne Kirkwood France &amp; Co </w:t>
      </w:r>
      <w:r w:rsidRPr="0024367C">
        <w:rPr>
          <w:rFonts w:ascii="Calibri" w:eastAsia="Calibri" w:hAnsi="Calibri" w:cs="Times New Roman"/>
          <w:kern w:val="0"/>
          <w:sz w:val="22"/>
          <w:szCs w:val="22"/>
          <w:lang w:eastAsia="en-US" w:bidi="ar-SA"/>
        </w:rPr>
        <w:t>1996 S.C. 105</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24367C">
        <w:rPr>
          <w:rFonts w:ascii="Calibri" w:eastAsia="Calibri" w:hAnsi="Calibri" w:cs="Times New Roman"/>
          <w:i/>
          <w:kern w:val="0"/>
          <w:sz w:val="22"/>
          <w:szCs w:val="22"/>
          <w:lang w:eastAsia="en-US" w:bidi="ar-SA"/>
        </w:rPr>
        <w:t>Macleod v Sinclair</w:t>
      </w:r>
      <w:r>
        <w:rPr>
          <w:rFonts w:ascii="Calibri" w:eastAsia="Calibri" w:hAnsi="Calibri" w:cs="Times New Roman"/>
          <w:kern w:val="0"/>
          <w:sz w:val="22"/>
          <w:szCs w:val="22"/>
          <w:lang w:eastAsia="en-US" w:bidi="ar-SA"/>
        </w:rPr>
        <w:t xml:space="preserve"> </w:t>
      </w:r>
      <w:r w:rsidRPr="0024367C">
        <w:rPr>
          <w:rFonts w:ascii="Calibri" w:eastAsia="Calibri" w:hAnsi="Calibri" w:cs="Times New Roman"/>
          <w:kern w:val="0"/>
          <w:sz w:val="22"/>
          <w:szCs w:val="22"/>
          <w:lang w:eastAsia="en-US" w:bidi="ar-SA"/>
        </w:rPr>
        <w:t>1981 S.L.T. (Notes) 38</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E74D62">
        <w:rPr>
          <w:rFonts w:ascii="Calibri" w:eastAsia="Calibri" w:hAnsi="Calibri" w:cs="Times New Roman"/>
          <w:i/>
          <w:kern w:val="0"/>
          <w:sz w:val="22"/>
          <w:szCs w:val="22"/>
          <w:lang w:eastAsia="en-US" w:bidi="ar-SA"/>
        </w:rPr>
        <w:t>Maclaine and Others v Gatty and Another</w:t>
      </w:r>
      <w:r w:rsidRPr="00E74D62">
        <w:rPr>
          <w:rFonts w:ascii="Calibri" w:eastAsia="Calibri" w:hAnsi="Calibri" w:cs="Times New Roman"/>
          <w:kern w:val="0"/>
          <w:sz w:val="22"/>
          <w:szCs w:val="22"/>
          <w:lang w:eastAsia="en-US" w:bidi="ar-SA"/>
        </w:rPr>
        <w:t xml:space="preserve"> [1921] 1 A.C. 376</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24367C">
        <w:rPr>
          <w:rFonts w:ascii="Calibri" w:eastAsia="Calibri" w:hAnsi="Calibri" w:cs="Times New Roman"/>
          <w:i/>
          <w:kern w:val="0"/>
          <w:sz w:val="22"/>
          <w:szCs w:val="22"/>
          <w:lang w:eastAsia="en-US" w:bidi="ar-SA"/>
        </w:rPr>
        <w:t>McClure Naismith v Harley Haddow Partnership</w:t>
      </w:r>
      <w:r>
        <w:rPr>
          <w:rFonts w:ascii="Calibri" w:eastAsia="Calibri" w:hAnsi="Calibri" w:cs="Times New Roman"/>
          <w:kern w:val="0"/>
          <w:sz w:val="22"/>
          <w:szCs w:val="22"/>
          <w:lang w:eastAsia="en-US" w:bidi="ar-SA"/>
        </w:rPr>
        <w:t xml:space="preserve"> </w:t>
      </w:r>
      <w:r w:rsidRPr="0024367C">
        <w:rPr>
          <w:rFonts w:ascii="Calibri" w:eastAsia="Calibri" w:hAnsi="Calibri" w:cs="Times New Roman"/>
          <w:kern w:val="0"/>
          <w:sz w:val="22"/>
          <w:szCs w:val="22"/>
          <w:lang w:eastAsia="en-US" w:bidi="ar-SA"/>
        </w:rPr>
        <w:t>[2017] CSOH 125</w:t>
      </w:r>
      <w:r>
        <w:rPr>
          <w:rFonts w:ascii="Calibri" w:eastAsia="Calibri" w:hAnsi="Calibri" w:cs="Times New Roman"/>
          <w:kern w:val="0"/>
          <w:sz w:val="22"/>
          <w:szCs w:val="22"/>
          <w:lang w:eastAsia="en-US" w:bidi="ar-SA"/>
        </w:rPr>
        <w:t xml:space="preserve">; </w:t>
      </w:r>
      <w:r w:rsidRPr="0024367C">
        <w:rPr>
          <w:rFonts w:ascii="Calibri" w:eastAsia="Calibri" w:hAnsi="Calibri" w:cs="Times New Roman"/>
          <w:kern w:val="0"/>
          <w:sz w:val="22"/>
          <w:szCs w:val="22"/>
          <w:lang w:eastAsia="en-US" w:bidi="ar-SA"/>
        </w:rPr>
        <w:t>2018 S.C.L.R. 257</w:t>
      </w:r>
      <w:r w:rsidRPr="00DD4833">
        <w:rPr>
          <w:rFonts w:ascii="Calibri" w:eastAsia="Calibri" w:hAnsi="Calibri" w:cs="Times New Roman"/>
          <w:kern w:val="0"/>
          <w:sz w:val="22"/>
          <w:szCs w:val="22"/>
          <w:lang w:eastAsia="en-US" w:bidi="ar-SA"/>
        </w:rPr>
        <w:t xml:space="preserve"> </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24367C">
        <w:rPr>
          <w:rFonts w:ascii="Calibri" w:eastAsia="Calibri" w:hAnsi="Calibri" w:cs="Times New Roman"/>
          <w:i/>
          <w:kern w:val="0"/>
          <w:sz w:val="22"/>
          <w:szCs w:val="22"/>
          <w:lang w:eastAsia="en-US" w:bidi="ar-SA"/>
        </w:rPr>
        <w:t>MT Højgaard A/S v E.ON Climate &amp; Anor</w:t>
      </w:r>
      <w:r>
        <w:rPr>
          <w:rFonts w:ascii="Calibri" w:eastAsia="Calibri" w:hAnsi="Calibri" w:cs="Times New Roman"/>
          <w:kern w:val="0"/>
          <w:sz w:val="22"/>
          <w:szCs w:val="22"/>
          <w:lang w:eastAsia="en-US" w:bidi="ar-SA"/>
        </w:rPr>
        <w:t xml:space="preserve"> </w:t>
      </w:r>
      <w:r w:rsidRPr="0024367C">
        <w:rPr>
          <w:rFonts w:ascii="Calibri" w:eastAsia="Calibri" w:hAnsi="Calibri" w:cs="Times New Roman"/>
          <w:kern w:val="0"/>
          <w:sz w:val="22"/>
          <w:szCs w:val="22"/>
          <w:lang w:eastAsia="en-US" w:bidi="ar-SA"/>
        </w:rPr>
        <w:t>[2017] UKSC 59</w:t>
      </w:r>
      <w:r>
        <w:rPr>
          <w:rFonts w:ascii="Calibri" w:eastAsia="Calibri" w:hAnsi="Calibri" w:cs="Times New Roman"/>
          <w:kern w:val="0"/>
          <w:sz w:val="22"/>
          <w:szCs w:val="22"/>
          <w:lang w:eastAsia="en-US" w:bidi="ar-SA"/>
        </w:rPr>
        <w:t xml:space="preserve">; </w:t>
      </w:r>
      <w:r w:rsidRPr="0024367C">
        <w:rPr>
          <w:rFonts w:ascii="Calibri" w:eastAsia="Calibri" w:hAnsi="Calibri" w:cs="Times New Roman"/>
          <w:kern w:val="0"/>
          <w:sz w:val="22"/>
          <w:szCs w:val="22"/>
          <w:lang w:eastAsia="en-US" w:bidi="ar-SA"/>
        </w:rPr>
        <w:t xml:space="preserve">[2018] 2 All E.R. 22 </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24367C">
        <w:rPr>
          <w:rFonts w:ascii="Calibri" w:eastAsia="Calibri" w:hAnsi="Calibri" w:cs="Times New Roman"/>
          <w:i/>
          <w:kern w:val="0"/>
          <w:sz w:val="22"/>
          <w:szCs w:val="22"/>
          <w:lang w:eastAsia="en-US" w:bidi="ar-SA"/>
        </w:rPr>
        <w:t>Musselburgh &amp; Fisherrow Co-operative Society Ltd v Mowlem Scotland Ltd</w:t>
      </w:r>
      <w:r>
        <w:rPr>
          <w:rFonts w:ascii="Calibri" w:eastAsia="Calibri" w:hAnsi="Calibri" w:cs="Times New Roman"/>
          <w:kern w:val="0"/>
          <w:sz w:val="22"/>
          <w:szCs w:val="22"/>
          <w:lang w:eastAsia="en-US" w:bidi="ar-SA"/>
        </w:rPr>
        <w:t xml:space="preserve"> </w:t>
      </w:r>
      <w:r w:rsidRPr="0024367C">
        <w:rPr>
          <w:rFonts w:ascii="Calibri" w:eastAsia="Calibri" w:hAnsi="Calibri" w:cs="Times New Roman"/>
          <w:kern w:val="0"/>
          <w:sz w:val="22"/>
          <w:szCs w:val="22"/>
          <w:lang w:eastAsia="en-US" w:bidi="ar-SA"/>
        </w:rPr>
        <w:t>2004 S.C.L.R. 412</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24367C">
        <w:rPr>
          <w:rFonts w:ascii="Calibri" w:eastAsia="Calibri" w:hAnsi="Calibri" w:cs="Times New Roman"/>
          <w:i/>
          <w:kern w:val="0"/>
          <w:sz w:val="22"/>
          <w:szCs w:val="22"/>
          <w:lang w:eastAsia="en-US" w:bidi="ar-SA"/>
        </w:rPr>
        <w:t>Nairn v South-East Lancashire Insurance Co Ltd</w:t>
      </w:r>
      <w:r>
        <w:rPr>
          <w:rFonts w:ascii="Calibri" w:eastAsia="Calibri" w:hAnsi="Calibri" w:cs="Times New Roman"/>
          <w:kern w:val="0"/>
          <w:sz w:val="22"/>
          <w:szCs w:val="22"/>
          <w:lang w:eastAsia="en-US" w:bidi="ar-SA"/>
        </w:rPr>
        <w:t xml:space="preserve"> </w:t>
      </w:r>
      <w:r w:rsidRPr="0024367C">
        <w:rPr>
          <w:rFonts w:ascii="Calibri" w:eastAsia="Calibri" w:hAnsi="Calibri" w:cs="Times New Roman"/>
          <w:kern w:val="0"/>
          <w:sz w:val="22"/>
          <w:szCs w:val="22"/>
          <w:lang w:eastAsia="en-US" w:bidi="ar-SA"/>
        </w:rPr>
        <w:t>1930 S.C. 606</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8011B2">
        <w:rPr>
          <w:rFonts w:ascii="Calibri" w:eastAsia="Calibri" w:hAnsi="Calibri" w:cs="Times New Roman"/>
          <w:i/>
          <w:kern w:val="0"/>
          <w:sz w:val="22"/>
          <w:szCs w:val="22"/>
          <w:lang w:eastAsia="en-US" w:bidi="ar-SA"/>
        </w:rPr>
        <w:t xml:space="preserve">NV Devos Gebroeder v Sunderland Sportswear Ltd (No 2) </w:t>
      </w:r>
      <w:r w:rsidRPr="008011B2">
        <w:rPr>
          <w:rFonts w:ascii="Calibri" w:eastAsia="Calibri" w:hAnsi="Calibri" w:cs="Times New Roman"/>
          <w:kern w:val="0"/>
          <w:sz w:val="22"/>
          <w:szCs w:val="22"/>
          <w:lang w:eastAsia="en-US" w:bidi="ar-SA"/>
        </w:rPr>
        <w:t>1990 S.C. 291</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8011B2">
        <w:rPr>
          <w:rFonts w:ascii="Calibri" w:eastAsia="Calibri" w:hAnsi="Calibri" w:cs="Times New Roman"/>
          <w:i/>
          <w:kern w:val="0"/>
          <w:sz w:val="22"/>
          <w:szCs w:val="22"/>
          <w:lang w:eastAsia="en-US" w:bidi="ar-SA"/>
        </w:rPr>
        <w:t>Safdar v Devlin</w:t>
      </w:r>
      <w:r>
        <w:rPr>
          <w:rFonts w:ascii="Calibri" w:eastAsia="Calibri" w:hAnsi="Calibri" w:cs="Times New Roman"/>
          <w:kern w:val="0"/>
          <w:sz w:val="22"/>
          <w:szCs w:val="22"/>
          <w:lang w:eastAsia="en-US" w:bidi="ar-SA"/>
        </w:rPr>
        <w:t xml:space="preserve"> </w:t>
      </w:r>
      <w:r w:rsidRPr="008011B2">
        <w:rPr>
          <w:rFonts w:ascii="Calibri" w:eastAsia="Calibri" w:hAnsi="Calibri" w:cs="Times New Roman"/>
          <w:kern w:val="0"/>
          <w:sz w:val="22"/>
          <w:szCs w:val="22"/>
          <w:lang w:eastAsia="en-US" w:bidi="ar-SA"/>
        </w:rPr>
        <w:t>1995 S.L.T. 530</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8011B2">
        <w:rPr>
          <w:rFonts w:ascii="Calibri" w:eastAsia="Calibri" w:hAnsi="Calibri" w:cs="Times New Roman"/>
          <w:i/>
          <w:kern w:val="0"/>
          <w:sz w:val="22"/>
          <w:szCs w:val="22"/>
          <w:lang w:eastAsia="en-US" w:bidi="ar-SA"/>
        </w:rPr>
        <w:t>The Royal Bank of Scotland P</w:t>
      </w:r>
      <w:r>
        <w:rPr>
          <w:rFonts w:ascii="Calibri" w:eastAsia="Calibri" w:hAnsi="Calibri" w:cs="Times New Roman"/>
          <w:i/>
          <w:kern w:val="0"/>
          <w:sz w:val="22"/>
          <w:szCs w:val="22"/>
          <w:lang w:eastAsia="en-US" w:bidi="ar-SA"/>
        </w:rPr>
        <w:t>LC</w:t>
      </w:r>
      <w:r w:rsidRPr="008011B2">
        <w:rPr>
          <w:rFonts w:ascii="Calibri" w:eastAsia="Calibri" w:hAnsi="Calibri" w:cs="Times New Roman"/>
          <w:i/>
          <w:kern w:val="0"/>
          <w:sz w:val="22"/>
          <w:szCs w:val="22"/>
          <w:lang w:eastAsia="en-US" w:bidi="ar-SA"/>
        </w:rPr>
        <w:t xml:space="preserve"> v Holmes</w:t>
      </w:r>
      <w:r>
        <w:rPr>
          <w:rFonts w:ascii="Calibri" w:eastAsia="Calibri" w:hAnsi="Calibri" w:cs="Times New Roman"/>
          <w:kern w:val="0"/>
          <w:sz w:val="22"/>
          <w:szCs w:val="22"/>
          <w:lang w:eastAsia="en-US" w:bidi="ar-SA"/>
        </w:rPr>
        <w:t xml:space="preserve"> 1999 S.L.T. 563</w:t>
      </w:r>
    </w:p>
    <w:p w:rsidR="00B70DBB" w:rsidRDefault="00B70DBB" w:rsidP="00B70DBB">
      <w:pPr>
        <w:suppressAutoHyphens w:val="0"/>
        <w:rPr>
          <w:rFonts w:ascii="Calibri" w:eastAsia="Calibri" w:hAnsi="Calibri" w:cs="Times New Roman"/>
          <w:kern w:val="0"/>
          <w:sz w:val="22"/>
          <w:szCs w:val="22"/>
          <w:lang w:eastAsia="en-US" w:bidi="ar-SA"/>
        </w:rPr>
      </w:pPr>
    </w:p>
    <w:p w:rsidR="00B70DBB" w:rsidRDefault="00B70DBB" w:rsidP="00B70DBB">
      <w:pPr>
        <w:suppressAutoHyphens w:val="0"/>
        <w:rPr>
          <w:rFonts w:ascii="Calibri" w:eastAsia="Calibri" w:hAnsi="Calibri" w:cs="Times New Roman"/>
          <w:kern w:val="0"/>
          <w:sz w:val="22"/>
          <w:szCs w:val="22"/>
          <w:lang w:eastAsia="en-US" w:bidi="ar-SA"/>
        </w:rPr>
      </w:pPr>
      <w:r w:rsidRPr="008011B2">
        <w:rPr>
          <w:rFonts w:ascii="Calibri" w:eastAsia="Calibri" w:hAnsi="Calibri" w:cs="Times New Roman"/>
          <w:i/>
          <w:kern w:val="0"/>
          <w:sz w:val="22"/>
          <w:szCs w:val="22"/>
          <w:lang w:eastAsia="en-US" w:bidi="ar-SA"/>
        </w:rPr>
        <w:t>William Grant &amp; Sons Ltd v Glen Catrine Bonded Warehouse Ltd</w:t>
      </w:r>
      <w:r w:rsidRPr="008011B2">
        <w:rPr>
          <w:rFonts w:ascii="Calibri" w:eastAsia="Calibri" w:hAnsi="Calibri" w:cs="Times New Roman"/>
          <w:kern w:val="0"/>
          <w:sz w:val="22"/>
          <w:szCs w:val="22"/>
          <w:lang w:eastAsia="en-US" w:bidi="ar-SA"/>
        </w:rPr>
        <w:t xml:space="preserve"> (No</w:t>
      </w:r>
      <w:r>
        <w:rPr>
          <w:rFonts w:ascii="Calibri" w:eastAsia="Calibri" w:hAnsi="Calibri" w:cs="Times New Roman"/>
          <w:kern w:val="0"/>
          <w:sz w:val="22"/>
          <w:szCs w:val="22"/>
          <w:lang w:eastAsia="en-US" w:bidi="ar-SA"/>
        </w:rPr>
        <w:t xml:space="preserve"> </w:t>
      </w:r>
      <w:r w:rsidRPr="008011B2">
        <w:rPr>
          <w:rFonts w:ascii="Calibri" w:eastAsia="Calibri" w:hAnsi="Calibri" w:cs="Times New Roman"/>
          <w:kern w:val="0"/>
          <w:sz w:val="22"/>
          <w:szCs w:val="22"/>
          <w:lang w:eastAsia="en-US" w:bidi="ar-SA"/>
        </w:rPr>
        <w:t>3)</w:t>
      </w:r>
      <w:r w:rsidRPr="008011B2">
        <w:t xml:space="preserve"> </w:t>
      </w:r>
      <w:r w:rsidRPr="008011B2">
        <w:rPr>
          <w:rFonts w:ascii="Calibri" w:eastAsia="Calibri" w:hAnsi="Calibri" w:cs="Times New Roman"/>
          <w:kern w:val="0"/>
          <w:sz w:val="22"/>
          <w:szCs w:val="22"/>
          <w:lang w:eastAsia="en-US" w:bidi="ar-SA"/>
        </w:rPr>
        <w:t>2001 S.C. 901</w:t>
      </w:r>
    </w:p>
    <w:p w:rsidR="00B70DBB" w:rsidRDefault="00B70DBB" w:rsidP="00B70DBB">
      <w:pPr>
        <w:suppressAutoHyphens w:val="0"/>
        <w:rPr>
          <w:rFonts w:ascii="Calibri" w:eastAsia="Calibri" w:hAnsi="Calibri" w:cs="Times New Roman"/>
          <w:kern w:val="0"/>
          <w:sz w:val="22"/>
          <w:szCs w:val="22"/>
          <w:lang w:eastAsia="en-US" w:bidi="ar-SA"/>
        </w:rPr>
      </w:pPr>
    </w:p>
    <w:p w:rsidR="00B70DBB" w:rsidRPr="00A842E0" w:rsidRDefault="00B70DBB" w:rsidP="00B70DBB">
      <w:pPr>
        <w:suppressAutoHyphens w:val="0"/>
        <w:spacing w:after="200"/>
        <w:rPr>
          <w:rFonts w:ascii="Calibri" w:eastAsia="Calibri" w:hAnsi="Calibri" w:cs="Times New Roman"/>
          <w:kern w:val="0"/>
          <w:sz w:val="22"/>
          <w:szCs w:val="22"/>
          <w:lang w:eastAsia="en-US" w:bidi="ar-SA"/>
        </w:rPr>
      </w:pPr>
    </w:p>
    <w:p w:rsidR="00B70DBB" w:rsidRPr="00A842E0" w:rsidRDefault="00B70DBB" w:rsidP="00B70DBB">
      <w:pPr>
        <w:suppressAutoHyphens w:val="0"/>
        <w:spacing w:after="200"/>
        <w:rPr>
          <w:rFonts w:ascii="Calibri" w:eastAsia="Calibri" w:hAnsi="Calibri" w:cs="Times New Roman"/>
          <w:kern w:val="0"/>
          <w:sz w:val="22"/>
          <w:szCs w:val="22"/>
          <w:lang w:eastAsia="en-US" w:bidi="ar-SA"/>
        </w:rPr>
      </w:pPr>
      <w:r w:rsidRPr="00A842E0">
        <w:rPr>
          <w:rFonts w:ascii="Calibri" w:eastAsia="Calibri" w:hAnsi="Calibri" w:cs="Times New Roman"/>
          <w:i/>
          <w:kern w:val="0"/>
          <w:sz w:val="22"/>
          <w:szCs w:val="22"/>
          <w:lang w:eastAsia="en-US" w:bidi="ar-SA"/>
        </w:rPr>
        <w:t xml:space="preserve">Young </w:t>
      </w:r>
      <w:r w:rsidRPr="00A842E0">
        <w:rPr>
          <w:rFonts w:ascii="Calibri" w:eastAsia="Calibri" w:hAnsi="Calibri" w:cs="Times New Roman"/>
          <w:kern w:val="0"/>
          <w:sz w:val="22"/>
          <w:szCs w:val="22"/>
          <w:lang w:eastAsia="en-US" w:bidi="ar-SA"/>
        </w:rPr>
        <w:t>(instructed by</w:t>
      </w:r>
      <w:r w:rsidRPr="00A842E0">
        <w:t xml:space="preserve"> </w:t>
      </w:r>
      <w:r w:rsidRPr="00A842E0">
        <w:rPr>
          <w:rFonts w:ascii="Calibri" w:eastAsia="Calibri" w:hAnsi="Calibri" w:cs="Times New Roman"/>
          <w:kern w:val="0"/>
          <w:sz w:val="22"/>
          <w:szCs w:val="22"/>
          <w:lang w:eastAsia="en-US" w:bidi="ar-SA"/>
        </w:rPr>
        <w:t xml:space="preserve">MacRoberts LLP) for the Pursuer </w:t>
      </w:r>
    </w:p>
    <w:p w:rsidR="00B70DBB" w:rsidRPr="00A842E0" w:rsidRDefault="00B70DBB" w:rsidP="00B70DBB">
      <w:pPr>
        <w:suppressAutoHyphens w:val="0"/>
        <w:spacing w:after="200"/>
        <w:rPr>
          <w:rFonts w:ascii="Calibri" w:eastAsia="Calibri" w:hAnsi="Calibri" w:cs="Times New Roman"/>
          <w:kern w:val="0"/>
          <w:sz w:val="22"/>
          <w:szCs w:val="22"/>
          <w:lang w:eastAsia="en-US" w:bidi="ar-SA"/>
        </w:rPr>
      </w:pPr>
      <w:r w:rsidRPr="00A842E0">
        <w:rPr>
          <w:rFonts w:ascii="Calibri" w:eastAsia="Calibri" w:hAnsi="Calibri" w:cs="Times New Roman"/>
          <w:i/>
          <w:kern w:val="0"/>
          <w:sz w:val="22"/>
          <w:szCs w:val="22"/>
          <w:lang w:eastAsia="en-US" w:bidi="ar-SA"/>
        </w:rPr>
        <w:t xml:space="preserve">Morton </w:t>
      </w:r>
      <w:r w:rsidRPr="00A842E0">
        <w:rPr>
          <w:rFonts w:ascii="Calibri" w:eastAsia="Calibri" w:hAnsi="Calibri" w:cs="Times New Roman"/>
          <w:kern w:val="0"/>
          <w:sz w:val="22"/>
          <w:szCs w:val="22"/>
          <w:lang w:eastAsia="en-US" w:bidi="ar-SA"/>
        </w:rPr>
        <w:t>(solicitor advocate) (instructed by BTO Solicitors LLP) for the Second Defender</w:t>
      </w:r>
    </w:p>
    <w:p w:rsidR="00B70DBB" w:rsidRDefault="00B70DBB" w:rsidP="00B70DBB">
      <w:pPr>
        <w:suppressAutoHyphens w:val="0"/>
        <w:spacing w:after="200"/>
        <w:rPr>
          <w:rFonts w:ascii="Calibri" w:eastAsia="Calibri" w:hAnsi="Calibri" w:cs="Times New Roman"/>
          <w:kern w:val="0"/>
          <w:sz w:val="22"/>
          <w:szCs w:val="22"/>
          <w:lang w:eastAsia="en-US" w:bidi="ar-SA"/>
        </w:rPr>
      </w:pPr>
      <w:r w:rsidRPr="00A842E0">
        <w:rPr>
          <w:rFonts w:ascii="Calibri" w:eastAsia="Calibri" w:hAnsi="Calibri" w:cs="Times New Roman"/>
          <w:i/>
          <w:kern w:val="0"/>
          <w:sz w:val="22"/>
          <w:szCs w:val="22"/>
          <w:lang w:eastAsia="en-US" w:bidi="ar-SA"/>
        </w:rPr>
        <w:t>Jones QC</w:t>
      </w:r>
      <w:r w:rsidRPr="00A842E0">
        <w:rPr>
          <w:rFonts w:ascii="Calibri" w:eastAsia="Calibri" w:hAnsi="Calibri" w:cs="Times New Roman"/>
          <w:kern w:val="0"/>
          <w:sz w:val="22"/>
          <w:szCs w:val="22"/>
          <w:lang w:eastAsia="en-US" w:bidi="ar-SA"/>
        </w:rPr>
        <w:t xml:space="preserve"> (solicitor advocate) (instructed by Brodies LLP) for the Third Defender</w:t>
      </w:r>
    </w:p>
    <w:p w:rsidR="00B70DBB" w:rsidRPr="00A842E0" w:rsidRDefault="00B70DBB" w:rsidP="00B70DBB">
      <w:pPr>
        <w:suppressAutoHyphens w:val="0"/>
        <w:spacing w:after="200"/>
        <w:rPr>
          <w:rFonts w:ascii="Calibri" w:eastAsia="Calibri" w:hAnsi="Calibri" w:cs="Times New Roman"/>
          <w:kern w:val="0"/>
          <w:sz w:val="22"/>
          <w:szCs w:val="22"/>
          <w:lang w:eastAsia="en-US" w:bidi="ar-SA"/>
        </w:rPr>
      </w:pPr>
    </w:p>
    <w:p w:rsidR="004F065D" w:rsidRDefault="004F065D"/>
    <w:sectPr w:rsidR="004F0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oto Sans CJK SC">
    <w:altName w:val="Times New Roman"/>
    <w:charset w:val="01"/>
    <w:family w:val="auto"/>
    <w:pitch w:val="variable"/>
  </w:font>
  <w:font w:name="Lohit Devanagari">
    <w:altName w:val="Times New Roman"/>
    <w:charset w:val="01"/>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45D"/>
    <w:multiLevelType w:val="hybridMultilevel"/>
    <w:tmpl w:val="E5F0DEDE"/>
    <w:lvl w:ilvl="0" w:tplc="B41AE4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BB"/>
    <w:rsid w:val="003D2EE7"/>
    <w:rsid w:val="004F065D"/>
    <w:rsid w:val="008D2366"/>
    <w:rsid w:val="00B70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BB"/>
    <w:pPr>
      <w:suppressAutoHyphens/>
      <w:spacing w:after="0" w:line="240" w:lineRule="auto"/>
    </w:pPr>
    <w:rPr>
      <w:rFonts w:ascii="Arial" w:eastAsia="Noto Sans CJK SC" w:hAnsi="Arial" w:cs="Lohit Devanagar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DBB"/>
    <w:pPr>
      <w:ind w:left="720"/>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BB"/>
    <w:pPr>
      <w:suppressAutoHyphens/>
      <w:spacing w:after="0" w:line="240" w:lineRule="auto"/>
    </w:pPr>
    <w:rPr>
      <w:rFonts w:ascii="Arial" w:eastAsia="Noto Sans CJK SC" w:hAnsi="Arial" w:cs="Lohit Devanagar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DBB"/>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dc:creator>
  <cp:lastModifiedBy>Phillip</cp:lastModifiedBy>
  <cp:revision>3</cp:revision>
  <dcterms:created xsi:type="dcterms:W3CDTF">2020-04-06T20:01:00Z</dcterms:created>
  <dcterms:modified xsi:type="dcterms:W3CDTF">2020-04-10T16:43:00Z</dcterms:modified>
</cp:coreProperties>
</file>