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52E04" w:rsidRDefault="00FE39D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Figure 4a: Countries with a proportional change in female ST use between 2015 and 2020 estimates.</w:t>
      </w:r>
    </w:p>
    <w:p w:rsidR="00452E04" w:rsidRDefault="00452E0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52E04" w:rsidRDefault="00FE39DF">
      <w:pPr>
        <w:keepNext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9BCEA4D" wp14:editId="680AB97C">
            <wp:extent cx="5731510" cy="2745740"/>
            <wp:effectExtent l="0" t="0" r="2540" b="16510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</wp:inline>
        </w:drawing>
      </w:r>
      <w:bookmarkStart w:id="0" w:name="_GoBack"/>
      <w:bookmarkEnd w:id="0"/>
    </w:p>
    <w:p w:rsidR="00452E04" w:rsidRDefault="00452E0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52E04" w:rsidRDefault="00FE39D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Figure 4b. Countries with a proportional change in male ST use between 2015 and 2020 estimates.</w:t>
      </w:r>
    </w:p>
    <w:p w:rsidR="00452E04" w:rsidRDefault="00452E0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52E04" w:rsidRDefault="00FE39DF">
      <w:pPr>
        <w:keepNext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DCACD20" wp14:editId="05450EAB">
            <wp:extent cx="5731510" cy="2745740"/>
            <wp:effectExtent l="0" t="0" r="2540" b="16510"/>
            <wp:docPr id="5" name="Chart 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452E04" w:rsidRDefault="00452E04">
      <w:pPr>
        <w:pBdr>
          <w:top w:val="nil"/>
          <w:left w:val="nil"/>
          <w:bottom w:val="nil"/>
          <w:right w:val="nil"/>
          <w:between w:val="nil"/>
        </w:pBdr>
        <w:spacing w:after="200" w:line="240" w:lineRule="auto"/>
      </w:pPr>
    </w:p>
    <w:sectPr w:rsidR="00452E04">
      <w:pgSz w:w="11906" w:h="16838"/>
      <w:pgMar w:top="1440" w:right="1440" w:bottom="1440" w:left="1440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52E04"/>
    <w:rsid w:val="00452E04"/>
    <w:rsid w:val="00FE39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B8E35FA-2119-4A7F-9663-C337D75323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Caption">
    <w:name w:val="caption"/>
    <w:basedOn w:val="Normal"/>
    <w:next w:val="Normal"/>
    <w:uiPriority w:val="35"/>
    <w:unhideWhenUsed/>
    <w:qFormat/>
    <w:rsid w:val="00C00F1B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NormalWeb">
    <w:name w:val="Normal (Web)"/>
    <w:basedOn w:val="Normal"/>
    <w:uiPriority w:val="99"/>
    <w:unhideWhenUsed/>
    <w:rsid w:val="00C00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chart" Target="charts/chart2.xml"/><Relationship Id="rId5" Type="http://schemas.openxmlformats.org/officeDocument/2006/relationships/chart" Target="charts/chart1.xml"/><Relationship Id="rId4" Type="http://schemas.openxmlformats.org/officeDocument/2006/relationships/webSettings" Target="webSettings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'countries where change(F)'!$B$2:$B$56</c:f>
              <c:strCache>
                <c:ptCount val="55"/>
                <c:pt idx="0">
                  <c:v>Botswana</c:v>
                </c:pt>
                <c:pt idx="1">
                  <c:v>Bhutan</c:v>
                </c:pt>
                <c:pt idx="2">
                  <c:v>Cambodia</c:v>
                </c:pt>
                <c:pt idx="3">
                  <c:v>India</c:v>
                </c:pt>
                <c:pt idx="4">
                  <c:v>Bangladesh</c:v>
                </c:pt>
                <c:pt idx="5">
                  <c:v>Benin</c:v>
                </c:pt>
                <c:pt idx="6">
                  <c:v>South Africa</c:v>
                </c:pt>
                <c:pt idx="7">
                  <c:v>Sri Lanka</c:v>
                </c:pt>
                <c:pt idx="8">
                  <c:v>Yemen</c:v>
                </c:pt>
                <c:pt idx="9">
                  <c:v>Maldives</c:v>
                </c:pt>
                <c:pt idx="10">
                  <c:v>Nepal</c:v>
                </c:pt>
                <c:pt idx="11">
                  <c:v>Latvia</c:v>
                </c:pt>
                <c:pt idx="12">
                  <c:v>Sudan</c:v>
                </c:pt>
                <c:pt idx="13">
                  <c:v>Austria</c:v>
                </c:pt>
                <c:pt idx="14">
                  <c:v>Philippines</c:v>
                </c:pt>
                <c:pt idx="15">
                  <c:v>Egypt</c:v>
                </c:pt>
                <c:pt idx="16">
                  <c:v>Mongolia</c:v>
                </c:pt>
                <c:pt idx="17">
                  <c:v>Mexico</c:v>
                </c:pt>
                <c:pt idx="18">
                  <c:v>Vietnam</c:v>
                </c:pt>
                <c:pt idx="19">
                  <c:v>Iraq</c:v>
                </c:pt>
                <c:pt idx="20">
                  <c:v>Saudi Arabia</c:v>
                </c:pt>
                <c:pt idx="21">
                  <c:v>Kyrgyzstan</c:v>
                </c:pt>
                <c:pt idx="22">
                  <c:v>Australia</c:v>
                </c:pt>
                <c:pt idx="23">
                  <c:v>Switzerland</c:v>
                </c:pt>
                <c:pt idx="24">
                  <c:v>Russia</c:v>
                </c:pt>
                <c:pt idx="25">
                  <c:v>Eritrea</c:v>
                </c:pt>
                <c:pt idx="26">
                  <c:v>Denmark</c:v>
                </c:pt>
                <c:pt idx="27">
                  <c:v>Uzbekistan</c:v>
                </c:pt>
                <c:pt idx="28">
                  <c:v>Canada</c:v>
                </c:pt>
                <c:pt idx="29">
                  <c:v>Azerbaijan</c:v>
                </c:pt>
                <c:pt idx="30">
                  <c:v>Ukraine</c:v>
                </c:pt>
                <c:pt idx="31">
                  <c:v>Norway</c:v>
                </c:pt>
                <c:pt idx="32">
                  <c:v>Sweden</c:v>
                </c:pt>
                <c:pt idx="33">
                  <c:v>Finland</c:v>
                </c:pt>
                <c:pt idx="34">
                  <c:v>Slovakia</c:v>
                </c:pt>
                <c:pt idx="35">
                  <c:v>Malaysia</c:v>
                </c:pt>
                <c:pt idx="36">
                  <c:v>Algeria</c:v>
                </c:pt>
                <c:pt idx="37">
                  <c:v>Nigeria</c:v>
                </c:pt>
                <c:pt idx="38">
                  <c:v>Rwanda</c:v>
                </c:pt>
                <c:pt idx="39">
                  <c:v>Ethiopia</c:v>
                </c:pt>
                <c:pt idx="40">
                  <c:v>Liberia</c:v>
                </c:pt>
                <c:pt idx="41">
                  <c:v>Senegal</c:v>
                </c:pt>
                <c:pt idx="42">
                  <c:v>Czech Republic</c:v>
                </c:pt>
                <c:pt idx="43">
                  <c:v>Swaziland</c:v>
                </c:pt>
                <c:pt idx="44">
                  <c:v>Pakistan</c:v>
                </c:pt>
                <c:pt idx="45">
                  <c:v>Uganda</c:v>
                </c:pt>
                <c:pt idx="46">
                  <c:v>Kenya</c:v>
                </c:pt>
                <c:pt idx="47">
                  <c:v>Indonesia</c:v>
                </c:pt>
                <c:pt idx="48">
                  <c:v>Cameroon</c:v>
                </c:pt>
                <c:pt idx="49">
                  <c:v>Iceland</c:v>
                </c:pt>
                <c:pt idx="50">
                  <c:v>Zambia</c:v>
                </c:pt>
                <c:pt idx="51">
                  <c:v>Laos</c:v>
                </c:pt>
                <c:pt idx="52">
                  <c:v>Burkina Faso</c:v>
                </c:pt>
                <c:pt idx="53">
                  <c:v>Myanmar</c:v>
                </c:pt>
                <c:pt idx="54">
                  <c:v>Timor Leste</c:v>
                </c:pt>
              </c:strCache>
            </c:strRef>
          </c:cat>
          <c:val>
            <c:numRef>
              <c:f>'countries where change(F)'!$I$2:$I$56</c:f>
              <c:numCache>
                <c:formatCode>0.0000</c:formatCode>
                <c:ptCount val="55"/>
                <c:pt idx="0" formatCode="General">
                  <c:v>-7.9999999999999988E-2</c:v>
                </c:pt>
                <c:pt idx="1">
                  <c:v>-6.3000000000000014E-2</c:v>
                </c:pt>
                <c:pt idx="2" formatCode="General">
                  <c:v>-6.2000000000000027E-2</c:v>
                </c:pt>
                <c:pt idx="3" formatCode="General">
                  <c:v>-5.5999999999999994E-2</c:v>
                </c:pt>
                <c:pt idx="4" formatCode="General">
                  <c:v>-3.0999999999999972E-2</c:v>
                </c:pt>
                <c:pt idx="5" formatCode="General">
                  <c:v>-2.7000000000000003E-2</c:v>
                </c:pt>
                <c:pt idx="6">
                  <c:v>-2.4999999999999994E-2</c:v>
                </c:pt>
                <c:pt idx="7">
                  <c:v>-1.6000000000000007E-2</c:v>
                </c:pt>
                <c:pt idx="8" formatCode="General">
                  <c:v>-1.3999999999999999E-2</c:v>
                </c:pt>
                <c:pt idx="9" formatCode="General">
                  <c:v>-1.2000000000000002E-2</c:v>
                </c:pt>
                <c:pt idx="10" formatCode="General">
                  <c:v>-1.1999999999999997E-2</c:v>
                </c:pt>
                <c:pt idx="11" formatCode="General">
                  <c:v>-9.0000000000000011E-3</c:v>
                </c:pt>
                <c:pt idx="12" formatCode="General">
                  <c:v>-8.0000000000000002E-3</c:v>
                </c:pt>
                <c:pt idx="13" formatCode="General">
                  <c:v>-6.000000000000001E-3</c:v>
                </c:pt>
                <c:pt idx="14" formatCode="General">
                  <c:v>-5.000000000000001E-3</c:v>
                </c:pt>
                <c:pt idx="15" formatCode="General">
                  <c:v>-3.0000000000000001E-3</c:v>
                </c:pt>
                <c:pt idx="16" formatCode="General">
                  <c:v>-3.0000000000000001E-3</c:v>
                </c:pt>
                <c:pt idx="17">
                  <c:v>-3.0000000000000001E-3</c:v>
                </c:pt>
                <c:pt idx="18">
                  <c:v>-2.9999999999999992E-3</c:v>
                </c:pt>
                <c:pt idx="19" formatCode="General">
                  <c:v>-2.8E-3</c:v>
                </c:pt>
                <c:pt idx="20">
                  <c:v>-2E-3</c:v>
                </c:pt>
                <c:pt idx="21">
                  <c:v>-2E-3</c:v>
                </c:pt>
                <c:pt idx="22" formatCode="General">
                  <c:v>-1.0999999999999994E-3</c:v>
                </c:pt>
                <c:pt idx="23">
                  <c:v>-1.0000000000000009E-3</c:v>
                </c:pt>
                <c:pt idx="24" formatCode="General">
                  <c:v>-1E-3</c:v>
                </c:pt>
                <c:pt idx="25">
                  <c:v>-1E-3</c:v>
                </c:pt>
                <c:pt idx="26" formatCode="General">
                  <c:v>-9.9999999999999915E-4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0</c:v>
                </c:pt>
                <c:pt idx="31" formatCode="General">
                  <c:v>0</c:v>
                </c:pt>
                <c:pt idx="32">
                  <c:v>0</c:v>
                </c:pt>
                <c:pt idx="33" formatCode="General">
                  <c:v>1E-3</c:v>
                </c:pt>
                <c:pt idx="34">
                  <c:v>1.0000000000000009E-3</c:v>
                </c:pt>
                <c:pt idx="35" formatCode="General">
                  <c:v>2E-3</c:v>
                </c:pt>
                <c:pt idx="36">
                  <c:v>4.0000000000000001E-3</c:v>
                </c:pt>
                <c:pt idx="37">
                  <c:v>4.000000000000001E-3</c:v>
                </c:pt>
                <c:pt idx="38">
                  <c:v>5.7000000000000002E-3</c:v>
                </c:pt>
                <c:pt idx="39" formatCode="General">
                  <c:v>6.0000000000000001E-3</c:v>
                </c:pt>
                <c:pt idx="40">
                  <c:v>6.9999999999999993E-3</c:v>
                </c:pt>
                <c:pt idx="41">
                  <c:v>7.7000000000000002E-3</c:v>
                </c:pt>
                <c:pt idx="42">
                  <c:v>8.0000000000000002E-3</c:v>
                </c:pt>
                <c:pt idx="43" formatCode="General">
                  <c:v>1.0000000000000002E-2</c:v>
                </c:pt>
                <c:pt idx="44">
                  <c:v>1.2600000000000007E-2</c:v>
                </c:pt>
                <c:pt idx="45">
                  <c:v>1.4999999999999999E-2</c:v>
                </c:pt>
                <c:pt idx="46" formatCode="General">
                  <c:v>2.5099999999999997E-2</c:v>
                </c:pt>
                <c:pt idx="47" formatCode="General">
                  <c:v>2.8000000000000001E-2</c:v>
                </c:pt>
                <c:pt idx="48" formatCode="General">
                  <c:v>2.86E-2</c:v>
                </c:pt>
                <c:pt idx="49" formatCode="General">
                  <c:v>0.03</c:v>
                </c:pt>
                <c:pt idx="50" formatCode="General">
                  <c:v>5.6000000000000008E-2</c:v>
                </c:pt>
                <c:pt idx="51">
                  <c:v>7.4999999999999997E-2</c:v>
                </c:pt>
                <c:pt idx="52" formatCode="General">
                  <c:v>7.7399999999999997E-2</c:v>
                </c:pt>
                <c:pt idx="53" formatCode="General">
                  <c:v>8.0000000000000016E-2</c:v>
                </c:pt>
                <c:pt idx="54" formatCode="General">
                  <c:v>0.24870000000000003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DBD-4BAE-A419-D33D4AADE4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-2102262744"/>
        <c:axId val="-2102259800"/>
      </c:barChart>
      <c:catAx>
        <c:axId val="-210226274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low"/>
        <c:crossAx val="-2102259800"/>
        <c:crosses val="autoZero"/>
        <c:auto val="1"/>
        <c:lblAlgn val="ctr"/>
        <c:lblOffset val="1"/>
        <c:tickLblSkip val="1"/>
        <c:tickMarkSkip val="100"/>
        <c:noMultiLvlLbl val="0"/>
      </c:catAx>
      <c:valAx>
        <c:axId val="-2102259800"/>
        <c:scaling>
          <c:orientation val="minMax"/>
          <c:max val="0.2"/>
          <c:min val="-0.1"/>
        </c:scaling>
        <c:delete val="0"/>
        <c:axPos val="l"/>
        <c:majorGridlines/>
        <c:numFmt formatCode="#,##0.00" sourceLinked="0"/>
        <c:majorTickMark val="out"/>
        <c:minorTickMark val="none"/>
        <c:tickLblPos val="nextTo"/>
        <c:crossAx val="-2102262744"/>
        <c:crosses val="autoZero"/>
        <c:crossBetween val="between"/>
      </c:valAx>
    </c:plotArea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'countries where change(M)'!$B$2:$B$56</c:f>
              <c:strCache>
                <c:ptCount val="55"/>
                <c:pt idx="0">
                  <c:v>Laos</c:v>
                </c:pt>
                <c:pt idx="1">
                  <c:v>Algeria</c:v>
                </c:pt>
                <c:pt idx="2">
                  <c:v>Bangladesh</c:v>
                </c:pt>
                <c:pt idx="3">
                  <c:v>Sudan</c:v>
                </c:pt>
                <c:pt idx="4">
                  <c:v>Uzbekistan</c:v>
                </c:pt>
                <c:pt idx="5">
                  <c:v>Nepal</c:v>
                </c:pt>
                <c:pt idx="6">
                  <c:v>Senegal</c:v>
                </c:pt>
                <c:pt idx="7">
                  <c:v>Botswana</c:v>
                </c:pt>
                <c:pt idx="8">
                  <c:v>Latvia</c:v>
                </c:pt>
                <c:pt idx="9">
                  <c:v>Rwanda</c:v>
                </c:pt>
                <c:pt idx="10">
                  <c:v>Austria</c:v>
                </c:pt>
                <c:pt idx="11">
                  <c:v>Pakistan</c:v>
                </c:pt>
                <c:pt idx="12">
                  <c:v>Egypt</c:v>
                </c:pt>
                <c:pt idx="13">
                  <c:v>Benin</c:v>
                </c:pt>
                <c:pt idx="14">
                  <c:v>India</c:v>
                </c:pt>
                <c:pt idx="15">
                  <c:v>Slovakia</c:v>
                </c:pt>
                <c:pt idx="16">
                  <c:v>Mongolia</c:v>
                </c:pt>
                <c:pt idx="17">
                  <c:v>Maldives</c:v>
                </c:pt>
                <c:pt idx="18">
                  <c:v>Cambodia</c:v>
                </c:pt>
                <c:pt idx="19">
                  <c:v>Yemen</c:v>
                </c:pt>
                <c:pt idx="20">
                  <c:v>Uganda</c:v>
                </c:pt>
                <c:pt idx="21">
                  <c:v>Canada</c:v>
                </c:pt>
                <c:pt idx="22">
                  <c:v>Iraq</c:v>
                </c:pt>
                <c:pt idx="23">
                  <c:v>Liberia</c:v>
                </c:pt>
                <c:pt idx="24">
                  <c:v>South Africa</c:v>
                </c:pt>
                <c:pt idx="25">
                  <c:v>Denmark</c:v>
                </c:pt>
                <c:pt idx="26">
                  <c:v>Nigeria</c:v>
                </c:pt>
                <c:pt idx="27">
                  <c:v>Czech Republic</c:v>
                </c:pt>
                <c:pt idx="28">
                  <c:v>Russia</c:v>
                </c:pt>
                <c:pt idx="29">
                  <c:v>Australia</c:v>
                </c:pt>
                <c:pt idx="30">
                  <c:v>Azerbaijan</c:v>
                </c:pt>
                <c:pt idx="31">
                  <c:v>Ukraine</c:v>
                </c:pt>
                <c:pt idx="32">
                  <c:v>Philippines</c:v>
                </c:pt>
                <c:pt idx="33">
                  <c:v>Finland</c:v>
                </c:pt>
                <c:pt idx="34">
                  <c:v>Mexico</c:v>
                </c:pt>
                <c:pt idx="35">
                  <c:v>Swaziland</c:v>
                </c:pt>
                <c:pt idx="36">
                  <c:v>Saudi Arabia</c:v>
                </c:pt>
                <c:pt idx="37">
                  <c:v>Switzerland</c:v>
                </c:pt>
                <c:pt idx="38">
                  <c:v>Cameroon</c:v>
                </c:pt>
                <c:pt idx="39">
                  <c:v>Vietnam</c:v>
                </c:pt>
                <c:pt idx="40">
                  <c:v>Ethiopia</c:v>
                </c:pt>
                <c:pt idx="41">
                  <c:v>Norway</c:v>
                </c:pt>
                <c:pt idx="42">
                  <c:v>Sweden</c:v>
                </c:pt>
                <c:pt idx="43">
                  <c:v>Sri Lanka</c:v>
                </c:pt>
                <c:pt idx="44">
                  <c:v>Zambia</c:v>
                </c:pt>
                <c:pt idx="45">
                  <c:v>Indonesia</c:v>
                </c:pt>
                <c:pt idx="46">
                  <c:v>Kyrgyzstan</c:v>
                </c:pt>
                <c:pt idx="47">
                  <c:v>Kenya</c:v>
                </c:pt>
                <c:pt idx="48">
                  <c:v>Bhutan</c:v>
                </c:pt>
                <c:pt idx="49">
                  <c:v>Burkina Faso</c:v>
                </c:pt>
                <c:pt idx="50">
                  <c:v>Eritrea</c:v>
                </c:pt>
                <c:pt idx="51">
                  <c:v>Iceland</c:v>
                </c:pt>
                <c:pt idx="52">
                  <c:v>Myanmar</c:v>
                </c:pt>
                <c:pt idx="53">
                  <c:v>Timor Leste</c:v>
                </c:pt>
                <c:pt idx="54">
                  <c:v>Malaysia</c:v>
                </c:pt>
              </c:strCache>
            </c:strRef>
          </c:cat>
          <c:val>
            <c:numRef>
              <c:f>'countries where change(M)'!$H$2:$H$56</c:f>
              <c:numCache>
                <c:formatCode>0.0000</c:formatCode>
                <c:ptCount val="55"/>
                <c:pt idx="0">
                  <c:v>-0.14099999999999999</c:v>
                </c:pt>
                <c:pt idx="1">
                  <c:v>-0.10999999999999999</c:v>
                </c:pt>
                <c:pt idx="2" formatCode="General">
                  <c:v>-0.10200000000000001</c:v>
                </c:pt>
                <c:pt idx="3" formatCode="General">
                  <c:v>-9.8000000000000032E-2</c:v>
                </c:pt>
                <c:pt idx="4">
                  <c:v>-8.6000000000000021E-2</c:v>
                </c:pt>
                <c:pt idx="5" formatCode="General">
                  <c:v>-6.6000000000000003E-2</c:v>
                </c:pt>
                <c:pt idx="6">
                  <c:v>-6.3299999999999995E-2</c:v>
                </c:pt>
                <c:pt idx="7" formatCode="General">
                  <c:v>-5.7000000000000009E-2</c:v>
                </c:pt>
                <c:pt idx="8" formatCode="General">
                  <c:v>-5.6999999999999995E-2</c:v>
                </c:pt>
                <c:pt idx="9">
                  <c:v>-5.1999999999999998E-2</c:v>
                </c:pt>
                <c:pt idx="10" formatCode="General">
                  <c:v>-0.05</c:v>
                </c:pt>
                <c:pt idx="11">
                  <c:v>-4.9000000000000002E-2</c:v>
                </c:pt>
                <c:pt idx="12" formatCode="General">
                  <c:v>-4.3999999999999997E-2</c:v>
                </c:pt>
                <c:pt idx="13" formatCode="General">
                  <c:v>-3.7000000000000005E-2</c:v>
                </c:pt>
                <c:pt idx="14" formatCode="General">
                  <c:v>-3.2999999999999918E-2</c:v>
                </c:pt>
                <c:pt idx="15">
                  <c:v>-0.02</c:v>
                </c:pt>
                <c:pt idx="16" formatCode="General">
                  <c:v>-1.9999999999999997E-2</c:v>
                </c:pt>
                <c:pt idx="17" formatCode="General">
                  <c:v>-1.6999999999999994E-2</c:v>
                </c:pt>
                <c:pt idx="18" formatCode="General">
                  <c:v>-1.4000000000000002E-2</c:v>
                </c:pt>
                <c:pt idx="19" formatCode="General">
                  <c:v>-1.3999999999999985E-2</c:v>
                </c:pt>
                <c:pt idx="20">
                  <c:v>-1.2399999999999998E-2</c:v>
                </c:pt>
                <c:pt idx="21">
                  <c:v>-1.2E-2</c:v>
                </c:pt>
                <c:pt idx="22" formatCode="General">
                  <c:v>-1.2E-2</c:v>
                </c:pt>
                <c:pt idx="23">
                  <c:v>-1.1999999999999999E-2</c:v>
                </c:pt>
                <c:pt idx="24">
                  <c:v>-1.0000000000000002E-2</c:v>
                </c:pt>
                <c:pt idx="25" formatCode="General">
                  <c:v>-6.9999999999999993E-3</c:v>
                </c:pt>
                <c:pt idx="26">
                  <c:v>-3.0000000000000027E-3</c:v>
                </c:pt>
                <c:pt idx="27">
                  <c:v>-2.9999999999999992E-3</c:v>
                </c:pt>
                <c:pt idx="28" formatCode="General">
                  <c:v>-2E-3</c:v>
                </c:pt>
                <c:pt idx="29" formatCode="General">
                  <c:v>-1.4999999999999996E-3</c:v>
                </c:pt>
                <c:pt idx="30">
                  <c:v>-1E-3</c:v>
                </c:pt>
                <c:pt idx="31">
                  <c:v>-1E-3</c:v>
                </c:pt>
                <c:pt idx="32" formatCode="General">
                  <c:v>-9.9999999999999395E-4</c:v>
                </c:pt>
                <c:pt idx="33" formatCode="General">
                  <c:v>9.9999999999999395E-4</c:v>
                </c:pt>
                <c:pt idx="34">
                  <c:v>1E-3</c:v>
                </c:pt>
                <c:pt idx="35" formatCode="General">
                  <c:v>1.0000000000000009E-3</c:v>
                </c:pt>
                <c:pt idx="36">
                  <c:v>1.9999999999999983E-3</c:v>
                </c:pt>
                <c:pt idx="37">
                  <c:v>2.0000000000000018E-3</c:v>
                </c:pt>
                <c:pt idx="38" formatCode="General">
                  <c:v>2.6000000000000016E-3</c:v>
                </c:pt>
                <c:pt idx="39">
                  <c:v>5.0000000000000001E-3</c:v>
                </c:pt>
                <c:pt idx="40" formatCode="General">
                  <c:v>6.6000000000000017E-3</c:v>
                </c:pt>
                <c:pt idx="41" formatCode="General">
                  <c:v>9.9999999999999811E-3</c:v>
                </c:pt>
                <c:pt idx="42" formatCode="General">
                  <c:v>1.0000000000000009E-2</c:v>
                </c:pt>
                <c:pt idx="43">
                  <c:v>1.100000000000001E-2</c:v>
                </c:pt>
                <c:pt idx="44" formatCode="General">
                  <c:v>1.9000000000000003E-2</c:v>
                </c:pt>
                <c:pt idx="45" formatCode="General">
                  <c:v>2.4E-2</c:v>
                </c:pt>
                <c:pt idx="46">
                  <c:v>3.0999999999999986E-2</c:v>
                </c:pt>
                <c:pt idx="47" formatCode="General">
                  <c:v>3.2500000000000001E-2</c:v>
                </c:pt>
                <c:pt idx="48">
                  <c:v>5.3999999999999992E-2</c:v>
                </c:pt>
                <c:pt idx="49" formatCode="General">
                  <c:v>5.5999999999999994E-2</c:v>
                </c:pt>
                <c:pt idx="50">
                  <c:v>5.7999999999999996E-2</c:v>
                </c:pt>
                <c:pt idx="51" formatCode="General">
                  <c:v>7.0300000000000001E-2</c:v>
                </c:pt>
                <c:pt idx="52" formatCode="General">
                  <c:v>0.10799999999999998</c:v>
                </c:pt>
                <c:pt idx="53" formatCode="General">
                  <c:v>0.13620000000000002</c:v>
                </c:pt>
                <c:pt idx="54" formatCode="General">
                  <c:v>0.19499999999999998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7AC-4C64-BE08-F29EC2FBAD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-2136386440"/>
        <c:axId val="-2136751144"/>
      </c:barChart>
      <c:catAx>
        <c:axId val="-213638644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low"/>
        <c:crossAx val="-2136751144"/>
        <c:crosses val="autoZero"/>
        <c:auto val="1"/>
        <c:lblAlgn val="ctr"/>
        <c:lblOffset val="1"/>
        <c:tickLblSkip val="1"/>
        <c:tickMarkSkip val="100"/>
        <c:noMultiLvlLbl val="0"/>
      </c:catAx>
      <c:valAx>
        <c:axId val="-2136751144"/>
        <c:scaling>
          <c:orientation val="minMax"/>
          <c:max val="0.2"/>
          <c:min val="-0.15"/>
        </c:scaling>
        <c:delete val="0"/>
        <c:axPos val="l"/>
        <c:majorGridlines/>
        <c:numFmt formatCode="0.00" sourceLinked="0"/>
        <c:majorTickMark val="out"/>
        <c:minorTickMark val="none"/>
        <c:tickLblPos val="nextTo"/>
        <c:crossAx val="-2136386440"/>
        <c:crosses val="autoZero"/>
        <c:crossBetween val="between"/>
      </c:valAx>
    </c:plotArea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2GW45TqoM2HFpgW4Bh/50gGozuA==">AMUW2mX3R/5dN83WoaFuQyJP4P/Ppbwq727XC9PEgg80CaQXeLECK+frm8ZPWjvBbTmNQJJFt0Yj3HIKj335jL2UbijKGawK43/T2pju0RqItjKbJ4l/UJE=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30</Words>
  <Characters>172</Characters>
  <Application>Microsoft Office Word</Application>
  <DocSecurity>0</DocSecurity>
  <Lines>1</Lines>
  <Paragraphs>1</Paragraphs>
  <ScaleCrop>false</ScaleCrop>
  <Company/>
  <LinksUpToDate>false</LinksUpToDate>
  <CharactersWithSpaces>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Kamran Siddiqi</dc:creator>
  <cp:lastModifiedBy>Kamran Siddiqi</cp:lastModifiedBy>
  <cp:revision>2</cp:revision>
  <dcterms:created xsi:type="dcterms:W3CDTF">2020-04-10T14:20:00Z</dcterms:created>
  <dcterms:modified xsi:type="dcterms:W3CDTF">2020-06-16T20:45:00Z</dcterms:modified>
</cp:coreProperties>
</file>