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88F07" w14:textId="6A937007" w:rsidR="00E6133D" w:rsidRPr="006436AC" w:rsidRDefault="0001094C" w:rsidP="000E64FB">
      <w:pPr>
        <w:spacing w:before="100" w:beforeAutospacing="1" w:after="100" w:afterAutospacing="1" w:line="480" w:lineRule="auto"/>
        <w:rPr>
          <w:rFonts w:ascii="Arial" w:hAnsi="Arial" w:cs="Arial"/>
          <w:b/>
          <w:sz w:val="20"/>
          <w:szCs w:val="20"/>
        </w:rPr>
      </w:pPr>
      <w:r w:rsidRPr="006436AC">
        <w:rPr>
          <w:rFonts w:ascii="Arial" w:hAnsi="Arial" w:cs="Arial"/>
          <w:b/>
          <w:sz w:val="20"/>
          <w:szCs w:val="20"/>
        </w:rPr>
        <w:t>A gradient from long-term memory to novel cognition: transitions through default mode and executive cortex</w:t>
      </w:r>
    </w:p>
    <w:p w14:paraId="1F818F12" w14:textId="2DDF2CF5" w:rsidR="0001094C" w:rsidRPr="006436AC" w:rsidRDefault="0001094C" w:rsidP="000E64FB">
      <w:pPr>
        <w:spacing w:before="100" w:beforeAutospacing="1" w:after="100" w:afterAutospacing="1" w:line="480" w:lineRule="auto"/>
        <w:rPr>
          <w:rFonts w:ascii="Arial" w:hAnsi="Arial" w:cs="Arial"/>
          <w:sz w:val="20"/>
          <w:szCs w:val="20"/>
        </w:rPr>
      </w:pPr>
      <w:r w:rsidRPr="006436AC">
        <w:rPr>
          <w:rFonts w:ascii="Arial" w:hAnsi="Arial" w:cs="Arial"/>
          <w:sz w:val="20"/>
          <w:szCs w:val="20"/>
        </w:rPr>
        <w:t>Xiuyi Wang</w:t>
      </w:r>
      <w:r w:rsidR="00AA4683" w:rsidRPr="006436AC">
        <w:rPr>
          <w:rFonts w:ascii="Arial" w:hAnsi="Arial" w:cs="Arial"/>
          <w:sz w:val="20"/>
          <w:szCs w:val="20"/>
          <w:vertAlign w:val="superscript"/>
        </w:rPr>
        <w:t>a</w:t>
      </w:r>
      <w:r w:rsidR="00AA4683" w:rsidRPr="006436AC">
        <w:rPr>
          <w:rFonts w:ascii="Arial" w:hAnsi="Arial" w:cs="Arial"/>
          <w:sz w:val="20"/>
          <w:szCs w:val="20"/>
        </w:rPr>
        <w:t>*</w:t>
      </w:r>
      <w:r w:rsidRPr="006436AC">
        <w:rPr>
          <w:rFonts w:ascii="Arial" w:hAnsi="Arial" w:cs="Arial"/>
          <w:sz w:val="20"/>
          <w:szCs w:val="20"/>
        </w:rPr>
        <w:t>, Daniel S. Margulies</w:t>
      </w:r>
      <w:r w:rsidRPr="006436AC">
        <w:rPr>
          <w:rFonts w:ascii="Arial" w:hAnsi="Arial" w:cs="Arial"/>
          <w:sz w:val="20"/>
          <w:szCs w:val="20"/>
          <w:vertAlign w:val="superscript"/>
        </w:rPr>
        <w:t>b</w:t>
      </w:r>
      <w:r w:rsidRPr="006436AC">
        <w:rPr>
          <w:rFonts w:ascii="Arial" w:hAnsi="Arial" w:cs="Arial"/>
          <w:sz w:val="20"/>
          <w:szCs w:val="20"/>
        </w:rPr>
        <w:t>, Jonathan Smallwood</w:t>
      </w:r>
      <w:r w:rsidRPr="006436AC">
        <w:rPr>
          <w:rFonts w:ascii="Arial" w:hAnsi="Arial" w:cs="Arial"/>
          <w:sz w:val="20"/>
          <w:szCs w:val="20"/>
          <w:vertAlign w:val="superscript"/>
        </w:rPr>
        <w:t>a</w:t>
      </w:r>
      <w:r w:rsidRPr="006436AC">
        <w:rPr>
          <w:rFonts w:ascii="Arial" w:hAnsi="Arial" w:cs="Arial"/>
          <w:sz w:val="20"/>
          <w:szCs w:val="20"/>
        </w:rPr>
        <w:t>, Elizabeth Jefferie</w:t>
      </w:r>
      <w:r w:rsidR="00AA4683" w:rsidRPr="006436AC">
        <w:rPr>
          <w:rFonts w:ascii="Arial" w:hAnsi="Arial" w:cs="Arial"/>
          <w:sz w:val="20"/>
          <w:szCs w:val="20"/>
        </w:rPr>
        <w:t>s</w:t>
      </w:r>
      <w:r w:rsidR="00AA4683" w:rsidRPr="006436AC">
        <w:rPr>
          <w:rFonts w:ascii="Arial" w:hAnsi="Arial" w:cs="Arial"/>
          <w:sz w:val="20"/>
          <w:szCs w:val="20"/>
          <w:vertAlign w:val="superscript"/>
        </w:rPr>
        <w:t>a</w:t>
      </w:r>
      <w:r w:rsidR="00AA4683" w:rsidRPr="006436AC">
        <w:rPr>
          <w:rFonts w:ascii="Arial" w:hAnsi="Arial" w:cs="Arial"/>
          <w:sz w:val="20"/>
          <w:szCs w:val="20"/>
        </w:rPr>
        <w:t>*</w:t>
      </w:r>
    </w:p>
    <w:p w14:paraId="3D062FB7" w14:textId="0186B7F2" w:rsidR="0001094C" w:rsidRPr="006436AC" w:rsidRDefault="0001094C" w:rsidP="000E64FB">
      <w:pPr>
        <w:spacing w:before="100" w:beforeAutospacing="1" w:after="100" w:afterAutospacing="1" w:line="480" w:lineRule="auto"/>
        <w:rPr>
          <w:rFonts w:ascii="Arial" w:hAnsi="Arial" w:cs="Arial"/>
          <w:sz w:val="20"/>
          <w:szCs w:val="20"/>
        </w:rPr>
      </w:pPr>
      <w:r w:rsidRPr="006436AC">
        <w:rPr>
          <w:rFonts w:ascii="Arial" w:hAnsi="Arial" w:cs="Arial"/>
          <w:sz w:val="20"/>
          <w:szCs w:val="20"/>
        </w:rPr>
        <w:t>a Department of Psychology, University of York, Heslington, York</w:t>
      </w:r>
      <w:r w:rsidR="009D41C9" w:rsidRPr="006436AC">
        <w:rPr>
          <w:rFonts w:ascii="Arial" w:hAnsi="Arial" w:cs="Arial"/>
          <w:sz w:val="20"/>
          <w:szCs w:val="20"/>
        </w:rPr>
        <w:t>,</w:t>
      </w:r>
      <w:r w:rsidRPr="006436AC">
        <w:rPr>
          <w:rFonts w:ascii="Arial" w:hAnsi="Arial" w:cs="Arial"/>
          <w:sz w:val="20"/>
          <w:szCs w:val="20"/>
        </w:rPr>
        <w:t xml:space="preserve"> YO10 5DD, United Kingdom;</w:t>
      </w:r>
    </w:p>
    <w:p w14:paraId="31614684" w14:textId="77777777" w:rsidR="0001094C" w:rsidRPr="006436AC" w:rsidRDefault="0001094C" w:rsidP="000E64FB">
      <w:pPr>
        <w:spacing w:before="100" w:beforeAutospacing="1" w:after="100" w:afterAutospacing="1" w:line="480" w:lineRule="auto"/>
        <w:rPr>
          <w:rFonts w:ascii="Arial" w:hAnsi="Arial" w:cs="Arial"/>
          <w:sz w:val="20"/>
          <w:szCs w:val="20"/>
        </w:rPr>
      </w:pPr>
      <w:r w:rsidRPr="006436AC">
        <w:rPr>
          <w:rFonts w:ascii="Arial" w:hAnsi="Arial" w:cs="Arial"/>
          <w:sz w:val="20"/>
          <w:szCs w:val="20"/>
        </w:rPr>
        <w:t>b Centre National de la Recherche Scientifique (CNRS) UMR 7225, Frontlab, Institut du Cerveau et de la Moelle Épinière, Paris, France</w:t>
      </w:r>
    </w:p>
    <w:p w14:paraId="15835AA0" w14:textId="77777777" w:rsidR="00566455" w:rsidRPr="006436AC" w:rsidRDefault="00566455" w:rsidP="000E64FB">
      <w:pPr>
        <w:spacing w:before="100" w:beforeAutospacing="1" w:after="100" w:afterAutospacing="1" w:line="480" w:lineRule="auto"/>
        <w:rPr>
          <w:rFonts w:ascii="Arial" w:hAnsi="Arial" w:cs="Arial"/>
          <w:sz w:val="20"/>
          <w:szCs w:val="20"/>
        </w:rPr>
      </w:pPr>
      <w:r w:rsidRPr="006436AC">
        <w:rPr>
          <w:rFonts w:ascii="Arial" w:hAnsi="Arial" w:cs="Arial"/>
          <w:sz w:val="20"/>
          <w:szCs w:val="20"/>
        </w:rPr>
        <w:t>* Corresponding authors:</w:t>
      </w:r>
    </w:p>
    <w:p w14:paraId="42C87664" w14:textId="39924FFD" w:rsidR="0001094C" w:rsidRPr="006436AC" w:rsidRDefault="00566455" w:rsidP="000E64FB">
      <w:pPr>
        <w:spacing w:before="100" w:beforeAutospacing="1" w:after="100" w:afterAutospacing="1" w:line="480" w:lineRule="auto"/>
        <w:rPr>
          <w:rFonts w:ascii="Arial" w:hAnsi="Arial" w:cs="Arial"/>
          <w:sz w:val="20"/>
          <w:szCs w:val="20"/>
          <w:u w:val="single"/>
        </w:rPr>
      </w:pPr>
      <w:r w:rsidRPr="006436AC">
        <w:rPr>
          <w:rFonts w:ascii="Arial" w:hAnsi="Arial" w:cs="Arial"/>
          <w:sz w:val="20"/>
          <w:szCs w:val="20"/>
        </w:rPr>
        <w:t xml:space="preserve"> </w:t>
      </w:r>
      <w:r w:rsidR="0001094C" w:rsidRPr="006436AC">
        <w:rPr>
          <w:rFonts w:ascii="Arial" w:hAnsi="Arial" w:cs="Arial"/>
          <w:sz w:val="20"/>
          <w:szCs w:val="20"/>
        </w:rPr>
        <w:t>Xiuyi Wang, Elizabeth Jefferies</w:t>
      </w:r>
      <w:r w:rsidRPr="006436AC">
        <w:rPr>
          <w:rFonts w:ascii="Arial" w:hAnsi="Arial" w:cs="Arial"/>
          <w:sz w:val="20"/>
          <w:szCs w:val="20"/>
        </w:rPr>
        <w:t>: Email:</w:t>
      </w:r>
      <w:r w:rsidRPr="006436AC">
        <w:rPr>
          <w:rFonts w:ascii="Arial" w:hAnsi="Arial" w:cs="Arial"/>
          <w:b/>
          <w:sz w:val="20"/>
          <w:szCs w:val="20"/>
        </w:rPr>
        <w:t xml:space="preserve"> </w:t>
      </w:r>
      <w:r w:rsidRPr="006436AC">
        <w:rPr>
          <w:rFonts w:ascii="Arial" w:hAnsi="Arial" w:cs="Arial"/>
          <w:sz w:val="20"/>
          <w:szCs w:val="20"/>
        </w:rPr>
        <w:t xml:space="preserve"> </w:t>
      </w:r>
      <w:hyperlink r:id="rId8" w:history="1">
        <w:r w:rsidRPr="006436AC">
          <w:rPr>
            <w:rStyle w:val="Hyperlink"/>
            <w:rFonts w:ascii="Arial" w:hAnsi="Arial" w:cs="Arial"/>
            <w:color w:val="auto"/>
            <w:sz w:val="20"/>
            <w:szCs w:val="20"/>
          </w:rPr>
          <w:t>wangxiuyi16@gmail.com</w:t>
        </w:r>
      </w:hyperlink>
      <w:r w:rsidRPr="006436AC">
        <w:rPr>
          <w:rFonts w:ascii="Arial" w:hAnsi="Arial" w:cs="Arial"/>
          <w:sz w:val="20"/>
          <w:szCs w:val="20"/>
        </w:rPr>
        <w:t xml:space="preserve">, </w:t>
      </w:r>
      <w:hyperlink r:id="rId9" w:history="1">
        <w:r w:rsidRPr="006436AC">
          <w:rPr>
            <w:rStyle w:val="Hyperlink"/>
            <w:rFonts w:ascii="Arial" w:hAnsi="Arial" w:cs="Arial"/>
            <w:color w:val="auto"/>
            <w:sz w:val="20"/>
            <w:szCs w:val="20"/>
          </w:rPr>
          <w:t>beth.jefferies@york.ac.uk</w:t>
        </w:r>
      </w:hyperlink>
    </w:p>
    <w:p w14:paraId="2F979003" w14:textId="1C329322" w:rsidR="00566455" w:rsidRPr="006436AC" w:rsidRDefault="00566455" w:rsidP="000E64FB">
      <w:pPr>
        <w:spacing w:before="100" w:beforeAutospacing="1" w:after="100" w:afterAutospacing="1" w:line="480" w:lineRule="auto"/>
        <w:rPr>
          <w:rFonts w:ascii="Arial" w:hAnsi="Arial" w:cs="Arial"/>
          <w:sz w:val="20"/>
          <w:szCs w:val="20"/>
        </w:rPr>
      </w:pPr>
      <w:r w:rsidRPr="006436AC">
        <w:rPr>
          <w:rFonts w:ascii="Arial" w:hAnsi="Arial" w:cs="Arial"/>
          <w:sz w:val="20"/>
          <w:szCs w:val="20"/>
        </w:rPr>
        <w:t>Department of Psychology, University of York, Heslington, York, YO10 5DD, United Kingdom;</w:t>
      </w:r>
    </w:p>
    <w:p w14:paraId="578AD298" w14:textId="3291DF14" w:rsidR="00566455" w:rsidRPr="006436AC" w:rsidRDefault="00A11181" w:rsidP="000E64FB">
      <w:pPr>
        <w:spacing w:before="100" w:beforeAutospacing="1" w:after="100" w:afterAutospacing="1" w:line="480" w:lineRule="auto"/>
        <w:rPr>
          <w:rFonts w:ascii="Arial" w:hAnsi="Arial" w:cs="Arial"/>
          <w:sz w:val="20"/>
          <w:szCs w:val="20"/>
        </w:rPr>
      </w:pPr>
      <w:r w:rsidRPr="006436AC">
        <w:rPr>
          <w:rFonts w:ascii="Arial" w:hAnsi="Arial" w:cs="Arial"/>
          <w:b/>
          <w:sz w:val="20"/>
          <w:szCs w:val="20"/>
        </w:rPr>
        <w:t>Declaration of interest</w:t>
      </w:r>
      <w:r w:rsidR="00566455" w:rsidRPr="006436AC">
        <w:rPr>
          <w:rFonts w:ascii="Arial" w:hAnsi="Arial" w:cs="Arial"/>
          <w:b/>
          <w:sz w:val="20"/>
          <w:szCs w:val="20"/>
        </w:rPr>
        <w:t>:</w:t>
      </w:r>
      <w:r w:rsidR="00566455" w:rsidRPr="006436AC">
        <w:rPr>
          <w:rFonts w:ascii="Arial" w:hAnsi="Arial" w:cs="Arial"/>
          <w:sz w:val="20"/>
          <w:szCs w:val="20"/>
        </w:rPr>
        <w:t xml:space="preserve"> The author declare no competing interests.</w:t>
      </w:r>
    </w:p>
    <w:p w14:paraId="172D1F25" w14:textId="1D554BB1" w:rsidR="00566455" w:rsidRPr="006436AC" w:rsidRDefault="00566455" w:rsidP="000E64FB">
      <w:pPr>
        <w:spacing w:before="100" w:beforeAutospacing="1" w:after="100" w:afterAutospacing="1" w:line="480" w:lineRule="auto"/>
        <w:rPr>
          <w:rFonts w:ascii="Arial" w:hAnsi="Arial" w:cs="Arial"/>
          <w:b/>
          <w:sz w:val="20"/>
          <w:szCs w:val="20"/>
        </w:rPr>
      </w:pPr>
      <w:r w:rsidRPr="006436AC">
        <w:rPr>
          <w:rFonts w:ascii="Arial" w:hAnsi="Arial" w:cs="Arial"/>
          <w:b/>
          <w:sz w:val="20"/>
          <w:szCs w:val="20"/>
        </w:rPr>
        <w:t>Author Contributions</w:t>
      </w:r>
    </w:p>
    <w:p w14:paraId="1D360ACD" w14:textId="4C379FB6" w:rsidR="00A11181" w:rsidRPr="006436AC" w:rsidRDefault="00A11181" w:rsidP="000E64FB">
      <w:pPr>
        <w:spacing w:before="100" w:beforeAutospacing="1" w:after="100" w:afterAutospacing="1" w:line="480" w:lineRule="auto"/>
        <w:rPr>
          <w:rFonts w:ascii="Arial" w:hAnsi="Arial" w:cs="Arial"/>
          <w:sz w:val="20"/>
          <w:szCs w:val="20"/>
        </w:rPr>
      </w:pPr>
      <w:r w:rsidRPr="006436AC">
        <w:rPr>
          <w:rFonts w:ascii="Arial" w:eastAsiaTheme="majorEastAsia" w:hAnsi="Arial" w:cs="Arial"/>
          <w:b/>
          <w:sz w:val="20"/>
          <w:szCs w:val="20"/>
        </w:rPr>
        <w:t>Xiuyi Wang</w:t>
      </w:r>
      <w:r w:rsidRPr="006436AC">
        <w:rPr>
          <w:rFonts w:ascii="Arial" w:hAnsi="Arial" w:cs="Arial"/>
          <w:b/>
          <w:sz w:val="20"/>
          <w:szCs w:val="20"/>
        </w:rPr>
        <w:t>:</w:t>
      </w:r>
      <w:r w:rsidRPr="006436AC">
        <w:rPr>
          <w:rFonts w:ascii="Arial" w:hAnsi="Arial" w:cs="Arial"/>
          <w:sz w:val="20"/>
          <w:szCs w:val="20"/>
        </w:rPr>
        <w:t xml:space="preserve"> Conceptualization, Investigation, Formal analysis, Writing – Review &amp; Editing. </w:t>
      </w:r>
      <w:r w:rsidRPr="006436AC">
        <w:rPr>
          <w:rFonts w:ascii="Arial" w:eastAsiaTheme="majorEastAsia" w:hAnsi="Arial" w:cs="Arial"/>
          <w:b/>
          <w:sz w:val="20"/>
          <w:szCs w:val="20"/>
        </w:rPr>
        <w:t>Daniel S. Margulies</w:t>
      </w:r>
      <w:r w:rsidRPr="006436AC">
        <w:rPr>
          <w:rFonts w:ascii="Arial" w:hAnsi="Arial" w:cs="Arial"/>
          <w:sz w:val="20"/>
          <w:szCs w:val="20"/>
        </w:rPr>
        <w:t xml:space="preserve">: Conceptualization and Writing – Review &amp; Editing. </w:t>
      </w:r>
      <w:r w:rsidR="00455FCD" w:rsidRPr="006436AC">
        <w:rPr>
          <w:rFonts w:ascii="Arial" w:hAnsi="Arial" w:cs="Arial"/>
          <w:sz w:val="20"/>
          <w:szCs w:val="20"/>
        </w:rPr>
        <w:t xml:space="preserve">                         </w:t>
      </w:r>
      <w:r w:rsidRPr="006436AC">
        <w:rPr>
          <w:rFonts w:ascii="Arial" w:eastAsiaTheme="majorEastAsia" w:hAnsi="Arial" w:cs="Arial"/>
          <w:b/>
          <w:sz w:val="20"/>
          <w:szCs w:val="20"/>
        </w:rPr>
        <w:t>Jonathan Smallwood</w:t>
      </w:r>
      <w:r w:rsidRPr="006436AC">
        <w:rPr>
          <w:rFonts w:ascii="Arial" w:hAnsi="Arial" w:cs="Arial"/>
          <w:sz w:val="20"/>
          <w:szCs w:val="20"/>
        </w:rPr>
        <w:t xml:space="preserve">: Conceptualization, Writing – Review &amp; Editing and Funding acquisition. </w:t>
      </w:r>
      <w:r w:rsidRPr="006436AC">
        <w:rPr>
          <w:rFonts w:ascii="Arial" w:eastAsiaTheme="majorEastAsia" w:hAnsi="Arial" w:cs="Arial"/>
          <w:b/>
          <w:sz w:val="20"/>
          <w:szCs w:val="20"/>
        </w:rPr>
        <w:t>Elizabeth Jefferies</w:t>
      </w:r>
      <w:r w:rsidRPr="006436AC">
        <w:rPr>
          <w:rFonts w:ascii="Arial" w:hAnsi="Arial" w:cs="Arial"/>
          <w:sz w:val="20"/>
          <w:szCs w:val="20"/>
        </w:rPr>
        <w:t>: Conceptualization, Writing</w:t>
      </w:r>
      <w:r w:rsidR="00455FCD" w:rsidRPr="006436AC">
        <w:rPr>
          <w:rFonts w:ascii="Arial" w:hAnsi="Arial" w:cs="Arial"/>
          <w:sz w:val="20"/>
          <w:szCs w:val="20"/>
        </w:rPr>
        <w:t xml:space="preserve"> – Review &amp; Editing and Funding </w:t>
      </w:r>
      <w:r w:rsidRPr="006436AC">
        <w:rPr>
          <w:rFonts w:ascii="Arial" w:hAnsi="Arial" w:cs="Arial"/>
          <w:sz w:val="20"/>
          <w:szCs w:val="20"/>
        </w:rPr>
        <w:t>acquisition.</w:t>
      </w:r>
    </w:p>
    <w:p w14:paraId="22F4D241" w14:textId="480259A6" w:rsidR="00A11181" w:rsidRPr="006436AC" w:rsidRDefault="00A11181" w:rsidP="000E64FB">
      <w:pPr>
        <w:spacing w:before="100" w:beforeAutospacing="1" w:after="100" w:afterAutospacing="1" w:line="480" w:lineRule="auto"/>
        <w:rPr>
          <w:rFonts w:ascii="Arial" w:hAnsi="Arial" w:cs="Arial"/>
          <w:b/>
          <w:sz w:val="20"/>
          <w:szCs w:val="20"/>
        </w:rPr>
      </w:pPr>
    </w:p>
    <w:p w14:paraId="489B2854" w14:textId="77777777" w:rsidR="00FA71B6" w:rsidRPr="006436AC" w:rsidRDefault="00FA71B6" w:rsidP="000E64FB">
      <w:pPr>
        <w:spacing w:before="100" w:beforeAutospacing="1" w:after="100" w:afterAutospacing="1" w:line="480" w:lineRule="auto"/>
        <w:rPr>
          <w:rFonts w:ascii="Arial" w:hAnsi="Arial" w:cs="Arial"/>
          <w:b/>
          <w:sz w:val="20"/>
          <w:szCs w:val="20"/>
        </w:rPr>
      </w:pPr>
      <w:r w:rsidRPr="006436AC">
        <w:rPr>
          <w:rFonts w:ascii="Arial" w:hAnsi="Arial" w:cs="Arial"/>
          <w:b/>
          <w:sz w:val="20"/>
          <w:szCs w:val="20"/>
        </w:rPr>
        <w:br w:type="page"/>
      </w:r>
    </w:p>
    <w:p w14:paraId="1022AED8" w14:textId="22A5AAEE" w:rsidR="00E6133D" w:rsidRPr="006436AC" w:rsidRDefault="00E6133D" w:rsidP="000E64FB">
      <w:pPr>
        <w:spacing w:before="100" w:beforeAutospacing="1" w:after="100" w:afterAutospacing="1" w:line="480" w:lineRule="auto"/>
        <w:rPr>
          <w:rFonts w:ascii="Arial" w:hAnsi="Arial" w:cs="Arial"/>
          <w:b/>
          <w:sz w:val="20"/>
          <w:szCs w:val="20"/>
        </w:rPr>
      </w:pPr>
      <w:r w:rsidRPr="006436AC">
        <w:rPr>
          <w:rFonts w:ascii="Arial" w:hAnsi="Arial" w:cs="Arial"/>
          <w:b/>
          <w:sz w:val="20"/>
          <w:szCs w:val="20"/>
        </w:rPr>
        <w:lastRenderedPageBreak/>
        <w:t>Abstract</w:t>
      </w:r>
    </w:p>
    <w:p w14:paraId="6E01E0D1" w14:textId="40BB3E72" w:rsidR="00087B64" w:rsidRPr="006436AC" w:rsidRDefault="0001094C" w:rsidP="000E64FB">
      <w:pPr>
        <w:keepNext/>
        <w:pBdr>
          <w:top w:val="nil"/>
          <w:left w:val="nil"/>
          <w:bottom w:val="nil"/>
          <w:right w:val="nil"/>
          <w:between w:val="nil"/>
        </w:pBdr>
        <w:spacing w:before="100" w:beforeAutospacing="1" w:after="100" w:afterAutospacing="1" w:line="480" w:lineRule="auto"/>
        <w:rPr>
          <w:rFonts w:ascii="Arial" w:hAnsi="Arial" w:cs="Arial"/>
          <w:sz w:val="20"/>
          <w:szCs w:val="20"/>
        </w:rPr>
      </w:pPr>
      <w:r w:rsidRPr="006436AC">
        <w:rPr>
          <w:rFonts w:ascii="Arial" w:hAnsi="Arial" w:cs="Arial"/>
          <w:sz w:val="20"/>
          <w:szCs w:val="20"/>
        </w:rPr>
        <w:t xml:space="preserve">Human cognition </w:t>
      </w:r>
      <w:r w:rsidR="006031EC" w:rsidRPr="006436AC">
        <w:rPr>
          <w:rFonts w:ascii="Arial" w:hAnsi="Arial" w:cs="Arial"/>
          <w:sz w:val="20"/>
          <w:szCs w:val="20"/>
        </w:rPr>
        <w:t>flexibly guides decision</w:t>
      </w:r>
      <w:r w:rsidR="004B40F0" w:rsidRPr="006436AC">
        <w:rPr>
          <w:rFonts w:ascii="Arial" w:hAnsi="Arial" w:cs="Arial"/>
          <w:sz w:val="20"/>
          <w:szCs w:val="20"/>
        </w:rPr>
        <w:t>-</w:t>
      </w:r>
      <w:r w:rsidR="006031EC" w:rsidRPr="006436AC">
        <w:rPr>
          <w:rFonts w:ascii="Arial" w:hAnsi="Arial" w:cs="Arial"/>
          <w:sz w:val="20"/>
          <w:szCs w:val="20"/>
        </w:rPr>
        <w:t>making in familiar and novel situations</w:t>
      </w:r>
      <w:r w:rsidRPr="006436AC">
        <w:rPr>
          <w:rFonts w:ascii="Arial" w:hAnsi="Arial" w:cs="Arial"/>
          <w:sz w:val="20"/>
          <w:szCs w:val="20"/>
        </w:rPr>
        <w:t xml:space="preserve">. </w:t>
      </w:r>
      <w:r w:rsidR="006031EC" w:rsidRPr="006436AC">
        <w:rPr>
          <w:rFonts w:ascii="Arial" w:hAnsi="Arial" w:cs="Arial"/>
          <w:sz w:val="20"/>
          <w:szCs w:val="20"/>
        </w:rPr>
        <w:t>Although t</w:t>
      </w:r>
      <w:r w:rsidRPr="006436AC">
        <w:rPr>
          <w:rFonts w:ascii="Arial" w:hAnsi="Arial" w:cs="Arial"/>
          <w:sz w:val="20"/>
          <w:szCs w:val="20"/>
        </w:rPr>
        <w:t xml:space="preserve">hese </w:t>
      </w:r>
      <w:r w:rsidR="004B40F0" w:rsidRPr="006436AC">
        <w:rPr>
          <w:rFonts w:ascii="Arial" w:hAnsi="Arial" w:cs="Arial"/>
          <w:sz w:val="20"/>
          <w:szCs w:val="20"/>
        </w:rPr>
        <w:t>decisions</w:t>
      </w:r>
      <w:r w:rsidRPr="006436AC">
        <w:rPr>
          <w:rFonts w:ascii="Arial" w:hAnsi="Arial" w:cs="Arial"/>
          <w:sz w:val="20"/>
          <w:szCs w:val="20"/>
        </w:rPr>
        <w:t xml:space="preserve"> are </w:t>
      </w:r>
      <w:r w:rsidR="006031EC" w:rsidRPr="006436AC">
        <w:rPr>
          <w:rFonts w:ascii="Arial" w:hAnsi="Arial" w:cs="Arial"/>
          <w:sz w:val="20"/>
          <w:szCs w:val="20"/>
        </w:rPr>
        <w:t xml:space="preserve">often treated as </w:t>
      </w:r>
      <w:r w:rsidRPr="006436AC">
        <w:rPr>
          <w:rFonts w:ascii="Arial" w:hAnsi="Arial" w:cs="Arial"/>
          <w:sz w:val="20"/>
          <w:szCs w:val="20"/>
        </w:rPr>
        <w:t>dichotomous</w:t>
      </w:r>
      <w:r w:rsidR="006031EC" w:rsidRPr="006436AC">
        <w:rPr>
          <w:rFonts w:ascii="Arial" w:hAnsi="Arial" w:cs="Arial"/>
          <w:sz w:val="20"/>
          <w:szCs w:val="20"/>
        </w:rPr>
        <w:t>, i</w:t>
      </w:r>
      <w:r w:rsidRPr="006436AC">
        <w:rPr>
          <w:rFonts w:ascii="Arial" w:hAnsi="Arial" w:cs="Arial"/>
          <w:sz w:val="20"/>
          <w:szCs w:val="20"/>
        </w:rPr>
        <w:t>n reality,</w:t>
      </w:r>
      <w:r w:rsidR="006031EC" w:rsidRPr="006436AC">
        <w:rPr>
          <w:rFonts w:ascii="Arial" w:hAnsi="Arial" w:cs="Arial"/>
          <w:sz w:val="20"/>
          <w:szCs w:val="20"/>
        </w:rPr>
        <w:t xml:space="preserve"> </w:t>
      </w:r>
      <w:r w:rsidRPr="006436AC">
        <w:rPr>
          <w:rFonts w:ascii="Arial" w:hAnsi="Arial" w:cs="Arial"/>
          <w:sz w:val="20"/>
          <w:szCs w:val="20"/>
        </w:rPr>
        <w:t>situations are neither completely familiar, nor entirely new</w:t>
      </w:r>
      <w:r w:rsidR="006031EC" w:rsidRPr="006436AC">
        <w:rPr>
          <w:rFonts w:ascii="Arial" w:hAnsi="Arial" w:cs="Arial"/>
          <w:sz w:val="20"/>
          <w:szCs w:val="20"/>
        </w:rPr>
        <w:t>.</w:t>
      </w:r>
      <w:r w:rsidRPr="006436AC">
        <w:rPr>
          <w:rFonts w:ascii="Arial" w:hAnsi="Arial" w:cs="Arial"/>
          <w:sz w:val="20"/>
          <w:szCs w:val="20"/>
        </w:rPr>
        <w:t xml:space="preserve"> </w:t>
      </w:r>
      <w:r w:rsidR="006031EC" w:rsidRPr="006436AC">
        <w:rPr>
          <w:rFonts w:ascii="Arial" w:hAnsi="Arial" w:cs="Arial"/>
          <w:sz w:val="20"/>
          <w:szCs w:val="20"/>
        </w:rPr>
        <w:t>C</w:t>
      </w:r>
      <w:r w:rsidRPr="006436AC">
        <w:rPr>
          <w:rFonts w:ascii="Arial" w:hAnsi="Arial" w:cs="Arial"/>
          <w:sz w:val="20"/>
          <w:szCs w:val="20"/>
        </w:rPr>
        <w:t>ontemporary account</w:t>
      </w:r>
      <w:r w:rsidR="004B40F0" w:rsidRPr="006436AC">
        <w:rPr>
          <w:rFonts w:ascii="Arial" w:hAnsi="Arial" w:cs="Arial"/>
          <w:sz w:val="20"/>
          <w:szCs w:val="20"/>
        </w:rPr>
        <w:t>s</w:t>
      </w:r>
      <w:r w:rsidRPr="006436AC">
        <w:rPr>
          <w:rFonts w:ascii="Arial" w:hAnsi="Arial" w:cs="Arial"/>
          <w:sz w:val="20"/>
          <w:szCs w:val="20"/>
        </w:rPr>
        <w:t xml:space="preserve"> </w:t>
      </w:r>
      <w:r w:rsidR="006031EC" w:rsidRPr="006436AC">
        <w:rPr>
          <w:rFonts w:ascii="Arial" w:hAnsi="Arial" w:cs="Arial"/>
          <w:sz w:val="20"/>
          <w:szCs w:val="20"/>
        </w:rPr>
        <w:t xml:space="preserve">of brain organization suggest </w:t>
      </w:r>
      <w:r w:rsidR="00391147" w:rsidRPr="006436AC">
        <w:rPr>
          <w:rFonts w:ascii="Arial" w:hAnsi="Arial" w:cs="Arial"/>
          <w:sz w:val="20"/>
          <w:szCs w:val="20"/>
        </w:rPr>
        <w:t xml:space="preserve">that </w:t>
      </w:r>
      <w:r w:rsidR="004B40F0" w:rsidRPr="006436AC">
        <w:rPr>
          <w:rFonts w:ascii="Arial" w:hAnsi="Arial" w:cs="Arial"/>
          <w:sz w:val="20"/>
          <w:szCs w:val="20"/>
        </w:rPr>
        <w:t xml:space="preserve">neural </w:t>
      </w:r>
      <w:r w:rsidRPr="006436AC">
        <w:rPr>
          <w:rFonts w:ascii="Arial" w:hAnsi="Arial" w:cs="Arial"/>
          <w:sz w:val="20"/>
          <w:szCs w:val="20"/>
        </w:rPr>
        <w:t xml:space="preserve">function </w:t>
      </w:r>
      <w:r w:rsidR="006031EC" w:rsidRPr="006436AC">
        <w:rPr>
          <w:rFonts w:ascii="Arial" w:hAnsi="Arial" w:cs="Arial"/>
          <w:sz w:val="20"/>
          <w:szCs w:val="20"/>
        </w:rPr>
        <w:t xml:space="preserve">is organized along a </w:t>
      </w:r>
      <w:r w:rsidRPr="006436AC">
        <w:rPr>
          <w:rFonts w:ascii="Arial" w:hAnsi="Arial" w:cs="Arial"/>
          <w:sz w:val="20"/>
          <w:szCs w:val="20"/>
        </w:rPr>
        <w:t xml:space="preserve">gradient </w:t>
      </w:r>
      <w:r w:rsidR="006031EC" w:rsidRPr="006436AC">
        <w:rPr>
          <w:rFonts w:ascii="Arial" w:hAnsi="Arial" w:cs="Arial"/>
          <w:sz w:val="20"/>
          <w:szCs w:val="20"/>
        </w:rPr>
        <w:t>from</w:t>
      </w:r>
      <w:r w:rsidRPr="006436AC">
        <w:rPr>
          <w:rFonts w:ascii="Arial" w:hAnsi="Arial" w:cs="Arial"/>
          <w:sz w:val="20"/>
          <w:szCs w:val="20"/>
        </w:rPr>
        <w:t xml:space="preserve"> unimodal regions</w:t>
      </w:r>
      <w:r w:rsidR="006031EC" w:rsidRPr="006436AC">
        <w:rPr>
          <w:rFonts w:ascii="Arial" w:hAnsi="Arial" w:cs="Arial"/>
          <w:sz w:val="20"/>
          <w:szCs w:val="20"/>
        </w:rPr>
        <w:t xml:space="preserve"> </w:t>
      </w:r>
      <w:r w:rsidR="00B307B8" w:rsidRPr="006436AC">
        <w:rPr>
          <w:rFonts w:ascii="Arial" w:hAnsi="Arial" w:cs="Arial"/>
          <w:sz w:val="20"/>
          <w:szCs w:val="20"/>
        </w:rPr>
        <w:t xml:space="preserve">of sensorimotor cortex, </w:t>
      </w:r>
      <w:r w:rsidR="00391147" w:rsidRPr="006436AC">
        <w:rPr>
          <w:rFonts w:ascii="Arial" w:hAnsi="Arial" w:cs="Arial"/>
          <w:sz w:val="20"/>
          <w:szCs w:val="20"/>
        </w:rPr>
        <w:t xml:space="preserve">through executive regions </w:t>
      </w:r>
      <w:r w:rsidR="006031EC" w:rsidRPr="006436AC">
        <w:rPr>
          <w:rFonts w:ascii="Arial" w:hAnsi="Arial" w:cs="Arial"/>
          <w:sz w:val="20"/>
          <w:szCs w:val="20"/>
        </w:rPr>
        <w:t xml:space="preserve">to transmodal default </w:t>
      </w:r>
      <w:r w:rsidR="00B307B8" w:rsidRPr="006436AC">
        <w:rPr>
          <w:rFonts w:ascii="Arial" w:hAnsi="Arial" w:cs="Arial"/>
          <w:sz w:val="20"/>
          <w:szCs w:val="20"/>
        </w:rPr>
        <w:t>network</w:t>
      </w:r>
      <w:r w:rsidRPr="006436AC">
        <w:rPr>
          <w:rFonts w:ascii="Arial" w:hAnsi="Arial" w:cs="Arial"/>
          <w:sz w:val="20"/>
          <w:szCs w:val="20"/>
        </w:rPr>
        <w:t xml:space="preserve">. </w:t>
      </w:r>
      <w:r w:rsidR="004B40F0" w:rsidRPr="006436AC">
        <w:rPr>
          <w:rFonts w:ascii="Arial" w:hAnsi="Arial" w:cs="Arial"/>
          <w:sz w:val="20"/>
          <w:szCs w:val="20"/>
        </w:rPr>
        <w:t xml:space="preserve">We examined whether this graded view of neural organization </w:t>
      </w:r>
      <w:r w:rsidR="00B307B8" w:rsidRPr="006436AC">
        <w:rPr>
          <w:rFonts w:ascii="Arial" w:hAnsi="Arial" w:cs="Arial"/>
          <w:sz w:val="20"/>
          <w:szCs w:val="20"/>
        </w:rPr>
        <w:t xml:space="preserve">helps </w:t>
      </w:r>
      <w:r w:rsidR="00362163" w:rsidRPr="006436AC">
        <w:rPr>
          <w:rFonts w:ascii="Arial" w:hAnsi="Arial" w:cs="Arial"/>
          <w:sz w:val="20"/>
          <w:szCs w:val="20"/>
        </w:rPr>
        <w:t>to explain</w:t>
      </w:r>
      <w:r w:rsidR="00B307B8" w:rsidRPr="006436AC">
        <w:rPr>
          <w:rFonts w:ascii="Arial" w:hAnsi="Arial" w:cs="Arial"/>
          <w:sz w:val="20"/>
          <w:szCs w:val="20"/>
        </w:rPr>
        <w:t xml:space="preserve"> </w:t>
      </w:r>
      <w:r w:rsidR="004B40F0" w:rsidRPr="006436AC">
        <w:rPr>
          <w:rFonts w:ascii="Arial" w:hAnsi="Arial" w:cs="Arial"/>
          <w:sz w:val="20"/>
          <w:szCs w:val="20"/>
        </w:rPr>
        <w:t>how decision</w:t>
      </w:r>
      <w:r w:rsidR="00B307B8" w:rsidRPr="006436AC">
        <w:rPr>
          <w:rFonts w:ascii="Arial" w:hAnsi="Arial" w:cs="Arial"/>
          <w:sz w:val="20"/>
          <w:szCs w:val="20"/>
        </w:rPr>
        <w:t>-</w:t>
      </w:r>
      <w:r w:rsidR="004B40F0" w:rsidRPr="006436AC">
        <w:rPr>
          <w:rFonts w:ascii="Arial" w:hAnsi="Arial" w:cs="Arial"/>
          <w:sz w:val="20"/>
          <w:szCs w:val="20"/>
        </w:rPr>
        <w:t xml:space="preserve">making </w:t>
      </w:r>
      <w:r w:rsidR="00391147" w:rsidRPr="006436AC">
        <w:rPr>
          <w:rFonts w:ascii="Arial" w:hAnsi="Arial" w:cs="Arial"/>
          <w:sz w:val="20"/>
          <w:szCs w:val="20"/>
        </w:rPr>
        <w:t>changes</w:t>
      </w:r>
      <w:r w:rsidR="004B40F0" w:rsidRPr="006436AC">
        <w:rPr>
          <w:rFonts w:ascii="Arial" w:hAnsi="Arial" w:cs="Arial"/>
          <w:sz w:val="20"/>
          <w:szCs w:val="20"/>
        </w:rPr>
        <w:t xml:space="preserve"> </w:t>
      </w:r>
      <w:r w:rsidR="00362163" w:rsidRPr="006436AC">
        <w:rPr>
          <w:rFonts w:ascii="Arial" w:hAnsi="Arial" w:cs="Arial"/>
          <w:sz w:val="20"/>
          <w:szCs w:val="20"/>
        </w:rPr>
        <w:t>across</w:t>
      </w:r>
      <w:r w:rsidR="004B40F0" w:rsidRPr="006436AC">
        <w:rPr>
          <w:rFonts w:ascii="Arial" w:hAnsi="Arial" w:cs="Arial"/>
          <w:sz w:val="20"/>
          <w:szCs w:val="20"/>
        </w:rPr>
        <w:t xml:space="preserve"> situations that vary in </w:t>
      </w:r>
      <w:r w:rsidR="00362163" w:rsidRPr="006436AC">
        <w:rPr>
          <w:rFonts w:ascii="Arial" w:hAnsi="Arial" w:cs="Arial"/>
          <w:sz w:val="20"/>
          <w:szCs w:val="20"/>
        </w:rPr>
        <w:t xml:space="preserve">their </w:t>
      </w:r>
      <w:r w:rsidR="00391147" w:rsidRPr="006436AC">
        <w:rPr>
          <w:rFonts w:ascii="Arial" w:hAnsi="Arial" w:cs="Arial"/>
          <w:sz w:val="20"/>
          <w:szCs w:val="20"/>
        </w:rPr>
        <w:t>alignment with long-</w:t>
      </w:r>
      <w:r w:rsidR="004B40F0" w:rsidRPr="006436AC">
        <w:rPr>
          <w:rFonts w:ascii="Arial" w:hAnsi="Arial" w:cs="Arial"/>
          <w:sz w:val="20"/>
          <w:szCs w:val="20"/>
        </w:rPr>
        <w:t xml:space="preserve">term knowledge. </w:t>
      </w:r>
      <w:r w:rsidR="00A660A1" w:rsidRPr="006436AC">
        <w:rPr>
          <w:rFonts w:ascii="Arial" w:hAnsi="Arial" w:cs="Arial"/>
          <w:sz w:val="20"/>
          <w:szCs w:val="20"/>
        </w:rPr>
        <w:t>We used a semantic judgment task, w</w:t>
      </w:r>
      <w:r w:rsidR="00F65240" w:rsidRPr="006436AC">
        <w:rPr>
          <w:rFonts w:ascii="Arial" w:hAnsi="Arial" w:cs="Arial"/>
          <w:sz w:val="20"/>
          <w:szCs w:val="20"/>
        </w:rPr>
        <w:t>hich</w:t>
      </w:r>
      <w:r w:rsidR="00A660A1" w:rsidRPr="006436AC">
        <w:rPr>
          <w:rFonts w:ascii="Arial" w:hAnsi="Arial" w:cs="Arial"/>
          <w:sz w:val="20"/>
          <w:szCs w:val="20"/>
        </w:rPr>
        <w:t xml:space="preserve"> parametrically varied the global semantic similarity of items within a feature matching task to create a ‘task gradient’, from conceptual combinations that were highly overlapping in long-term memory to trials that only shared the goal-relevant feature. We found the brain’s response to the task gradient varied systematically along the connectivity gradient, with the strongest response in </w:t>
      </w:r>
      <w:r w:rsidR="00A23835" w:rsidRPr="006436AC">
        <w:rPr>
          <w:rFonts w:ascii="Arial" w:hAnsi="Arial" w:cs="Arial"/>
          <w:sz w:val="20"/>
          <w:szCs w:val="20"/>
        </w:rPr>
        <w:t>default mode network (</w:t>
      </w:r>
      <w:r w:rsidR="00A660A1" w:rsidRPr="006436AC">
        <w:rPr>
          <w:rFonts w:ascii="Arial" w:hAnsi="Arial" w:cs="Arial"/>
          <w:sz w:val="20"/>
          <w:szCs w:val="20"/>
        </w:rPr>
        <w:t>DMN</w:t>
      </w:r>
      <w:r w:rsidR="00A23835" w:rsidRPr="006436AC">
        <w:rPr>
          <w:rFonts w:ascii="Arial" w:hAnsi="Arial" w:cs="Arial"/>
          <w:sz w:val="20"/>
          <w:szCs w:val="20"/>
        </w:rPr>
        <w:t>)</w:t>
      </w:r>
      <w:r w:rsidR="00A660A1" w:rsidRPr="006436AC">
        <w:rPr>
          <w:rFonts w:ascii="Arial" w:hAnsi="Arial" w:cs="Arial"/>
          <w:sz w:val="20"/>
          <w:szCs w:val="20"/>
        </w:rPr>
        <w:t xml:space="preserve"> when the probe and target items were highly overlapping conceptually. This graded functional change was seen in multiple brain regions and within individual brains, and was not readily explained by task difficulty. Moreover, the gradient captured the spatial layout of networks involved in semantic processing, providing an organizational principle for controlled semantic cognition across the cortex. </w:t>
      </w:r>
      <w:r w:rsidR="0042641D" w:rsidRPr="006436AC">
        <w:rPr>
          <w:rFonts w:ascii="Arial" w:hAnsi="Arial" w:cs="Arial"/>
          <w:sz w:val="20"/>
          <w:szCs w:val="20"/>
        </w:rPr>
        <w:t>In this way,</w:t>
      </w:r>
      <w:r w:rsidR="004B40F0" w:rsidRPr="006436AC">
        <w:rPr>
          <w:rFonts w:ascii="Arial" w:hAnsi="Arial" w:cs="Arial"/>
          <w:sz w:val="20"/>
          <w:szCs w:val="20"/>
        </w:rPr>
        <w:t xml:space="preserve"> </w:t>
      </w:r>
      <w:r w:rsidR="00A80216" w:rsidRPr="006436AC">
        <w:rPr>
          <w:rFonts w:ascii="Arial" w:hAnsi="Arial" w:cs="Arial"/>
          <w:sz w:val="20"/>
          <w:szCs w:val="20"/>
        </w:rPr>
        <w:t>the cortex is organized</w:t>
      </w:r>
      <w:r w:rsidR="004B40F0" w:rsidRPr="006436AC">
        <w:rPr>
          <w:rFonts w:ascii="Arial" w:hAnsi="Arial" w:cs="Arial"/>
          <w:sz w:val="20"/>
          <w:szCs w:val="20"/>
        </w:rPr>
        <w:t xml:space="preserve"> to support </w:t>
      </w:r>
      <w:r w:rsidR="005F1E3B" w:rsidRPr="006436AC">
        <w:rPr>
          <w:rFonts w:ascii="Arial" w:hAnsi="Arial" w:cs="Arial"/>
          <w:sz w:val="20"/>
          <w:szCs w:val="20"/>
        </w:rPr>
        <w:t xml:space="preserve">semantic </w:t>
      </w:r>
      <w:r w:rsidR="004B40F0" w:rsidRPr="006436AC">
        <w:rPr>
          <w:rFonts w:ascii="Arial" w:hAnsi="Arial" w:cs="Arial"/>
          <w:sz w:val="20"/>
          <w:szCs w:val="20"/>
        </w:rPr>
        <w:t>decision</w:t>
      </w:r>
      <w:r w:rsidR="0042641D" w:rsidRPr="006436AC">
        <w:rPr>
          <w:rFonts w:ascii="Arial" w:hAnsi="Arial" w:cs="Arial"/>
          <w:sz w:val="20"/>
          <w:szCs w:val="20"/>
        </w:rPr>
        <w:t>-</w:t>
      </w:r>
      <w:r w:rsidR="00B307B8" w:rsidRPr="006436AC">
        <w:rPr>
          <w:rFonts w:ascii="Arial" w:hAnsi="Arial" w:cs="Arial"/>
          <w:sz w:val="20"/>
          <w:szCs w:val="20"/>
        </w:rPr>
        <w:t>making</w:t>
      </w:r>
      <w:r w:rsidR="004B40F0" w:rsidRPr="006436AC">
        <w:rPr>
          <w:rFonts w:ascii="Arial" w:hAnsi="Arial" w:cs="Arial"/>
          <w:sz w:val="20"/>
          <w:szCs w:val="20"/>
        </w:rPr>
        <w:t xml:space="preserve"> </w:t>
      </w:r>
      <w:r w:rsidR="00B307B8" w:rsidRPr="006436AC">
        <w:rPr>
          <w:rFonts w:ascii="Arial" w:hAnsi="Arial" w:cs="Arial"/>
          <w:sz w:val="20"/>
          <w:szCs w:val="20"/>
        </w:rPr>
        <w:t>in</w:t>
      </w:r>
      <w:r w:rsidR="004B40F0" w:rsidRPr="006436AC">
        <w:rPr>
          <w:rFonts w:ascii="Arial" w:hAnsi="Arial" w:cs="Arial"/>
          <w:sz w:val="20"/>
          <w:szCs w:val="20"/>
        </w:rPr>
        <w:t xml:space="preserve"> </w:t>
      </w:r>
      <w:r w:rsidR="0042641D" w:rsidRPr="006436AC">
        <w:rPr>
          <w:rFonts w:ascii="Arial" w:hAnsi="Arial" w:cs="Arial"/>
          <w:sz w:val="20"/>
          <w:szCs w:val="20"/>
        </w:rPr>
        <w:t xml:space="preserve">both highly familiar and less familiar </w:t>
      </w:r>
      <w:r w:rsidR="004B40F0" w:rsidRPr="006436AC">
        <w:rPr>
          <w:rFonts w:ascii="Arial" w:hAnsi="Arial" w:cs="Arial"/>
          <w:sz w:val="20"/>
          <w:szCs w:val="20"/>
        </w:rPr>
        <w:t>situations</w:t>
      </w:r>
      <w:r w:rsidRPr="006436AC">
        <w:rPr>
          <w:rFonts w:ascii="Arial" w:hAnsi="Arial" w:cs="Arial"/>
          <w:sz w:val="20"/>
          <w:szCs w:val="20"/>
        </w:rPr>
        <w:t>.</w:t>
      </w:r>
    </w:p>
    <w:p w14:paraId="591AB0EE" w14:textId="77777777" w:rsidR="00087B64" w:rsidRPr="006436AC" w:rsidRDefault="00087B64" w:rsidP="000E64FB">
      <w:pPr>
        <w:spacing w:before="100" w:beforeAutospacing="1" w:after="100" w:afterAutospacing="1" w:line="480" w:lineRule="auto"/>
        <w:rPr>
          <w:rFonts w:ascii="Arial" w:hAnsi="Arial" w:cs="Arial"/>
          <w:b/>
          <w:sz w:val="20"/>
          <w:szCs w:val="20"/>
        </w:rPr>
      </w:pPr>
      <w:r w:rsidRPr="006436AC">
        <w:rPr>
          <w:rFonts w:ascii="Arial" w:hAnsi="Arial" w:cs="Arial"/>
          <w:b/>
          <w:sz w:val="20"/>
          <w:szCs w:val="20"/>
        </w:rPr>
        <w:t>Keywords</w:t>
      </w:r>
    </w:p>
    <w:p w14:paraId="70026FCD" w14:textId="77777777" w:rsidR="00087B64" w:rsidRPr="006436AC" w:rsidRDefault="00087B64" w:rsidP="000E64FB">
      <w:pPr>
        <w:spacing w:before="100" w:beforeAutospacing="1" w:after="100" w:afterAutospacing="1" w:line="480" w:lineRule="auto"/>
        <w:rPr>
          <w:rFonts w:ascii="Arial" w:hAnsi="Arial" w:cs="Arial"/>
          <w:sz w:val="20"/>
          <w:szCs w:val="20"/>
        </w:rPr>
      </w:pPr>
      <w:r w:rsidRPr="006436AC">
        <w:rPr>
          <w:rFonts w:ascii="Arial" w:hAnsi="Arial" w:cs="Arial"/>
          <w:sz w:val="20"/>
          <w:szCs w:val="20"/>
        </w:rPr>
        <w:t>semantic, gradient, default mode network, semantic control, multiple demand</w:t>
      </w:r>
    </w:p>
    <w:p w14:paraId="1F4FB85C" w14:textId="5A63A36F" w:rsidR="00FC6602" w:rsidRPr="006436AC" w:rsidRDefault="00FC6602" w:rsidP="000E64FB">
      <w:pPr>
        <w:keepNext/>
        <w:pBdr>
          <w:top w:val="nil"/>
          <w:left w:val="nil"/>
          <w:bottom w:val="nil"/>
          <w:right w:val="nil"/>
          <w:between w:val="nil"/>
        </w:pBdr>
        <w:spacing w:before="100" w:beforeAutospacing="1" w:after="100" w:afterAutospacing="1" w:line="480" w:lineRule="auto"/>
        <w:rPr>
          <w:rFonts w:ascii="Arial" w:hAnsi="Arial" w:cs="Arial"/>
          <w:b/>
          <w:sz w:val="20"/>
          <w:szCs w:val="20"/>
        </w:rPr>
      </w:pPr>
      <w:r w:rsidRPr="006436AC">
        <w:rPr>
          <w:rFonts w:ascii="Arial" w:hAnsi="Arial" w:cs="Arial"/>
          <w:b/>
          <w:sz w:val="20"/>
          <w:szCs w:val="20"/>
        </w:rPr>
        <w:br w:type="page"/>
      </w:r>
    </w:p>
    <w:p w14:paraId="4903E3B2" w14:textId="216E0A42" w:rsidR="00980C22" w:rsidRPr="006436AC" w:rsidRDefault="004B4F7A" w:rsidP="000E64FB">
      <w:pPr>
        <w:pStyle w:val="Style1"/>
        <w:spacing w:before="100" w:beforeAutospacing="1" w:after="100" w:afterAutospacing="1" w:line="480" w:lineRule="auto"/>
        <w:rPr>
          <w:rFonts w:cs="Arial"/>
          <w:sz w:val="20"/>
          <w:szCs w:val="20"/>
        </w:rPr>
      </w:pPr>
      <w:r w:rsidRPr="006436AC">
        <w:rPr>
          <w:rFonts w:cs="Arial"/>
          <w:sz w:val="20"/>
          <w:szCs w:val="20"/>
        </w:rPr>
        <w:lastRenderedPageBreak/>
        <w:t xml:space="preserve">1. </w:t>
      </w:r>
      <w:r w:rsidR="00087B64" w:rsidRPr="006436AC">
        <w:rPr>
          <w:rFonts w:cs="Arial"/>
          <w:sz w:val="20"/>
          <w:szCs w:val="20"/>
        </w:rPr>
        <w:t>Introduction</w:t>
      </w:r>
    </w:p>
    <w:p w14:paraId="56F3A78B" w14:textId="099C8BEA" w:rsidR="0001094C" w:rsidRPr="006436AC" w:rsidRDefault="00B307B8"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Cognition supports behavioral flexibility by guid</w:t>
      </w:r>
      <w:r w:rsidR="00FC6602" w:rsidRPr="006436AC">
        <w:rPr>
          <w:rFonts w:ascii="Arial" w:hAnsi="Arial" w:cs="Arial"/>
          <w:sz w:val="20"/>
          <w:szCs w:val="20"/>
        </w:rPr>
        <w:t>ing</w:t>
      </w:r>
      <w:r w:rsidRPr="006436AC">
        <w:rPr>
          <w:rFonts w:ascii="Arial" w:hAnsi="Arial" w:cs="Arial"/>
          <w:sz w:val="20"/>
          <w:szCs w:val="20"/>
        </w:rPr>
        <w:t xml:space="preserve"> decision-making </w:t>
      </w:r>
      <w:r w:rsidR="0001094C" w:rsidRPr="006436AC">
        <w:rPr>
          <w:rFonts w:ascii="Arial" w:hAnsi="Arial" w:cs="Arial"/>
          <w:sz w:val="20"/>
          <w:szCs w:val="20"/>
        </w:rPr>
        <w:t xml:space="preserve">in a </w:t>
      </w:r>
      <w:r w:rsidRPr="006436AC">
        <w:rPr>
          <w:rFonts w:ascii="Arial" w:hAnsi="Arial" w:cs="Arial"/>
          <w:sz w:val="20"/>
          <w:szCs w:val="20"/>
        </w:rPr>
        <w:t xml:space="preserve">manner </w:t>
      </w:r>
      <w:r w:rsidR="0001094C" w:rsidRPr="006436AC">
        <w:rPr>
          <w:rFonts w:ascii="Arial" w:hAnsi="Arial" w:cs="Arial"/>
          <w:sz w:val="20"/>
          <w:szCs w:val="20"/>
        </w:rPr>
        <w:t xml:space="preserve">that is appropriate </w:t>
      </w:r>
      <w:r w:rsidRPr="006436AC">
        <w:rPr>
          <w:rFonts w:ascii="Arial" w:hAnsi="Arial" w:cs="Arial"/>
          <w:sz w:val="20"/>
          <w:szCs w:val="20"/>
        </w:rPr>
        <w:t>to</w:t>
      </w:r>
      <w:r w:rsidR="0001094C" w:rsidRPr="006436AC">
        <w:rPr>
          <w:rFonts w:ascii="Arial" w:hAnsi="Arial" w:cs="Arial"/>
          <w:sz w:val="20"/>
          <w:szCs w:val="20"/>
        </w:rPr>
        <w:t xml:space="preserve"> </w:t>
      </w:r>
      <w:r w:rsidR="006E5476" w:rsidRPr="006436AC">
        <w:rPr>
          <w:rFonts w:ascii="Arial" w:hAnsi="Arial" w:cs="Arial"/>
          <w:sz w:val="20"/>
          <w:szCs w:val="20"/>
        </w:rPr>
        <w:t>our</w:t>
      </w:r>
      <w:r w:rsidR="00D771B6" w:rsidRPr="006436AC">
        <w:rPr>
          <w:rFonts w:ascii="Arial" w:hAnsi="Arial" w:cs="Arial"/>
          <w:sz w:val="20"/>
          <w:szCs w:val="20"/>
        </w:rPr>
        <w:t xml:space="preserve"> changing</w:t>
      </w:r>
      <w:r w:rsidR="00FC6602" w:rsidRPr="006436AC">
        <w:rPr>
          <w:rFonts w:ascii="Arial" w:hAnsi="Arial" w:cs="Arial"/>
          <w:sz w:val="20"/>
          <w:szCs w:val="20"/>
        </w:rPr>
        <w:t xml:space="preserve"> </w:t>
      </w:r>
      <w:r w:rsidR="0001094C" w:rsidRPr="006436AC">
        <w:rPr>
          <w:rFonts w:ascii="Arial" w:hAnsi="Arial" w:cs="Arial"/>
          <w:sz w:val="20"/>
          <w:szCs w:val="20"/>
        </w:rPr>
        <w:t xml:space="preserve">circumstances. Although </w:t>
      </w:r>
      <w:r w:rsidR="006E5476" w:rsidRPr="006436AC">
        <w:rPr>
          <w:rFonts w:ascii="Arial" w:hAnsi="Arial" w:cs="Arial"/>
          <w:sz w:val="20"/>
          <w:szCs w:val="20"/>
        </w:rPr>
        <w:t xml:space="preserve">long-term </w:t>
      </w:r>
      <w:r w:rsidRPr="006436AC">
        <w:rPr>
          <w:rFonts w:ascii="Arial" w:hAnsi="Arial" w:cs="Arial"/>
          <w:sz w:val="20"/>
          <w:szCs w:val="20"/>
        </w:rPr>
        <w:t>knowledge can support</w:t>
      </w:r>
      <w:r w:rsidR="0001094C" w:rsidRPr="006436AC">
        <w:rPr>
          <w:rFonts w:ascii="Arial" w:hAnsi="Arial" w:cs="Arial"/>
          <w:sz w:val="20"/>
          <w:szCs w:val="20"/>
        </w:rPr>
        <w:t xml:space="preserve"> </w:t>
      </w:r>
      <w:r w:rsidR="006E5476" w:rsidRPr="006436AC">
        <w:rPr>
          <w:rFonts w:ascii="Arial" w:hAnsi="Arial" w:cs="Arial"/>
          <w:sz w:val="20"/>
          <w:szCs w:val="20"/>
        </w:rPr>
        <w:t xml:space="preserve">our </w:t>
      </w:r>
      <w:r w:rsidR="0001094C" w:rsidRPr="006436AC">
        <w:rPr>
          <w:rFonts w:ascii="Arial" w:hAnsi="Arial" w:cs="Arial"/>
          <w:sz w:val="20"/>
          <w:szCs w:val="20"/>
        </w:rPr>
        <w:t>decisions</w:t>
      </w:r>
      <w:r w:rsidRPr="006436AC">
        <w:rPr>
          <w:rFonts w:ascii="Arial" w:hAnsi="Arial" w:cs="Arial"/>
          <w:sz w:val="20"/>
          <w:szCs w:val="20"/>
        </w:rPr>
        <w:t xml:space="preserve"> in </w:t>
      </w:r>
      <w:r w:rsidR="006E5476" w:rsidRPr="006436AC">
        <w:rPr>
          <w:rFonts w:ascii="Arial" w:hAnsi="Arial" w:cs="Arial"/>
          <w:sz w:val="20"/>
          <w:szCs w:val="20"/>
        </w:rPr>
        <w:t xml:space="preserve">familiar </w:t>
      </w:r>
      <w:r w:rsidRPr="006436AC">
        <w:rPr>
          <w:rFonts w:ascii="Arial" w:hAnsi="Arial" w:cs="Arial"/>
          <w:sz w:val="20"/>
          <w:szCs w:val="20"/>
        </w:rPr>
        <w:t xml:space="preserve">situations, in </w:t>
      </w:r>
      <w:r w:rsidR="0001094C" w:rsidRPr="006436AC">
        <w:rPr>
          <w:rFonts w:ascii="Arial" w:hAnsi="Arial" w:cs="Arial"/>
          <w:sz w:val="20"/>
          <w:szCs w:val="20"/>
        </w:rPr>
        <w:t>novel circumstances</w:t>
      </w:r>
      <w:r w:rsidR="006E5476" w:rsidRPr="006436AC">
        <w:rPr>
          <w:rFonts w:ascii="Arial" w:hAnsi="Arial" w:cs="Arial"/>
          <w:sz w:val="20"/>
          <w:szCs w:val="20"/>
        </w:rPr>
        <w:t>,</w:t>
      </w:r>
      <w:r w:rsidRPr="006436AC">
        <w:rPr>
          <w:rFonts w:ascii="Arial" w:hAnsi="Arial" w:cs="Arial"/>
          <w:sz w:val="20"/>
          <w:szCs w:val="20"/>
        </w:rPr>
        <w:t xml:space="preserve"> knowledge is not available to constrain ou</w:t>
      </w:r>
      <w:r w:rsidR="00362163" w:rsidRPr="006436AC">
        <w:rPr>
          <w:rFonts w:ascii="Arial" w:hAnsi="Arial" w:cs="Arial"/>
          <w:sz w:val="20"/>
          <w:szCs w:val="20"/>
        </w:rPr>
        <w:t>r</w:t>
      </w:r>
      <w:r w:rsidRPr="006436AC">
        <w:rPr>
          <w:rFonts w:ascii="Arial" w:hAnsi="Arial" w:cs="Arial"/>
          <w:sz w:val="20"/>
          <w:szCs w:val="20"/>
        </w:rPr>
        <w:t xml:space="preserve"> choices</w:t>
      </w:r>
      <w:r w:rsidR="004B4F7A" w:rsidRPr="006436AC">
        <w:rPr>
          <w:rFonts w:ascii="Arial" w:hAnsi="Arial" w:cs="Arial"/>
          <w:sz w:val="20"/>
          <w:szCs w:val="20"/>
        </w:rPr>
        <w:t xml:space="preserve"> </w:t>
      </w:r>
      <w:r w:rsidR="0001094C"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{"citationItems":[{"id":"ITEM-1","itemData":{"DOI":"10.1126/science.185.4157.1124","ISSN":"0036-8075","PMID":"17835457","abstract":"This article described three heuristics that are employed in making judgements under uncertainty: (i) representativeness, which is usually employed when people are asked to judge the probability that an object or event A belongs to class or process B; (ii) availability of instances or scenarios, which is often employed when people are asked to assess the frequency of a class or the plausibility of a particular development; and (iii) adjustment from an anchor, which is usually employed in numerical prediction when a relevant value is available. These heuristics are highly economical and usually effective, but they lead to systematic and predictable errors. A better understanding of these heuristics and of the biases to which they lead could improve judgements and decisions in situations of uncertainty.","author":[{"dropping-particle":"","family":"Tversky","given":"A","non-dropping-particle":"","parse-names":false,"suffix":""},{"dropping-particle":"","family":"Kahneman","given":"D","non-dropping-particle":"","parse-names":false,"suffix":""}],"container-title":"Science (New York, N.Y.)","id":"ITEM-1","issue":"4157","issued":{"date-parts":[["1974","9","27"]]},"page":"1124-31","publisher":"American Association for the Advancement of Science","title":"Judgment under Uncertainty: Heuristics and Biases.","type":"article-journal","volume":"185"},"uris":["http://www.mendeley.com/documents/?uuid=fdc22fc2-6501-397c-87a4-cce30f50c9cf"]},{"id":"ITEM-2","itemData":{"DOI":"10.1257/000282803322655392","ISSN":"00028282","abstract":"This article is a revised version of the lecture Daniel Kahneman delivered in Stockholm, Sweden, on December 8, 2002, when he recieved the Bank of Sweden Prize in Economic Sciences in memory of Alfred Nobel.","author":[{"dropping-particle":"","family":"Kahneman","given":"Daniel","non-dropping-particle":"","parse-names":false,"suffix":""}],"container-title":"American Economic Review","id":"ITEM-2","issue":"5","issued":{"date-parts":[["2003"]]},"page":"1449-1475","title":"Maps of bounded rationality: Psychology for behavioral economics","type":"article-journal","volume":"93"},"uris":["http://www.mendeley.com/documents/?uuid=06fb5329-a6f3-321a-8ff9-0377d2f1b45c"]}],"mendeley":{"formattedCitation":"(Kahneman, 2003; Tversky and Kahneman, 1974)","plainTextFormattedCitation":"(Kahneman, 2003; Tversky and Kahneman, 1974)","previouslyFormattedCitation":"(Kahneman, 2003; Tversky and Kahneman, 1974)"},"properties":{"noteIndex":0},"schema":"https://github.com/citation-style-language/schema/raw/master/csl-citation.json"}</w:instrText>
      </w:r>
      <w:r w:rsidR="0001094C" w:rsidRPr="006436AC">
        <w:rPr>
          <w:rFonts w:ascii="Arial" w:hAnsi="Arial" w:cs="Arial"/>
          <w:sz w:val="20"/>
          <w:szCs w:val="20"/>
        </w:rPr>
        <w:fldChar w:fldCharType="separate"/>
      </w:r>
      <w:r w:rsidR="00566455" w:rsidRPr="006436AC">
        <w:rPr>
          <w:rFonts w:ascii="Arial" w:hAnsi="Arial" w:cs="Arial"/>
          <w:noProof/>
          <w:sz w:val="20"/>
          <w:szCs w:val="20"/>
        </w:rPr>
        <w:t>(Kahneman, 2003; Tversky and Kahneman, 1974)</w:t>
      </w:r>
      <w:r w:rsidR="0001094C" w:rsidRPr="006436AC">
        <w:rPr>
          <w:rFonts w:ascii="Arial" w:hAnsi="Arial" w:cs="Arial"/>
          <w:sz w:val="20"/>
          <w:szCs w:val="20"/>
        </w:rPr>
        <w:fldChar w:fldCharType="end"/>
      </w:r>
      <w:r w:rsidR="0001094C" w:rsidRPr="006436AC">
        <w:rPr>
          <w:rFonts w:ascii="Arial" w:hAnsi="Arial" w:cs="Arial"/>
          <w:sz w:val="20"/>
          <w:szCs w:val="20"/>
        </w:rPr>
        <w:t xml:space="preserve">. Traditionally, these different facets of cognition have been ascribed to dichotomous neural systems. Regions within the lateral anterior temporal lobe and angular gyrus, allied to the default mode network (DMN), are </w:t>
      </w:r>
      <w:r w:rsidRPr="006436AC">
        <w:rPr>
          <w:rFonts w:ascii="Arial" w:hAnsi="Arial" w:cs="Arial"/>
          <w:sz w:val="20"/>
          <w:szCs w:val="20"/>
        </w:rPr>
        <w:t xml:space="preserve">assumed to play a role </w:t>
      </w:r>
      <w:r w:rsidR="0001094C" w:rsidRPr="006436AC">
        <w:rPr>
          <w:rFonts w:ascii="Arial" w:hAnsi="Arial" w:cs="Arial"/>
          <w:sz w:val="20"/>
          <w:szCs w:val="20"/>
        </w:rPr>
        <w:t>when the knowledge required by a task is readily av</w:t>
      </w:r>
      <w:r w:rsidR="00AB7030" w:rsidRPr="006436AC">
        <w:rPr>
          <w:rFonts w:ascii="Arial" w:hAnsi="Arial" w:cs="Arial"/>
          <w:sz w:val="20"/>
          <w:szCs w:val="20"/>
        </w:rPr>
        <w:t>ailable within long-term memory</w:t>
      </w:r>
      <w:r w:rsidR="00567C92" w:rsidRPr="006436AC">
        <w:rPr>
          <w:rFonts w:ascii="Arial" w:hAnsi="Arial" w:cs="Arial"/>
          <w:sz w:val="20"/>
          <w:szCs w:val="20"/>
        </w:rPr>
        <w:t xml:space="preserve"> </w:t>
      </w:r>
      <w:r w:rsidR="0001094C" w:rsidRPr="006436AC">
        <w:rPr>
          <w:rFonts w:ascii="Arial" w:hAnsi="Arial" w:cs="Arial"/>
          <w:sz w:val="20"/>
          <w:szCs w:val="20"/>
        </w:rPr>
        <w:fldChar w:fldCharType="begin" w:fldLock="1"/>
      </w:r>
      <w:r w:rsidR="00D40D4C" w:rsidRPr="006436AC">
        <w:rPr>
          <w:rFonts w:ascii="Arial" w:hAnsi="Arial" w:cs="Arial"/>
          <w:sz w:val="20"/>
          <w:szCs w:val="20"/>
        </w:rPr>
        <w:instrText>ADDIN CSL_CITATION {"citationItems":[{"id":"ITEM-1","itemData":{"DOI":"10.1093/cercor/bhs170","ISSN":"10473211","abstract":"Language is experienced primarily through one of two mediums--spoken words and written text. Although substantially different in form, these two linguistic vehicles possess similar powers of expression. Consequently, one goal for the cognitive neuroscience of language is to determine where, if anywhere, along the neural path from sensory stimulation to ultimate comprehension these two processing streams converge. In the present study, we investigate the relationship between basic combinatorial operations in both reading and listening. Using magnetoencephalography, we measured neural activity elicited by the comprehension of simple adjective-noun phrases (red boat) using the same linguistic materials and tasks in both modalities. The present paradigm deviates from previous cross-modality studies by investigating only basic combinatorial mechanisms--specifically, those evoked by the construction of simple adjective-noun phrases. Our results indicate that both modalities rely upon shared neural mechanisms localized to the left anterior temporal lobe (lATL) and left angular gyrus (lAG) during such processing. Furthermore, we found that combinatorial mechanisms subserved by these regions are deployed in the same temporal order within each modality, with lATL activity preceding lAG activity. Modality-specific combinatorial effects were identified during initial perceptual processing, suggesting top-down modulation of low-level mechanisms even during basic composition.","author":[{"dropping-particle":"","family":"Bemis","given":"D. K.","non-dropping-particle":"","parse-names":false,"suffix":""},{"dropping-particle":"","family":"Pylkkänen","given":"L.","non-dropping-particle":"","parse-names":false,"suffix":""}],"container-title":"Cerebral Cortex","id":"ITEM-1","issue":"8","issued":{"date-parts":[["2013"]]},"page":"1859-1873","title":"Basic linguistic composition recruits the left anterior temporal lobe and left angular gyrus during both listening and reading","type":"article-journal","volume":"23"},"uris":["http://www.mendeley.com/documents/?uuid=c2fc5dbc-cf5b-3193-8359-5fb06ff37c72"]},{"id":"ITEM-2","itemData":{"DOI":"10.1016/J.NEUROPSYCHOLOGIA.2007.06.015","ISSN":"0028-3932","abstract":"Cognitive control mechanisms permit memory to be accessed strategically, and so aid in bringing knowledge to mind that is relevant to current goals and actions. In this review, we consider the contribution of left ventrolateral prefrontal cortex (VLPFC) to the cognitive control of memory. Reviewed evidence supports a two-process model of mnemonic control, supported by a double dissociation among rostral regions of left VLPFC. Specifically, anterior VLPFC (</w:instrText>
      </w:r>
      <w:r w:rsidR="00D40D4C" w:rsidRPr="006436AC">
        <w:rPr>
          <w:rFonts w:ascii="Cambria Math" w:hAnsi="Cambria Math" w:cs="Cambria Math"/>
          <w:sz w:val="20"/>
          <w:szCs w:val="20"/>
        </w:rPr>
        <w:instrText>∼</w:instrText>
      </w:r>
      <w:r w:rsidR="00D40D4C" w:rsidRPr="006436AC">
        <w:rPr>
          <w:rFonts w:ascii="Arial" w:hAnsi="Arial" w:cs="Arial"/>
          <w:sz w:val="20"/>
          <w:szCs w:val="20"/>
        </w:rPr>
        <w:instrText>BA 47; inferior frontal gyrus pars orbitalis) supports controlled access to stored conceptual representations, whereas mid-VLPFC (</w:instrText>
      </w:r>
      <w:r w:rsidR="00D40D4C" w:rsidRPr="006436AC">
        <w:rPr>
          <w:rFonts w:ascii="Cambria Math" w:hAnsi="Cambria Math" w:cs="Cambria Math"/>
          <w:sz w:val="20"/>
          <w:szCs w:val="20"/>
        </w:rPr>
        <w:instrText>∼</w:instrText>
      </w:r>
      <w:r w:rsidR="00D40D4C" w:rsidRPr="006436AC">
        <w:rPr>
          <w:rFonts w:ascii="Arial" w:hAnsi="Arial" w:cs="Arial"/>
          <w:sz w:val="20"/>
          <w:szCs w:val="20"/>
        </w:rPr>
        <w:instrText>BA 45; inferior frontal gyrus pars triangularis) supports a domain-general selection process that operates post-retrieval to resolve competition among active representations. We discuss the contribution of these control mechanisms across a range of mnemonic domains, including semantic retrieval, recollection of contextual details about past events, resolution of proactive interference in working memory, and task switching. Finally, we consider open directions for future research into left VLPFC function and the cognitive control of memory.","author":[{"dropping-particle":"","family":"Badre","given":"David","non-dropping-particle":"","parse-names":false,"suffix":""},{"dropping-particle":"","family":"Wagner","given":"Anthony D.","non-dropping-particle":"","parse-names":false,"suffix":""}],"container-title":"Neuropsychologia","id":"ITEM-2","issue":"13","issued":{"date-parts":[["2007","1","1"]]},"page":"2883-2901","publisher":"Pergamon","title":"Left ventrolateral prefrontal cortex and the cognitive control of memory","type":"article-journal","volume":"45"},"uris":["http://www.mendeley.com/documents/?uuid=518e5e62-4835-32e9-aad9-f6506ac104c8"]},{"id":"ITEM-3","itemData":{"DOI":"10.1016/j.neuroimage.2016.05.051","ISSN":"10959572","abstract":"Making sense of the world around us depends upon selectively retrieving information relevant to our current goal or context. However, it is unclear whether selective semantic retrieval relies exclusively on general control mechanisms recruited in demanding non-semantic tasks, or instead on systems specialised for the control of meaning. One hypothesis is that the left posterior middle temporal gyrus (pMTG) is important in the controlled retrieval of semantic (not non-semantic) information; however this view remains controversial since a parallel literature links this site to event and relational semantics. In a functional neuroimaging study, we demonstrated that an area of pMTG implicated in semantic control by a recent meta-analysis was activated in a conjunction of (i) semantic association over size judgements and (ii) action over colour feature matching. Under these circumstances the same region showed functional coupling with the inferior frontal gyrus - another crucial site for semantic control. Structural and functional connectivity analyses demonstrated that this site is at the nexus of networks recruited in automatic semantic processing (the default mode network) and executively demanding tasks (the multiple-demand network). Moreover, in both task and task-free contexts, pMTG exhibited functional properties that were more similar to ventral parts of inferior frontal cortex, implicated in controlled semantic retrieval, than more dorsal inferior frontal sulcus, implicated in domain-general control. Finally, the pMTG region was functionally correlated at rest with other regions implicated in control-demanding semantic tasks, including inferior frontal gyrus and intraparietal sulcus. We suggest that pMTG may play a crucial role within a large-scale network that allows the integration of automatic retrieval in the default mode network with executively-demanding goal-oriented cognition, and that this could support our ability to understand actions and non-dominant semantic associations, allowing semantic retrieval to be 'shaped' to suit a task or context.","author":[{"dropping-particle":"","family":"Davey","given":"James","non-dropping-particle":"","parse-names":false,"suffix":""},{"dropping-particle":"","family":"Thompson","given":"Hannah E.","non-dropping-particle":"","parse-names":false,"suffix":""},{"dropping-particle":"","family":"Hallam","given":"Glyn","non-dropping-particle":"","parse-names":false,"suffix":""},{"dropping-particle":"","family":"Karapanagiotidis","given":"Theodoros","non-dropping-particle":"","parse-names":false,"suffix":""},{"dropping-particle":"","family":"Murphy","given":"Charlotte","non-dropping-particle":"","parse-names":false,"suffix":""},{"dropping-particle":"","family":"Caso","given":"Irene","non-dropping-particle":"De","parse-names":false,"suffix":""},{"dropping-particle":"","family":"Krieger-Redwood","given":"Katya","non-dropping-particle":"","parse-names":false,"suffix":""},{"dropping-particle":"","family":"Bernhardt","given":"Boris C.","non-dropping-particle":"","parse-names":false,"suffix":""},{"dropping-particle":"","family":"Smallwood","given":"Jonathan","non-dropping-particle":"","parse-names":false,"suffix":""},{"dropping-particle":"","family":"Jefferies","given":"Elizabeth","non-dropping-particle":"","parse-names":false,"suffix":""}],"container-title":"NeuroImage","id":"ITEM-3","issued":{"date-parts":[["2016"]]},"page":"165-177","publisher":"The Authors","title":"Exploring the role of the posterior middle temporal gyrus in semantic cognition: Integration of anterior temporal lobe with executive processes","type":"article-journal","volume":"137"},"uris":["http://www.mendeley.com/documents/?uuid=db2cf281-3062-4d87-948f-6a3f68be0424"]},{"id":"ITEM-4","itemData":{"DOI":"10.1093/cercor/bhx107","ISSN":"14602199","abstract":"Numerous cognitive domains have been associated with the lateral parietal cortex, yet how these disparate functions are packed into this region remains unclear. Whilst areas within the dorsal and the ventral parietal cortex (DPC and VPC) show differential function, there is considerable disagreement as to what these functions might be. Studies focussed on individual domains have plotted out variations of function across the region. Direct cross-domain comparisons are rare yet, when they have been undertaken, at least some regions (particularly the intraparietal sulcus [IPS] and core angular gyrus [AG]) appear to have contrastive domain-general qualities. In order to pursue this parietal puzzle, this study utilized both functional and resting-state magnetic resonance imaging to investigate a potential unifying neurocomputational framework-in which both domain general as well as domain-selective regions arise from differential patterns of connectivity into subregions of the lateral parietal cortex. Specifically we found that, consistent with their contrastive patterns of functional connectivity, subregions of DPC (anterior IPS) and VPC (AG) exhibit counterpointed functions sensitive to task/item-difficulty irrespective of cognitive domain. We propose that these regions serve as top-down executively penetrated and automatic bottom-up domain-general buffers of active information, respectively. In contrast, other parietal and nonparietal regions are tuned toward specific domains.","author":[{"dropping-particle":"","family":"Humphreys","given":"Gina F.","non-dropping-particle":"","parse-names":false,"suffix":""},{"dropping-particle":"","family":"Ralph","given":"Matthew A.Lambo","non-dropping-particle":"","parse-names":false,"suffix":""}],"container-title":"Cerebral Cortex","id":"ITEM-4","issue":"8","issued":{"date-parts":[["2017"]]},"page":"4199-4212","title":"Mapping domain-selective and counterpointed domain-general higher cognitive functions in the lateral parietal cortex: Evidence from fMRI comparisons of difficulty-varying semantic versus visuo-spatial tasks, and functional connectivity analyses","type":"article-journal","volume":"27"},"uris":["http://www.mendeley.com/documents/?uuid=157c598d-bb02-4070-a499-9c23f3bc0eef"]},{"id":"ITEM-5","itemData":{"DOI":"10.1093/cercor/bhu198","ISSN":"14602199","abstract":"How is higher cognitive function organized in the human parietal cortex? A century of neuropsychology and 30 years of functional neuroimaging has implicated the parietal lobe in many different verbal and nonverbal cognitive domains. There is little clarity, however, on how these functions are organized, that is, where do these functions coalesce (implying a shared, underpinning neurocomputation) and where do they divide (indicating different underlying neural functions). Until now, there has been no multi-domain synthesis in order to reveal where there is fusion or fission of functions in the parietal cortex. This aim was achieved through a large-scale activation likelihood estimation (ALE) analysis of 386 studies (3952 activation peaks) covering 8 cognitive domains. A tripartite, domain-general neuroanatomical division and 5 principles of cognitive organization were established, and these are discussed with respect to a unified theory of parietal functional organization.","author":[{"dropping-particle":"","family":"Humphreys","given":"Gina F.","non-dropping-particle":"","parse-names":false,"suffix":""},{"dropping-particle":"","family":"Lambon Ralph","given":"Matthew A.","non-dropping-particle":"","parse-names":false,"suffix":""}],"container-title":"Cerebral Cortex","id":"ITEM-5","issue":"10","issued":{"date-parts":[["2015"]]},"page":"3547-3560","title":"Fusion and fission of cognitive functions in the human parietal cortex","type":"article-journal","volume":"25"},"uris":["http://www.mendeley.com/documents/?uuid=af732101-8c3e-4ad3-9d64-a789151bdd84"]},{"id":"ITEM-6","itemData":{"DOI":"10.1016/S0896-6273(01)00359-2","ISSN":"0896-6273","abstract":"Prefrontal cortex plays a central role in mnemonic control, with left inferior prefrontal cortex (LIPC) mediating control of semantic knowledge. One prominent theory posits that LIPC does not mediate semantic retrieval per se, but rather subserves the selection of task-relevant knowledge from amidst competing knowledge. The present event-related fMRI study provides evidence for an alternative hypothesis: LIPC guides controlled semantic retrieval irrespective of whether retrieval requires selection against competing representations. With selection demands held constant, LIPC activation increased with semantic retrieval demands and with the level of control required during retrieval. LIPC mediates a top-down bias signal that is recruited to the extent that the recovery of meaning demands controlled retrieval. Selection may reflect a specific instantiation of this mechanism.","author":[{"dropping-particle":"","family":"Wagner","given":"Anthony D","non-dropping-particle":"","parse-names":false,"suffix":""},{"dropping-particle":"","family":"Paré-Blagoev","given":"E.Juliana","non-dropping-particle":"","parse-names":false,"suffix":""},{"dropping-particle":"","family":"Clark","given":"Jill","non-dropping-particle":"","parse-names":false,"suffix":""},{"dropping-particle":"","family":"Poldrack","given":"Russell A","non-dropping-particle":"","parse-names":false,"suffix":""}],"container-title":"Neuron","id":"ITEM-6","issue":"2","issued":{"date-parts":[["2001","8","2"]]},"page":"329-338","publisher":"Cell Press","title":"Recovering Meaning: Left Prefrontal Cortex Guides Controlled Semantic Retrieval","type":"article-journal","volume":"31"},"uris":["http://www.mendeley.com/documents/?uuid=ca034381-51d1-3ced-923a-610d5778f808"]},{"id":"ITEM-7","itemData":{"DOI":"10.1523/JNEUROSCI.1018-13.2013","abstract":"A core property of human semantic processing is the rapid, facilitatory influence of prior input on extracting the meaning of what comes next, even under conditions of minimal awareness. Previous work has shown a number of neurophysiological indices of this facilitation, but the mapping between time course and localization-critical for separating automatic semantic facilitation from other mechanisms has thus far been unclear. In the current study, we used a multimodal imaging approach to isolate early, bottom-up effects of context on semantic memory, acquiring a combination of electroencephalography (EEG), magnetoencephalography (MEG), and functional magnetic resonance imaging (fMRI) measurements in the same individuals with a masked semantic priming paradigm. Across techniques, the results provide a strikingly convergent picture of early automatic semantic facilitation. Event-related potentials demonstrated early sensitivity to semantic association between 300 and 500 ms; MEG localized the differential neural response within this time window to the left anterior temporal cortex, and fMRI localized the effect more precisely to the left anterior superior temporal gyrus, a region previously implicated in semantic associative processing. However, fMRI diverged from early EEG/MEG measures in revealing semantic enhancement effects within frontal and parietal regions, perhaps reflecting downstream attempts to consciously access the semantic features of the masked prime. Together, these results provide strong evidence that automatic associative semantic facilitation is realized as reduced activity within the left anterior superior temporal cortex between 300 and 500 ms after a word is presented, and emphasize the importance of multimodal neuroimaging approaches in distinguishing the contributions of multiple regions to semantic processing.","author":[{"dropping-particle":"","family":"Lau","given":"Ellen F","non-dropping-particle":"","parse-names":false,"suffix":""},{"dropping-particle":"","family":"Gramfort","given":"Alexandre","non-dropping-particle":"","parse-names":false,"suffix":""},{"dropping-particle":"","family":"Hämäläinen","given":"Matti S","non-dropping-particle":"","parse-names":false,"suffix":""},{"dropping-particle":"","family":"Kuperberg","given":"Gina R","non-dropping-particle":"","parse-names":false,"suffix":""}],"id":"ITEM-7","issued":{"date-parts":[["2013"]]},"title":"Behavioral/Cognitive Automatic Semantic Facilitation in Anterior Temporal Cortex Revealed through Multimodal Neuroimaging","type":"article-journal"},"uris":["http://www.mendeley.com/documents/?uuid=d3fc29e5-20a6-3a87-8397-41682b286055"]},{"id":"ITEM-8","itemData":{"DOI":"10.1016/j.cortex.2018.03.024","ISSN":"00109452","author":[{"dropping-particle":"","family":"Teige","given":"Catarina","non-dropping-particle":"","parse-names":false,"suffix":""},{"dropping-particle":"","family":"Mollo","given":"Giovanna","non-dropping-particle":"","parse-names":false,"suffix":""},{"dropping-particle":"","family":"Millman","given":"Rebecca","non-dropping-particle":"","parse-names":false,"suffix":""},{"dropping-particle":"","family":"Savill","given":"Nicola","non-dropping-particle":"","parse-names":false,"suffix":""},{"dropping-particle":"","family":"Smallwood","given":"Jonathan","non-dropping-particle":"","parse-names":false,"suffix":""},{"dropping-particle":"","family":"Cornelissen","given":"Piers L.","non-dropping-particle":"","parse-names":false,"suffix":""},{"dropping-particle":"","family":"Jefferies","given":"Elizabeth","non-dropping-particle":"","parse-names":false,"suffix":""}],"container-title":"Cortex","id":"ITEM-8","issued":{"date-parts":[["2018","6"]]},"page":"329-349","title":"Dynamic semantic cognition: Characterising coherent and controlled conceptual retrieval through time using magnetoencephalography and chronometric transcranial magnetic stimulation","type":"article-journal","volume":"103"},"uris":["http://www.mendeley.com/documents/?uuid=2126d6f3-49b1-3b03-aba1-e33ca3874588"]}],"mendeley":{"formattedCitation":"(Badre and Wagner, 2007; Bemis and Pylkkänen, 2013; Davey et al., 2016; Humphreys and Lambon Ralph, 2015; Humphreys and Ralph, 2017; Lau et al., 2013; Teige et al., 2018; Wagner et al., 2001)","manualFormatting":"(Badre and Wagner, 2007; Bemis and Pylkkänen, 2013; Davey et al., 2016; Humphreys and Lambon Ralph, 2015; 2017; Lau et al., 2013; Teige et al., 2018; Wagner et al., 2001)","plainTextFormattedCitation":"(Badre and Wagner, 2007; Bemis and Pylkkänen, 2013; Davey et al., 2016; Humphreys and Lambon Ralph, 2015; Humphreys and Ralph, 2017; Lau et al., 2013; Teige et al., 2018; Wagner et al., 2001)","previouslyFormattedCitation":"(Badre and Wagner, 2007; Bemis and Pylkkänen, 2013; Davey et al., 2016; Humphreys and Lambon Ralph, 2015; Humphreys and Ralph, 2017; Lau et al., 2013; Teige et al., 2018; Wagner et al., 2001)"},"properties":{"noteIndex":0},"schema":"https://github.com/citation-style-language/schema/raw/master/csl-citation.json"}</w:instrText>
      </w:r>
      <w:r w:rsidR="0001094C" w:rsidRPr="006436AC">
        <w:rPr>
          <w:rFonts w:ascii="Arial" w:hAnsi="Arial" w:cs="Arial"/>
          <w:sz w:val="20"/>
          <w:szCs w:val="20"/>
        </w:rPr>
        <w:fldChar w:fldCharType="separate"/>
      </w:r>
      <w:r w:rsidR="00566455" w:rsidRPr="006436AC">
        <w:rPr>
          <w:rFonts w:ascii="Arial" w:hAnsi="Arial" w:cs="Arial"/>
          <w:noProof/>
          <w:sz w:val="20"/>
          <w:szCs w:val="20"/>
        </w:rPr>
        <w:t>(Badre and Wagner, 2007; Bemis and Pylkkänen, 2013; Davey et al., 2016; Humphreys and Lambon Ralph, 2015; 2017; Lau et al., 2013; Teige et al., 2018; Wagner et al., 2001)</w:t>
      </w:r>
      <w:r w:rsidR="0001094C" w:rsidRPr="006436AC">
        <w:rPr>
          <w:rFonts w:ascii="Arial" w:hAnsi="Arial" w:cs="Arial"/>
          <w:sz w:val="20"/>
          <w:szCs w:val="20"/>
        </w:rPr>
        <w:fldChar w:fldCharType="end"/>
      </w:r>
      <w:r w:rsidR="0001094C" w:rsidRPr="006436AC">
        <w:rPr>
          <w:rFonts w:ascii="Arial" w:hAnsi="Arial" w:cs="Arial"/>
          <w:sz w:val="20"/>
          <w:szCs w:val="20"/>
        </w:rPr>
        <w:t xml:space="preserve">. In </w:t>
      </w:r>
      <w:r w:rsidRPr="006436AC">
        <w:rPr>
          <w:rFonts w:ascii="Arial" w:hAnsi="Arial" w:cs="Arial"/>
          <w:sz w:val="20"/>
          <w:szCs w:val="20"/>
        </w:rPr>
        <w:t>the absence of long</w:t>
      </w:r>
      <w:r w:rsidR="006E5476" w:rsidRPr="006436AC">
        <w:rPr>
          <w:rFonts w:ascii="Arial" w:hAnsi="Arial" w:cs="Arial"/>
          <w:sz w:val="20"/>
          <w:szCs w:val="20"/>
        </w:rPr>
        <w:t>-</w:t>
      </w:r>
      <w:r w:rsidRPr="006436AC">
        <w:rPr>
          <w:rFonts w:ascii="Arial" w:hAnsi="Arial" w:cs="Arial"/>
          <w:sz w:val="20"/>
          <w:szCs w:val="20"/>
        </w:rPr>
        <w:t>term knowledge</w:t>
      </w:r>
      <w:r w:rsidR="0001094C" w:rsidRPr="006436AC">
        <w:rPr>
          <w:rFonts w:ascii="Arial" w:hAnsi="Arial" w:cs="Arial"/>
          <w:sz w:val="20"/>
          <w:szCs w:val="20"/>
        </w:rPr>
        <w:t xml:space="preserve">, decisions are supported by the multiple demand network (MDN), including the inferior frontal sulcus, intraparietal sulcus, and pre-supplementary motor area, which </w:t>
      </w:r>
      <w:r w:rsidRPr="006436AC">
        <w:rPr>
          <w:rFonts w:ascii="Arial" w:hAnsi="Arial" w:cs="Arial"/>
          <w:sz w:val="20"/>
          <w:szCs w:val="20"/>
        </w:rPr>
        <w:t>support short</w:t>
      </w:r>
      <w:r w:rsidR="006E5476" w:rsidRPr="006436AC">
        <w:rPr>
          <w:rFonts w:ascii="Arial" w:hAnsi="Arial" w:cs="Arial"/>
          <w:sz w:val="20"/>
          <w:szCs w:val="20"/>
        </w:rPr>
        <w:t>-</w:t>
      </w:r>
      <w:r w:rsidRPr="006436AC">
        <w:rPr>
          <w:rFonts w:ascii="Arial" w:hAnsi="Arial" w:cs="Arial"/>
          <w:sz w:val="20"/>
          <w:szCs w:val="20"/>
        </w:rPr>
        <w:t xml:space="preserve">term </w:t>
      </w:r>
      <w:r w:rsidR="00AB7030" w:rsidRPr="006436AC">
        <w:rPr>
          <w:rFonts w:ascii="Arial" w:hAnsi="Arial" w:cs="Arial"/>
          <w:sz w:val="20"/>
          <w:szCs w:val="20"/>
        </w:rPr>
        <w:t>goals</w:t>
      </w:r>
      <w:r w:rsidRPr="006436AC">
        <w:rPr>
          <w:rFonts w:ascii="Arial" w:hAnsi="Arial" w:cs="Arial"/>
          <w:sz w:val="20"/>
          <w:szCs w:val="20"/>
        </w:rPr>
        <w:t xml:space="preserve"> in working memory</w:t>
      </w:r>
      <w:r w:rsidR="00567C92" w:rsidRPr="006436AC">
        <w:rPr>
          <w:rFonts w:ascii="Arial" w:hAnsi="Arial" w:cs="Arial"/>
          <w:sz w:val="20"/>
          <w:szCs w:val="20"/>
        </w:rPr>
        <w:t xml:space="preserve"> </w:t>
      </w:r>
      <w:r w:rsidR="0001094C"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{"citationItems":[{"id":"ITEM-1","itemData":{"DOI":"10.1073/pnas.1315235110","ISBN":"1315235110","ISSN":"0027-8424","abstract":"Unlike brain regions that respond selectively to specific kinds of information content, a number of frontal and parietal regions are thought to be domain- and process-general: that is, active during a wide variety of demanding cognitive tasks. However, most previous evidence for this functional generality in humans comes from methods that overestimate activation overlap across tasks. Here we present functional MRI evidence from single-subject analyses for broad functional generality of a specific set of brain regions: the same sets of voxels are engaged across tasks ranging from arithmetic to storing information in working memory, to inhibiting irrelevant information. These regions have a specific topography, often lying directly adjacent to domain-specific regions. Thus, in addition to domain-specific brain regions tailored to solve particular problems of longstanding importance to our species, the human brain also contains a set of functionally general regions that plausibly endow us with the cognitive flexibility necessary to solve novel problems.","author":[{"dropping-particle":"","family":"Fedorenko","given":"E.","non-dropping-particle":"","parse-names":false,"suffix":""},{"dropping-particle":"","family":"Duncan","given":"J.","non-dropping-particle":"","parse-names":false,"suffix":""},{"dropping-particle":"","family":"Kanwisher","given":"N.","non-dropping-particle":"","parse-names":false,"suffix":""}],"container-title":"Proceedings of the National Academy of Sciences","id":"ITEM-1","issue":"41","issued":{"date-parts":[["2013"]]},"page":"16616-16621","title":"Broad domain generality in focal regions of frontal and parietal cortex","type":"article-journal","volume":"110"},"uris":["http://www.mendeley.com/documents/?uuid=6e80a063-9d9a-4426-908c-15c385760ef3"]},{"id":"ITEM-2","itemData":{"DOI":"10.1016/j.tics.2010.01.004","ISSN":"13646613","abstract":"A common or multiple-demand (MD) pattern of frontal and parietal activity is associated with diverse cognitive demands, and with standard tests of fluid intelligence. In intelligent behaviour, goals are achieved by assembling a series of sub-tasks, creating structured mental programs. Single cell and functional magnetic resonance imaging (fMRI) data indicate a key role for MD cortex in defining and controlling the parts of such programs, with focus on the specific content of a current cognitive operation, rapid reorganization as mental focus is changed, and robust separation of successive task steps. Resembling the structured problem-solving of symbolic artificial intelligence, the mental programs of MD cortex appear central to intelligent thought and action. © 2010 Elsevier Ltd. All rights reserved.","author":[{"dropping-particle":"","family":"Duncan","given":"John","non-dropping-particle":"","parse-names":false,"suffix":""}],"container-title":"Trends in Cognitive Sciences","id":"ITEM-2","issue":"4","issued":{"date-parts":[["2010"]]},"page":"172-179","publisher":"Elsevier Ltd","title":"The multiple-demand (MD) system of the primate brain: mental programs for intelligent behaviour","type":"article-journal","volume":"14"},"uris":["http://www.mendeley.com/documents/?uuid=4ff286d4-d3af-423d-8d30-25f4e66a34e7"]}],"mendeley":{"formattedCitation":"(Duncan, 2010; Fedorenko et al., 2013)","plainTextFormattedCitation":"(Duncan, 2010; Fedorenko et al., 2013)","previouslyFormattedCitation":"(Duncan, 2010; Fedorenko et al., 2013)"},"properties":{"noteIndex":0},"schema":"https://github.com/citation-style-language/schema/raw/master/csl-citation.json"}</w:instrText>
      </w:r>
      <w:r w:rsidR="0001094C" w:rsidRPr="006436AC">
        <w:rPr>
          <w:rFonts w:ascii="Arial" w:hAnsi="Arial" w:cs="Arial"/>
          <w:sz w:val="20"/>
          <w:szCs w:val="20"/>
        </w:rPr>
        <w:fldChar w:fldCharType="separate"/>
      </w:r>
      <w:r w:rsidR="00566455" w:rsidRPr="006436AC">
        <w:rPr>
          <w:rFonts w:ascii="Arial" w:hAnsi="Arial" w:cs="Arial"/>
          <w:noProof/>
          <w:sz w:val="20"/>
          <w:szCs w:val="20"/>
        </w:rPr>
        <w:t>(Duncan, 2010; Fedorenko et al., 2013)</w:t>
      </w:r>
      <w:r w:rsidR="0001094C" w:rsidRPr="006436AC">
        <w:rPr>
          <w:rFonts w:ascii="Arial" w:hAnsi="Arial" w:cs="Arial"/>
          <w:sz w:val="20"/>
          <w:szCs w:val="20"/>
        </w:rPr>
        <w:fldChar w:fldCharType="end"/>
      </w:r>
      <w:r w:rsidR="0001094C" w:rsidRPr="006436AC">
        <w:rPr>
          <w:rFonts w:ascii="Arial" w:hAnsi="Arial" w:cs="Arial"/>
          <w:sz w:val="20"/>
          <w:szCs w:val="20"/>
        </w:rPr>
        <w:t xml:space="preserve">. </w:t>
      </w:r>
    </w:p>
    <w:p w14:paraId="6BF92F62" w14:textId="32C76F74" w:rsidR="00CF4144" w:rsidRPr="006436AC" w:rsidRDefault="00B307B8"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Although </w:t>
      </w:r>
      <w:r w:rsidR="00FC6602" w:rsidRPr="006436AC">
        <w:rPr>
          <w:rFonts w:ascii="Arial" w:hAnsi="Arial" w:cs="Arial"/>
          <w:sz w:val="20"/>
          <w:szCs w:val="20"/>
        </w:rPr>
        <w:t>familiar and novel situations are often treated as dichotomous, many everyday contexts are</w:t>
      </w:r>
      <w:r w:rsidR="0001094C" w:rsidRPr="006436AC">
        <w:rPr>
          <w:rFonts w:ascii="Arial" w:hAnsi="Arial" w:cs="Arial"/>
          <w:sz w:val="20"/>
          <w:szCs w:val="20"/>
        </w:rPr>
        <w:t xml:space="preserve"> neither completely familiar, nor entirely novel.</w:t>
      </w:r>
      <w:r w:rsidR="005F1E3B" w:rsidRPr="006436AC">
        <w:rPr>
          <w:rFonts w:ascii="Arial" w:hAnsi="Arial" w:cs="Arial"/>
          <w:sz w:val="20"/>
          <w:szCs w:val="20"/>
        </w:rPr>
        <w:t xml:space="preserve"> </w:t>
      </w:r>
      <w:r w:rsidR="00584550" w:rsidRPr="006436AC">
        <w:rPr>
          <w:rFonts w:ascii="Arial" w:hAnsi="Arial" w:cs="Arial"/>
          <w:sz w:val="20"/>
          <w:szCs w:val="20"/>
        </w:rPr>
        <w:t>This is highlighted by the domain of</w:t>
      </w:r>
      <w:r w:rsidR="005F1E3B" w:rsidRPr="006436AC">
        <w:rPr>
          <w:rFonts w:ascii="Arial" w:hAnsi="Arial" w:cs="Arial"/>
          <w:sz w:val="20"/>
          <w:szCs w:val="20"/>
        </w:rPr>
        <w:t xml:space="preserve"> semantic </w:t>
      </w:r>
      <w:r w:rsidR="00584550" w:rsidRPr="006436AC">
        <w:rPr>
          <w:rFonts w:ascii="Arial" w:hAnsi="Arial" w:cs="Arial"/>
          <w:sz w:val="20"/>
          <w:szCs w:val="20"/>
        </w:rPr>
        <w:t>cognition: semantic retrieval is reliant on</w:t>
      </w:r>
      <w:r w:rsidR="005F1E3B" w:rsidRPr="006436AC">
        <w:rPr>
          <w:rFonts w:ascii="Arial" w:hAnsi="Arial" w:cs="Arial"/>
          <w:sz w:val="20"/>
          <w:szCs w:val="20"/>
        </w:rPr>
        <w:t xml:space="preserve"> knowledge stored within long-term memory</w:t>
      </w:r>
      <w:r w:rsidR="00A92727" w:rsidRPr="006436AC">
        <w:rPr>
          <w:rFonts w:ascii="Arial" w:hAnsi="Arial" w:cs="Arial"/>
          <w:sz w:val="20"/>
          <w:szCs w:val="20"/>
        </w:rPr>
        <w:t xml:space="preserve"> -- yet th</w:t>
      </w:r>
      <w:r w:rsidR="00EB75A3" w:rsidRPr="006436AC">
        <w:rPr>
          <w:rFonts w:ascii="Arial" w:hAnsi="Arial" w:cs="Arial"/>
          <w:sz w:val="20"/>
          <w:szCs w:val="20"/>
        </w:rPr>
        <w:t>e</w:t>
      </w:r>
      <w:r w:rsidR="00A92727" w:rsidRPr="006436AC">
        <w:rPr>
          <w:rFonts w:ascii="Arial" w:hAnsi="Arial" w:cs="Arial"/>
          <w:sz w:val="20"/>
          <w:szCs w:val="20"/>
        </w:rPr>
        <w:t xml:space="preserve"> </w:t>
      </w:r>
      <w:r w:rsidR="00EB75A3" w:rsidRPr="006436AC">
        <w:rPr>
          <w:rFonts w:ascii="Arial" w:hAnsi="Arial" w:cs="Arial"/>
          <w:sz w:val="20"/>
          <w:szCs w:val="20"/>
        </w:rPr>
        <w:t xml:space="preserve">conceptual </w:t>
      </w:r>
      <w:r w:rsidR="00A92727" w:rsidRPr="006436AC">
        <w:rPr>
          <w:rFonts w:ascii="Arial" w:hAnsi="Arial" w:cs="Arial"/>
          <w:sz w:val="20"/>
          <w:szCs w:val="20"/>
        </w:rPr>
        <w:t>store</w:t>
      </w:r>
      <w:r w:rsidR="00EB75A3" w:rsidRPr="006436AC">
        <w:rPr>
          <w:rFonts w:ascii="Arial" w:hAnsi="Arial" w:cs="Arial"/>
          <w:sz w:val="20"/>
          <w:szCs w:val="20"/>
        </w:rPr>
        <w:t xml:space="preserve"> in isolation</w:t>
      </w:r>
      <w:r w:rsidR="00A92727" w:rsidRPr="006436AC">
        <w:rPr>
          <w:rFonts w:ascii="Arial" w:hAnsi="Arial" w:cs="Arial"/>
          <w:sz w:val="20"/>
          <w:szCs w:val="20"/>
        </w:rPr>
        <w:t xml:space="preserve"> is not sufficient for successful </w:t>
      </w:r>
      <w:r w:rsidR="00584550" w:rsidRPr="006436AC">
        <w:rPr>
          <w:rFonts w:ascii="Arial" w:hAnsi="Arial" w:cs="Arial"/>
          <w:sz w:val="20"/>
          <w:szCs w:val="20"/>
        </w:rPr>
        <w:t>semantic performance</w:t>
      </w:r>
      <w:r w:rsidR="00144F9F" w:rsidRPr="006436AC">
        <w:rPr>
          <w:rFonts w:ascii="Arial" w:hAnsi="Arial" w:cs="Arial"/>
          <w:sz w:val="20"/>
          <w:szCs w:val="20"/>
        </w:rPr>
        <w:t xml:space="preserve"> </w:t>
      </w:r>
      <w:r w:rsidR="00144F9F" w:rsidRPr="006436AC">
        <w:rPr>
          <w:rFonts w:ascii="Arial" w:hAnsi="Arial" w:cs="Arial"/>
          <w:sz w:val="20"/>
          <w:szCs w:val="20"/>
        </w:rPr>
        <w:fldChar w:fldCharType="begin" w:fldLock="1"/>
      </w:r>
      <w:r w:rsidR="00360655" w:rsidRPr="006436AC">
        <w:rPr>
          <w:rFonts w:ascii="Arial" w:hAnsi="Arial" w:cs="Arial"/>
          <w:sz w:val="20"/>
          <w:szCs w:val="20"/>
        </w:rPr>
        <w:instrText>ADDIN CSL_CITATION {"citationItems":[{"id":"ITEM-1","itemData":{"DOI":"10.1016/j.cortex.2012.10.008","ISSN":"19738102","abstract":"Recent studies suggest that a complex, distributed neural network underpins semantic cognition. This article reviews our contribution to this emerging picture and traces the putative roles of each region within this network. Neuropsychological studies indicate that semantic cognition draws on at least two interacting components: semantic representations [degraded in semantic dementia (SD)] and control processes [deficient in patients with multimodal semantic impairment following stroke aphasia (SA)]. To explore the first component, we employed distortion-corrected functional magnetic resonance imaging (fMRI) and transcranial magnetic stimulation (TMS) in healthy volunteers: these studies convergently indicated that the anterior temporal lobes (ATLs; atrophied in SD) combine information from different modalities within an amodal semantic \"hub\" Regions of cortex that code specific semantic features (\" spokes\") also make a critical contribution to knowledge within particular categories. This network of brain regions interacts with semantic control processes reliant on left inferior frontal gyrus (LIFG), posterior middle temporal gyrus (pMTG) and inferior parietal cortices. SA patients with damage to these regions have difficulty focussing on aspects of knowledge that are relevant to the current goal or context, in both verbal and non-verbal tasks. SA patients with LIFG and temporoparietal lesions show similar deficits of semantic control, suggesting that a large-scale distributed cortical network underpins semantic control. Convergent evidence is again provided by fMRI and TMS. We separately manipulated the representational and control demands of a semantic task in fMRI, and found a dissociation within the temporal lobe: ATL was sensitive to the number of meanings retrieved, while pMTG and LIFG showed effects of semantic selection. Moreover, TMS to LIFG and pMTG produced equal disruption of tasks tapping semantic control. The next challenges are to delineate the specific roles of each region within the semantic control network and to specify the way in which control processes interact with semantic representations to focus processing on relevant features of concepts. © 2012 Elsevier Ltd.","author":[{"dropping-particle":"","family":"Jefferies","given":"Elizabeth","non-dropping-particle":"","parse-names":false,"suffix":""}],"container-title":"Cortex","id":"ITEM-1","issue":"3","issued":{"date-parts":[["2013"]]},"page":"611-625","publisher":"Elsevier Srl","title":"The neural basis of semantic cognition: Converging evidence from neuropsychology, neuroimaging and TMS","type":"article-journal","volume":"49"},"uris":["http://www.mendeley.com/documents/?uuid=7c806124-9b30-4a12-894d-bf2afa9a7664"]},{"id":"ITEM-2","itemData":{"DOI":"10.1038/nrn.2016.150","ISSN":"1471-003X","abstract":"Our ability to use conceptual knowledge to support various behaviours is termed semantic cognition. In this Review, Lambon Ralph et al. argue that this ability arises from two interacting neural systems, one for representation and one for control.","author":[{"dropping-particle":"","family":"Ralph","given":"Matthew A. Lambon","non-dropping-particle":"","parse-names":false,"suffix":""},{"dropping-particle":"","family":"Jefferies","given":"Elizabeth","non-dropping-particle":"","parse-names":false,"suffix":""},{"dropping-particle":"","family":"Patterson","given":"Karalyn","non-dropping-particle":"","parse-names":false,"suffix":""},{"dropping-particle":"","family":"Rogers","given":"Timothy T.","non-dropping-particle":"","parse-names":false,"suffix":""}],"container-title":"Nature Reviews Neuroscience","id":"ITEM-2","issue":"1","issued":{"date-parts":[["2017","1","24"]]},"page":"42-55","publisher":"Nature Publishing Group","title":"The neural and computational bases of semantic cognition","type":"article-journal","volume":"18"},"uris":["http://www.mendeley.com/documents/?uuid=ab5d251e-b90a-365f-ace9-e3312f119924"]}],"mendeley":{"formattedCitation":"(Jefferies, 2013; Ralph et al., 2017)","manualFormatting":"(Jefferies, 2013; Lambon Ralph et al., 2017)","plainTextFormattedCitation":"(Jefferies, 2013; Ralph et al., 2017)","previouslyFormattedCitation":"(Jefferies, 2013; Ralph et al., 2017)"},"properties":{"noteIndex":0},"schema":"https://github.com/citation-style-language/schema/raw/master/csl-citation.json"}</w:instrText>
      </w:r>
      <w:r w:rsidR="00144F9F" w:rsidRPr="006436AC">
        <w:rPr>
          <w:rFonts w:ascii="Arial" w:hAnsi="Arial" w:cs="Arial"/>
          <w:sz w:val="20"/>
          <w:szCs w:val="20"/>
        </w:rPr>
        <w:fldChar w:fldCharType="separate"/>
      </w:r>
      <w:r w:rsidR="00144F9F" w:rsidRPr="006436AC">
        <w:rPr>
          <w:rFonts w:ascii="Arial" w:hAnsi="Arial" w:cs="Arial"/>
          <w:noProof/>
          <w:sz w:val="20"/>
          <w:szCs w:val="20"/>
        </w:rPr>
        <w:t>(Jefferies, 2013; Lambon Ralph et al., 2017)</w:t>
      </w:r>
      <w:r w:rsidR="00144F9F" w:rsidRPr="006436AC">
        <w:rPr>
          <w:rFonts w:ascii="Arial" w:hAnsi="Arial" w:cs="Arial"/>
          <w:sz w:val="20"/>
          <w:szCs w:val="20"/>
        </w:rPr>
        <w:fldChar w:fldCharType="end"/>
      </w:r>
      <w:r w:rsidR="00144F9F" w:rsidRPr="006436AC">
        <w:rPr>
          <w:rFonts w:ascii="Arial" w:hAnsi="Arial" w:cs="Arial"/>
          <w:sz w:val="20"/>
          <w:szCs w:val="20"/>
        </w:rPr>
        <w:t>.</w:t>
      </w:r>
      <w:r w:rsidR="00A92727" w:rsidRPr="006436AC">
        <w:rPr>
          <w:rFonts w:ascii="Arial" w:hAnsi="Arial" w:cs="Arial"/>
          <w:sz w:val="20"/>
          <w:szCs w:val="20"/>
        </w:rPr>
        <w:t xml:space="preserve">This is because we </w:t>
      </w:r>
      <w:r w:rsidR="00EB75A3" w:rsidRPr="006436AC">
        <w:rPr>
          <w:rFonts w:ascii="Arial" w:hAnsi="Arial" w:cs="Arial"/>
          <w:sz w:val="20"/>
          <w:szCs w:val="20"/>
        </w:rPr>
        <w:t>have learned about</w:t>
      </w:r>
      <w:r w:rsidR="00A92727" w:rsidRPr="006436AC">
        <w:rPr>
          <w:rFonts w:ascii="Arial" w:hAnsi="Arial" w:cs="Arial"/>
          <w:sz w:val="20"/>
          <w:szCs w:val="20"/>
        </w:rPr>
        <w:t xml:space="preserve"> many features and associations </w:t>
      </w:r>
      <w:r w:rsidR="00EB75A3" w:rsidRPr="006436AC">
        <w:rPr>
          <w:rFonts w:ascii="Arial" w:hAnsi="Arial" w:cs="Arial"/>
          <w:sz w:val="20"/>
          <w:szCs w:val="20"/>
        </w:rPr>
        <w:t>for</w:t>
      </w:r>
      <w:r w:rsidR="00A92727" w:rsidRPr="006436AC">
        <w:rPr>
          <w:rFonts w:ascii="Arial" w:hAnsi="Arial" w:cs="Arial"/>
          <w:sz w:val="20"/>
          <w:szCs w:val="20"/>
        </w:rPr>
        <w:t xml:space="preserve"> any given concept, </w:t>
      </w:r>
      <w:r w:rsidR="00EB75A3" w:rsidRPr="006436AC">
        <w:rPr>
          <w:rFonts w:ascii="Arial" w:hAnsi="Arial" w:cs="Arial"/>
          <w:sz w:val="20"/>
          <w:szCs w:val="20"/>
        </w:rPr>
        <w:t>yet</w:t>
      </w:r>
      <w:r w:rsidR="00A92727" w:rsidRPr="006436AC">
        <w:rPr>
          <w:rFonts w:ascii="Arial" w:hAnsi="Arial" w:cs="Arial"/>
          <w:sz w:val="20"/>
          <w:szCs w:val="20"/>
        </w:rPr>
        <w:t xml:space="preserve"> only a subset of this knowledge </w:t>
      </w:r>
      <w:r w:rsidR="00584550" w:rsidRPr="006436AC">
        <w:rPr>
          <w:rFonts w:ascii="Arial" w:hAnsi="Arial" w:cs="Arial"/>
          <w:sz w:val="20"/>
          <w:szCs w:val="20"/>
        </w:rPr>
        <w:t>will be</w:t>
      </w:r>
      <w:r w:rsidR="00A92727" w:rsidRPr="006436AC">
        <w:rPr>
          <w:rFonts w:ascii="Arial" w:hAnsi="Arial" w:cs="Arial"/>
          <w:sz w:val="20"/>
          <w:szCs w:val="20"/>
        </w:rPr>
        <w:t xml:space="preserve"> relevant at any given moment. </w:t>
      </w:r>
      <w:r w:rsidR="00584550" w:rsidRPr="006436AC">
        <w:rPr>
          <w:rFonts w:ascii="Arial" w:hAnsi="Arial" w:cs="Arial"/>
          <w:sz w:val="20"/>
          <w:szCs w:val="20"/>
        </w:rPr>
        <w:t>To generate flexible and more novel patterns of retrieval appropriate to specific tasks and contexts, control processes are thought to interact with our store of conceptual knowledge</w:t>
      </w:r>
      <w:r w:rsidR="00CF4144" w:rsidRPr="006436AC">
        <w:rPr>
          <w:rFonts w:ascii="Arial" w:hAnsi="Arial" w:cs="Arial"/>
          <w:sz w:val="20"/>
          <w:szCs w:val="20"/>
        </w:rPr>
        <w:t xml:space="preserve"> </w:t>
      </w:r>
      <w:r w:rsidR="00CF4144" w:rsidRPr="006436AC">
        <w:rPr>
          <w:rFonts w:ascii="Arial" w:hAnsi="Arial" w:cs="Arial"/>
          <w:sz w:val="20"/>
          <w:szCs w:val="20"/>
        </w:rPr>
        <w:fldChar w:fldCharType="begin" w:fldLock="1"/>
      </w:r>
      <w:r w:rsidR="00144F9F" w:rsidRPr="006436AC">
        <w:rPr>
          <w:rFonts w:ascii="Arial" w:hAnsi="Arial" w:cs="Arial"/>
          <w:sz w:val="20"/>
          <w:szCs w:val="20"/>
        </w:rPr>
        <w:instrText>ADDIN CSL_CITATION {"citationItems":[{"id":"ITEM-1","itemData":{"DOI":"10.1016/j.neuroimage.2016.05.051","ISSN":"10959572","abstract":"Making sense of the world around us depends upon selectively retrieving information relevant to our current goal or context. However, it is unclear whether selective semantic retrieval relies exclusively on general control mechanisms recruited in demanding non-semantic tasks, or instead on systems specialised for the control of meaning. One hypothesis is that the left posterior middle temporal gyrus (pMTG) is important in the controlled retrieval of semantic (not non-semantic) information; however this view remains controversial since a parallel literature links this site to event and relational semantics. In a functional neuroimaging study, we demonstrated that an area of pMTG implicated in semantic control by a recent meta-analysis was activated in a conjunction of (i) semantic association over size judgements and (ii) action over colour feature matching. Under these circumstances the same region showed functional coupling with the inferior frontal gyrus - another crucial site for semantic control. Structural and functional connectivity analyses demonstrated that this site is at the nexus of networks recruited in automatic semantic processing (the default mode network) and executively demanding tasks (the multiple-demand network). Moreover, in both task and task-free contexts, pMTG exhibited functional properties that were more similar to ventral parts of inferior frontal cortex, implicated in controlled semantic retrieval, than more dorsal inferior frontal sulcus, implicated in domain-general control. Finally, the pMTG region was functionally correlated at rest with other regions implicated in control-demanding semantic tasks, including inferior frontal gyrus and intraparietal sulcus. We suggest that pMTG may play a crucial role within a large-scale network that allows the integration of automatic retrieval in the default mode network with executively-demanding goal-oriented cognition, and that this could support our ability to understand actions and non-dominant semantic associations, allowing semantic retrieval to be 'shaped' to suit a task or context.","author":[{"dropping-particle":"","family":"Davey","given":"James","non-dropping-particle":"","parse-names":false,"suffix":""},{"dropping-particle":"","family":"Thompson","given":"Hannah E.","non-dropping-particle":"","parse-names":false,"suffix":""},{"dropping-particle":"","family":"Hallam","given":"Glyn","non-dropping-particle":"","parse-names":false,"suffix":""},{"dropping-particle":"","family":"Karapanagiotidis","given":"Theodoros","non-dropping-particle":"","parse-names":false,"suffix":""},{"dropping-particle":"","family":"Murphy","given":"Charlotte","non-dropping-particle":"","parse-names":false,"suffix":""},{"dropping-particle":"","family":"Caso","given":"Irene","non-dropping-particle":"De","parse-names":false,"suffix":""},{"dropping-particle":"","family":"Krieger-Redwood","given":"Katya","non-dropping-particle":"","parse-names":false,"suffix":""},{"dropping-particle":"","family":"Bernhardt","given":"Boris C.","non-dropping-particle":"","parse-names":false,"suffix":""},{"dropping-particle":"","family":"Smallwood","given":"Jonathan","non-dropping-particle":"","parse-names":false,"suffix":""},{"dropping-particle":"","family":"Jefferies","given":"Elizabeth","non-dropping-particle":"","parse-names":false,"suffix":""}],"container-title":"NeuroImage","id":"ITEM-1","issued":{"date-parts":[["2016"]]},"page":"165-177","publisher":"The Authors","title":"Exploring the role of the posterior middle temporal gyrus in semantic cognition: Integration of anterior temporal lobe with executive processes","type":"article-journal","volume":"137"},"uris":["http://www.mendeley.com/documents/?uuid=db2cf281-3062-4d87-948f-6a3f68be0424"]},{"id":"ITEM-2","itemData":{"DOI":"10.1016/j.cortex.2018.02.018","ISSN":"19738102","abstract":"Built upon a wealth of neuroimaging, neurostimulation, and neuropsychology data, a recent proposal set forth a framework termed controlled semantic cognition (CSC) to account for how the brain underpins the ability to flexibly use semantic knowledge (Lambon Ralph et al., 2017; Nature Reviews Neuroscience). In CSC, the ‘semantic control’ system, underpinned predominantly by the prefrontal cortex, dynamically monitors and modulates the ‘semantic representation’ system that consists of a ‘hub’ (anterior temporal lobe, ATL) and multiple ‘spokes’ (modality-specific areas). CSC predicts that unfamiliar and exacting semantic tasks should intensify communication between the ‘control’ and ‘representation’ systems, relative to familiar and less taxing tasks. In the present study, we used functional magnetic resonance imaging (fMRI) to test this hypothesis. Participants paired unrelated concepts by canonical colours (a less accustomed task – e.g., pairing ketchup with fire-extinguishers due to both being red) or paired well-related concepts by semantic relationship (a typical task – e.g., ketchup is related to mustard). We found the ‘control’ system was more engaged by atypical than typical pairing. While both tasks activated the ATL ‘hub’ colour pairing additionally involved occipitotemporal ‘spoke’ regions abutting areas of hue perception. Furthermore, we uncovered a gradient along the ventral temporal cortex, transitioning from the caudal ‘spoke’ zones preferring canonical colour processing to the rostral ‘hub’ zones preferring semantic relationship. Functional connectivity also differed between the tasks: Compared with semantic pairing, colour pairing relied more upon the inferior frontal gyrus, a key node of the control system, driving enhanced connectivity with occipitotemporal ‘spoke’. Together, our findings characterise the interaction within the neural architecture of semantic cognition – the control system dynamically heightens its connectivity with relevant components of the representation system, in response to different semantic contents and difficulty levels.","author":[{"dropping-particle":"","family":"Chiou","given":"Rocco","non-dropping-particle":"","parse-names":false,"suffix":""},{"dropping-particle":"","family":"Humphreys","given":"Gina F.","non-dropping-particle":"","parse-names":false,"suffix":""},{"dropping-particle":"","family":"Jung","given":"Je Young","non-dropping-particle":"","parse-names":false,"suffix":""},{"dropping-particle":"","family":"Lambon Ralph","given":"Matthew A.","non-dropping-particle":"","parse-names":false,"suffix":""}],"container-title":"Cortex","id":"ITEM-2","issued":{"date-parts":[["2018"]]},"page":"100-116","publisher":"Elsevier Ltd","title":"Controlled semantic cognition relies upon dynamic and flexible interactions between the executive ‘semantic control’ and hub-and-spoke ‘semantic representation’ systems","type":"article-journal","volume":"103"},"uris":["http://www.mendeley.com/documents/?uuid=564ad9a7-4505-4922-91b4-bd5102f2d8b9"]}],"mendeley":{"formattedCitation":"(Chiou et al., 2018; Davey et al., 2016)","plainTextFormattedCitation":"(Chiou et al., 2018; Davey et al., 2016)","previouslyFormattedCitation":"(Chiou et al., 2018; Davey et al., 2016)"},"properties":{"noteIndex":0},"schema":"https://github.com/citation-style-language/schema/raw/master/csl-citation.json"}</w:instrText>
      </w:r>
      <w:r w:rsidR="00CF4144" w:rsidRPr="006436AC">
        <w:rPr>
          <w:rFonts w:ascii="Arial" w:hAnsi="Arial" w:cs="Arial"/>
          <w:sz w:val="20"/>
          <w:szCs w:val="20"/>
        </w:rPr>
        <w:fldChar w:fldCharType="separate"/>
      </w:r>
      <w:r w:rsidR="00CF4144" w:rsidRPr="006436AC">
        <w:rPr>
          <w:rFonts w:ascii="Arial" w:hAnsi="Arial" w:cs="Arial"/>
          <w:noProof/>
          <w:sz w:val="20"/>
          <w:szCs w:val="20"/>
        </w:rPr>
        <w:t>(Chiou et al., 2018; Davey et al., 2016)</w:t>
      </w:r>
      <w:r w:rsidR="00CF4144" w:rsidRPr="006436AC">
        <w:rPr>
          <w:rFonts w:ascii="Arial" w:hAnsi="Arial" w:cs="Arial"/>
          <w:sz w:val="20"/>
          <w:szCs w:val="20"/>
        </w:rPr>
        <w:fldChar w:fldCharType="end"/>
      </w:r>
      <w:r w:rsidR="00584550" w:rsidRPr="006436AC">
        <w:rPr>
          <w:rFonts w:ascii="Arial" w:hAnsi="Arial" w:cs="Arial"/>
          <w:sz w:val="20"/>
          <w:szCs w:val="20"/>
        </w:rPr>
        <w:t xml:space="preserve">. </w:t>
      </w:r>
      <w:r w:rsidR="00EB75A3" w:rsidRPr="006436AC">
        <w:rPr>
          <w:rFonts w:ascii="Arial" w:hAnsi="Arial" w:cs="Arial"/>
          <w:sz w:val="20"/>
          <w:szCs w:val="20"/>
        </w:rPr>
        <w:t xml:space="preserve">This raises the question of how functional responses within DMN and MDN may change within semantic tasks, depending on </w:t>
      </w:r>
      <w:r w:rsidR="00584550" w:rsidRPr="006436AC">
        <w:rPr>
          <w:rFonts w:ascii="Arial" w:hAnsi="Arial" w:cs="Arial"/>
          <w:sz w:val="20"/>
          <w:szCs w:val="20"/>
        </w:rPr>
        <w:t>the extent to which</w:t>
      </w:r>
      <w:r w:rsidR="00EB75A3" w:rsidRPr="006436AC">
        <w:rPr>
          <w:rFonts w:ascii="Arial" w:hAnsi="Arial" w:cs="Arial"/>
          <w:sz w:val="20"/>
          <w:szCs w:val="20"/>
        </w:rPr>
        <w:t xml:space="preserve"> meaningful inputs are </w:t>
      </w:r>
      <w:r w:rsidR="00A22273" w:rsidRPr="006436AC">
        <w:rPr>
          <w:rFonts w:ascii="Arial" w:hAnsi="Arial" w:cs="Arial"/>
          <w:sz w:val="20"/>
          <w:szCs w:val="20"/>
        </w:rPr>
        <w:t>fully</w:t>
      </w:r>
      <w:r w:rsidR="00EB75A3" w:rsidRPr="006436AC">
        <w:rPr>
          <w:rFonts w:ascii="Arial" w:hAnsi="Arial" w:cs="Arial"/>
          <w:sz w:val="20"/>
          <w:szCs w:val="20"/>
        </w:rPr>
        <w:t xml:space="preserve"> coherent with the structure of knowledge in long-term memory or instead require </w:t>
      </w:r>
      <w:r w:rsidR="00584550" w:rsidRPr="006436AC">
        <w:rPr>
          <w:rFonts w:ascii="Arial" w:hAnsi="Arial" w:cs="Arial"/>
          <w:sz w:val="20"/>
          <w:szCs w:val="20"/>
        </w:rPr>
        <w:t>a more novel pattern of retrieval</w:t>
      </w:r>
      <w:r w:rsidR="00EB75A3" w:rsidRPr="006436AC">
        <w:rPr>
          <w:rFonts w:ascii="Arial" w:hAnsi="Arial" w:cs="Arial"/>
          <w:sz w:val="20"/>
          <w:szCs w:val="20"/>
        </w:rPr>
        <w:t xml:space="preserve"> </w:t>
      </w:r>
      <w:r w:rsidR="00584550" w:rsidRPr="006436AC">
        <w:rPr>
          <w:rFonts w:ascii="Arial" w:hAnsi="Arial" w:cs="Arial"/>
          <w:sz w:val="20"/>
          <w:szCs w:val="20"/>
        </w:rPr>
        <w:t xml:space="preserve">to be generated that can highlight </w:t>
      </w:r>
      <w:r w:rsidR="00EB75A3" w:rsidRPr="006436AC">
        <w:rPr>
          <w:rFonts w:ascii="Arial" w:hAnsi="Arial" w:cs="Arial"/>
          <w:sz w:val="20"/>
          <w:szCs w:val="20"/>
        </w:rPr>
        <w:t>task-specific features.</w:t>
      </w:r>
      <w:r w:rsidR="005F1E3B" w:rsidRPr="006436AC">
        <w:rPr>
          <w:rFonts w:ascii="Arial" w:hAnsi="Arial" w:cs="Arial"/>
          <w:sz w:val="20"/>
          <w:szCs w:val="20"/>
        </w:rPr>
        <w:t xml:space="preserve"> </w:t>
      </w:r>
      <w:r w:rsidR="00584550" w:rsidRPr="006436AC">
        <w:rPr>
          <w:rFonts w:ascii="Arial" w:hAnsi="Arial" w:cs="Arial"/>
          <w:sz w:val="20"/>
          <w:szCs w:val="20"/>
        </w:rPr>
        <w:tab/>
      </w:r>
      <w:bookmarkStart w:id="0" w:name="OLE_LINK1"/>
      <w:bookmarkStart w:id="1" w:name="OLE_LINK2"/>
    </w:p>
    <w:p w14:paraId="5C6F6A44" w14:textId="1B3C023D" w:rsidR="0001094C" w:rsidRPr="006436AC" w:rsidRDefault="00FC6602"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lastRenderedPageBreak/>
        <w:t>Contemporary</w:t>
      </w:r>
      <w:r w:rsidR="0001094C" w:rsidRPr="006436AC">
        <w:rPr>
          <w:rFonts w:ascii="Arial" w:hAnsi="Arial" w:cs="Arial"/>
          <w:sz w:val="20"/>
          <w:szCs w:val="20"/>
        </w:rPr>
        <w:t xml:space="preserve"> accounts of cortical organi</w:t>
      </w:r>
      <w:r w:rsidRPr="006436AC">
        <w:rPr>
          <w:rFonts w:ascii="Arial" w:hAnsi="Arial" w:cs="Arial"/>
          <w:sz w:val="20"/>
          <w:szCs w:val="20"/>
        </w:rPr>
        <w:t>z</w:t>
      </w:r>
      <w:r w:rsidR="0001094C" w:rsidRPr="006436AC">
        <w:rPr>
          <w:rFonts w:ascii="Arial" w:hAnsi="Arial" w:cs="Arial"/>
          <w:sz w:val="20"/>
          <w:szCs w:val="20"/>
        </w:rPr>
        <w:t xml:space="preserve">ation suggest that </w:t>
      </w:r>
      <w:r w:rsidR="00D40D4C" w:rsidRPr="006436AC">
        <w:rPr>
          <w:rFonts w:ascii="Arial" w:hAnsi="Arial" w:cs="Arial"/>
          <w:sz w:val="20"/>
          <w:szCs w:val="20"/>
        </w:rPr>
        <w:t xml:space="preserve">intrinsic connectivity and functional organization may change gradually and systematically along the cortical surface </w:t>
      </w:r>
      <w:r w:rsidR="00D40D4C" w:rsidRPr="006436AC">
        <w:rPr>
          <w:rFonts w:ascii="Arial" w:hAnsi="Arial" w:cs="Arial"/>
          <w:sz w:val="20"/>
          <w:szCs w:val="20"/>
        </w:rPr>
        <w:fldChar w:fldCharType="begin" w:fldLock="1"/>
      </w:r>
      <w:r w:rsidR="002F0DB9"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00D40D4C" w:rsidRPr="006436AC">
        <w:rPr>
          <w:rFonts w:ascii="Arial" w:hAnsi="Arial" w:cs="Arial"/>
          <w:sz w:val="20"/>
          <w:szCs w:val="20"/>
        </w:rPr>
        <w:fldChar w:fldCharType="separate"/>
      </w:r>
      <w:r w:rsidR="00D40D4C" w:rsidRPr="006436AC">
        <w:rPr>
          <w:rFonts w:ascii="Arial" w:hAnsi="Arial" w:cs="Arial"/>
          <w:noProof/>
          <w:sz w:val="20"/>
          <w:szCs w:val="20"/>
        </w:rPr>
        <w:t>(Margulies et al., 2016)</w:t>
      </w:r>
      <w:r w:rsidR="00D40D4C" w:rsidRPr="006436AC">
        <w:rPr>
          <w:rFonts w:ascii="Arial" w:hAnsi="Arial" w:cs="Arial"/>
          <w:sz w:val="20"/>
          <w:szCs w:val="20"/>
        </w:rPr>
        <w:fldChar w:fldCharType="end"/>
      </w:r>
      <w:r w:rsidR="00D40D4C" w:rsidRPr="006436AC">
        <w:rPr>
          <w:rFonts w:ascii="Arial" w:hAnsi="Arial" w:cs="Arial"/>
          <w:sz w:val="20"/>
          <w:szCs w:val="20"/>
        </w:rPr>
        <w:t xml:space="preserve">. Margulies et al. (2016) described the principal gradient of the human brain, recovered through diffusion embedding techniques that decompose </w:t>
      </w:r>
      <w:r w:rsidR="00C43D7B" w:rsidRPr="006436AC">
        <w:rPr>
          <w:rFonts w:ascii="Arial" w:hAnsi="Arial" w:cs="Arial"/>
          <w:sz w:val="20"/>
          <w:szCs w:val="20"/>
        </w:rPr>
        <w:t xml:space="preserve">variance in </w:t>
      </w:r>
      <w:r w:rsidR="00D40D4C" w:rsidRPr="006436AC">
        <w:rPr>
          <w:rFonts w:ascii="Arial" w:hAnsi="Arial" w:cs="Arial"/>
          <w:sz w:val="20"/>
          <w:szCs w:val="20"/>
        </w:rPr>
        <w:t>connectivity into its spatial components.</w:t>
      </w:r>
      <w:r w:rsidR="0002101C" w:rsidRPr="006436AC">
        <w:rPr>
          <w:rFonts w:ascii="Arial" w:hAnsi="Arial" w:cs="Arial"/>
          <w:sz w:val="20"/>
          <w:szCs w:val="20"/>
        </w:rPr>
        <w:t xml:space="preserve"> </w:t>
      </w:r>
      <w:r w:rsidR="0002101C" w:rsidRPr="006436AC">
        <w:rPr>
          <w:rFonts w:ascii="Calibri" w:hAnsi="Calibri" w:cs="Calibri"/>
          <w:sz w:val="20"/>
          <w:szCs w:val="20"/>
        </w:rPr>
        <w:t>﻿</w:t>
      </w:r>
      <w:r w:rsidR="0002101C" w:rsidRPr="006436AC">
        <w:rPr>
          <w:rFonts w:ascii="Arial" w:hAnsi="Arial" w:cs="Arial"/>
          <w:sz w:val="20"/>
          <w:szCs w:val="20"/>
        </w:rPr>
        <w:t>A gradient is</w:t>
      </w:r>
      <w:r w:rsidR="00C43D7B" w:rsidRPr="006436AC">
        <w:rPr>
          <w:rFonts w:ascii="Arial" w:hAnsi="Arial" w:cs="Arial"/>
          <w:sz w:val="20"/>
          <w:szCs w:val="20"/>
        </w:rPr>
        <w:t xml:space="preserve"> a whole brain pattern corresponding to one of these components which captures the systematic change in functional connectivity along the cortical surface. </w:t>
      </w:r>
      <w:r w:rsidR="0002101C" w:rsidRPr="006436AC">
        <w:rPr>
          <w:rFonts w:ascii="Arial" w:hAnsi="Arial" w:cs="Arial"/>
          <w:sz w:val="20"/>
          <w:szCs w:val="20"/>
        </w:rPr>
        <w:t>Areas</w:t>
      </w:r>
      <w:r w:rsidR="00A23835" w:rsidRPr="006436AC">
        <w:rPr>
          <w:rFonts w:ascii="Arial" w:hAnsi="Arial" w:cs="Arial"/>
          <w:sz w:val="20"/>
          <w:szCs w:val="20"/>
        </w:rPr>
        <w:t xml:space="preserve"> would occupy similar positions along the gradient if they </w:t>
      </w:r>
      <w:r w:rsidR="0002101C" w:rsidRPr="006436AC">
        <w:rPr>
          <w:rFonts w:ascii="Arial" w:hAnsi="Arial" w:cs="Arial"/>
          <w:sz w:val="20"/>
          <w:szCs w:val="20"/>
        </w:rPr>
        <w:t>resemble each other with respect to the</w:t>
      </w:r>
      <w:r w:rsidR="00C43D7B" w:rsidRPr="006436AC">
        <w:rPr>
          <w:rFonts w:ascii="Arial" w:hAnsi="Arial" w:cs="Arial"/>
          <w:sz w:val="20"/>
          <w:szCs w:val="20"/>
        </w:rPr>
        <w:t xml:space="preserve"> connectivity component of interest. </w:t>
      </w:r>
      <w:r w:rsidR="00D40D4C" w:rsidRPr="006436AC">
        <w:rPr>
          <w:rFonts w:ascii="Arial" w:hAnsi="Arial" w:cs="Arial"/>
          <w:sz w:val="20"/>
          <w:szCs w:val="20"/>
        </w:rPr>
        <w:t xml:space="preserve">It was found </w:t>
      </w:r>
      <w:r w:rsidR="00A22273" w:rsidRPr="006436AC">
        <w:rPr>
          <w:rFonts w:ascii="Arial" w:hAnsi="Arial" w:cs="Arial"/>
          <w:sz w:val="20"/>
          <w:szCs w:val="20"/>
        </w:rPr>
        <w:t xml:space="preserve">that </w:t>
      </w:r>
      <w:r w:rsidRPr="006436AC">
        <w:rPr>
          <w:rFonts w:ascii="Arial" w:hAnsi="Arial" w:cs="Arial"/>
          <w:sz w:val="20"/>
          <w:szCs w:val="20"/>
        </w:rPr>
        <w:t xml:space="preserve">neural </w:t>
      </w:r>
      <w:r w:rsidR="00FC76B0" w:rsidRPr="006436AC">
        <w:rPr>
          <w:rFonts w:ascii="Arial" w:hAnsi="Arial" w:cs="Arial"/>
          <w:sz w:val="20"/>
          <w:szCs w:val="20"/>
        </w:rPr>
        <w:t>systems</w:t>
      </w:r>
      <w:r w:rsidRPr="006436AC">
        <w:rPr>
          <w:rFonts w:ascii="Arial" w:hAnsi="Arial" w:cs="Arial"/>
          <w:sz w:val="20"/>
          <w:szCs w:val="20"/>
        </w:rPr>
        <w:t xml:space="preserve"> </w:t>
      </w:r>
      <w:r w:rsidR="00A22273" w:rsidRPr="006436AC">
        <w:rPr>
          <w:rFonts w:ascii="Arial" w:hAnsi="Arial" w:cs="Arial"/>
          <w:sz w:val="20"/>
          <w:szCs w:val="20"/>
        </w:rPr>
        <w:t>are</w:t>
      </w:r>
      <w:r w:rsidRPr="006436AC">
        <w:rPr>
          <w:rFonts w:ascii="Arial" w:hAnsi="Arial" w:cs="Arial"/>
          <w:sz w:val="20"/>
          <w:szCs w:val="20"/>
        </w:rPr>
        <w:t xml:space="preserve"> organized along a gradient that</w:t>
      </w:r>
      <w:r w:rsidR="0001094C" w:rsidRPr="006436AC">
        <w:rPr>
          <w:rFonts w:ascii="Arial" w:hAnsi="Arial" w:cs="Arial"/>
          <w:sz w:val="20"/>
          <w:szCs w:val="20"/>
        </w:rPr>
        <w:t xml:space="preserve"> extends from primary sensorimotor areas at one end, through attention and executive areas of MDN, </w:t>
      </w:r>
      <w:r w:rsidR="006E5476" w:rsidRPr="006436AC">
        <w:rPr>
          <w:rFonts w:ascii="Arial" w:hAnsi="Arial" w:cs="Arial"/>
          <w:sz w:val="20"/>
          <w:szCs w:val="20"/>
        </w:rPr>
        <w:t xml:space="preserve">to </w:t>
      </w:r>
      <w:r w:rsidRPr="006436AC">
        <w:rPr>
          <w:rFonts w:ascii="Arial" w:hAnsi="Arial" w:cs="Arial"/>
          <w:sz w:val="20"/>
          <w:szCs w:val="20"/>
        </w:rPr>
        <w:t>trans</w:t>
      </w:r>
      <w:r w:rsidR="0001094C" w:rsidRPr="006436AC">
        <w:rPr>
          <w:rFonts w:ascii="Arial" w:hAnsi="Arial" w:cs="Arial"/>
          <w:sz w:val="20"/>
          <w:szCs w:val="20"/>
        </w:rPr>
        <w:t>modal DMN regions at the opposite end</w:t>
      </w:r>
      <w:r w:rsidR="00567C92" w:rsidRPr="006436AC">
        <w:rPr>
          <w:rFonts w:ascii="Arial" w:hAnsi="Arial" w:cs="Arial"/>
          <w:sz w:val="20"/>
          <w:szCs w:val="20"/>
        </w:rPr>
        <w:t xml:space="preserve"> </w:t>
      </w:r>
      <w:r w:rsidR="0007631F" w:rsidRPr="006436AC">
        <w:rPr>
          <w:rFonts w:ascii="Arial" w:hAnsi="Arial" w:cs="Arial"/>
          <w:sz w:val="20"/>
          <w:szCs w:val="20"/>
        </w:rPr>
        <w:fldChar w:fldCharType="begin" w:fldLock="1"/>
      </w:r>
      <w:r w:rsidR="002F0DB9"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0007631F" w:rsidRPr="006436AC">
        <w:rPr>
          <w:rFonts w:ascii="Arial" w:hAnsi="Arial" w:cs="Arial"/>
          <w:sz w:val="20"/>
          <w:szCs w:val="20"/>
        </w:rPr>
        <w:fldChar w:fldCharType="separate"/>
      </w:r>
      <w:r w:rsidR="00566455" w:rsidRPr="006436AC">
        <w:rPr>
          <w:rFonts w:ascii="Arial" w:hAnsi="Arial" w:cs="Arial"/>
          <w:noProof/>
          <w:sz w:val="20"/>
          <w:szCs w:val="20"/>
        </w:rPr>
        <w:t>(Margulies et al., 2016)</w:t>
      </w:r>
      <w:r w:rsidR="0007631F" w:rsidRPr="006436AC">
        <w:rPr>
          <w:rFonts w:ascii="Arial" w:hAnsi="Arial" w:cs="Arial"/>
          <w:sz w:val="20"/>
          <w:szCs w:val="20"/>
        </w:rPr>
        <w:fldChar w:fldCharType="end"/>
      </w:r>
      <w:r w:rsidR="0001094C" w:rsidRPr="006436AC">
        <w:rPr>
          <w:rFonts w:ascii="Arial" w:hAnsi="Arial" w:cs="Arial"/>
          <w:sz w:val="20"/>
          <w:szCs w:val="20"/>
        </w:rPr>
        <w:t>.</w:t>
      </w:r>
      <w:r w:rsidR="00D40D4C" w:rsidRPr="006436AC">
        <w:rPr>
          <w:rFonts w:ascii="Arial" w:hAnsi="Arial" w:cs="Arial"/>
          <w:sz w:val="20"/>
          <w:szCs w:val="20"/>
        </w:rPr>
        <w:t xml:space="preserve"> </w:t>
      </w:r>
      <w:r w:rsidR="0001094C" w:rsidRPr="006436AC">
        <w:rPr>
          <w:rFonts w:ascii="Arial" w:hAnsi="Arial" w:cs="Arial"/>
          <w:sz w:val="20"/>
          <w:szCs w:val="20"/>
        </w:rPr>
        <w:t>Th</w:t>
      </w:r>
      <w:r w:rsidRPr="006436AC">
        <w:rPr>
          <w:rFonts w:ascii="Arial" w:hAnsi="Arial" w:cs="Arial"/>
          <w:sz w:val="20"/>
          <w:szCs w:val="20"/>
        </w:rPr>
        <w:t>is</w:t>
      </w:r>
      <w:r w:rsidR="0001094C" w:rsidRPr="006436AC">
        <w:rPr>
          <w:rFonts w:ascii="Arial" w:hAnsi="Arial" w:cs="Arial"/>
          <w:sz w:val="20"/>
          <w:szCs w:val="20"/>
        </w:rPr>
        <w:t xml:space="preserve"> </w:t>
      </w:r>
      <w:r w:rsidRPr="006436AC">
        <w:rPr>
          <w:rFonts w:ascii="Arial" w:hAnsi="Arial" w:cs="Arial"/>
          <w:sz w:val="20"/>
          <w:szCs w:val="20"/>
        </w:rPr>
        <w:t>organizational property of the cortex is reflected in its geometry</w:t>
      </w:r>
      <w:r w:rsidR="006E5476" w:rsidRPr="006436AC">
        <w:rPr>
          <w:rFonts w:ascii="Arial" w:hAnsi="Arial" w:cs="Arial"/>
          <w:sz w:val="20"/>
          <w:szCs w:val="20"/>
        </w:rPr>
        <w:t>,</w:t>
      </w:r>
      <w:r w:rsidRPr="006436AC">
        <w:rPr>
          <w:rFonts w:ascii="Arial" w:hAnsi="Arial" w:cs="Arial"/>
          <w:sz w:val="20"/>
          <w:szCs w:val="20"/>
        </w:rPr>
        <w:t xml:space="preserve"> with the</w:t>
      </w:r>
      <w:r w:rsidR="0001094C" w:rsidRPr="006436AC">
        <w:rPr>
          <w:rFonts w:ascii="Arial" w:hAnsi="Arial" w:cs="Arial"/>
          <w:sz w:val="20"/>
          <w:szCs w:val="20"/>
        </w:rPr>
        <w:t xml:space="preserve"> </w:t>
      </w:r>
      <w:r w:rsidR="00FC76B0" w:rsidRPr="006436AC">
        <w:rPr>
          <w:rFonts w:ascii="Arial" w:hAnsi="Arial" w:cs="Arial"/>
          <w:sz w:val="20"/>
          <w:szCs w:val="20"/>
        </w:rPr>
        <w:t xml:space="preserve">DMN </w:t>
      </w:r>
      <w:r w:rsidRPr="006436AC">
        <w:rPr>
          <w:rFonts w:ascii="Arial" w:hAnsi="Arial" w:cs="Arial"/>
          <w:sz w:val="20"/>
          <w:szCs w:val="20"/>
        </w:rPr>
        <w:t xml:space="preserve">located in regions </w:t>
      </w:r>
      <w:r w:rsidR="00D771B6" w:rsidRPr="006436AC">
        <w:rPr>
          <w:rFonts w:ascii="Arial" w:hAnsi="Arial" w:cs="Arial"/>
          <w:sz w:val="20"/>
          <w:szCs w:val="20"/>
        </w:rPr>
        <w:t xml:space="preserve">of cortex that are </w:t>
      </w:r>
      <w:r w:rsidR="003365D5" w:rsidRPr="006436AC">
        <w:rPr>
          <w:rFonts w:ascii="Arial" w:hAnsi="Arial" w:cs="Arial"/>
          <w:sz w:val="20"/>
          <w:szCs w:val="20"/>
        </w:rPr>
        <w:t xml:space="preserve">physically </w:t>
      </w:r>
      <w:r w:rsidRPr="006436AC">
        <w:rPr>
          <w:rFonts w:ascii="Arial" w:hAnsi="Arial" w:cs="Arial"/>
          <w:sz w:val="20"/>
          <w:szCs w:val="20"/>
        </w:rPr>
        <w:t xml:space="preserve">most distant </w:t>
      </w:r>
      <w:r w:rsidR="003365D5" w:rsidRPr="006436AC">
        <w:rPr>
          <w:rFonts w:ascii="Arial" w:hAnsi="Arial" w:cs="Arial"/>
          <w:sz w:val="20"/>
          <w:szCs w:val="20"/>
        </w:rPr>
        <w:t xml:space="preserve">(in millimeter) </w:t>
      </w:r>
      <w:r w:rsidRPr="006436AC">
        <w:rPr>
          <w:rFonts w:ascii="Arial" w:hAnsi="Arial" w:cs="Arial"/>
          <w:sz w:val="20"/>
          <w:szCs w:val="20"/>
        </w:rPr>
        <w:t xml:space="preserve">from </w:t>
      </w:r>
      <w:r w:rsidR="0001094C" w:rsidRPr="006436AC">
        <w:rPr>
          <w:rFonts w:ascii="Arial" w:hAnsi="Arial" w:cs="Arial"/>
          <w:sz w:val="20"/>
          <w:szCs w:val="20"/>
        </w:rPr>
        <w:t>sensory-motor</w:t>
      </w:r>
      <w:r w:rsidRPr="006436AC">
        <w:rPr>
          <w:rFonts w:ascii="Arial" w:hAnsi="Arial" w:cs="Arial"/>
          <w:sz w:val="20"/>
          <w:szCs w:val="20"/>
        </w:rPr>
        <w:t xml:space="preserve"> systems</w:t>
      </w:r>
      <w:bookmarkEnd w:id="0"/>
      <w:bookmarkEnd w:id="1"/>
      <w:r w:rsidR="003365D5" w:rsidRPr="006436AC">
        <w:rPr>
          <w:rFonts w:ascii="Arial" w:hAnsi="Arial" w:cs="Arial"/>
          <w:sz w:val="20"/>
          <w:szCs w:val="20"/>
        </w:rPr>
        <w:t xml:space="preserve">. </w:t>
      </w:r>
      <w:r w:rsidR="002B3592" w:rsidRPr="006436AC">
        <w:rPr>
          <w:rFonts w:ascii="Arial" w:hAnsi="Arial" w:cs="Arial"/>
          <w:sz w:val="20"/>
          <w:szCs w:val="20"/>
        </w:rPr>
        <w:t>S</w:t>
      </w:r>
      <w:r w:rsidR="00091FC0" w:rsidRPr="006436AC">
        <w:rPr>
          <w:rFonts w:ascii="Arial" w:hAnsi="Arial" w:cs="Arial"/>
          <w:sz w:val="20"/>
          <w:szCs w:val="20"/>
        </w:rPr>
        <w:t xml:space="preserve">ince there are multiple DMN peaks in the brain, there are multiple spatial gradients (or ‘zones’) extending along the cortical surface from the DMN – with </w:t>
      </w:r>
      <w:r w:rsidR="002B3592" w:rsidRPr="006436AC">
        <w:rPr>
          <w:rFonts w:ascii="Arial" w:hAnsi="Arial" w:cs="Arial"/>
          <w:sz w:val="20"/>
          <w:szCs w:val="20"/>
        </w:rPr>
        <w:t>similar</w:t>
      </w:r>
      <w:r w:rsidR="00091FC0" w:rsidRPr="006436AC">
        <w:rPr>
          <w:rFonts w:ascii="Arial" w:hAnsi="Arial" w:cs="Arial"/>
          <w:sz w:val="20"/>
          <w:szCs w:val="20"/>
        </w:rPr>
        <w:t xml:space="preserve"> pattern</w:t>
      </w:r>
      <w:r w:rsidR="002B3592" w:rsidRPr="006436AC">
        <w:rPr>
          <w:rFonts w:ascii="Arial" w:hAnsi="Arial" w:cs="Arial"/>
          <w:sz w:val="20"/>
          <w:szCs w:val="20"/>
        </w:rPr>
        <w:t>s</w:t>
      </w:r>
      <w:r w:rsidR="00091FC0" w:rsidRPr="006436AC">
        <w:rPr>
          <w:rFonts w:ascii="Arial" w:hAnsi="Arial" w:cs="Arial"/>
          <w:sz w:val="20"/>
          <w:szCs w:val="20"/>
        </w:rPr>
        <w:t xml:space="preserve"> within temporal, medial and lateral prefrontal cortex </w:t>
      </w:r>
      <w:r w:rsidR="00091FC0" w:rsidRPr="006436AC">
        <w:rPr>
          <w:rFonts w:ascii="Arial" w:hAnsi="Arial" w:cs="Arial"/>
          <w:sz w:val="20"/>
          <w:szCs w:val="20"/>
        </w:rPr>
        <w:fldChar w:fldCharType="begin" w:fldLock="1"/>
      </w:r>
      <w:r w:rsidR="002F0DB9"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organization","type":"article-journal","volume":"113"},"uris":["http://www.mendeley.com/documents/?uuid=15f00bbc-0ef2-4a4b-aab9-2f6b193aad3d"]},{"id":"ITEM-2","itemData":{"DOI":"10.1038/nrn.2016.150","ISSN":"1471-003X","abstract":"Our ability to use conceptual knowledge to support various behaviours is termed semantic cognition. In this Review, Lambon Ralph et al. argue that this ability arises from two interacting neural systems, one for representation and one for control.","author":[{"dropping-particle":"","family":"Ralph","given":"Matthew A. Lambon","non-dropping-particle":"","parse-names":false,"suffix":""},{"dropping-particle":"","family":"Jefferies","given":"Elizabeth","non-dropping-particle":"","parse-names":false,"suffix":""},{"dropping-particle":"","family":"Patterson","given":"Karalyn","non-dropping-particle":"","parse-names":false,"suffix":""},{"dropping-particle":"","family":"Rogers","given":"Timothy T.","non-dropping-particle":"","parse-names":false,"suffix":""}],"container-title":"Nature Reviews Neuroscience","id":"ITEM-2","issue":"1","issued":{"date-parts":[["2017","1","24"]]},"page":"42-55","publisher":"Nature Publishing Group","title":"The neural and computational bases of semantic cognition","type":"article-journal","volume":"18"},"uris":["http://www.mendeley.com/documents/?uuid=ab5d251e-b90a-365f-ace9-e3312f119924"]},{"id":"ITEM-3","itemData":{"DOI":"10.1093/cercor/bhz079","abstract":"The functional heterogeneity of the ventromedial prefrontal cortex (vmPFC) suggests it may include distinct functional subregions. To date these have not been well elucidated. Regions with differentiable connectivity (and as a result likely dissociable functions) may be identified using emergent data-driven approaches. However, prior parcellations of the vmPFC have only considered hard splits between distinct regions, although both hard and graded connectivity changes may exist. Here we determine the full pattern of change in structural and functional connectivity across the vmPFC for the first time and extract core distinct regions. Both structural and functional connectivity varied along a dorsomedial to ventrolateral axis from relatively dorsal medial wall regions to relatively lateral basal orbitofrontal cortex. The pattern of connectivity shifted from default mode network to sensorimotor and multimodal semantic connections. This finding extends the classical distinction between primate medial and orbital regions by demonstrating a similar gradient in humans for the first time. Additionally, core distinct regions in the medial wall and orbitofrontal cortex were identified that may show greater correspondence to functional differences than prior hard parcellations. The possible functional roles of the orbitofrontal cortex and medial wall are discussed.","author":[{"dropping-particle":"","family":"Jackson","given":"Rebecca L","non-dropping-particle":"","parse-names":false,"suffix":""},{"dropping-particle":"","family":"Bajada","given":"Claude J","non-dropping-particle":"","parse-names":false,"suffix":""},{"dropping-particle":"","family":"Ralph","given":"Matthew A Lambon","non-dropping-particle":"","parse-names":false,"suffix":""},{"dropping-particle":"","family":"Cloutman","given":"Lauren L","non-dropping-particle":"","parse-names":false,"suffix":""}],"container-title":"Cerebral Cortex","id":"ITEM-3","issued":{"date-parts":[["2019"]]},"page":"1-16","title":"The Graded Change in Connectivity across the Ventromedial Prefrontal Cortex Reveals Distinct Subregions","type":"article-journal","volume":"00"},"uris":["http://www.mendeley.com/documents/?uuid=ea8762f3-b9a8-34ba-b375-bfd80089df13"]},{"id":"ITEM-4","itemData":{"DOI":"10.7554/elife.12112","abstract":"Higher-level cognition depends on the lateral prefrontal cortex (LPFC), but its functional organization has remained elusive. An influential proposal is that the LPFC is organized hierarchically whereby progressively rostral areas of the LPFC process/represent increasingly abstract information facilitating efficient and flexible cognition. However, support for this theory has been limited. Here, human fMRI data revealed rostral/caudal gradients of abstraction in the LPFC. Dynamic causal modeling revealed asymmetrical LPFC interactions indicative of hierarchical processing. Contrary to dominant assumptions, the relative strength of efferent versus afferent connections positioned mid LPFC as the apex of the hierarchy. Furthermore, cognitive demands induced connectivity modulations towards mid LPFC consistent with a role in integrating information for control operations. Moreover, the strengths of these dynamics were related to trait-measured higher-level cognitive ability. Collectively, these results suggest that the LPFC is hierarchically organized with the mid LPFC positioned to synthesize abstract and concrete information to control behavior.Part of the brain called the lateral prefrontal cortex has a critical role in many of the processes seen as hallmarks of human cognition, such as reasoning, planning and problem-solving. Individuals with damage to the lateral prefrontal cortex are disorganized and easily distracted, and may show behaviors that are inappropriate for their context. However, the involvement of the lateral prefrontal cortex in such a wide range of processes makes it difficult to study. This in turn presents a significant roadblock to a full understanding of cognition and human intelligence.Of particular interest is whether the lateral prefrontal cortex has a hierarchical organization wherein a region coordinates the roles of other regions, much like the chief executive of a company. Therefore, Nee and D’Esposito set out to map how the lateral prefrontal cortex is organized, and how its different regions communicate with each other to support complex cognition.Brain imaging revealed that the rear (posterior) part of the lateral prefrontal cortex processes an individual’s current situation, while the front (anterior) prepares for future situations. Areas in the middle process both types of information. These central areas appear to be highly influential as they have stronger connections to the anterior and posterior regions than vice ver…","author":[{"dropping-particle":"","family":"Nee","given":"Derek Evan","non-dropping-particle":"","parse-names":false,"suffix":""},{"dropping-particle":"","family":"D'Esposito","given":"Mark","non-dropping-particle":"","parse-names":false,"suffix":""}],"container-title":"eLife","id":"ITEM-4","issued":{"date-parts":[["2016"]]},"page":"1-26","title":"The hierarchical organization of the lateral prefrontal cortex","type":"article-journal","volume":"5"},"uris":["http://www.mendeley.com/documents/?uuid=1f73c079-e763-425c-b863-a7cbe4ac6cb1"]},{"id":"ITEM-5","itemData":{"DOI":"10.1016/j.tics.2017.11.005","ISSN":"1879307X","abstract":"The frontal lobes are important for cognitive control, yet their functional organization remains controversial. An influential class of theory proposes that the frontal lobes are organized along their rostrocaudal axis to support hierarchical cognitive control. Here, we take an updated look at the literature on hierarchical control, with particular focus on the functional organization of lateral frontal cortex. Our review of the evidence supports neither a unitary model of lateral frontal function nor a unidimensional abstraction gradient. Rather, separate frontal networks interact via local and global hierarchical structure to support diverse task demands.","author":[{"dropping-particle":"","family":"Badre","given":"David","non-dropping-particle":"","parse-names":false,"suffix":""},{"dropping-particle":"","family":"Nee","given":"Derek Evan","non-dropping-particle":"","parse-names":false,"suffix":""}],"container-title":"Trends in Cognitive Sciences","id":"ITEM-5","issue":"2","issued":{"date-parts":[["2018"]]},"page":"170-188","publisher":"Elsevier Ltd","title":"Frontal Cortex and the Hierarchical Control of Behavior","type":"article-journal","volume":"22"},"uris":["http://www.mendeley.com/documents/?uuid=a2fb241a-4bd0-4831-88ae-6ac79657f1be"]},{"id":"ITEM-6","itemData":{"DOI":"10.1016/j.tics.2017.11.002","ISSN":"1879307X","abstract":"Recent advances in mapping cortical areas in the human brain provide a basis for investigating the significance of their spatial arrangement. Here we describe a dominant gradient in cortical features that spans between sensorimotor and transmodal areas. We propose that this gradient constitutes a core organizing axis of the human cerebral cortex, and describe an intrinsic coordinate system on its basis. Studying the cortex with respect to these intrinsic dimensions can inform our understanding of how the spectrum of cortical function emerges from structural constraints. Advances in neuroimaging technologies and analytics have enabled the discovery of gradients in microstructure, connectivity, gene expression, and function in the human cerebral cortex. The notion that functional processing hierarchies are confined to sensorimotor systems is challenged by recent descriptions of global hierarchies, extending throughout transmodal association areas. An innovative line of research has uncovered a cortical hierarchy in the temporal domain that accounts for spatially distributed functional specialization.","author":[{"dropping-particle":"","family":"Huntenburg","given":"Julia M.","non-dropping-particle":"","parse-names":false,"suffix":""},{"dropping-particle":"","family":"Bazin","given":"Pierre Louis","non-dropping-particle":"","parse-names":false,"suffix":""},{"dropping-particle":"","family":"Margulies","given":"Daniel S.","non-dropping-particle":"","parse-names":false,"suffix":""}],"container-title":"Trends in Cognitive Sciences","id":"ITEM-6","issue":"1","issued":{"date-parts":[["2018"]]},"page":"21-31","publisher":"Elsevier Ltd","title":"Large-Scale Gradients in Human Cortical Organization","type":"article-journal","volume":"22"},"uris":["http://www.mendeley.com/documents/?uuid=07c56454-1e69-492b-b3d3-922dd26b3d50"]}],"mendeley":{"formattedCitation":"(Badre and Nee, 2018; Huntenburg et al., 2018; Jackson et al., 2019; Margulies et al., 2016; Nee and D’Esposito, 2016; Ralph et al., 2017)","manualFormatting":"(Badre and Nee, 2018; Huntenburg et al., 2018; Jackson et al., 2019; Margulies et al., 2016; Nee and D’Esposito, 2016; Lambon Ralph et al., 2017)","plainTextFormattedCitation":"(Badre and Nee, 2018; Huntenburg et al., 2018; Jackson et al., 2019; Margulies et al., 2016; Nee and D’Esposito, 2016; Ralph et al., 2017)","previouslyFormattedCitation":"(Badre and Nee, 2018; Huntenburg et al., 2018; Jackson et al., 2019; Margulies et al., 2016; Nee and D’Esposito, 2016; Ralph et al., 2017)"},"properties":{"noteIndex":0},"schema":"https://github.com/citation-style-language/schema/raw/master/csl-citation.json"}</w:instrText>
      </w:r>
      <w:r w:rsidR="00091FC0" w:rsidRPr="006436AC">
        <w:rPr>
          <w:rFonts w:ascii="Arial" w:hAnsi="Arial" w:cs="Arial"/>
          <w:sz w:val="20"/>
          <w:szCs w:val="20"/>
        </w:rPr>
        <w:fldChar w:fldCharType="separate"/>
      </w:r>
      <w:r w:rsidR="00566455" w:rsidRPr="006436AC">
        <w:rPr>
          <w:rFonts w:ascii="Arial" w:hAnsi="Arial" w:cs="Arial"/>
          <w:noProof/>
          <w:sz w:val="20"/>
          <w:szCs w:val="20"/>
        </w:rPr>
        <w:t xml:space="preserve">(Badre and Nee, 2018; Huntenburg et al., 2018; Jackson et al., 2019; Margulies et al., 2016; Nee and D’Esposito, 2016; </w:t>
      </w:r>
      <w:r w:rsidR="009A3F8A" w:rsidRPr="006436AC">
        <w:rPr>
          <w:rFonts w:ascii="Arial" w:hAnsi="Arial" w:cs="Arial"/>
          <w:noProof/>
          <w:sz w:val="20"/>
          <w:szCs w:val="20"/>
        </w:rPr>
        <w:t xml:space="preserve">Lambon </w:t>
      </w:r>
      <w:r w:rsidR="00566455" w:rsidRPr="006436AC">
        <w:rPr>
          <w:rFonts w:ascii="Arial" w:hAnsi="Arial" w:cs="Arial"/>
          <w:noProof/>
          <w:sz w:val="20"/>
          <w:szCs w:val="20"/>
        </w:rPr>
        <w:t>Ralph et al., 2017)</w:t>
      </w:r>
      <w:r w:rsidR="00091FC0" w:rsidRPr="006436AC">
        <w:rPr>
          <w:rFonts w:ascii="Arial" w:hAnsi="Arial" w:cs="Arial"/>
          <w:sz w:val="20"/>
          <w:szCs w:val="20"/>
        </w:rPr>
        <w:fldChar w:fldCharType="end"/>
      </w:r>
      <w:r w:rsidR="00091FC0" w:rsidRPr="006436AC">
        <w:rPr>
          <w:rFonts w:ascii="Arial" w:hAnsi="Arial" w:cs="Arial"/>
          <w:sz w:val="20"/>
          <w:szCs w:val="20"/>
        </w:rPr>
        <w:t xml:space="preserve">. </w:t>
      </w:r>
      <w:r w:rsidR="0001094C" w:rsidRPr="006436AC">
        <w:rPr>
          <w:rFonts w:ascii="Arial" w:hAnsi="Arial" w:cs="Arial"/>
          <w:sz w:val="20"/>
          <w:szCs w:val="20"/>
        </w:rPr>
        <w:t xml:space="preserve">In this way, the </w:t>
      </w:r>
      <w:r w:rsidR="00D40D70" w:rsidRPr="006436AC">
        <w:rPr>
          <w:rFonts w:ascii="Arial" w:hAnsi="Arial" w:cs="Arial"/>
          <w:sz w:val="20"/>
          <w:szCs w:val="20"/>
        </w:rPr>
        <w:t xml:space="preserve">macroscale organization of the cortex highlighted by the </w:t>
      </w:r>
      <w:r w:rsidR="0001094C" w:rsidRPr="006436AC">
        <w:rPr>
          <w:rFonts w:ascii="Arial" w:hAnsi="Arial" w:cs="Arial"/>
          <w:sz w:val="20"/>
          <w:szCs w:val="20"/>
        </w:rPr>
        <w:t xml:space="preserve">principal connectivity gradient </w:t>
      </w:r>
      <w:r w:rsidRPr="006436AC">
        <w:rPr>
          <w:rFonts w:ascii="Arial" w:hAnsi="Arial" w:cs="Arial"/>
          <w:sz w:val="20"/>
          <w:szCs w:val="20"/>
        </w:rPr>
        <w:t>offers a view of neural organization in which the relationships between systems are graded rather than dichotomous</w:t>
      </w:r>
      <w:r w:rsidR="002B3592" w:rsidRPr="006436AC">
        <w:rPr>
          <w:rFonts w:ascii="Arial" w:hAnsi="Arial" w:cs="Arial"/>
          <w:sz w:val="20"/>
          <w:szCs w:val="20"/>
        </w:rPr>
        <w:t>, with transitions between networks in multiple cortical zones following the same orderly sequence</w:t>
      </w:r>
      <w:r w:rsidR="00D40D70" w:rsidRPr="006436AC">
        <w:rPr>
          <w:rFonts w:ascii="Arial" w:hAnsi="Arial" w:cs="Arial"/>
          <w:sz w:val="20"/>
          <w:szCs w:val="20"/>
        </w:rPr>
        <w:t>.</w:t>
      </w:r>
    </w:p>
    <w:p w14:paraId="3B2F196E" w14:textId="580FDC74" w:rsidR="00E3170D" w:rsidRPr="006436AC" w:rsidRDefault="0001094C"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Motivated by t</w:t>
      </w:r>
      <w:r w:rsidR="00762137" w:rsidRPr="006436AC">
        <w:rPr>
          <w:rFonts w:ascii="Arial" w:hAnsi="Arial" w:cs="Arial"/>
          <w:sz w:val="20"/>
          <w:szCs w:val="20"/>
        </w:rPr>
        <w:t xml:space="preserve">his novel view of </w:t>
      </w:r>
      <w:r w:rsidR="00D40D70" w:rsidRPr="006436AC">
        <w:rPr>
          <w:rFonts w:ascii="Arial" w:hAnsi="Arial" w:cs="Arial"/>
          <w:sz w:val="20"/>
          <w:szCs w:val="20"/>
        </w:rPr>
        <w:t>how</w:t>
      </w:r>
      <w:r w:rsidR="00762137" w:rsidRPr="006436AC">
        <w:rPr>
          <w:rFonts w:ascii="Arial" w:hAnsi="Arial" w:cs="Arial"/>
          <w:sz w:val="20"/>
          <w:szCs w:val="20"/>
        </w:rPr>
        <w:t xml:space="preserve"> neural function</w:t>
      </w:r>
      <w:r w:rsidR="00D40D70" w:rsidRPr="006436AC">
        <w:rPr>
          <w:rFonts w:ascii="Arial" w:hAnsi="Arial" w:cs="Arial"/>
          <w:sz w:val="20"/>
          <w:szCs w:val="20"/>
        </w:rPr>
        <w:t xml:space="preserve"> is organized</w:t>
      </w:r>
      <w:r w:rsidRPr="006436AC">
        <w:rPr>
          <w:rFonts w:ascii="Arial" w:hAnsi="Arial" w:cs="Arial"/>
          <w:sz w:val="20"/>
          <w:szCs w:val="20"/>
        </w:rPr>
        <w:t xml:space="preserve">, </w:t>
      </w:r>
      <w:r w:rsidR="00762137" w:rsidRPr="006436AC">
        <w:rPr>
          <w:rFonts w:ascii="Arial" w:hAnsi="Arial" w:cs="Arial"/>
          <w:sz w:val="20"/>
          <w:szCs w:val="20"/>
        </w:rPr>
        <w:t xml:space="preserve">the current study examines </w:t>
      </w:r>
      <w:r w:rsidRPr="006436AC">
        <w:rPr>
          <w:rFonts w:ascii="Arial" w:hAnsi="Arial" w:cs="Arial"/>
          <w:sz w:val="20"/>
          <w:szCs w:val="20"/>
        </w:rPr>
        <w:t xml:space="preserve">whether </w:t>
      </w:r>
      <w:r w:rsidR="00762137" w:rsidRPr="006436AC">
        <w:rPr>
          <w:rFonts w:ascii="Arial" w:hAnsi="Arial" w:cs="Arial"/>
          <w:sz w:val="20"/>
          <w:szCs w:val="20"/>
        </w:rPr>
        <w:t>this cortical gradient</w:t>
      </w:r>
      <w:r w:rsidR="00567C92" w:rsidRPr="006436AC">
        <w:rPr>
          <w:rFonts w:ascii="Arial" w:hAnsi="Arial" w:cs="Arial"/>
          <w:sz w:val="20"/>
          <w:szCs w:val="20"/>
        </w:rPr>
        <w:t xml:space="preserve"> </w:t>
      </w:r>
      <w:r w:rsidR="0079337D" w:rsidRPr="006436AC">
        <w:rPr>
          <w:rFonts w:ascii="Arial" w:hAnsi="Arial" w:cs="Arial"/>
          <w:sz w:val="20"/>
          <w:szCs w:val="20"/>
        </w:rPr>
        <w:t xml:space="preserve">of connectivity </w:t>
      </w:r>
      <w:r w:rsidRPr="006436AC">
        <w:rPr>
          <w:rFonts w:ascii="Arial" w:hAnsi="Arial" w:cs="Arial"/>
          <w:sz w:val="20"/>
          <w:szCs w:val="20"/>
        </w:rPr>
        <w:fldChar w:fldCharType="begin" w:fldLock="1"/>
      </w:r>
      <w:r w:rsidR="002F0DB9"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(Margulies et al., 2016)</w:t>
      </w:r>
      <w:r w:rsidRPr="006436AC">
        <w:rPr>
          <w:rFonts w:ascii="Arial" w:hAnsi="Arial" w:cs="Arial"/>
          <w:sz w:val="20"/>
          <w:szCs w:val="20"/>
        </w:rPr>
        <w:fldChar w:fldCharType="end"/>
      </w:r>
      <w:r w:rsidR="00762137" w:rsidRPr="006436AC">
        <w:rPr>
          <w:rFonts w:ascii="Arial" w:hAnsi="Arial" w:cs="Arial"/>
          <w:sz w:val="20"/>
          <w:szCs w:val="20"/>
        </w:rPr>
        <w:t xml:space="preserve"> reflects</w:t>
      </w:r>
      <w:r w:rsidRPr="006436AC">
        <w:rPr>
          <w:rFonts w:ascii="Arial" w:hAnsi="Arial" w:cs="Arial"/>
          <w:sz w:val="20"/>
          <w:szCs w:val="20"/>
        </w:rPr>
        <w:t xml:space="preserve"> </w:t>
      </w:r>
      <w:r w:rsidR="00762137" w:rsidRPr="006436AC">
        <w:rPr>
          <w:rFonts w:ascii="Arial" w:hAnsi="Arial" w:cs="Arial"/>
          <w:sz w:val="20"/>
          <w:szCs w:val="20"/>
        </w:rPr>
        <w:t xml:space="preserve">how </w:t>
      </w:r>
      <w:r w:rsidR="0079337D" w:rsidRPr="006436AC">
        <w:rPr>
          <w:rFonts w:ascii="Arial" w:hAnsi="Arial" w:cs="Arial"/>
          <w:sz w:val="20"/>
          <w:szCs w:val="20"/>
        </w:rPr>
        <w:t>semantic decisions change</w:t>
      </w:r>
      <w:r w:rsidR="00762137" w:rsidRPr="006436AC">
        <w:rPr>
          <w:rFonts w:ascii="Arial" w:hAnsi="Arial" w:cs="Arial"/>
          <w:sz w:val="20"/>
          <w:szCs w:val="20"/>
        </w:rPr>
        <w:t xml:space="preserve"> in a graded fashion as the support from </w:t>
      </w:r>
      <w:r w:rsidR="00012F2A" w:rsidRPr="006436AC">
        <w:rPr>
          <w:rFonts w:ascii="Arial" w:hAnsi="Arial" w:cs="Arial"/>
          <w:sz w:val="20"/>
          <w:szCs w:val="20"/>
        </w:rPr>
        <w:t xml:space="preserve">heteromodal </w:t>
      </w:r>
      <w:r w:rsidR="006E5476" w:rsidRPr="006436AC">
        <w:rPr>
          <w:rFonts w:ascii="Arial" w:hAnsi="Arial" w:cs="Arial"/>
          <w:sz w:val="20"/>
          <w:szCs w:val="20"/>
        </w:rPr>
        <w:t xml:space="preserve">long-term </w:t>
      </w:r>
      <w:r w:rsidR="00762137" w:rsidRPr="006436AC">
        <w:rPr>
          <w:rFonts w:ascii="Arial" w:hAnsi="Arial" w:cs="Arial"/>
          <w:sz w:val="20"/>
          <w:szCs w:val="20"/>
        </w:rPr>
        <w:t xml:space="preserve">knowledge </w:t>
      </w:r>
      <w:r w:rsidR="006E5476" w:rsidRPr="006436AC">
        <w:rPr>
          <w:rFonts w:ascii="Arial" w:hAnsi="Arial" w:cs="Arial"/>
          <w:sz w:val="20"/>
          <w:szCs w:val="20"/>
        </w:rPr>
        <w:t>is varied</w:t>
      </w:r>
      <w:r w:rsidR="00762137" w:rsidRPr="006436AC">
        <w:rPr>
          <w:rFonts w:ascii="Arial" w:hAnsi="Arial" w:cs="Arial"/>
          <w:sz w:val="20"/>
          <w:szCs w:val="20"/>
        </w:rPr>
        <w:t xml:space="preserve">. </w:t>
      </w:r>
      <w:r w:rsidR="00A22273" w:rsidRPr="006436AC">
        <w:rPr>
          <w:rFonts w:ascii="Arial" w:hAnsi="Arial" w:cs="Arial"/>
          <w:sz w:val="20"/>
          <w:szCs w:val="20"/>
        </w:rPr>
        <w:t xml:space="preserve">Hub and spoke accounts of semantic representation suggest that semantic cognition emerges from interactions of representations situated at different points along this gradient – including both a heteromodal hub in anterior parts of the temporal lobe, and visual and auditory spoke regions in posterior and superior portions of the temporal lobe respectively </w:t>
      </w:r>
      <w:r w:rsidR="00A22273" w:rsidRPr="006436AC">
        <w:rPr>
          <w:rFonts w:ascii="Arial" w:hAnsi="Arial" w:cs="Arial"/>
          <w:sz w:val="20"/>
          <w:szCs w:val="20"/>
        </w:rPr>
        <w:fldChar w:fldCharType="begin" w:fldLock="1"/>
      </w:r>
      <w:r w:rsidR="00A22273" w:rsidRPr="006436AC">
        <w:rPr>
          <w:rFonts w:ascii="Arial" w:hAnsi="Arial" w:cs="Arial"/>
          <w:sz w:val="20"/>
          <w:szCs w:val="20"/>
        </w:rPr>
        <w:instrText>ADDIN CSL_CITATION {"citationItems":[{"id":"ITEM-1","itemData":{"DOI":"10.1038/nrn.2016.150","ISSN":"1471-003X","abstract":"Our ability to use conceptual knowledge to support various behaviours is termed semantic cognition. In this Review, Lambon Ralph et al. argue that this ability arises from two interacting neural systems, one for representation and one for control.","author":[{"dropping-particle":"","family":"Ralph","given":"Matthew A. Lambon","non-dropping-particle":"","parse-names":false,"suffix":""},{"dropping-particle":"","family":"Jefferies","given":"Elizabeth","non-dropping-particle":"","parse-names":false,"suffix":""},{"dropping-particle":"","family":"Patterson","given":"Karalyn","non-dropping-particle":"","parse-names":false,"suffix":""},{"dropping-particle":"","family":"Rogers","given":"Timothy T.","non-dropping-particle":"","parse-names":false,"suffix":""}],"container-title":"Nature Reviews Neuroscience","id":"ITEM-1","issue":"1","issued":{"date-parts":[["2017","1","24"]]},"page":"42-55","publisher":"Nature Publishing Group","title":"The neural and computational bases of semantic cognition","type":"article-journal","volume":"18"},"uris":["http://www.mendeley.com/documents/?uuid=ab5d251e-b90a-365f-ace9-e3312f119924"]}],"mendeley":{"formattedCitation":"(Ralph et al., 2017)","manualFormatting":"(Lambon Ralph et al., 2017)","plainTextFormattedCitation":"(Ralph et al., 2017)","previouslyFormattedCitation":"(Ralph et al., 2017)"},"properties":{"noteIndex":0},"schema":"https://github.com/citation-style-language/schema/raw/master/csl-citation.json"}</w:instrText>
      </w:r>
      <w:r w:rsidR="00A22273" w:rsidRPr="006436AC">
        <w:rPr>
          <w:rFonts w:ascii="Arial" w:hAnsi="Arial" w:cs="Arial"/>
          <w:sz w:val="20"/>
          <w:szCs w:val="20"/>
        </w:rPr>
        <w:fldChar w:fldCharType="separate"/>
      </w:r>
      <w:r w:rsidR="00A22273" w:rsidRPr="006436AC">
        <w:rPr>
          <w:rFonts w:ascii="Arial" w:hAnsi="Arial" w:cs="Arial"/>
          <w:noProof/>
          <w:sz w:val="20"/>
          <w:szCs w:val="20"/>
        </w:rPr>
        <w:t>(Lambon Ralph et al., 2017)</w:t>
      </w:r>
      <w:r w:rsidR="00A22273" w:rsidRPr="006436AC">
        <w:rPr>
          <w:rFonts w:ascii="Arial" w:hAnsi="Arial" w:cs="Arial"/>
          <w:sz w:val="20"/>
          <w:szCs w:val="20"/>
        </w:rPr>
        <w:fldChar w:fldCharType="end"/>
      </w:r>
      <w:r w:rsidR="00A22273" w:rsidRPr="006436AC">
        <w:rPr>
          <w:rFonts w:ascii="Arial" w:hAnsi="Arial" w:cs="Arial"/>
          <w:sz w:val="20"/>
          <w:szCs w:val="20"/>
        </w:rPr>
        <w:t xml:space="preserve">. Heteromodal concepts are thought to emerge from the </w:t>
      </w:r>
      <w:r w:rsidR="009C052D" w:rsidRPr="006436AC">
        <w:rPr>
          <w:rFonts w:ascii="Arial" w:hAnsi="Arial" w:cs="Arial"/>
          <w:sz w:val="20"/>
          <w:szCs w:val="20"/>
        </w:rPr>
        <w:t>convergence</w:t>
      </w:r>
      <w:r w:rsidR="00A22273" w:rsidRPr="006436AC">
        <w:rPr>
          <w:rFonts w:ascii="Arial" w:hAnsi="Arial" w:cs="Arial"/>
          <w:sz w:val="20"/>
          <w:szCs w:val="20"/>
        </w:rPr>
        <w:t xml:space="preserve"> </w:t>
      </w:r>
      <w:r w:rsidR="00A22273" w:rsidRPr="006436AC">
        <w:rPr>
          <w:rFonts w:ascii="Arial" w:hAnsi="Arial" w:cs="Arial"/>
          <w:sz w:val="20"/>
          <w:szCs w:val="20"/>
        </w:rPr>
        <w:lastRenderedPageBreak/>
        <w:t>of different sensory</w:t>
      </w:r>
      <w:r w:rsidR="009C052D" w:rsidRPr="006436AC">
        <w:rPr>
          <w:rFonts w:ascii="Arial" w:hAnsi="Arial" w:cs="Arial"/>
          <w:sz w:val="20"/>
          <w:szCs w:val="20"/>
        </w:rPr>
        <w:t>-motor features in a relatively graded fashion</w:t>
      </w:r>
      <w:r w:rsidR="008048DE" w:rsidRPr="006436AC">
        <w:rPr>
          <w:rFonts w:ascii="Arial" w:hAnsi="Arial" w:cs="Arial"/>
          <w:sz w:val="20"/>
          <w:szCs w:val="20"/>
        </w:rPr>
        <w:t xml:space="preserve"> </w:t>
      </w:r>
      <w:r w:rsidR="008048DE" w:rsidRPr="006436AC">
        <w:rPr>
          <w:rFonts w:ascii="Arial" w:hAnsi="Arial" w:cs="Arial"/>
          <w:sz w:val="20"/>
          <w:szCs w:val="20"/>
        </w:rPr>
        <w:fldChar w:fldCharType="begin" w:fldLock="1"/>
      </w:r>
      <w:r w:rsidR="00C87C8C" w:rsidRPr="006436AC">
        <w:rPr>
          <w:rFonts w:ascii="Arial" w:hAnsi="Arial" w:cs="Arial"/>
          <w:sz w:val="20"/>
          <w:szCs w:val="20"/>
        </w:rPr>
        <w:instrText>ADDIN CSL_CITATION {"citationItems":[{"id":"ITEM-1","itemData":{"DOI":"10.1038/nrn.2016.150","ISSN":"1471-003X","abstract":"Our ability to use conceptual knowledge to support various behaviours is termed semantic cognition. In this Review, Lambon Ralph et al. argue that this ability arises from two interacting neural systems, one for representation and one for control.","author":[{"dropping-particle":"","family":"Ralph","given":"Matthew A. Lambon","non-dropping-particle":"","parse-names":false,"suffix":""},{"dropping-particle":"","family":"Jefferies","given":"Elizabeth","non-dropping-particle":"","parse-names":false,"suffix":""},{"dropping-particle":"","family":"Patterson","given":"Karalyn","non-dropping-particle":"","parse-names":false,"suffix":""},{"dropping-particle":"","family":"Rogers","given":"Timothy T.","non-dropping-particle":"","parse-names":false,"suffix":""}],"container-title":"Nature Reviews Neuroscience","id":"ITEM-1","issue":"1","issued":{"date-parts":[["2017","1","24"]]},"page":"42-55","publisher":"Nature Publishing Group","title":"The neural and computational bases of semantic cognition","type":"article-journal","volume":"18"},"uris":["http://www.mendeley.com/documents/?uuid=ab5d251e-b90a-365f-ace9-e3312f119924"]}],"mendeley":{"formattedCitation":"(Ralph et al., 2017)","manualFormatting":"(Lambon Ralph et al., 2017)","plainTextFormattedCitation":"(Ralph et al., 2017)","previouslyFormattedCitation":"(Ralph et al., 2017)"},"properties":{"noteIndex":0},"schema":"https://github.com/citation-style-language/schema/raw/master/csl-citation.json"}</w:instrText>
      </w:r>
      <w:r w:rsidR="008048DE" w:rsidRPr="006436AC">
        <w:rPr>
          <w:rFonts w:ascii="Arial" w:hAnsi="Arial" w:cs="Arial"/>
          <w:sz w:val="20"/>
          <w:szCs w:val="20"/>
        </w:rPr>
        <w:fldChar w:fldCharType="separate"/>
      </w:r>
      <w:r w:rsidR="008048DE" w:rsidRPr="006436AC">
        <w:rPr>
          <w:rFonts w:ascii="Arial" w:hAnsi="Arial" w:cs="Arial"/>
          <w:noProof/>
          <w:sz w:val="20"/>
          <w:szCs w:val="20"/>
        </w:rPr>
        <w:t>(Lambon Ralph et al., 2017)</w:t>
      </w:r>
      <w:r w:rsidR="008048DE" w:rsidRPr="006436AC">
        <w:rPr>
          <w:rFonts w:ascii="Arial" w:hAnsi="Arial" w:cs="Arial"/>
          <w:sz w:val="20"/>
          <w:szCs w:val="20"/>
        </w:rPr>
        <w:fldChar w:fldCharType="end"/>
      </w:r>
      <w:r w:rsidR="0068493C" w:rsidRPr="006436AC">
        <w:rPr>
          <w:rFonts w:ascii="Arial" w:hAnsi="Arial" w:cs="Arial"/>
          <w:sz w:val="20"/>
          <w:szCs w:val="20"/>
        </w:rPr>
        <w:t>, creating a unimodal to heteromodal gradient within ventrolateral temporal that is reminiscent of the principal gradient.</w:t>
      </w:r>
      <w:r w:rsidR="00012F2A" w:rsidRPr="006436AC">
        <w:rPr>
          <w:rFonts w:ascii="Arial" w:hAnsi="Arial" w:cs="Arial"/>
          <w:sz w:val="20"/>
          <w:szCs w:val="20"/>
        </w:rPr>
        <w:t xml:space="preserve"> At the heteromodal end of this gradient, long-term conceptual knowledge captures multiple partially-overlapping shared features between similar items drawn from the same taxonomic category, while at the heteromodal end, specific features might be represented in the absence of conceptual similarity</w:t>
      </w:r>
      <w:r w:rsidR="008048DE" w:rsidRPr="006436AC">
        <w:rPr>
          <w:rFonts w:ascii="Arial" w:hAnsi="Arial" w:cs="Arial"/>
          <w:sz w:val="20"/>
          <w:szCs w:val="20"/>
        </w:rPr>
        <w:t xml:space="preserve"> </w:t>
      </w:r>
      <w:r w:rsidR="008048DE" w:rsidRPr="006436AC">
        <w:rPr>
          <w:rFonts w:ascii="Arial" w:hAnsi="Arial" w:cs="Arial"/>
          <w:sz w:val="20"/>
          <w:szCs w:val="20"/>
        </w:rPr>
        <w:fldChar w:fldCharType="begin" w:fldLock="1"/>
      </w:r>
      <w:r w:rsidR="008048DE" w:rsidRPr="006436AC">
        <w:rPr>
          <w:rFonts w:ascii="Arial" w:hAnsi="Arial" w:cs="Arial"/>
          <w:sz w:val="20"/>
          <w:szCs w:val="20"/>
        </w:rPr>
        <w:instrText>ADDIN CSL_CITATION {"citationItems":[{"id":"ITEM-1","itemData":{"DOI":"10.1016/j.cortex.2018.02.018","ISSN":"19738102","abstract":"Built upon a wealth of neuroimaging, neurostimulation, and neuropsychology data, a recent proposal set forth a framework termed controlled semantic cognition (CSC) to account for how the brain underpins the ability to flexibly use semantic knowledge (Lambon Ralph et al., 2017; Nature Reviews Neuroscience). In CSC, the ‘semantic control’ system, underpinned predominantly by the prefrontal cortex, dynamically monitors and modulates the ‘semantic representation’ system that consists of a ‘hub’ (anterior temporal lobe, ATL) and multiple ‘spokes’ (modality-specific areas). CSC predicts that unfamiliar and exacting semantic tasks should intensify communication between the ‘control’ and ‘representation’ systems, relative to familiar and less taxing tasks. In the present study, we used functional magnetic resonance imaging (fMRI) to test this hypothesis. Participants paired unrelated concepts by canonical colours (a less accustomed task – e.g., pairing ketchup with fire-extinguishers due to both being red) or paired well-related concepts by semantic relationship (a typical task – e.g., ketchup is related to mustard). We found the ‘control’ system was more engaged by atypical than typical pairing. While both tasks activated the ATL ‘hub’ colour pairing additionally involved occipitotemporal ‘spoke’ regions abutting areas of hue perception. Furthermore, we uncovered a gradient along the ventral temporal cortex, transitioning from the caudal ‘spoke’ zones preferring canonical colour processing to the rostral ‘hub’ zones preferring semantic relationship. Functional connectivity also differed between the tasks: Compared with semantic pairing, colour pairing relied more upon the inferior frontal gyrus, a key node of the control system, driving enhanced connectivity with occipitotemporal ‘spoke’. Together, our findings characterise the interaction within the neural architecture of semantic cognition – the control system dynamically heightens its connectivity with relevant components of the representation system, in response to different semantic contents and difficulty levels.","author":[{"dropping-particle":"","family":"Chiou","given":"Rocco","non-dropping-particle":"","parse-names":false,"suffix":""},{"dropping-particle":"","family":"Humphreys","given":"Gina F.","non-dropping-particle":"","parse-names":false,"suffix":""},{"dropping-particle":"","family":"Jung","given":"Je Young","non-dropping-particle":"","parse-names":false,"suffix":""},{"dropping-particle":"","family":"Lambon Ralph","given":"Matthew A.","non-dropping-particle":"","parse-names":false,"suffix":""}],"container-title":"Cortex","id":"ITEM-1","issued":{"date-parts":[["2018"]]},"page":"100-116","publisher":"Elsevier Ltd","title":"Controlled semantic cognition relies upon dynamic and flexible interactions between the executive ‘semantic control’ and hub-and-spoke ‘semantic representation’ systems","type":"article-journal","volume":"103"},"uris":["http://www.mendeley.com/documents/?uuid=564ad9a7-4505-4922-91b4-bd5102f2d8b9"]}],"mendeley":{"formattedCitation":"(Chiou et al., 2018)","plainTextFormattedCitation":"(Chiou et al., 2018)"},"properties":{"noteIndex":0},"schema":"https://github.com/citation-style-language/schema/raw/master/csl-citation.json"}</w:instrText>
      </w:r>
      <w:r w:rsidR="008048DE" w:rsidRPr="006436AC">
        <w:rPr>
          <w:rFonts w:ascii="Arial" w:hAnsi="Arial" w:cs="Arial"/>
          <w:sz w:val="20"/>
          <w:szCs w:val="20"/>
        </w:rPr>
        <w:fldChar w:fldCharType="separate"/>
      </w:r>
      <w:r w:rsidR="008048DE" w:rsidRPr="006436AC">
        <w:rPr>
          <w:rFonts w:ascii="Arial" w:hAnsi="Arial" w:cs="Arial"/>
          <w:noProof/>
          <w:sz w:val="20"/>
          <w:szCs w:val="20"/>
        </w:rPr>
        <w:t>(Chiou et al., 2018)</w:t>
      </w:r>
      <w:r w:rsidR="008048DE" w:rsidRPr="006436AC">
        <w:rPr>
          <w:rFonts w:ascii="Arial" w:hAnsi="Arial" w:cs="Arial"/>
          <w:sz w:val="20"/>
          <w:szCs w:val="20"/>
        </w:rPr>
        <w:fldChar w:fldCharType="end"/>
      </w:r>
      <w:r w:rsidR="00012F2A" w:rsidRPr="006436AC">
        <w:rPr>
          <w:rFonts w:ascii="Arial" w:hAnsi="Arial" w:cs="Arial"/>
          <w:sz w:val="20"/>
          <w:szCs w:val="20"/>
        </w:rPr>
        <w:t xml:space="preserve">. </w:t>
      </w:r>
      <w:r w:rsidR="00D40D70" w:rsidRPr="006436AC">
        <w:rPr>
          <w:rFonts w:ascii="Arial" w:hAnsi="Arial" w:cs="Arial"/>
          <w:sz w:val="20"/>
          <w:szCs w:val="20"/>
        </w:rPr>
        <w:t xml:space="preserve">We </w:t>
      </w:r>
      <w:r w:rsidR="0079337D" w:rsidRPr="006436AC">
        <w:rPr>
          <w:rFonts w:ascii="Arial" w:hAnsi="Arial" w:cs="Arial"/>
          <w:sz w:val="20"/>
          <w:szCs w:val="20"/>
        </w:rPr>
        <w:t xml:space="preserve">therefore </w:t>
      </w:r>
      <w:r w:rsidR="00D40D70" w:rsidRPr="006436AC">
        <w:rPr>
          <w:rFonts w:ascii="Arial" w:hAnsi="Arial" w:cs="Arial"/>
          <w:sz w:val="20"/>
          <w:szCs w:val="20"/>
        </w:rPr>
        <w:t>created a</w:t>
      </w:r>
      <w:r w:rsidR="00C42D13" w:rsidRPr="006436AC">
        <w:rPr>
          <w:rFonts w:ascii="Arial" w:hAnsi="Arial" w:cs="Arial"/>
          <w:sz w:val="20"/>
          <w:szCs w:val="20"/>
        </w:rPr>
        <w:t>n</w:t>
      </w:r>
      <w:r w:rsidR="00D40D70" w:rsidRPr="006436AC">
        <w:rPr>
          <w:rFonts w:ascii="Arial" w:hAnsi="Arial" w:cs="Arial"/>
          <w:sz w:val="20"/>
          <w:szCs w:val="20"/>
        </w:rPr>
        <w:t xml:space="preserve"> experimental paradigm in which participants </w:t>
      </w:r>
      <w:r w:rsidR="00091FC0" w:rsidRPr="006436AC">
        <w:rPr>
          <w:rFonts w:ascii="Arial" w:hAnsi="Arial" w:cs="Arial"/>
          <w:sz w:val="20"/>
          <w:szCs w:val="20"/>
        </w:rPr>
        <w:t xml:space="preserve">decided </w:t>
      </w:r>
      <w:r w:rsidR="00D40D70" w:rsidRPr="006436AC">
        <w:rPr>
          <w:rFonts w:ascii="Arial" w:hAnsi="Arial" w:cs="Arial"/>
          <w:sz w:val="20"/>
          <w:szCs w:val="20"/>
        </w:rPr>
        <w:t xml:space="preserve">whether </w:t>
      </w:r>
      <w:r w:rsidR="00091FC0" w:rsidRPr="006436AC">
        <w:rPr>
          <w:rFonts w:ascii="Arial" w:hAnsi="Arial" w:cs="Arial"/>
          <w:sz w:val="20"/>
          <w:szCs w:val="20"/>
        </w:rPr>
        <w:t>concepts</w:t>
      </w:r>
      <w:r w:rsidR="00D40D70" w:rsidRPr="006436AC">
        <w:rPr>
          <w:rFonts w:ascii="Arial" w:hAnsi="Arial" w:cs="Arial"/>
          <w:sz w:val="20"/>
          <w:szCs w:val="20"/>
        </w:rPr>
        <w:t xml:space="preserve"> shared </w:t>
      </w:r>
      <w:r w:rsidR="00091FC0" w:rsidRPr="006436AC">
        <w:rPr>
          <w:rFonts w:ascii="Arial" w:hAnsi="Arial" w:cs="Arial"/>
          <w:sz w:val="20"/>
          <w:szCs w:val="20"/>
        </w:rPr>
        <w:t xml:space="preserve">a </w:t>
      </w:r>
      <w:r w:rsidR="00D40D70" w:rsidRPr="006436AC">
        <w:rPr>
          <w:rFonts w:ascii="Arial" w:hAnsi="Arial" w:cs="Arial"/>
          <w:sz w:val="20"/>
          <w:szCs w:val="20"/>
        </w:rPr>
        <w:t>specific feature (such as color)</w:t>
      </w:r>
      <w:r w:rsidR="00091FC0" w:rsidRPr="006436AC">
        <w:rPr>
          <w:rFonts w:ascii="Arial" w:hAnsi="Arial" w:cs="Arial"/>
          <w:sz w:val="20"/>
          <w:szCs w:val="20"/>
        </w:rPr>
        <w:t>,</w:t>
      </w:r>
      <w:r w:rsidR="00D40D70" w:rsidRPr="006436AC">
        <w:rPr>
          <w:rFonts w:ascii="Arial" w:hAnsi="Arial" w:cs="Arial"/>
          <w:sz w:val="20"/>
          <w:szCs w:val="20"/>
        </w:rPr>
        <w:t xml:space="preserve"> </w:t>
      </w:r>
      <w:r w:rsidR="00091FC0" w:rsidRPr="006436AC">
        <w:rPr>
          <w:rFonts w:ascii="Arial" w:hAnsi="Arial" w:cs="Arial"/>
          <w:sz w:val="20"/>
          <w:szCs w:val="20"/>
        </w:rPr>
        <w:t>whilst varying</w:t>
      </w:r>
      <w:r w:rsidR="00D40D70" w:rsidRPr="006436AC">
        <w:rPr>
          <w:rFonts w:ascii="Arial" w:hAnsi="Arial" w:cs="Arial"/>
          <w:sz w:val="20"/>
          <w:szCs w:val="20"/>
        </w:rPr>
        <w:t xml:space="preserve"> </w:t>
      </w:r>
      <w:r w:rsidR="004606ED" w:rsidRPr="006436AC">
        <w:rPr>
          <w:rFonts w:ascii="Arial" w:hAnsi="Arial" w:cs="Arial"/>
          <w:sz w:val="20"/>
          <w:szCs w:val="20"/>
        </w:rPr>
        <w:t>their overall semantic similarity</w:t>
      </w:r>
      <w:r w:rsidR="00D40D70" w:rsidRPr="006436AC">
        <w:rPr>
          <w:rFonts w:ascii="Arial" w:hAnsi="Arial" w:cs="Arial"/>
          <w:sz w:val="20"/>
          <w:szCs w:val="20"/>
        </w:rPr>
        <w:t xml:space="preserve">. Participants were asked to decide if two words, presented successively, </w:t>
      </w:r>
      <w:r w:rsidR="0079337D" w:rsidRPr="006436AC">
        <w:rPr>
          <w:rFonts w:ascii="Arial" w:hAnsi="Arial" w:cs="Arial"/>
          <w:sz w:val="20"/>
          <w:szCs w:val="20"/>
        </w:rPr>
        <w:t xml:space="preserve">overlapped in </w:t>
      </w:r>
      <w:r w:rsidR="00D40D70" w:rsidRPr="006436AC">
        <w:rPr>
          <w:rFonts w:ascii="Arial" w:hAnsi="Arial" w:cs="Arial"/>
          <w:sz w:val="20"/>
          <w:szCs w:val="20"/>
        </w:rPr>
        <w:t xml:space="preserve">colour, shape or size. We varied the number of other features that the two items shared parametrically, </w:t>
      </w:r>
      <w:r w:rsidR="00D771B6" w:rsidRPr="006436AC">
        <w:rPr>
          <w:rFonts w:ascii="Arial" w:hAnsi="Arial" w:cs="Arial"/>
          <w:sz w:val="20"/>
          <w:szCs w:val="20"/>
        </w:rPr>
        <w:t>creating a spectrum of</w:t>
      </w:r>
      <w:r w:rsidR="00D40D70" w:rsidRPr="006436AC">
        <w:rPr>
          <w:rFonts w:ascii="Arial" w:hAnsi="Arial" w:cs="Arial"/>
          <w:sz w:val="20"/>
          <w:szCs w:val="20"/>
        </w:rPr>
        <w:t xml:space="preserve"> trials </w:t>
      </w:r>
      <w:r w:rsidR="00091FC0" w:rsidRPr="006436AC">
        <w:rPr>
          <w:rFonts w:ascii="Arial" w:hAnsi="Arial" w:cs="Arial"/>
          <w:sz w:val="20"/>
          <w:szCs w:val="20"/>
        </w:rPr>
        <w:t xml:space="preserve">ranging </w:t>
      </w:r>
      <w:r w:rsidR="00D771B6" w:rsidRPr="006436AC">
        <w:rPr>
          <w:rFonts w:ascii="Arial" w:hAnsi="Arial" w:cs="Arial"/>
          <w:sz w:val="20"/>
          <w:szCs w:val="20"/>
        </w:rPr>
        <w:t xml:space="preserve">from situations </w:t>
      </w:r>
      <w:r w:rsidR="00D40D70" w:rsidRPr="006436AC">
        <w:rPr>
          <w:rFonts w:ascii="Arial" w:hAnsi="Arial" w:cs="Arial"/>
          <w:sz w:val="20"/>
          <w:szCs w:val="20"/>
        </w:rPr>
        <w:t xml:space="preserve">in which only the goal-relevant feature was shared (e.g., colour: tomato and </w:t>
      </w:r>
      <w:r w:rsidR="007745ED" w:rsidRPr="006436AC">
        <w:rPr>
          <w:rFonts w:ascii="Arial" w:hAnsi="Arial" w:cs="Arial"/>
          <w:sz w:val="20"/>
          <w:szCs w:val="20"/>
        </w:rPr>
        <w:t>postbox</w:t>
      </w:r>
      <w:r w:rsidR="00D40D70" w:rsidRPr="006436AC">
        <w:rPr>
          <w:rFonts w:ascii="Arial" w:hAnsi="Arial" w:cs="Arial"/>
          <w:sz w:val="20"/>
          <w:szCs w:val="20"/>
        </w:rPr>
        <w:t>) to trials in which nearly all features were shared (e.g., colour: strawberry</w:t>
      </w:r>
      <w:r w:rsidR="00E47A08" w:rsidRPr="006436AC">
        <w:rPr>
          <w:rFonts w:ascii="Arial" w:hAnsi="Arial" w:cs="Arial"/>
          <w:sz w:val="20"/>
          <w:szCs w:val="20"/>
        </w:rPr>
        <w:t xml:space="preserve"> and raspberry</w:t>
      </w:r>
      <w:r w:rsidR="00D40D70" w:rsidRPr="006436AC">
        <w:rPr>
          <w:rFonts w:ascii="Arial" w:hAnsi="Arial" w:cs="Arial"/>
          <w:sz w:val="20"/>
          <w:szCs w:val="20"/>
        </w:rPr>
        <w:t xml:space="preserve">). </w:t>
      </w:r>
      <w:r w:rsidR="00E3170D" w:rsidRPr="006436AC">
        <w:rPr>
          <w:rFonts w:ascii="Arial" w:hAnsi="Arial" w:cs="Arial"/>
          <w:sz w:val="20"/>
          <w:szCs w:val="20"/>
        </w:rPr>
        <w:t xml:space="preserve">We measured neural activity in thirty participants using functional magnetic resonance imaging (fMRI) to establish the correspondence between </w:t>
      </w:r>
      <w:r w:rsidR="009515F7" w:rsidRPr="006436AC">
        <w:rPr>
          <w:rFonts w:ascii="Arial" w:hAnsi="Arial" w:cs="Arial"/>
          <w:sz w:val="20"/>
          <w:szCs w:val="20"/>
        </w:rPr>
        <w:t xml:space="preserve">the connectivity gradient described by </w:t>
      </w:r>
      <w:r w:rsidR="009515F7" w:rsidRPr="006436AC">
        <w:rPr>
          <w:rFonts w:ascii="Arial" w:hAnsi="Arial" w:cs="Arial"/>
          <w:sz w:val="20"/>
          <w:szCs w:val="20"/>
        </w:rPr>
        <w:fldChar w:fldCharType="begin" w:fldLock="1"/>
      </w:r>
      <w:r w:rsidR="002F0DB9"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2016)","manualFormatting":"Margulies et al. (2016)","plainTextFormattedCitation":"(Margulies et al., 2016)","previouslyFormattedCitation":"(Margulies et al., 2016)"},"properties":{"noteIndex":0},"schema":"https://github.com/citation-style-language/schema/raw/master/csl-citation.json"}</w:instrText>
      </w:r>
      <w:r w:rsidR="009515F7" w:rsidRPr="006436AC">
        <w:rPr>
          <w:rFonts w:ascii="Arial" w:hAnsi="Arial" w:cs="Arial"/>
          <w:sz w:val="20"/>
          <w:szCs w:val="20"/>
        </w:rPr>
        <w:fldChar w:fldCharType="separate"/>
      </w:r>
      <w:r w:rsidR="00566455" w:rsidRPr="006436AC">
        <w:rPr>
          <w:rFonts w:ascii="Arial" w:hAnsi="Arial" w:cs="Arial"/>
          <w:noProof/>
          <w:sz w:val="20"/>
          <w:szCs w:val="20"/>
        </w:rPr>
        <w:t>Margulies et al.</w:t>
      </w:r>
      <w:r w:rsidR="00567C92" w:rsidRPr="006436AC">
        <w:rPr>
          <w:rFonts w:ascii="Arial" w:hAnsi="Arial" w:cs="Arial"/>
          <w:noProof/>
          <w:sz w:val="20"/>
          <w:szCs w:val="20"/>
        </w:rPr>
        <w:t xml:space="preserve"> (</w:t>
      </w:r>
      <w:r w:rsidR="00566455" w:rsidRPr="006436AC">
        <w:rPr>
          <w:rFonts w:ascii="Arial" w:hAnsi="Arial" w:cs="Arial"/>
          <w:noProof/>
          <w:sz w:val="20"/>
          <w:szCs w:val="20"/>
        </w:rPr>
        <w:t>2016)</w:t>
      </w:r>
      <w:r w:rsidR="009515F7" w:rsidRPr="006436AC">
        <w:rPr>
          <w:rFonts w:ascii="Arial" w:hAnsi="Arial" w:cs="Arial"/>
          <w:sz w:val="20"/>
          <w:szCs w:val="20"/>
        </w:rPr>
        <w:fldChar w:fldCharType="end"/>
      </w:r>
      <w:r w:rsidR="009515F7" w:rsidRPr="006436AC">
        <w:rPr>
          <w:rFonts w:ascii="Arial" w:hAnsi="Arial" w:cs="Arial"/>
          <w:sz w:val="20"/>
          <w:szCs w:val="20"/>
        </w:rPr>
        <w:t xml:space="preserve"> and our ‘task gradient’ – i.e., changes in the neural response to the feature-matching task as the semantic similarity varied. T</w:t>
      </w:r>
      <w:r w:rsidR="00E3170D" w:rsidRPr="006436AC">
        <w:rPr>
          <w:rFonts w:ascii="Arial" w:hAnsi="Arial" w:cs="Arial"/>
          <w:sz w:val="20"/>
          <w:szCs w:val="20"/>
        </w:rPr>
        <w:t>rials with more shared features are expected to generate stronger responses in regions of the DMN</w:t>
      </w:r>
      <w:r w:rsidR="00DD7889" w:rsidRPr="006436AC">
        <w:rPr>
          <w:rFonts w:ascii="Arial" w:hAnsi="Arial" w:cs="Arial"/>
          <w:sz w:val="20"/>
          <w:szCs w:val="20"/>
        </w:rPr>
        <w:t xml:space="preserve"> (given the alignment between the task and strongly-encoded information in long-term memory in these circumstances)</w:t>
      </w:r>
      <w:r w:rsidR="00E3170D" w:rsidRPr="006436AC">
        <w:rPr>
          <w:rFonts w:ascii="Arial" w:hAnsi="Arial" w:cs="Arial"/>
          <w:sz w:val="20"/>
          <w:szCs w:val="20"/>
        </w:rPr>
        <w:t>, while concepts that are less globally-overlapping are expected to produce stronger responses in MDN and sensorimotor regions</w:t>
      </w:r>
      <w:r w:rsidR="0080698F" w:rsidRPr="006436AC">
        <w:rPr>
          <w:rFonts w:ascii="Arial" w:hAnsi="Arial" w:cs="Arial"/>
          <w:sz w:val="20"/>
          <w:szCs w:val="20"/>
        </w:rPr>
        <w:t xml:space="preserve"> </w:t>
      </w:r>
      <w:r w:rsidR="00DD7889" w:rsidRPr="006436AC">
        <w:rPr>
          <w:rFonts w:ascii="Arial" w:hAnsi="Arial" w:cs="Arial"/>
          <w:sz w:val="20"/>
          <w:szCs w:val="20"/>
        </w:rPr>
        <w:t xml:space="preserve">(since </w:t>
      </w:r>
      <w:r w:rsidR="0080698F" w:rsidRPr="006436AC">
        <w:rPr>
          <w:rFonts w:ascii="Arial" w:hAnsi="Arial" w:cs="Arial"/>
          <w:sz w:val="20"/>
          <w:szCs w:val="20"/>
        </w:rPr>
        <w:t>participants</w:t>
      </w:r>
      <w:r w:rsidR="00E47A08" w:rsidRPr="006436AC">
        <w:rPr>
          <w:rFonts w:ascii="Arial" w:hAnsi="Arial" w:cs="Arial"/>
          <w:sz w:val="20"/>
          <w:szCs w:val="20"/>
        </w:rPr>
        <w:t xml:space="preserve"> need to</w:t>
      </w:r>
      <w:r w:rsidR="0080698F" w:rsidRPr="006436AC">
        <w:rPr>
          <w:rFonts w:ascii="Arial" w:hAnsi="Arial" w:cs="Arial"/>
          <w:sz w:val="20"/>
          <w:szCs w:val="20"/>
        </w:rPr>
        <w:t xml:space="preserve"> focus on </w:t>
      </w:r>
      <w:r w:rsidR="00DD7889" w:rsidRPr="006436AC">
        <w:rPr>
          <w:rFonts w:ascii="Arial" w:hAnsi="Arial" w:cs="Arial"/>
          <w:sz w:val="20"/>
          <w:szCs w:val="20"/>
        </w:rPr>
        <w:t xml:space="preserve">these </w:t>
      </w:r>
      <w:r w:rsidR="0080698F" w:rsidRPr="006436AC">
        <w:rPr>
          <w:rFonts w:ascii="Arial" w:hAnsi="Arial" w:cs="Arial"/>
          <w:sz w:val="20"/>
          <w:szCs w:val="20"/>
        </w:rPr>
        <w:t>specific features</w:t>
      </w:r>
      <w:r w:rsidR="00DD7889" w:rsidRPr="006436AC">
        <w:rPr>
          <w:rFonts w:ascii="Arial" w:hAnsi="Arial" w:cs="Arial"/>
          <w:sz w:val="20"/>
          <w:szCs w:val="20"/>
        </w:rPr>
        <w:t>,</w:t>
      </w:r>
      <w:r w:rsidR="0080698F" w:rsidRPr="006436AC">
        <w:rPr>
          <w:rFonts w:ascii="Arial" w:hAnsi="Arial" w:cs="Arial"/>
          <w:sz w:val="20"/>
          <w:szCs w:val="20"/>
        </w:rPr>
        <w:t xml:space="preserve"> represented at the unimodal end of the connectivity gradient</w:t>
      </w:r>
      <w:r w:rsidR="00DD7889" w:rsidRPr="006436AC">
        <w:rPr>
          <w:rFonts w:ascii="Arial" w:hAnsi="Arial" w:cs="Arial"/>
          <w:sz w:val="20"/>
          <w:szCs w:val="20"/>
        </w:rPr>
        <w:t>, on these trials)</w:t>
      </w:r>
      <w:r w:rsidR="00E3170D" w:rsidRPr="006436AC">
        <w:rPr>
          <w:rFonts w:ascii="Arial" w:hAnsi="Arial" w:cs="Arial"/>
          <w:sz w:val="20"/>
          <w:szCs w:val="20"/>
        </w:rPr>
        <w:t xml:space="preserve">. In order to be able to independently describe </w:t>
      </w:r>
      <w:r w:rsidR="009515F7" w:rsidRPr="006436AC">
        <w:rPr>
          <w:rFonts w:ascii="Arial" w:hAnsi="Arial" w:cs="Arial"/>
          <w:sz w:val="20"/>
          <w:szCs w:val="20"/>
        </w:rPr>
        <w:t>DMN and MDN</w:t>
      </w:r>
      <w:r w:rsidR="00DD7889" w:rsidRPr="006436AC">
        <w:rPr>
          <w:rFonts w:ascii="Arial" w:hAnsi="Arial" w:cs="Arial"/>
          <w:sz w:val="20"/>
          <w:szCs w:val="20"/>
        </w:rPr>
        <w:t xml:space="preserve"> for each participant</w:t>
      </w:r>
      <w:r w:rsidR="009515F7" w:rsidRPr="006436AC">
        <w:rPr>
          <w:rFonts w:ascii="Arial" w:hAnsi="Arial" w:cs="Arial"/>
          <w:sz w:val="20"/>
          <w:szCs w:val="20"/>
        </w:rPr>
        <w:t>,</w:t>
      </w:r>
      <w:r w:rsidR="00E3170D" w:rsidRPr="006436AC">
        <w:rPr>
          <w:rFonts w:ascii="Arial" w:hAnsi="Arial" w:cs="Arial"/>
          <w:sz w:val="20"/>
          <w:szCs w:val="20"/>
        </w:rPr>
        <w:t xml:space="preserve"> we used </w:t>
      </w:r>
      <w:r w:rsidR="006E5476" w:rsidRPr="006436AC">
        <w:rPr>
          <w:rFonts w:ascii="Arial" w:hAnsi="Arial" w:cs="Arial"/>
          <w:sz w:val="20"/>
          <w:szCs w:val="20"/>
        </w:rPr>
        <w:t>well-established</w:t>
      </w:r>
      <w:r w:rsidR="00E3170D" w:rsidRPr="006436AC">
        <w:rPr>
          <w:rFonts w:ascii="Arial" w:hAnsi="Arial" w:cs="Arial"/>
          <w:sz w:val="20"/>
          <w:szCs w:val="20"/>
        </w:rPr>
        <w:t xml:space="preserve"> </w:t>
      </w:r>
      <w:r w:rsidR="00DD7889" w:rsidRPr="006436AC">
        <w:rPr>
          <w:rFonts w:ascii="Arial" w:hAnsi="Arial" w:cs="Arial"/>
          <w:sz w:val="20"/>
          <w:szCs w:val="20"/>
        </w:rPr>
        <w:t xml:space="preserve">localizer </w:t>
      </w:r>
      <w:r w:rsidR="00E3170D" w:rsidRPr="006436AC">
        <w:rPr>
          <w:rFonts w:ascii="Arial" w:hAnsi="Arial" w:cs="Arial"/>
          <w:sz w:val="20"/>
          <w:szCs w:val="20"/>
        </w:rPr>
        <w:t>paradigm</w:t>
      </w:r>
      <w:r w:rsidR="009515F7" w:rsidRPr="006436AC">
        <w:rPr>
          <w:rFonts w:ascii="Arial" w:hAnsi="Arial" w:cs="Arial"/>
          <w:sz w:val="20"/>
          <w:szCs w:val="20"/>
        </w:rPr>
        <w:t>s</w:t>
      </w:r>
      <w:r w:rsidR="00E3170D" w:rsidRPr="006436AC">
        <w:rPr>
          <w:rFonts w:ascii="Arial" w:hAnsi="Arial" w:cs="Arial"/>
          <w:sz w:val="20"/>
          <w:szCs w:val="20"/>
        </w:rPr>
        <w:t xml:space="preserve"> that manipulated </w:t>
      </w:r>
      <w:r w:rsidR="00DD7889" w:rsidRPr="006436AC">
        <w:rPr>
          <w:rFonts w:ascii="Arial" w:hAnsi="Arial" w:cs="Arial"/>
          <w:sz w:val="20"/>
          <w:szCs w:val="20"/>
        </w:rPr>
        <w:t xml:space="preserve">the difficulty of cognitive tasks </w:t>
      </w:r>
      <w:r w:rsidR="00E3170D" w:rsidRPr="006436AC">
        <w:rPr>
          <w:rFonts w:ascii="Arial" w:hAnsi="Arial" w:cs="Arial"/>
          <w:sz w:val="20"/>
          <w:szCs w:val="20"/>
        </w:rPr>
        <w:t>in an independent session.</w:t>
      </w:r>
      <w:r w:rsidR="00A47AD2" w:rsidRPr="006436AC">
        <w:rPr>
          <w:rFonts w:ascii="Arial" w:hAnsi="Arial" w:cs="Arial"/>
          <w:sz w:val="20"/>
          <w:szCs w:val="20"/>
        </w:rPr>
        <w:t xml:space="preserve"> We </w:t>
      </w:r>
      <w:r w:rsidR="00DD7889" w:rsidRPr="006436AC">
        <w:rPr>
          <w:rFonts w:ascii="Arial" w:hAnsi="Arial" w:cs="Arial"/>
          <w:sz w:val="20"/>
          <w:szCs w:val="20"/>
        </w:rPr>
        <w:t>also recorded</w:t>
      </w:r>
      <w:r w:rsidR="00A47AD2" w:rsidRPr="006436AC">
        <w:rPr>
          <w:rFonts w:ascii="Arial" w:hAnsi="Arial" w:cs="Arial"/>
          <w:sz w:val="20"/>
          <w:szCs w:val="20"/>
        </w:rPr>
        <w:t xml:space="preserve"> resting-state </w:t>
      </w:r>
      <w:r w:rsidR="00DD7889" w:rsidRPr="006436AC">
        <w:rPr>
          <w:rFonts w:ascii="Arial" w:hAnsi="Arial" w:cs="Arial"/>
          <w:sz w:val="20"/>
          <w:szCs w:val="20"/>
        </w:rPr>
        <w:t>data</w:t>
      </w:r>
      <w:r w:rsidR="00A47AD2" w:rsidRPr="006436AC">
        <w:rPr>
          <w:rFonts w:ascii="Arial" w:hAnsi="Arial" w:cs="Arial"/>
          <w:sz w:val="20"/>
          <w:szCs w:val="20"/>
        </w:rPr>
        <w:t xml:space="preserve"> (rs-fMRI) </w:t>
      </w:r>
      <w:r w:rsidR="00DD7889" w:rsidRPr="006436AC">
        <w:rPr>
          <w:rFonts w:ascii="Arial" w:hAnsi="Arial" w:cs="Arial"/>
          <w:sz w:val="20"/>
          <w:szCs w:val="20"/>
        </w:rPr>
        <w:t>allowing us to extract the principal connectivity gradient for each participant</w:t>
      </w:r>
      <w:r w:rsidR="003B37FB" w:rsidRPr="006436AC">
        <w:rPr>
          <w:rFonts w:ascii="Arial" w:hAnsi="Arial" w:cs="Arial"/>
          <w:sz w:val="20"/>
          <w:szCs w:val="20"/>
        </w:rPr>
        <w:t>.</w:t>
      </w:r>
      <w:r w:rsidR="00DD7889" w:rsidRPr="006436AC">
        <w:rPr>
          <w:rFonts w:ascii="Arial" w:hAnsi="Arial" w:cs="Arial"/>
          <w:sz w:val="20"/>
          <w:szCs w:val="20"/>
        </w:rPr>
        <w:t xml:space="preserve"> In this way, we were able to test whether networks implicated in semantic cognition are organized in a systematic way along the connectivity and task gradients extracted for each individual. </w:t>
      </w:r>
      <w:r w:rsidR="003B37FB" w:rsidRPr="006436AC">
        <w:rPr>
          <w:rFonts w:ascii="Arial" w:hAnsi="Arial" w:cs="Arial"/>
          <w:sz w:val="20"/>
          <w:szCs w:val="20"/>
        </w:rPr>
        <w:t xml:space="preserve"> </w:t>
      </w:r>
    </w:p>
    <w:p w14:paraId="3D867428" w14:textId="00A6A51D" w:rsidR="004B4F7A" w:rsidRPr="006436AC" w:rsidRDefault="004B4F7A" w:rsidP="000E64FB">
      <w:pPr>
        <w:pStyle w:val="Style1"/>
        <w:spacing w:before="100" w:beforeAutospacing="1" w:after="100" w:afterAutospacing="1" w:line="480" w:lineRule="auto"/>
        <w:rPr>
          <w:rStyle w:val="Style2Char"/>
          <w:rFonts w:cs="Arial"/>
          <w:szCs w:val="20"/>
        </w:rPr>
      </w:pPr>
      <w:r w:rsidRPr="006436AC">
        <w:rPr>
          <w:rFonts w:cs="Arial"/>
          <w:sz w:val="20"/>
          <w:szCs w:val="20"/>
        </w:rPr>
        <w:lastRenderedPageBreak/>
        <w:t xml:space="preserve">2. </w:t>
      </w:r>
      <w:r w:rsidR="00566455" w:rsidRPr="006436AC">
        <w:rPr>
          <w:rFonts w:cs="Arial"/>
          <w:sz w:val="20"/>
          <w:szCs w:val="20"/>
        </w:rPr>
        <w:t>Materials and Methods</w:t>
      </w:r>
    </w:p>
    <w:p w14:paraId="492E83F1" w14:textId="4B567564" w:rsidR="004B4F7A" w:rsidRPr="006436AC" w:rsidRDefault="004B4F7A" w:rsidP="000E64FB">
      <w:pPr>
        <w:pStyle w:val="Style3"/>
        <w:rPr>
          <w:color w:val="auto"/>
          <w:szCs w:val="20"/>
        </w:rPr>
      </w:pPr>
      <w:r w:rsidRPr="006436AC">
        <w:rPr>
          <w:rStyle w:val="Style2Char"/>
          <w:color w:val="auto"/>
          <w:szCs w:val="20"/>
        </w:rPr>
        <w:t xml:space="preserve">2.1. </w:t>
      </w:r>
      <w:r w:rsidR="00566455" w:rsidRPr="006436AC">
        <w:rPr>
          <w:rStyle w:val="Style2Char"/>
          <w:color w:val="auto"/>
          <w:szCs w:val="20"/>
        </w:rPr>
        <w:t>Participants</w:t>
      </w:r>
      <w:r w:rsidR="00566455" w:rsidRPr="006436AC">
        <w:rPr>
          <w:color w:val="auto"/>
          <w:szCs w:val="20"/>
        </w:rPr>
        <w:t xml:space="preserve"> </w:t>
      </w:r>
    </w:p>
    <w:p w14:paraId="4E68CC0D" w14:textId="6D9386FA" w:rsidR="00566455" w:rsidRPr="006436AC" w:rsidRDefault="00566455"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The research was approved by local ethics committees and volunteers provided written informed consent. 31 healthy adults were recruited from the University of York (26 females; age: mean ± SD = 20.60 ± 1.68). All participants were right-handed, native English speakers, with normal or corrected-to-normal vision and no history of psychiatric or neurological illness. We excluded one participant who attended only one of two sessions and</w:t>
      </w:r>
      <w:r w:rsidR="006A4F7B" w:rsidRPr="006436AC">
        <w:rPr>
          <w:rFonts w:ascii="Arial" w:hAnsi="Arial" w:cs="Arial"/>
          <w:sz w:val="20"/>
          <w:szCs w:val="20"/>
        </w:rPr>
        <w:t xml:space="preserve"> two runs of one participant and one run of one </w:t>
      </w:r>
      <w:r w:rsidRPr="006436AC">
        <w:rPr>
          <w:rFonts w:ascii="Arial" w:hAnsi="Arial" w:cs="Arial"/>
          <w:sz w:val="20"/>
          <w:szCs w:val="20"/>
        </w:rPr>
        <w:t>participant because accuracy was not higher than chance.</w:t>
      </w:r>
    </w:p>
    <w:p w14:paraId="1DDD9B12" w14:textId="672ACC68" w:rsidR="004B4F7A" w:rsidRPr="006436AC" w:rsidRDefault="004B4F7A" w:rsidP="000E64FB">
      <w:pPr>
        <w:pStyle w:val="Style3"/>
        <w:rPr>
          <w:color w:val="auto"/>
          <w:szCs w:val="20"/>
        </w:rPr>
      </w:pPr>
      <w:r w:rsidRPr="006436AC">
        <w:rPr>
          <w:rStyle w:val="Style2Char"/>
          <w:color w:val="auto"/>
          <w:szCs w:val="20"/>
        </w:rPr>
        <w:t xml:space="preserve">2.2. </w:t>
      </w:r>
      <w:r w:rsidR="00566455" w:rsidRPr="006436AC">
        <w:rPr>
          <w:rStyle w:val="Style2Char"/>
          <w:color w:val="auto"/>
          <w:szCs w:val="20"/>
        </w:rPr>
        <w:t>Design and tasks</w:t>
      </w:r>
    </w:p>
    <w:p w14:paraId="2568FDFE" w14:textId="0303EC47" w:rsidR="00566455" w:rsidRPr="006436AC" w:rsidRDefault="00566455"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Participants matched probe and target concepts (presented as written words) according to colour, shape or size, in a rapid event-related design. The goal feature was specified at the start of each trial. The degree of feature overlap between the probe and target was parametrically manipulated: in some trials, the items shared many features (e.g., </w:t>
      </w:r>
      <w:r w:rsidRPr="006436AC">
        <w:rPr>
          <w:rFonts w:ascii="Arial" w:hAnsi="Arial" w:cs="Arial"/>
          <w:smallCaps/>
          <w:sz w:val="20"/>
          <w:szCs w:val="20"/>
        </w:rPr>
        <w:t>strawberry</w:t>
      </w:r>
      <w:r w:rsidRPr="006436AC">
        <w:rPr>
          <w:rFonts w:ascii="Arial" w:hAnsi="Arial" w:cs="Arial"/>
          <w:sz w:val="20"/>
          <w:szCs w:val="20"/>
        </w:rPr>
        <w:t xml:space="preserve"> and </w:t>
      </w:r>
      <w:r w:rsidRPr="006436AC">
        <w:rPr>
          <w:rFonts w:ascii="Arial" w:hAnsi="Arial" w:cs="Arial"/>
          <w:smallCaps/>
          <w:sz w:val="20"/>
          <w:szCs w:val="20"/>
        </w:rPr>
        <w:t>raspberry</w:t>
      </w:r>
      <w:r w:rsidRPr="006436AC">
        <w:rPr>
          <w:rFonts w:ascii="Arial" w:hAnsi="Arial" w:cs="Arial"/>
          <w:sz w:val="20"/>
          <w:szCs w:val="20"/>
        </w:rPr>
        <w:t xml:space="preserve">), while others only shared the task-relevant feature (e.g. colour match: </w:t>
      </w:r>
      <w:r w:rsidRPr="006436AC">
        <w:rPr>
          <w:rFonts w:ascii="Arial" w:hAnsi="Arial" w:cs="Arial"/>
          <w:smallCaps/>
          <w:sz w:val="20"/>
          <w:szCs w:val="20"/>
        </w:rPr>
        <w:t>tomato</w:t>
      </w:r>
      <w:r w:rsidRPr="006436AC">
        <w:rPr>
          <w:rFonts w:ascii="Arial" w:hAnsi="Arial" w:cs="Arial"/>
          <w:sz w:val="20"/>
          <w:szCs w:val="20"/>
        </w:rPr>
        <w:t xml:space="preserve"> and </w:t>
      </w:r>
      <w:r w:rsidRPr="006436AC">
        <w:rPr>
          <w:rFonts w:ascii="Arial" w:hAnsi="Arial" w:cs="Arial"/>
          <w:smallCaps/>
          <w:sz w:val="20"/>
          <w:szCs w:val="20"/>
        </w:rPr>
        <w:t>postbox</w:t>
      </w:r>
      <w:r w:rsidRPr="006436AC">
        <w:rPr>
          <w:rFonts w:ascii="Arial" w:hAnsi="Arial" w:cs="Arial"/>
          <w:sz w:val="20"/>
          <w:szCs w:val="20"/>
        </w:rPr>
        <w:t>) (Figure 1). Localiser tasks were presented in a different session to define functional networks of interest</w:t>
      </w:r>
      <w:r w:rsidR="002B6A66" w:rsidRPr="006436AC">
        <w:rPr>
          <w:rFonts w:ascii="Arial" w:hAnsi="Arial" w:cs="Arial"/>
          <w:sz w:val="20"/>
          <w:szCs w:val="20"/>
        </w:rPr>
        <w:t xml:space="preserve"> (Figure 2)</w:t>
      </w:r>
      <w:r w:rsidRPr="006436AC">
        <w:rPr>
          <w:rFonts w:ascii="Arial" w:hAnsi="Arial" w:cs="Arial"/>
          <w:sz w:val="20"/>
          <w:szCs w:val="20"/>
        </w:rPr>
        <w:t>. We compared visually-presented words and nonwords to identify sites sensitive to meaning. We also contrasted easy and hard spatial working memory and math decisions to define DMN and MDN</w:t>
      </w:r>
      <w:r w:rsidR="00567C92"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{"citationItems":[{"id":"ITEM-1","itemData":{"DOI":"10.1073/pnas.1112937108","ISSN":"0027-8424","abstract":"Neuroscientists have debated for centuries whether some regions tasks. Specifically, we examined the response of high-level lan- of the human brain are selectively engaged in specific high-level guage regions to seven nonlinguistic tasks that tap the cognitive mental functions or whether, instead, cognition is implemented functions in most commonly argued to recruit the language net- multifunctional brain regions. For the critical case of language, work: exact arithmetic (experiment 1), working memory (WM; conflicting answers arise from the neuropsychological literature, control which features striking dissociations between deficits in linguistic music experiments 2 and 3), cognitive (experiments 4-6), and and nonlinguistic abilities, vs. the neuroimaging literature, which (experiment 7). localizer has argued for overlap between activations read sentences and for linguistic and For the language task, participants domain general strings of pronounceable nonwords and decided whether a sub- nonlinguistic processes, including arithmetic, abilities like cognitive control, and music. Here, we use functional sequent probe (a word or nonword, respectively) appeared in the MRI to define classic language regions functionally in each subject preceding stimulus (Fig. 1). The sentences &gt; nonwords contrast individually and then examine the response of these regions to the targets brain regions engaged in high-level linguistic processing nonlinguistic functions most commonly argued to engage these (sentence understanding), including lexical and combinatorial regions: arithmetic, working memory, cognitive control, and processes but excluding phonological and other lower-level pro- music. We find little or no response in language regions to these cesses.* This localizer was previously shown (29) to robustly and nonlinguistic functions. These data support a dear distinction reliably identify each of the key brain regions previously impli- between language and other cognitive processes, resolving the conflict between the neuropsychological and neuroimaging SI) in at least 80% of subjects cated in high-level linguistic processing (30, 31) (Fig. 2 and Fig. prior literatures.","author":[{"dropping-particle":"","family":"Fedorenko","given":"E.","non-dropping-particle":"","parse-names":false,"suffix":""},{"dropping-particle":"","family":"Behr","given":"M. K.","non-dropping-particle":"","parse-names":false,"suffix":""},{"dropping-particle":"","family":"Kanwisher","given":"N.","non-dropping-particle":"","parse-names":false,"suffix":""}],"container-title":"Proceedings of the National Academy of Sciences","id":"ITEM-1","issue":"39","issued":{"date-parts":[["2011"]]},"page":"16428-16433","title":"Functional specificity for high-level linguistic processing in the human brain","type":"article-journal","volume":"108"},"uris":["http://www.mendeley.com/documents/?uuid=6cde46f2-d15e-47bc-aab9-fdb04a3b00f6"]},{"id":"ITEM-2","itemData":{"DOI":"10.1073/pnas.1315235110","ISBN":"1315235110","ISSN":"0027-8424","abstract":"Unlike brain regions that respond selectively to specific kinds of information content, a number of frontal and parietal regions are thought to be domain- and process-general: that is, active during a wide variety of demanding cognitive tasks. However, most previous evidence for this functional generality in humans comes from methods that overestimate activation overlap across tasks. Here we present functional MRI evidence from single-subject analyses for broad functional generality of a specific set of brain regions: the same sets of voxels are engaged across tasks ranging from arithmetic to storing information in working memory, to inhibiting irrelevant information. These regions have a specific topography, often lying directly adjacent to domain-specific regions. Thus, in addition to domain-specific brain regions tailored to solve particular problems of longstanding importance to our species, the human brain also contains a set of functionally general regions that plausibly endow us with the cognitive flexibility necessary to solve novel problems.","author":[{"dropping-particle":"","family":"Fedorenko","given":"E.","non-dropping-particle":"","parse-names":false,"suffix":""},{"dropping-particle":"","family":"Duncan","given":"J.","non-dropping-particle":"","parse-names":false,"suffix":""},{"dropping-particle":"","family":"Kanwisher","given":"N.","non-dropping-particle":"","parse-names":false,"suffix":""}],"container-title":"Proceedings of the National Academy of Sciences","id":"ITEM-2","issue":"41","issued":{"date-parts":[["2013"]]},"page":"16616-16621","title":"Broad domain generality in focal regions of frontal and parietal cortex","type":"article-journal","volume":"110"},"uris":["http://www.mendeley.com/documents/?uuid=6e80a063-9d9a-4426-908c-15c385760ef3"]}],"mendeley":{"formattedCitation":"(Fedorenko et al., 2013, 2011)","plainTextFormattedCitation":"(Fedorenko et al., 2013, 2011)","previouslyFormattedCitation":"(Fedorenko et al., 2013, 2011)"},"properties":{"noteIndex":0},"schema":"https://github.com/citation-style-language/schema/raw/master/csl-citation.json"}</w:instrText>
      </w:r>
      <w:r w:rsidRPr="006436AC">
        <w:rPr>
          <w:rFonts w:ascii="Arial" w:hAnsi="Arial" w:cs="Arial"/>
          <w:sz w:val="20"/>
          <w:szCs w:val="20"/>
        </w:rPr>
        <w:fldChar w:fldCharType="separate"/>
      </w:r>
      <w:r w:rsidRPr="006436AC">
        <w:rPr>
          <w:rFonts w:ascii="Arial" w:hAnsi="Arial" w:cs="Arial"/>
          <w:noProof/>
          <w:sz w:val="20"/>
          <w:szCs w:val="20"/>
        </w:rPr>
        <w:t>(Fedorenko et al., 2013, 2011)</w:t>
      </w:r>
      <w:r w:rsidRPr="006436AC">
        <w:rPr>
          <w:rFonts w:ascii="Arial" w:hAnsi="Arial" w:cs="Arial"/>
          <w:sz w:val="20"/>
          <w:szCs w:val="20"/>
        </w:rPr>
        <w:fldChar w:fldCharType="end"/>
      </w:r>
      <w:r w:rsidRPr="006436AC">
        <w:rPr>
          <w:rFonts w:ascii="Arial" w:hAnsi="Arial" w:cs="Arial"/>
          <w:sz w:val="20"/>
          <w:szCs w:val="20"/>
        </w:rPr>
        <w:t xml:space="preserve">. </w:t>
      </w:r>
      <w:r w:rsidR="005B4F44" w:rsidRPr="006436AC">
        <w:rPr>
          <w:rFonts w:ascii="Arial" w:hAnsi="Arial" w:cs="Arial"/>
          <w:sz w:val="20"/>
          <w:szCs w:val="20"/>
        </w:rPr>
        <w:t>Resting-state data was collected to capture the macroscale properties of the cortex. During the scan, participants were instructed to passively view a fixation cross for 9 minutes and not to think of anything in particular.</w:t>
      </w:r>
    </w:p>
    <w:p w14:paraId="192327A9" w14:textId="77777777" w:rsidR="00346A3D" w:rsidRPr="006436AC" w:rsidRDefault="00346A3D" w:rsidP="000E64FB">
      <w:pPr>
        <w:spacing w:before="100" w:beforeAutospacing="1" w:after="100" w:afterAutospacing="1" w:line="480" w:lineRule="auto"/>
        <w:rPr>
          <w:rFonts w:ascii="Arial" w:hAnsi="Arial" w:cs="Arial"/>
          <w:sz w:val="20"/>
          <w:szCs w:val="20"/>
        </w:rPr>
      </w:pPr>
      <w:r w:rsidRPr="006436AC">
        <w:rPr>
          <w:rFonts w:ascii="Arial" w:hAnsi="Arial" w:cs="Arial"/>
          <w:sz w:val="20"/>
          <w:szCs w:val="20"/>
        </w:rPr>
        <w:t>2.2.1. Semantic feature matching task</w:t>
      </w:r>
    </w:p>
    <w:p w14:paraId="551CF4FB" w14:textId="2EE229A7" w:rsidR="00346A3D" w:rsidRPr="006436AC" w:rsidRDefault="00346A3D"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Participants were asked to match probe and target concepts (presented as words) according to a particular semantic feature (colour, shape or size), specified at the start of each trial.</w:t>
      </w:r>
      <w:r w:rsidR="00564650" w:rsidRPr="006436AC">
        <w:rPr>
          <w:rFonts w:ascii="Arial" w:hAnsi="Arial" w:cs="Arial"/>
          <w:sz w:val="20"/>
          <w:szCs w:val="20"/>
        </w:rPr>
        <w:t xml:space="preserve"> </w:t>
      </w:r>
      <w:r w:rsidRPr="006436AC">
        <w:rPr>
          <w:rFonts w:ascii="Arial" w:hAnsi="Arial" w:cs="Arial"/>
          <w:sz w:val="20"/>
          <w:szCs w:val="20"/>
        </w:rPr>
        <w:t xml:space="preserve">We parametrically manipulated the global feature overlap between the probe and target concepts, creating a “task gradient”, using semantic similarity ratings taken from a separate group </w:t>
      </w:r>
      <w:r w:rsidRPr="006436AC">
        <w:rPr>
          <w:rFonts w:ascii="Arial" w:hAnsi="Arial" w:cs="Arial"/>
          <w:sz w:val="20"/>
          <w:szCs w:val="20"/>
        </w:rPr>
        <w:lastRenderedPageBreak/>
        <w:t xml:space="preserve">of 30 participants on a 5-point Likert Scale. For example, in colour-matching, </w:t>
      </w:r>
      <w:r w:rsidRPr="006436AC">
        <w:rPr>
          <w:rFonts w:ascii="Arial" w:hAnsi="Arial" w:cs="Arial"/>
          <w:smallCaps/>
          <w:sz w:val="20"/>
          <w:szCs w:val="20"/>
        </w:rPr>
        <w:t xml:space="preserve">strawberry </w:t>
      </w:r>
      <w:r w:rsidRPr="006436AC">
        <w:rPr>
          <w:rFonts w:ascii="Arial" w:hAnsi="Arial" w:cs="Arial"/>
          <w:sz w:val="20"/>
          <w:szCs w:val="20"/>
        </w:rPr>
        <w:t xml:space="preserve">– </w:t>
      </w:r>
      <w:r w:rsidRPr="006436AC">
        <w:rPr>
          <w:rFonts w:ascii="Arial" w:hAnsi="Arial" w:cs="Arial"/>
          <w:smallCaps/>
          <w:sz w:val="20"/>
          <w:szCs w:val="20"/>
        </w:rPr>
        <w:t>rsapberry</w:t>
      </w:r>
      <w:r w:rsidRPr="006436AC">
        <w:rPr>
          <w:rFonts w:ascii="Arial" w:hAnsi="Arial" w:cs="Arial"/>
          <w:sz w:val="20"/>
          <w:szCs w:val="20"/>
        </w:rPr>
        <w:t xml:space="preserve"> share many features (not just colour), while </w:t>
      </w:r>
      <w:r w:rsidRPr="006436AC">
        <w:rPr>
          <w:rFonts w:ascii="Arial" w:hAnsi="Arial" w:cs="Arial"/>
          <w:smallCaps/>
          <w:sz w:val="20"/>
          <w:szCs w:val="20"/>
        </w:rPr>
        <w:t>tomato</w:t>
      </w:r>
      <w:r w:rsidRPr="006436AC">
        <w:rPr>
          <w:rFonts w:ascii="Arial" w:hAnsi="Arial" w:cs="Arial"/>
          <w:sz w:val="20"/>
          <w:szCs w:val="20"/>
        </w:rPr>
        <w:t xml:space="preserve"> – </w:t>
      </w:r>
      <w:r w:rsidRPr="006436AC">
        <w:rPr>
          <w:rFonts w:ascii="Arial" w:hAnsi="Arial" w:cs="Arial"/>
          <w:smallCaps/>
          <w:sz w:val="20"/>
          <w:szCs w:val="20"/>
        </w:rPr>
        <w:t>postbox</w:t>
      </w:r>
      <w:r w:rsidRPr="006436AC">
        <w:rPr>
          <w:rFonts w:ascii="Arial" w:hAnsi="Arial" w:cs="Arial"/>
          <w:sz w:val="20"/>
          <w:szCs w:val="20"/>
        </w:rPr>
        <w:t xml:space="preserve"> share few features besides colour. The global similarity ratings of the selected trials were evenly distributed from 1 to 5. This parametric design allowed us to model the effect of global feature similarity in the neural data, and test for systematic changes in cortical recruitment along the connectivity gradient defined by</w:t>
      </w:r>
      <w:r w:rsidRPr="006436AC">
        <w:rPr>
          <w:rFonts w:ascii="Arial" w:hAnsi="Arial" w:cs="Arial"/>
          <w:sz w:val="20"/>
          <w:szCs w:val="20"/>
        </w:rPr>
        <w:fldChar w:fldCharType="begin" w:fldLock="1"/>
      </w:r>
      <w:r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2016)","manualFormatting":" Margulies et al. (2016)","plainTextFormattedCitation":"(Margulies et al., 2016)","previouslyFormattedCitation":"(Margulies et al., 2016)"},"properties":{"noteIndex":0},"schema":"https://github.com/citation-style-language/schema/raw/master/csl-citation.json"}</w:instrText>
      </w:r>
      <w:r w:rsidRPr="006436AC">
        <w:rPr>
          <w:rFonts w:ascii="Arial" w:hAnsi="Arial" w:cs="Arial"/>
          <w:sz w:val="20"/>
          <w:szCs w:val="20"/>
        </w:rPr>
        <w:fldChar w:fldCharType="separate"/>
      </w:r>
      <w:r w:rsidRPr="006436AC">
        <w:rPr>
          <w:rFonts w:ascii="Arial" w:hAnsi="Arial" w:cs="Arial"/>
          <w:noProof/>
          <w:sz w:val="20"/>
          <w:szCs w:val="20"/>
        </w:rPr>
        <w:t xml:space="preserve"> Margulies et al. (2016)</w:t>
      </w:r>
      <w:r w:rsidRPr="006436AC">
        <w:rPr>
          <w:rFonts w:ascii="Arial" w:hAnsi="Arial" w:cs="Arial"/>
          <w:sz w:val="20"/>
          <w:szCs w:val="20"/>
        </w:rPr>
        <w:fldChar w:fldCharType="end"/>
      </w:r>
      <w:r w:rsidRPr="006436AC">
        <w:rPr>
          <w:rFonts w:ascii="Arial" w:hAnsi="Arial" w:cs="Arial"/>
          <w:sz w:val="20"/>
          <w:szCs w:val="20"/>
        </w:rPr>
        <w:t xml:space="preserve">, as semantic similarity increased. Participants were also required to detect non-matches (presented on one third of the trials), which could either be globally-related or unrelated. For example, </w:t>
      </w:r>
      <w:r w:rsidRPr="006436AC">
        <w:rPr>
          <w:rFonts w:ascii="Arial" w:hAnsi="Arial" w:cs="Arial"/>
          <w:smallCaps/>
          <w:sz w:val="20"/>
          <w:szCs w:val="20"/>
        </w:rPr>
        <w:t>lemon</w:t>
      </w:r>
      <w:r w:rsidRPr="006436AC">
        <w:rPr>
          <w:rFonts w:ascii="Arial" w:hAnsi="Arial" w:cs="Arial"/>
          <w:sz w:val="20"/>
          <w:szCs w:val="20"/>
        </w:rPr>
        <w:t xml:space="preserve"> and </w:t>
      </w:r>
      <w:r w:rsidRPr="006436AC">
        <w:rPr>
          <w:rFonts w:ascii="Arial" w:hAnsi="Arial" w:cs="Arial"/>
          <w:smallCaps/>
          <w:sz w:val="20"/>
          <w:szCs w:val="20"/>
        </w:rPr>
        <w:t>lime</w:t>
      </w:r>
      <w:r w:rsidRPr="006436AC">
        <w:rPr>
          <w:rFonts w:ascii="Arial" w:hAnsi="Arial" w:cs="Arial"/>
          <w:sz w:val="20"/>
          <w:szCs w:val="20"/>
        </w:rPr>
        <w:t xml:space="preserve"> share many features but not colour, while </w:t>
      </w:r>
      <w:r w:rsidRPr="006436AC">
        <w:rPr>
          <w:rFonts w:ascii="Arial" w:hAnsi="Arial" w:cs="Arial"/>
          <w:smallCaps/>
          <w:sz w:val="20"/>
          <w:szCs w:val="20"/>
        </w:rPr>
        <w:t>banana</w:t>
      </w:r>
      <w:r w:rsidRPr="006436AC">
        <w:rPr>
          <w:rFonts w:ascii="Arial" w:hAnsi="Arial" w:cs="Arial"/>
          <w:sz w:val="20"/>
          <w:szCs w:val="20"/>
        </w:rPr>
        <w:t xml:space="preserve"> and </w:t>
      </w:r>
      <w:r w:rsidRPr="006436AC">
        <w:rPr>
          <w:rFonts w:ascii="Arial" w:hAnsi="Arial" w:cs="Arial"/>
          <w:smallCaps/>
          <w:sz w:val="20"/>
          <w:szCs w:val="20"/>
        </w:rPr>
        <w:t>ruby</w:t>
      </w:r>
      <w:r w:rsidRPr="006436AC">
        <w:rPr>
          <w:rFonts w:ascii="Arial" w:hAnsi="Arial" w:cs="Arial"/>
          <w:sz w:val="20"/>
          <w:szCs w:val="20"/>
        </w:rPr>
        <w:t xml:space="preserve"> share almost no features, including colour. This ensured that participants had to pay attention to the target feature on each trial. Participants pressed a button with their right index finger to indicate a match trial, and responded with their right middle finger to indicate a non-match trial. We then computed behavioural efficiency scores across participants for each item, combining response time (RT) with accuracy: i.e., the mean RT for correct responses across participants was divided by the proportion of correct responses for that item </w:t>
      </w:r>
      <w:r w:rsidRPr="006436AC">
        <w:rPr>
          <w:rFonts w:ascii="Arial" w:hAnsi="Arial" w:cs="Arial"/>
          <w:sz w:val="20"/>
          <w:szCs w:val="20"/>
        </w:rPr>
        <w:fldChar w:fldCharType="begin" w:fldLock="1"/>
      </w:r>
      <w:r w:rsidRPr="006436AC">
        <w:rPr>
          <w:rFonts w:ascii="Arial" w:hAnsi="Arial" w:cs="Arial"/>
          <w:sz w:val="20"/>
          <w:szCs w:val="20"/>
        </w:rPr>
        <w:instrText>ADDIN CSL_CITATION {"citationItems":[{"id":"ITEM-1","itemData":{"DOI":"10.2307/1422636","ISBN":"0521241812","ISSN":"00029556","abstract":"In Chapter 12 they discuss the issue of AFM and parallel models. They show (Proposition 12.4) that parallel models produce underadditive effects if (1) RT = max (Ta, Tb) (2) Ta and Tb are independent (3) Factor A affects only Ta, and B only Tb (4) Strict ordering of CFDs Fa_1(t) and Fa_2(t) as well as Fb_1(t) and Fb_2(t), e.g. if a_2 &gt; a_1 then Fa_2(t) &gt; Fa_1(t) for all t. Likewise, if b_2 &gt; b_1 then Fb_2(t) &gt; Fb_1(t).","author":[{"dropping-particle":"","family":"Snodgrass","given":"Joan Gay","non-dropping-particle":"","parse-names":false,"suffix":""},{"dropping-particle":"","family":"Townsend","given":"James T.","non-dropping-particle":"","parse-names":false,"suffix":""},{"dropping-particle":"","family":"Ashby","given":"F. Gregory","non-dropping-particle":"","parse-names":false,"suffix":""}],"container-title":"The American Journal of Psychology","id":"ITEM-1","issue":"3","issued":{"date-parts":[["1985"]]},"number-of-pages":"480","title":"Stochastic Modeling of Elementary Psychological Processes","type":"report","volume":"98"},"uris":["http://www.mendeley.com/documents/?uuid=c77d7a40-d192-39d2-bbe4-d9ca90abc22c"]}],"mendeley":{"formattedCitation":"(Snodgrass et al., 1985)","plainTextFormattedCitation":"(Snodgrass et al., 1985)","previouslyFormattedCitation":"(Snodgrass et al., 1985)"},"properties":{"noteIndex":0},"schema":"https://github.com/citation-style-language/schema/raw/master/csl-citation.json"}</w:instrText>
      </w:r>
      <w:r w:rsidRPr="006436AC">
        <w:rPr>
          <w:rFonts w:ascii="Arial" w:hAnsi="Arial" w:cs="Arial"/>
          <w:sz w:val="20"/>
          <w:szCs w:val="20"/>
        </w:rPr>
        <w:fldChar w:fldCharType="separate"/>
      </w:r>
      <w:r w:rsidRPr="006436AC">
        <w:rPr>
          <w:rFonts w:ascii="Arial" w:hAnsi="Arial" w:cs="Arial"/>
          <w:noProof/>
          <w:sz w:val="20"/>
          <w:szCs w:val="20"/>
        </w:rPr>
        <w:t>(Snodgrass et al., 1985)</w:t>
      </w:r>
      <w:r w:rsidRPr="006436AC">
        <w:rPr>
          <w:rFonts w:ascii="Arial" w:hAnsi="Arial" w:cs="Arial"/>
          <w:sz w:val="20"/>
          <w:szCs w:val="20"/>
        </w:rPr>
        <w:fldChar w:fldCharType="end"/>
      </w:r>
      <w:r w:rsidRPr="006436AC">
        <w:rPr>
          <w:rFonts w:ascii="Arial" w:hAnsi="Arial" w:cs="Arial"/>
          <w:sz w:val="20"/>
          <w:szCs w:val="20"/>
        </w:rPr>
        <w:t>.</w:t>
      </w:r>
    </w:p>
    <w:p w14:paraId="2E7708B7" w14:textId="77777777" w:rsidR="002F3026" w:rsidRPr="006436AC" w:rsidRDefault="002F3026"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In order to maximize the statistical power of the rapid event-related fMRI data analysis, the stimuli were presented with a temporal jitter, randomized from trial to trial </w:t>
      </w:r>
      <w:r w:rsidRPr="006436AC">
        <w:rPr>
          <w:rFonts w:ascii="Arial" w:hAnsi="Arial" w:cs="Arial"/>
          <w:sz w:val="20"/>
          <w:szCs w:val="20"/>
        </w:rPr>
        <w:fldChar w:fldCharType="begin" w:fldLock="1"/>
      </w:r>
      <w:r w:rsidRPr="006436AC">
        <w:rPr>
          <w:rFonts w:ascii="Arial" w:hAnsi="Arial" w:cs="Arial"/>
          <w:sz w:val="20"/>
          <w:szCs w:val="20"/>
        </w:rPr>
        <w:instrText>ADDIN CSL_CITATION {"citationItems":[{"id":"ITEM-1","itemData":{"abstract":"An important challenge in the design and analysis of event-related or single-trial functional magnetic resonance imaging (fMRI) experiments is to optimize statistical efficiency, i.e., the accuracy with which the event-related hemodynamic response to different stimuli can be estimated for a given amount of imaging time. Several studies have suggested that using a fixed inter-stimulus-interval (ISI) of at least 15 sec results in optimal statistical efficiency or power and that using shorter ISIs results in a severe loss of power. In contrast, recent studies have demonstrated the feasibility of using ISIs as short as 500 ms while still maintaining considerable efficiency or power. Here, we attempt to resolve this apparent contradiction by a quantitative analysis of the relative efficiency afforded by different event-related experimental designs. This analysis shows that statistical efficiency falls off dramatically as the ISI gets sufficiently short, if the ISI is kept fixed for all trials. However, if the ISI is properly jittered or randomized from trial to trial, the efficiency improves monotonically with decreasing mean ISI. Importantly, the efficiency afforded by such variable ISI designs can be more than 10 times greater than that which can be achieved by fixed ISI designs. These results further demonstrate the feasibility of using identical experimental designs with fMRI and electro-/magnetoencephalography (EEG/MEG) without sacrificing statistical power or efficiency of either technique, thereby facilitating comparison and integration across imaging modalities.","author":[{"dropping-particle":"","family":"Dale","given":"Anders M","non-dropping-particle":"","parse-names":false,"suffix":""}],"container-title":"Hum. Brain Mapping","id":"ITEM-1","issued":{"date-parts":[["1999"]]},"number-of-pages":"109-114","title":"Optimal Experimental Design for Event-Related fMRI","type":"report","volume":"8"},"uris":["http://www.mendeley.com/documents/?uuid=ea6847df-22bd-33ef-9351-6e2f1daf36d5"]}],"mendeley":{"formattedCitation":"(Dale, 1999)","plainTextFormattedCitation":"(Dale, 1999)","previouslyFormattedCitation":"(Dale, 1999)"},"properties":{"noteIndex":0},"schema":"https://github.com/citation-style-language/schema/raw/master/csl-citation.json"}</w:instrText>
      </w:r>
      <w:r w:rsidRPr="006436AC">
        <w:rPr>
          <w:rFonts w:ascii="Arial" w:hAnsi="Arial" w:cs="Arial"/>
          <w:sz w:val="20"/>
          <w:szCs w:val="20"/>
        </w:rPr>
        <w:fldChar w:fldCharType="separate"/>
      </w:r>
      <w:r w:rsidRPr="006436AC">
        <w:rPr>
          <w:rFonts w:ascii="Arial" w:hAnsi="Arial" w:cs="Arial"/>
          <w:noProof/>
          <w:sz w:val="20"/>
          <w:szCs w:val="20"/>
        </w:rPr>
        <w:t>(Dale, 1999)</w:t>
      </w:r>
      <w:r w:rsidRPr="006436AC">
        <w:rPr>
          <w:rFonts w:ascii="Arial" w:hAnsi="Arial" w:cs="Arial"/>
          <w:sz w:val="20"/>
          <w:szCs w:val="20"/>
        </w:rPr>
        <w:fldChar w:fldCharType="end"/>
      </w:r>
      <w:r w:rsidRPr="006436AC">
        <w:rPr>
          <w:rFonts w:ascii="Arial" w:hAnsi="Arial" w:cs="Arial"/>
          <w:sz w:val="20"/>
          <w:szCs w:val="20"/>
        </w:rPr>
        <w:t xml:space="preserve">. The inter-stimulus intervals (between instruction and probe, and probe and target) and the inter-trial interval varied from 1 to 3s. Each trial started with a fixation, followed by a task instruction slide specifying the feature to match (colour, shape or size), presented for 1s. This was followed by the second fixation and then the probe word, presented for 1s. Finally, there was the third fixation followed by the target word, triggering the onset of the decision-making period. The target remained visible until the participant responded, or for a maximum of 3s. The instruction, probe and target words were presented centrally on the screen. </w:t>
      </w:r>
    </w:p>
    <w:p w14:paraId="27962C4C" w14:textId="7FB83C53" w:rsidR="002F3026" w:rsidRPr="006436AC" w:rsidRDefault="002F3026"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There were 216 trials in total, presented in 4 runs of 54 trials each. Each run lasted for 600s. Global feature similarity was evenly distributed in each run. Within each run, there were 18 trials for each feature. 12 of these 18 trials were matching trials in which probe and target shared </w:t>
      </w:r>
      <w:r w:rsidRPr="006436AC">
        <w:rPr>
          <w:rFonts w:ascii="Arial" w:hAnsi="Arial" w:cs="Arial"/>
          <w:sz w:val="20"/>
          <w:szCs w:val="20"/>
        </w:rPr>
        <w:lastRenderedPageBreak/>
        <w:t xml:space="preserve">the relevant feature, while 6 were non-matching trials. The order of runs and trials within each run was randomized across subjects. The stimuli were presented using Psychopy </w:t>
      </w:r>
      <w:r w:rsidRPr="006436AC">
        <w:rPr>
          <w:rFonts w:ascii="Arial" w:hAnsi="Arial" w:cs="Arial"/>
          <w:sz w:val="20"/>
          <w:szCs w:val="20"/>
        </w:rPr>
        <w:fldChar w:fldCharType="begin" w:fldLock="1"/>
      </w:r>
      <w:r w:rsidRPr="006436AC">
        <w:rPr>
          <w:rFonts w:ascii="Arial" w:hAnsi="Arial" w:cs="Arial"/>
          <w:sz w:val="20"/>
          <w:szCs w:val="20"/>
        </w:rPr>
        <w:instrText>ADDIN CSL_CITATION {"citationItems":[{"id":"ITEM-1","itemData":{"DOI":"10.1016/j.jneumeth.2006.11.017","ISSN":"01650270","author":[{"dropping-particle":"","family":"Peirce","given":"Jonathan W.","non-dropping-particle":"","parse-names":false,"suffix":""}],"container-title":"Journal of Neuroscience Methods","id":"ITEM-1","issue":"1-2","issued":{"date-parts":[["2007","5"]]},"page":"8-13","title":"PsychoPy—Psychophysics software in Python","type":"article-journal","volume":"162"},"uris":["http://www.mendeley.com/documents/?uuid=37be243e-f74a-3139-94fa-af20722573b2"]}],"mendeley":{"formattedCitation":"(Peirce, 2007)","plainTextFormattedCitation":"(Peirce, 2007)","previouslyFormattedCitation":"(Peirce, 2007)"},"properties":{"noteIndex":0},"schema":"https://github.com/citation-style-language/schema/raw/master/csl-citation.json"}</w:instrText>
      </w:r>
      <w:r w:rsidRPr="006436AC">
        <w:rPr>
          <w:rFonts w:ascii="Arial" w:hAnsi="Arial" w:cs="Arial"/>
          <w:sz w:val="20"/>
          <w:szCs w:val="20"/>
        </w:rPr>
        <w:fldChar w:fldCharType="separate"/>
      </w:r>
      <w:r w:rsidRPr="006436AC">
        <w:rPr>
          <w:rFonts w:ascii="Arial" w:hAnsi="Arial" w:cs="Arial"/>
          <w:noProof/>
          <w:sz w:val="20"/>
          <w:szCs w:val="20"/>
        </w:rPr>
        <w:t>(Peirce, 2007)</w:t>
      </w:r>
      <w:r w:rsidRPr="006436AC">
        <w:rPr>
          <w:rFonts w:ascii="Arial" w:hAnsi="Arial" w:cs="Arial"/>
          <w:sz w:val="20"/>
          <w:szCs w:val="20"/>
        </w:rPr>
        <w:fldChar w:fldCharType="end"/>
      </w:r>
      <w:r w:rsidRPr="006436AC">
        <w:rPr>
          <w:rFonts w:ascii="Arial" w:hAnsi="Arial" w:cs="Arial"/>
          <w:sz w:val="20"/>
          <w:szCs w:val="20"/>
        </w:rPr>
        <w:t xml:space="preserve">. </w:t>
      </w:r>
    </w:p>
    <w:p w14:paraId="19F11C38" w14:textId="77777777" w:rsidR="00564650" w:rsidRPr="006436AC" w:rsidRDefault="00564650" w:rsidP="000E64FB">
      <w:pPr>
        <w:spacing w:before="100" w:beforeAutospacing="1" w:after="100" w:afterAutospacing="1" w:line="480" w:lineRule="auto"/>
        <w:rPr>
          <w:rFonts w:ascii="Arial" w:hAnsi="Arial" w:cs="Arial"/>
          <w:sz w:val="20"/>
          <w:szCs w:val="20"/>
        </w:rPr>
      </w:pPr>
      <w:r w:rsidRPr="006436AC">
        <w:rPr>
          <w:rFonts w:ascii="Arial" w:hAnsi="Arial" w:cs="Arial"/>
          <w:noProof/>
          <w:sz w:val="20"/>
          <w:szCs w:val="20"/>
          <w:lang w:val="en-GB" w:eastAsia="en-GB"/>
        </w:rPr>
        <w:drawing>
          <wp:inline distT="0" distB="0" distL="0" distR="0" wp14:anchorId="5851746A" wp14:editId="47EBF627">
            <wp:extent cx="5486400" cy="4211955"/>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4211955"/>
                    </a:xfrm>
                    <a:prstGeom prst="rect">
                      <a:avLst/>
                    </a:prstGeom>
                  </pic:spPr>
                </pic:pic>
              </a:graphicData>
            </a:graphic>
          </wp:inline>
        </w:drawing>
      </w:r>
    </w:p>
    <w:p w14:paraId="59EF2DAB" w14:textId="46968793" w:rsidR="00564650" w:rsidRPr="006436AC" w:rsidRDefault="00564650" w:rsidP="000E64FB">
      <w:pPr>
        <w:spacing w:before="100" w:beforeAutospacing="1" w:after="100" w:afterAutospacing="1" w:line="480" w:lineRule="auto"/>
        <w:rPr>
          <w:rFonts w:ascii="Arial" w:hAnsi="Arial" w:cs="Arial"/>
          <w:b/>
          <w:sz w:val="20"/>
          <w:szCs w:val="20"/>
        </w:rPr>
      </w:pPr>
      <w:r w:rsidRPr="006436AC">
        <w:rPr>
          <w:rFonts w:ascii="Arial" w:hAnsi="Arial" w:cs="Arial"/>
          <w:b/>
          <w:sz w:val="20"/>
          <w:szCs w:val="20"/>
        </w:rPr>
        <w:t>Figure 1.</w:t>
      </w:r>
      <w:r w:rsidRPr="006436AC">
        <w:rPr>
          <w:rFonts w:ascii="Arial" w:hAnsi="Arial" w:cs="Arial"/>
          <w:sz w:val="20"/>
          <w:szCs w:val="20"/>
        </w:rPr>
        <w:t xml:space="preserve"> A – Semantic task structure: first, the feature to be matched was specified (e.g. colour), then the probe word was presented (e.g. strawberry), followed by the target word (e.g. raspberry). Participants indicated if the probe and target shared the specified feature. B – Parametric manipulation of global semantic similarity of matching trials within a semantic feature matching task. We created a ‘task gradient’ varying from strong to weak alignment between the inputs and long-term memory. C and D show correlations between ratings of global semantic similarity and average performance across 30 participants (each trial is shown as a data point). </w:t>
      </w:r>
    </w:p>
    <w:p w14:paraId="7D04B2BF" w14:textId="681FD679" w:rsidR="002F3026" w:rsidRPr="006436AC" w:rsidRDefault="002F3026" w:rsidP="000E64FB">
      <w:pPr>
        <w:pStyle w:val="Style3"/>
        <w:rPr>
          <w:color w:val="auto"/>
          <w:szCs w:val="20"/>
        </w:rPr>
      </w:pPr>
      <w:r w:rsidRPr="006436AC">
        <w:rPr>
          <w:color w:val="auto"/>
          <w:szCs w:val="20"/>
        </w:rPr>
        <w:lastRenderedPageBreak/>
        <w:t>2.2.2. Localizer tasks</w:t>
      </w:r>
    </w:p>
    <w:p w14:paraId="384A4E16" w14:textId="52D690AF" w:rsidR="002F3026" w:rsidRPr="006436AC" w:rsidRDefault="002F3026"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Localizer tasks were used to define DMN, MDN and semantic regions (adapted from </w:t>
      </w:r>
      <w:r w:rsidRPr="006436AC">
        <w:rPr>
          <w:rFonts w:ascii="Arial" w:hAnsi="Arial" w:cs="Arial"/>
          <w:sz w:val="20"/>
          <w:szCs w:val="20"/>
        </w:rPr>
        <w:fldChar w:fldCharType="begin" w:fldLock="1"/>
      </w:r>
      <w:r w:rsidR="002F0DB9" w:rsidRPr="006436AC">
        <w:rPr>
          <w:rFonts w:ascii="Arial" w:hAnsi="Arial" w:cs="Arial"/>
          <w:sz w:val="20"/>
          <w:szCs w:val="20"/>
        </w:rPr>
        <w:instrText>ADDIN CSL_CITATION {"citationItems":[{"id":"ITEM-1","itemData":{"DOI":"10.1073/pnas.1112937108","ISSN":"0027-8424","abstract":"Neuroscientists have debated for centuries whether some regions tasks. Specifically, we examined the response of high-level lan- of the human brain are selectively engaged in specific high-level guage regions to seven nonlinguistic tasks that tap the cognitive mental functions or whether, instead, cognition is implemented functions in most commonly argued to recruit the language net- multifunctional brain regions. For the critical case of language, work: exact arithmetic (experiment 1), working memory (WM; conflicting answers arise from the neuropsychological literature, control which features striking dissociations between deficits in linguistic music experiments 2 and 3), cognitive (experiments 4-6), and and nonlinguistic abilities, vs. the neuroimaging literature, which (experiment 7). localizer has argued for overlap between activations read sentences and for linguistic and For the language task, participants domain general strings of pronounceable nonwords and decided whether a sub- nonlinguistic processes, including arithmetic, abilities like cognitive control, and music. Here, we use functional sequent probe (a word or nonword, respectively) appeared in the MRI to define classic language regions functionally in each subject preceding stimulus (Fig. 1). The sentences &gt; nonwords contrast individually and then examine the response of these regions to the targets brain regions engaged in high-level linguistic processing nonlinguistic functions most commonly argued to engage these (sentence understanding), including lexical and combinatorial regions: arithmetic, working memory, cognitive control, and processes but excluding phonological and other lower-level pro- music. We find little or no response in language regions to these cesses.* This localizer was previously shown (29) to robustly and nonlinguistic functions. These data support a dear distinction reliably identify each of the key brain regions previously impli- between language and other cognitive processes, resolving the conflict between the neuropsychological and neuroimaging SI) in at least 80% of subjects cated in high-level linguistic processing (30, 31) (Fig. 2 and Fig. prior literatures.","author":[{"dropping-particle":"","family":"Fedorenko","given":"E.","non-dropping-particle":"","parse-names":false,"suffix":""},{"dropping-particle":"","family":"Behr","given":"M. K.","non-dropping-particle":"","parse-names":false,"suffix":""},{"dropping-particle":"","family":"Kanwisher","given":"N.","non-dropping-particle":"","parse-names":false,"suffix":""}],"container-title":"Proceedings of the National Academy of Sciences","id":"ITEM-1","issue":"39","issued":{"date-parts":[["2011"]]},"page":"16428-16433","title":"Functional specificity for high-level linguistic processing in the human brain","type":"article-journal","volume":"108"},"uris":["http://www.mendeley.com/documents/?uuid=6cde46f2-d15e-47bc-aab9-fdb04a3b00f6"]}],"mendeley":{"formattedCitation":"(Fedorenko et al., 2011)","manualFormatting":"Fedorenko et al., 2011","plainTextFormattedCitation":"(Fedorenko et al., 2011)","previouslyFormattedCitation":"(Fedorenko et al., 2011)"},"properties":{"noteIndex":0},"schema":"https://github.com/citation-style-language/schema/raw/master/csl-citation.json"}</w:instrText>
      </w:r>
      <w:r w:rsidRPr="006436AC">
        <w:rPr>
          <w:rFonts w:ascii="Arial" w:hAnsi="Arial" w:cs="Arial"/>
          <w:sz w:val="20"/>
          <w:szCs w:val="20"/>
        </w:rPr>
        <w:fldChar w:fldCharType="separate"/>
      </w:r>
      <w:r w:rsidRPr="006436AC">
        <w:rPr>
          <w:rFonts w:ascii="Arial" w:hAnsi="Arial" w:cs="Arial"/>
          <w:noProof/>
          <w:sz w:val="20"/>
          <w:szCs w:val="20"/>
        </w:rPr>
        <w:t>Fedorenko et al., 2011</w:t>
      </w:r>
      <w:r w:rsidRPr="006436AC">
        <w:rPr>
          <w:rFonts w:ascii="Arial" w:hAnsi="Arial" w:cs="Arial"/>
          <w:sz w:val="20"/>
          <w:szCs w:val="20"/>
        </w:rPr>
        <w:fldChar w:fldCharType="end"/>
      </w:r>
      <w:r w:rsidRPr="006436AC">
        <w:rPr>
          <w:rFonts w:ascii="Arial" w:hAnsi="Arial" w:cs="Arial"/>
          <w:noProof/>
          <w:sz w:val="20"/>
          <w:szCs w:val="20"/>
        </w:rPr>
        <w:t>)</w:t>
      </w:r>
      <w:r w:rsidRPr="006436AC">
        <w:rPr>
          <w:rFonts w:ascii="Arial" w:hAnsi="Arial" w:cs="Arial"/>
          <w:sz w:val="20"/>
          <w:szCs w:val="20"/>
        </w:rPr>
        <w:t xml:space="preserve">. These tasks are shown in Figure </w:t>
      </w:r>
      <w:r w:rsidR="00564650" w:rsidRPr="006436AC">
        <w:rPr>
          <w:rFonts w:ascii="Arial" w:hAnsi="Arial" w:cs="Arial"/>
          <w:sz w:val="20"/>
          <w:szCs w:val="20"/>
        </w:rPr>
        <w:t>2</w:t>
      </w:r>
      <w:r w:rsidRPr="006436AC">
        <w:rPr>
          <w:rFonts w:ascii="Arial" w:hAnsi="Arial" w:cs="Arial"/>
          <w:sz w:val="20"/>
          <w:szCs w:val="20"/>
        </w:rPr>
        <w:t xml:space="preserve">. MDN regions were defined using contrasts of hard over easy spatial working memory or arithmetic judgements, while DMN regions were defined using the reverse contrasts. </w:t>
      </w:r>
      <w:r w:rsidR="00112451" w:rsidRPr="006436AC">
        <w:rPr>
          <w:rFonts w:ascii="Arial" w:hAnsi="Arial" w:cs="Arial"/>
          <w:sz w:val="20"/>
          <w:szCs w:val="20"/>
        </w:rPr>
        <w:t>The contrast between these conditions has been shown to reveal DMN (easy &gt; hard) and MDN (hard &gt; easy) (</w:t>
      </w:r>
      <w:r w:rsidR="00112451" w:rsidRPr="006436AC">
        <w:rPr>
          <w:rFonts w:ascii="Arial" w:hAnsi="Arial" w:cs="Arial"/>
          <w:sz w:val="20"/>
          <w:szCs w:val="20"/>
        </w:rPr>
        <w:fldChar w:fldCharType="begin" w:fldLock="1"/>
      </w:r>
      <w:r w:rsidR="00112451" w:rsidRPr="006436AC">
        <w:rPr>
          <w:rFonts w:ascii="Arial" w:hAnsi="Arial" w:cs="Arial"/>
          <w:sz w:val="20"/>
          <w:szCs w:val="20"/>
        </w:rPr>
        <w:instrText>ADDIN CSL_CITATION {"citationItems":[{"id":"ITEM-1","itemData":{"DOI":"10.1073/pnas.1112937108","ISSN":"0027-8424","abstract":"Neuroscientists have debated for centuries whether some regions tasks. Specifically, we examined the response of high-level lan- of the human brain are selectively engaged in specific high-level guage regions to seven nonlinguistic tasks that tap the cognitive mental functions or whether, instead, cognition is implemented functions in most commonly argued to recruit the language net- multifunctional brain regions. For the critical case of language, work: exact arithmetic (experiment 1), working memory (WM; conflicting answers arise from the neuropsychological literature, control which features striking dissociations between deficits in linguistic music experiments 2 and 3), cognitive (experiments 4-6), and and nonlinguistic abilities, vs. the neuroimaging literature, which (experiment 7). localizer has argued for overlap between activations read sentences and for linguistic and For the language task, participants domain general strings of pronounceable nonwords and decided whether a sub- nonlinguistic processes, including arithmetic, abilities like cognitive control, and music. Here, we use functional sequent probe (a word or nonword, respectively) appeared in the MRI to define classic language regions functionally in each subject preceding stimulus (Fig. 1). The sentences &gt; nonwords contrast individually and then examine the response of these regions to the targets brain regions engaged in high-level linguistic processing nonlinguistic functions most commonly argued to engage these (sentence understanding), including lexical and combinatorial regions: arithmetic, working memory, cognitive control, and processes but excluding phonological and other lower-level pro- music. We find little or no response in language regions to these cesses.* This localizer was previously shown (29) to robustly and nonlinguistic functions. These data support a dear distinction reliably identify each of the key brain regions previously impli- between language and other cognitive processes, resolving the conflict between the neuropsychological and neuroimaging SI) in at least 80% of subjects cated in high-level linguistic processing (30, 31) (Fig. 2 and Fig. prior literatures.","author":[{"dropping-particle":"","family":"Fedorenko","given":"E.","non-dropping-particle":"","parse-names":false,"suffix":""},{"dropping-particle":"","family":"Behr","given":"M. K.","non-dropping-particle":"","parse-names":false,"suffix":""},{"dropping-particle":"","family":"Kanwisher","given":"N.","non-dropping-particle":"","parse-names":false,"suffix":""}],"container-title":"Proceedings of the National Academy of Sciences","id":"ITEM-1","issue":"39","issued":{"date-parts":[["2011"]]},"page":"16428-16433","title":"Functional specificity for high-level linguistic processing in the human brain","type":"article-journal","volume":"108"},"uris":["http://www.mendeley.com/documents/?uuid=6cde46f2-d15e-47bc-aab9-fdb04a3b00f6"]}],"mendeley":{"formattedCitation":"(Fedorenko et al., 2011)","manualFormatting":"Fedorenko et al., 2011","plainTextFormattedCitation":"(Fedorenko et al., 2011)","previouslyFormattedCitation":"(Fedorenko et al., 2011)"},"properties":{"noteIndex":0},"schema":"https://github.com/citation-style-language/schema/raw/master/csl-citation.json"}</w:instrText>
      </w:r>
      <w:r w:rsidR="00112451" w:rsidRPr="006436AC">
        <w:rPr>
          <w:rFonts w:ascii="Arial" w:hAnsi="Arial" w:cs="Arial"/>
          <w:sz w:val="20"/>
          <w:szCs w:val="20"/>
        </w:rPr>
        <w:fldChar w:fldCharType="separate"/>
      </w:r>
      <w:r w:rsidR="00112451" w:rsidRPr="006436AC">
        <w:rPr>
          <w:rFonts w:ascii="Arial" w:hAnsi="Arial" w:cs="Arial"/>
          <w:noProof/>
          <w:sz w:val="20"/>
          <w:szCs w:val="20"/>
        </w:rPr>
        <w:t>Fedorenko et al., 2011</w:t>
      </w:r>
      <w:r w:rsidR="00112451" w:rsidRPr="006436AC">
        <w:rPr>
          <w:rFonts w:ascii="Arial" w:hAnsi="Arial" w:cs="Arial"/>
          <w:sz w:val="20"/>
          <w:szCs w:val="20"/>
        </w:rPr>
        <w:fldChar w:fldCharType="end"/>
      </w:r>
      <w:r w:rsidR="00112451" w:rsidRPr="006436AC">
        <w:rPr>
          <w:rFonts w:ascii="Arial" w:hAnsi="Arial" w:cs="Arial"/>
          <w:sz w:val="20"/>
          <w:szCs w:val="20"/>
        </w:rPr>
        <w:t xml:space="preserve">). </w:t>
      </w:r>
      <w:r w:rsidRPr="006436AC">
        <w:rPr>
          <w:rFonts w:ascii="Arial" w:hAnsi="Arial" w:cs="Arial"/>
          <w:sz w:val="20"/>
          <w:szCs w:val="20"/>
        </w:rPr>
        <w:t>Each localizer task included two runs and two conditions, presented in a standard block design. Condition order was counterbalanced across runs and run order was counterbalanced across participants for each task.</w:t>
      </w:r>
    </w:p>
    <w:p w14:paraId="15A26FD8" w14:textId="185B0E4F" w:rsidR="002F3026" w:rsidRPr="006436AC" w:rsidRDefault="002F3026" w:rsidP="000E64FB">
      <w:pPr>
        <w:pStyle w:val="Heading3"/>
        <w:rPr>
          <w:rFonts w:cs="Arial"/>
          <w:color w:val="auto"/>
          <w:szCs w:val="20"/>
        </w:rPr>
      </w:pPr>
      <w:r w:rsidRPr="006436AC">
        <w:rPr>
          <w:rFonts w:cs="Arial"/>
          <w:color w:val="auto"/>
          <w:szCs w:val="20"/>
        </w:rPr>
        <w:t>2.2.2.1. Spatial working memory task</w:t>
      </w:r>
    </w:p>
    <w:p w14:paraId="13A980BF" w14:textId="004B56AD" w:rsidR="002F3026" w:rsidRPr="006436AC" w:rsidRDefault="002F3026"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Participants had to keep track of four or eight sequentially presented locations in a 3×4 grid </w:t>
      </w:r>
      <w:r w:rsidRPr="006436AC">
        <w:rPr>
          <w:rFonts w:ascii="Arial" w:hAnsi="Arial" w:cs="Arial"/>
          <w:sz w:val="20"/>
          <w:szCs w:val="20"/>
        </w:rPr>
        <w:fldChar w:fldCharType="begin" w:fldLock="1"/>
      </w:r>
      <w:r w:rsidRPr="006436AC">
        <w:rPr>
          <w:rFonts w:ascii="Arial" w:hAnsi="Arial" w:cs="Arial"/>
          <w:sz w:val="20"/>
          <w:szCs w:val="20"/>
        </w:rPr>
        <w:instrText>ADDIN CSL_CITATION {"citationItems":[{"id":"ITEM-1","itemData":{"DOI":"10.1073/pnas.1112937108","ISSN":"0027-8424","abstract":"Neuroscientists have debated for centuries whether some regions tasks. Specifically, we examined the response of high-level lan- of the human brain are selectively engaged in specific high-level guage regions to seven nonlinguistic tasks that tap the cognitive mental functions or whether, instead, cognition is implemented functions in most commonly argued to recruit the language net- multifunctional brain regions. For the critical case of language, work: exact arithmetic (experiment 1), working memory (WM; conflicting answers arise from the neuropsychological literature, control which features striking dissociations between deficits in linguistic music experiments 2 and 3), cognitive (experiments 4-6), and and nonlinguistic abilities, vs. the neuroimaging literature, which (experiment 7). localizer has argued for overlap between activations read sentences and for linguistic and For the language task, participants domain general strings of pronounceable nonwords and decided whether a sub- nonlinguistic processes, including arithmetic, abilities like cognitive control, and music. Here, we use functional sequent probe (a word or nonword, respectively) appeared in the MRI to define classic language regions functionally in each subject preceding stimulus (Fig. 1). The sentences &gt; nonwords contrast individually and then examine the response of these regions to the targets brain regions engaged in high-level linguistic processing nonlinguistic functions most commonly argued to engage these (sentence understanding), including lexical and combinatorial regions: arithmetic, working memory, cognitive control, and processes but excluding phonological and other lower-level pro- music. We find little or no response in language regions to these cesses.* This localizer was previously shown (29) to robustly and nonlinguistic functions. These data support a dear distinction reliably identify each of the key brain regions previously impli- between language and other cognitive processes, resolving the conflict between the neuropsychological and neuroimaging SI) in at least 80% of subjects cated in high-level linguistic processing (30, 31) (Fig. 2 and Fig. prior literatures.","author":[{"dropping-particle":"","family":"Fedorenko","given":"E.","non-dropping-particle":"","parse-names":false,"suffix":""},{"dropping-particle":"","family":"Behr","given":"M. K.","non-dropping-particle":"","parse-names":false,"suffix":""},{"dropping-particle":"","family":"Kanwisher","given":"N.","non-dropping-particle":"","parse-names":false,"suffix":""}],"container-title":"Proceedings of the National Academy of Sciences","id":"ITEM-1","issue":"39","issued":{"date-parts":[["2011"]]},"page":"16428-16433","title":"Functional specificity for high-level linguistic processing in the human brain","type":"article-journal","volume":"108"},"uris":["http://www.mendeley.com/documents/?uuid=6cde46f2-d15e-47bc-aab9-fdb04a3b00f6"]}],"mendeley":{"formattedCitation":"(Fedorenko et al., 2011)","plainTextFormattedCitation":"(Fedorenko et al., 2011)","previouslyFormattedCitation":"(Fedorenko et al., 2011)"},"properties":{"noteIndex":0},"schema":"https://github.com/citation-style-language/schema/raw/master/csl-citation.json"}</w:instrText>
      </w:r>
      <w:r w:rsidRPr="006436AC">
        <w:rPr>
          <w:rFonts w:ascii="Arial" w:hAnsi="Arial" w:cs="Arial"/>
          <w:sz w:val="20"/>
          <w:szCs w:val="20"/>
        </w:rPr>
        <w:fldChar w:fldCharType="separate"/>
      </w:r>
      <w:r w:rsidRPr="006436AC">
        <w:rPr>
          <w:rFonts w:ascii="Arial" w:hAnsi="Arial" w:cs="Arial"/>
          <w:noProof/>
          <w:sz w:val="20"/>
          <w:szCs w:val="20"/>
        </w:rPr>
        <w:t>(Fedorenko et al., 2011)</w:t>
      </w:r>
      <w:r w:rsidRPr="006436AC">
        <w:rPr>
          <w:rFonts w:ascii="Arial" w:hAnsi="Arial" w:cs="Arial"/>
          <w:sz w:val="20"/>
          <w:szCs w:val="20"/>
        </w:rPr>
        <w:fldChar w:fldCharType="end"/>
      </w:r>
      <w:r w:rsidRPr="006436AC">
        <w:rPr>
          <w:rFonts w:ascii="Arial" w:hAnsi="Arial" w:cs="Arial"/>
          <w:sz w:val="20"/>
          <w:szCs w:val="20"/>
        </w:rPr>
        <w:t xml:space="preserve">, giving rise to easy and hard spatial working memory conditions. Stimuli were presented at the centre of the screen across four steps. Each of these steps lasted for 1s and highlighted one location on the grid in the easy condition, and two locations in the hard condition. This was followed by a decision phase, which showed two grids side by side. One grid contained the locations shown on the previous four steps, while the other contained one or two locations in the wrong place. Participants indicated their recognition of these locations in a two-alternative, forced-choice paradigm via a button press and feedback was immediately provided. Each run consisted 12 experimental blocks (6 blocks per condition and 4 trials in a 32 s block) and 4 fixation blocks (each 16s long), resulting in a total time of 448s. </w:t>
      </w:r>
    </w:p>
    <w:p w14:paraId="68BCD99B" w14:textId="66CDDE3A" w:rsidR="002F3026" w:rsidRPr="006436AC" w:rsidRDefault="002F3026" w:rsidP="000E64FB">
      <w:pPr>
        <w:pStyle w:val="Heading3"/>
        <w:rPr>
          <w:rFonts w:cs="Arial"/>
          <w:color w:val="auto"/>
          <w:szCs w:val="20"/>
        </w:rPr>
      </w:pPr>
      <w:r w:rsidRPr="006436AC">
        <w:rPr>
          <w:rFonts w:cs="Arial"/>
          <w:color w:val="auto"/>
          <w:szCs w:val="20"/>
        </w:rPr>
        <w:t>2.2.2.2. Math task</w:t>
      </w:r>
    </w:p>
    <w:p w14:paraId="66FBC633" w14:textId="15D85E41" w:rsidR="006601F4" w:rsidRPr="006436AC" w:rsidRDefault="002F3026"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Participants saw an arithmetic addition expression on the screen for 1.45s and were then given two numbers as choices. The easy condition included smaller single-digit numbers while the hard condition included larger two-digit numbers, also presented for 1.45s. Each trial ended with a blank screen lasting for 0.1s. Each run consisted of 12 experimental blocks (with 4 trials </w:t>
      </w:r>
      <w:r w:rsidRPr="006436AC">
        <w:rPr>
          <w:rFonts w:ascii="Arial" w:hAnsi="Arial" w:cs="Arial"/>
          <w:sz w:val="20"/>
          <w:szCs w:val="20"/>
        </w:rPr>
        <w:lastRenderedPageBreak/>
        <w:t xml:space="preserve">per block) and 4 fixation blocks, resulting in a total time of 316s. </w:t>
      </w:r>
      <w:r w:rsidR="006601F4" w:rsidRPr="006436AC">
        <w:rPr>
          <w:rFonts w:ascii="Arial" w:hAnsi="Arial" w:cs="Arial"/>
          <w:sz w:val="20"/>
          <w:szCs w:val="20"/>
        </w:rPr>
        <w:t xml:space="preserve">In the easy condition, participants </w:t>
      </w:r>
      <w:r w:rsidR="006759EB" w:rsidRPr="006436AC">
        <w:rPr>
          <w:rFonts w:ascii="Arial" w:hAnsi="Arial" w:cs="Arial"/>
          <w:sz w:val="20"/>
          <w:szCs w:val="20"/>
        </w:rPr>
        <w:t xml:space="preserve">use </w:t>
      </w:r>
      <w:r w:rsidR="006601F4" w:rsidRPr="006436AC">
        <w:rPr>
          <w:rFonts w:ascii="Arial" w:hAnsi="Arial" w:cs="Arial"/>
          <w:sz w:val="20"/>
          <w:szCs w:val="20"/>
        </w:rPr>
        <w:t>long-term knowledge to decide whether  3 + 5 = 6 or 8. In the hard condition, long-term knowledge is also required to decide whether 13 + 15 = 26 or 28</w:t>
      </w:r>
      <w:r w:rsidR="006759EB" w:rsidRPr="006436AC">
        <w:rPr>
          <w:rFonts w:ascii="Arial" w:hAnsi="Arial" w:cs="Arial"/>
          <w:sz w:val="20"/>
          <w:szCs w:val="20"/>
        </w:rPr>
        <w:t xml:space="preserve"> but this condition places a greater load on working memory and computation and consequently the contrast between these conditions has been shown to reveal DMN and MDN (</w:t>
      </w:r>
      <w:r w:rsidR="006759EB" w:rsidRPr="006436AC">
        <w:rPr>
          <w:rFonts w:ascii="Arial" w:hAnsi="Arial" w:cs="Arial"/>
          <w:sz w:val="20"/>
          <w:szCs w:val="20"/>
        </w:rPr>
        <w:fldChar w:fldCharType="begin" w:fldLock="1"/>
      </w:r>
      <w:r w:rsidR="006759EB" w:rsidRPr="006436AC">
        <w:rPr>
          <w:rFonts w:ascii="Arial" w:hAnsi="Arial" w:cs="Arial"/>
          <w:sz w:val="20"/>
          <w:szCs w:val="20"/>
        </w:rPr>
        <w:instrText>ADDIN CSL_CITATION {"citationItems":[{"id":"ITEM-1","itemData":{"DOI":"10.1073/pnas.1112937108","ISSN":"0027-8424","abstract":"Neuroscientists have debated for centuries whether some regions tasks. Specifically, we examined the response of high-level lan- of the human brain are selectively engaged in specific high-level guage regions to seven nonlinguistic tasks that tap the cognitive mental functions or whether, instead, cognition is implemented functions in most commonly argued to recruit the language net- multifunctional brain regions. For the critical case of language, work: exact arithmetic (experiment 1), working memory (WM; conflicting answers arise from the neuropsychological literature, control which features striking dissociations between deficits in linguistic music experiments 2 and 3), cognitive (experiments 4-6), and and nonlinguistic abilities, vs. the neuroimaging literature, which (experiment 7). localizer has argued for overlap between activations read sentences and for linguistic and For the language task, participants domain general strings of pronounceable nonwords and decided whether a sub- nonlinguistic processes, including arithmetic, abilities like cognitive control, and music. Here, we use functional sequent probe (a word or nonword, respectively) appeared in the MRI to define classic language regions functionally in each subject preceding stimulus (Fig. 1). The sentences &gt; nonwords contrast individually and then examine the response of these regions to the targets brain regions engaged in high-level linguistic processing nonlinguistic functions most commonly argued to engage these (sentence understanding), including lexical and combinatorial regions: arithmetic, working memory, cognitive control, and processes but excluding phonological and other lower-level pro- music. We find little or no response in language regions to these cesses.* This localizer was previously shown (29) to robustly and nonlinguistic functions. These data support a dear distinction reliably identify each of the key brain regions previously impli- between language and other cognitive processes, resolving the conflict between the neuropsychological and neuroimaging SI) in at least 80% of subjects cated in high-level linguistic processing (30, 31) (Fig. 2 and Fig. prior literatures.","author":[{"dropping-particle":"","family":"Fedorenko","given":"E.","non-dropping-particle":"","parse-names":false,"suffix":""},{"dropping-particle":"","family":"Behr","given":"M. K.","non-dropping-particle":"","parse-names":false,"suffix":""},{"dropping-particle":"","family":"Kanwisher","given":"N.","non-dropping-particle":"","parse-names":false,"suffix":""}],"container-title":"Proceedings of the National Academy of Sciences","id":"ITEM-1","issue":"39","issued":{"date-parts":[["2011"]]},"page":"16428-16433","title":"Functional specificity for high-level linguistic processing in the human brain","type":"article-journal","volume":"108"},"uris":["http://www.mendeley.com/documents/?uuid=6cde46f2-d15e-47bc-aab9-fdb04a3b00f6"]}],"mendeley":{"formattedCitation":"(Fedorenko et al., 2011)","manualFormatting":"Fedorenko et al., 2011","plainTextFormattedCitation":"(Fedorenko et al., 2011)","previouslyFormattedCitation":"(Fedorenko et al., 2011)"},"properties":{"noteIndex":0},"schema":"https://github.com/citation-style-language/schema/raw/master/csl-citation.json"}</w:instrText>
      </w:r>
      <w:r w:rsidR="006759EB" w:rsidRPr="006436AC">
        <w:rPr>
          <w:rFonts w:ascii="Arial" w:hAnsi="Arial" w:cs="Arial"/>
          <w:sz w:val="20"/>
          <w:szCs w:val="20"/>
        </w:rPr>
        <w:fldChar w:fldCharType="separate"/>
      </w:r>
      <w:r w:rsidR="006759EB" w:rsidRPr="006436AC">
        <w:rPr>
          <w:rFonts w:ascii="Arial" w:hAnsi="Arial" w:cs="Arial"/>
          <w:noProof/>
          <w:sz w:val="20"/>
          <w:szCs w:val="20"/>
        </w:rPr>
        <w:t>Fedorenko et al., 2011</w:t>
      </w:r>
      <w:r w:rsidR="006759EB" w:rsidRPr="006436AC">
        <w:rPr>
          <w:rFonts w:ascii="Arial" w:hAnsi="Arial" w:cs="Arial"/>
          <w:sz w:val="20"/>
          <w:szCs w:val="20"/>
        </w:rPr>
        <w:fldChar w:fldCharType="end"/>
      </w:r>
      <w:r w:rsidR="006759EB" w:rsidRPr="006436AC">
        <w:rPr>
          <w:rFonts w:ascii="Arial" w:hAnsi="Arial" w:cs="Arial"/>
          <w:sz w:val="20"/>
          <w:szCs w:val="20"/>
        </w:rPr>
        <w:t>)</w:t>
      </w:r>
      <w:r w:rsidR="006601F4" w:rsidRPr="006436AC">
        <w:rPr>
          <w:rFonts w:ascii="Arial" w:hAnsi="Arial" w:cs="Arial"/>
          <w:sz w:val="20"/>
          <w:szCs w:val="20"/>
        </w:rPr>
        <w:t xml:space="preserve">.  </w:t>
      </w:r>
    </w:p>
    <w:p w14:paraId="62677F8D" w14:textId="797FDB1B" w:rsidR="002F3026" w:rsidRPr="006436AC" w:rsidRDefault="002F3026" w:rsidP="000E64FB">
      <w:pPr>
        <w:pStyle w:val="Heading3"/>
        <w:rPr>
          <w:rFonts w:cs="Arial"/>
          <w:color w:val="auto"/>
          <w:szCs w:val="20"/>
        </w:rPr>
      </w:pPr>
      <w:r w:rsidRPr="006436AC">
        <w:rPr>
          <w:rFonts w:cs="Arial"/>
          <w:color w:val="auto"/>
          <w:szCs w:val="20"/>
        </w:rPr>
        <w:t>2.2.2.3. Semantic localizer task</w:t>
      </w:r>
    </w:p>
    <w:p w14:paraId="3795342B" w14:textId="77777777" w:rsidR="002F3026" w:rsidRPr="006436AC" w:rsidRDefault="002F3026"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Participants read sentences and lists of pronounceable nonwords, followed by a probe recognition test (present/absent judgment for single word and nonword). Sentences contrasted with nonwords reliably activate semantic and language regions </w:t>
      </w:r>
      <w:r w:rsidRPr="006436AC">
        <w:rPr>
          <w:rFonts w:ascii="Arial" w:hAnsi="Arial" w:cs="Arial"/>
          <w:sz w:val="20"/>
          <w:szCs w:val="20"/>
        </w:rPr>
        <w:fldChar w:fldCharType="begin" w:fldLock="1"/>
      </w:r>
      <w:r w:rsidRPr="006436AC">
        <w:rPr>
          <w:rFonts w:ascii="Arial" w:hAnsi="Arial" w:cs="Arial"/>
          <w:sz w:val="20"/>
          <w:szCs w:val="20"/>
        </w:rPr>
        <w:instrText>ADDIN CSL_CITATION {"citationItems":[{"id":"ITEM-1","itemData":{"DOI":"10.1073/pnas.1112937108","ISSN":"0027-8424","abstract":"Neuroscientists have debated for centuries whether some regions tasks. Specifically, we examined the response of high-level lan- of the human brain are selectively engaged in specific high-level guage regions to seven nonlinguistic tasks that tap the cognitive mental functions or whether, instead, cognition is implemented functions in most commonly argued to recruit the language net- multifunctional brain regions. For the critical case of language, work: exact arithmetic (experiment 1), working memory (WM; conflicting answers arise from the neuropsychological literature, control which features striking dissociations between deficits in linguistic music experiments 2 and 3), cognitive (experiments 4-6), and and nonlinguistic abilities, vs. the neuroimaging literature, which (experiment 7). localizer has argued for overlap between activations read sentences and for linguistic and For the language task, participants domain general strings of pronounceable nonwords and decided whether a sub- nonlinguistic processes, including arithmetic, abilities like cognitive control, and music. Here, we use functional sequent probe (a word or nonword, respectively) appeared in the MRI to define classic language regions functionally in each subject preceding stimulus (Fig. 1). The sentences &gt; nonwords contrast individually and then examine the response of these regions to the targets brain regions engaged in high-level linguistic processing nonlinguistic functions most commonly argued to engage these (sentence understanding), including lexical and combinatorial regions: arithmetic, working memory, cognitive control, and processes but excluding phonological and other lower-level pro- music. We find little or no response in language regions to these cesses.* This localizer was previously shown (29) to robustly and nonlinguistic functions. These data support a dear distinction reliably identify each of the key brain regions previously impli- between language and other cognitive processes, resolving the conflict between the neuropsychological and neuroimaging SI) in at least 80% of subjects cated in high-level linguistic processing (30, 31) (Fig. 2 and Fig. prior literatures.","author":[{"dropping-particle":"","family":"Fedorenko","given":"E.","non-dropping-particle":"","parse-names":false,"suffix":""},{"dropping-particle":"","family":"Behr","given":"M. K.","non-dropping-particle":"","parse-names":false,"suffix":""},{"dropping-particle":"","family":"Kanwisher","given":"N.","non-dropping-particle":"","parse-names":false,"suffix":""}],"container-title":"Proceedings of the National Academy of Sciences","id":"ITEM-1","issue":"39","issued":{"date-parts":[["2011"]]},"page":"16428-16433","title":"Functional specificity for high-level linguistic processing in the human brain","type":"article-journal","volume":"108"},"uris":["http://www.mendeley.com/documents/?uuid=6cde46f2-d15e-47bc-aab9-fdb04a3b00f6"]},{"id":"ITEM-2","itemData":{"DOI":"10.1016/j.neuroimage.2016.05.073","ISSN":"10959572","abstract":"The majority of functional neuroimaging investigations aim to characterize an average human brain. However, another important goal of cognitive neuroscience is to understand the ways in which individuals differ from one another and the significance of these differences. This latter goal is given special weight by the recent reconceptualization of neurological disorders where sharp boundaries are no longer drawn either between health and neuropsychiatric and neurodevelopmental disorders, or among different disorders (e.g., Insel et al., 2010). Consequently, even the variability in the healthy population can inform our understanding of brain disorders. However, because the use of functional neural markers is still in its infancy, no consensus presently exists about which measures (e.g., effect size?, extent of activation?, degree of lateralization?) are the best ones to use. We here attempt to address this question with respect to one large-scale neural system: the set of brain regions in the frontal and temporal cortices that jointly support high-level linguistic processing (e.g., Binder et al., 1997; Fedorenko, Hsieh, Nieto-Castanon, Whitfield-Gabrieli, &amp; Kanwisher, 2010). In particular, using data from 150 individuals all of whom had performed a language \"localizer\" task contrasting sentences and nonword sequences (Fedorenko et al., 2010), we: a) characterize the distributions of the values for four key neural measures of language activity (region effect sizes, region volumes, lateralization based on effect sizes, and lateralization based on volumes); b) test the reliability of these measures in a subset of 32 individuals who were scanned across two sessions; c) evaluate the relationship among the different regions of the language system; and d) evaluate the relationship among the different neural measures. Based on our results, we provide some recommendations for future studies of brain-behavior and brain-genes relationships. Although some of our conclusions are specific to the language system, others (e.g., the fact that effect-size-based measures tend to be more reliable than volume-based measures) are likely to generalize to the rest of the brain.","author":[{"dropping-particle":"","family":"Mahowald","given":"Kyle","non-dropping-particle":"","parse-names":false,"suffix":""},{"dropping-particle":"","family":"Fedorenko","given":"Evelina","non-dropping-particle":"","parse-names":false,"suffix":""}],"container-title":"NeuroImage","id":"ITEM-2","issued":{"date-parts":[["2016"]]},"title":"Reliable individual-level neural markers of high-level language processing: A necessary precursor for relating neural variability to behavioral and genetic variability","type":"article-journal"},"uris":["http://www.mendeley.com/documents/?uuid=b493cbbc-60ba-336c-8b58-40cc502c558b"]},{"id":"ITEM-3","itemData":{"DOI":"10.1152/jn.00032.2010","ISSN":"0022-3077","abstract":"Previous neuroimaging research has identified a number of brain regions sensitive to different aspects of linguistic processing, but precise functional characterization of these regions has proven ...","author":[{"dropping-particle":"","family":"Fedorenko","given":"Evelina","non-dropping-particle":"","parse-names":false,"suffix":""},{"dropping-particle":"","family":"Hsieh","given":"Po-Jang","non-dropping-particle":"","parse-names":false,"suffix":""},{"dropping-particle":"","family":"Nieto-Castañón","given":"Alfonso","non-dropping-particle":"","parse-names":false,"suffix":""},{"dropping-particle":"","family":"Whitfield-Gabrieli","given":"Susan","non-dropping-particle":"","parse-names":false,"suffix":""},{"dropping-particle":"","family":"Kanwisher","given":"Nancy","non-dropping-particle":"","parse-names":false,"suffix":""}],"container-title":"Journal of Neurophysiology","id":"ITEM-3","issue":"2","issued":{"date-parts":[["2010","8"]]},"page":"1177-1194","publisher":" American Physiological Society Bethesda, MD","title":"New Method for fMRI Investigations of Language: Defining ROIs Functionally in Individual Subjects","type":"article-journal","volume":"104"},"uris":["http://www.mendeley.com/documents/?uuid=d7b8b7bb-9a83-3f83-8966-15224f8ceec1"]},{"id":"ITEM-4","itemData":{"DOI":"10.1073/pnas.1612132113","ISSN":"0027-8424","abstract":"The neural processes that underlie your ability to read and under- stand this sentence are unknown. Sentence comprehension occurs very rapidly, and can only be understood at a mechanistic level by discovering the precise sequence of underlying computational and neural events. However, we have no continuous and online neural measure of sentence processing with high spatial and temporal resolution. Here we report just such a measure: intracranial record- ings from the surface of the human brain show that neural activity, indexed by γ-power, increases monotonically over the course of a sentence as people read it. This steady increase in activity is absent when people read and remember nonword-lists, despite the higher cognitive demand entailed, ruling out accounts in terms of generic attention, working memory, and cognitive load. Re- sponse increases are lower for sentence structure without meaning (“Jabberwocky” sentences) and word meaning without sentence structure (word-lists), showing that this effect is not explained by responses to syntax or word meaning alone. Instead, the full effect is found only for sentences, implicating compositional processes of sentence understanding, a striking and unique feature of human language not shared with animal communication systems. This work opens up newavenues for investigating the sequence of neu- ral events that underlie the construction of linguistic meaning. language","author":[{"dropping-particle":"","family":"Fedorenko","given":"Evelina","non-dropping-particle":"","parse-names":false,"suffix":""},{"dropping-particle":"","family":"Scott","given":"Terri L.","non-dropping-particle":"","parse-names":false,"suffix":""},{"dropping-particle":"","family":"Brunner","given":"Peter","non-dropping-particle":"","parse-names":false,"suffix":""},{"dropping-particle":"","family":"Coon","given":"William G.","non-dropping-particle":"","parse-names":false,"suffix":""},{"dropping-particle":"","family":"Pritchett","given":"Brianna","non-dropping-particle":"","parse-names":false,"suffix":""},{"dropping-particle":"","family":"Schalk","given":"Gerwin","non-dropping-particle":"","parse-names":false,"suffix":""},{"dropping-particle":"","family":"Kanwisher","given":"Nancy","non-dropping-particle":"","parse-names":false,"suffix":""}],"container-title":"Proceedings of the National Academy of Sciences","id":"ITEM-4","issue":"41","issued":{"date-parts":[["2016"]]},"page":"E6256-E6262","title":"Neural correlate of the construction of sentence meaning","type":"article-journal","volume":"113"},"uris":["http://www.mendeley.com/documents/?uuid=24d38085-5987-4f06-b0c0-dc08073b3765"]}],"mendeley":{"formattedCitation":"(Fedorenko et al., 2016, 2011, 2010; Mahowald and Fedorenko, 2016)","plainTextFormattedCitation":"(Fedorenko et al., 2016, 2011, 2010; Mahowald and Fedorenko, 2016)","previouslyFormattedCitation":"(Fedorenko et al., 2016, 2011, 2010; Mahowald and Fedorenko, 2016)"},"properties":{"noteIndex":0},"schema":"https://github.com/citation-style-language/schema/raw/master/csl-citation.json"}</w:instrText>
      </w:r>
      <w:r w:rsidRPr="006436AC">
        <w:rPr>
          <w:rFonts w:ascii="Arial" w:hAnsi="Arial" w:cs="Arial"/>
          <w:sz w:val="20"/>
          <w:szCs w:val="20"/>
        </w:rPr>
        <w:fldChar w:fldCharType="separate"/>
      </w:r>
      <w:r w:rsidRPr="006436AC">
        <w:rPr>
          <w:rFonts w:ascii="Arial" w:hAnsi="Arial" w:cs="Arial"/>
          <w:noProof/>
          <w:sz w:val="20"/>
          <w:szCs w:val="20"/>
        </w:rPr>
        <w:t>(Fedorenko et al., 2016, 2011, 2010; Mahowald and Fedorenko, 2016)</w:t>
      </w:r>
      <w:r w:rsidRPr="006436AC">
        <w:rPr>
          <w:rFonts w:ascii="Arial" w:hAnsi="Arial" w:cs="Arial"/>
          <w:sz w:val="20"/>
          <w:szCs w:val="20"/>
        </w:rPr>
        <w:fldChar w:fldCharType="end"/>
      </w:r>
      <w:r w:rsidRPr="006436AC">
        <w:rPr>
          <w:rFonts w:ascii="Arial" w:hAnsi="Arial" w:cs="Arial"/>
          <w:sz w:val="20"/>
          <w:szCs w:val="20"/>
        </w:rPr>
        <w:t xml:space="preserve">. Each trial started with a 100ms blank screen. Stimuli were presented at the centre of the screen, one word/nonword at a time, at the rate of 450ms per item. The sequence was followed by a probe word/nonword; participants had 2s to decide whether this item had been presented in the sequence, giving a total trial duration of 7.5s. Each run included 16 experimental blocks with 3 trials per block and 5 fixation blocks lasting for 14s. Each run lasted a total of 430s. </w:t>
      </w:r>
    </w:p>
    <w:p w14:paraId="71FF1755" w14:textId="781313A1" w:rsidR="002F3026" w:rsidRPr="006436AC" w:rsidRDefault="002F3026"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Given that the sentences were easier to maintain than the nonwords, the semantic </w:t>
      </w:r>
      <w:r w:rsidR="00C22B14" w:rsidRPr="006436AC">
        <w:rPr>
          <w:rFonts w:ascii="Arial" w:hAnsi="Arial" w:cs="Arial"/>
          <w:sz w:val="20"/>
          <w:szCs w:val="20"/>
        </w:rPr>
        <w:t>localizer</w:t>
      </w:r>
      <w:r w:rsidRPr="006436AC">
        <w:rPr>
          <w:rFonts w:ascii="Arial" w:hAnsi="Arial" w:cs="Arial"/>
          <w:sz w:val="20"/>
          <w:szCs w:val="20"/>
        </w:rPr>
        <w:t xml:space="preserve"> was able to reveal regions involved in semantic processing (including semantically-relevant regions within DMN and potentially also semantic regions responding to control demands outside DMN). However, this </w:t>
      </w:r>
      <w:r w:rsidR="00C22B14" w:rsidRPr="006436AC">
        <w:rPr>
          <w:rFonts w:ascii="Arial" w:hAnsi="Arial" w:cs="Arial"/>
          <w:sz w:val="20"/>
          <w:szCs w:val="20"/>
        </w:rPr>
        <w:t>localizer</w:t>
      </w:r>
      <w:r w:rsidRPr="006436AC">
        <w:rPr>
          <w:rFonts w:ascii="Arial" w:hAnsi="Arial" w:cs="Arial"/>
          <w:sz w:val="20"/>
          <w:szCs w:val="20"/>
        </w:rPr>
        <w:t xml:space="preserve"> contrast is likely to miss MDN regions, which are expected to respond to the difficulty of the nonword condition but might nevertheless contribute to demanding semantic tasks. Consequently, we defined an additional semantic control mask using a meta-analysis of task contrasts in which semantic control demands were manipulated</w:t>
      </w:r>
      <w:r w:rsidR="003646BF" w:rsidRPr="006436AC">
        <w:rPr>
          <w:rFonts w:ascii="Arial" w:hAnsi="Arial" w:cs="Arial"/>
          <w:sz w:val="20"/>
          <w:szCs w:val="20"/>
        </w:rPr>
        <w:t xml:space="preserve"> </w:t>
      </w:r>
      <w:r w:rsidRPr="006436AC">
        <w:rPr>
          <w:rFonts w:ascii="Arial" w:hAnsi="Arial" w:cs="Arial"/>
          <w:sz w:val="20"/>
          <w:szCs w:val="20"/>
        </w:rPr>
        <w:fldChar w:fldCharType="begin" w:fldLock="1"/>
      </w:r>
      <w:r w:rsidRPr="006436AC">
        <w:rPr>
          <w:rFonts w:ascii="Arial" w:hAnsi="Arial" w:cs="Arial"/>
          <w:sz w:val="20"/>
          <w:szCs w:val="20"/>
        </w:rPr>
        <w:instrText>ADDIN CSL_CITATION {"citationItems":[{"id":"ITEM-1","itemData":{"DOI":"10.1162/jocn_a_00442","ISSN":"15308898","abstract":"Semantic cognition requires a combination of semantic representations and executive control processes to direct activation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network are specifically associated with the executive component of semantic cognition. Previous studies have described in detail the role of left ventral pFC in semantic regulation. We examined 53 studies that contrasted semantic tasks with high &gt; low executive requirements to determine whether cortical regions beyond the left pFC show the same response profile to executive semantic demands. Our findings revealed that right pFC, posterior middle temporal gyrus (pMTG) and dorsal angular gyrus (bordering intraparietal sulcus) were also consistently recruited by executively demanding semantic tasks, demonstrating patterns of activation that were highly similar to the left ventral pFC. These regions overlap with the lesions in aphasic patients who exhibit multimodal semantic impairment because of impaired regulatory control (semantic aphasia)-providing important convergence between functional neuroimaging and neuropsychological studies of semantic cognition. Activation in dorsal angular gyrus and left ventral pFC was consistent across all types of executive semantic manipulation, regardless of whether the task was receptive or expressive, whereas pMTG activation was only observed for manipulation of control demands within receptive tasks. Second, we contrasted executively demanding tasks tapping semantics and phonology. Our findings revealed substantial overlap between the two sets of contrasts within left ventral pFC, suggesting this region underpins domain-general control mechanisms. In contrast, we observed relative specialization for semantic control within pMTG as well as the most ventral aspects of left pFC (BA 47), consistent with our proposal of a distributed network underpinning semantic control.","author":[{"dropping-particle":"","family":"Noonan","given":"Krist A.","non-dropping-particle":"","parse-names":false,"suffix":""},{"dropping-particle":"","family":"Jefferies","given":"Elizabeth","non-dropping-particle":"","parse-names":false,"suffix":""},{"dropping-particle":"","family":"Visser","given":"Maya","non-dropping-particle":"","parse-names":false,"suffix":""},{"dropping-particle":"","family":"Lambon Ralph","given":"Matthew A.","non-dropping-particle":"","parse-names":false,"suffix":""}],"container-title":"Journal of cognitive neuroscience","id":"ITEM-1","issue":"11","issued":{"date-parts":[["2013"]]},"page":"1824-1850","title":"Going beyond inferior prefrontal involvement in semantic control: evidence for the additional contribution of dorsal angular gyrus and posterior middle temporal cortex.","type":"article-journal","volume":"25"},"uris":["http://www.mendeley.com/documents/?uuid=d1098e99-5136-327a-92e7-e1d7990ba655"]}],"mendeley":{"formattedCitation":"(Noonan et al., 2013)","plainTextFormattedCitation":"(Noonan et al., 2013)","previouslyFormattedCitation":"(Noonan et al., 2013)"},"properties":{"noteIndex":0},"schema":"https://github.com/citation-style-language/schema/raw/master/csl-citation.json"}</w:instrText>
      </w:r>
      <w:r w:rsidRPr="006436AC">
        <w:rPr>
          <w:rFonts w:ascii="Arial" w:hAnsi="Arial" w:cs="Arial"/>
          <w:sz w:val="20"/>
          <w:szCs w:val="20"/>
        </w:rPr>
        <w:fldChar w:fldCharType="separate"/>
      </w:r>
      <w:r w:rsidRPr="006436AC">
        <w:rPr>
          <w:rFonts w:ascii="Arial" w:hAnsi="Arial" w:cs="Arial"/>
          <w:noProof/>
          <w:sz w:val="20"/>
          <w:szCs w:val="20"/>
        </w:rPr>
        <w:t>(Noonan et al., 2013)</w:t>
      </w:r>
      <w:r w:rsidRPr="006436AC">
        <w:rPr>
          <w:rFonts w:ascii="Arial" w:hAnsi="Arial" w:cs="Arial"/>
          <w:sz w:val="20"/>
          <w:szCs w:val="20"/>
        </w:rPr>
        <w:fldChar w:fldCharType="end"/>
      </w:r>
      <w:r w:rsidRPr="006436AC">
        <w:rPr>
          <w:rFonts w:ascii="Arial" w:hAnsi="Arial" w:cs="Arial"/>
          <w:sz w:val="20"/>
          <w:szCs w:val="20"/>
        </w:rPr>
        <w:t xml:space="preserve">. This semantic control map might be expected to overlap with the semantic </w:t>
      </w:r>
      <w:r w:rsidR="00C22B14" w:rsidRPr="006436AC">
        <w:rPr>
          <w:rFonts w:ascii="Arial" w:hAnsi="Arial" w:cs="Arial"/>
          <w:sz w:val="20"/>
          <w:szCs w:val="20"/>
        </w:rPr>
        <w:t>localizer</w:t>
      </w:r>
      <w:r w:rsidRPr="006436AC">
        <w:rPr>
          <w:rFonts w:ascii="Arial" w:hAnsi="Arial" w:cs="Arial"/>
          <w:sz w:val="20"/>
          <w:szCs w:val="20"/>
        </w:rPr>
        <w:t xml:space="preserve"> in control regions specific to semantic processing outside the MDN, as well as other control regions within the MDN.</w:t>
      </w:r>
    </w:p>
    <w:p w14:paraId="43CE6EC8" w14:textId="736759A1" w:rsidR="002F3026" w:rsidRPr="006436AC" w:rsidRDefault="002F3026" w:rsidP="000E64FB">
      <w:pPr>
        <w:spacing w:before="100" w:beforeAutospacing="1" w:after="100" w:afterAutospacing="1" w:line="480" w:lineRule="auto"/>
        <w:rPr>
          <w:rFonts w:ascii="Arial" w:hAnsi="Arial" w:cs="Arial"/>
          <w:sz w:val="20"/>
          <w:szCs w:val="20"/>
        </w:rPr>
      </w:pPr>
      <w:r w:rsidRPr="006436AC">
        <w:rPr>
          <w:rFonts w:ascii="Arial" w:hAnsi="Arial" w:cs="Arial"/>
          <w:noProof/>
          <w:sz w:val="20"/>
          <w:szCs w:val="20"/>
          <w:lang w:val="en-GB" w:eastAsia="en-GB"/>
        </w:rPr>
        <w:lastRenderedPageBreak/>
        <w:drawing>
          <wp:inline distT="0" distB="0" distL="0" distR="0" wp14:anchorId="5EE66C53" wp14:editId="19C5E94E">
            <wp:extent cx="5486400" cy="2861122"/>
            <wp:effectExtent l="0" t="0" r="0" b="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2861122"/>
                    </a:xfrm>
                    <a:prstGeom prst="rect">
                      <a:avLst/>
                    </a:prstGeom>
                  </pic:spPr>
                </pic:pic>
              </a:graphicData>
            </a:graphic>
          </wp:inline>
        </w:drawing>
      </w:r>
    </w:p>
    <w:p w14:paraId="63D80FF8" w14:textId="3181A60E" w:rsidR="00346A3D" w:rsidRPr="006436AC" w:rsidRDefault="002F3026" w:rsidP="000E64FB">
      <w:pPr>
        <w:spacing w:before="100" w:beforeAutospacing="1" w:after="100" w:afterAutospacing="1" w:line="480" w:lineRule="auto"/>
        <w:rPr>
          <w:rFonts w:ascii="Arial" w:hAnsi="Arial" w:cs="Arial"/>
          <w:sz w:val="20"/>
          <w:szCs w:val="20"/>
        </w:rPr>
      </w:pPr>
      <w:r w:rsidRPr="006436AC">
        <w:rPr>
          <w:rFonts w:ascii="Arial" w:hAnsi="Arial" w:cs="Arial"/>
          <w:b/>
          <w:sz w:val="20"/>
          <w:szCs w:val="20"/>
        </w:rPr>
        <w:t xml:space="preserve">Figure </w:t>
      </w:r>
      <w:r w:rsidR="00564650" w:rsidRPr="006436AC">
        <w:rPr>
          <w:rFonts w:ascii="Arial" w:hAnsi="Arial" w:cs="Arial"/>
          <w:b/>
          <w:sz w:val="20"/>
          <w:szCs w:val="20"/>
        </w:rPr>
        <w:t>2</w:t>
      </w:r>
      <w:r w:rsidRPr="006436AC">
        <w:rPr>
          <w:rFonts w:ascii="Arial" w:hAnsi="Arial" w:cs="Arial"/>
          <w:b/>
          <w:sz w:val="20"/>
          <w:szCs w:val="20"/>
        </w:rPr>
        <w:t>.</w:t>
      </w:r>
      <w:r w:rsidRPr="006436AC">
        <w:rPr>
          <w:rFonts w:ascii="Arial" w:hAnsi="Arial" w:cs="Arial"/>
          <w:sz w:val="20"/>
          <w:szCs w:val="20"/>
        </w:rPr>
        <w:t xml:space="preserve"> Illustration of localizer tasks.</w:t>
      </w:r>
    </w:p>
    <w:p w14:paraId="5427DBBF" w14:textId="64CE23C4" w:rsidR="004B4F7A" w:rsidRPr="006436AC" w:rsidRDefault="004B4F7A" w:rsidP="000E64FB">
      <w:pPr>
        <w:pStyle w:val="Style3"/>
        <w:rPr>
          <w:color w:val="auto"/>
          <w:szCs w:val="20"/>
        </w:rPr>
      </w:pPr>
      <w:r w:rsidRPr="006436AC">
        <w:rPr>
          <w:color w:val="auto"/>
          <w:szCs w:val="20"/>
        </w:rPr>
        <w:t xml:space="preserve">2.3. </w:t>
      </w:r>
      <w:r w:rsidR="00566455" w:rsidRPr="006436AC">
        <w:rPr>
          <w:color w:val="auto"/>
          <w:szCs w:val="20"/>
        </w:rPr>
        <w:t xml:space="preserve">MRI data acquisition </w:t>
      </w:r>
    </w:p>
    <w:p w14:paraId="47E4C8FF" w14:textId="19E7F6E5" w:rsidR="00566455" w:rsidRPr="006436AC" w:rsidRDefault="00566455"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Structural and functional data were collected on a Siemens Prisma 3T MRI scanner at the York Neuroimaging Centre. The scanning protocols included a T1-weighted MPRAGE sequence with whole-brain coverage. The structural scan used: acquisition matrix of 176 × 256 × 256 and voxel size 1 × 1 × 1mm</w:t>
      </w:r>
      <w:r w:rsidRPr="006436AC">
        <w:rPr>
          <w:rFonts w:ascii="Arial" w:hAnsi="Arial" w:cs="Arial"/>
          <w:sz w:val="20"/>
          <w:szCs w:val="20"/>
          <w:vertAlign w:val="superscript"/>
        </w:rPr>
        <w:t>3</w:t>
      </w:r>
      <w:r w:rsidRPr="006436AC">
        <w:rPr>
          <w:rFonts w:ascii="Arial" w:hAnsi="Arial" w:cs="Arial"/>
          <w:sz w:val="20"/>
          <w:szCs w:val="20"/>
        </w:rPr>
        <w:t xml:space="preserve">, repetition time (TR) = 2300ms, and echo time (TE) = 2.26ms. </w:t>
      </w:r>
      <w:r w:rsidR="005B4F44" w:rsidRPr="006436AC">
        <w:rPr>
          <w:rFonts w:ascii="Arial" w:hAnsi="Arial" w:cs="Arial"/>
          <w:sz w:val="20"/>
          <w:szCs w:val="20"/>
        </w:rPr>
        <w:t>F</w:t>
      </w:r>
      <w:r w:rsidRPr="006436AC">
        <w:rPr>
          <w:rFonts w:ascii="Arial" w:hAnsi="Arial" w:cs="Arial"/>
          <w:sz w:val="20"/>
          <w:szCs w:val="20"/>
        </w:rPr>
        <w:t>unctional data were acquired using an EPI sequence with a 80</w:t>
      </w:r>
      <w:r w:rsidRPr="006436AC">
        <w:rPr>
          <w:rFonts w:ascii="Arial" w:hAnsi="Arial" w:cs="Arial"/>
          <w:sz w:val="20"/>
          <w:szCs w:val="20"/>
          <w:vertAlign w:val="superscript"/>
        </w:rPr>
        <w:t>0</w:t>
      </w:r>
      <w:r w:rsidRPr="006436AC">
        <w:rPr>
          <w:rFonts w:ascii="Arial" w:hAnsi="Arial" w:cs="Arial"/>
          <w:sz w:val="20"/>
          <w:szCs w:val="20"/>
        </w:rPr>
        <w:t xml:space="preserve"> flip angle and using GRAPPA with an acceleration factor of 2 in 3 x 3 x 4-mm voxels in 64-axial slices. The functional scan used: 55 3-mm-thick slices acquired in an interleaved order (with 33% distance factor), TR = 3000ms, TE = 15ms, FoV = 192mm. </w:t>
      </w:r>
    </w:p>
    <w:p w14:paraId="47972A9D" w14:textId="6D985A54" w:rsidR="004B4F7A" w:rsidRPr="006436AC" w:rsidRDefault="004B4F7A" w:rsidP="000E64FB">
      <w:pPr>
        <w:pStyle w:val="Style3"/>
        <w:rPr>
          <w:color w:val="auto"/>
          <w:szCs w:val="20"/>
        </w:rPr>
      </w:pPr>
      <w:r w:rsidRPr="006436AC">
        <w:rPr>
          <w:color w:val="auto"/>
          <w:szCs w:val="20"/>
        </w:rPr>
        <w:t xml:space="preserve">2.4. </w:t>
      </w:r>
      <w:r w:rsidR="00566455" w:rsidRPr="006436AC">
        <w:rPr>
          <w:color w:val="auto"/>
          <w:szCs w:val="20"/>
        </w:rPr>
        <w:t>MRI data pre-processing</w:t>
      </w:r>
    </w:p>
    <w:p w14:paraId="05A4C843" w14:textId="487523AC" w:rsidR="005B4F44" w:rsidRPr="006436AC" w:rsidRDefault="005B4F44" w:rsidP="000E64FB">
      <w:pPr>
        <w:pStyle w:val="Style3"/>
        <w:rPr>
          <w:color w:val="auto"/>
          <w:szCs w:val="20"/>
        </w:rPr>
      </w:pPr>
      <w:r w:rsidRPr="006436AC">
        <w:rPr>
          <w:color w:val="auto"/>
          <w:szCs w:val="20"/>
        </w:rPr>
        <w:t>2.4.1. Task fMRI data pre-processing</w:t>
      </w:r>
    </w:p>
    <w:p w14:paraId="5C225C24" w14:textId="77777777" w:rsidR="005B4F44" w:rsidRPr="006436AC" w:rsidRDefault="00566455"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Pre-processing was carried out using FMRIB’s Software Library (FSL version 6, fsl.fmrib.ox.ac.uk/fsl/fslwiki/FEAT/). The T1-weighted structural brain images were extracted. </w:t>
      </w:r>
      <w:r w:rsidRPr="006436AC">
        <w:rPr>
          <w:rFonts w:ascii="Arial" w:hAnsi="Arial" w:cs="Arial"/>
          <w:sz w:val="20"/>
          <w:szCs w:val="20"/>
        </w:rPr>
        <w:lastRenderedPageBreak/>
        <w:t xml:space="preserve">Structural images were registered to the MNI-152 template using FMRIB’s linear image registration tool (FLIRT). </w:t>
      </w:r>
      <w:r w:rsidR="002E183A" w:rsidRPr="006436AC">
        <w:rPr>
          <w:rFonts w:ascii="Arial" w:hAnsi="Arial" w:cs="Arial"/>
          <w:sz w:val="20"/>
          <w:szCs w:val="20"/>
        </w:rPr>
        <w:t xml:space="preserve">Task </w:t>
      </w:r>
      <w:r w:rsidRPr="006436AC">
        <w:rPr>
          <w:rFonts w:ascii="Arial" w:hAnsi="Arial" w:cs="Arial"/>
          <w:sz w:val="20"/>
          <w:szCs w:val="20"/>
        </w:rPr>
        <w:t>fMRI data pre-processing included motion correction, slice-timing correction, spatial smoothing with a 5mm FWHM Gaussian filter and high-pass filtering at 100s. Motion-affected volumes were removed from the fMRI data using scrubbing</w:t>
      </w:r>
      <w:r w:rsidR="00567C92"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{"citationItems":[{"id":"ITEM-1","itemData":{"DOI":"10.1016/j.neuroimage.2011.10.018","ISSN":"10538119","author":[{"dropping-particle":"","family":"Power","given":"Jonathan D.","non-dropping-particle":"","parse-names":false,"suffix":""},{"dropping-particle":"","family":"Barnes","given":"Kelly A.","non-dropping-particle":"","parse-names":false,"suffix":""},{"dropping-particle":"","family":"Snyder","given":"Abraham Z.","non-dropping-particle":"","parse-names":false,"suffix":""},{"dropping-particle":"","family":"Schlaggar","given":"Bradley L.","non-dropping-particle":"","parse-names":false,"suffix":""},{"dropping-particle":"","family":"Petersen","given":"Steven E.","non-dropping-particle":"","parse-names":false,"suffix":""}],"container-title":"NeuroImage","id":"ITEM-1","issue":"3","issued":{"date-parts":[["2012","2"]]},"page":"2142-2154","title":"Spurious but systematic correlations in functional connectivity MRI networks arise from subject motion","type":"article-journal","volume":"59"},"uris":["http://www.mendeley.com/documents/?uuid=3247c177-65d4-379d-a0f0-5b3b1ced89b4"]}],"mendeley":{"formattedCitation":"(Power et al., 2012)","plainTextFormattedCitation":"(Power et al., 2012)","previouslyFormattedCitation":"(Power et al., 2012)"},"properties":{"noteIndex":0},"schema":"https://github.com/citation-style-language/schema/raw/master/csl-citation.json"}</w:instrText>
      </w:r>
      <w:r w:rsidRPr="006436AC">
        <w:rPr>
          <w:rFonts w:ascii="Arial" w:hAnsi="Arial" w:cs="Arial"/>
          <w:sz w:val="20"/>
          <w:szCs w:val="20"/>
        </w:rPr>
        <w:fldChar w:fldCharType="separate"/>
      </w:r>
      <w:r w:rsidRPr="006436AC">
        <w:rPr>
          <w:rFonts w:ascii="Arial" w:hAnsi="Arial" w:cs="Arial"/>
          <w:noProof/>
          <w:sz w:val="20"/>
          <w:szCs w:val="20"/>
        </w:rPr>
        <w:t>(Power et al., 2012)</w:t>
      </w:r>
      <w:r w:rsidRPr="006436AC">
        <w:rPr>
          <w:rFonts w:ascii="Arial" w:hAnsi="Arial" w:cs="Arial"/>
          <w:sz w:val="20"/>
          <w:szCs w:val="20"/>
        </w:rPr>
        <w:fldChar w:fldCharType="end"/>
      </w:r>
      <w:r w:rsidRPr="006436AC">
        <w:rPr>
          <w:rFonts w:ascii="Arial" w:hAnsi="Arial" w:cs="Arial"/>
          <w:sz w:val="20"/>
          <w:szCs w:val="20"/>
        </w:rPr>
        <w:t>.</w:t>
      </w:r>
    </w:p>
    <w:p w14:paraId="2EFFC2AB" w14:textId="22202554" w:rsidR="00566455" w:rsidRPr="006436AC" w:rsidRDefault="005B4F44" w:rsidP="000E64FB">
      <w:pPr>
        <w:spacing w:before="100" w:beforeAutospacing="1" w:after="100" w:afterAutospacing="1" w:line="480" w:lineRule="auto"/>
        <w:rPr>
          <w:rFonts w:ascii="Arial" w:hAnsi="Arial" w:cs="Arial"/>
          <w:sz w:val="20"/>
          <w:szCs w:val="20"/>
        </w:rPr>
      </w:pPr>
      <w:r w:rsidRPr="006436AC">
        <w:rPr>
          <w:rFonts w:ascii="Arial" w:hAnsi="Arial" w:cs="Arial"/>
          <w:sz w:val="20"/>
          <w:szCs w:val="20"/>
        </w:rPr>
        <w:t>2.4.2. Resting-state data pre-processing</w:t>
      </w:r>
      <w:r w:rsidR="00566455" w:rsidRPr="006436AC">
        <w:rPr>
          <w:rFonts w:ascii="Arial" w:hAnsi="Arial" w:cs="Arial"/>
          <w:sz w:val="20"/>
          <w:szCs w:val="20"/>
        </w:rPr>
        <w:t xml:space="preserve"> </w:t>
      </w:r>
    </w:p>
    <w:p w14:paraId="0950963D" w14:textId="547310A0" w:rsidR="002E183A" w:rsidRPr="006436AC" w:rsidRDefault="002E183A"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Resting-sate fMRI data pre-processing was performed using SPM12</w:t>
      </w:r>
      <w:r w:rsidR="000402FA" w:rsidRPr="006436AC">
        <w:rPr>
          <w:rFonts w:ascii="Arial" w:hAnsi="Arial" w:cs="Arial"/>
          <w:sz w:val="20"/>
          <w:szCs w:val="20"/>
        </w:rPr>
        <w:t xml:space="preserve"> </w:t>
      </w:r>
      <w:r w:rsidRPr="006436AC">
        <w:rPr>
          <w:rFonts w:ascii="Arial" w:hAnsi="Arial" w:cs="Arial"/>
          <w:sz w:val="20"/>
          <w:szCs w:val="20"/>
        </w:rPr>
        <w:t>(http://www.fil.ion.ucl.ac.uk/spm) and the CONN toolbox (v.18b) (</w:t>
      </w:r>
      <w:hyperlink r:id="rId12" w:history="1">
        <w:r w:rsidR="002703E6" w:rsidRPr="006436AC">
          <w:rPr>
            <w:rStyle w:val="Hyperlink"/>
            <w:rFonts w:ascii="Arial" w:hAnsi="Arial" w:cs="Arial"/>
            <w:color w:val="auto"/>
            <w:sz w:val="20"/>
            <w:szCs w:val="20"/>
          </w:rPr>
          <w:t>https://www.nitrc.org/projects/conn</w:t>
        </w:r>
      </w:hyperlink>
      <w:r w:rsidRPr="006436AC">
        <w:rPr>
          <w:rFonts w:ascii="Arial" w:hAnsi="Arial" w:cs="Arial"/>
          <w:sz w:val="20"/>
          <w:szCs w:val="20"/>
        </w:rPr>
        <w:t>)</w:t>
      </w:r>
      <w:r w:rsidR="002703E6" w:rsidRPr="006436AC">
        <w:rPr>
          <w:rFonts w:ascii="Arial" w:hAnsi="Arial" w:cs="Arial"/>
          <w:sz w:val="20"/>
          <w:szCs w:val="20"/>
        </w:rPr>
        <w:t xml:space="preserve"> </w:t>
      </w:r>
      <w:r w:rsidR="002703E6" w:rsidRPr="006436AC">
        <w:rPr>
          <w:rFonts w:ascii="Arial" w:hAnsi="Arial" w:cs="Arial"/>
          <w:sz w:val="20"/>
          <w:szCs w:val="20"/>
        </w:rPr>
        <w:fldChar w:fldCharType="begin" w:fldLock="1"/>
      </w:r>
      <w:r w:rsidR="00313282" w:rsidRPr="006436AC">
        <w:rPr>
          <w:rFonts w:ascii="Arial" w:hAnsi="Arial" w:cs="Arial"/>
          <w:sz w:val="20"/>
          <w:szCs w:val="20"/>
        </w:rPr>
        <w:instrText>ADDIN CSL_CITATION {"citationItems":[{"id":"ITEM-1","itemData":{"DOI":"10.1089/brain.2012.0073","ISSN":"21580022","abstract":"Resting state functional connectivity reveals intrinsic, spontaneous networks that elucidate the functional archi-tecture of the human brain. However, valid statistical analysis used to identify such networks must address sour-ces of noise in order to avoid possible confounds such as spurious correlations based on non-neuronal sources. We have developed a functional connectivity toolbox Conn (www.nitrc.org/projects/conn) that implements the component-based noise correction method (CompCor) strategy for physiological and other noise source re-duction, additional removal of movement, and temporal covariates, temporal filtering and windowing of the re-sidual blood oxygen level-dependent (BOLD) contrast signal, first-level estimation of multiple standard functional connectivity magnetic resonance imaging (fcMRI) measures, and second-level random-effect analysis for resting state as well as task-related data. Compared to methods that rely on global signal regression, the CompCor noise reduction method allows for interpretation of anticorrelations as there is no regression of the global signal. The toolbox implements fcMRI measures, such as estimation of seed-to-voxel and region of interest (ROI)-to-ROI functional correlations, as well as semipartial correlation and bivariate/multivariate regression analysis for multiple ROI sources, graph theoretical analysis, and novel voxel-to-voxel analysis of functional con-nectivity. We describe the methods implemented in the Conn toolbox for the analysis of fcMRI data, together with examples of use and interscan reliability estimates of all the implemented fcMRI measures. The results indicate that the CompCor method increases the sensitivity and selectivity of fcMRI analysis, and show a high degree of interscan reliability for many fcMRI measures.","author":[{"dropping-particle":"","family":"Whitfield-Gabrieli","given":"Susan","non-dropping-particle":"","parse-names":false,"suffix":""},{"dropping-particle":"","family":"Nieto-Castanon","given":"Alfonso","non-dropping-particle":"","parse-names":false,"suffix":""}],"container-title":"Brain Connectivity","id":"ITEM-1","issue":"3","issued":{"date-parts":[["2012"]]},"page":"125-141","title":"Conn: A Functional Connectivity Toolbox for Correlated and Anticorrelated Brain Networks","type":"article-journal","volume":"2"},"uris":["http://www.mendeley.com/documents/?uuid=e52aec5a-b5bb-3e18-a2d0-9645e56ab3bc"]}],"mendeley":{"formattedCitation":"(Whitfield-Gabrieli and Nieto-Castanon, 2012)","plainTextFormattedCitation":"(Whitfield-Gabrieli and Nieto-Castanon, 2012)","previouslyFormattedCitation":"(Whitfield-Gabrieli and Nieto-Castanon, 2012)"},"properties":{"noteIndex":0},"schema":"https://github.com/citation-style-language/schema/raw/master/csl-citation.json"}</w:instrText>
      </w:r>
      <w:r w:rsidR="002703E6" w:rsidRPr="006436AC">
        <w:rPr>
          <w:rFonts w:ascii="Arial" w:hAnsi="Arial" w:cs="Arial"/>
          <w:sz w:val="20"/>
          <w:szCs w:val="20"/>
        </w:rPr>
        <w:fldChar w:fldCharType="separate"/>
      </w:r>
      <w:r w:rsidR="002703E6" w:rsidRPr="006436AC">
        <w:rPr>
          <w:rFonts w:ascii="Arial" w:hAnsi="Arial" w:cs="Arial"/>
          <w:noProof/>
          <w:sz w:val="20"/>
          <w:szCs w:val="20"/>
        </w:rPr>
        <w:t>(Whitfield-Gabrieli and Nieto-Castanon, 2012)</w:t>
      </w:r>
      <w:r w:rsidR="002703E6" w:rsidRPr="006436AC">
        <w:rPr>
          <w:rFonts w:ascii="Arial" w:hAnsi="Arial" w:cs="Arial"/>
          <w:sz w:val="20"/>
          <w:szCs w:val="20"/>
        </w:rPr>
        <w:fldChar w:fldCharType="end"/>
      </w:r>
      <w:r w:rsidR="000402FA" w:rsidRPr="006436AC">
        <w:rPr>
          <w:rFonts w:ascii="Arial" w:hAnsi="Arial" w:cs="Arial"/>
          <w:sz w:val="20"/>
          <w:szCs w:val="20"/>
        </w:rPr>
        <w:t>,</w:t>
      </w:r>
      <w:r w:rsidRPr="006436AC">
        <w:rPr>
          <w:rFonts w:ascii="Arial" w:hAnsi="Arial" w:cs="Arial"/>
          <w:sz w:val="20"/>
          <w:szCs w:val="20"/>
        </w:rPr>
        <w:t xml:space="preserve"> implemented in M</w:t>
      </w:r>
      <w:r w:rsidR="000402FA" w:rsidRPr="006436AC">
        <w:rPr>
          <w:rFonts w:ascii="Arial" w:hAnsi="Arial" w:cs="Arial"/>
          <w:sz w:val="20"/>
          <w:szCs w:val="20"/>
        </w:rPr>
        <w:t>ATLAB</w:t>
      </w:r>
      <w:r w:rsidRPr="006436AC">
        <w:rPr>
          <w:rFonts w:ascii="Arial" w:hAnsi="Arial" w:cs="Arial"/>
          <w:sz w:val="20"/>
          <w:szCs w:val="20"/>
        </w:rPr>
        <w:t xml:space="preserve"> (R2019a) (https://uk.mathworks.com/products/matlab). Pre-processing steps followed CONN’s default pipeline</w:t>
      </w:r>
      <w:r w:rsidR="005B4F44" w:rsidRPr="006436AC">
        <w:rPr>
          <w:rFonts w:ascii="Arial" w:hAnsi="Arial" w:cs="Arial"/>
          <w:sz w:val="20"/>
          <w:szCs w:val="20"/>
        </w:rPr>
        <w:t xml:space="preserve"> which</w:t>
      </w:r>
      <w:r w:rsidRPr="006436AC">
        <w:rPr>
          <w:rFonts w:ascii="Arial" w:hAnsi="Arial" w:cs="Arial"/>
          <w:sz w:val="20"/>
          <w:szCs w:val="20"/>
        </w:rPr>
        <w:t xml:space="preserve"> included motion correction, slice-time correction,</w:t>
      </w:r>
      <w:r w:rsidR="003B37FB" w:rsidRPr="006436AC">
        <w:rPr>
          <w:rFonts w:ascii="Arial" w:hAnsi="Arial" w:cs="Arial"/>
          <w:sz w:val="20"/>
          <w:szCs w:val="20"/>
        </w:rPr>
        <w:t xml:space="preserve"> and</w:t>
      </w:r>
      <w:r w:rsidRPr="006436AC">
        <w:rPr>
          <w:rFonts w:ascii="Arial" w:hAnsi="Arial" w:cs="Arial"/>
          <w:sz w:val="20"/>
          <w:szCs w:val="20"/>
        </w:rPr>
        <w:t xml:space="preserve"> simultaneous grey matter (GM), white matter (WM) and cerebrospinal fluid (CSF) segmentation and normalisation to MNI152 stereotactic space (2 mm isotropic) of both functional and structural data. Following pre-processing, the following potential confounders were statistically controlled for: 6 motion parameters and their 1st and 2nd order derivatives, volumes with excessive movement (motion greater than 0.5 mm and global signal changes larger than z = 3), linear drifts, and five principal components of the signal from WM and CSF (CompCor approach) </w:t>
      </w:r>
      <w:r w:rsidR="00313282" w:rsidRPr="006436AC">
        <w:rPr>
          <w:rFonts w:ascii="Arial" w:hAnsi="Arial" w:cs="Arial"/>
          <w:sz w:val="20"/>
          <w:szCs w:val="20"/>
        </w:rPr>
        <w:fldChar w:fldCharType="begin" w:fldLock="1"/>
      </w:r>
      <w:r w:rsidR="00313282" w:rsidRPr="006436AC">
        <w:rPr>
          <w:rFonts w:ascii="Arial" w:hAnsi="Arial" w:cs="Arial"/>
          <w:sz w:val="20"/>
          <w:szCs w:val="20"/>
        </w:rPr>
        <w:instrText>ADDIN CSL_CITATION {"citationItems":[{"id":"ITEM-1","itemData":{"DOI":"10.1016/j.neuroimage.2007.04.042","ISSN":"10538119","abstract":"A component based method (CompCor) for the reduction of noise in both blood oxygenation level-dependent (BOLD) and perfusion-based functional magnetic resonance imaging (fMRI) data is presented. In the proposed method, significant principal components are derived from noise regions-of-interest (ROI) in which the time series data are unlikely to be modulated by neural activity. These components are then included as nuisance parameters within general linear models for BOLD and perfusion-based fMRI time series data. Two approaches for the determination of the noise ROI are considered. The first method uses high-resolution anatomical data to define a region of interest composed primarily of white matter and cerebrospinal fluid, while the second method defines a region based upon the temporal standard deviation of the time series data. With the application of CompCor, the temporal standard deviation of resting-state perfusion and BOLD data in gray matter regions was significantly reduced as compared to either no correction or the application of a previously described retrospective image based correction scheme (RETROICOR). For both functional perfusion and BOLD data, the application of CompCor significantly increased the number of activated voxels as compared to no correction. In addition, for functional BOLD data, there were significantly more activated voxels detected with CompCor as compared to RETROICOR. In comparison to RETROICOR, CompCor has the advantage of not requiring external monitoring of physiological fluctuations. © 2007 Elsevier Inc. All rights reserved.","author":[{"dropping-particle":"","family":"Behzadi","given":"Yashar","non-dropping-particle":"","parse-names":false,"suffix":""},{"dropping-particle":"","family":"Restom","given":"Khaled","non-dropping-particle":"","parse-names":false,"suffix":""},{"dropping-particle":"","family":"Liau","given":"Joy","non-dropping-particle":"","parse-names":false,"suffix":""},{"dropping-particle":"","family":"Liu","given":"Thomas T.","non-dropping-particle":"","parse-names":false,"suffix":""}],"container-title":"NeuroImage","id":"ITEM-1","issued":{"date-parts":[["2007"]]},"title":"A component based noise correction method (CompCor) for BOLD and perfusion based fMRI","type":"article-journal"},"uris":["http://www.mendeley.com/documents/?uuid=5c059de5-0fb4-3e2e-831e-5b4ce28ad214"]}],"mendeley":{"formattedCitation":"(Behzadi et al., 2007)","plainTextFormattedCitation":"(Behzadi et al., 2007)","previouslyFormattedCitation":"(Behzadi et al., 2007)"},"properties":{"noteIndex":0},"schema":"https://github.com/citation-style-language/schema/raw/master/csl-citation.json"}</w:instrText>
      </w:r>
      <w:r w:rsidR="00313282" w:rsidRPr="006436AC">
        <w:rPr>
          <w:rFonts w:ascii="Arial" w:hAnsi="Arial" w:cs="Arial"/>
          <w:sz w:val="20"/>
          <w:szCs w:val="20"/>
        </w:rPr>
        <w:fldChar w:fldCharType="separate"/>
      </w:r>
      <w:r w:rsidR="00313282" w:rsidRPr="006436AC">
        <w:rPr>
          <w:rFonts w:ascii="Arial" w:hAnsi="Arial" w:cs="Arial"/>
          <w:noProof/>
          <w:sz w:val="20"/>
          <w:szCs w:val="20"/>
        </w:rPr>
        <w:t>(Behzadi et al., 2007)</w:t>
      </w:r>
      <w:r w:rsidR="00313282" w:rsidRPr="006436AC">
        <w:rPr>
          <w:rFonts w:ascii="Arial" w:hAnsi="Arial" w:cs="Arial"/>
          <w:sz w:val="20"/>
          <w:szCs w:val="20"/>
        </w:rPr>
        <w:fldChar w:fldCharType="end"/>
      </w:r>
      <w:r w:rsidR="00313282" w:rsidRPr="006436AC">
        <w:rPr>
          <w:rFonts w:ascii="Arial" w:hAnsi="Arial" w:cs="Arial"/>
          <w:sz w:val="20"/>
          <w:szCs w:val="20"/>
        </w:rPr>
        <w:t>.</w:t>
      </w:r>
      <w:r w:rsidRPr="006436AC">
        <w:rPr>
          <w:rFonts w:ascii="Arial" w:hAnsi="Arial" w:cs="Arial"/>
          <w:sz w:val="20"/>
          <w:szCs w:val="20"/>
        </w:rPr>
        <w:t xml:space="preserve"> Finally, data were band-pass filtered between 0.01 and 0.1 Hz. No global signal regression was performed. The pre-processing steps reported here are identical to the ones described in </w:t>
      </w:r>
      <w:r w:rsidR="00313282" w:rsidRPr="006436AC">
        <w:rPr>
          <w:rFonts w:ascii="Arial" w:hAnsi="Arial" w:cs="Arial"/>
          <w:sz w:val="20"/>
          <w:szCs w:val="20"/>
        </w:rPr>
        <w:fldChar w:fldCharType="begin" w:fldLock="1"/>
      </w:r>
      <w:r w:rsidR="00961370" w:rsidRPr="006436AC">
        <w:rPr>
          <w:rFonts w:ascii="Arial" w:hAnsi="Arial" w:cs="Arial"/>
          <w:sz w:val="20"/>
          <w:szCs w:val="20"/>
        </w:rPr>
        <w:instrText>ADDIN CSL_CITATION {"citationItems":[{"id":"ITEM-1","itemData":{"DOI":"10.1101/2019.12.21.885772","abstract":"When unoccupied by an explicit external task, humans engage in a wide range of different types of self-generated thinking. These are often unrelated to the immediate environment and have unique psychological features. Although contemporary perspectives on ongoing thought recognise the heterogeneity of these self-generated states, we lack both a clear understanding of how to classify the specific states, and how they can be mapped empirically. In the current study, we capitalise on advances in machine learning that allow continuous neural data to be divided into a set of distinct temporally re-occurring patterns, or states. We applied this technique to a large set of resting state data in which we also acquired retrospective descriptions of the participants’ experiences during the scan. We found that two of the identified states were predictive of patterns of thinking at rest. One state highlighted a pattern of neural activity commonly seen during demanding tasks, and the time individuals spent in this state was associated with descriptions of experience focused on problem solving in the future. A second state was associated with patterns of activity that are commonly seen under less demanding conditions, and the time spent in it was linked to reports of negative rumination. Finally, we found that these two neural states tended to fall at either end of a neural hierarchy that is thought to reflect the brain’s response to cognitive demands. Together, these results demonstrate that approaches which take advantage of time-varying changes in neural function can play an important role in understanding the repertoire of self-generated states. Moreover, they establish that important features of self-generated ongoing experience are related to variation along a similar vein to those seen when the brain responds to cognitive task demands.","author":[{"dropping-particle":"","family":"Karapanagiotidis","given":"Theodoros","non-dropping-particle":"","parse-names":false,"suffix":""},{"dropping-particle":"","family":"Vidaurre","given":"Diego","non-dropping-particle":"","parse-names":false,"suffix":""},{"dropping-particle":"","family":"Quinn","given":"Andrew J","non-dropping-particle":"","parse-names":false,"suffix":""},{"dropping-particle":"","family":"Vatansever","given":"Deniz","non-dropping-particle":"","parse-names":false,"suffix":""},{"dropping-particle":"","family":"Poerio","given":"Giulia L","non-dropping-particle":"","parse-names":false,"suffix":""},{"dropping-particle":"","family":"Turnbull","given":"Adam","non-dropping-particle":"","parse-names":false,"suffix":""},{"dropping-particle":"","family":"Siu","given":"Nerissa","non-dropping-particle":"","parse-names":false,"suffix":""},{"dropping-particle":"","family":"Ho","given":"Ping","non-dropping-particle":"","parse-names":false,"suffix":""},{"dropping-particle":"","family":"Leech","given":"Robert","non-dropping-particle":"","parse-names":false,"suffix":""},{"dropping-particle":"","family":"Bernhardt","given":"Boris C","non-dropping-particle":"","parse-names":false,"suffix":""},{"dropping-particle":"","family":"Jefferies","given":"Elizabeth","non-dropping-particle":"","parse-names":false,"suffix":""},{"dropping-particle":"","family":"Margulies","given":"Daniel S","non-dropping-particle":"","parse-names":false,"suffix":""},{"dropping-particle":"","family":"Nichols","given":"Thomas E","non-dropping-particle":"","parse-names":false,"suffix":""},{"dropping-particle":"","family":"Woolrich","given":"Mark W","non-dropping-particle":"","parse-names":false,"suffix":""},{"dropping-particle":"","family":"Smallwood","given":"Jonathan","non-dropping-particle":"","parse-names":false,"suffix":""}],"container-title":"bioRxiv","id":"ITEM-1","issued":{"date-parts":[["2019","12","23"]]},"page":"1-15","publisher":"Cold Spring Harbor Laboratory","title":"The psychological correlates of distinct neural states occurring during wakeful rest","type":"article-journal"},"uris":["http://www.mendeley.com/documents/?uuid=7b5a036e-e3cc-3827-b201-f150a69fc1e7"]}],"mendeley":{"formattedCitation":"(Karapanagiotidis et al., 2019)","manualFormatting":"Karapanagiotidis et al. (2019)","plainTextFormattedCitation":"(Karapanagiotidis et al., 2019)","previouslyFormattedCitation":"(Karapanagiotidis et al., 2019)"},"properties":{"noteIndex":0},"schema":"https://github.com/citation-style-language/schema/raw/master/csl-citation.json"}</w:instrText>
      </w:r>
      <w:r w:rsidR="00313282" w:rsidRPr="006436AC">
        <w:rPr>
          <w:rFonts w:ascii="Arial" w:hAnsi="Arial" w:cs="Arial"/>
          <w:sz w:val="20"/>
          <w:szCs w:val="20"/>
        </w:rPr>
        <w:fldChar w:fldCharType="separate"/>
      </w:r>
      <w:r w:rsidR="00313282" w:rsidRPr="006436AC">
        <w:rPr>
          <w:rFonts w:ascii="Arial" w:hAnsi="Arial" w:cs="Arial"/>
          <w:noProof/>
          <w:sz w:val="20"/>
          <w:szCs w:val="20"/>
        </w:rPr>
        <w:t xml:space="preserve">Karapanagiotidis et al. </w:t>
      </w:r>
      <w:r w:rsidR="00961370" w:rsidRPr="006436AC">
        <w:rPr>
          <w:rFonts w:ascii="Arial" w:hAnsi="Arial" w:cs="Arial"/>
          <w:noProof/>
          <w:sz w:val="20"/>
          <w:szCs w:val="20"/>
        </w:rPr>
        <w:t>(</w:t>
      </w:r>
      <w:r w:rsidR="00313282" w:rsidRPr="006436AC">
        <w:rPr>
          <w:rFonts w:ascii="Arial" w:hAnsi="Arial" w:cs="Arial"/>
          <w:noProof/>
          <w:sz w:val="20"/>
          <w:szCs w:val="20"/>
        </w:rPr>
        <w:t>2019)</w:t>
      </w:r>
      <w:r w:rsidR="00313282" w:rsidRPr="006436AC">
        <w:rPr>
          <w:rFonts w:ascii="Arial" w:hAnsi="Arial" w:cs="Arial"/>
          <w:sz w:val="20"/>
          <w:szCs w:val="20"/>
        </w:rPr>
        <w:fldChar w:fldCharType="end"/>
      </w:r>
      <w:r w:rsidR="00313282" w:rsidRPr="006436AC">
        <w:rPr>
          <w:rFonts w:ascii="Arial" w:hAnsi="Arial" w:cs="Arial"/>
          <w:sz w:val="20"/>
          <w:szCs w:val="20"/>
        </w:rPr>
        <w:t>.</w:t>
      </w:r>
    </w:p>
    <w:p w14:paraId="0068C395" w14:textId="3DA8B9C6" w:rsidR="004B4F7A" w:rsidRPr="006436AC" w:rsidRDefault="004B4F7A" w:rsidP="000E64FB">
      <w:pPr>
        <w:pStyle w:val="Style3"/>
        <w:rPr>
          <w:color w:val="auto"/>
          <w:szCs w:val="20"/>
        </w:rPr>
      </w:pPr>
      <w:r w:rsidRPr="006436AC">
        <w:rPr>
          <w:color w:val="auto"/>
          <w:szCs w:val="20"/>
        </w:rPr>
        <w:t xml:space="preserve">2.5. </w:t>
      </w:r>
      <w:r w:rsidR="00566455" w:rsidRPr="006436AC">
        <w:rPr>
          <w:color w:val="auto"/>
          <w:szCs w:val="20"/>
        </w:rPr>
        <w:t>MRI analysis</w:t>
      </w:r>
    </w:p>
    <w:p w14:paraId="7DAB4FA4" w14:textId="557A612B" w:rsidR="004B4F7A" w:rsidRPr="006436AC" w:rsidRDefault="004B4F7A" w:rsidP="000E64FB">
      <w:pPr>
        <w:pStyle w:val="Heading3"/>
        <w:rPr>
          <w:rFonts w:cs="Arial"/>
          <w:color w:val="auto"/>
          <w:szCs w:val="20"/>
        </w:rPr>
      </w:pPr>
      <w:r w:rsidRPr="006436AC">
        <w:rPr>
          <w:rFonts w:cs="Arial"/>
          <w:color w:val="auto"/>
          <w:szCs w:val="20"/>
        </w:rPr>
        <w:t xml:space="preserve">2.5.1. </w:t>
      </w:r>
      <w:r w:rsidR="00566455" w:rsidRPr="006436AC">
        <w:rPr>
          <w:rFonts w:cs="Arial"/>
          <w:color w:val="auto"/>
          <w:szCs w:val="20"/>
        </w:rPr>
        <w:t>Parametric task gradient analysis</w:t>
      </w:r>
    </w:p>
    <w:p w14:paraId="4EBFFFD4" w14:textId="4495C8E1" w:rsidR="00982E60" w:rsidRPr="006436AC" w:rsidRDefault="00982E60"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To examine how the semantic featural overlap is reflected in the strength of the neural response, the parametric modulation of semantic featural overlap was modelled by including a parametric regressor for correct matching trials in the general linear model (GLM). This parametric effect, corresponding to the “task gradient”, was modelled using the demeaned global </w:t>
      </w:r>
      <w:r w:rsidRPr="006436AC">
        <w:rPr>
          <w:rFonts w:ascii="Arial" w:hAnsi="Arial" w:cs="Arial"/>
          <w:sz w:val="20"/>
          <w:szCs w:val="20"/>
        </w:rPr>
        <w:lastRenderedPageBreak/>
        <w:t>semantic similarity ratings (see section 2.2.1</w:t>
      </w:r>
      <w:r w:rsidR="00A560E9" w:rsidRPr="006436AC">
        <w:rPr>
          <w:rFonts w:ascii="Arial" w:hAnsi="Arial" w:cs="Arial"/>
          <w:sz w:val="20"/>
          <w:szCs w:val="20"/>
        </w:rPr>
        <w:t>.</w:t>
      </w:r>
      <w:r w:rsidRPr="006436AC">
        <w:rPr>
          <w:rFonts w:ascii="Arial" w:hAnsi="Arial" w:cs="Arial"/>
          <w:sz w:val="20"/>
          <w:szCs w:val="20"/>
        </w:rPr>
        <w:t>). In addition to this parametric regressor, we also included the main effect of task, which is analogous to the need to include an intercept term in a linear regression model along with the slope term. Demeaned global similarity ratings and the main effect of task were modelled as epochs lasting from the target onset to response, thus controlling for lengthened BOLD responses on trials with longer response times. We also modelled the instruction period, two inter-stimulus interval periods, probe presentation, mismatch trials in which probe and target did not share the specified feature, and incorrect trials as regressors of no interest. We included both of the within-trial inter-stimulus interval periods as regressors of no interest (removing them from the implicit baseline) since participants were maintaining feature information and probe information during these two periods. We also ran the GLM without these two inter-stimulus intervals and the results were largely unchanged. Six head motion parameters were further included in each GLM as regressors of no interest to control for potential confounding effects of head motion.</w:t>
      </w:r>
    </w:p>
    <w:p w14:paraId="40AC361B" w14:textId="36A68BA7" w:rsidR="002E183A" w:rsidRPr="006436AC" w:rsidRDefault="002E183A" w:rsidP="000E64FB">
      <w:pPr>
        <w:spacing w:before="100" w:beforeAutospacing="1" w:after="100" w:afterAutospacing="1" w:line="480" w:lineRule="auto"/>
        <w:rPr>
          <w:rFonts w:ascii="Arial" w:hAnsi="Arial" w:cs="Arial"/>
          <w:sz w:val="20"/>
          <w:szCs w:val="20"/>
        </w:rPr>
      </w:pPr>
      <w:r w:rsidRPr="006436AC">
        <w:rPr>
          <w:rFonts w:ascii="Arial" w:hAnsi="Arial" w:cs="Arial"/>
          <w:sz w:val="20"/>
          <w:szCs w:val="20"/>
        </w:rPr>
        <w:t>2.5.2. Whole-brain functional connectivity</w:t>
      </w:r>
      <w:r w:rsidR="00C22B14" w:rsidRPr="006436AC">
        <w:rPr>
          <w:rFonts w:ascii="Arial" w:hAnsi="Arial" w:cs="Arial"/>
          <w:sz w:val="20"/>
          <w:szCs w:val="20"/>
        </w:rPr>
        <w:t xml:space="preserve"> gradients</w:t>
      </w:r>
    </w:p>
    <w:p w14:paraId="2A0F7D78" w14:textId="1E3B2628" w:rsidR="002E183A" w:rsidRPr="006436AC" w:rsidRDefault="00B80908"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To examine the correspondence between the task gradient and connectivity gradient, we </w:t>
      </w:r>
      <w:r w:rsidR="00C22B14" w:rsidRPr="006436AC">
        <w:rPr>
          <w:rFonts w:ascii="Arial" w:hAnsi="Arial" w:cs="Arial"/>
          <w:sz w:val="20"/>
          <w:szCs w:val="20"/>
        </w:rPr>
        <w:t>performed</w:t>
      </w:r>
      <w:r w:rsidRPr="006436AC">
        <w:rPr>
          <w:rFonts w:ascii="Arial" w:hAnsi="Arial" w:cs="Arial"/>
          <w:sz w:val="20"/>
          <w:szCs w:val="20"/>
        </w:rPr>
        <w:t xml:space="preserve"> dimension reduction analysis on resting state data. Firstly,</w:t>
      </w:r>
      <w:r w:rsidR="002E183A" w:rsidRPr="006436AC">
        <w:rPr>
          <w:rFonts w:ascii="Arial" w:hAnsi="Arial" w:cs="Arial"/>
          <w:sz w:val="20"/>
          <w:szCs w:val="20"/>
        </w:rPr>
        <w:t xml:space="preserve"> the functional time-series from 400 </w:t>
      </w:r>
      <w:r w:rsidR="00F019CE" w:rsidRPr="006436AC">
        <w:rPr>
          <w:rFonts w:ascii="Arial" w:hAnsi="Arial" w:cs="Arial"/>
          <w:sz w:val="20"/>
          <w:szCs w:val="20"/>
        </w:rPr>
        <w:t>regions of interest (</w:t>
      </w:r>
      <w:r w:rsidR="002E183A" w:rsidRPr="006436AC">
        <w:rPr>
          <w:rFonts w:ascii="Arial" w:hAnsi="Arial" w:cs="Arial"/>
          <w:sz w:val="20"/>
          <w:szCs w:val="20"/>
        </w:rPr>
        <w:t>ROIs</w:t>
      </w:r>
      <w:r w:rsidR="00F019CE" w:rsidRPr="006436AC">
        <w:rPr>
          <w:rFonts w:ascii="Arial" w:hAnsi="Arial" w:cs="Arial"/>
          <w:sz w:val="20"/>
          <w:szCs w:val="20"/>
        </w:rPr>
        <w:t>)</w:t>
      </w:r>
      <w:r w:rsidR="002E183A" w:rsidRPr="006436AC">
        <w:rPr>
          <w:rFonts w:ascii="Arial" w:hAnsi="Arial" w:cs="Arial"/>
          <w:sz w:val="20"/>
          <w:szCs w:val="20"/>
        </w:rPr>
        <w:t xml:space="preserve"> </w:t>
      </w:r>
      <w:r w:rsidR="00C22B14" w:rsidRPr="006436AC">
        <w:rPr>
          <w:rFonts w:ascii="Arial" w:hAnsi="Arial" w:cs="Arial"/>
          <w:sz w:val="20"/>
          <w:szCs w:val="20"/>
        </w:rPr>
        <w:t>were extracted for each individual using</w:t>
      </w:r>
      <w:r w:rsidR="002E183A" w:rsidRPr="006436AC">
        <w:rPr>
          <w:rFonts w:ascii="Arial" w:hAnsi="Arial" w:cs="Arial"/>
          <w:sz w:val="20"/>
          <w:szCs w:val="20"/>
        </w:rPr>
        <w:t xml:space="preserve"> the Schaefer parcellation</w:t>
      </w:r>
      <w:r w:rsidR="00313282" w:rsidRPr="006436AC">
        <w:rPr>
          <w:rFonts w:ascii="Arial" w:hAnsi="Arial" w:cs="Arial"/>
          <w:sz w:val="20"/>
          <w:szCs w:val="20"/>
        </w:rPr>
        <w:t xml:space="preserve"> </w:t>
      </w:r>
      <w:r w:rsidR="00313282" w:rsidRPr="006436AC">
        <w:rPr>
          <w:rFonts w:ascii="Arial" w:hAnsi="Arial" w:cs="Arial"/>
          <w:sz w:val="20"/>
          <w:szCs w:val="20"/>
        </w:rPr>
        <w:fldChar w:fldCharType="begin" w:fldLock="1"/>
      </w:r>
      <w:r w:rsidR="00313282" w:rsidRPr="006436AC">
        <w:rPr>
          <w:rFonts w:ascii="Arial" w:hAnsi="Arial" w:cs="Arial"/>
          <w:sz w:val="20"/>
          <w:szCs w:val="20"/>
        </w:rPr>
        <w:instrText>ADDIN CSL_CITATION {"citationItems":[{"id":"ITEM-1","itemData":{"DOI":"10.1093/cercor/bhx179","abstract":"A central goal in systems neuroscience is the parcellation of the cerebral cortex into discrete neurobiological \"atoms\". Resting-state functional magnetic resonance imaging (rs-fMRI) offers the possibility of in vivo human cortical parcellation. Almost all previous parcellations relied on 1 of 2 approaches. The local gradient approach detects abrupt transitions in functional connectivity patterns. These transitions potentially reflect cortical areal boundaries defined by histology or visuotopic fMRI. By contrast, the global similarity approach clusters similar functional connectivity patterns regardless of spatial proximity, resulting in parcels with homogeneous (similar) rs-fMRI signals. Here, we propose a gradient-weighted Markov Random Field (gwMRF) model integrating local gradient and global similarity approaches. Using task-fMRI and rs-fMRI across diverse acquisition protocols, we found gwMRF parcellations to be more homogeneous than 4 previously published parcellations. Furthermore, gwMRF parcellations agreed with the boundaries of certain cortical areas defined using histology and visuotopic fMRI. Some parcels captured subareal (somatotopic and visuotopic) features that likely reflect distinct computational units within known cortical areas. These results suggest that gwMRF parcellations reveal neurobiologically meaningful features of brain organization and are potentially useful for future applications requiring dimensionality reduction of voxel-wise fMRI data. Multiresolution parcellations generated from 1489 participants are publicly available (https://github.com/ThomasYeoLab/CBIG/ tree/master/stable_projects/brain_parcellation/Schaefer2018_LocalGlobal).","author":[{"dropping-particle":"","family":"Schaefer","given":"Alexander","non-dropping-particle":"","parse-names":false,"suffix":""},{"dropping-particle":"","family":"Kong","given":"Ru","non-dropping-particle":"","parse-names":false,"suffix":""},{"dropping-particle":"","family":"Gordon","given":"Evan M","non-dropping-particle":"","parse-names":false,"suffix":""},{"dropping-particle":"","family":"Laumann","given":"Timothy O","non-dropping-particle":"","parse-names":false,"suffix":""},{"dropping-particle":"","family":"Zuo","given":"Xi-Nian","non-dropping-particle":"","parse-names":false,"suffix":""},{"dropping-particle":"","family":"Holmes","given":"Avram J","non-dropping-particle":"","parse-names":false,"suffix":""},{"dropping-particle":"","family":"Eickhoff","given":"Simon B","non-dropping-particle":"","parse-names":false,"suffix":""},{"dropping-particle":"","family":"Yeo","given":"B T Thomas","non-dropping-particle":"","parse-names":false,"suffix":""}],"container-title":"Cerebral Cortex","id":"ITEM-1","issued":{"date-parts":[["2018"]]},"page":"3095-3114","title":"Local-Global Parcellation of the Human Cerebral Cortex from Intrinsic Functional Connectivity MRI","type":"article-journal","volume":"28"},"uris":["http://www.mendeley.com/documents/?uuid=f0efc731-6c7e-357e-929c-e6506af6d82e"]}],"mendeley":{"formattedCitation":"(Schaefer et al., 2018)","plainTextFormattedCitation":"(Schaefer et al., 2018)","previouslyFormattedCitation":"(Schaefer et al., 2018)"},"properties":{"noteIndex":0},"schema":"https://github.com/citation-style-language/schema/raw/master/csl-citation.json"}</w:instrText>
      </w:r>
      <w:r w:rsidR="00313282" w:rsidRPr="006436AC">
        <w:rPr>
          <w:rFonts w:ascii="Arial" w:hAnsi="Arial" w:cs="Arial"/>
          <w:sz w:val="20"/>
          <w:szCs w:val="20"/>
        </w:rPr>
        <w:fldChar w:fldCharType="separate"/>
      </w:r>
      <w:r w:rsidR="00313282" w:rsidRPr="006436AC">
        <w:rPr>
          <w:rFonts w:ascii="Arial" w:hAnsi="Arial" w:cs="Arial"/>
          <w:noProof/>
          <w:sz w:val="20"/>
          <w:szCs w:val="20"/>
        </w:rPr>
        <w:t>(Schaefer et al., 2018)</w:t>
      </w:r>
      <w:r w:rsidR="00313282" w:rsidRPr="006436AC">
        <w:rPr>
          <w:rFonts w:ascii="Arial" w:hAnsi="Arial" w:cs="Arial"/>
          <w:sz w:val="20"/>
          <w:szCs w:val="20"/>
        </w:rPr>
        <w:fldChar w:fldCharType="end"/>
      </w:r>
      <w:r w:rsidR="002E183A" w:rsidRPr="006436AC">
        <w:rPr>
          <w:rFonts w:ascii="Arial" w:hAnsi="Arial" w:cs="Arial"/>
          <w:sz w:val="20"/>
          <w:szCs w:val="20"/>
        </w:rPr>
        <w:t xml:space="preserve">. </w:t>
      </w:r>
      <w:r w:rsidR="00A2519C" w:rsidRPr="006436AC">
        <w:rPr>
          <w:rFonts w:ascii="Arial" w:hAnsi="Arial" w:cs="Arial"/>
          <w:sz w:val="20"/>
          <w:szCs w:val="20"/>
        </w:rPr>
        <w:t xml:space="preserve">Pearson correlation was calculated to construct a 400x400 connectivity matrix for each participant. </w:t>
      </w:r>
      <w:r w:rsidR="002E183A" w:rsidRPr="006436AC">
        <w:rPr>
          <w:rFonts w:ascii="Arial" w:hAnsi="Arial" w:cs="Arial"/>
          <w:sz w:val="20"/>
          <w:szCs w:val="20"/>
        </w:rPr>
        <w:t xml:space="preserve">These individual connectivity matrices were then averaged to calculate a group-averaged connectivity matrix. The Brainspace Toolbox </w:t>
      </w:r>
      <w:r w:rsidR="00313282" w:rsidRPr="006436AC">
        <w:rPr>
          <w:rFonts w:ascii="Arial" w:hAnsi="Arial" w:cs="Arial"/>
          <w:sz w:val="20"/>
          <w:szCs w:val="20"/>
        </w:rPr>
        <w:fldChar w:fldCharType="begin" w:fldLock="1"/>
      </w:r>
      <w:r w:rsidR="0096171B" w:rsidRPr="006436AC">
        <w:rPr>
          <w:rFonts w:ascii="Arial" w:hAnsi="Arial" w:cs="Arial"/>
          <w:sz w:val="20"/>
          <w:szCs w:val="20"/>
        </w:rPr>
        <w:instrText>ADDIN CSL_CITATION {"citationItems":[{"id":"ITEM-1","itemData":{"DOI":"10.1038/s42003-020-0794-7","ISSN":"23993642","abstract":"Understanding how cognitive functions emerge from brain structure depends on quantifying how discrete regions are integrated within the broader cortical landscape. Recent work established that macroscale brain organization and function can be described in a compact manner with multivariate machine learning approaches that identify manifolds often described as cortical gradients. By quantifying topographic principles of macroscale organization, cortical gradients lend an analytical framework to study structural and functional brain organization across species, throughout development and aging, and its perturbations in disease. Here, we present BrainSpace, a Python/Matlab toolbox for (i) the identification of gradients, (ii) their alignment, and (iii) their visualization. Our toolbox furthermore allows for controlled association studies between gradients with other brain-level features, adjusted with respect to null models that account for spatial autocorrelation. Validation experiments demonstrate the usage and consistency of our tools for the analysis of functional and microstructural gradients across different spatial scales.","author":[{"dropping-particle":"","family":"Vos de Wael","given":"Reinder","non-dropping-particle":"","parse-names":false,"suffix":""},{"dropping-particle":"","family":"Benkarim","given":"Oualid","non-dropping-particle":"","parse-names":false,"suffix":""},{"dropping-particle":"","family":"Paquola","given":"Casey","non-dropping-particle":"","parse-names":false,"suffix":""},{"dropping-particle":"","family":"Lariviere","given":"Sara","non-dropping-particle":"","parse-names":false,"suffix":""},{"dropping-particle":"","family":"Royer","given":"Jessica","non-dropping-particle":"","parse-names":false,"suffix":""},{"dropping-particle":"","family":"Tavakol","given":"Shahin","non-dropping-particle":"","parse-names":false,"suffix":""},{"dropping-particle":"","family":"Xu","given":"Ting","non-dropping-particle":"","parse-names":false,"suffix":""},{"dropping-particle":"","family":"Hong","given":"Seok Jun","non-dropping-particle":"","parse-names":false,"suffix":""},{"dropping-particle":"","family":"Langs","given":"Georg","non-dropping-particle":"","parse-names":false,"suffix":""},{"dropping-particle":"","family":"Valk","given":"Sofie","non-dropping-particle":"","parse-names":false,"suffix":""},{"dropping-particle":"","family":"Misic","given":"Bratislav","non-dropping-particle":"","parse-names":false,"suffix":""},{"dropping-particle":"","family":"Milham","given":"Michael","non-dropping-particle":"","parse-names":false,"suffix":""},{"dropping-particle":"","family":"Margulies","given":"Daniel","non-dropping-particle":"","parse-names":false,"suffix":""},{"dropping-particle":"","family":"Smallwood","given":"Jonathan","non-dropping-particle":"","parse-names":false,"suffix":""},{"dropping-particle":"","family":"Bernhardt","given":"Boris C.","non-dropping-particle":"","parse-names":false,"suffix":""}],"container-title":"Communications Biology","id":"ITEM-1","issue":"1","issued":{"date-parts":[["2020","12","1"]]},"page":"1-10","publisher":"Nature Research","title":"BrainSpace: a toolbox for the analysis of macroscale gradients in neuroimaging and connectomics datasets","type":"article-journal","volume":"3"},"uris":["http://www.mendeley.com/documents/?uuid=fa01d2b4-1598-38ec-ab5b-dca056ec0269"]}],"mendeley":{"formattedCitation":"(Vos de Wael et al., 2020)","plainTextFormattedCitation":"(Vos de Wael et al., 2020)","previouslyFormattedCitation":"(Vos de Wael et al., 2020)"},"properties":{"noteIndex":0},"schema":"https://github.com/citation-style-language/schema/raw/master/csl-citation.json"}</w:instrText>
      </w:r>
      <w:r w:rsidR="00313282" w:rsidRPr="006436AC">
        <w:rPr>
          <w:rFonts w:ascii="Arial" w:hAnsi="Arial" w:cs="Arial"/>
          <w:sz w:val="20"/>
          <w:szCs w:val="20"/>
        </w:rPr>
        <w:fldChar w:fldCharType="separate"/>
      </w:r>
      <w:r w:rsidR="00313282" w:rsidRPr="006436AC">
        <w:rPr>
          <w:rFonts w:ascii="Arial" w:hAnsi="Arial" w:cs="Arial"/>
          <w:noProof/>
          <w:sz w:val="20"/>
          <w:szCs w:val="20"/>
        </w:rPr>
        <w:t>(Vos de Wael et al., 2020)</w:t>
      </w:r>
      <w:r w:rsidR="00313282" w:rsidRPr="006436AC">
        <w:rPr>
          <w:rFonts w:ascii="Arial" w:hAnsi="Arial" w:cs="Arial"/>
          <w:sz w:val="20"/>
          <w:szCs w:val="20"/>
        </w:rPr>
        <w:fldChar w:fldCharType="end"/>
      </w:r>
      <w:r w:rsidR="002E183A" w:rsidRPr="006436AC">
        <w:rPr>
          <w:rFonts w:ascii="Arial" w:hAnsi="Arial" w:cs="Arial"/>
          <w:sz w:val="20"/>
          <w:szCs w:val="20"/>
        </w:rPr>
        <w:t xml:space="preserve"> was used to extract ten group-level gradients from the group-averaged connectivity matrix (dimension reduction technique = diffusion embedding, kernel = normalized angle, sparsity = 0.9). Ten gradients were chosen based on the scree plot</w:t>
      </w:r>
      <w:r w:rsidR="00C22B14" w:rsidRPr="006436AC">
        <w:rPr>
          <w:rFonts w:ascii="Arial" w:hAnsi="Arial" w:cs="Arial"/>
          <w:sz w:val="20"/>
          <w:szCs w:val="20"/>
        </w:rPr>
        <w:t xml:space="preserve">. </w:t>
      </w:r>
      <w:r w:rsidR="002E183A" w:rsidRPr="006436AC">
        <w:rPr>
          <w:rFonts w:ascii="Arial" w:hAnsi="Arial" w:cs="Arial"/>
          <w:sz w:val="20"/>
          <w:szCs w:val="20"/>
        </w:rPr>
        <w:t>These group-level gradient solutions were aligned using Procrustes rotation to a subsample of the HCP dataset ([n=217, 122 women, mean + sd age = 28.5 + 3.7 y]; for full details of subject selection see</w:t>
      </w:r>
      <w:r w:rsidR="0096171B" w:rsidRPr="006436AC">
        <w:rPr>
          <w:rFonts w:ascii="Arial" w:hAnsi="Arial" w:cs="Arial"/>
          <w:sz w:val="20"/>
          <w:szCs w:val="20"/>
        </w:rPr>
        <w:t xml:space="preserve"> </w:t>
      </w:r>
      <w:r w:rsidR="0096171B" w:rsidRPr="006436AC">
        <w:rPr>
          <w:rFonts w:ascii="Arial" w:hAnsi="Arial" w:cs="Arial"/>
          <w:sz w:val="20"/>
          <w:szCs w:val="20"/>
        </w:rPr>
        <w:fldChar w:fldCharType="begin" w:fldLock="1"/>
      </w:r>
      <w:r w:rsidR="0096171B" w:rsidRPr="006436AC">
        <w:rPr>
          <w:rFonts w:ascii="Arial" w:hAnsi="Arial" w:cs="Arial"/>
          <w:sz w:val="20"/>
          <w:szCs w:val="20"/>
        </w:rPr>
        <w:instrText>ADDIN CSL_CITATION {"citationItems":[{"id":"ITEM-1","itemData":{"DOI":"10.1073/pnas.1803667115","ISSN":"10916490","PMID":"30249658","abstract":"The hippocampus plays key roles in cognition and affect and serves as a model system for structure/function studies in animals. So far, its complex anatomy has challenged investigations targeting its substructural organization in humans. State-of-the-art MRI offers the resolution and versatility to identify hippocampal subfields, assess its microstructure, and study topographical principles of its connectivity in vivo. We developed an approach to unfold the human hippocampus and examine spatial variations of intrinsic functional connectivity in a large cohort of healthy adults. In addition to mapping common and unique connections across subfields, we identified two main axes of subregional connectivity transitions. An anterior/posterior gradient followed long-axis landmarks and metaanalytical findings from task-based functional MRI, while a medial/ lateral gradient followed hippocampal infolding and correlated with proxies of cortical myelin. Findings were consistent in an independent sample and highly stable across resting-state scans. Our results provide robust evidence for long-axis specialization in the resting human hippocampus and suggest an intriguing interplay between connectivity and microstructure.","author":[{"dropping-particle":"","family":"Vos De Wael","given":"Reinder","non-dropping-particle":"","parse-names":false,"suffix":""},{"dropping-particle":"","family":"Larivière","given":"Sara","non-dropping-particle":"","parse-names":false,"suffix":""},{"dropping-particle":"","family":"Caldairou","given":"BenoÎt","non-dropping-particle":"","parse-names":false,"suffix":""},{"dropping-particle":"","family":"Hong","given":"Seok Jun","non-dropping-particle":"","parse-names":false,"suffix":""},{"dropping-particle":"","family":"Margulies","given":"Daniel S.","non-dropping-particle":"","parse-names":false,"suffix":""},{"dropping-particle":"","family":"Jefferies","given":"Elizabeth","non-dropping-particle":"","parse-names":false,"suffix":""},{"dropping-particle":"","family":"Bernasconi","given":"Andrea","non-dropping-particle":"","parse-names":false,"suffix":""},{"dropping-particle":"","family":"Smallwood","given":"Jonathan","non-dropping-particle":"","parse-names":false,"suffix":""},{"dropping-particle":"","family":"Bernasconi","given":"Neda","non-dropping-particle":"","parse-names":false,"suffix":""},{"dropping-particle":"","family":"Bernhardt","given":"Boris C.","non-dropping-particle":"","parse-names":false,"suffix":""}],"container-title":"Proceedings of the National Academy of Sciences of the United States of America","id":"ITEM-1","issue":"40","issued":{"date-parts":[["2018"]]},"page":"10154-10159","title":"Anatomical and microstructural determinants of hippocampal subfield functional connectome embedding","type":"article-journal","volume":"115"},"uris":["http://www.mendeley.com/documents/?uuid=3561924a-e511-3a57-b078-44a45f32e8a1"]}],"mendeley":{"formattedCitation":"(Vos De Wael et al., 2018)","manualFormatting":"Vos De Wael et al. (2018","plainTextFormattedCitation":"(Vos De Wael et al., 2018)","previouslyFormattedCitation":"(Vos De Wael et al., 2018)"},"properties":{"noteIndex":0},"schema":"https://github.com/citation-style-language/schema/raw/master/csl-citation.json"}</w:instrText>
      </w:r>
      <w:r w:rsidR="0096171B" w:rsidRPr="006436AC">
        <w:rPr>
          <w:rFonts w:ascii="Arial" w:hAnsi="Arial" w:cs="Arial"/>
          <w:sz w:val="20"/>
          <w:szCs w:val="20"/>
        </w:rPr>
        <w:fldChar w:fldCharType="separate"/>
      </w:r>
      <w:r w:rsidR="0096171B" w:rsidRPr="006436AC">
        <w:rPr>
          <w:rFonts w:ascii="Arial" w:hAnsi="Arial" w:cs="Arial"/>
          <w:noProof/>
          <w:sz w:val="20"/>
          <w:szCs w:val="20"/>
        </w:rPr>
        <w:t>Vos De Wael et al. (2018</w:t>
      </w:r>
      <w:r w:rsidR="0096171B" w:rsidRPr="006436AC">
        <w:rPr>
          <w:rFonts w:ascii="Arial" w:hAnsi="Arial" w:cs="Arial"/>
          <w:sz w:val="20"/>
          <w:szCs w:val="20"/>
        </w:rPr>
        <w:fldChar w:fldCharType="end"/>
      </w:r>
      <w:r w:rsidR="0096171B" w:rsidRPr="006436AC">
        <w:rPr>
          <w:rFonts w:ascii="Arial" w:hAnsi="Arial" w:cs="Arial"/>
          <w:sz w:val="20"/>
          <w:szCs w:val="20"/>
        </w:rPr>
        <w:t xml:space="preserve">) </w:t>
      </w:r>
      <w:r w:rsidR="002E183A" w:rsidRPr="006436AC">
        <w:rPr>
          <w:rFonts w:ascii="Arial" w:hAnsi="Arial" w:cs="Arial"/>
          <w:sz w:val="20"/>
          <w:szCs w:val="20"/>
        </w:rPr>
        <w:t xml:space="preserve">openly available within the Brainspace toolbox </w:t>
      </w:r>
      <w:r w:rsidR="0096171B" w:rsidRPr="006436AC">
        <w:rPr>
          <w:rFonts w:ascii="Arial" w:hAnsi="Arial" w:cs="Arial"/>
          <w:sz w:val="20"/>
          <w:szCs w:val="20"/>
        </w:rPr>
        <w:fldChar w:fldCharType="begin" w:fldLock="1"/>
      </w:r>
      <w:r w:rsidR="0096171B" w:rsidRPr="006436AC">
        <w:rPr>
          <w:rFonts w:ascii="Arial" w:hAnsi="Arial" w:cs="Arial"/>
          <w:sz w:val="20"/>
          <w:szCs w:val="20"/>
        </w:rPr>
        <w:instrText>ADDIN CSL_CITATION {"citationItems":[{"id":"ITEM-1","itemData":{"DOI":"10.1038/s42003-020-0794-7","ISSN":"23993642","abstract":"Understanding how cognitive functions emerge from brain structure depends on quantifying how discrete regions are integrated within the broader cortical landscape. Recent work established that macroscale brain organization and function can be described in a compact manner with multivariate machine learning approaches that identify manifolds often described as cortical gradients. By quantifying topographic principles of macroscale organization, cortical gradients lend an analytical framework to study structural and functional brain organization across species, throughout development and aging, and its perturbations in disease. Here, we present BrainSpace, a Python/Matlab toolbox for (i) the identification of gradients, (ii) their alignment, and (iii) their visualization. Our toolbox furthermore allows for controlled association studies between gradients with other brain-level features, adjusted with respect to null models that account for spatial autocorrelation. Validation experiments demonstrate the usage and consistency of our tools for the analysis of functional and microstructural gradients across different spatial scales.","author":[{"dropping-particle":"","family":"Vos de Wael","given":"Reinder","non-dropping-particle":"","parse-names":false,"suffix":""},{"dropping-particle":"","family":"Benkarim","given":"Oualid","non-dropping-particle":"","parse-names":false,"suffix":""},{"dropping-particle":"","family":"Paquola","given":"Casey","non-dropping-particle":"","parse-names":false,"suffix":""},{"dropping-particle":"","family":"Lariviere","given":"Sara","non-dropping-particle":"","parse-names":false,"suffix":""},{"dropping-particle":"","family":"Royer","given":"Jessica","non-dropping-particle":"","parse-names":false,"suffix":""},{"dropping-particle":"","family":"Tavakol","given":"Shahin","non-dropping-particle":"","parse-names":false,"suffix":""},{"dropping-particle":"","family":"Xu","given":"Ting","non-dropping-particle":"","parse-names":false,"suffix":""},{"dropping-particle":"","family":"Hong","given":"Seok Jun","non-dropping-particle":"","parse-names":false,"suffix":""},{"dropping-particle":"","family":"Langs","given":"Georg","non-dropping-particle":"","parse-names":false,"suffix":""},{"dropping-particle":"","family":"Valk","given":"Sofie","non-dropping-particle":"","parse-names":false,"suffix":""},{"dropping-particle":"","family":"Misic","given":"Bratislav","non-dropping-particle":"","parse-names":false,"suffix":""},{"dropping-particle":"","family":"Milham","given":"Michael","non-dropping-particle":"","parse-names":false,"suffix":""},{"dropping-particle":"","family":"Margulies","given":"Daniel","non-dropping-particle":"","parse-names":false,"suffix":""},{"dropping-particle":"","family":"Smallwood","given":"Jonathan","non-dropping-particle":"","parse-names":false,"suffix":""},{"dropping-particle":"","family":"Bernhardt","given":"Boris C.","non-dropping-particle":"","parse-names":false,"suffix":""}],"container-title":"Communications Biology","id":"ITEM-1","issue":"1","issued":{"date-parts":[["2020","12","1"]]},"page":"1-10","publisher":"Nature Research","title":"BrainSpace: a toolbox for the analysis of macroscale gradients in neuroimaging and connectomics datasets","type":"article-journal","volume":"3"},"uris":["http://www.mendeley.com/documents/?uuid=fa01d2b4-1598-38ec-ab5b-dca056ec0269"]}],"mendeley":{"formattedCitation":"(Vos de Wael et al., 2020)","plainTextFormattedCitation":"(Vos de Wael et al., 2020)","previouslyFormattedCitation":"(Vos de Wael et al., 2020)"},"properties":{"noteIndex":0},"schema":"https://github.com/citation-style-language/schema/raw/master/csl-citation.json"}</w:instrText>
      </w:r>
      <w:r w:rsidR="0096171B" w:rsidRPr="006436AC">
        <w:rPr>
          <w:rFonts w:ascii="Arial" w:hAnsi="Arial" w:cs="Arial"/>
          <w:sz w:val="20"/>
          <w:szCs w:val="20"/>
        </w:rPr>
        <w:fldChar w:fldCharType="separate"/>
      </w:r>
      <w:r w:rsidR="0096171B" w:rsidRPr="006436AC">
        <w:rPr>
          <w:rFonts w:ascii="Arial" w:hAnsi="Arial" w:cs="Arial"/>
          <w:noProof/>
          <w:sz w:val="20"/>
          <w:szCs w:val="20"/>
        </w:rPr>
        <w:t>(Vos de Wael et al., 2020)</w:t>
      </w:r>
      <w:r w:rsidR="0096171B" w:rsidRPr="006436AC">
        <w:rPr>
          <w:rFonts w:ascii="Arial" w:hAnsi="Arial" w:cs="Arial"/>
          <w:sz w:val="20"/>
          <w:szCs w:val="20"/>
        </w:rPr>
        <w:fldChar w:fldCharType="end"/>
      </w:r>
      <w:r w:rsidR="0096171B" w:rsidRPr="006436AC">
        <w:rPr>
          <w:rFonts w:ascii="Arial" w:hAnsi="Arial" w:cs="Arial"/>
          <w:sz w:val="20"/>
          <w:szCs w:val="20"/>
        </w:rPr>
        <w:t>.</w:t>
      </w:r>
      <w:r w:rsidR="00A2519C" w:rsidRPr="006436AC">
        <w:rPr>
          <w:rFonts w:ascii="Arial" w:hAnsi="Arial" w:cs="Arial"/>
          <w:sz w:val="20"/>
          <w:szCs w:val="20"/>
        </w:rPr>
        <w:t xml:space="preserve"> </w:t>
      </w:r>
    </w:p>
    <w:p w14:paraId="3D0D3302" w14:textId="032B86A4" w:rsidR="0052241F" w:rsidRPr="006436AC" w:rsidRDefault="0052241F"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lastRenderedPageBreak/>
        <w:t xml:space="preserve">Using identical parameters, individual-level gradients were then calculated for each individual using their 400x400 connectivity matrix. These individual-level gradient maps were aligned to the group-level gradient maps using Procrustes rotation to improve comparison between the group-level gradients and individual-level gradients (N iterations = 10). This analysis resulted in ten group-level gradients and ten individual-level gradients for each participant explaining maximal whole-brain connectivity variance in descending order. </w:t>
      </w:r>
      <w:r w:rsidR="00BE100E" w:rsidRPr="006436AC">
        <w:rPr>
          <w:rFonts w:ascii="Arial" w:hAnsi="Arial" w:cs="Arial"/>
          <w:sz w:val="20"/>
          <w:szCs w:val="20"/>
        </w:rPr>
        <w:t xml:space="preserve">The gradient within our sample that showed the greatest correspondence to the principal gradient described by Margulies et al. (2016) was also the component that explained the most variance, capturing the separation between heteromodal and unimodal regions. To compare our connectivity gradient with connectivity gradient revealed by Margulies et al. (2016), we extracted the gradient values of the 400 ROIs respectively, and then performed Pearson correlation across these ROIs. The results are shown in Supplementary Materials Figure S6.  </w:t>
      </w:r>
    </w:p>
    <w:p w14:paraId="152B3D5E" w14:textId="225E02F3" w:rsidR="004B4F7A" w:rsidRPr="006436AC" w:rsidRDefault="004B4F7A" w:rsidP="000E64FB">
      <w:pPr>
        <w:spacing w:before="100" w:beforeAutospacing="1" w:after="100" w:afterAutospacing="1" w:line="480" w:lineRule="auto"/>
        <w:rPr>
          <w:rFonts w:ascii="Arial" w:hAnsi="Arial" w:cs="Arial"/>
          <w:sz w:val="20"/>
          <w:szCs w:val="20"/>
        </w:rPr>
      </w:pPr>
      <w:r w:rsidRPr="006436AC">
        <w:rPr>
          <w:rFonts w:ascii="Arial" w:hAnsi="Arial" w:cs="Arial"/>
          <w:sz w:val="20"/>
          <w:szCs w:val="20"/>
        </w:rPr>
        <w:t>2.5.</w:t>
      </w:r>
      <w:r w:rsidR="00AC4214" w:rsidRPr="006436AC">
        <w:rPr>
          <w:rFonts w:ascii="Arial" w:hAnsi="Arial" w:cs="Arial"/>
          <w:sz w:val="20"/>
          <w:szCs w:val="20"/>
        </w:rPr>
        <w:t>3</w:t>
      </w:r>
      <w:r w:rsidRPr="006436AC">
        <w:rPr>
          <w:rFonts w:ascii="Arial" w:hAnsi="Arial" w:cs="Arial"/>
          <w:sz w:val="20"/>
          <w:szCs w:val="20"/>
        </w:rPr>
        <w:t xml:space="preserve">. </w:t>
      </w:r>
      <w:r w:rsidR="00566455" w:rsidRPr="006436AC">
        <w:rPr>
          <w:rFonts w:ascii="Arial" w:hAnsi="Arial" w:cs="Arial"/>
          <w:sz w:val="20"/>
          <w:szCs w:val="20"/>
        </w:rPr>
        <w:t xml:space="preserve">Correlations between task and connectivity gradient at the group level </w:t>
      </w:r>
    </w:p>
    <w:p w14:paraId="0E63C190" w14:textId="2179AF4C" w:rsidR="00566455" w:rsidRPr="006436AC" w:rsidRDefault="00566455"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We examined the spatial correspondence of the </w:t>
      </w:r>
      <w:r w:rsidR="00BE100E" w:rsidRPr="006436AC">
        <w:rPr>
          <w:rFonts w:ascii="Arial" w:hAnsi="Arial" w:cs="Arial"/>
          <w:sz w:val="20"/>
          <w:szCs w:val="20"/>
        </w:rPr>
        <w:t xml:space="preserve">connectivity gradient defined by Margulies et al. </w:t>
      </w:r>
      <w:r w:rsidR="00767E64" w:rsidRPr="006436AC">
        <w:rPr>
          <w:rFonts w:ascii="Arial" w:hAnsi="Arial" w:cs="Arial"/>
          <w:sz w:val="20"/>
          <w:szCs w:val="20"/>
        </w:rPr>
        <w:t>(</w:t>
      </w:r>
      <w:r w:rsidR="00BE100E" w:rsidRPr="006436AC">
        <w:rPr>
          <w:rFonts w:ascii="Arial" w:hAnsi="Arial" w:cs="Arial"/>
          <w:sz w:val="20"/>
          <w:szCs w:val="20"/>
        </w:rPr>
        <w:t>2016</w:t>
      </w:r>
      <w:r w:rsidR="00767E64" w:rsidRPr="006436AC">
        <w:rPr>
          <w:rFonts w:ascii="Arial" w:hAnsi="Arial" w:cs="Arial"/>
          <w:sz w:val="20"/>
          <w:szCs w:val="20"/>
        </w:rPr>
        <w:t>)</w:t>
      </w:r>
      <w:r w:rsidR="00BE100E" w:rsidRPr="006436AC">
        <w:rPr>
          <w:rFonts w:ascii="Arial" w:hAnsi="Arial" w:cs="Arial"/>
          <w:sz w:val="20"/>
          <w:szCs w:val="20"/>
        </w:rPr>
        <w:t xml:space="preserve"> and the </w:t>
      </w:r>
      <w:r w:rsidRPr="006436AC">
        <w:rPr>
          <w:rFonts w:ascii="Arial" w:hAnsi="Arial" w:cs="Arial"/>
          <w:sz w:val="20"/>
          <w:szCs w:val="20"/>
        </w:rPr>
        <w:t xml:space="preserve">task gradient for matching trials by computing correlations </w:t>
      </w:r>
      <w:r w:rsidR="0075281C" w:rsidRPr="006436AC">
        <w:rPr>
          <w:rFonts w:ascii="Arial" w:hAnsi="Arial" w:cs="Arial"/>
          <w:sz w:val="20"/>
          <w:szCs w:val="20"/>
        </w:rPr>
        <w:t xml:space="preserve">across voxels </w:t>
      </w:r>
      <w:r w:rsidR="00BE100E" w:rsidRPr="006436AC">
        <w:rPr>
          <w:rFonts w:ascii="Arial" w:hAnsi="Arial" w:cs="Arial"/>
          <w:sz w:val="20"/>
          <w:szCs w:val="20"/>
        </w:rPr>
        <w:t xml:space="preserve">in </w:t>
      </w:r>
      <w:r w:rsidRPr="006436AC">
        <w:rPr>
          <w:rFonts w:ascii="Arial" w:hAnsi="Arial" w:cs="Arial"/>
          <w:sz w:val="20"/>
          <w:szCs w:val="20"/>
        </w:rPr>
        <w:t>the whole brain and within semantic regions defined using a meta-analytic mask for the term “semantic” from Neurosynth</w:t>
      </w:r>
      <w:r w:rsidR="00567C92"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{"citationItems":[{"id":"ITEM-1","itemData":{"DOI":"10.1038/nmeth.1635","ISSN":"15487091","abstract":"BACKGROUND: A central goal of human neuroimaging research is to map relationships between mind and brain, enabling decoding of cognitive states from brain activity (Norman, Polyn, Detre, &amp; Haxby, 2006; Poldrack, Halchenko, &amp; Hanson, 2009). Previous decoding approaches have focused on discriminating between narrow sets of alternative states, overlooking the vast range of cognitive states human beings can experience. Here we introduce a novel framework called NeuroSynth that uses text mining and meta-analysis techniques to automatically produce accurate mappings between brain activity and a large number of broad cognitive states, providing a valuable new resource for a broad range of neuroimaging applications. The NeuroSynth framework consists of several components. First, an automated parser was used to extract activation coordinates from published neuroimaging studies. The current database contains nearly 145,000 activation foci drawn from over 4,400 studies. Second, all articles were ?tagged? with words and phrases that occur at high frequency within the article text, enabling rapid search and filtering. Third, meta-analysis was used to automatically produce whole-brain meta-analysis maps for over 200 distinct psychological concepts, each based on several hundred studies. Fourth, a na?ve Bayes classifier was used to classify the probability of specific concepts or states being present given new patterns of activation as input, enabling open-ended decoding and classification of brain activity in both entire studies and individual subjects. Validation analyses demonstrated the capacity of the NeuroSynth framework to generate meta-analysis maps that closely replicated previous results for many concepts (e.g., pain, emotion, and working memory). Subsequently, we used NeuroSynth to address two long-standing problems in neuroimaging. First, we addressed the well-known problem of reverse inference (Poldrack, 2006) by quantifying the likelihood of specific psychological processes given observed activation patterns. The results identified numerous cases in which reverse inference analyses identified results discrepant with prior findings (e.g., the lack of selectivity of medial frontal function, and the preferential role of posterior rather than anterior insula in pain). Second, we used a na?ve Bayes classifier to successfully ?decode? which of several psychological states individual subjects were experiencing given only patterns of brain activity, representing…","author":[{"dropping-particle":"","family":"Yarkoni","given":"Tal","non-dropping-particle":"","parse-names":false,"suffix":""},{"dropping-particle":"","family":"Poldrack","given":"Russell A.","non-dropping-particle":"","parse-names":false,"suffix":""},{"dropping-particle":"","family":"Nichols","given":"Thomas E.","non-dropping-particle":"","parse-names":false,"suffix":""},{"dropping-particle":"","family":"Essen","given":"David C.","non-dropping-particle":"Van","parse-names":false,"suffix":""},{"dropping-particle":"","family":"Wager","given":"Tor D.","non-dropping-particle":"","parse-names":false,"suffix":""}],"container-title":"Nature Methods","id":"ITEM-1","issue":"8","issued":{"date-parts":[["2011"]]},"page":"665-670","title":"Large-scale automated synthesis of human functional neuroimaging data","type":"article-journal","volume":"8"},"uris":["http://www.mendeley.com/documents/?uuid=085ae679-dc71-457d-8293-f3e706e67f10"]}],"mendeley":{"formattedCitation":"(Yarkoni et al., 2011)","plainTextFormattedCitation":"(Yarkoni et al., 2011)","previouslyFormattedCitation":"(Yarkoni et al., 2011)"},"properties":{"noteIndex":0},"schema":"https://github.com/citation-style-language/schema/raw/master/csl-citation.json"}</w:instrText>
      </w:r>
      <w:r w:rsidRPr="006436AC">
        <w:rPr>
          <w:rFonts w:ascii="Arial" w:hAnsi="Arial" w:cs="Arial"/>
          <w:sz w:val="20"/>
          <w:szCs w:val="20"/>
        </w:rPr>
        <w:fldChar w:fldCharType="separate"/>
      </w:r>
      <w:r w:rsidRPr="006436AC">
        <w:rPr>
          <w:rFonts w:ascii="Arial" w:hAnsi="Arial" w:cs="Arial"/>
          <w:noProof/>
          <w:sz w:val="20"/>
          <w:szCs w:val="20"/>
        </w:rPr>
        <w:t>(Yarkoni et al., 2011)</w:t>
      </w:r>
      <w:r w:rsidRPr="006436AC">
        <w:rPr>
          <w:rFonts w:ascii="Arial" w:hAnsi="Arial" w:cs="Arial"/>
          <w:sz w:val="20"/>
          <w:szCs w:val="20"/>
        </w:rPr>
        <w:fldChar w:fldCharType="end"/>
      </w:r>
      <w:r w:rsidRPr="006436AC">
        <w:rPr>
          <w:rFonts w:ascii="Arial" w:hAnsi="Arial" w:cs="Arial"/>
          <w:sz w:val="20"/>
          <w:szCs w:val="20"/>
        </w:rPr>
        <w:t xml:space="preserve">. To establish whether systematic functional change along the connectivity gradient was seen in multiple cortical areas linked to semantic processing, we also examined the correlations between the task and connectivity gradients using anatomical masks in lateral frontal, medial frontal, temporal and parietal areas (details in Supplementary Materials). </w:t>
      </w:r>
      <w:r w:rsidR="004E7A58" w:rsidRPr="006436AC">
        <w:rPr>
          <w:rFonts w:ascii="Arial" w:hAnsi="Arial" w:cs="Arial"/>
          <w:sz w:val="20"/>
          <w:szCs w:val="20"/>
        </w:rPr>
        <w:t>We permuted the connectivity gradient values (10000 iterations) to examine whether the correlation coefficients were significantly greater than zero.</w:t>
      </w:r>
    </w:p>
    <w:p w14:paraId="5DEC7DEE" w14:textId="100FDBF3" w:rsidR="004B4F7A" w:rsidRPr="006436AC" w:rsidRDefault="004B4F7A" w:rsidP="000E64FB">
      <w:pPr>
        <w:pStyle w:val="Heading3"/>
        <w:rPr>
          <w:rFonts w:cs="Arial"/>
          <w:color w:val="auto"/>
          <w:szCs w:val="20"/>
        </w:rPr>
      </w:pPr>
      <w:r w:rsidRPr="006436AC">
        <w:rPr>
          <w:rFonts w:cs="Arial"/>
          <w:color w:val="auto"/>
          <w:szCs w:val="20"/>
        </w:rPr>
        <w:t>2.5.</w:t>
      </w:r>
      <w:r w:rsidR="00AC4214" w:rsidRPr="006436AC">
        <w:rPr>
          <w:rFonts w:cs="Arial"/>
          <w:color w:val="auto"/>
          <w:szCs w:val="20"/>
        </w:rPr>
        <w:t>4</w:t>
      </w:r>
      <w:r w:rsidRPr="006436AC">
        <w:rPr>
          <w:rFonts w:cs="Arial"/>
          <w:color w:val="auto"/>
          <w:szCs w:val="20"/>
        </w:rPr>
        <w:t xml:space="preserve">. </w:t>
      </w:r>
      <w:r w:rsidR="00566455" w:rsidRPr="006436AC">
        <w:rPr>
          <w:rFonts w:cs="Arial"/>
          <w:color w:val="auto"/>
          <w:szCs w:val="20"/>
        </w:rPr>
        <w:t xml:space="preserve">Mixed effects modelling </w:t>
      </w:r>
    </w:p>
    <w:p w14:paraId="24056A7C" w14:textId="173A5BEA" w:rsidR="00566455" w:rsidRPr="006436AC" w:rsidRDefault="00566455"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To examine the shape of gradient transitions within the semantic mask from Neurosynth</w:t>
      </w:r>
      <w:r w:rsidR="00774940"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{"citationItems":[{"id":"ITEM-1","itemData":{"DOI":"10.1038/nmeth.1635","ISSN":"15487091","abstract":"BACKGROUND: A central goal of human neuroimaging research is to map relationships between mind and brain, enabling decoding of cognitive states from brain activity (Norman, Polyn, Detre, &amp; Haxby, 2006; Poldrack, Halchenko, &amp; Hanson, 2009). Previous decoding approaches have focused on discriminating between narrow sets of alternative states, overlooking the vast range of cognitive states human beings can experience. Here we introduce a novel framework called NeuroSynth that uses text mining and meta-analysis techniques to automatically produce accurate mappings between brain activity and a large number of broad cognitive states, providing a valuable new resource for a broad range of neuroimaging applications. The NeuroSynth framework consists of several components. First, an automated parser was used to extract activation coordinates from published neuroimaging studies. The current database contains nearly 145,000 activation foci drawn from over 4,400 studies. Second, all articles were ?tagged? with words and phrases that occur at high frequency within the article text, enabling rapid search and filtering. Third, meta-analysis was used to automatically produce whole-brain meta-analysis maps for over 200 distinct psychological concepts, each based on several hundred studies. Fourth, a na?ve Bayes classifier was used to classify the probability of specific concepts or states being present given new patterns of activation as input, enabling open-ended decoding and classification of brain activity in both entire studies and individual subjects. Validation analyses demonstrated the capacity of the NeuroSynth framework to generate meta-analysis maps that closely replicated previous results for many concepts (e.g., pain, emotion, and working memory). Subsequently, we used NeuroSynth to address two long-standing problems in neuroimaging. First, we addressed the well-known problem of reverse inference (Poldrack, 2006) by quantifying the likelihood of specific psychological processes given observed activation patterns. The results identified numerous cases in which reverse inference analyses identified results discrepant with prior findings (e.g., the lack of selectivity of medial frontal function, and the preferential role of posterior rather than anterior insula in pain). Second, we used a na?ve Bayes classifier to successfully ?decode? which of several psychological states individual subjects were experiencing given only patterns of brain activity, representing…","author":[{"dropping-particle":"","family":"Yarkoni","given":"Tal","non-dropping-particle":"","parse-names":false,"suffix":""},{"dropping-particle":"","family":"Poldrack","given":"Russell A.","non-dropping-particle":"","parse-names":false,"suffix":""},{"dropping-particle":"","family":"Nichols","given":"Thomas E.","non-dropping-particle":"","parse-names":false,"suffix":""},{"dropping-particle":"","family":"Essen","given":"David C.","non-dropping-particle":"Van","parse-names":false,"suffix":""},{"dropping-particle":"","family":"Wager","given":"Tor D.","non-dropping-particle":"","parse-names":false,"suffix":""}],"container-title":"Nature Methods","id":"ITEM-1","issue":"8","issued":{"date-parts":[["2011"]]},"page":"665-670","title":"Large-scale automated synthesis of human functional neuroimaging data","type":"article-journal","volume":"8"},"uris":["http://www.mendeley.com/documents/?uuid=085ae679-dc71-457d-8293-f3e706e67f10"]}],"mendeley":{"formattedCitation":"(Yarkoni et al., 2011)","plainTextFormattedCitation":"(Yarkoni et al., 2011)","previouslyFormattedCitation":"(Yarkoni et al., 2011)"},"properties":{"noteIndex":0},"schema":"https://github.com/citation-style-language/schema/raw/master/csl-citation.json"}</w:instrText>
      </w:r>
      <w:r w:rsidRPr="006436AC">
        <w:rPr>
          <w:rFonts w:ascii="Arial" w:hAnsi="Arial" w:cs="Arial"/>
          <w:sz w:val="20"/>
          <w:szCs w:val="20"/>
        </w:rPr>
        <w:fldChar w:fldCharType="separate"/>
      </w:r>
      <w:r w:rsidRPr="006436AC">
        <w:rPr>
          <w:rFonts w:ascii="Arial" w:hAnsi="Arial" w:cs="Arial"/>
          <w:noProof/>
          <w:sz w:val="20"/>
          <w:szCs w:val="20"/>
        </w:rPr>
        <w:t>(Yarkoni et al., 2011)</w:t>
      </w:r>
      <w:r w:rsidRPr="006436AC">
        <w:rPr>
          <w:rFonts w:ascii="Arial" w:hAnsi="Arial" w:cs="Arial"/>
          <w:sz w:val="20"/>
          <w:szCs w:val="20"/>
        </w:rPr>
        <w:fldChar w:fldCharType="end"/>
      </w:r>
      <w:r w:rsidRPr="006436AC">
        <w:rPr>
          <w:rFonts w:ascii="Arial" w:hAnsi="Arial" w:cs="Arial"/>
          <w:sz w:val="20"/>
          <w:szCs w:val="20"/>
        </w:rPr>
        <w:t>, voxels were assigned into ten decile bins according to their values on the connectivity gradient</w:t>
      </w:r>
      <w:r w:rsidR="00C1179E"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6436AC">
        <w:rPr>
          <w:rFonts w:ascii="Arial" w:hAnsi="Arial" w:cs="Arial"/>
          <w:sz w:val="20"/>
          <w:szCs w:val="20"/>
        </w:rPr>
        <w:fldChar w:fldCharType="separate"/>
      </w:r>
      <w:r w:rsidRPr="006436AC">
        <w:rPr>
          <w:rFonts w:ascii="Arial" w:hAnsi="Arial" w:cs="Arial"/>
          <w:noProof/>
          <w:sz w:val="20"/>
          <w:szCs w:val="20"/>
        </w:rPr>
        <w:t>(Margulies et al., 2016)</w:t>
      </w:r>
      <w:r w:rsidRPr="006436AC">
        <w:rPr>
          <w:rFonts w:ascii="Arial" w:hAnsi="Arial" w:cs="Arial"/>
          <w:sz w:val="20"/>
          <w:szCs w:val="20"/>
        </w:rPr>
        <w:fldChar w:fldCharType="end"/>
      </w:r>
      <w:r w:rsidRPr="006436AC">
        <w:rPr>
          <w:rFonts w:ascii="Arial" w:hAnsi="Arial" w:cs="Arial"/>
          <w:sz w:val="20"/>
          <w:szCs w:val="20"/>
        </w:rPr>
        <w:t xml:space="preserve">. We investigated whether there was a linear (or </w:t>
      </w:r>
      <w:r w:rsidRPr="006436AC">
        <w:rPr>
          <w:rFonts w:ascii="Arial" w:hAnsi="Arial" w:cs="Arial"/>
          <w:sz w:val="20"/>
          <w:szCs w:val="20"/>
        </w:rPr>
        <w:lastRenderedPageBreak/>
        <w:t>more complex) relationship between the effect of the task manipulation and the connectivity gradient bin within a linear mixed effect model. Parameter estimates for the effect of global feature similarity were extracted from each bin, for each subject and in each run separately, with the model capturing the hierarchical structure of this data. To allow for individual differences in the effect of the gradient and in the overall BOLD response, we allowed for random intercepts and slopes within the model. We compared a model that only included a linear effect of gradient bin with more complex models, such as models that additionally included quadratic and cubic effects. Further details including fit statistics and parameter estimates are provided in Supplementary Materials</w:t>
      </w:r>
      <w:r w:rsidR="00767E64" w:rsidRPr="006436AC">
        <w:rPr>
          <w:rFonts w:ascii="Arial" w:hAnsi="Arial" w:cs="Arial"/>
          <w:sz w:val="20"/>
          <w:szCs w:val="20"/>
        </w:rPr>
        <w:t>.</w:t>
      </w:r>
    </w:p>
    <w:p w14:paraId="4E71FBE9" w14:textId="1A4C9BAC" w:rsidR="00E93BF5" w:rsidRPr="006436AC" w:rsidRDefault="004B4F7A" w:rsidP="000E64FB">
      <w:pPr>
        <w:pStyle w:val="Heading3"/>
        <w:rPr>
          <w:rFonts w:cs="Arial"/>
          <w:color w:val="auto"/>
          <w:szCs w:val="20"/>
        </w:rPr>
      </w:pPr>
      <w:r w:rsidRPr="006436AC">
        <w:rPr>
          <w:rStyle w:val="Heading3Char"/>
          <w:rFonts w:cs="Arial"/>
          <w:color w:val="auto"/>
          <w:szCs w:val="20"/>
        </w:rPr>
        <w:t>2.5.</w:t>
      </w:r>
      <w:r w:rsidR="00AC4214" w:rsidRPr="006436AC">
        <w:rPr>
          <w:rStyle w:val="Heading3Char"/>
          <w:rFonts w:cs="Arial"/>
          <w:color w:val="auto"/>
          <w:szCs w:val="20"/>
        </w:rPr>
        <w:t>5</w:t>
      </w:r>
      <w:r w:rsidRPr="006436AC">
        <w:rPr>
          <w:rStyle w:val="Heading3Char"/>
          <w:rFonts w:cs="Arial"/>
          <w:color w:val="auto"/>
          <w:szCs w:val="20"/>
        </w:rPr>
        <w:t xml:space="preserve">. </w:t>
      </w:r>
      <w:r w:rsidR="00566455" w:rsidRPr="006436AC">
        <w:rPr>
          <w:rStyle w:val="Heading3Char"/>
          <w:rFonts w:cs="Arial"/>
          <w:color w:val="auto"/>
          <w:szCs w:val="20"/>
        </w:rPr>
        <w:t>Correlations between gradient values and effects of semantic similarity within individuals</w:t>
      </w:r>
    </w:p>
    <w:p w14:paraId="7ED2E139" w14:textId="0D569A81" w:rsidR="00566455" w:rsidRPr="006436AC" w:rsidRDefault="00566455"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We extracted the parametric effect of the task gradient for matching trials in each voxel and each individual participant to establish how many participants showed a significant correlation between the task gradient and the connectivity gradient. We tested these correlations in each participant within the semantic mask and for each anatomical region of interest. We also permuted the connectivity gradient values (10000 iterations) to examine whether the correlation coefficients were significantly greater than zero.</w:t>
      </w:r>
    </w:p>
    <w:p w14:paraId="0C1C6EB5" w14:textId="1BD816EF" w:rsidR="00E93BF5" w:rsidRPr="006436AC" w:rsidRDefault="00E93BF5" w:rsidP="000E64FB">
      <w:pPr>
        <w:pStyle w:val="Heading3"/>
        <w:rPr>
          <w:rStyle w:val="Heading3Char"/>
          <w:rFonts w:cs="Arial"/>
          <w:color w:val="auto"/>
          <w:szCs w:val="20"/>
        </w:rPr>
      </w:pPr>
      <w:r w:rsidRPr="006436AC">
        <w:rPr>
          <w:rStyle w:val="Heading3Char"/>
          <w:rFonts w:cs="Arial"/>
          <w:color w:val="auto"/>
          <w:szCs w:val="20"/>
        </w:rPr>
        <w:t>2.5.</w:t>
      </w:r>
      <w:r w:rsidR="00AC4214" w:rsidRPr="006436AC">
        <w:rPr>
          <w:rStyle w:val="Heading3Char"/>
          <w:rFonts w:cs="Arial"/>
          <w:color w:val="auto"/>
          <w:szCs w:val="20"/>
        </w:rPr>
        <w:t>6</w:t>
      </w:r>
      <w:r w:rsidRPr="006436AC">
        <w:rPr>
          <w:rStyle w:val="Heading3Char"/>
          <w:rFonts w:cs="Arial"/>
          <w:color w:val="auto"/>
          <w:szCs w:val="20"/>
        </w:rPr>
        <w:t xml:space="preserve">. </w:t>
      </w:r>
      <w:r w:rsidR="00566455" w:rsidRPr="006436AC">
        <w:rPr>
          <w:rStyle w:val="Heading3Char"/>
          <w:rFonts w:cs="Arial"/>
          <w:color w:val="auto"/>
          <w:szCs w:val="20"/>
        </w:rPr>
        <w:t xml:space="preserve">Localizer task analysis </w:t>
      </w:r>
    </w:p>
    <w:p w14:paraId="36840DD4" w14:textId="42E4B4A4" w:rsidR="00BE100E" w:rsidRPr="006436AC" w:rsidRDefault="00566455"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For the semantic localiser task, we examined the contrast of words with pronounceable nonword task blocks. In the spatial working memory task and math task, we examined the contrast of hard versus easy conditions to define MDN regions, and the reverse to define DMN regions. A grey matter mask was imposed for all analyses and the resulting clusters were corrected for multiple comparisons using </w:t>
      </w:r>
      <w:r w:rsidR="00C1179E" w:rsidRPr="006436AC">
        <w:rPr>
          <w:rFonts w:ascii="Arial" w:hAnsi="Arial" w:cs="Arial"/>
          <w:sz w:val="20"/>
          <w:szCs w:val="20"/>
        </w:rPr>
        <w:t>Family-Wise Error (FWE)-corrected</w:t>
      </w:r>
      <w:r w:rsidRPr="006436AC">
        <w:rPr>
          <w:rFonts w:ascii="Arial" w:hAnsi="Arial" w:cs="Arial"/>
          <w:sz w:val="20"/>
          <w:szCs w:val="20"/>
        </w:rPr>
        <w:t xml:space="preserve"> detection at a threshold of z &gt; 3.1, p &lt; 0.05. The whole-brain analysis of the localizer tasks allowed us to examine whether semantic control recruits cortical regions fall between DMN and MDN. </w:t>
      </w:r>
    </w:p>
    <w:p w14:paraId="1A589697" w14:textId="26833F38" w:rsidR="00D0505A" w:rsidRPr="006436AC" w:rsidRDefault="00566455"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lastRenderedPageBreak/>
        <w:t xml:space="preserve">Next, to examine whether the task gradient and connectivity gradient captured the organization of semantic networks, </w:t>
      </w:r>
      <w:r w:rsidR="002F68E0" w:rsidRPr="006436AC">
        <w:rPr>
          <w:rFonts w:ascii="Arial" w:hAnsi="Arial" w:cs="Arial"/>
          <w:sz w:val="20"/>
          <w:szCs w:val="20"/>
        </w:rPr>
        <w:t xml:space="preserve">we </w:t>
      </w:r>
      <w:r w:rsidR="00B36EAF" w:rsidRPr="006436AC">
        <w:rPr>
          <w:rFonts w:ascii="Arial" w:hAnsi="Arial" w:cs="Arial"/>
          <w:sz w:val="20"/>
          <w:szCs w:val="20"/>
        </w:rPr>
        <w:t xml:space="preserve">extracted the average </w:t>
      </w:r>
      <w:r w:rsidR="00CD714C" w:rsidRPr="006436AC">
        <w:rPr>
          <w:rFonts w:ascii="Arial" w:hAnsi="Arial" w:cs="Arial"/>
          <w:sz w:val="20"/>
          <w:szCs w:val="20"/>
        </w:rPr>
        <w:t xml:space="preserve">connectivity gradient values and </w:t>
      </w:r>
      <w:r w:rsidR="00B36EAF" w:rsidRPr="006436AC">
        <w:rPr>
          <w:rFonts w:ascii="Arial" w:hAnsi="Arial" w:cs="Arial"/>
          <w:sz w:val="20"/>
          <w:szCs w:val="20"/>
        </w:rPr>
        <w:t xml:space="preserve">task </w:t>
      </w:r>
      <w:r w:rsidR="00CD714C" w:rsidRPr="006436AC">
        <w:rPr>
          <w:rFonts w:ascii="Arial" w:hAnsi="Arial" w:cs="Arial"/>
          <w:sz w:val="20"/>
          <w:szCs w:val="20"/>
        </w:rPr>
        <w:t xml:space="preserve">gradient values for matching trials </w:t>
      </w:r>
      <w:r w:rsidR="00B36EAF" w:rsidRPr="006436AC">
        <w:rPr>
          <w:rFonts w:ascii="Arial" w:hAnsi="Arial" w:cs="Arial"/>
          <w:sz w:val="20"/>
          <w:szCs w:val="20"/>
        </w:rPr>
        <w:t xml:space="preserve">for the voxels falling within each network within participant-specific functional ROIs. </w:t>
      </w:r>
      <w:r w:rsidR="00482987" w:rsidRPr="006436AC">
        <w:rPr>
          <w:rFonts w:ascii="Arial" w:hAnsi="Arial" w:cs="Arial"/>
          <w:sz w:val="20"/>
          <w:szCs w:val="20"/>
        </w:rPr>
        <w:t>These ROIs were defined by</w:t>
      </w:r>
      <w:r w:rsidR="00B36EAF" w:rsidRPr="006436AC">
        <w:rPr>
          <w:rFonts w:ascii="Arial" w:hAnsi="Arial" w:cs="Arial"/>
          <w:sz w:val="20"/>
          <w:szCs w:val="20"/>
        </w:rPr>
        <w:t xml:space="preserve"> selecting the </w:t>
      </w:r>
      <w:r w:rsidR="00CD714C" w:rsidRPr="006436AC">
        <w:rPr>
          <w:rFonts w:ascii="Arial" w:hAnsi="Arial" w:cs="Arial"/>
          <w:sz w:val="20"/>
          <w:szCs w:val="20"/>
        </w:rPr>
        <w:t xml:space="preserve">voxels that were most strongly activated for each participant for the relevant localizer contrast (the </w:t>
      </w:r>
      <w:r w:rsidR="00B36EAF" w:rsidRPr="006436AC">
        <w:rPr>
          <w:rFonts w:ascii="Arial" w:hAnsi="Arial" w:cs="Arial"/>
          <w:sz w:val="20"/>
          <w:szCs w:val="20"/>
        </w:rPr>
        <w:t>top 20% of voxels with the highest t-values</w:t>
      </w:r>
      <w:r w:rsidR="00CD714C" w:rsidRPr="006436AC">
        <w:rPr>
          <w:rFonts w:ascii="Arial" w:hAnsi="Arial" w:cs="Arial"/>
          <w:sz w:val="20"/>
          <w:szCs w:val="20"/>
        </w:rPr>
        <w:t>)</w:t>
      </w:r>
      <w:r w:rsidR="00B36EAF" w:rsidRPr="006436AC">
        <w:rPr>
          <w:rFonts w:ascii="Arial" w:hAnsi="Arial" w:cs="Arial"/>
          <w:sz w:val="20"/>
          <w:szCs w:val="20"/>
        </w:rPr>
        <w:t>, within network</w:t>
      </w:r>
      <w:r w:rsidR="00482987" w:rsidRPr="006436AC">
        <w:rPr>
          <w:rFonts w:ascii="Arial" w:hAnsi="Arial" w:cs="Arial"/>
          <w:sz w:val="20"/>
          <w:szCs w:val="20"/>
        </w:rPr>
        <w:t xml:space="preserve"> region</w:t>
      </w:r>
      <w:r w:rsidR="00B36EAF" w:rsidRPr="006436AC">
        <w:rPr>
          <w:rFonts w:ascii="Arial" w:hAnsi="Arial" w:cs="Arial"/>
          <w:sz w:val="20"/>
          <w:szCs w:val="20"/>
        </w:rPr>
        <w:t>s defined at the group level. For</w:t>
      </w:r>
      <w:r w:rsidR="00482987" w:rsidRPr="006436AC">
        <w:rPr>
          <w:rFonts w:ascii="Arial" w:hAnsi="Arial" w:cs="Arial"/>
          <w:sz w:val="20"/>
          <w:szCs w:val="20"/>
        </w:rPr>
        <w:t xml:space="preserve"> </w:t>
      </w:r>
      <w:r w:rsidR="00B36EAF" w:rsidRPr="006436AC">
        <w:rPr>
          <w:rFonts w:ascii="Arial" w:hAnsi="Arial" w:cs="Arial"/>
          <w:sz w:val="20"/>
          <w:szCs w:val="20"/>
        </w:rPr>
        <w:t xml:space="preserve">DMN, individual </w:t>
      </w:r>
      <w:r w:rsidR="00CD714C" w:rsidRPr="006436AC">
        <w:rPr>
          <w:rFonts w:ascii="Arial" w:hAnsi="Arial" w:cs="Arial"/>
          <w:sz w:val="20"/>
          <w:szCs w:val="20"/>
        </w:rPr>
        <w:t xml:space="preserve">subject </w:t>
      </w:r>
      <w:r w:rsidR="00B36EAF" w:rsidRPr="006436AC">
        <w:rPr>
          <w:rFonts w:ascii="Arial" w:hAnsi="Arial" w:cs="Arial"/>
          <w:sz w:val="20"/>
          <w:szCs w:val="20"/>
        </w:rPr>
        <w:t xml:space="preserve">ROIs were defined </w:t>
      </w:r>
      <w:r w:rsidR="00CD714C" w:rsidRPr="006436AC">
        <w:rPr>
          <w:rFonts w:ascii="Arial" w:hAnsi="Arial" w:cs="Arial"/>
          <w:sz w:val="20"/>
          <w:szCs w:val="20"/>
        </w:rPr>
        <w:t>using</w:t>
      </w:r>
      <w:r w:rsidR="00B36EAF" w:rsidRPr="006436AC">
        <w:rPr>
          <w:rFonts w:ascii="Arial" w:hAnsi="Arial" w:cs="Arial"/>
          <w:sz w:val="20"/>
          <w:szCs w:val="20"/>
        </w:rPr>
        <w:t xml:space="preserve"> the </w:t>
      </w:r>
      <w:r w:rsidR="00482987" w:rsidRPr="006436AC">
        <w:rPr>
          <w:rFonts w:ascii="Arial" w:hAnsi="Arial" w:cs="Arial"/>
          <w:sz w:val="20"/>
          <w:szCs w:val="20"/>
        </w:rPr>
        <w:t xml:space="preserve">easy &gt; hard </w:t>
      </w:r>
      <w:r w:rsidR="00B36EAF" w:rsidRPr="006436AC">
        <w:rPr>
          <w:rFonts w:ascii="Arial" w:hAnsi="Arial" w:cs="Arial"/>
          <w:sz w:val="20"/>
          <w:szCs w:val="20"/>
        </w:rPr>
        <w:t>contrast in the spatial working memory</w:t>
      </w:r>
      <w:r w:rsidR="00E63BD8" w:rsidRPr="006436AC">
        <w:rPr>
          <w:rFonts w:ascii="Arial" w:hAnsi="Arial" w:cs="Arial"/>
          <w:sz w:val="20"/>
          <w:szCs w:val="20"/>
        </w:rPr>
        <w:t xml:space="preserve"> </w:t>
      </w:r>
      <w:r w:rsidR="000C0A5A" w:rsidRPr="006436AC">
        <w:rPr>
          <w:rFonts w:ascii="Arial" w:hAnsi="Arial" w:cs="Arial"/>
          <w:sz w:val="20"/>
          <w:szCs w:val="20"/>
        </w:rPr>
        <w:t xml:space="preserve">and math </w:t>
      </w:r>
      <w:r w:rsidR="00B36EAF" w:rsidRPr="006436AC">
        <w:rPr>
          <w:rFonts w:ascii="Arial" w:hAnsi="Arial" w:cs="Arial"/>
          <w:sz w:val="20"/>
          <w:szCs w:val="20"/>
        </w:rPr>
        <w:t>localizer task</w:t>
      </w:r>
      <w:r w:rsidR="00E63BD8" w:rsidRPr="006436AC">
        <w:rPr>
          <w:rFonts w:ascii="Arial" w:hAnsi="Arial" w:cs="Arial"/>
          <w:sz w:val="20"/>
          <w:szCs w:val="20"/>
        </w:rPr>
        <w:t>s</w:t>
      </w:r>
      <w:r w:rsidR="00B36EAF" w:rsidRPr="006436AC">
        <w:rPr>
          <w:rFonts w:ascii="Arial" w:hAnsi="Arial" w:cs="Arial"/>
          <w:sz w:val="20"/>
          <w:szCs w:val="20"/>
        </w:rPr>
        <w:t xml:space="preserve">, within the </w:t>
      </w:r>
      <w:r w:rsidR="009A49D3" w:rsidRPr="006436AC">
        <w:rPr>
          <w:rFonts w:ascii="Arial" w:hAnsi="Arial" w:cs="Arial"/>
          <w:sz w:val="20"/>
          <w:szCs w:val="20"/>
        </w:rPr>
        <w:t>DMN mask defined at the group level</w:t>
      </w:r>
      <w:r w:rsidR="00B36EAF" w:rsidRPr="006436AC">
        <w:rPr>
          <w:rFonts w:ascii="Arial" w:hAnsi="Arial" w:cs="Arial"/>
          <w:sz w:val="20"/>
          <w:szCs w:val="20"/>
        </w:rPr>
        <w:t xml:space="preserve">. </w:t>
      </w:r>
      <w:r w:rsidR="009A49D3" w:rsidRPr="006436AC">
        <w:rPr>
          <w:rFonts w:ascii="Arial" w:hAnsi="Arial" w:cs="Arial"/>
          <w:sz w:val="20"/>
          <w:szCs w:val="20"/>
        </w:rPr>
        <w:t>For both s</w:t>
      </w:r>
      <w:r w:rsidR="00482987" w:rsidRPr="006436AC">
        <w:rPr>
          <w:rFonts w:ascii="Arial" w:hAnsi="Arial" w:cs="Arial"/>
          <w:sz w:val="20"/>
          <w:szCs w:val="20"/>
        </w:rPr>
        <w:t xml:space="preserve">emantic control regions within MDN and MDN regions not implicated in semantic control, individual ROIs were defined </w:t>
      </w:r>
      <w:r w:rsidR="00CD714C" w:rsidRPr="006436AC">
        <w:rPr>
          <w:rFonts w:ascii="Arial" w:hAnsi="Arial" w:cs="Arial"/>
          <w:sz w:val="20"/>
          <w:szCs w:val="20"/>
        </w:rPr>
        <w:t>using</w:t>
      </w:r>
      <w:r w:rsidR="00482987" w:rsidRPr="006436AC">
        <w:rPr>
          <w:rFonts w:ascii="Arial" w:hAnsi="Arial" w:cs="Arial"/>
          <w:sz w:val="20"/>
          <w:szCs w:val="20"/>
        </w:rPr>
        <w:t xml:space="preserve"> the </w:t>
      </w:r>
      <w:r w:rsidR="009A49D3" w:rsidRPr="006436AC">
        <w:rPr>
          <w:rFonts w:ascii="Arial" w:hAnsi="Arial" w:cs="Arial"/>
          <w:sz w:val="20"/>
          <w:szCs w:val="20"/>
        </w:rPr>
        <w:t>hard &gt; easy contrast</w:t>
      </w:r>
      <w:r w:rsidR="00482987" w:rsidRPr="006436AC">
        <w:rPr>
          <w:rFonts w:ascii="Arial" w:hAnsi="Arial" w:cs="Arial"/>
          <w:sz w:val="20"/>
          <w:szCs w:val="20"/>
        </w:rPr>
        <w:t xml:space="preserve"> in the spatial working memory </w:t>
      </w:r>
      <w:r w:rsidR="000C0A5A" w:rsidRPr="006436AC">
        <w:rPr>
          <w:rFonts w:ascii="Arial" w:hAnsi="Arial" w:cs="Arial"/>
          <w:sz w:val="20"/>
          <w:szCs w:val="20"/>
        </w:rPr>
        <w:t>and</w:t>
      </w:r>
      <w:r w:rsidR="00E63BD8" w:rsidRPr="006436AC">
        <w:rPr>
          <w:rFonts w:ascii="Arial" w:hAnsi="Arial" w:cs="Arial"/>
          <w:sz w:val="20"/>
          <w:szCs w:val="20"/>
        </w:rPr>
        <w:t xml:space="preserve"> math </w:t>
      </w:r>
      <w:r w:rsidR="00482987" w:rsidRPr="006436AC">
        <w:rPr>
          <w:rFonts w:ascii="Arial" w:hAnsi="Arial" w:cs="Arial"/>
          <w:sz w:val="20"/>
          <w:szCs w:val="20"/>
        </w:rPr>
        <w:t>localizer task</w:t>
      </w:r>
      <w:r w:rsidR="000C0A5A" w:rsidRPr="006436AC">
        <w:rPr>
          <w:rFonts w:ascii="Arial" w:hAnsi="Arial" w:cs="Arial"/>
          <w:sz w:val="20"/>
          <w:szCs w:val="20"/>
        </w:rPr>
        <w:t>s</w:t>
      </w:r>
      <w:r w:rsidR="009A49D3" w:rsidRPr="006436AC">
        <w:rPr>
          <w:rFonts w:ascii="Arial" w:hAnsi="Arial" w:cs="Arial"/>
          <w:sz w:val="20"/>
          <w:szCs w:val="20"/>
        </w:rPr>
        <w:t xml:space="preserve"> within the group-level MDN mask defined at the group level</w:t>
      </w:r>
      <w:r w:rsidR="00482987" w:rsidRPr="006436AC">
        <w:rPr>
          <w:rFonts w:ascii="Arial" w:hAnsi="Arial" w:cs="Arial"/>
          <w:sz w:val="20"/>
          <w:szCs w:val="20"/>
        </w:rPr>
        <w:t>.</w:t>
      </w:r>
      <w:r w:rsidR="009A49D3" w:rsidRPr="006436AC">
        <w:rPr>
          <w:rFonts w:ascii="Arial" w:hAnsi="Arial" w:cs="Arial"/>
          <w:sz w:val="20"/>
          <w:szCs w:val="20"/>
        </w:rPr>
        <w:t xml:space="preserve"> </w:t>
      </w:r>
      <w:r w:rsidR="00B36EAF" w:rsidRPr="006436AC">
        <w:rPr>
          <w:rFonts w:ascii="Arial" w:hAnsi="Arial" w:cs="Arial"/>
          <w:sz w:val="20"/>
          <w:szCs w:val="20"/>
        </w:rPr>
        <w:t>For semantic control regions that fell outside MDN, we identified peak responses to the semantic localizer (words &gt; nonwords) for each participant, within the group</w:t>
      </w:r>
      <w:r w:rsidR="00CD714C" w:rsidRPr="006436AC">
        <w:rPr>
          <w:rFonts w:ascii="Arial" w:hAnsi="Arial" w:cs="Arial"/>
          <w:sz w:val="20"/>
          <w:szCs w:val="20"/>
        </w:rPr>
        <w:t xml:space="preserve"> word &gt; nonword effect masked by the semantic control network. </w:t>
      </w:r>
      <w:r w:rsidR="00DE6B14" w:rsidRPr="006436AC">
        <w:rPr>
          <w:rFonts w:ascii="Arial" w:hAnsi="Arial" w:cs="Arial"/>
          <w:sz w:val="20"/>
          <w:szCs w:val="20"/>
        </w:rPr>
        <w:t xml:space="preserve">Within these ROIs, we then extracted the average values on both the task gradient (defined by the parametric effect of semantic similarity during feature matching for each individual) and the principal gradient of connectivity (also defined for individuals using a dimension reduction analysis, as implemented in the BrainSpace toolbox). </w:t>
      </w:r>
      <w:r w:rsidR="00FD6F74" w:rsidRPr="006436AC">
        <w:rPr>
          <w:rFonts w:ascii="Arial" w:hAnsi="Arial" w:cs="Arial"/>
          <w:sz w:val="20"/>
          <w:szCs w:val="20"/>
        </w:rPr>
        <w:t xml:space="preserve">We then </w:t>
      </w:r>
      <w:r w:rsidR="00CD714C" w:rsidRPr="006436AC">
        <w:rPr>
          <w:rFonts w:ascii="Arial" w:hAnsi="Arial" w:cs="Arial"/>
          <w:sz w:val="20"/>
          <w:szCs w:val="20"/>
        </w:rPr>
        <w:t>performed repeated-</w:t>
      </w:r>
      <w:r w:rsidR="00DE6B14" w:rsidRPr="006436AC">
        <w:rPr>
          <w:rFonts w:ascii="Arial" w:hAnsi="Arial" w:cs="Arial"/>
          <w:sz w:val="20"/>
          <w:szCs w:val="20"/>
        </w:rPr>
        <w:t xml:space="preserve">measures ANOVA to test whether there was an orderly change in these values between networks.  </w:t>
      </w:r>
    </w:p>
    <w:p w14:paraId="3F941F66" w14:textId="7FE3F02D" w:rsidR="00E93BF5" w:rsidRPr="006436AC" w:rsidRDefault="00E93BF5" w:rsidP="000E64FB">
      <w:pPr>
        <w:pStyle w:val="Heading3"/>
        <w:rPr>
          <w:rFonts w:cs="Arial"/>
          <w:color w:val="auto"/>
          <w:szCs w:val="20"/>
        </w:rPr>
      </w:pPr>
      <w:r w:rsidRPr="006436AC">
        <w:rPr>
          <w:rFonts w:cs="Arial"/>
          <w:color w:val="auto"/>
          <w:szCs w:val="20"/>
        </w:rPr>
        <w:t>2.5.</w:t>
      </w:r>
      <w:r w:rsidR="00AC4214" w:rsidRPr="006436AC">
        <w:rPr>
          <w:rFonts w:cs="Arial"/>
          <w:color w:val="auto"/>
          <w:szCs w:val="20"/>
        </w:rPr>
        <w:t>7</w:t>
      </w:r>
      <w:r w:rsidRPr="006436AC">
        <w:rPr>
          <w:rFonts w:cs="Arial"/>
          <w:color w:val="auto"/>
          <w:szCs w:val="20"/>
        </w:rPr>
        <w:t xml:space="preserve">. </w:t>
      </w:r>
      <w:r w:rsidR="00566455" w:rsidRPr="006436AC">
        <w:rPr>
          <w:rFonts w:cs="Arial"/>
          <w:color w:val="auto"/>
          <w:szCs w:val="20"/>
        </w:rPr>
        <w:t xml:space="preserve">Control analysis examining non-matching trials </w:t>
      </w:r>
    </w:p>
    <w:p w14:paraId="462BD308" w14:textId="50FD9FB5" w:rsidR="00566455" w:rsidRPr="006436AC" w:rsidRDefault="00566455"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To examine whether the effects we found for the matching trials were explained by task difficulty, we assessed the parametric effect of global semantic similarity for the non-matching trials (see supplementary materials). We modelled the task gradient by entering the demeaned global semantic similarity ratings for correct non-matching trials as a parametric regressor. For these non-matching trials, global semantic similarity was negatively correlated with accuracy, in contrast to matching trials which showed a positive correlation between global semantic similarity and behavioural performance. Opposite task gradients for matching and non-matching trials </w:t>
      </w:r>
      <w:r w:rsidRPr="006436AC">
        <w:rPr>
          <w:rFonts w:ascii="Arial" w:hAnsi="Arial" w:cs="Arial"/>
          <w:sz w:val="20"/>
          <w:szCs w:val="20"/>
        </w:rPr>
        <w:lastRenderedPageBreak/>
        <w:t>would be consistent with these gradients reflecting task difficulty. In contrast, parallel task gradients across matching and non-matching trials cannot be fully explained by task difficulty and might reflect long-term semantic similarity of the inputs. Correlations between the task gradient and connectivity gradient for non-matching trials, together with mixed effects models characterising this</w:t>
      </w:r>
      <w:r w:rsidR="007745ED" w:rsidRPr="006436AC">
        <w:rPr>
          <w:rFonts w:ascii="Arial" w:hAnsi="Arial" w:cs="Arial"/>
          <w:sz w:val="20"/>
          <w:szCs w:val="20"/>
        </w:rPr>
        <w:t xml:space="preserve"> relationship, are provided in Supplementary M</w:t>
      </w:r>
      <w:r w:rsidRPr="006436AC">
        <w:rPr>
          <w:rFonts w:ascii="Arial" w:hAnsi="Arial" w:cs="Arial"/>
          <w:sz w:val="20"/>
          <w:szCs w:val="20"/>
        </w:rPr>
        <w:t>aterials.</w:t>
      </w:r>
    </w:p>
    <w:p w14:paraId="1A4BAD9B" w14:textId="141CBC48" w:rsidR="00566455" w:rsidRPr="006436AC" w:rsidRDefault="00E93BF5" w:rsidP="000E64FB">
      <w:pPr>
        <w:pStyle w:val="Style3"/>
        <w:rPr>
          <w:color w:val="auto"/>
          <w:szCs w:val="20"/>
        </w:rPr>
      </w:pPr>
      <w:r w:rsidRPr="006436AC">
        <w:rPr>
          <w:color w:val="auto"/>
          <w:szCs w:val="20"/>
        </w:rPr>
        <w:t xml:space="preserve">2.6. </w:t>
      </w:r>
      <w:r w:rsidR="00566455" w:rsidRPr="006436AC">
        <w:rPr>
          <w:color w:val="auto"/>
          <w:szCs w:val="20"/>
        </w:rPr>
        <w:t>Data and code availability</w:t>
      </w:r>
    </w:p>
    <w:p w14:paraId="231A9F08" w14:textId="2EA1619B" w:rsidR="00D771B6" w:rsidRPr="006436AC" w:rsidRDefault="00566455" w:rsidP="000E64FB">
      <w:pPr>
        <w:keepNext/>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All summary data, materials and code used in the analysis are accessible in the Open Science Framework at https://osf.io/pa84c/. Raw fMRI data is restricted in accordance with ERC and EU regulations.</w:t>
      </w:r>
      <w:r w:rsidR="00770556" w:rsidRPr="006436AC">
        <w:rPr>
          <w:rFonts w:ascii="Arial" w:hAnsi="Arial" w:cs="Arial"/>
          <w:sz w:val="20"/>
          <w:szCs w:val="20"/>
        </w:rPr>
        <w:t xml:space="preserve"> The conditions of our ethical approval do not permit public archiving of the raw data because participants did not provide sufficient consent. Researchers who wish to access the data should contact the Research Ethics and Governance Committee of the York Neuroimaging Centre, University of York, or the corresponding author</w:t>
      </w:r>
      <w:r w:rsidR="00CD418F" w:rsidRPr="006436AC">
        <w:rPr>
          <w:rFonts w:ascii="Arial" w:hAnsi="Arial" w:cs="Arial"/>
          <w:sz w:val="20"/>
          <w:szCs w:val="20"/>
        </w:rPr>
        <w:t>s</w:t>
      </w:r>
      <w:r w:rsidR="00770556" w:rsidRPr="006436AC">
        <w:rPr>
          <w:rFonts w:ascii="Arial" w:hAnsi="Arial" w:cs="Arial"/>
          <w:sz w:val="20"/>
          <w:szCs w:val="20"/>
        </w:rPr>
        <w:t xml:space="preserve">, </w:t>
      </w:r>
      <w:r w:rsidR="00CD418F" w:rsidRPr="006436AC">
        <w:rPr>
          <w:rFonts w:ascii="Arial" w:hAnsi="Arial" w:cs="Arial"/>
          <w:sz w:val="20"/>
          <w:szCs w:val="20"/>
        </w:rPr>
        <w:t>Xiuyi Wang</w:t>
      </w:r>
      <w:r w:rsidR="00770556" w:rsidRPr="006436AC">
        <w:rPr>
          <w:rFonts w:ascii="Arial" w:hAnsi="Arial" w:cs="Arial"/>
          <w:sz w:val="20"/>
          <w:szCs w:val="20"/>
        </w:rPr>
        <w:t xml:space="preserve"> or </w:t>
      </w:r>
      <w:r w:rsidR="00CD418F" w:rsidRPr="006436AC">
        <w:rPr>
          <w:rFonts w:ascii="Arial" w:hAnsi="Arial" w:cs="Arial"/>
          <w:sz w:val="20"/>
          <w:szCs w:val="20"/>
        </w:rPr>
        <w:t>Elizab</w:t>
      </w:r>
      <w:r w:rsidR="002353EA" w:rsidRPr="006436AC">
        <w:rPr>
          <w:rFonts w:ascii="Arial" w:hAnsi="Arial" w:cs="Arial"/>
          <w:sz w:val="20"/>
          <w:szCs w:val="20"/>
        </w:rPr>
        <w:t>eth Jefferies. Data would</w:t>
      </w:r>
      <w:r w:rsidR="00770556" w:rsidRPr="006436AC">
        <w:rPr>
          <w:rFonts w:ascii="Arial" w:hAnsi="Arial" w:cs="Arial"/>
          <w:sz w:val="20"/>
          <w:szCs w:val="20"/>
        </w:rPr>
        <w:t xml:space="preserve"> be released to researchers when this is possible under the terms of the GDPR (General Data Protection Regulation).</w:t>
      </w:r>
    </w:p>
    <w:p w14:paraId="144D4BAD" w14:textId="5B6BC131" w:rsidR="00E93BF5" w:rsidRPr="006436AC" w:rsidRDefault="00E93BF5" w:rsidP="000E64FB">
      <w:pPr>
        <w:pStyle w:val="Style1"/>
        <w:spacing w:before="100" w:beforeAutospacing="1" w:after="100" w:afterAutospacing="1" w:line="480" w:lineRule="auto"/>
        <w:rPr>
          <w:rFonts w:cs="Arial"/>
          <w:sz w:val="20"/>
          <w:szCs w:val="20"/>
        </w:rPr>
      </w:pPr>
      <w:r w:rsidRPr="006436AC">
        <w:rPr>
          <w:rFonts w:cs="Arial"/>
          <w:sz w:val="20"/>
          <w:szCs w:val="20"/>
        </w:rPr>
        <w:t xml:space="preserve">3. </w:t>
      </w:r>
      <w:r w:rsidR="00087B64" w:rsidRPr="006436AC">
        <w:rPr>
          <w:rFonts w:cs="Arial"/>
          <w:sz w:val="20"/>
          <w:szCs w:val="20"/>
        </w:rPr>
        <w:t>Results</w:t>
      </w:r>
    </w:p>
    <w:p w14:paraId="6E16DAD9" w14:textId="6D1CF697" w:rsidR="00E93BF5" w:rsidRPr="006436AC" w:rsidRDefault="00E93BF5" w:rsidP="000E64FB">
      <w:pPr>
        <w:pStyle w:val="Style3"/>
        <w:rPr>
          <w:color w:val="auto"/>
          <w:szCs w:val="20"/>
        </w:rPr>
      </w:pPr>
      <w:r w:rsidRPr="006436AC">
        <w:rPr>
          <w:color w:val="auto"/>
          <w:szCs w:val="20"/>
        </w:rPr>
        <w:t xml:space="preserve">3.1. </w:t>
      </w:r>
      <w:r w:rsidR="0001094C" w:rsidRPr="006436AC">
        <w:rPr>
          <w:color w:val="auto"/>
          <w:szCs w:val="20"/>
        </w:rPr>
        <w:t>Semantic feature matching performance</w:t>
      </w:r>
    </w:p>
    <w:p w14:paraId="2BB6D6DE" w14:textId="18C12856" w:rsidR="0001094C" w:rsidRPr="006436AC" w:rsidRDefault="0001094C"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Participants saw two words in succession and judged whether they shared a specific feature (colour, shape or size; Figure 1A). We parametrically varied the global semantic similarity of these two concepts (Figure 1B), while eliminating concurrent variation with psycholinguistic variables</w:t>
      </w:r>
      <w:r w:rsidR="00E501CD" w:rsidRPr="006436AC">
        <w:rPr>
          <w:rFonts w:ascii="Arial" w:hAnsi="Arial" w:cs="Arial"/>
          <w:sz w:val="20"/>
          <w:szCs w:val="20"/>
        </w:rPr>
        <w:t xml:space="preserve">. </w:t>
      </w:r>
      <w:r w:rsidRPr="006436AC">
        <w:rPr>
          <w:rFonts w:ascii="Arial" w:hAnsi="Arial" w:cs="Arial"/>
          <w:sz w:val="20"/>
          <w:szCs w:val="20"/>
        </w:rPr>
        <w:t>Global feature similarity ratings for matching trials correlated w</w:t>
      </w:r>
      <w:r w:rsidR="00F42304" w:rsidRPr="006436AC">
        <w:rPr>
          <w:rFonts w:ascii="Arial" w:hAnsi="Arial" w:cs="Arial"/>
          <w:sz w:val="20"/>
          <w:szCs w:val="20"/>
        </w:rPr>
        <w:t>ith both accuracy (r = 0.35, p = 0.000</w:t>
      </w:r>
      <w:r w:rsidRPr="006436AC">
        <w:rPr>
          <w:rFonts w:ascii="Arial" w:hAnsi="Arial" w:cs="Arial"/>
          <w:sz w:val="20"/>
          <w:szCs w:val="20"/>
        </w:rPr>
        <w:t>; Figure 1C) an</w:t>
      </w:r>
      <w:r w:rsidR="00507213" w:rsidRPr="006436AC">
        <w:rPr>
          <w:rFonts w:ascii="Arial" w:hAnsi="Arial" w:cs="Arial"/>
          <w:sz w:val="20"/>
          <w:szCs w:val="20"/>
        </w:rPr>
        <w:t>d response times (r = -0.22, p =</w:t>
      </w:r>
      <w:r w:rsidRPr="006436AC">
        <w:rPr>
          <w:rFonts w:ascii="Arial" w:hAnsi="Arial" w:cs="Arial"/>
          <w:sz w:val="20"/>
          <w:szCs w:val="20"/>
        </w:rPr>
        <w:t xml:space="preserve"> 0.007; Figure 1D), indicating that participants could more readily judge that items matched on the current goal feature when task-irrelevant characteristics were also shared. </w:t>
      </w:r>
      <w:r w:rsidR="00300A40" w:rsidRPr="006436AC">
        <w:rPr>
          <w:rFonts w:ascii="Arial" w:hAnsi="Arial" w:cs="Arial"/>
          <w:sz w:val="20"/>
          <w:szCs w:val="20"/>
        </w:rPr>
        <w:t xml:space="preserve">For these matching trials, there were no significant correlations between global semantic similarity and word length (number of letters; r = -0.07, p = 0.429), word frequency (based on SUBTLEX-UK: Subtitle-based word frequencies for British </w:t>
      </w:r>
      <w:r w:rsidR="00300A40" w:rsidRPr="006436AC">
        <w:rPr>
          <w:rFonts w:ascii="Arial" w:hAnsi="Arial" w:cs="Arial"/>
          <w:sz w:val="20"/>
          <w:szCs w:val="20"/>
        </w:rPr>
        <w:lastRenderedPageBreak/>
        <w:t xml:space="preserve">English </w:t>
      </w:r>
      <w:r w:rsidR="00300A40" w:rsidRPr="006436AC">
        <w:rPr>
          <w:rFonts w:ascii="Arial" w:hAnsi="Arial" w:cs="Arial"/>
          <w:sz w:val="20"/>
          <w:szCs w:val="20"/>
        </w:rPr>
        <w:fldChar w:fldCharType="begin" w:fldLock="1"/>
      </w:r>
      <w:r w:rsidR="00300A40" w:rsidRPr="006436AC">
        <w:rPr>
          <w:rFonts w:ascii="Arial" w:hAnsi="Arial" w:cs="Arial"/>
          <w:sz w:val="20"/>
          <w:szCs w:val="20"/>
        </w:rPr>
        <w:instrText>ADDIN CSL_CITATION {"citationItems":[{"id":"ITEM-1","itemData":{"DOI":"10.1080/17470218.2013.850521","ISSN":"1747-0218","author":[{"dropping-particle":"","family":"Heuven","given":"Walter J. B.","non-dropping-particle":"van","parse-names":false,"suffix":""},{"dropping-particle":"","family":"Mandera","given":"Pawel","non-dropping-particle":"","parse-names":false,"suffix":""},{"dropping-particle":"","family":"Keuleers","given":"Emmanuel","non-dropping-particle":"","parse-names":false,"suffix":""},{"dropping-particle":"","family":"Brysbaert","given":"Marc","non-dropping-particle":"","parse-names":false,"suffix":""}],"container-title":"Quarterly Journal of Experimental Psychology","id":"ITEM-1","issue":"6","issued":{"date-parts":[["2014","6"]]},"page":"1176-1190","title":"Subtlex-UK: A New and Improved Word Frequency Database for British English","type":"article-journal","volume":"67"},"uris":["http://www.mendeley.com/documents/?uuid=b73089ca-8899-3ca8-b542-138a31d6cb5f"]}],"mendeley":{"formattedCitation":"(van Heuven et al., 2014)","plainTextFormattedCitation":"(van Heuven et al., 2014)","previouslyFormattedCitation":"(van Heuven et al., 2014)"},"properties":{"noteIndex":0},"schema":"https://github.com/citation-style-language/schema/raw/master/csl-citation.json"}</w:instrText>
      </w:r>
      <w:r w:rsidR="00300A40" w:rsidRPr="006436AC">
        <w:rPr>
          <w:rFonts w:ascii="Arial" w:hAnsi="Arial" w:cs="Arial"/>
          <w:sz w:val="20"/>
          <w:szCs w:val="20"/>
        </w:rPr>
        <w:fldChar w:fldCharType="separate"/>
      </w:r>
      <w:r w:rsidR="00300A40" w:rsidRPr="006436AC">
        <w:rPr>
          <w:rFonts w:ascii="Arial" w:hAnsi="Arial" w:cs="Arial"/>
          <w:noProof/>
          <w:sz w:val="20"/>
          <w:szCs w:val="20"/>
        </w:rPr>
        <w:t>(van Heuven et al., 2014)</w:t>
      </w:r>
      <w:r w:rsidR="00300A40" w:rsidRPr="006436AC">
        <w:rPr>
          <w:rFonts w:ascii="Arial" w:hAnsi="Arial" w:cs="Arial"/>
          <w:sz w:val="20"/>
          <w:szCs w:val="20"/>
        </w:rPr>
        <w:fldChar w:fldCharType="end"/>
      </w:r>
      <w:r w:rsidR="00300A40" w:rsidRPr="006436AC">
        <w:rPr>
          <w:rFonts w:ascii="Arial" w:hAnsi="Arial" w:cs="Arial"/>
          <w:sz w:val="20"/>
          <w:szCs w:val="20"/>
        </w:rPr>
        <w:t xml:space="preserve">; r = 0.05, p = 0.586) or word concreteness </w:t>
      </w:r>
      <w:r w:rsidR="00300A40" w:rsidRPr="006436AC">
        <w:rPr>
          <w:rFonts w:ascii="Arial" w:hAnsi="Arial" w:cs="Arial"/>
          <w:sz w:val="20"/>
          <w:szCs w:val="20"/>
        </w:rPr>
        <w:fldChar w:fldCharType="begin" w:fldLock="1"/>
      </w:r>
      <w:r w:rsidR="00300A40" w:rsidRPr="006436AC">
        <w:rPr>
          <w:rFonts w:ascii="Arial" w:hAnsi="Arial" w:cs="Arial"/>
          <w:sz w:val="20"/>
          <w:szCs w:val="20"/>
        </w:rPr>
        <w:instrText>ADDIN CSL_CITATION {"citationItems":[{"id":"ITEM-1","itemData":{"DOI":"10.3758/s13428-013-0403-5","ISSN":"15543528","abstract":"Concreteness ratings are presented for 37,058 English words and 2,896 two-word expressions (such as zebra crossing and zoom in), obtained from over 4,000 participants by means of a norming study using Internet crowdsourcing for data collection. Although the instructions stressed that the assessment of word concreteness would be based on experiences involving all senses and motor responses, a comparison with the existing concreteness norms indicates that participants, as before, largely focused on visual and haptic experiences. The reported data set is a subset of a comprehensive list of English lemmas and contains all lemmas known by at least 85 % of the raters. It can be used in future research as a reference list of generally known English lemmas. © 2013 Psychonomic Society, Inc.","author":[{"dropping-particle":"","family":"Brysbaert","given":"Marc","non-dropping-particle":"","parse-names":false,"suffix":""},{"dropping-particle":"","family":"Warriner","given":"Amy Beth","non-dropping-particle":"","parse-names":false,"suffix":""},{"dropping-particle":"","family":"Kuperman","given":"Victor","non-dropping-particle":"","parse-names":false,"suffix":""}],"container-title":"Behavior Research Methods","id":"ITEM-1","issue":"3","issued":{"date-parts":[["2014"]]},"page":"904-911","title":"Concreteness ratings for 40 thousand generally known English word lemmas","type":"article-journal","volume":"46"},"uris":["http://www.mendeley.com/documents/?uuid=ba5d7f8e-8b08-35e7-9cf9-bcef2132a12a"]}],"mendeley":{"formattedCitation":"(Brysbaert et al., 2014)","plainTextFormattedCitation":"(Brysbaert et al., 2014)","previouslyFormattedCitation":"(Brysbaert et al., 2014)"},"properties":{"noteIndex":0},"schema":"https://github.com/citation-style-language/schema/raw/master/csl-citation.json"}</w:instrText>
      </w:r>
      <w:r w:rsidR="00300A40" w:rsidRPr="006436AC">
        <w:rPr>
          <w:rFonts w:ascii="Arial" w:hAnsi="Arial" w:cs="Arial"/>
          <w:sz w:val="20"/>
          <w:szCs w:val="20"/>
        </w:rPr>
        <w:fldChar w:fldCharType="separate"/>
      </w:r>
      <w:r w:rsidR="00300A40" w:rsidRPr="006436AC">
        <w:rPr>
          <w:rFonts w:ascii="Arial" w:hAnsi="Arial" w:cs="Arial"/>
          <w:noProof/>
          <w:sz w:val="20"/>
          <w:szCs w:val="20"/>
        </w:rPr>
        <w:t>(Brysbaert et al., 2014)</w:t>
      </w:r>
      <w:r w:rsidR="00300A40" w:rsidRPr="006436AC">
        <w:rPr>
          <w:rFonts w:ascii="Arial" w:hAnsi="Arial" w:cs="Arial"/>
          <w:sz w:val="20"/>
          <w:szCs w:val="20"/>
        </w:rPr>
        <w:fldChar w:fldCharType="end"/>
      </w:r>
      <w:r w:rsidR="00300A40" w:rsidRPr="006436AC">
        <w:rPr>
          <w:rFonts w:ascii="Arial" w:hAnsi="Arial" w:cs="Arial"/>
          <w:sz w:val="20"/>
          <w:szCs w:val="20"/>
        </w:rPr>
        <w:t xml:space="preserve"> (r = 0.07, p = 0.394) of the target word, as shown in </w:t>
      </w:r>
      <w:r w:rsidR="0090131F" w:rsidRPr="006436AC">
        <w:rPr>
          <w:rFonts w:ascii="Arial" w:hAnsi="Arial" w:cs="Arial"/>
          <w:sz w:val="20"/>
          <w:szCs w:val="20"/>
        </w:rPr>
        <w:t>Supplementary Figure S1</w:t>
      </w:r>
      <w:r w:rsidR="00300A40" w:rsidRPr="006436AC">
        <w:rPr>
          <w:rFonts w:ascii="Arial" w:hAnsi="Arial" w:cs="Arial"/>
          <w:sz w:val="20"/>
          <w:szCs w:val="20"/>
        </w:rPr>
        <w:t>. There was a weak and non-significant correlation between behavioural efficiency and word frequency (r = 0.14, p = 0.092). There were significant correlations between behavioural efficiency and word concreteness (r = 0.24, p = 0.007) and word length (r = -0.19, p = 0.024). However, semantic similarity ratings correlated positively with behavioural efficiency after regressing out word length, word frequency and concreteness (r = 0.33, p &lt; 0.000), indicating that higher global feature similarity was associated with more efficient feature matching</w:t>
      </w:r>
      <w:r w:rsidR="006601F4" w:rsidRPr="006436AC">
        <w:rPr>
          <w:rFonts w:ascii="Arial" w:hAnsi="Arial" w:cs="Arial"/>
          <w:sz w:val="20"/>
          <w:szCs w:val="20"/>
        </w:rPr>
        <w:t>.</w:t>
      </w:r>
      <w:r w:rsidR="0002362D" w:rsidRPr="006436AC">
        <w:rPr>
          <w:rFonts w:ascii="Arial" w:hAnsi="Arial" w:cs="Arial"/>
          <w:sz w:val="20"/>
          <w:szCs w:val="20"/>
        </w:rPr>
        <w:t xml:space="preserve"> One third of the trials were ‘non-matching’ trials, and these also varied from globally semantically-related to unrelated. For these decisions, global similarity hindered rather than aided the decision, leading to poorer accuracy when many features were shared. Further details about the non-matching trials are available in the Supplementary Materials.</w:t>
      </w:r>
    </w:p>
    <w:p w14:paraId="77EE8629" w14:textId="28E10FB1" w:rsidR="00E93BF5" w:rsidRPr="006436AC" w:rsidRDefault="00E93BF5" w:rsidP="000E64FB">
      <w:pPr>
        <w:pStyle w:val="Style3"/>
        <w:rPr>
          <w:color w:val="auto"/>
          <w:szCs w:val="20"/>
        </w:rPr>
      </w:pPr>
      <w:r w:rsidRPr="006436AC">
        <w:rPr>
          <w:color w:val="auto"/>
          <w:szCs w:val="20"/>
        </w:rPr>
        <w:t xml:space="preserve">3.2. </w:t>
      </w:r>
      <w:r w:rsidR="0001094C" w:rsidRPr="006436AC">
        <w:rPr>
          <w:color w:val="auto"/>
          <w:szCs w:val="20"/>
        </w:rPr>
        <w:t>The parametric effect of global semantic overlap</w:t>
      </w:r>
    </w:p>
    <w:p w14:paraId="50ECF94E" w14:textId="774B39FD" w:rsidR="0001094C" w:rsidRPr="006436AC" w:rsidRDefault="0001094C"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In order to characterise whole-brain spatial patterns relating to the extent to which </w:t>
      </w:r>
      <w:r w:rsidR="001714A5" w:rsidRPr="006436AC">
        <w:rPr>
          <w:rFonts w:ascii="Arial" w:hAnsi="Arial" w:cs="Arial"/>
          <w:sz w:val="20"/>
          <w:szCs w:val="20"/>
        </w:rPr>
        <w:t>the presented words were</w:t>
      </w:r>
      <w:r w:rsidRPr="006436AC">
        <w:rPr>
          <w:rFonts w:ascii="Arial" w:hAnsi="Arial" w:cs="Arial"/>
          <w:sz w:val="20"/>
          <w:szCs w:val="20"/>
        </w:rPr>
        <w:t xml:space="preserve"> aligned with the structure of long-term semantic knowledge (i.e. the task gradient), we constructed a model that examined the parametric effect of global feature similarity. In this model, demeaned global semantic similarity ratings were included as a parametric regressor. Figure </w:t>
      </w:r>
      <w:r w:rsidR="002B6A66" w:rsidRPr="006436AC">
        <w:rPr>
          <w:rFonts w:ascii="Arial" w:hAnsi="Arial" w:cs="Arial"/>
          <w:sz w:val="20"/>
          <w:szCs w:val="20"/>
        </w:rPr>
        <w:t>3</w:t>
      </w:r>
      <w:r w:rsidRPr="006436AC">
        <w:rPr>
          <w:rFonts w:ascii="Arial" w:hAnsi="Arial" w:cs="Arial"/>
          <w:sz w:val="20"/>
          <w:szCs w:val="20"/>
        </w:rPr>
        <w:t>A shows the estimated effect of the parametric manipulation of global feature overlap across the whole brain (i.e., an unthresholded map) for matching trials, when the task-relevant feature was sh</w:t>
      </w:r>
      <w:r w:rsidR="00DF1C10" w:rsidRPr="006436AC">
        <w:rPr>
          <w:rFonts w:ascii="Arial" w:hAnsi="Arial" w:cs="Arial"/>
          <w:sz w:val="20"/>
          <w:szCs w:val="20"/>
        </w:rPr>
        <w:t>ared between probe and target</w:t>
      </w:r>
      <w:r w:rsidR="005C5898" w:rsidRPr="006436AC">
        <w:rPr>
          <w:rFonts w:ascii="Arial" w:hAnsi="Arial" w:cs="Arial"/>
          <w:sz w:val="20"/>
          <w:szCs w:val="20"/>
        </w:rPr>
        <w:t>.</w:t>
      </w:r>
      <w:r w:rsidR="00DF1C10" w:rsidRPr="006436AC">
        <w:rPr>
          <w:rFonts w:ascii="Arial" w:hAnsi="Arial" w:cs="Arial"/>
          <w:sz w:val="20"/>
          <w:szCs w:val="20"/>
        </w:rPr>
        <w:t xml:space="preserve"> (S</w:t>
      </w:r>
      <w:r w:rsidRPr="006436AC">
        <w:rPr>
          <w:rFonts w:ascii="Arial" w:hAnsi="Arial" w:cs="Arial"/>
          <w:sz w:val="20"/>
          <w:szCs w:val="20"/>
        </w:rPr>
        <w:t>upplementary Figure S</w:t>
      </w:r>
      <w:r w:rsidR="0090131F" w:rsidRPr="006436AC">
        <w:rPr>
          <w:rFonts w:ascii="Arial" w:hAnsi="Arial" w:cs="Arial"/>
          <w:sz w:val="20"/>
          <w:szCs w:val="20"/>
        </w:rPr>
        <w:t>3</w:t>
      </w:r>
      <w:r w:rsidRPr="006436AC">
        <w:rPr>
          <w:rFonts w:ascii="Arial" w:hAnsi="Arial" w:cs="Arial"/>
          <w:sz w:val="20"/>
          <w:szCs w:val="20"/>
        </w:rPr>
        <w:t xml:space="preserve"> shows the main effect of the task; Figure S</w:t>
      </w:r>
      <w:r w:rsidR="0090131F" w:rsidRPr="006436AC">
        <w:rPr>
          <w:rFonts w:ascii="Arial" w:hAnsi="Arial" w:cs="Arial"/>
          <w:sz w:val="20"/>
          <w:szCs w:val="20"/>
        </w:rPr>
        <w:t>3</w:t>
      </w:r>
      <w:r w:rsidRPr="006436AC">
        <w:rPr>
          <w:rFonts w:ascii="Arial" w:hAnsi="Arial" w:cs="Arial"/>
          <w:sz w:val="20"/>
          <w:szCs w:val="20"/>
        </w:rPr>
        <w:t xml:space="preserve"> shows the same analysis for </w:t>
      </w:r>
      <w:r w:rsidR="00A46B44" w:rsidRPr="006436AC">
        <w:rPr>
          <w:rFonts w:ascii="Arial" w:hAnsi="Arial" w:cs="Arial"/>
          <w:sz w:val="20"/>
          <w:szCs w:val="20"/>
        </w:rPr>
        <w:t xml:space="preserve">non-matching </w:t>
      </w:r>
      <w:r w:rsidRPr="006436AC">
        <w:rPr>
          <w:rFonts w:ascii="Arial" w:hAnsi="Arial" w:cs="Arial"/>
          <w:sz w:val="20"/>
          <w:szCs w:val="20"/>
        </w:rPr>
        <w:t>trials in which the task-relevant feature did not match across the probe and target). Positive effects of this variable (i.e., a stronger BOLD response when items share more features) are seen within lateral anterior-to-mid temporal cortex, angular gyrus and medial and superior frontal region</w:t>
      </w:r>
      <w:r w:rsidR="00AB7030" w:rsidRPr="006436AC">
        <w:rPr>
          <w:rFonts w:ascii="Arial" w:hAnsi="Arial" w:cs="Arial"/>
          <w:sz w:val="20"/>
          <w:szCs w:val="20"/>
        </w:rPr>
        <w:t>s – regions associated with DMN</w:t>
      </w:r>
      <w:r w:rsidR="000664D1"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{"citationItems":[{"id":"ITEM-1","itemData":{"DOI":"10.1146/annurev-neuro-071013-014030","ISSN":"0147-006X","abstract":"The brain's default mode network consists of discrete, bilateral and symmetrical cortical areas, in the medial and lateral parietal, medial prefrontal, and medial and lateral temporal cortices of t...","author":[{"dropping-particle":"","family":"Raichle","given":"Marcus E.","non-dropping-particle":"","parse-names":false,"suffix":""}],"container-title":"Annual Review of Neuroscience","id":"ITEM-1","issue":"1","issued":{"date-parts":[["2015","7","8"]]},"page":"433-447","publisher":" Annual Reviews ","title":"The Brain's Default Mode Network","type":"article-journal","volume":"38"},"uris":["http://www.mendeley.com/documents/?uuid=b99dcb80-6061-364c-8472-8039be523f69"]}],"mendeley":{"formattedCitation":"(Raichle, 2015)","plainTextFormattedCitation":"(Raichle, 2015)","previouslyFormattedCitation":"(Raichle, 2015)"},"properties":{"noteIndex":0},"schema":"https://github.com/citation-style-language/schema/raw/master/csl-citation.json"}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(Raichle, 2015)</w:t>
      </w:r>
      <w:r w:rsidRPr="006436AC">
        <w:rPr>
          <w:rFonts w:ascii="Arial" w:hAnsi="Arial" w:cs="Arial"/>
          <w:sz w:val="20"/>
          <w:szCs w:val="20"/>
        </w:rPr>
        <w:fldChar w:fldCharType="end"/>
      </w:r>
      <w:r w:rsidRPr="006436AC">
        <w:rPr>
          <w:rFonts w:ascii="Arial" w:hAnsi="Arial" w:cs="Arial"/>
          <w:sz w:val="20"/>
          <w:szCs w:val="20"/>
        </w:rPr>
        <w:t xml:space="preserve">. Negative effects of this variable (i.e., a stronger BOLD response when items share few features) occur in temporal-occipital cortex, intraparietal sulcus, </w:t>
      </w:r>
      <w:r w:rsidRPr="006436AC">
        <w:rPr>
          <w:rFonts w:ascii="Arial" w:hAnsi="Arial" w:cs="Arial"/>
          <w:sz w:val="20"/>
          <w:szCs w:val="20"/>
        </w:rPr>
        <w:lastRenderedPageBreak/>
        <w:t>inferior frontal sulcus and pre-supplementary motor area</w:t>
      </w:r>
      <w:r w:rsidR="00BF7A33" w:rsidRPr="006436AC">
        <w:rPr>
          <w:rFonts w:ascii="Arial" w:hAnsi="Arial" w:cs="Arial"/>
          <w:sz w:val="20"/>
          <w:szCs w:val="20"/>
        </w:rPr>
        <w:t xml:space="preserve"> </w:t>
      </w:r>
      <w:r w:rsidRPr="006436AC">
        <w:rPr>
          <w:rFonts w:ascii="Arial" w:hAnsi="Arial" w:cs="Arial"/>
          <w:sz w:val="20"/>
          <w:szCs w:val="20"/>
        </w:rPr>
        <w:t>– r</w:t>
      </w:r>
      <w:r w:rsidR="00AB7030" w:rsidRPr="006436AC">
        <w:rPr>
          <w:rFonts w:ascii="Arial" w:hAnsi="Arial" w:cs="Arial"/>
          <w:sz w:val="20"/>
          <w:szCs w:val="20"/>
        </w:rPr>
        <w:t>egions that fall largely in MDN</w:t>
      </w:r>
      <w:r w:rsidR="000664D1"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{"citationItems":[{"id":"ITEM-1","itemData":{"DOI":"10.1073/pnas.1315235110","ISBN":"1315235110","ISSN":"0027-8424","abstract":"Unlike brain regions that respond selectively to specific kinds of information content, a number of frontal and parietal regions are thought to be domain- and process-general: that is, active during a wide variety of demanding cognitive tasks. However, most previous evidence for this functional generality in humans comes from methods that overestimate activation overlap across tasks. Here we present functional MRI evidence from single-subject analyses for broad functional generality of a specific set of brain regions: the same sets of voxels are engaged across tasks ranging from arithmetic to storing information in working memory, to inhibiting irrelevant information. These regions have a specific topography, often lying directly adjacent to domain-specific regions. Thus, in addition to domain-specific brain regions tailored to solve particular problems of longstanding importance to our species, the human brain also contains a set of functionally general regions that plausibly endow us with the cognitive flexibility necessary to solve novel problems.","author":[{"dropping-particle":"","family":"Fedorenko","given":"E.","non-dropping-particle":"","parse-names":false,"suffix":""},{"dropping-particle":"","family":"Duncan","given":"J.","non-dropping-particle":"","parse-names":false,"suffix":""},{"dropping-particle":"","family":"Kanwisher","given":"N.","non-dropping-particle":"","parse-names":false,"suffix":""}],"container-title":"Proceedings of the National Academy of Sciences","id":"ITEM-1","issue":"41","issued":{"date-parts":[["2013"]]},"page":"16616-16621","title":"Broad domain generality in focal regions of frontal and parietal cortex","type":"article-journal","volume":"110"},"uris":["http://www.mendeley.com/documents/?uuid=6e80a063-9d9a-4426-908c-15c385760ef3"]},{"id":"ITEM-2","itemData":{"DOI":"10.1016/j.tics.2010.01.004","ISSN":"13646613","abstract":"A common or multiple-demand (MD) pattern of frontal and parietal activity is associated with diverse cognitive demands, and with standard tests of fluid intelligence. In intelligent behaviour, goals are achieved by assembling a series of sub-tasks, creating structured mental programs. Single cell and functional magnetic resonance imaging (fMRI) data indicate a key role for MD cortex in defining and controlling the parts of such programs, with focus on the specific content of a current cognitive operation, rapid reorganization as mental focus is changed, and robust separation of successive task steps. Resembling the structured problem-solving of symbolic artificial intelligence, the mental programs of MD cortex appear central to intelligent thought and action. © 2010 Elsevier Ltd. All rights reserved.","author":[{"dropping-particle":"","family":"Duncan","given":"John","non-dropping-particle":"","parse-names":false,"suffix":""}],"container-title":"Trends in Cognitive Sciences","id":"ITEM-2","issue":"4","issued":{"date-parts":[["2010"]]},"page":"172-179","publisher":"Elsevier Ltd","title":"The multiple-demand (MD) system of the primate brain: mental programs for intelligent behaviour","type":"article-journal","volume":"14"},"uris":["http://www.mendeley.com/documents/?uuid=4ff286d4-d3af-423d-8d30-25f4e66a34e7"]}],"mendeley":{"formattedCitation":"(Duncan, 2010; Fedorenko et al., 2013)","plainTextFormattedCitation":"(Duncan, 2010; Fedorenko et al., 2013)","previouslyFormattedCitation":"(Duncan, 2010; Fedorenko et al., 2013)"},"properties":{"noteIndex":0},"schema":"https://github.com/citation-style-language/schema/raw/master/csl-citation.json"}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(Duncan, 2010; Fedorenko et al., 2013)</w:t>
      </w:r>
      <w:r w:rsidRPr="006436AC">
        <w:rPr>
          <w:rFonts w:ascii="Arial" w:hAnsi="Arial" w:cs="Arial"/>
          <w:sz w:val="20"/>
          <w:szCs w:val="20"/>
        </w:rPr>
        <w:fldChar w:fldCharType="end"/>
      </w:r>
      <w:r w:rsidRPr="006436AC">
        <w:rPr>
          <w:rFonts w:ascii="Arial" w:hAnsi="Arial" w:cs="Arial"/>
          <w:sz w:val="20"/>
          <w:szCs w:val="20"/>
        </w:rPr>
        <w:t xml:space="preserve"> (see below for network analysis). </w:t>
      </w:r>
    </w:p>
    <w:p w14:paraId="5C2DFD22" w14:textId="33D15726" w:rsidR="00087B64" w:rsidRPr="006436AC" w:rsidRDefault="00950ADF" w:rsidP="000E64FB">
      <w:pPr>
        <w:spacing w:before="100" w:beforeAutospacing="1" w:after="100" w:afterAutospacing="1" w:line="480" w:lineRule="auto"/>
        <w:rPr>
          <w:rFonts w:ascii="Arial" w:hAnsi="Arial" w:cs="Arial"/>
          <w:sz w:val="20"/>
          <w:szCs w:val="20"/>
        </w:rPr>
      </w:pPr>
      <w:r w:rsidRPr="006436AC">
        <w:rPr>
          <w:rFonts w:ascii="Arial" w:hAnsi="Arial" w:cs="Arial"/>
          <w:noProof/>
          <w:sz w:val="20"/>
          <w:szCs w:val="20"/>
          <w:lang w:val="en-GB" w:eastAsia="en-GB"/>
        </w:rPr>
        <w:drawing>
          <wp:inline distT="0" distB="0" distL="0" distR="0" wp14:anchorId="01092C91" wp14:editId="53D380C5">
            <wp:extent cx="5486400" cy="3089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3089910"/>
                    </a:xfrm>
                    <a:prstGeom prst="rect">
                      <a:avLst/>
                    </a:prstGeom>
                  </pic:spPr>
                </pic:pic>
              </a:graphicData>
            </a:graphic>
          </wp:inline>
        </w:drawing>
      </w:r>
    </w:p>
    <w:p w14:paraId="0973A455" w14:textId="3EDC0354" w:rsidR="00087B64" w:rsidRPr="006436AC" w:rsidRDefault="00087B64" w:rsidP="000E64FB">
      <w:pPr>
        <w:spacing w:before="100" w:beforeAutospacing="1" w:after="100" w:afterAutospacing="1" w:line="480" w:lineRule="auto"/>
        <w:rPr>
          <w:rFonts w:ascii="Arial" w:hAnsi="Arial" w:cs="Arial"/>
          <w:sz w:val="20"/>
          <w:szCs w:val="20"/>
        </w:rPr>
      </w:pPr>
      <w:r w:rsidRPr="006436AC">
        <w:rPr>
          <w:rFonts w:ascii="Arial" w:hAnsi="Arial" w:cs="Arial"/>
          <w:b/>
          <w:sz w:val="20"/>
          <w:szCs w:val="20"/>
        </w:rPr>
        <w:t xml:space="preserve">Figure </w:t>
      </w:r>
      <w:r w:rsidR="002B6A66" w:rsidRPr="006436AC">
        <w:rPr>
          <w:rFonts w:ascii="Arial" w:hAnsi="Arial" w:cs="Arial"/>
          <w:b/>
          <w:sz w:val="20"/>
          <w:szCs w:val="20"/>
        </w:rPr>
        <w:t>3</w:t>
      </w:r>
      <w:r w:rsidRPr="006436AC">
        <w:rPr>
          <w:rFonts w:ascii="Arial" w:hAnsi="Arial" w:cs="Arial"/>
          <w:b/>
          <w:sz w:val="20"/>
          <w:szCs w:val="20"/>
        </w:rPr>
        <w:t>.</w:t>
      </w:r>
      <w:r w:rsidRPr="006436AC">
        <w:rPr>
          <w:rFonts w:ascii="Arial" w:hAnsi="Arial" w:cs="Arial"/>
          <w:sz w:val="20"/>
          <w:szCs w:val="20"/>
        </w:rPr>
        <w:t xml:space="preserve"> A – Unthresholded map of the task gradient: i.e. parametric manipulation of global semantic similarity, for trials in which the task-relevant feature was shared across probe and target. Warm colours = positively correlated activity [stronger response when both task relevant and task-irrelevant semantic features were shared between probe and target]. Cool colours = negatively correlated activity [stronger response when only the goal feature was shared between probe and target]. B – The principal gradient of intrinsic con</w:t>
      </w:r>
      <w:r w:rsidR="00AB7030" w:rsidRPr="006436AC">
        <w:rPr>
          <w:rFonts w:ascii="Arial" w:hAnsi="Arial" w:cs="Arial"/>
          <w:sz w:val="20"/>
          <w:szCs w:val="20"/>
        </w:rPr>
        <w:t xml:space="preserve">nectivity from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2016)","manualFormatting":"Margulies et al. (2016)","plainTextFormattedCitation":"(Margulies et al., 2016)","previouslyFormattedCitation":"(Margulies et al., 2016)"},"properties":{"noteIndex":0},"schema":"https://github.com/citation-style-language/schema/raw/master/csl-citation.json"}</w:instrText>
      </w:r>
      <w:r w:rsidRPr="006436AC">
        <w:rPr>
          <w:rFonts w:ascii="Arial" w:hAnsi="Arial" w:cs="Arial"/>
          <w:sz w:val="20"/>
          <w:szCs w:val="20"/>
        </w:rPr>
        <w:fldChar w:fldCharType="separate"/>
      </w:r>
      <w:r w:rsidR="00160261" w:rsidRPr="006436AC">
        <w:rPr>
          <w:rFonts w:ascii="Arial" w:hAnsi="Arial" w:cs="Arial"/>
          <w:noProof/>
          <w:sz w:val="20"/>
          <w:szCs w:val="20"/>
        </w:rPr>
        <w:t>Margulies et al. (2016)</w:t>
      </w:r>
      <w:r w:rsidRPr="006436AC">
        <w:rPr>
          <w:rFonts w:ascii="Arial" w:hAnsi="Arial" w:cs="Arial"/>
          <w:sz w:val="20"/>
          <w:szCs w:val="20"/>
        </w:rPr>
        <w:fldChar w:fldCharType="end"/>
      </w:r>
      <w:r w:rsidRPr="006436AC">
        <w:rPr>
          <w:rFonts w:ascii="Arial" w:hAnsi="Arial" w:cs="Arial"/>
          <w:sz w:val="20"/>
          <w:szCs w:val="20"/>
        </w:rPr>
        <w:t>.</w:t>
      </w:r>
      <w:r w:rsidR="003365D5" w:rsidRPr="006436AC">
        <w:rPr>
          <w:rFonts w:ascii="Arial" w:hAnsi="Arial" w:cs="Arial"/>
          <w:sz w:val="20"/>
          <w:szCs w:val="20"/>
        </w:rPr>
        <w:t xml:space="preserve"> </w:t>
      </w:r>
      <w:r w:rsidR="001B320E" w:rsidRPr="006436AC">
        <w:rPr>
          <w:rFonts w:ascii="Arial" w:hAnsi="Arial" w:cs="Arial"/>
          <w:sz w:val="20"/>
          <w:szCs w:val="20"/>
        </w:rPr>
        <w:t>M</w:t>
      </w:r>
      <w:r w:rsidR="00112451" w:rsidRPr="006436AC">
        <w:rPr>
          <w:rFonts w:ascii="Arial" w:hAnsi="Arial" w:cs="Arial"/>
          <w:sz w:val="20"/>
          <w:szCs w:val="20"/>
        </w:rPr>
        <w:t xml:space="preserve">ore similar colours reflect brain regions situated at similar points along the principal gradient – i.e. they resemble each other with respect to their patterns of intrinsic connectivity. </w:t>
      </w:r>
      <w:r w:rsidRPr="006436AC">
        <w:rPr>
          <w:rFonts w:ascii="Arial" w:hAnsi="Arial" w:cs="Arial"/>
          <w:sz w:val="20"/>
          <w:szCs w:val="20"/>
        </w:rPr>
        <w:t>C – Correlation between the task gradient for matching trial</w:t>
      </w:r>
      <w:r w:rsidR="00AB7030" w:rsidRPr="006436AC">
        <w:rPr>
          <w:rFonts w:ascii="Arial" w:hAnsi="Arial" w:cs="Arial"/>
          <w:sz w:val="20"/>
          <w:szCs w:val="20"/>
        </w:rPr>
        <w:t>s and the connectivity gradient</w:t>
      </w:r>
      <w:r w:rsidR="00160261"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(Margulies et al., 2016)</w:t>
      </w:r>
      <w:r w:rsidRPr="006436AC">
        <w:rPr>
          <w:rFonts w:ascii="Arial" w:hAnsi="Arial" w:cs="Arial"/>
          <w:sz w:val="20"/>
          <w:szCs w:val="20"/>
        </w:rPr>
        <w:fldChar w:fldCharType="end"/>
      </w:r>
      <w:r w:rsidRPr="006436AC">
        <w:rPr>
          <w:rFonts w:ascii="Arial" w:hAnsi="Arial" w:cs="Arial"/>
          <w:sz w:val="20"/>
          <w:szCs w:val="20"/>
        </w:rPr>
        <w:t xml:space="preserve"> across the whole brain. D – The connectivity gradient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(Margulies et al., 2016)</w:t>
      </w:r>
      <w:r w:rsidRPr="006436AC">
        <w:rPr>
          <w:rFonts w:ascii="Arial" w:hAnsi="Arial" w:cs="Arial"/>
          <w:sz w:val="20"/>
          <w:szCs w:val="20"/>
        </w:rPr>
        <w:fldChar w:fldCharType="end"/>
      </w:r>
      <w:r w:rsidRPr="006436AC">
        <w:rPr>
          <w:rFonts w:ascii="Arial" w:hAnsi="Arial" w:cs="Arial"/>
          <w:sz w:val="20"/>
          <w:szCs w:val="20"/>
        </w:rPr>
        <w:t xml:space="preserve"> within a semantic mask defined using Neurosynth, divided into decile bins according to gradient value: Bin 1 is located towards the unimodal end, while bin 10 is at the heteromodal end of the principal gradient. E – The effect of the task gradient in each bin of the connectivity gradient within the semantic mask, showing that the response to the task changes in an orderly way. F – Correlation </w:t>
      </w:r>
      <w:r w:rsidRPr="006436AC">
        <w:rPr>
          <w:rFonts w:ascii="Arial" w:hAnsi="Arial" w:cs="Arial"/>
          <w:sz w:val="20"/>
          <w:szCs w:val="20"/>
        </w:rPr>
        <w:lastRenderedPageBreak/>
        <w:t>between the task gradient for matching trial</w:t>
      </w:r>
      <w:r w:rsidR="00AB7030" w:rsidRPr="006436AC">
        <w:rPr>
          <w:rFonts w:ascii="Arial" w:hAnsi="Arial" w:cs="Arial"/>
          <w:sz w:val="20"/>
          <w:szCs w:val="20"/>
        </w:rPr>
        <w:t>s and the connectivity gradient</w:t>
      </w:r>
      <w:r w:rsidR="00160261"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(Margulies et al., 2016)</w:t>
      </w:r>
      <w:r w:rsidRPr="006436AC">
        <w:rPr>
          <w:rFonts w:ascii="Arial" w:hAnsi="Arial" w:cs="Arial"/>
          <w:sz w:val="20"/>
          <w:szCs w:val="20"/>
        </w:rPr>
        <w:fldChar w:fldCharType="end"/>
      </w:r>
      <w:r w:rsidRPr="006436AC">
        <w:rPr>
          <w:rFonts w:ascii="Arial" w:hAnsi="Arial" w:cs="Arial"/>
          <w:sz w:val="20"/>
          <w:szCs w:val="20"/>
        </w:rPr>
        <w:t xml:space="preserve"> within the semantic mask defined using Neurosynth.</w:t>
      </w:r>
    </w:p>
    <w:p w14:paraId="7AAC9F34" w14:textId="18AB34F2" w:rsidR="00E93BF5" w:rsidRPr="006436AC" w:rsidRDefault="00E93BF5" w:rsidP="000E64FB">
      <w:pPr>
        <w:pStyle w:val="Style3"/>
        <w:rPr>
          <w:color w:val="auto"/>
          <w:szCs w:val="20"/>
        </w:rPr>
      </w:pPr>
      <w:r w:rsidRPr="006436AC">
        <w:rPr>
          <w:color w:val="auto"/>
          <w:szCs w:val="20"/>
        </w:rPr>
        <w:t xml:space="preserve">3.3. </w:t>
      </w:r>
      <w:r w:rsidR="0001094C" w:rsidRPr="006436AC">
        <w:rPr>
          <w:color w:val="auto"/>
          <w:szCs w:val="20"/>
        </w:rPr>
        <w:t xml:space="preserve">Correlation between the task gradient for matching trials and the connectivity gradient </w:t>
      </w:r>
    </w:p>
    <w:p w14:paraId="2E24F8E2" w14:textId="51CF8FD1" w:rsidR="0001094C" w:rsidRPr="006436AC" w:rsidRDefault="0001094C"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Margulies and colleagues found the principal gradient of connectivity (Figure </w:t>
      </w:r>
      <w:r w:rsidR="002B6A66" w:rsidRPr="006436AC">
        <w:rPr>
          <w:rFonts w:ascii="Arial" w:hAnsi="Arial" w:cs="Arial"/>
          <w:sz w:val="20"/>
          <w:szCs w:val="20"/>
        </w:rPr>
        <w:t>3</w:t>
      </w:r>
      <w:r w:rsidRPr="006436AC">
        <w:rPr>
          <w:rFonts w:ascii="Arial" w:hAnsi="Arial" w:cs="Arial"/>
          <w:sz w:val="20"/>
          <w:szCs w:val="20"/>
        </w:rPr>
        <w:t xml:space="preserve">B) was anchored at one end by heteromodal DMN regions, and at the other end by unimodal sensory-motor cortex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(Margulies et al., 2016)</w:t>
      </w:r>
      <w:r w:rsidRPr="006436AC">
        <w:rPr>
          <w:rFonts w:ascii="Arial" w:hAnsi="Arial" w:cs="Arial"/>
          <w:sz w:val="20"/>
          <w:szCs w:val="20"/>
        </w:rPr>
        <w:fldChar w:fldCharType="end"/>
      </w:r>
      <w:r w:rsidRPr="006436AC">
        <w:rPr>
          <w:rFonts w:ascii="Arial" w:hAnsi="Arial" w:cs="Arial"/>
          <w:sz w:val="20"/>
          <w:szCs w:val="20"/>
        </w:rPr>
        <w:t>.</w:t>
      </w:r>
      <w:r w:rsidR="00AC4214" w:rsidRPr="006436AC">
        <w:rPr>
          <w:rFonts w:ascii="Arial" w:hAnsi="Arial" w:cs="Arial"/>
          <w:sz w:val="20"/>
          <w:szCs w:val="20"/>
        </w:rPr>
        <w:t xml:space="preserve"> </w:t>
      </w:r>
      <w:r w:rsidRPr="006436AC">
        <w:rPr>
          <w:rFonts w:ascii="Arial" w:hAnsi="Arial" w:cs="Arial"/>
          <w:sz w:val="20"/>
          <w:szCs w:val="20"/>
        </w:rPr>
        <w:t xml:space="preserve">We found a significant positive correlation between this connectivity gradient and the task gradient </w:t>
      </w:r>
      <w:r w:rsidR="006D396C" w:rsidRPr="006436AC">
        <w:rPr>
          <w:rFonts w:ascii="Arial" w:hAnsi="Arial" w:cs="Arial"/>
          <w:sz w:val="20"/>
          <w:szCs w:val="20"/>
        </w:rPr>
        <w:t>(</w:t>
      </w:r>
      <w:r w:rsidRPr="006436AC">
        <w:rPr>
          <w:rFonts w:ascii="Arial" w:hAnsi="Arial" w:cs="Arial"/>
          <w:sz w:val="20"/>
          <w:szCs w:val="20"/>
        </w:rPr>
        <w:t xml:space="preserve">corresponding to the effect of global semantic overlap </w:t>
      </w:r>
      <w:r w:rsidR="001714A5" w:rsidRPr="006436AC">
        <w:rPr>
          <w:rFonts w:ascii="Arial" w:hAnsi="Arial" w:cs="Arial"/>
          <w:sz w:val="20"/>
          <w:szCs w:val="20"/>
        </w:rPr>
        <w:t>when</w:t>
      </w:r>
      <w:r w:rsidRPr="006436AC">
        <w:rPr>
          <w:rFonts w:ascii="Arial" w:hAnsi="Arial" w:cs="Arial"/>
          <w:sz w:val="20"/>
          <w:szCs w:val="20"/>
        </w:rPr>
        <w:t xml:space="preserve"> the probe and target shared the task-relevant feature</w:t>
      </w:r>
      <w:r w:rsidR="006D396C" w:rsidRPr="006436AC">
        <w:rPr>
          <w:rFonts w:ascii="Arial" w:hAnsi="Arial" w:cs="Arial"/>
          <w:sz w:val="20"/>
          <w:szCs w:val="20"/>
        </w:rPr>
        <w:t>)</w:t>
      </w:r>
      <w:r w:rsidRPr="006436AC">
        <w:rPr>
          <w:rFonts w:ascii="Arial" w:hAnsi="Arial" w:cs="Arial"/>
          <w:sz w:val="20"/>
          <w:szCs w:val="20"/>
        </w:rPr>
        <w:t xml:space="preserve">. This correlation was significant across the whole brain (Figure </w:t>
      </w:r>
      <w:r w:rsidR="002B6A66" w:rsidRPr="006436AC">
        <w:rPr>
          <w:rFonts w:ascii="Arial" w:hAnsi="Arial" w:cs="Arial"/>
          <w:sz w:val="20"/>
          <w:szCs w:val="20"/>
        </w:rPr>
        <w:t>3</w:t>
      </w:r>
      <w:r w:rsidRPr="006436AC">
        <w:rPr>
          <w:rFonts w:ascii="Arial" w:hAnsi="Arial" w:cs="Arial"/>
          <w:sz w:val="20"/>
          <w:szCs w:val="20"/>
        </w:rPr>
        <w:t>C) and was stronger when only voxels associated with semantic processing (falling within a semantic mask from Neurosynth</w:t>
      </w:r>
      <w:r w:rsidR="00BF7A33" w:rsidRPr="006436AC">
        <w:rPr>
          <w:rFonts w:ascii="Arial" w:hAnsi="Arial" w:cs="Arial"/>
          <w:sz w:val="20"/>
          <w:szCs w:val="20"/>
        </w:rPr>
        <w:t xml:space="preserve">) (Figure </w:t>
      </w:r>
      <w:r w:rsidR="002B6A66" w:rsidRPr="006436AC">
        <w:rPr>
          <w:rFonts w:ascii="Arial" w:hAnsi="Arial" w:cs="Arial"/>
          <w:sz w:val="20"/>
          <w:szCs w:val="20"/>
        </w:rPr>
        <w:t>3</w:t>
      </w:r>
      <w:r w:rsidR="00BF7A33" w:rsidRPr="006436AC">
        <w:rPr>
          <w:rFonts w:ascii="Arial" w:hAnsi="Arial" w:cs="Arial"/>
          <w:sz w:val="20"/>
          <w:szCs w:val="20"/>
        </w:rPr>
        <w:t>D</w:t>
      </w:r>
      <w:r w:rsidRPr="006436AC">
        <w:rPr>
          <w:rFonts w:ascii="Arial" w:hAnsi="Arial" w:cs="Arial"/>
          <w:sz w:val="20"/>
          <w:szCs w:val="20"/>
        </w:rPr>
        <w:t xml:space="preserve">) were included (Figure </w:t>
      </w:r>
      <w:r w:rsidR="002B6A66" w:rsidRPr="006436AC">
        <w:rPr>
          <w:rFonts w:ascii="Arial" w:hAnsi="Arial" w:cs="Arial"/>
          <w:sz w:val="20"/>
          <w:szCs w:val="20"/>
        </w:rPr>
        <w:t>3</w:t>
      </w:r>
      <w:r w:rsidR="00BF7A33" w:rsidRPr="006436AC">
        <w:rPr>
          <w:rFonts w:ascii="Arial" w:hAnsi="Arial" w:cs="Arial"/>
          <w:sz w:val="20"/>
          <w:szCs w:val="20"/>
        </w:rPr>
        <w:t>F</w:t>
      </w:r>
      <w:r w:rsidR="006D396C" w:rsidRPr="006436AC">
        <w:rPr>
          <w:rFonts w:ascii="Arial" w:hAnsi="Arial" w:cs="Arial"/>
          <w:sz w:val="20"/>
          <w:szCs w:val="20"/>
        </w:rPr>
        <w:t>). T</w:t>
      </w:r>
      <w:r w:rsidRPr="006436AC">
        <w:rPr>
          <w:rFonts w:ascii="Arial" w:hAnsi="Arial" w:cs="Arial"/>
          <w:sz w:val="20"/>
          <w:szCs w:val="20"/>
        </w:rPr>
        <w:t xml:space="preserve">here was a significant difference between these two </w:t>
      </w:r>
      <w:r w:rsidR="001E277B" w:rsidRPr="006436AC">
        <w:rPr>
          <w:rFonts w:ascii="Arial" w:hAnsi="Arial" w:cs="Arial"/>
          <w:sz w:val="20"/>
          <w:szCs w:val="20"/>
        </w:rPr>
        <w:t xml:space="preserve">correlation coefficients </w:t>
      </w:r>
      <w:r w:rsidR="006D396C" w:rsidRPr="006436AC">
        <w:rPr>
          <w:rFonts w:ascii="Arial" w:hAnsi="Arial" w:cs="Arial"/>
          <w:sz w:val="20"/>
          <w:szCs w:val="20"/>
        </w:rPr>
        <w:t>(</w:t>
      </w:r>
      <w:r w:rsidR="001E277B" w:rsidRPr="006436AC">
        <w:rPr>
          <w:rFonts w:ascii="Arial" w:hAnsi="Arial" w:cs="Arial"/>
          <w:sz w:val="20"/>
          <w:szCs w:val="20"/>
        </w:rPr>
        <w:t>z = 26</w:t>
      </w:r>
      <w:r w:rsidRPr="006436AC">
        <w:rPr>
          <w:rFonts w:ascii="Arial" w:hAnsi="Arial" w:cs="Arial"/>
          <w:sz w:val="20"/>
          <w:szCs w:val="20"/>
        </w:rPr>
        <w:t>.</w:t>
      </w:r>
      <w:r w:rsidR="001E277B" w:rsidRPr="006436AC">
        <w:rPr>
          <w:rFonts w:ascii="Arial" w:hAnsi="Arial" w:cs="Arial"/>
          <w:sz w:val="20"/>
          <w:szCs w:val="20"/>
        </w:rPr>
        <w:t>48</w:t>
      </w:r>
      <w:r w:rsidRPr="006436AC">
        <w:rPr>
          <w:rFonts w:ascii="Arial" w:hAnsi="Arial" w:cs="Arial"/>
          <w:sz w:val="20"/>
          <w:szCs w:val="20"/>
        </w:rPr>
        <w:t xml:space="preserve">, p &lt; 0.001), showing </w:t>
      </w:r>
      <w:r w:rsidR="006D396C" w:rsidRPr="006436AC">
        <w:rPr>
          <w:rFonts w:ascii="Arial" w:hAnsi="Arial" w:cs="Arial"/>
          <w:sz w:val="20"/>
          <w:szCs w:val="20"/>
        </w:rPr>
        <w:t xml:space="preserve">that </w:t>
      </w:r>
      <w:r w:rsidRPr="006436AC">
        <w:rPr>
          <w:rFonts w:ascii="Arial" w:hAnsi="Arial" w:cs="Arial"/>
          <w:sz w:val="20"/>
          <w:szCs w:val="20"/>
        </w:rPr>
        <w:t xml:space="preserve">the relationship between the task gradient and the connectivity gradient is to some extent specific to brain regions relevant to semantic processing. </w:t>
      </w:r>
      <w:r w:rsidR="001A796C" w:rsidRPr="006436AC">
        <w:rPr>
          <w:rFonts w:ascii="Arial" w:hAnsi="Arial" w:cs="Arial"/>
          <w:sz w:val="20"/>
          <w:szCs w:val="20"/>
        </w:rPr>
        <w:t xml:space="preserve">The significant correlation exceeded the null distribution based on permutation of the connectivity gradient values </w:t>
      </w:r>
      <w:r w:rsidR="001A796C" w:rsidRPr="006436AC">
        <w:rPr>
          <w:rFonts w:ascii="Arial" w:hAnsi="Arial" w:cs="Arial"/>
          <w:sz w:val="20"/>
          <w:szCs w:val="20"/>
        </w:rPr>
        <w:fldChar w:fldCharType="begin" w:fldLock="1"/>
      </w:r>
      <w:r w:rsidR="001A796C"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001A796C" w:rsidRPr="006436AC">
        <w:rPr>
          <w:rFonts w:ascii="Arial" w:hAnsi="Arial" w:cs="Arial"/>
          <w:sz w:val="20"/>
          <w:szCs w:val="20"/>
        </w:rPr>
        <w:fldChar w:fldCharType="separate"/>
      </w:r>
      <w:r w:rsidR="001A796C" w:rsidRPr="006436AC">
        <w:rPr>
          <w:rFonts w:ascii="Arial" w:hAnsi="Arial" w:cs="Arial"/>
          <w:noProof/>
          <w:sz w:val="20"/>
          <w:szCs w:val="20"/>
        </w:rPr>
        <w:t>(Margulies et al., 2016)</w:t>
      </w:r>
      <w:r w:rsidR="001A796C" w:rsidRPr="006436AC">
        <w:rPr>
          <w:rFonts w:ascii="Arial" w:hAnsi="Arial" w:cs="Arial"/>
          <w:sz w:val="20"/>
          <w:szCs w:val="20"/>
        </w:rPr>
        <w:fldChar w:fldCharType="end"/>
      </w:r>
      <w:r w:rsidR="001A796C" w:rsidRPr="006436AC">
        <w:rPr>
          <w:rFonts w:ascii="Arial" w:hAnsi="Arial" w:cs="Arial"/>
          <w:sz w:val="20"/>
          <w:szCs w:val="20"/>
        </w:rPr>
        <w:t xml:space="preserve">. </w:t>
      </w:r>
      <w:r w:rsidR="000A5911" w:rsidRPr="006436AC">
        <w:rPr>
          <w:rFonts w:ascii="Arial" w:hAnsi="Arial" w:cs="Arial"/>
          <w:sz w:val="20"/>
          <w:szCs w:val="20"/>
        </w:rPr>
        <w:t>The same principal gradient from</w:t>
      </w:r>
      <w:r w:rsidR="00483A2F" w:rsidRPr="006436AC">
        <w:rPr>
          <w:rFonts w:ascii="Arial" w:hAnsi="Arial" w:cs="Arial"/>
          <w:sz w:val="20"/>
          <w:szCs w:val="20"/>
        </w:rPr>
        <w:t xml:space="preserve"> unimodal </w:t>
      </w:r>
      <w:r w:rsidR="000A5911" w:rsidRPr="006436AC">
        <w:rPr>
          <w:rFonts w:ascii="Arial" w:hAnsi="Arial" w:cs="Arial"/>
          <w:sz w:val="20"/>
          <w:szCs w:val="20"/>
        </w:rPr>
        <w:t>sensory</w:t>
      </w:r>
      <w:r w:rsidR="00483A2F" w:rsidRPr="006436AC">
        <w:rPr>
          <w:rFonts w:ascii="Arial" w:hAnsi="Arial" w:cs="Arial"/>
          <w:sz w:val="20"/>
          <w:szCs w:val="20"/>
        </w:rPr>
        <w:t>-</w:t>
      </w:r>
      <w:r w:rsidR="000A5911" w:rsidRPr="006436AC">
        <w:rPr>
          <w:rFonts w:ascii="Arial" w:hAnsi="Arial" w:cs="Arial"/>
          <w:sz w:val="20"/>
          <w:szCs w:val="20"/>
        </w:rPr>
        <w:t>motor</w:t>
      </w:r>
      <w:r w:rsidR="00483A2F" w:rsidRPr="006436AC">
        <w:rPr>
          <w:rFonts w:ascii="Arial" w:hAnsi="Arial" w:cs="Arial"/>
          <w:sz w:val="20"/>
          <w:szCs w:val="20"/>
        </w:rPr>
        <w:t xml:space="preserve"> cortex</w:t>
      </w:r>
      <w:r w:rsidR="000A5911" w:rsidRPr="006436AC">
        <w:rPr>
          <w:rFonts w:ascii="Arial" w:hAnsi="Arial" w:cs="Arial"/>
          <w:sz w:val="20"/>
          <w:szCs w:val="20"/>
        </w:rPr>
        <w:t xml:space="preserve"> to</w:t>
      </w:r>
      <w:r w:rsidR="00483A2F" w:rsidRPr="006436AC">
        <w:rPr>
          <w:rFonts w:ascii="Arial" w:hAnsi="Arial" w:cs="Arial"/>
          <w:sz w:val="20"/>
          <w:szCs w:val="20"/>
        </w:rPr>
        <w:t xml:space="preserve"> heteromodal</w:t>
      </w:r>
      <w:r w:rsidR="000A5911" w:rsidRPr="006436AC">
        <w:rPr>
          <w:rFonts w:ascii="Arial" w:hAnsi="Arial" w:cs="Arial"/>
          <w:sz w:val="20"/>
          <w:szCs w:val="20"/>
        </w:rPr>
        <w:t xml:space="preserve"> DMN </w:t>
      </w:r>
      <w:r w:rsidR="00483A2F" w:rsidRPr="006436AC">
        <w:rPr>
          <w:rFonts w:ascii="Arial" w:hAnsi="Arial" w:cs="Arial"/>
          <w:sz w:val="20"/>
          <w:szCs w:val="20"/>
        </w:rPr>
        <w:t xml:space="preserve">regions </w:t>
      </w:r>
      <w:r w:rsidR="000A5911" w:rsidRPr="006436AC">
        <w:rPr>
          <w:rFonts w:ascii="Arial" w:hAnsi="Arial" w:cs="Arial"/>
          <w:sz w:val="20"/>
          <w:szCs w:val="20"/>
        </w:rPr>
        <w:t>was revealed using our own resting</w:t>
      </w:r>
      <w:r w:rsidR="00B274FF" w:rsidRPr="006436AC">
        <w:rPr>
          <w:rFonts w:ascii="Arial" w:hAnsi="Arial" w:cs="Arial"/>
          <w:sz w:val="20"/>
          <w:szCs w:val="20"/>
        </w:rPr>
        <w:t>-</w:t>
      </w:r>
      <w:r w:rsidR="000A5911" w:rsidRPr="006436AC">
        <w:rPr>
          <w:rFonts w:ascii="Arial" w:hAnsi="Arial" w:cs="Arial"/>
          <w:sz w:val="20"/>
          <w:szCs w:val="20"/>
        </w:rPr>
        <w:t>state</w:t>
      </w:r>
      <w:r w:rsidR="00B274FF" w:rsidRPr="006436AC">
        <w:rPr>
          <w:rFonts w:ascii="Arial" w:hAnsi="Arial" w:cs="Arial"/>
          <w:sz w:val="20"/>
          <w:szCs w:val="20"/>
        </w:rPr>
        <w:t xml:space="preserve"> fMRI</w:t>
      </w:r>
      <w:r w:rsidR="000A5911" w:rsidRPr="006436AC">
        <w:rPr>
          <w:rFonts w:ascii="Arial" w:hAnsi="Arial" w:cs="Arial"/>
          <w:sz w:val="20"/>
          <w:szCs w:val="20"/>
        </w:rPr>
        <w:t xml:space="preserve"> data</w:t>
      </w:r>
      <w:r w:rsidR="00501175" w:rsidRPr="006436AC">
        <w:rPr>
          <w:rFonts w:ascii="Arial" w:hAnsi="Arial" w:cs="Arial"/>
          <w:sz w:val="20"/>
          <w:szCs w:val="20"/>
        </w:rPr>
        <w:t xml:space="preserve">, </w:t>
      </w:r>
      <w:r w:rsidR="000A5911" w:rsidRPr="006436AC">
        <w:rPr>
          <w:rFonts w:ascii="Arial" w:hAnsi="Arial" w:cs="Arial"/>
          <w:sz w:val="20"/>
          <w:szCs w:val="20"/>
        </w:rPr>
        <w:t>indicated by the high correlation (r = 0.8, p = 0.000) between our connectivity gradient and the connectivity gradient from Margulies et al. (2016)</w:t>
      </w:r>
      <w:r w:rsidR="00501175" w:rsidRPr="006436AC">
        <w:rPr>
          <w:rFonts w:ascii="Arial" w:hAnsi="Arial" w:cs="Arial"/>
          <w:sz w:val="20"/>
          <w:szCs w:val="20"/>
        </w:rPr>
        <w:t xml:space="preserve"> (Supplementary Figure S6)</w:t>
      </w:r>
      <w:r w:rsidR="000A5911" w:rsidRPr="006436AC">
        <w:rPr>
          <w:rFonts w:ascii="Arial" w:hAnsi="Arial" w:cs="Arial"/>
          <w:sz w:val="20"/>
          <w:szCs w:val="20"/>
        </w:rPr>
        <w:t xml:space="preserve">. A similar correlation between the task gradient and connectivity gradient was observed across the whole brain (r = 0.37, p = 0.000, </w:t>
      </w:r>
      <w:r w:rsidR="00501175" w:rsidRPr="006436AC">
        <w:rPr>
          <w:rFonts w:ascii="Arial" w:hAnsi="Arial" w:cs="Arial"/>
          <w:sz w:val="20"/>
          <w:szCs w:val="20"/>
        </w:rPr>
        <w:t xml:space="preserve">Supplementary </w:t>
      </w:r>
      <w:r w:rsidR="000A5911" w:rsidRPr="006436AC">
        <w:rPr>
          <w:rFonts w:ascii="Arial" w:hAnsi="Arial" w:cs="Arial"/>
          <w:sz w:val="20"/>
          <w:szCs w:val="20"/>
        </w:rPr>
        <w:t xml:space="preserve">Figure S6). </w:t>
      </w:r>
      <w:r w:rsidRPr="006436AC">
        <w:rPr>
          <w:rFonts w:ascii="Arial" w:hAnsi="Arial" w:cs="Arial"/>
          <w:sz w:val="20"/>
          <w:szCs w:val="20"/>
        </w:rPr>
        <w:t>A similar positive correlation between the connectivity gradient and the task gradient was observed for non-matching trials, when the target feature was not shared between the probe and target concepts (</w:t>
      </w:r>
      <w:r w:rsidR="006D396C" w:rsidRPr="006436AC">
        <w:rPr>
          <w:rFonts w:ascii="Arial" w:hAnsi="Arial" w:cs="Arial"/>
          <w:sz w:val="20"/>
          <w:szCs w:val="20"/>
        </w:rPr>
        <w:t>S</w:t>
      </w:r>
      <w:r w:rsidRPr="006436AC">
        <w:rPr>
          <w:rFonts w:ascii="Arial" w:hAnsi="Arial" w:cs="Arial"/>
          <w:sz w:val="20"/>
          <w:szCs w:val="20"/>
        </w:rPr>
        <w:t>upplementary Figure S</w:t>
      </w:r>
      <w:r w:rsidR="0090131F" w:rsidRPr="006436AC">
        <w:rPr>
          <w:rFonts w:ascii="Arial" w:hAnsi="Arial" w:cs="Arial"/>
          <w:sz w:val="20"/>
          <w:szCs w:val="20"/>
        </w:rPr>
        <w:t>3</w:t>
      </w:r>
      <w:r w:rsidRPr="006436AC">
        <w:rPr>
          <w:rFonts w:ascii="Arial" w:hAnsi="Arial" w:cs="Arial"/>
          <w:sz w:val="20"/>
          <w:szCs w:val="20"/>
        </w:rPr>
        <w:t>), even though global semantic similarity had the opposite effect on behavioural performance for matching and non-matching trials. This suggests that task difficulty is unlikely to fully account for systematic change in functional recruitment along the connectivity gradient.</w:t>
      </w:r>
    </w:p>
    <w:p w14:paraId="368D1271" w14:textId="04A6FF50" w:rsidR="0001094C" w:rsidRPr="006436AC" w:rsidRDefault="0001094C"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lastRenderedPageBreak/>
        <w:t>Next, to test whether a similar functional organi</w:t>
      </w:r>
      <w:r w:rsidR="00501175" w:rsidRPr="006436AC">
        <w:rPr>
          <w:rFonts w:ascii="Arial" w:hAnsi="Arial" w:cs="Arial"/>
          <w:sz w:val="20"/>
          <w:szCs w:val="20"/>
        </w:rPr>
        <w:t>z</w:t>
      </w:r>
      <w:r w:rsidRPr="006436AC">
        <w:rPr>
          <w:rFonts w:ascii="Arial" w:hAnsi="Arial" w:cs="Arial"/>
          <w:sz w:val="20"/>
          <w:szCs w:val="20"/>
        </w:rPr>
        <w:t>ation was present in multiple cortical zones, we calculated the correlation be</w:t>
      </w:r>
      <w:r w:rsidR="00AB7030" w:rsidRPr="006436AC">
        <w:rPr>
          <w:rFonts w:ascii="Arial" w:hAnsi="Arial" w:cs="Arial"/>
          <w:sz w:val="20"/>
          <w:szCs w:val="20"/>
        </w:rPr>
        <w:t>tween the connectivity gradient</w:t>
      </w:r>
      <w:r w:rsidR="00B274FF"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(Margulies et al., 2016)</w:t>
      </w:r>
      <w:r w:rsidRPr="006436AC">
        <w:rPr>
          <w:rFonts w:ascii="Arial" w:hAnsi="Arial" w:cs="Arial"/>
          <w:sz w:val="20"/>
          <w:szCs w:val="20"/>
        </w:rPr>
        <w:fldChar w:fldCharType="end"/>
      </w:r>
      <w:r w:rsidRPr="006436AC">
        <w:rPr>
          <w:rFonts w:ascii="Arial" w:hAnsi="Arial" w:cs="Arial"/>
          <w:sz w:val="20"/>
          <w:szCs w:val="20"/>
        </w:rPr>
        <w:t xml:space="preserve"> and the task gradient for the matching trials created through our parametric manipulation of global feature overlap. We focused on four anatomically-defined regions: left lateral frontal, left medial frontal, left lateral temporal, and left lateral parietal cortex (see Supplementary Methods), since these sites are extended across the connectivity gradient and they are also broadly implicated in semantic pro</w:t>
      </w:r>
      <w:r w:rsidR="00AB7030" w:rsidRPr="006436AC">
        <w:rPr>
          <w:rFonts w:ascii="Arial" w:hAnsi="Arial" w:cs="Arial"/>
          <w:sz w:val="20"/>
          <w:szCs w:val="20"/>
        </w:rPr>
        <w:t>cessing</w:t>
      </w:r>
      <w:r w:rsidR="00160261" w:rsidRPr="006436AC">
        <w:rPr>
          <w:rFonts w:ascii="Arial" w:hAnsi="Arial" w:cs="Arial"/>
          <w:sz w:val="20"/>
          <w:szCs w:val="20"/>
        </w:rPr>
        <w:t xml:space="preserve"> </w:t>
      </w:r>
      <w:r w:rsidRPr="006436AC">
        <w:rPr>
          <w:rFonts w:ascii="Arial" w:hAnsi="Arial" w:cs="Arial"/>
          <w:sz w:val="20"/>
          <w:szCs w:val="20"/>
        </w:rPr>
        <w:fldChar w:fldCharType="begin" w:fldLock="1"/>
      </w:r>
      <w:r w:rsidR="002F0DB9"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organization","type":"article-journal","volume":"113"},"uris":["http://www.mendeley.com/documents/?uuid=15f00bbc-0ef2-4a4b-aab9-2f6b193aad3d"]},{"id":"ITEM-2","itemData":{"DOI":"10.1038/nrn.2016.150","ISSN":"1471-003X","abstract":"Our ability to use conceptual knowledge to support various behaviours is termed semantic cognition. In this Review, Lambon Ralph et al. argue that this ability arises from two interacting neural systems, one for representation and one for control.","author":[{"dropping-particle":"","family":"Ralph","given":"Matthew A. Lambon","non-dropping-particle":"","parse-names":false,"suffix":""},{"dropping-particle":"","family":"Jefferies","given":"Elizabeth","non-dropping-particle":"","parse-names":false,"suffix":""},{"dropping-particle":"","family":"Patterson","given":"Karalyn","non-dropping-particle":"","parse-names":false,"suffix":""},{"dropping-particle":"","family":"Rogers","given":"Timothy T.","non-dropping-particle":"","parse-names":false,"suffix":""}],"container-title":"Nature Reviews Neuroscience","id":"ITEM-2","issue":"1","issued":{"date-parts":[["2017","1","24"]]},"page":"42-55","publisher":"Nature Publishing Group","title":"The neural and computational bases of semantic cognition","type":"article-journal","volume":"18"},"uris":["http://www.mendeley.com/documents/?uuid=ab5d251e-b90a-365f-ace9-e3312f119924"]}],"mendeley":{"formattedCitation":"(Margulies et al., 2016; Ralph et al., 2017)","manualFormatting":"(Margulies et al., 2016; Lambon Ralph et al., 2017)","plainTextFormattedCitation":"(Margulies et al., 2016; Ralph et al., 2017)","previouslyFormattedCitation":"(Margulies et al., 2016; Ralph et al., 2017)"},"properties":{"noteIndex":0},"schema":"https://github.com/citation-style-language/schema/raw/master/csl-citation.json"}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 xml:space="preserve">(Margulies et al., 2016; </w:t>
      </w:r>
      <w:r w:rsidR="00160261" w:rsidRPr="006436AC">
        <w:rPr>
          <w:rFonts w:ascii="Arial" w:hAnsi="Arial" w:cs="Arial"/>
          <w:noProof/>
          <w:sz w:val="20"/>
          <w:szCs w:val="20"/>
        </w:rPr>
        <w:t xml:space="preserve">Lambon </w:t>
      </w:r>
      <w:r w:rsidR="00566455" w:rsidRPr="006436AC">
        <w:rPr>
          <w:rFonts w:ascii="Arial" w:hAnsi="Arial" w:cs="Arial"/>
          <w:noProof/>
          <w:sz w:val="20"/>
          <w:szCs w:val="20"/>
        </w:rPr>
        <w:t>Ralph et al., 2017)</w:t>
      </w:r>
      <w:r w:rsidRPr="006436AC">
        <w:rPr>
          <w:rFonts w:ascii="Arial" w:hAnsi="Arial" w:cs="Arial"/>
          <w:sz w:val="20"/>
          <w:szCs w:val="20"/>
        </w:rPr>
        <w:fldChar w:fldCharType="end"/>
      </w:r>
      <w:r w:rsidRPr="006436AC">
        <w:rPr>
          <w:rFonts w:ascii="Arial" w:hAnsi="Arial" w:cs="Arial"/>
          <w:sz w:val="20"/>
          <w:szCs w:val="20"/>
        </w:rPr>
        <w:t xml:space="preserve">. We found a significant correlation between the task gradient and the connectivity gradient in all four zones (Figure </w:t>
      </w:r>
      <w:r w:rsidR="002B6A66" w:rsidRPr="006436AC">
        <w:rPr>
          <w:rFonts w:ascii="Arial" w:hAnsi="Arial" w:cs="Arial"/>
          <w:sz w:val="20"/>
          <w:szCs w:val="20"/>
        </w:rPr>
        <w:t>4</w:t>
      </w:r>
      <w:r w:rsidRPr="006436AC">
        <w:rPr>
          <w:rFonts w:ascii="Arial" w:hAnsi="Arial" w:cs="Arial"/>
          <w:sz w:val="20"/>
          <w:szCs w:val="20"/>
        </w:rPr>
        <w:t>).</w:t>
      </w:r>
      <w:r w:rsidR="003B3162" w:rsidRPr="006436AC">
        <w:rPr>
          <w:rFonts w:ascii="Arial" w:hAnsi="Arial" w:cs="Arial"/>
          <w:sz w:val="20"/>
          <w:szCs w:val="20"/>
        </w:rPr>
        <w:t xml:space="preserve"> The significant correlation exceeded the null distribution based on permutation of the connectivity gradient values </w:t>
      </w:r>
      <w:r w:rsidR="003B3162" w:rsidRPr="006436AC">
        <w:rPr>
          <w:rFonts w:ascii="Arial" w:hAnsi="Arial" w:cs="Arial"/>
          <w:sz w:val="20"/>
          <w:szCs w:val="20"/>
        </w:rPr>
        <w:fldChar w:fldCharType="begin" w:fldLock="1"/>
      </w:r>
      <w:r w:rsidR="003B3162"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003B3162" w:rsidRPr="006436AC">
        <w:rPr>
          <w:rFonts w:ascii="Arial" w:hAnsi="Arial" w:cs="Arial"/>
          <w:sz w:val="20"/>
          <w:szCs w:val="20"/>
        </w:rPr>
        <w:fldChar w:fldCharType="separate"/>
      </w:r>
      <w:r w:rsidR="003B3162" w:rsidRPr="006436AC">
        <w:rPr>
          <w:rFonts w:ascii="Arial" w:hAnsi="Arial" w:cs="Arial"/>
          <w:noProof/>
          <w:sz w:val="20"/>
          <w:szCs w:val="20"/>
        </w:rPr>
        <w:t>(Margulies et al., 2016)</w:t>
      </w:r>
      <w:r w:rsidR="003B3162" w:rsidRPr="006436AC">
        <w:rPr>
          <w:rFonts w:ascii="Arial" w:hAnsi="Arial" w:cs="Arial"/>
          <w:sz w:val="20"/>
          <w:szCs w:val="20"/>
        </w:rPr>
        <w:fldChar w:fldCharType="end"/>
      </w:r>
      <w:r w:rsidR="003B3162" w:rsidRPr="006436AC">
        <w:rPr>
          <w:rFonts w:ascii="Arial" w:hAnsi="Arial" w:cs="Arial"/>
          <w:sz w:val="20"/>
          <w:szCs w:val="20"/>
        </w:rPr>
        <w:t>.</w:t>
      </w:r>
      <w:r w:rsidRPr="006436AC">
        <w:rPr>
          <w:rFonts w:ascii="Arial" w:hAnsi="Arial" w:cs="Arial"/>
          <w:sz w:val="20"/>
          <w:szCs w:val="20"/>
        </w:rPr>
        <w:t xml:space="preserve"> </w:t>
      </w:r>
    </w:p>
    <w:p w14:paraId="2C4D8057" w14:textId="26BD6B19" w:rsidR="00087B64" w:rsidRPr="006436AC" w:rsidRDefault="00950ADF" w:rsidP="000E64FB">
      <w:pPr>
        <w:spacing w:before="100" w:beforeAutospacing="1" w:after="100" w:afterAutospacing="1" w:line="480" w:lineRule="auto"/>
        <w:rPr>
          <w:rFonts w:ascii="Arial" w:hAnsi="Arial" w:cs="Arial"/>
          <w:sz w:val="20"/>
          <w:szCs w:val="20"/>
        </w:rPr>
      </w:pPr>
      <w:r w:rsidRPr="006436AC">
        <w:rPr>
          <w:rFonts w:ascii="Arial" w:hAnsi="Arial" w:cs="Arial"/>
          <w:noProof/>
          <w:sz w:val="20"/>
          <w:szCs w:val="20"/>
          <w:lang w:val="en-GB" w:eastAsia="en-GB"/>
        </w:rPr>
        <w:drawing>
          <wp:inline distT="0" distB="0" distL="0" distR="0" wp14:anchorId="4BC2706E" wp14:editId="3506E957">
            <wp:extent cx="5486400" cy="21894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2189480"/>
                    </a:xfrm>
                    <a:prstGeom prst="rect">
                      <a:avLst/>
                    </a:prstGeom>
                  </pic:spPr>
                </pic:pic>
              </a:graphicData>
            </a:graphic>
          </wp:inline>
        </w:drawing>
      </w:r>
    </w:p>
    <w:p w14:paraId="4C52A37C" w14:textId="3A7DD021" w:rsidR="00087B64" w:rsidRPr="006436AC" w:rsidRDefault="00087B64" w:rsidP="000E64FB">
      <w:pPr>
        <w:spacing w:before="100" w:beforeAutospacing="1" w:after="100" w:afterAutospacing="1" w:line="480" w:lineRule="auto"/>
        <w:rPr>
          <w:rFonts w:ascii="Arial" w:hAnsi="Arial" w:cs="Arial"/>
          <w:sz w:val="20"/>
          <w:szCs w:val="20"/>
        </w:rPr>
      </w:pPr>
      <w:r w:rsidRPr="006436AC">
        <w:rPr>
          <w:rFonts w:ascii="Arial" w:hAnsi="Arial" w:cs="Arial"/>
          <w:b/>
          <w:sz w:val="20"/>
          <w:szCs w:val="20"/>
        </w:rPr>
        <w:t xml:space="preserve">Figure </w:t>
      </w:r>
      <w:r w:rsidR="002B6A66" w:rsidRPr="006436AC">
        <w:rPr>
          <w:rFonts w:ascii="Arial" w:hAnsi="Arial" w:cs="Arial"/>
          <w:b/>
          <w:sz w:val="20"/>
          <w:szCs w:val="20"/>
        </w:rPr>
        <w:t>4</w:t>
      </w:r>
      <w:r w:rsidRPr="006436AC">
        <w:rPr>
          <w:rFonts w:ascii="Arial" w:hAnsi="Arial" w:cs="Arial"/>
          <w:b/>
          <w:sz w:val="20"/>
          <w:szCs w:val="20"/>
        </w:rPr>
        <w:t>.</w:t>
      </w:r>
      <w:r w:rsidRPr="006436AC">
        <w:rPr>
          <w:rFonts w:ascii="Arial" w:hAnsi="Arial" w:cs="Arial"/>
          <w:sz w:val="20"/>
          <w:szCs w:val="20"/>
        </w:rPr>
        <w:t xml:space="preserve"> A, B, C and D show the correlation between task gradient for matching t</w:t>
      </w:r>
      <w:r w:rsidR="00AB7030" w:rsidRPr="006436AC">
        <w:rPr>
          <w:rFonts w:ascii="Arial" w:hAnsi="Arial" w:cs="Arial"/>
          <w:sz w:val="20"/>
          <w:szCs w:val="20"/>
        </w:rPr>
        <w:t>rials and connectivity gradient</w:t>
      </w:r>
      <w:r w:rsidR="00160261"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(Margulies et al., 2016)</w:t>
      </w:r>
      <w:r w:rsidRPr="006436AC">
        <w:rPr>
          <w:rFonts w:ascii="Arial" w:hAnsi="Arial" w:cs="Arial"/>
          <w:sz w:val="20"/>
          <w:szCs w:val="20"/>
        </w:rPr>
        <w:fldChar w:fldCharType="end"/>
      </w:r>
      <w:r w:rsidRPr="006436AC">
        <w:rPr>
          <w:rFonts w:ascii="Arial" w:hAnsi="Arial" w:cs="Arial"/>
          <w:sz w:val="20"/>
          <w:szCs w:val="20"/>
        </w:rPr>
        <w:t xml:space="preserve"> in lateral frontal, medial frontal, lateral temporal and lateral parietal cortex, respectively. The colour represents each voxel’s value on the connectivity gradi</w:t>
      </w:r>
      <w:r w:rsidR="00AB7030" w:rsidRPr="006436AC">
        <w:rPr>
          <w:rFonts w:ascii="Arial" w:hAnsi="Arial" w:cs="Arial"/>
          <w:sz w:val="20"/>
          <w:szCs w:val="20"/>
        </w:rPr>
        <w:t>ent defined by</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2016)","manualFormatting":" Margulies et al. (2016)","plainTextFormattedCitation":"(Margulies et al., 2016)","previouslyFormattedCitation":"(Margulies et al., 2016)"},"properties":{"noteIndex":0},"schema":"https://github.com/citation-style-language/schema/raw/master/csl-citation.json"}</w:instrText>
      </w:r>
      <w:r w:rsidRPr="006436AC">
        <w:rPr>
          <w:rFonts w:ascii="Arial" w:hAnsi="Arial" w:cs="Arial"/>
          <w:sz w:val="20"/>
          <w:szCs w:val="20"/>
        </w:rPr>
        <w:fldChar w:fldCharType="separate"/>
      </w:r>
      <w:r w:rsidR="00160261" w:rsidRPr="006436AC">
        <w:rPr>
          <w:rFonts w:ascii="Arial" w:hAnsi="Arial" w:cs="Arial"/>
          <w:noProof/>
          <w:sz w:val="20"/>
          <w:szCs w:val="20"/>
        </w:rPr>
        <w:t xml:space="preserve"> </w:t>
      </w:r>
      <w:r w:rsidR="00566455" w:rsidRPr="006436AC">
        <w:rPr>
          <w:rFonts w:ascii="Arial" w:hAnsi="Arial" w:cs="Arial"/>
          <w:noProof/>
          <w:sz w:val="20"/>
          <w:szCs w:val="20"/>
        </w:rPr>
        <w:t>Margulies et al.</w:t>
      </w:r>
      <w:r w:rsidR="00160261" w:rsidRPr="006436AC">
        <w:rPr>
          <w:rFonts w:ascii="Arial" w:hAnsi="Arial" w:cs="Arial"/>
          <w:noProof/>
          <w:sz w:val="20"/>
          <w:szCs w:val="20"/>
        </w:rPr>
        <w:t xml:space="preserve"> (</w:t>
      </w:r>
      <w:r w:rsidR="00566455" w:rsidRPr="006436AC">
        <w:rPr>
          <w:rFonts w:ascii="Arial" w:hAnsi="Arial" w:cs="Arial"/>
          <w:noProof/>
          <w:sz w:val="20"/>
          <w:szCs w:val="20"/>
        </w:rPr>
        <w:t>2016)</w:t>
      </w:r>
      <w:r w:rsidRPr="006436AC">
        <w:rPr>
          <w:rFonts w:ascii="Arial" w:hAnsi="Arial" w:cs="Arial"/>
          <w:sz w:val="20"/>
          <w:szCs w:val="20"/>
        </w:rPr>
        <w:fldChar w:fldCharType="end"/>
      </w:r>
      <w:r w:rsidRPr="006436AC">
        <w:rPr>
          <w:rFonts w:ascii="Arial" w:hAnsi="Arial" w:cs="Arial"/>
          <w:sz w:val="20"/>
          <w:szCs w:val="20"/>
        </w:rPr>
        <w:t>.</w:t>
      </w:r>
      <w:r w:rsidRPr="006436AC" w:rsidDel="002A0967">
        <w:rPr>
          <w:rFonts w:ascii="Arial" w:hAnsi="Arial" w:cs="Arial"/>
          <w:sz w:val="20"/>
          <w:szCs w:val="20"/>
        </w:rPr>
        <w:t xml:space="preserve"> </w:t>
      </w:r>
    </w:p>
    <w:p w14:paraId="4C8A7A17" w14:textId="6CFDB9B4" w:rsidR="00E93BF5" w:rsidRPr="006436AC" w:rsidRDefault="00E93BF5" w:rsidP="000E64FB">
      <w:pPr>
        <w:pStyle w:val="Style3"/>
        <w:rPr>
          <w:color w:val="auto"/>
          <w:szCs w:val="20"/>
        </w:rPr>
      </w:pPr>
      <w:r w:rsidRPr="006436AC">
        <w:rPr>
          <w:color w:val="auto"/>
          <w:szCs w:val="20"/>
        </w:rPr>
        <w:t xml:space="preserve">3.4. </w:t>
      </w:r>
      <w:r w:rsidR="0001094C" w:rsidRPr="006436AC">
        <w:rPr>
          <w:color w:val="auto"/>
          <w:szCs w:val="20"/>
        </w:rPr>
        <w:t xml:space="preserve">Systematic change in the effect of the task gradient along the connectivity gradient </w:t>
      </w:r>
    </w:p>
    <w:p w14:paraId="48595689" w14:textId="520C0B92" w:rsidR="0001094C" w:rsidRPr="006436AC" w:rsidRDefault="0001094C"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To establish if the response to the task gradient for matching trials changed in a systematic way along the connectivity gradient</w:t>
      </w:r>
      <w:r w:rsidR="00E82A29" w:rsidRPr="006436AC">
        <w:rPr>
          <w:rFonts w:ascii="Arial" w:hAnsi="Arial" w:cs="Arial"/>
          <w:sz w:val="20"/>
          <w:szCs w:val="20"/>
        </w:rPr>
        <w:t xml:space="preserve"> </w:t>
      </w:r>
      <w:r w:rsidR="005A1E51"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005A1E51" w:rsidRPr="006436AC">
        <w:rPr>
          <w:rFonts w:ascii="Arial" w:hAnsi="Arial" w:cs="Arial"/>
          <w:sz w:val="20"/>
          <w:szCs w:val="20"/>
        </w:rPr>
        <w:fldChar w:fldCharType="separate"/>
      </w:r>
      <w:r w:rsidR="00566455" w:rsidRPr="006436AC">
        <w:rPr>
          <w:rFonts w:ascii="Arial" w:hAnsi="Arial" w:cs="Arial"/>
          <w:noProof/>
          <w:sz w:val="20"/>
          <w:szCs w:val="20"/>
        </w:rPr>
        <w:t>(Margulies et al., 2016)</w:t>
      </w:r>
      <w:r w:rsidR="005A1E51" w:rsidRPr="006436AC">
        <w:rPr>
          <w:rFonts w:ascii="Arial" w:hAnsi="Arial" w:cs="Arial"/>
          <w:sz w:val="20"/>
          <w:szCs w:val="20"/>
        </w:rPr>
        <w:fldChar w:fldCharType="end"/>
      </w:r>
      <w:r w:rsidRPr="006436AC">
        <w:rPr>
          <w:rFonts w:ascii="Arial" w:hAnsi="Arial" w:cs="Arial"/>
          <w:sz w:val="20"/>
          <w:szCs w:val="20"/>
        </w:rPr>
        <w:t xml:space="preserve"> within the semantic mask, we extracted the beta values corresponding to the effect of global semantic similarity within </w:t>
      </w:r>
      <w:r w:rsidRPr="006436AC">
        <w:rPr>
          <w:rFonts w:ascii="Arial" w:hAnsi="Arial" w:cs="Arial"/>
          <w:sz w:val="20"/>
          <w:szCs w:val="20"/>
        </w:rPr>
        <w:lastRenderedPageBreak/>
        <w:t xml:space="preserve">successive bins along the connectivity gradient (Figure </w:t>
      </w:r>
      <w:r w:rsidR="002B6A66" w:rsidRPr="006436AC">
        <w:rPr>
          <w:rFonts w:ascii="Arial" w:hAnsi="Arial" w:cs="Arial"/>
          <w:sz w:val="20"/>
          <w:szCs w:val="20"/>
        </w:rPr>
        <w:t>3</w:t>
      </w:r>
      <w:r w:rsidRPr="006436AC">
        <w:rPr>
          <w:rFonts w:ascii="Arial" w:hAnsi="Arial" w:cs="Arial"/>
          <w:sz w:val="20"/>
          <w:szCs w:val="20"/>
        </w:rPr>
        <w:t xml:space="preserve">D) and examined whether the task response showed a linear change across these bins (Figure </w:t>
      </w:r>
      <w:r w:rsidR="002B6A66" w:rsidRPr="006436AC">
        <w:rPr>
          <w:rFonts w:ascii="Arial" w:hAnsi="Arial" w:cs="Arial"/>
          <w:sz w:val="20"/>
          <w:szCs w:val="20"/>
        </w:rPr>
        <w:t>3</w:t>
      </w:r>
      <w:r w:rsidRPr="006436AC">
        <w:rPr>
          <w:rFonts w:ascii="Arial" w:hAnsi="Arial" w:cs="Arial"/>
          <w:sz w:val="20"/>
          <w:szCs w:val="20"/>
        </w:rPr>
        <w:t>E). Since the connectivity gradient varies with</w:t>
      </w:r>
      <w:r w:rsidR="00AB7030" w:rsidRPr="006436AC">
        <w:rPr>
          <w:rFonts w:ascii="Arial" w:hAnsi="Arial" w:cs="Arial"/>
          <w:sz w:val="20"/>
          <w:szCs w:val="20"/>
        </w:rPr>
        <w:t xml:space="preserve"> physical distance from the DMN</w:t>
      </w:r>
      <w:r w:rsidR="005C5898"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(Margulies et al., 2016)</w:t>
      </w:r>
      <w:r w:rsidRPr="006436AC">
        <w:rPr>
          <w:rFonts w:ascii="Arial" w:hAnsi="Arial" w:cs="Arial"/>
          <w:sz w:val="20"/>
          <w:szCs w:val="20"/>
        </w:rPr>
        <w:fldChar w:fldCharType="end"/>
      </w:r>
      <w:r w:rsidRPr="006436AC">
        <w:rPr>
          <w:rFonts w:ascii="Arial" w:hAnsi="Arial" w:cs="Arial"/>
          <w:sz w:val="20"/>
          <w:szCs w:val="20"/>
        </w:rPr>
        <w:t xml:space="preserve">, a linear trend would suggest that the response to the semantic task changes </w:t>
      </w:r>
      <w:r w:rsidR="006D396C" w:rsidRPr="006436AC">
        <w:rPr>
          <w:rFonts w:ascii="Arial" w:hAnsi="Arial" w:cs="Arial"/>
          <w:sz w:val="20"/>
          <w:szCs w:val="20"/>
        </w:rPr>
        <w:t xml:space="preserve">systematically </w:t>
      </w:r>
      <w:r w:rsidRPr="006436AC">
        <w:rPr>
          <w:rFonts w:ascii="Arial" w:hAnsi="Arial" w:cs="Arial"/>
          <w:sz w:val="20"/>
          <w:szCs w:val="20"/>
        </w:rPr>
        <w:t xml:space="preserve">along the cortical surface. There were ten bins based on deciles, which contained voxels falling within 10% bands along the connectivity gradient, from bin 1 located towards the sensory-motor end of the gradient, through to bin 10 at the heteromodal end overlapping with the DMN (shown in Figure </w:t>
      </w:r>
      <w:r w:rsidR="002B6A66" w:rsidRPr="006436AC">
        <w:rPr>
          <w:rFonts w:ascii="Arial" w:hAnsi="Arial" w:cs="Arial"/>
          <w:sz w:val="20"/>
          <w:szCs w:val="20"/>
        </w:rPr>
        <w:t>3</w:t>
      </w:r>
      <w:r w:rsidRPr="006436AC">
        <w:rPr>
          <w:rFonts w:ascii="Arial" w:hAnsi="Arial" w:cs="Arial"/>
          <w:sz w:val="20"/>
          <w:szCs w:val="20"/>
        </w:rPr>
        <w:t>D). We characterised the effect of the task gradient within each bin, for each run and for each participant separately, and performed a linear contrast analysis within a linear mixed effects model, including participant and run as a random effect. There was a linear change along the connectivity gradient in the effect of global feature similarity, indicating an orderly relationship between the task gradient and the connectivity gradient</w:t>
      </w:r>
      <w:r w:rsidR="00E82A29" w:rsidRPr="006436AC">
        <w:rPr>
          <w:rFonts w:ascii="Arial" w:hAnsi="Arial" w:cs="Arial"/>
          <w:sz w:val="20"/>
          <w:szCs w:val="20"/>
        </w:rPr>
        <w:t xml:space="preserve"> </w:t>
      </w:r>
      <w:r w:rsidR="005A1E51"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005A1E51" w:rsidRPr="006436AC">
        <w:rPr>
          <w:rFonts w:ascii="Arial" w:hAnsi="Arial" w:cs="Arial"/>
          <w:sz w:val="20"/>
          <w:szCs w:val="20"/>
        </w:rPr>
        <w:fldChar w:fldCharType="separate"/>
      </w:r>
      <w:r w:rsidR="00566455" w:rsidRPr="006436AC">
        <w:rPr>
          <w:rFonts w:ascii="Arial" w:hAnsi="Arial" w:cs="Arial"/>
          <w:noProof/>
          <w:sz w:val="20"/>
          <w:szCs w:val="20"/>
        </w:rPr>
        <w:t>(Margulies et al., 2016)</w:t>
      </w:r>
      <w:r w:rsidR="005A1E51" w:rsidRPr="006436AC">
        <w:rPr>
          <w:rFonts w:ascii="Arial" w:hAnsi="Arial" w:cs="Arial"/>
          <w:sz w:val="20"/>
          <w:szCs w:val="20"/>
        </w:rPr>
        <w:fldChar w:fldCharType="end"/>
      </w:r>
      <w:r w:rsidRPr="006436AC">
        <w:rPr>
          <w:rFonts w:ascii="Arial" w:hAnsi="Arial" w:cs="Arial"/>
          <w:sz w:val="20"/>
          <w:szCs w:val="20"/>
        </w:rPr>
        <w:t xml:space="preserve">. Positive parameter estimates, corresponding to a stronger BOLD response for trials with high global feature similarity in the DMN, gradually reduced in magnitude and became negative at the sensorimotor end of the gradient, reflecting a stronger response for trials with lower global feature similarity (t = 2.36, p = 0.02, Figure </w:t>
      </w:r>
      <w:r w:rsidR="002B6A66" w:rsidRPr="006436AC">
        <w:rPr>
          <w:rFonts w:ascii="Arial" w:hAnsi="Arial" w:cs="Arial"/>
          <w:sz w:val="20"/>
          <w:szCs w:val="20"/>
        </w:rPr>
        <w:t>3</w:t>
      </w:r>
      <w:r w:rsidRPr="006436AC">
        <w:rPr>
          <w:rFonts w:ascii="Arial" w:hAnsi="Arial" w:cs="Arial"/>
          <w:sz w:val="20"/>
          <w:szCs w:val="20"/>
        </w:rPr>
        <w:t>E). None of the higher order effects, such as quadratic and cubic effects, improved the model fit over the linear effect at p &lt; 0.05. To test the robustness of the linear effect between the effect of the task manipulation and the connectivity gradient bin, we repeated the analysis using 20 bins along the connectivity gradient and obs</w:t>
      </w:r>
      <w:r w:rsidR="0093625A" w:rsidRPr="006436AC">
        <w:rPr>
          <w:rFonts w:ascii="Arial" w:hAnsi="Arial" w:cs="Arial"/>
          <w:sz w:val="20"/>
          <w:szCs w:val="20"/>
        </w:rPr>
        <w:t>erved the same effects (t = 2.72, p = 0.01</w:t>
      </w:r>
      <w:r w:rsidRPr="006436AC">
        <w:rPr>
          <w:rFonts w:ascii="Arial" w:hAnsi="Arial" w:cs="Arial"/>
          <w:sz w:val="20"/>
          <w:szCs w:val="20"/>
        </w:rPr>
        <w:t>; Supplementary Figure S</w:t>
      </w:r>
      <w:r w:rsidR="00501175" w:rsidRPr="006436AC">
        <w:rPr>
          <w:rFonts w:ascii="Arial" w:hAnsi="Arial" w:cs="Arial"/>
          <w:sz w:val="20"/>
          <w:szCs w:val="20"/>
        </w:rPr>
        <w:t>7</w:t>
      </w:r>
      <w:r w:rsidRPr="006436AC">
        <w:rPr>
          <w:rFonts w:ascii="Arial" w:hAnsi="Arial" w:cs="Arial"/>
          <w:sz w:val="20"/>
          <w:szCs w:val="20"/>
        </w:rPr>
        <w:t>). The parameter estimates and further information about the modelling approach are provided in Supplementary Materials.</w:t>
      </w:r>
    </w:p>
    <w:p w14:paraId="1DF38AE2" w14:textId="6E7259DF" w:rsidR="00E93BF5" w:rsidRPr="006436AC" w:rsidRDefault="00E93BF5" w:rsidP="000E64FB">
      <w:pPr>
        <w:pStyle w:val="Style3"/>
        <w:rPr>
          <w:color w:val="auto"/>
          <w:szCs w:val="20"/>
        </w:rPr>
      </w:pPr>
      <w:r w:rsidRPr="006436AC">
        <w:rPr>
          <w:color w:val="auto"/>
          <w:szCs w:val="20"/>
        </w:rPr>
        <w:t xml:space="preserve">3.5. </w:t>
      </w:r>
      <w:r w:rsidR="0001094C" w:rsidRPr="006436AC">
        <w:rPr>
          <w:color w:val="auto"/>
          <w:szCs w:val="20"/>
        </w:rPr>
        <w:t>Individuals show the association between the connectivity gradient and tas</w:t>
      </w:r>
      <w:r w:rsidR="0037784F" w:rsidRPr="006436AC">
        <w:rPr>
          <w:color w:val="auto"/>
          <w:szCs w:val="20"/>
        </w:rPr>
        <w:t>k gradient for</w:t>
      </w:r>
      <w:r w:rsidR="0001094C" w:rsidRPr="006436AC">
        <w:rPr>
          <w:color w:val="auto"/>
          <w:szCs w:val="20"/>
        </w:rPr>
        <w:t xml:space="preserve"> matching trials </w:t>
      </w:r>
    </w:p>
    <w:p w14:paraId="591320E9" w14:textId="370C252B" w:rsidR="0001094C" w:rsidRPr="006436AC" w:rsidRDefault="0001094C"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Individual participants are known to show differences in cortical organisation which can</w:t>
      </w:r>
      <w:r w:rsidR="00AB7030" w:rsidRPr="006436AC">
        <w:rPr>
          <w:rFonts w:ascii="Arial" w:hAnsi="Arial" w:cs="Arial"/>
          <w:sz w:val="20"/>
          <w:szCs w:val="20"/>
        </w:rPr>
        <w:t xml:space="preserve"> be obscured at the group level</w:t>
      </w:r>
      <w:r w:rsidR="00E82A29"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{"citationItems":[{"id":"ITEM-1","itemData":{"DOI":"10.1016/j.neuron.2017.06.038","ISSN":"10974199","abstract":"Certain organizational features of brain networks present in the individual are lost when central tendencies are examined in the group. Here we investigated the detailed network organization of four individuals each scanned 24 times using MRI. We discovered that the distributed network known as the default network is comprised of two separate networks possessing adjacent regions in eight or more cortical zones. A distinction between the networks is that one is coupled to the hippocampal formation while the other is not. Further exploration revealed that these two networks were juxtaposed with additional networks that themselves fractionate group-defined networks. The collective networks display a repeating spatial progression in multiple cortical zones, suggesting that they are embedded within a broad macroscale gradient. Regions contributing to the newly defined networks are spatially variable across individuals and adjacent to distinct networks, raising issues for network estimation in group-averaged data and applied endeavors, including targeted neuromodulation. Braga and Buckner examine the detailed organization of brain networks within individual people. They discovered that multiple closely juxtaposed cortical regions form parallel distributed networks. Separate large-scale networks may emerge from a common organizing principle.","author":[{"dropping-particle":"","family":"Braga","given":"Rodrigo M.","non-dropping-particle":"","parse-names":false,"suffix":""},{"dropping-particle":"","family":"Buckner","given":"Randy L.","non-dropping-particle":"","parse-names":false,"suffix":""}],"container-title":"Neuron","id":"ITEM-1","issue":"2","issued":{"date-parts":[["2017"]]},"page":"457-471.e5","publisher":"Elsevier Inc.","title":"Parallel Interdigitated Distributed Networks within the Individual Estimated by Intrinsic Functional Connectivity","type":"article-journal","volume":"95"},"uris":["http://www.mendeley.com/documents/?uuid=900abdcc-558f-4020-a35a-631f74fd0c07"]},{"id":"ITEM-2","itemData":{"DOI":"10.1016/j.neuron.2017.07.011","ISSN":"10974199","abstract":"Human functional MRI (fMRI) research primarily focuses on analyzing data averaged across groups, which limits the detail, specificity, and clinical utility of fMRI resting-state functional connectivity (RSFC) and task-activation maps. To push our understanding of functional brain organization to the level of individual humans, we assembled a novel MRI dataset containing 5 hr of RSFC data, 6 hr of task fMRI, multiple structural MRIs, and neuropsychological tests from each of ten adults. Using these data, we generated ten high-fidelity, individual-specific functional connectomes. This individual-connectome approach revealed several new types of spatial and organizational variability in brain networks, including unique network features and topologies that corresponded with structural and task-derived brain features. We are releasing this highly sampled, individual-focused dataset as a resource for neuroscientists, and we propose precision individual connectomics as a model for future work examining the organization of healthy and diseased individual human brains.","author":[{"dropping-particle":"","family":"Gordon","given":"Evan M.","non-dropping-particle":"","parse-names":false,"suffix":""},{"dropping-particle":"","family":"Laumann","given":"Timothy O.","non-dropping-particle":"","parse-names":false,"suffix":""},{"dropping-particle":"","family":"Gilmore","given":"Adrian W.","non-dropping-particle":"","parse-names":false,"suffix":""},{"dropping-particle":"","family":"Newbold","given":"Dillan J.","non-dropping-particle":"","parse-names":false,"suffix":""},{"dropping-particle":"","family":"Greene","given":"Deanna J.","non-dropping-particle":"","parse-names":false,"suffix":""},{"dropping-particle":"","family":"Berg","given":"Jeffrey J.","non-dropping-particle":"","parse-names":false,"suffix":""},{"dropping-particle":"","family":"Ortega","given":"Mario","non-dropping-particle":"","parse-names":false,"suffix":""},{"dropping-particle":"","family":"Hoyt-Drazen","given":"Catherine","non-dropping-particle":"","parse-names":false,"suffix":""},{"dropping-particle":"","family":"Gratton","given":"Caterina","non-dropping-particle":"","parse-names":false,"suffix":""},{"dropping-particle":"","family":"Sun","given":"Haoxin","non-dropping-particle":"","parse-names":false,"suffix":""},{"dropping-particle":"","family":"Hampton","given":"Jacqueline M.","non-dropping-particle":"","parse-names":false,"suffix":""},{"dropping-particle":"","family":"Coalson","given":"Rebecca S.","non-dropping-particle":"","parse-names":false,"suffix":""},{"dropping-particle":"","family":"Nguyen","given":"Annie L.","non-dropping-particle":"","parse-names":false,"suffix":""},{"dropping-particle":"","family":"McDermott","given":"Kathleen B.","non-dropping-particle":"","parse-names":false,"suffix":""},{"dropping-particle":"","family":"Shimony","given":"Joshua S.","non-dropping-particle":"","parse-names":false,"suffix":""},{"dropping-particle":"","family":"Snyder","given":"Abraham Z.","non-dropping-particle":"","parse-names":false,"suffix":""},{"dropping-particle":"","family":"Schlaggar","given":"Bradley L.","non-dropping-particle":"","parse-names":false,"suffix":""},{"dropping-particle":"","family":"Petersen","given":"Steven E.","non-dropping-particle":"","parse-names":false,"suffix":""},{"dropping-particle":"","family":"Nelson","given":"Steven M.","non-dropping-particle":"","parse-names":false,"suffix":""},{"dropping-particle":"","family":"Dosenbach","given":"Nico U.F.","non-dropping-particle":"","parse-names":false,"suffix":""}],"container-title":"Neuron","id":"ITEM-2","issue":"4","issued":{"date-parts":[["2017"]]},"page":"791-807.e7","publisher":"Elsevier Inc.","title":"Precision Functional Mapping of Individual Human Brains","type":"article-journal","volume":"95"},"uris":["http://www.mendeley.com/documents/?uuid=090a6535-9628-4be4-9c86-23568c7cabba"]},{"id":"ITEM-3","itemData":{"DOI":"10.1016/j.neuron.2015.06.037","ISSN":"10974199","abstract":"Resting state functional MRI (fMRI) has enabled description of group-level functional brain organization at multiple spatial scales. However, cross-subject averaging may obscure patterns of brain organization specific to each individual. Here, we characterized the brain organization of a single individual repeatedly measured over more than a year. We report a reproducible and internally valid subject-specific areal-level parcellation that corresponds with subject-specific task activations. Highly convergent correlation network estimates can be derived from this parcellation if sufficient data are collected-considerably more than typically acquired. Notably, within-subject correlation variability across sessions exhibited a heterogeneous distribution across the cortex concentrated in visual and somato-motor regions, distinct from the pattern of intersubject variability. Further, although the individual's systems-level organization is broadly similar to the group, it demonstrates distinct topological features. These results provide a foundation for studies of individual differences in cortical organization and function, especially for special or rare individuals.","author":[{"dropping-particle":"","family":"Laumann","given":"Timothy O.","non-dropping-particle":"","parse-names":false,"suffix":""},{"dropping-particle":"","family":"Gordon","given":"Evan M.","non-dropping-particle":"","parse-names":false,"suffix":""},{"dropping-particle":"","family":"Adeyemo","given":"Babatunde","non-dropping-particle":"","parse-names":false,"suffix":""},{"dropping-particle":"","family":"Snyder","given":"Abraham Z.","non-dropping-particle":"","parse-names":false,"suffix":""},{"dropping-particle":"","family":"Joo","given":"Sung Jun","non-dropping-particle":"","parse-names":false,"suffix":""},{"dropping-particle":"","family":"Chen","given":"Mei Yen","non-dropping-particle":"","parse-names":false,"suffix":""},{"dropping-particle":"","family":"Gilmore","given":"Adrian W.","non-dropping-particle":"","parse-names":false,"suffix":""},{"dropping-particle":"","family":"McDermott","given":"Kathleen B.","non-dropping-particle":"","parse-names":false,"suffix":""},{"dropping-particle":"","family":"Nelson","given":"Steven M.","non-dropping-particle":"","parse-names":false,"suffix":""},{"dropping-particle":"","family":"Dosenbach","given":"Nico U.F.","non-dropping-particle":"","parse-names":false,"suffix":""},{"dropping-particle":"","family":"Schlaggar","given":"Bradley L.","non-dropping-particle":"","parse-names":false,"suffix":""},{"dropping-particle":"","family":"Mumford","given":"Jeanette A.","non-dropping-particle":"","parse-names":false,"suffix":""},{"dropping-particle":"","family":"Poldrack","given":"Russell A.","non-dropping-particle":"","parse-names":false,"suffix":""},{"dropping-particle":"","family":"Petersen","given":"Steven E.","non-dropping-particle":"","parse-names":false,"suffix":""}],"container-title":"Neuron","id":"ITEM-3","issue":"3","issued":{"date-parts":[["2015"]]},"page":"657-670","publisher":"Elsevier Inc.","title":"Functional System and Areal Organization of a Highly Sampled Individual Human Brain","type":"article-journal","volume":"87"},"uris":["http://www.mendeley.com/documents/?uuid=89f48d73-4ac4-4264-b83d-abd4c0e26006"]},{"id":"ITEM-4","itemData":{"DOI":"10.1016/j.neuron.2017.08.002","ISSN":"10974199","abstract":"In this issue, Gordon et al. (2017) use dense sampling of resting and task fMRI within individuals to demonstrate that patterns of correlation in resting fMRI are closely aligned with functional architecture as identified using task fMRI.","author":[{"dropping-particle":"","family":"Poldrack","given":"Russell A.","non-dropping-particle":"","parse-names":false,"suffix":""}],"container-title":"Neuron","id":"ITEM-4","issue":"4","issued":{"date-parts":[["2017"]]},"page":"727-729","publisher":"Elsevier Inc.","title":"Precision Neuroscience: Dense Sampling of Individual Brains","type":"article-journal","volume":"95"},"uris":["http://www.mendeley.com/documents/?uuid=86923c5a-0315-4c5b-a226-5836c6f3ef14"]}],"mendeley":{"formattedCitation":"(Braga and Buckner, 2017; Gordon et al., 2017; Laumann et al., 2015; Poldrack, 2017)","plainTextFormattedCitation":"(Braga and Buckner, 2017; Gordon et al., 2017; Laumann et al., 2015; Poldrack, 2017)","previouslyFormattedCitation":"(Braga and Buckner, 2017; Gordon et al., 2017; Laumann et al., 2015; Poldrack, 2017)"},"properties":{"noteIndex":0},"schema":"https://github.com/citation-style-language/schema/raw/master/csl-citation.json"}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(Braga and Buckner, 2017; Gordon et al., 2017; Laumann et al., 2015; Poldrack, 2017)</w:t>
      </w:r>
      <w:r w:rsidRPr="006436AC">
        <w:rPr>
          <w:rFonts w:ascii="Arial" w:hAnsi="Arial" w:cs="Arial"/>
          <w:sz w:val="20"/>
          <w:szCs w:val="20"/>
        </w:rPr>
        <w:fldChar w:fldCharType="end"/>
      </w:r>
      <w:r w:rsidRPr="006436AC">
        <w:rPr>
          <w:rFonts w:ascii="Arial" w:hAnsi="Arial" w:cs="Arial"/>
          <w:sz w:val="20"/>
          <w:szCs w:val="20"/>
        </w:rPr>
        <w:t xml:space="preserve">. At the single-subject level, language-selective regions lie adjacent to multiple-demand regions – and, critically, the location of this functional transition </w:t>
      </w:r>
      <w:r w:rsidR="00AB7030" w:rsidRPr="006436AC">
        <w:rPr>
          <w:rFonts w:ascii="Arial" w:hAnsi="Arial" w:cs="Arial"/>
          <w:sz w:val="20"/>
          <w:szCs w:val="20"/>
        </w:rPr>
        <w:t xml:space="preserve">is different </w:t>
      </w:r>
      <w:r w:rsidR="00AB7030" w:rsidRPr="006436AC">
        <w:rPr>
          <w:rFonts w:ascii="Arial" w:hAnsi="Arial" w:cs="Arial"/>
          <w:sz w:val="20"/>
          <w:szCs w:val="20"/>
        </w:rPr>
        <w:lastRenderedPageBreak/>
        <w:t>across individuals</w:t>
      </w:r>
      <w:r w:rsidR="00E82A29"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{"citationItems":[{"id":"ITEM-1","itemData":{"DOI":"10.1016/j.cub.2012.09.011","ISSN":"09609822","abstract":"In 1861, Paul Broca stood up before the Anthropological Society of Paris and announced that the left frontal lobe was the seat of speech. Ever since, Broca's eponymous brain region has served as a primary battleground for one of the central debates in the science of the mind and brain: Is human cognition produced by highly specialized brain regions, each conducting a specific mental process, or instead by more general-purpose brain mechanisms, each broadly engaged in a wide range of cognitive tasks? For Broca's area, the debate focuses on specialization for language versus domain-general functions such as hierarchical structure building (e.g., [1, 2]), aspects of action processing (e.g., [3]), working memory (e.g., [4]), or cognitive control (e.g., [5-7]). Here, using single-subject fMRI, we find that both ideas are right: Broca's area contains two sets of subregions lying side by side, one quite specifically engaged in language processing, surrounded by another that is broadly engaged across a wide variety of tasks and content domains. © 2012 Elsevier Ltd.","author":[{"dropping-particle":"","family":"Fedorenko","given":"Evelina","non-dropping-particle":"","parse-names":false,"suffix":""},{"dropping-particle":"","family":"Duncan","given":"John","non-dropping-particle":"","parse-names":false,"suffix":""},{"dropping-particle":"","family":"Kanwisher","given":"Nancy","non-dropping-particle":"","parse-names":false,"suffix":""}],"container-title":"Current Biology","id":"ITEM-1","issue":"21","issued":{"date-parts":[["2012"]]},"page":"2059-2062","publisher":"Elsevier Ltd","title":"Language-selective and domain-general regions lie side by side within Broca's area","type":"article-journal","volume":"22"},"uris":["http://www.mendeley.com/documents/?uuid=8ef7dbb6-dbee-429d-a257-c8b6dba850c2"]}],"mendeley":{"formattedCitation":"(Fedorenko et al., 2012)","plainTextFormattedCitation":"(Fedorenko et al., 2012)","previouslyFormattedCitation":"(Fedorenko et al., 2012)"},"properties":{"noteIndex":0},"schema":"https://github.com/citation-style-language/schema/raw/master/csl-citation.json"}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(Fedorenko et al., 2012)</w:t>
      </w:r>
      <w:r w:rsidRPr="006436AC">
        <w:rPr>
          <w:rFonts w:ascii="Arial" w:hAnsi="Arial" w:cs="Arial"/>
          <w:sz w:val="20"/>
          <w:szCs w:val="20"/>
        </w:rPr>
        <w:fldChar w:fldCharType="end"/>
      </w:r>
      <w:r w:rsidRPr="006436AC">
        <w:rPr>
          <w:rFonts w:ascii="Arial" w:hAnsi="Arial" w:cs="Arial"/>
          <w:sz w:val="20"/>
          <w:szCs w:val="20"/>
        </w:rPr>
        <w:t>. We therefore examined the voxel-wise correlation between the task gradient for matching trials and t</w:t>
      </w:r>
      <w:r w:rsidR="005A611C" w:rsidRPr="006436AC">
        <w:rPr>
          <w:rFonts w:ascii="Arial" w:hAnsi="Arial" w:cs="Arial"/>
          <w:sz w:val="20"/>
          <w:szCs w:val="20"/>
        </w:rPr>
        <w:t>he connectivity gradient values</w:t>
      </w:r>
      <w:r w:rsidR="005C5898" w:rsidRPr="006436AC">
        <w:rPr>
          <w:rFonts w:ascii="Arial" w:hAnsi="Arial" w:cs="Arial"/>
          <w:sz w:val="20"/>
          <w:szCs w:val="20"/>
        </w:rPr>
        <w:t xml:space="preserve"> </w:t>
      </w:r>
      <w:r w:rsidR="0037784F"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0037784F" w:rsidRPr="006436AC">
        <w:rPr>
          <w:rFonts w:ascii="Arial" w:hAnsi="Arial" w:cs="Arial"/>
          <w:sz w:val="20"/>
          <w:szCs w:val="20"/>
        </w:rPr>
        <w:fldChar w:fldCharType="separate"/>
      </w:r>
      <w:r w:rsidR="00566455" w:rsidRPr="006436AC">
        <w:rPr>
          <w:rFonts w:ascii="Arial" w:hAnsi="Arial" w:cs="Arial"/>
          <w:noProof/>
          <w:sz w:val="20"/>
          <w:szCs w:val="20"/>
        </w:rPr>
        <w:t>(Margulies et al., 2016)</w:t>
      </w:r>
      <w:r w:rsidR="0037784F" w:rsidRPr="006436AC">
        <w:rPr>
          <w:rFonts w:ascii="Arial" w:hAnsi="Arial" w:cs="Arial"/>
          <w:sz w:val="20"/>
          <w:szCs w:val="20"/>
        </w:rPr>
        <w:fldChar w:fldCharType="end"/>
      </w:r>
      <w:r w:rsidR="0037784F" w:rsidRPr="006436AC">
        <w:rPr>
          <w:rFonts w:ascii="Arial" w:hAnsi="Arial" w:cs="Arial"/>
          <w:sz w:val="20"/>
          <w:szCs w:val="20"/>
        </w:rPr>
        <w:t xml:space="preserve"> </w:t>
      </w:r>
      <w:r w:rsidRPr="006436AC">
        <w:rPr>
          <w:rFonts w:ascii="Arial" w:hAnsi="Arial" w:cs="Arial"/>
          <w:sz w:val="20"/>
          <w:szCs w:val="20"/>
        </w:rPr>
        <w:t>in each individual participant. More than half of the participants showed a significant correlation between the connectivity gradient values and effects of global feature similarity across the whole brain (17/30 participants) at p = 0.05. The same participants showed correlations that exceeded the null distribution based on permutation of t</w:t>
      </w:r>
      <w:r w:rsidR="00AB7030" w:rsidRPr="006436AC">
        <w:rPr>
          <w:rFonts w:ascii="Arial" w:hAnsi="Arial" w:cs="Arial"/>
          <w:sz w:val="20"/>
          <w:szCs w:val="20"/>
        </w:rPr>
        <w:t>he connectivity gradient values</w:t>
      </w:r>
      <w:r w:rsidR="005C5898"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(Margulies et al., 2016)</w:t>
      </w:r>
      <w:r w:rsidRPr="006436AC">
        <w:rPr>
          <w:rFonts w:ascii="Arial" w:hAnsi="Arial" w:cs="Arial"/>
          <w:sz w:val="20"/>
          <w:szCs w:val="20"/>
        </w:rPr>
        <w:fldChar w:fldCharType="end"/>
      </w:r>
      <w:r w:rsidRPr="006436AC">
        <w:rPr>
          <w:rFonts w:ascii="Arial" w:hAnsi="Arial" w:cs="Arial"/>
          <w:sz w:val="20"/>
          <w:szCs w:val="20"/>
        </w:rPr>
        <w:t xml:space="preserve">. Correlations between connectivity and task gradients were observed in lateral frontal cortex (in 17/30 participants), in medial frontal cortex (in 14/30 participants), in temporal cortex (in 16/30 participants) and in lateral parietal cortex (in 19/30 participants) at p = 0.05. Two-thirds of the sample showed a significant correlation between the task and connectivity gradients within the semantic mask generated using Neurosynth (21/30 participants) at p = 0.05. </w:t>
      </w:r>
    </w:p>
    <w:p w14:paraId="18678E70" w14:textId="26E3C3F8" w:rsidR="00E93BF5" w:rsidRPr="006436AC" w:rsidRDefault="00E93BF5" w:rsidP="000E64FB">
      <w:pPr>
        <w:pStyle w:val="Style3"/>
        <w:rPr>
          <w:color w:val="auto"/>
          <w:szCs w:val="20"/>
        </w:rPr>
      </w:pPr>
      <w:r w:rsidRPr="006436AC">
        <w:rPr>
          <w:color w:val="auto"/>
          <w:szCs w:val="20"/>
        </w:rPr>
        <w:t xml:space="preserve">3.6. </w:t>
      </w:r>
      <w:r w:rsidR="0001094C" w:rsidRPr="006436AC">
        <w:rPr>
          <w:color w:val="auto"/>
          <w:szCs w:val="20"/>
        </w:rPr>
        <w:t xml:space="preserve">Semantic control peaks are located at the juxtaposition of DMN and MDN </w:t>
      </w:r>
    </w:p>
    <w:p w14:paraId="4DE26515" w14:textId="7C832353" w:rsidR="0001094C" w:rsidRPr="006436AC" w:rsidRDefault="003319A9"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Although p</w:t>
      </w:r>
      <w:r w:rsidR="00E3170D" w:rsidRPr="006436AC">
        <w:rPr>
          <w:rFonts w:ascii="Arial" w:hAnsi="Arial" w:cs="Arial"/>
          <w:sz w:val="20"/>
          <w:szCs w:val="20"/>
        </w:rPr>
        <w:t>rior studies highlight regions of both DMN and MDN as important</w:t>
      </w:r>
      <w:r w:rsidR="008332C5" w:rsidRPr="006436AC">
        <w:rPr>
          <w:rFonts w:ascii="Arial" w:hAnsi="Arial" w:cs="Arial"/>
          <w:sz w:val="20"/>
          <w:szCs w:val="20"/>
        </w:rPr>
        <w:t xml:space="preserve"> in semantic cognition</w:t>
      </w:r>
      <w:r w:rsidR="00E3170D" w:rsidRPr="006436AC">
        <w:rPr>
          <w:rFonts w:ascii="Arial" w:hAnsi="Arial" w:cs="Arial"/>
          <w:sz w:val="20"/>
          <w:szCs w:val="20"/>
        </w:rPr>
        <w:t xml:space="preserve">, in situations when the support for semantic decisions from long term memory </w:t>
      </w:r>
      <w:r w:rsidR="00B274FF" w:rsidRPr="006436AC">
        <w:rPr>
          <w:rFonts w:ascii="Arial" w:hAnsi="Arial" w:cs="Arial"/>
          <w:sz w:val="20"/>
          <w:szCs w:val="20"/>
        </w:rPr>
        <w:t xml:space="preserve">is </w:t>
      </w:r>
      <w:r w:rsidR="00E3170D" w:rsidRPr="006436AC">
        <w:rPr>
          <w:rFonts w:ascii="Arial" w:hAnsi="Arial" w:cs="Arial"/>
          <w:sz w:val="20"/>
          <w:szCs w:val="20"/>
        </w:rPr>
        <w:t>minimal, the peak neural response is often observed in regions such as the left inferior frontal gyrus, posterior middle temporal gyrus and dorsal anterior cingulate cortex</w:t>
      </w:r>
      <w:r w:rsidR="00E82A29" w:rsidRPr="006436AC">
        <w:rPr>
          <w:rFonts w:ascii="Arial" w:hAnsi="Arial" w:cs="Arial"/>
          <w:sz w:val="20"/>
          <w:szCs w:val="20"/>
        </w:rPr>
        <w:t xml:space="preserve"> </w:t>
      </w:r>
      <w:r w:rsidR="00E3170D"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{"citationItems":[{"id":"ITEM-1","itemData":{"DOI":"10.1162/jocn_a_00442","ISSN":"15308898","abstract":"Semantic cognition requires a combination of semantic representations and executive control processes to direct activation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network are specifically associated with the executive component of semantic cognition. Previous studies have described in detail the role of left ventral pFC in semantic regulation. We examined 53 studies that contrasted semantic tasks with high &gt; low executive requirements to determine whether cortical regions beyond the left pFC show the same response profile to executive semantic demands. Our findings revealed that right pFC, posterior middle temporal gyrus (pMTG) and dorsal angular gyrus (bordering intraparietal sulcus) were also consistently recruited by executively demanding semantic tasks, demonstrating patterns of activation that were highly similar to the left ventral pFC. These regions overlap with the lesions in aphasic patients who exhibit multimodal semantic impairment because of impaired regulatory control (semantic aphasia)-providing important convergence between functional neuroimaging and neuropsychological studies of semantic cognition. Activation in dorsal angular gyrus and left ventral pFC was consistent across all types of executive semantic manipulation, regardless of whether the task was receptive or expressive, whereas pMTG activation was only observed for manipulation of control demands within receptive tasks. Second, we contrasted executively demanding tasks tapping semantics and phonology. Our findings revealed substantial overlap between the two sets of contrasts within left ventral pFC, suggesting this region underpins domain-general control mechanisms. In contrast, we observed relative specialization for semantic control within pMTG as well as the most ventral aspects of left pFC (BA 47), consistent with our proposal of a distributed network underpinning semantic control.","author":[{"dropping-particle":"","family":"Noonan","given":"Krist A.","non-dropping-particle":"","parse-names":false,"suffix":""},{"dropping-particle":"","family":"Jefferies","given":"Elizabeth","non-dropping-particle":"","parse-names":false,"suffix":""},{"dropping-particle":"","family":"Visser","given":"Maya","non-dropping-particle":"","parse-names":false,"suffix":""},{"dropping-particle":"","family":"Lambon Ralph","given":"Matthew A.","non-dropping-particle":"","parse-names":false,"suffix":""}],"container-title":"Journal of cognitive neuroscience","id":"ITEM-1","issue":"11","issued":{"date-parts":[["2013"]]},"page":"1824-1850","title":"Going beyond inferior prefrontal involvement in semantic control: evidence for the additional contribution of dorsal angular gyrus and posterior middle temporal cortex.","type":"article-journal","volume":"25"},"uris":["http://www.mendeley.com/documents/?uuid=d1098e99-5136-327a-92e7-e1d7990ba655"]}],"mendeley":{"formattedCitation":"(Noonan et al., 2013)","plainTextFormattedCitation":"(Noonan et al., 2013)","previouslyFormattedCitation":"(Noonan et al., 2013)"},"properties":{"noteIndex":0},"schema":"https://github.com/citation-style-language/schema/raw/master/csl-citation.json"}</w:instrText>
      </w:r>
      <w:r w:rsidR="00E3170D" w:rsidRPr="006436AC">
        <w:rPr>
          <w:rFonts w:ascii="Arial" w:hAnsi="Arial" w:cs="Arial"/>
          <w:sz w:val="20"/>
          <w:szCs w:val="20"/>
        </w:rPr>
        <w:fldChar w:fldCharType="separate"/>
      </w:r>
      <w:r w:rsidR="00566455" w:rsidRPr="006436AC">
        <w:rPr>
          <w:rFonts w:ascii="Arial" w:hAnsi="Arial" w:cs="Arial"/>
          <w:noProof/>
          <w:sz w:val="20"/>
          <w:szCs w:val="20"/>
        </w:rPr>
        <w:t>(Noonan et al., 2013)</w:t>
      </w:r>
      <w:r w:rsidR="00E3170D" w:rsidRPr="006436AC">
        <w:rPr>
          <w:rFonts w:ascii="Arial" w:hAnsi="Arial" w:cs="Arial"/>
          <w:sz w:val="20"/>
          <w:szCs w:val="20"/>
        </w:rPr>
        <w:fldChar w:fldCharType="end"/>
      </w:r>
      <w:r w:rsidR="00E3170D" w:rsidRPr="006436AC">
        <w:rPr>
          <w:rFonts w:ascii="Arial" w:hAnsi="Arial" w:cs="Arial"/>
          <w:sz w:val="20"/>
          <w:szCs w:val="20"/>
        </w:rPr>
        <w:t>. These peaks typically fall outside the MDN, and are adjacent to, yet distinct from, the DMN</w:t>
      </w:r>
      <w:r w:rsidR="00E82A29" w:rsidRPr="006436AC">
        <w:rPr>
          <w:rFonts w:ascii="Arial" w:hAnsi="Arial" w:cs="Arial"/>
          <w:sz w:val="20"/>
          <w:szCs w:val="20"/>
        </w:rPr>
        <w:t xml:space="preserve"> </w:t>
      </w:r>
      <w:r w:rsidR="00E3170D" w:rsidRPr="006436AC">
        <w:rPr>
          <w:rFonts w:ascii="Arial" w:hAnsi="Arial" w:cs="Arial"/>
          <w:sz w:val="20"/>
          <w:szCs w:val="20"/>
        </w:rPr>
        <w:fldChar w:fldCharType="begin" w:fldLock="1"/>
      </w:r>
      <w:r w:rsidR="00D40D4C" w:rsidRPr="006436AC">
        <w:rPr>
          <w:rFonts w:ascii="Arial" w:hAnsi="Arial" w:cs="Arial"/>
          <w:sz w:val="20"/>
          <w:szCs w:val="20"/>
        </w:rPr>
        <w:instrText>ADDIN CSL_CITATION {"citationItems":[{"id":"ITEM-1","itemData":{"DOI":"10.1016/j.neuroimage.2018.06.074","ISSN":"10959572","abstract":"We frequently guide our decisions about when and how to act based on the meanings of perceptual inputs: we might avoid treading on a flower, but not on a leaf. However, most research on response inhibition has used simple perceptual stimuli devoid of meaning. In two Go/No-Go experiments, we examined whether the neural mechanisms supporting response inhibition are influenced by the relevance of meaning to the decision, and by presentation modality (whether concepts were presented as words or images). In an on-line fMRI experiment, we found common regions for response inhibition across perceptual and conceptual decisions. These included the bilateral intraparietal sulcus and the right inferior frontal sulcus, whose neural responses have been linked to diverse cognitive demands in previous studies. In addition, we identified a cluster in ventral lateral occipital cortex that was sensitive to the modality of input, with a stronger response to No-Go than Go trials for meaningful images, compared to words with the same semantic content. In a second experiment, using resting-state fMRI, we explored how individual variation in the intrinsic connectivity of these activated regions related to variation in behavioural performance. Participants who showed stronger connectivity between common inhibition regions and limbic areas in medial temporal and subgenual anterior cingulate cortex were better at inhibition when this was driven by the meaning of the items. In addition, regions with a specific role in picture inhibition were more connected to a cluster in the thalamus/caudate for participants who were better at performing the picture task outside of the scanner. Together these studies indicate that the capacity to appropriately withhold action depends on interactions between common control regions, which are important across multiple types of input and decision, and other brain regions linked to specific inputs (i.e., visual features) or representations (e.g., memory).","author":[{"dropping-particle":"","family":"Gonzalez Alam","given":"Tirso","non-dropping-particle":"","parse-names":false,"suffix":""},{"dropping-particle":"","family":"Murphy","given":"Charlotte","non-dropping-particle":"","parse-names":false,"suffix":""},{"dropping-particle":"","family":"Smallwood","given":"Jonathan","non-dropping-particle":"","parse-names":false,"suffix":""},{"dropping-particle":"","family":"Jefferies","given":"Elizabeth","non-dropping-particle":"","parse-names":false,"suffix":""}],"container-title":"NeuroImage","id":"ITEM-1","issued":{"date-parts":[["2018","11","1"]]},"page":"108-119","publisher":"Academic Press","title":"Meaningful inhibition: Exploring the role of meaning and modality in response inhibition","type":"article-journal","volume":"181"},"uris":["http://www.mendeley.com/documents/?uuid=349940b7-4752-30b2-be4e-cfa30589f4d1"]},{"id":"ITEM-2","itemData":{"DOI":"10.1093/cercor/bhx107","ISSN":"14602199","abstract":"Numerous cognitive domains have been associated with the lateral parietal cortex, yet how these disparate functions are packed into this region remains unclear. Whilst areas within the dorsal and the ventral parietal cortex (DPC and VPC) show differential function, there is considerable disagreement as to what these functions might be. Studies focussed on individual domains have plotted out variations of function across the region. Direct cross-domain comparisons are rare yet, when they have been undertaken, at least some regions (particularly the intraparietal sulcus [IPS] and core angular gyrus [AG]) appear to have contrastive domain-general qualities. In order to pursue this parietal puzzle, this study utilized both functional and resting-state magnetic resonance imaging to investigate a potential unifying neurocomputational framework-in which both domain general as well as domain-selective regions arise from differential patterns of connectivity into subregions of the lateral parietal cortex. Specifically we found that, consistent with their contrastive patterns of functional connectivity, subregions of DPC (anterior IPS) and VPC (AG) exhibit counterpointed functions sensitive to task/item-difficulty irrespective of cognitive domain. We propose that these regions serve as top-down executively penetrated and automatic bottom-up domain-general buffers of active information, respectively. In contrast, other parietal and nonparietal regions are tuned toward specific domains.","author":[{"dropping-particle":"","family":"Humphreys","given":"Gina F.","non-dropping-particle":"","parse-names":false,"suffix":""},{"dropping-particle":"","family":"Ralph","given":"Matthew A.Lambo","non-dropping-particle":"","parse-names":false,"suffix":""}],"container-title":"Cerebral Cortex","id":"ITEM-2","issue":"8","issued":{"date-parts":[["2017"]]},"page":"4199-4212","title":"Mapping domain-selective and counterpointed domain-general higher cognitive functions in the lateral parietal cortex: Evidence from fMRI comparisons of difficulty-varying semantic versus visuo-spatial tasks, and functional connectivity analyses","type":"article-journal","volume":"27"},"uris":["http://www.mendeley.com/documents/?uuid=157c598d-bb02-4070-a499-9c23f3bc0eef"]},{"id":"ITEM-3","itemData":{"DOI":"10.1162/jocn_a_00442","ISSN":"15308898","abstract":"Semantic cognition requires a combination of semantic representations and executive control processes to direct activation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network are specifically associated with the executive component of semantic cognition. Previous studies have described in detail the role of left ventral pFC in semantic regulation. We examined 53 studies that contrasted semantic tasks with high &gt; low executive requirements to determine whether cortical regions beyond the left pFC show the same response profile to executive semantic demands. Our findings revealed that right pFC, posterior middle temporal gyrus (pMTG) and dorsal angular gyrus (bordering intraparietal sulcus) were also consistently recruited by executively demanding semantic tasks, demonstrating patterns of activation that were highly similar to the left ventral pFC. These regions overlap with the lesions in aphasic patients who exhibit multimodal semantic impairment because of impaired regulatory control (semantic aphasia)-providing important convergence between functional neuroimaging and neuropsychological studies of semantic cognition. Activation in dorsal angular gyrus and left ventral pFC was consistent across all types of executive semantic manipulation, regardless of whether the task was receptive or expressive, whereas pMTG activation was only observed for manipulation of control demands within receptive tasks. Second, we contrasted executively demanding tasks tapping semantics and phonology. Our findings revealed substantial overlap between the two sets of contrasts within left ventral pFC, suggesting this region underpins domain-general control mechanisms. In contrast, we observed relative specialization for semantic control within pMTG as well as the most ventral aspects of left pFC (BA 47), consistent with our proposal of a distributed network underpinning semantic control.","author":[{"dropping-particle":"","family":"Noonan","given":"Krist A.","non-dropping-particle":"","parse-names":false,"suffix":""},{"dropping-particle":"","family":"Jefferies","given":"Elizabeth","non-dropping-particle":"","parse-names":false,"suffix":""},{"dropping-particle":"","family":"Visser","given":"Maya","non-dropping-particle":"","parse-names":false,"suffix":""},{"dropping-particle":"","family":"Lambon Ralph","given":"Matthew A.","non-dropping-particle":"","parse-names":false,"suffix":""}],"container-title":"Journal of cognitive neuroscience","id":"ITEM-3","issue":"11","issued":{"date-parts":[["2013"]]},"page":"1824-1850","title":"Going beyond inferior prefrontal involvement in semantic control: evidence for the additional contribution of dorsal angular gyrus and posterior middle temporal cortex.","type":"article-journal","volume":"25"},"uris":["http://www.mendeley.com/documents/?uuid=d1098e99-5136-327a-92e7-e1d7990ba655"]},{"id":"ITEM-4","itemData":{"DOI":"10.1016/j.neuroimage.2018.07.044","ISSN":"10959572","abstract":"Semantic control allows us to shape our conceptual retrieval to suit the circumstances in a flexible way. Tasks requiring semantic control activate a large-scale network including left inferior prefrontal gyrus (IFG) and posterior middle temporal gyrus (pMTG) – this network responds when retrieval is focussed on weak as opposed to dominant associations. However, little is known about the biological basis of individual differences in this cognitive capacity: regions that are commonly activated in task-based fMRI may not relate to variation in controlled retrieval. The current study combined analyses of MRI-based cortical thickness with resting-state fMRI connectivity to identify structural markers of individual differences in semantic control. We found that participants who performed relatively well on tests of controlled semantic retrieval showed increased structural covariance between left pMTG and left anterior middle frontal gyrus (aMFG). This pattern of structural covariance was specific to semantic control and did not predict performance when harder non-semantic judgements were contrasted with easier semantic judgements. The intrinsic functional connectivity of these two regions forming a structural covariance network overlapped with previously-described semantic control regions, including bilateral IFG and intraparietal sulcus, and left posterior temporal cortex. These results add to our knowledge of the neural basis of semantic control in three ways: (i) Semantic control performance was predicted by the structural covariance network of left pMTG, a site that is less consistently activated than left IFG across studies. (ii) Our results provide further evidence that semantic control is at least partially separable from domain-general executive control. (iii) More flexible patterns of memory retrieval occurred when pMTG co-varied with distant regions in aMFG, as opposed to nearby visual, temporal or parietal lobe regions, providing further evidence that left prefrontal and posterior temporal areas form a distributed network for semantic control.","author":[{"dropping-particle":"","family":"Wang","given":"Xiuyi","non-dropping-particle":"","parse-names":false,"suffix":""},{"dropping-particle":"","family":"Bernhardt","given":"Boris C.","non-dropping-particle":"","parse-names":false,"suffix":""},{"dropping-particle":"","family":"Karapanagiotidis","given":"Theodoros","non-dropping-particle":"","parse-names":false,"suffix":""},{"dropping-particle":"","family":"Caso","given":"Irene","non-dropping-particle":"De","parse-names":false,"suffix":""},{"dropping-particle":"","family":"Gonzalez Alam","given":"Tirso Rene del Jesus","non-dropping-particle":"","parse-names":false,"suffix":""},{"dropping-particle":"","family":"Cotter","given":"Zacharria","non-dropping-particle":"","parse-names":false,"suffix":""},{"dropping-particle":"","family":"Smallwood","given":"Jonathan","non-dropping-particle":"","parse-names":false,"suffix":""},{"dropping-particle":"","family":"Jefferies","given":"Elizabeth","non-dropping-particle":"","parse-names":false,"suffix":""}],"container-title":"NeuroImage","id":"ITEM-4","issued":{"date-parts":[["2018","11"]]},"page":"480-489","title":"The structural basis of semantic control: Evidence from individual differences in cortical thickness","type":"article-journal","volume":"181"},"uris":["http://www.mendeley.com/documents/?uuid=507a5027-38ff-31e6-b697-475c94823e5e"]}],"mendeley":{"formattedCitation":"(Gonzalez Alam et al., 2018; Humphreys and Ralph, 2017; Noonan et al., 2013; Wang et al., 2018)","manualFormatting":"(Gonzalez Alam et al., 2018; Humphreys and Lambon Ralph, 2017; Noonan et al., 2013; Wang et al., 2018)","plainTextFormattedCitation":"(Gonzalez Alam et al., 2018; Humphreys and Ralph, 2017; Noonan et al., 2013; Wang et al., 2018)","previouslyFormattedCitation":"(Gonzalez Alam et al., 2018; Humphreys and Ralph, 2017; Noonan et al., 2013; Wang et al., 2018)"},"properties":{"noteIndex":0},"schema":"https://github.com/citation-style-language/schema/raw/master/csl-citation.json"}</w:instrText>
      </w:r>
      <w:r w:rsidR="00E3170D" w:rsidRPr="006436AC">
        <w:rPr>
          <w:rFonts w:ascii="Arial" w:hAnsi="Arial" w:cs="Arial"/>
          <w:sz w:val="20"/>
          <w:szCs w:val="20"/>
        </w:rPr>
        <w:fldChar w:fldCharType="separate"/>
      </w:r>
      <w:r w:rsidR="00566455" w:rsidRPr="006436AC">
        <w:rPr>
          <w:rFonts w:ascii="Arial" w:hAnsi="Arial" w:cs="Arial"/>
          <w:noProof/>
          <w:sz w:val="20"/>
          <w:szCs w:val="20"/>
        </w:rPr>
        <w:t xml:space="preserve">(Gonzalez Alam et al., 2018; Humphreys and </w:t>
      </w:r>
      <w:r w:rsidR="009A3F8A" w:rsidRPr="006436AC">
        <w:rPr>
          <w:rFonts w:ascii="Arial" w:hAnsi="Arial" w:cs="Arial"/>
          <w:noProof/>
          <w:sz w:val="20"/>
          <w:szCs w:val="20"/>
        </w:rPr>
        <w:t xml:space="preserve">Lambon </w:t>
      </w:r>
      <w:r w:rsidR="00566455" w:rsidRPr="006436AC">
        <w:rPr>
          <w:rFonts w:ascii="Arial" w:hAnsi="Arial" w:cs="Arial"/>
          <w:noProof/>
          <w:sz w:val="20"/>
          <w:szCs w:val="20"/>
        </w:rPr>
        <w:t>Ralph, 2017; Noonan et al., 2013; Wang et al., 2018)</w:t>
      </w:r>
      <w:r w:rsidR="00E3170D" w:rsidRPr="006436AC">
        <w:rPr>
          <w:rFonts w:ascii="Arial" w:hAnsi="Arial" w:cs="Arial"/>
          <w:sz w:val="20"/>
          <w:szCs w:val="20"/>
        </w:rPr>
        <w:fldChar w:fldCharType="end"/>
      </w:r>
      <w:r w:rsidR="00E3170D" w:rsidRPr="006436AC">
        <w:rPr>
          <w:rFonts w:ascii="Arial" w:hAnsi="Arial" w:cs="Arial"/>
          <w:sz w:val="20"/>
          <w:szCs w:val="20"/>
        </w:rPr>
        <w:t xml:space="preserve">. Such </w:t>
      </w:r>
      <w:r w:rsidR="00E3170D" w:rsidRPr="006436AC">
        <w:rPr>
          <w:rFonts w:ascii="Arial" w:hAnsi="Arial" w:cs="Arial"/>
          <w:i/>
          <w:sz w:val="20"/>
          <w:szCs w:val="20"/>
        </w:rPr>
        <w:t>semantic control</w:t>
      </w:r>
      <w:r w:rsidR="00E3170D" w:rsidRPr="006436AC">
        <w:rPr>
          <w:rFonts w:ascii="Arial" w:hAnsi="Arial" w:cs="Arial"/>
          <w:sz w:val="20"/>
          <w:szCs w:val="20"/>
        </w:rPr>
        <w:t xml:space="preserve"> regions show structural and functional connectivity with regions implicated in long term knowledge (anterior temporal lobes) and domain-general executive control (inferior frontal sulcus)</w:t>
      </w:r>
      <w:r w:rsidR="00E82A29" w:rsidRPr="006436AC">
        <w:rPr>
          <w:rFonts w:ascii="Arial" w:hAnsi="Arial" w:cs="Arial"/>
          <w:sz w:val="20"/>
          <w:szCs w:val="20"/>
        </w:rPr>
        <w:t xml:space="preserve"> </w:t>
      </w:r>
      <w:r w:rsidR="00E3170D"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{"citationItems":[{"id":"ITEM-1","itemData":{"DOI":"10.1016/j.neuroimage.2016.05.051","ISSN":"10959572","abstract":"Making sense of the world around us depends upon selectively retrieving information relevant to our current goal or context. However, it is unclear whether selective semantic retrieval relies exclusively on general control mechanisms recruited in demanding non-semantic tasks, or instead on systems specialised for the control of meaning. One hypothesis is that the left posterior middle temporal gyrus (pMTG) is important in the controlled retrieval of semantic (not non-semantic) information; however this view remains controversial since a parallel literature links this site to event and relational semantics. In a functional neuroimaging study, we demonstrated that an area of pMTG implicated in semantic control by a recent meta-analysis was activated in a conjunction of (i) semantic association over size judgements and (ii) action over colour feature matching. Under these circumstances the same region showed functional coupling with the inferior frontal gyrus - another crucial site for semantic control. Structural and functional connectivity analyses demonstrated that this site is at the nexus of networks recruited in automatic semantic processing (the default mode network) and executively demanding tasks (the multiple-demand network). Moreover, in both task and task-free contexts, pMTG exhibited functional properties that were more similar to ventral parts of inferior frontal cortex, implicated in controlled semantic retrieval, than more dorsal inferior frontal sulcus, implicated in domain-general control. Finally, the pMTG region was functionally correlated at rest with other regions implicated in control-demanding semantic tasks, including inferior frontal gyrus and intraparietal sulcus. We suggest that pMTG may play a crucial role within a large-scale network that allows the integration of automatic retrieval in the default mode network with executively-demanding goal-oriented cognition, and that this could support our ability to understand actions and non-dominant semantic associations, allowing semantic retrieval to be 'shaped' to suit a task or context.","author":[{"dropping-particle":"","family":"Davey","given":"James","non-dropping-particle":"","parse-names":false,"suffix":""},{"dropping-particle":"","family":"Thompson","given":"Hannah E.","non-dropping-particle":"","parse-names":false,"suffix":""},{"dropping-particle":"","family":"Hallam","given":"Glyn","non-dropping-particle":"","parse-names":false,"suffix":""},{"dropping-particle":"","family":"Karapanagiotidis","given":"Theodoros","non-dropping-particle":"","parse-names":false,"suffix":""},{"dropping-particle":"","family":"Murphy","given":"Charlotte","non-dropping-particle":"","parse-names":false,"suffix":""},{"dropping-particle":"","family":"Caso","given":"Irene","non-dropping-particle":"De","parse-names":false,"suffix":""},{"dropping-particle":"","family":"Krieger-Redwood","given":"Katya","non-dropping-particle":"","parse-names":false,"suffix":""},{"dropping-particle":"","family":"Bernhardt","given":"Boris C.","non-dropping-particle":"","parse-names":false,"suffix":""},{"dropping-particle":"","family":"Smallwood","given":"Jonathan","non-dropping-particle":"","parse-names":false,"suffix":""},{"dropping-particle":"","family":"Jefferies","given":"Elizabeth","non-dropping-particle":"","parse-names":false,"suffix":""}],"container-title":"NeuroImage","id":"ITEM-1","issued":{"date-parts":[["2016"]]},"page":"165-177","publisher":"The Authors","title":"Exploring the role of the posterior middle temporal gyrus in semantic cognition: Integration of anterior temporal lobe with executive processes","type":"article-journal","volume":"137"},"uris":["http://www.mendeley.com/documents/?uuid=db2cf281-3062-4d87-948f-6a3f68be0424"]}],"mendeley":{"formattedCitation":"(Davey et al., 2016)","plainTextFormattedCitation":"(Davey et al., 2016)","previouslyFormattedCitation":"(Davey et al., 2016)"},"properties":{"noteIndex":0},"schema":"https://github.com/citation-style-language/schema/raw/master/csl-citation.json"}</w:instrText>
      </w:r>
      <w:r w:rsidR="00E3170D" w:rsidRPr="006436AC">
        <w:rPr>
          <w:rFonts w:ascii="Arial" w:hAnsi="Arial" w:cs="Arial"/>
          <w:sz w:val="20"/>
          <w:szCs w:val="20"/>
        </w:rPr>
        <w:fldChar w:fldCharType="separate"/>
      </w:r>
      <w:r w:rsidR="00566455" w:rsidRPr="006436AC">
        <w:rPr>
          <w:rFonts w:ascii="Arial" w:hAnsi="Arial" w:cs="Arial"/>
          <w:noProof/>
          <w:sz w:val="20"/>
          <w:szCs w:val="20"/>
        </w:rPr>
        <w:t>(Davey et al., 2016)</w:t>
      </w:r>
      <w:r w:rsidR="00E3170D" w:rsidRPr="006436AC">
        <w:rPr>
          <w:rFonts w:ascii="Arial" w:hAnsi="Arial" w:cs="Arial"/>
          <w:sz w:val="20"/>
          <w:szCs w:val="20"/>
        </w:rPr>
        <w:fldChar w:fldCharType="end"/>
      </w:r>
      <w:r w:rsidRPr="006436AC">
        <w:rPr>
          <w:rFonts w:ascii="Arial" w:hAnsi="Arial" w:cs="Arial"/>
          <w:sz w:val="20"/>
          <w:szCs w:val="20"/>
        </w:rPr>
        <w:t xml:space="preserve"> and our next analysis considers where these regions are located on both the </w:t>
      </w:r>
      <w:r w:rsidR="00B274FF" w:rsidRPr="006436AC">
        <w:rPr>
          <w:rFonts w:ascii="Arial" w:hAnsi="Arial" w:cs="Arial"/>
          <w:sz w:val="20"/>
          <w:szCs w:val="20"/>
        </w:rPr>
        <w:t xml:space="preserve">connectivity </w:t>
      </w:r>
      <w:r w:rsidRPr="006436AC">
        <w:rPr>
          <w:rFonts w:ascii="Arial" w:hAnsi="Arial" w:cs="Arial"/>
          <w:sz w:val="20"/>
          <w:szCs w:val="20"/>
        </w:rPr>
        <w:t>gradient observed by Margulies and colleagues</w:t>
      </w:r>
      <w:r w:rsidR="005C5898" w:rsidRPr="006436AC">
        <w:rPr>
          <w:rFonts w:ascii="Arial" w:hAnsi="Arial" w:cs="Arial"/>
          <w:sz w:val="20"/>
          <w:szCs w:val="20"/>
        </w:rPr>
        <w:t xml:space="preserve"> (2016)</w:t>
      </w:r>
      <w:r w:rsidRPr="006436AC">
        <w:rPr>
          <w:rFonts w:ascii="Arial" w:hAnsi="Arial" w:cs="Arial"/>
          <w:sz w:val="20"/>
          <w:szCs w:val="20"/>
        </w:rPr>
        <w:t xml:space="preserve">, as well as the task gradient generated by our paradigm. </w:t>
      </w:r>
      <w:r w:rsidR="0001094C" w:rsidRPr="006436AC">
        <w:rPr>
          <w:rFonts w:ascii="Arial" w:hAnsi="Arial" w:cs="Arial"/>
          <w:sz w:val="20"/>
          <w:szCs w:val="20"/>
        </w:rPr>
        <w:t>Regions within DMN and MDN were defined in the same participants using non-semantic functional localisers. These were contrasts of easy and hard spatial working memory and math judgeme</w:t>
      </w:r>
      <w:r w:rsidR="00E82A29" w:rsidRPr="006436AC">
        <w:rPr>
          <w:rFonts w:ascii="Arial" w:hAnsi="Arial" w:cs="Arial"/>
          <w:sz w:val="20"/>
          <w:szCs w:val="20"/>
        </w:rPr>
        <w:t xml:space="preserve">nts taken from </w:t>
      </w:r>
      <w:r w:rsidR="0001094C" w:rsidRPr="006436AC">
        <w:rPr>
          <w:rFonts w:ascii="Arial" w:hAnsi="Arial" w:cs="Arial"/>
          <w:sz w:val="20"/>
          <w:szCs w:val="20"/>
        </w:rPr>
        <w:fldChar w:fldCharType="begin" w:fldLock="1"/>
      </w:r>
      <w:r w:rsidR="00E82A29" w:rsidRPr="006436AC">
        <w:rPr>
          <w:rFonts w:ascii="Arial" w:hAnsi="Arial" w:cs="Arial"/>
          <w:sz w:val="20"/>
          <w:szCs w:val="20"/>
        </w:rPr>
        <w:instrText>ADDIN CSL_CITATION {"citationItems":[{"id":"ITEM-1","itemData":{"DOI":"10.1073/pnas.1112937108","ISSN":"0027-8424","abstract":"Neuroscientists have debated for centuries whether some regions tasks. Specifically, we examined the response of high-level lan- of the human brain are selectively engaged in specific high-level guage regions to seven nonlinguistic tasks that tap the cognitive mental functions or whether, instead, cognition is implemented functions in most commonly argued to recruit the language net- multifunctional brain regions. For the critical case of language, work: exact arithmetic (experiment 1), working memory (WM; conflicting answers arise from the neuropsychological literature, control which features striking dissociations between deficits in linguistic music experiments 2 and 3), cognitive (experiments 4-6), and and nonlinguistic abilities, vs. the neuroimaging literature, which (experiment 7). localizer has argued for overlap between activations read sentences and for linguistic and For the language task, participants domain general strings of pronounceable nonwords and decided whether a sub- nonlinguistic processes, including arithmetic, abilities like cognitive control, and music. Here, we use functional sequent probe (a word or nonword, respectively) appeared in the MRI to define classic language regions functionally in each subject preceding stimulus (Fig. 1). The sentences &gt; nonwords contrast individually and then examine the response of these regions to the targets brain regions engaged in high-level linguistic processing nonlinguistic functions most commonly argued to engage these (sentence understanding), including lexical and combinatorial regions: arithmetic, working memory, cognitive control, and processes but excluding phonological and other lower-level pro- music. We find little or no response in language regions to these cesses.* This localizer was previously shown (29) to robustly and nonlinguistic functions. These data support a dear distinction reliably identify each of the key brain regions previously impli- between language and other cognitive processes, resolving the conflict between the neuropsychological and neuroimaging SI) in at least 80% of subjects cated in high-level linguistic processing (30, 31) (Fig. 2 and Fig. prior literatures.","author":[{"dropping-particle":"","family":"Fedorenko","given":"E.","non-dropping-particle":"","parse-names":false,"suffix":""},{"dropping-particle":"","family":"Behr","given":"M. K.","non-dropping-particle":"","parse-names":false,"suffix":""},{"dropping-particle":"","family":"Kanwisher","given":"N.","non-dropping-particle":"","parse-names":false,"suffix":""}],"container-title":"Proceedings of the National Academy of Sciences","id":"ITEM-1","issue":"39","issued":{"date-parts":[["2011"]]},"page":"16428-16433","title":"Functional specificity for high-level linguistic processing in the human brain","type":"article-journal","volume":"108"},"uris":["http://www.mendeley.com/documents/?uuid=6cde46f2-d15e-47bc-aab9-fdb04a3b00f6"]}],"mendeley":{"formattedCitation":"(Fedorenko et al., 2011)","manualFormatting":"Fedorenko et al. (2011)","plainTextFormattedCitation":"(Fedorenko et al., 2011)","previouslyFormattedCitation":"(Fedorenko et al., 2011)"},"properties":{"noteIndex":0},"schema":"https://github.com/citation-style-language/schema/raw/master/csl-citation.json"}</w:instrText>
      </w:r>
      <w:r w:rsidR="0001094C" w:rsidRPr="006436AC">
        <w:rPr>
          <w:rFonts w:ascii="Arial" w:hAnsi="Arial" w:cs="Arial"/>
          <w:sz w:val="20"/>
          <w:szCs w:val="20"/>
        </w:rPr>
        <w:fldChar w:fldCharType="separate"/>
      </w:r>
      <w:r w:rsidR="00E82A29" w:rsidRPr="006436AC">
        <w:rPr>
          <w:rFonts w:ascii="Arial" w:hAnsi="Arial" w:cs="Arial"/>
          <w:noProof/>
          <w:sz w:val="20"/>
          <w:szCs w:val="20"/>
        </w:rPr>
        <w:t>Fedorenko et al. (</w:t>
      </w:r>
      <w:r w:rsidR="00566455" w:rsidRPr="006436AC">
        <w:rPr>
          <w:rFonts w:ascii="Arial" w:hAnsi="Arial" w:cs="Arial"/>
          <w:noProof/>
          <w:sz w:val="20"/>
          <w:szCs w:val="20"/>
        </w:rPr>
        <w:t>2011)</w:t>
      </w:r>
      <w:r w:rsidR="0001094C" w:rsidRPr="006436AC">
        <w:rPr>
          <w:rFonts w:ascii="Arial" w:hAnsi="Arial" w:cs="Arial"/>
          <w:sz w:val="20"/>
          <w:szCs w:val="20"/>
        </w:rPr>
        <w:fldChar w:fldCharType="end"/>
      </w:r>
      <w:r w:rsidR="0001094C" w:rsidRPr="006436AC">
        <w:rPr>
          <w:rFonts w:ascii="Arial" w:hAnsi="Arial" w:cs="Arial"/>
          <w:sz w:val="20"/>
          <w:szCs w:val="20"/>
        </w:rPr>
        <w:t xml:space="preserve">. Consistent with previous findings, DMN regions (showing a stronger response to easy versus hard trials in either task) included posterior cingulate cortex, medial prefrontal cortex, angular </w:t>
      </w:r>
      <w:r w:rsidR="0001094C" w:rsidRPr="006436AC">
        <w:rPr>
          <w:rFonts w:ascii="Arial" w:hAnsi="Arial" w:cs="Arial"/>
          <w:sz w:val="20"/>
          <w:szCs w:val="20"/>
        </w:rPr>
        <w:lastRenderedPageBreak/>
        <w:t xml:space="preserve">gyrus and lateral anterior temporal lobes bilaterally. In contrast, MDN regions (showing a stronger response to hard versus easy trials) included inferior frontal sulcus, premotor cortex, intraparietal sulcus, and lateral occipital cortex (FWE-corrected, z = 3.1, p &lt; 0.05) (Figure </w:t>
      </w:r>
      <w:r w:rsidR="002B6A66" w:rsidRPr="006436AC">
        <w:rPr>
          <w:rFonts w:ascii="Arial" w:hAnsi="Arial" w:cs="Arial"/>
          <w:sz w:val="20"/>
          <w:szCs w:val="20"/>
        </w:rPr>
        <w:t>5</w:t>
      </w:r>
      <w:r w:rsidR="0001094C" w:rsidRPr="006436AC">
        <w:rPr>
          <w:rFonts w:ascii="Arial" w:hAnsi="Arial" w:cs="Arial"/>
          <w:sz w:val="20"/>
          <w:szCs w:val="20"/>
        </w:rPr>
        <w:t xml:space="preserve">A). </w:t>
      </w:r>
    </w:p>
    <w:p w14:paraId="40DA1AA1" w14:textId="1FB549C5" w:rsidR="00AB7030" w:rsidRPr="006436AC" w:rsidRDefault="000664D1" w:rsidP="000E64FB">
      <w:pPr>
        <w:spacing w:before="100" w:beforeAutospacing="1" w:after="100" w:afterAutospacing="1" w:line="480" w:lineRule="auto"/>
        <w:rPr>
          <w:rFonts w:ascii="Arial" w:hAnsi="Arial" w:cs="Arial"/>
          <w:sz w:val="20"/>
          <w:szCs w:val="20"/>
        </w:rPr>
      </w:pPr>
      <w:r w:rsidRPr="006436AC">
        <w:rPr>
          <w:rFonts w:ascii="Arial" w:hAnsi="Arial" w:cs="Arial"/>
          <w:sz w:val="20"/>
          <w:szCs w:val="20"/>
        </w:rPr>
        <w:tab/>
      </w:r>
      <w:r w:rsidR="0001094C" w:rsidRPr="006436AC">
        <w:rPr>
          <w:rFonts w:ascii="Arial" w:hAnsi="Arial" w:cs="Arial"/>
          <w:sz w:val="20"/>
          <w:szCs w:val="20"/>
        </w:rPr>
        <w:fldChar w:fldCharType="begin" w:fldLock="1"/>
      </w:r>
      <w:r w:rsidR="00E82A29" w:rsidRPr="006436AC">
        <w:rPr>
          <w:rFonts w:ascii="Arial" w:hAnsi="Arial" w:cs="Arial"/>
          <w:sz w:val="20"/>
          <w:szCs w:val="20"/>
        </w:rPr>
        <w:instrText>ADDIN CSL_CITATION {"citationItems":[{"id":"ITEM-1","itemData":{"DOI":"10.1162/jocn_a_00442","ISSN":"15308898","abstract":"Semantic cognition requires a combination of semantic representations and executive control processes to direct activation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network are specifically associated with the executive component of semantic cognition. Previous studies have described in detail the role of left ventral pFC in semantic regulation. We examined 53 studies that contrasted semantic tasks with high &gt; low executive requirements to determine whether cortical regions beyond the left pFC show the same response profile to executive semantic demands. Our findings revealed that right pFC, posterior middle temporal gyrus (pMTG) and dorsal angular gyrus (bordering intraparietal sulcus) were also consistently recruited by executively demanding semantic tasks, demonstrating patterns of activation that were highly similar to the left ventral pFC. These regions overlap with the lesions in aphasic patients who exhibit multimodal semantic impairment because of impaired regulatory control (semantic aphasia)-providing important convergence between functional neuroimaging and neuropsychological studies of semantic cognition. Activation in dorsal angular gyrus and left ventral pFC was consistent across all types of executive semantic manipulation, regardless of whether the task was receptive or expressive, whereas pMTG activation was only observed for manipulation of control demands within receptive tasks. Second, we contrasted executively demanding tasks tapping semantics and phonology. Our findings revealed substantial overlap between the two sets of contrasts within left ventral pFC, suggesting this region underpins domain-general control mechanisms. In contrast, we observed relative specialization for semantic control within pMTG as well as the most ventral aspects of left pFC (BA 47), consistent with our proposal of a distributed network underpinning semantic control.","author":[{"dropping-particle":"","family":"Noonan","given":"Krist A.","non-dropping-particle":"","parse-names":false,"suffix":""},{"dropping-particle":"","family":"Jefferies","given":"Elizabeth","non-dropping-particle":"","parse-names":false,"suffix":""},{"dropping-particle":"","family":"Visser","given":"Maya","non-dropping-particle":"","parse-names":false,"suffix":""},{"dropping-particle":"","family":"Lambon Ralph","given":"Matthew A.","non-dropping-particle":"","parse-names":false,"suffix":""}],"container-title":"Journal of cognitive neuroscience","id":"ITEM-1","issue":"11","issued":{"date-parts":[["2013"]]},"page":"1824-1850","title":"Going beyond inferior prefrontal involvement in semantic control: evidence for the additional contribution of dorsal angular gyrus and posterior middle temporal cortex.","type":"article-journal","volume":"25"},"uris":["http://www.mendeley.com/documents/?uuid=d1098e99-5136-327a-92e7-e1d7990ba655"]}],"mendeley":{"formattedCitation":"(Noonan et al., 2013)","manualFormatting":"Noonan et al. (2013)","plainTextFormattedCitation":"(Noonan et al., 2013)","previouslyFormattedCitation":"(Noonan et al., 2013)"},"properties":{"noteIndex":0},"schema":"https://github.com/citation-style-language/schema/raw/master/csl-citation.json"}</w:instrText>
      </w:r>
      <w:r w:rsidR="0001094C" w:rsidRPr="006436AC">
        <w:rPr>
          <w:rFonts w:ascii="Arial" w:hAnsi="Arial" w:cs="Arial"/>
          <w:sz w:val="20"/>
          <w:szCs w:val="20"/>
        </w:rPr>
        <w:fldChar w:fldCharType="separate"/>
      </w:r>
      <w:r w:rsidR="00566455" w:rsidRPr="006436AC">
        <w:rPr>
          <w:rFonts w:ascii="Arial" w:hAnsi="Arial" w:cs="Arial"/>
          <w:noProof/>
          <w:sz w:val="20"/>
          <w:szCs w:val="20"/>
        </w:rPr>
        <w:t xml:space="preserve">Noonan et </w:t>
      </w:r>
      <w:r w:rsidR="00E82A29" w:rsidRPr="006436AC">
        <w:rPr>
          <w:rFonts w:ascii="Arial" w:hAnsi="Arial" w:cs="Arial"/>
          <w:noProof/>
          <w:sz w:val="20"/>
          <w:szCs w:val="20"/>
        </w:rPr>
        <w:t>al. (</w:t>
      </w:r>
      <w:r w:rsidR="00566455" w:rsidRPr="006436AC">
        <w:rPr>
          <w:rFonts w:ascii="Arial" w:hAnsi="Arial" w:cs="Arial"/>
          <w:noProof/>
          <w:sz w:val="20"/>
          <w:szCs w:val="20"/>
        </w:rPr>
        <w:t>2013)</w:t>
      </w:r>
      <w:r w:rsidR="0001094C" w:rsidRPr="006436AC">
        <w:rPr>
          <w:rFonts w:ascii="Arial" w:hAnsi="Arial" w:cs="Arial"/>
          <w:sz w:val="20"/>
          <w:szCs w:val="20"/>
        </w:rPr>
        <w:fldChar w:fldCharType="end"/>
      </w:r>
      <w:r w:rsidR="0001094C" w:rsidRPr="006436AC">
        <w:rPr>
          <w:rFonts w:ascii="Arial" w:hAnsi="Arial" w:cs="Arial"/>
          <w:sz w:val="20"/>
          <w:szCs w:val="20"/>
        </w:rPr>
        <w:t xml:space="preserve"> found left inferior frontal gyrus, left posterior middle temporal gyrus and dorsal anterior cingulate were the most reliably activated sites across different manipulations of semantic control in a neuroimaging meta-analysis. We compared the location of these semantic control sites with DMN and MDN, as defined by the localiser tasks (Figure </w:t>
      </w:r>
      <w:r w:rsidR="002B6A66" w:rsidRPr="006436AC">
        <w:rPr>
          <w:rFonts w:ascii="Arial" w:hAnsi="Arial" w:cs="Arial"/>
          <w:sz w:val="20"/>
          <w:szCs w:val="20"/>
        </w:rPr>
        <w:t>5</w:t>
      </w:r>
      <w:r w:rsidR="0001094C" w:rsidRPr="006436AC">
        <w:rPr>
          <w:rFonts w:ascii="Arial" w:hAnsi="Arial" w:cs="Arial"/>
          <w:sz w:val="20"/>
          <w:szCs w:val="20"/>
        </w:rPr>
        <w:t>A). The semantic control sites overlapped with MDN in lateral and medial prefrontal regions, in line with the view that MDN is recruited whenever task demands are high. However, two of these sites (left inferior frontal gyrus and middle temporal gyrus) also responded to a semantic localiser</w:t>
      </w:r>
      <w:r w:rsidR="005C5898" w:rsidRPr="006436AC">
        <w:rPr>
          <w:rFonts w:ascii="Arial" w:hAnsi="Arial" w:cs="Arial"/>
          <w:sz w:val="20"/>
          <w:szCs w:val="20"/>
        </w:rPr>
        <w:t xml:space="preserve"> task</w:t>
      </w:r>
      <w:r w:rsidR="0001094C" w:rsidRPr="006436AC">
        <w:rPr>
          <w:rFonts w:ascii="Arial" w:hAnsi="Arial" w:cs="Arial"/>
          <w:sz w:val="20"/>
          <w:szCs w:val="20"/>
        </w:rPr>
        <w:t xml:space="preserve">, showing stronger activation during the maintenance of strings of words than pronounceable nonwords (FWE-corrected, z = 3.1, p &lt; 0.05) (Figure </w:t>
      </w:r>
      <w:r w:rsidR="002B6A66" w:rsidRPr="006436AC">
        <w:rPr>
          <w:rFonts w:ascii="Arial" w:hAnsi="Arial" w:cs="Arial"/>
          <w:sz w:val="20"/>
          <w:szCs w:val="20"/>
        </w:rPr>
        <w:t>5</w:t>
      </w:r>
      <w:r w:rsidR="0001094C" w:rsidRPr="006436AC">
        <w:rPr>
          <w:rFonts w:ascii="Arial" w:hAnsi="Arial" w:cs="Arial"/>
          <w:sz w:val="20"/>
          <w:szCs w:val="20"/>
        </w:rPr>
        <w:t>B). The word condition was easier than the nonword condition (see Supplementary Materials) and consequently these semantic control regions did not show the functional profile of the MDN. Instead, in left inferior frontal gyrus, left posterior middle temporal gyrus and dorsal anterior cingulate, the response to seman</w:t>
      </w:r>
      <w:r w:rsidR="00C71A4B" w:rsidRPr="006436AC">
        <w:rPr>
          <w:rFonts w:ascii="Arial" w:hAnsi="Arial" w:cs="Arial"/>
          <w:sz w:val="20"/>
          <w:szCs w:val="20"/>
        </w:rPr>
        <w:t>tic control demands, defined by</w:t>
      </w:r>
      <w:r w:rsidR="0001094C" w:rsidRPr="006436AC">
        <w:rPr>
          <w:rFonts w:ascii="Arial" w:hAnsi="Arial" w:cs="Arial"/>
          <w:sz w:val="20"/>
          <w:szCs w:val="20"/>
        </w:rPr>
        <w:fldChar w:fldCharType="begin" w:fldLock="1"/>
      </w:r>
      <w:r w:rsidR="00D40D4C" w:rsidRPr="006436AC">
        <w:rPr>
          <w:rFonts w:ascii="Arial" w:hAnsi="Arial" w:cs="Arial"/>
          <w:sz w:val="20"/>
          <w:szCs w:val="20"/>
        </w:rPr>
        <w:instrText>ADDIN CSL_CITATION {"citationItems":[{"id":"ITEM-1","itemData":{"DOI":"10.1162/jocn_a_00442","ISSN":"15308898","abstract":"Semantic cognition requires a combination of semantic representations and executive control processes to direct activation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network are specifically associated with the executive component of semantic cognition. Previous studies have described in detail the role of left ventral pFC in semantic regulation. We examined 53 studies that contrasted semantic tasks with high &gt; low executive requirements to determine whether cortical regions beyond the left pFC show the same response profile to executive semantic demands. Our findings revealed that right pFC, posterior middle temporal gyrus (pMTG) and dorsal angular gyrus (bordering intraparietal sulcus) were also consistently recruited by executively demanding semantic tasks, demonstrating patterns of activation that were highly similar to the left ventral pFC. These regions overlap with the lesions in aphasic patients who exhibit multimodal semantic impairment because of impaired regulatory control (semantic aphasia)-providing important convergence between functional neuroimaging and neuropsychological studies of semantic cognition. Activation in dorsal angular gyrus and left ventral pFC was consistent across all types of executive semantic manipulation, regardless of whether the task was receptive or expressive, whereas pMTG activation was only observed for manipulation of control demands within receptive tasks. Second, we contrasted executively demanding tasks tapping semantics and phonology. Our findings revealed substantial overlap between the two sets of contrasts within left ventral pFC, suggesting this region underpins domain-general control mechanisms. In contrast, we observed relative specialization for semantic control within pMTG as well as the most ventral aspects of left pFC (BA 47), consistent with our proposal of a distributed network underpinning semantic control.","author":[{"dropping-particle":"","family":"Noonan","given":"Krist A.","non-dropping-particle":"","parse-names":false,"suffix":""},{"dropping-particle":"","family":"Jefferies","given":"Elizabeth","non-dropping-particle":"","parse-names":false,"suffix":""},{"dropping-particle":"","family":"Visser","given":"Maya","non-dropping-particle":"","parse-names":false,"suffix":""},{"dropping-particle":"","family":"Lambon Ralph","given":"Matthew A.","non-dropping-particle":"","parse-names":false,"suffix":""}],"container-title":"Journal of cognitive neuroscience","id":"ITEM-1","issue":"11","issued":{"date-parts":[["2013"]]},"page":"1824-1850","title":"Going beyond inferior prefrontal involvement in semantic control: evidence for the additional contribution of dorsal angular gyrus and posterior middle temporal cortex.","type":"article-journal","volume":"25"},"uris":["http://www.mendeley.com/documents/?uuid=d1098e99-5136-327a-92e7-e1d7990ba655"]}],"mendeley":{"formattedCitation":"(Noonan et al., 2013)","manualFormatting":" Noonan et al. (2013)","plainTextFormattedCitation":"(Noonan et al., 2013)","previouslyFormattedCitation":"(Noonan et al., 2013)"},"properties":{"noteIndex":0},"schema":"https://github.com/citation-style-language/schema/raw/master/csl-citation.json"}</w:instrText>
      </w:r>
      <w:r w:rsidR="0001094C" w:rsidRPr="006436AC">
        <w:rPr>
          <w:rFonts w:ascii="Arial" w:hAnsi="Arial" w:cs="Arial"/>
          <w:sz w:val="20"/>
          <w:szCs w:val="20"/>
        </w:rPr>
        <w:fldChar w:fldCharType="separate"/>
      </w:r>
      <w:r w:rsidR="00E82A29" w:rsidRPr="006436AC">
        <w:rPr>
          <w:rFonts w:ascii="Arial" w:hAnsi="Arial" w:cs="Arial"/>
          <w:noProof/>
          <w:sz w:val="20"/>
          <w:szCs w:val="20"/>
        </w:rPr>
        <w:t xml:space="preserve"> Noonan et al. (</w:t>
      </w:r>
      <w:r w:rsidR="00566455" w:rsidRPr="006436AC">
        <w:rPr>
          <w:rFonts w:ascii="Arial" w:hAnsi="Arial" w:cs="Arial"/>
          <w:noProof/>
          <w:sz w:val="20"/>
          <w:szCs w:val="20"/>
        </w:rPr>
        <w:t>2013)</w:t>
      </w:r>
      <w:r w:rsidR="0001094C" w:rsidRPr="006436AC">
        <w:rPr>
          <w:rFonts w:ascii="Arial" w:hAnsi="Arial" w:cs="Arial"/>
          <w:sz w:val="20"/>
          <w:szCs w:val="20"/>
        </w:rPr>
        <w:fldChar w:fldCharType="end"/>
      </w:r>
      <w:r w:rsidR="0001094C" w:rsidRPr="006436AC">
        <w:rPr>
          <w:rFonts w:ascii="Arial" w:hAnsi="Arial" w:cs="Arial"/>
          <w:sz w:val="20"/>
          <w:szCs w:val="20"/>
        </w:rPr>
        <w:t xml:space="preserve">, was observed at the juxtaposition of DMN and MDN. This observation was particularly striking in posterior middle temporal gyrus (Figure </w:t>
      </w:r>
      <w:r w:rsidR="002B6A66" w:rsidRPr="006436AC">
        <w:rPr>
          <w:rFonts w:ascii="Arial" w:hAnsi="Arial" w:cs="Arial"/>
          <w:sz w:val="20"/>
          <w:szCs w:val="20"/>
        </w:rPr>
        <w:t>5</w:t>
      </w:r>
      <w:r w:rsidR="0001094C" w:rsidRPr="006436AC">
        <w:rPr>
          <w:rFonts w:ascii="Arial" w:hAnsi="Arial" w:cs="Arial"/>
          <w:sz w:val="20"/>
          <w:szCs w:val="20"/>
        </w:rPr>
        <w:t xml:space="preserve">A), where the semantic control response was </w:t>
      </w:r>
      <w:r w:rsidR="003319A9" w:rsidRPr="006436AC">
        <w:rPr>
          <w:rFonts w:ascii="Arial" w:hAnsi="Arial" w:cs="Arial"/>
          <w:sz w:val="20"/>
          <w:szCs w:val="20"/>
        </w:rPr>
        <w:t xml:space="preserve">juxtaposed </w:t>
      </w:r>
      <w:r w:rsidR="0001094C" w:rsidRPr="006436AC">
        <w:rPr>
          <w:rFonts w:ascii="Arial" w:hAnsi="Arial" w:cs="Arial"/>
          <w:sz w:val="20"/>
          <w:szCs w:val="20"/>
        </w:rPr>
        <w:t>between these two canonical networks.</w:t>
      </w:r>
      <w:r w:rsidR="00987030" w:rsidRPr="006436AC">
        <w:rPr>
          <w:rFonts w:ascii="Arial" w:hAnsi="Arial" w:cs="Arial"/>
          <w:noProof/>
          <w:sz w:val="20"/>
          <w:szCs w:val="20"/>
          <w:lang w:val="en-GB" w:eastAsia="en-GB"/>
        </w:rPr>
        <w:drawing>
          <wp:inline distT="0" distB="0" distL="0" distR="0" wp14:anchorId="5554C486" wp14:editId="2E29D230">
            <wp:extent cx="5486400" cy="2656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2656205"/>
                    </a:xfrm>
                    <a:prstGeom prst="rect">
                      <a:avLst/>
                    </a:prstGeom>
                  </pic:spPr>
                </pic:pic>
              </a:graphicData>
            </a:graphic>
          </wp:inline>
        </w:drawing>
      </w:r>
    </w:p>
    <w:p w14:paraId="014CB9B0" w14:textId="070B4B26" w:rsidR="0001094C" w:rsidRPr="006436AC" w:rsidRDefault="00AB7030" w:rsidP="000E64FB">
      <w:pPr>
        <w:spacing w:before="100" w:beforeAutospacing="1" w:after="100" w:afterAutospacing="1" w:line="480" w:lineRule="auto"/>
        <w:rPr>
          <w:rFonts w:ascii="Arial" w:hAnsi="Arial" w:cs="Arial"/>
          <w:sz w:val="20"/>
          <w:szCs w:val="20"/>
        </w:rPr>
      </w:pPr>
      <w:r w:rsidRPr="006436AC">
        <w:rPr>
          <w:rFonts w:ascii="Arial" w:hAnsi="Arial" w:cs="Arial"/>
          <w:b/>
          <w:sz w:val="20"/>
          <w:szCs w:val="20"/>
        </w:rPr>
        <w:lastRenderedPageBreak/>
        <w:t xml:space="preserve">Figure </w:t>
      </w:r>
      <w:r w:rsidR="002B6A66" w:rsidRPr="006436AC">
        <w:rPr>
          <w:rFonts w:ascii="Arial" w:hAnsi="Arial" w:cs="Arial"/>
          <w:b/>
          <w:sz w:val="20"/>
          <w:szCs w:val="20"/>
        </w:rPr>
        <w:t>5</w:t>
      </w:r>
      <w:r w:rsidRPr="006436AC">
        <w:rPr>
          <w:rFonts w:ascii="Arial" w:hAnsi="Arial" w:cs="Arial"/>
          <w:b/>
          <w:sz w:val="20"/>
          <w:szCs w:val="20"/>
        </w:rPr>
        <w:t>.</w:t>
      </w:r>
      <w:r w:rsidRPr="006436AC">
        <w:rPr>
          <w:rFonts w:ascii="Arial" w:hAnsi="Arial" w:cs="Arial"/>
          <w:sz w:val="20"/>
          <w:szCs w:val="20"/>
        </w:rPr>
        <w:t xml:space="preserve"> A – Networks used in the</w:t>
      </w:r>
      <w:r w:rsidR="001061D2" w:rsidRPr="006436AC">
        <w:rPr>
          <w:rFonts w:ascii="Arial" w:hAnsi="Arial" w:cs="Arial"/>
          <w:sz w:val="20"/>
          <w:szCs w:val="20"/>
        </w:rPr>
        <w:t xml:space="preserve"> analysis, including DMN (in magenta</w:t>
      </w:r>
      <w:r w:rsidRPr="006436AC">
        <w:rPr>
          <w:rFonts w:ascii="Arial" w:hAnsi="Arial" w:cs="Arial"/>
          <w:sz w:val="20"/>
          <w:szCs w:val="20"/>
        </w:rPr>
        <w:t>) and MDN (in blue), defined by the localizer tasks, together with semantic control regions from the meta-analysis of semantic control</w:t>
      </w:r>
      <w:r w:rsidR="00E82A29"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{"citationItems":[{"id":"ITEM-1","itemData":{"DOI":"10.1162/jocn_a_00442","ISSN":"15308898","abstract":"Semantic cognition requires a combination of semantic representations and executive control processes to direct activation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network are specifically associated with the executive component of semantic cognition. Previous studies have described in detail the role of left ventral pFC in semantic regulation. We examined 53 studies that contrasted semantic tasks with high &gt; low executive requirements to determine whether cortical regions beyond the left pFC show the same response profile to executive semantic demands. Our findings revealed that right pFC, posterior middle temporal gyrus (pMTG) and dorsal angular gyrus (bordering intraparietal sulcus) were also consistently recruited by executively demanding semantic tasks, demonstrating patterns of activation that were highly similar to the left ventral pFC. These regions overlap with the lesions in aphasic patients who exhibit multimodal semantic impairment because of impaired regulatory control (semantic aphasia)-providing important convergence between functional neuroimaging and neuropsychological studies of semantic cognition. Activation in dorsal angular gyrus and left ventral pFC was consistent across all types of executive semantic manipulation, regardless of whether the task was receptive or expressive, whereas pMTG activation was only observed for manipulation of control demands within receptive tasks. Second, we contrasted executively demanding tasks tapping semantics and phonology. Our findings revealed substantial overlap between the two sets of contrasts within left ventral pFC, suggesting this region underpins domain-general control mechanisms. In contrast, we observed relative specialization for semantic control within pMTG as well as the most ventral aspects of left pFC (BA 47), consistent with our proposal of a distributed network underpinning semantic control.","author":[{"dropping-particle":"","family":"Noonan","given":"Krist A.","non-dropping-particle":"","parse-names":false,"suffix":""},{"dropping-particle":"","family":"Jefferies","given":"Elizabeth","non-dropping-particle":"","parse-names":false,"suffix":""},{"dropping-particle":"","family":"Visser","given":"Maya","non-dropping-particle":"","parse-names":false,"suffix":""},{"dropping-particle":"","family":"Lambon Ralph","given":"Matthew A.","non-dropping-particle":"","parse-names":false,"suffix":""}],"container-title":"Journal of cognitive neuroscience","id":"ITEM-1","issue":"11","issued":{"date-parts":[["2013"]]},"page":"1824-1850","title":"Going beyond inferior prefrontal involvement in semantic control: evidence for the additional contribution of dorsal angular gyrus and posterior middle temporal cortex.","type":"article-journal","volume":"25"},"uris":["http://www.mendeley.com/documents/?uuid=d1098e99-5136-327a-92e7-e1d7990ba655"]}],"mendeley":{"formattedCitation":"(Noonan et al., 2013)","plainTextFormattedCitation":"(Noonan et al., 2013)","previouslyFormattedCitation":"(Noonan et al., 2013)"},"properties":{"noteIndex":0},"schema":"https://github.com/citation-style-language/schema/raw/master/csl-citation.json"}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(Noonan et al., 2013)</w:t>
      </w:r>
      <w:r w:rsidRPr="006436AC">
        <w:rPr>
          <w:rFonts w:ascii="Arial" w:hAnsi="Arial" w:cs="Arial"/>
          <w:sz w:val="20"/>
          <w:szCs w:val="20"/>
        </w:rPr>
        <w:fldChar w:fldCharType="end"/>
      </w:r>
      <w:r w:rsidRPr="006436AC">
        <w:rPr>
          <w:rFonts w:ascii="Arial" w:hAnsi="Arial" w:cs="Arial"/>
          <w:sz w:val="20"/>
          <w:szCs w:val="20"/>
        </w:rPr>
        <w:t xml:space="preserve"> (in green). B – Semantic regions defined by the</w:t>
      </w:r>
      <w:r w:rsidR="001061D2" w:rsidRPr="006436AC">
        <w:rPr>
          <w:rFonts w:ascii="Arial" w:hAnsi="Arial" w:cs="Arial"/>
          <w:sz w:val="20"/>
          <w:szCs w:val="20"/>
        </w:rPr>
        <w:t xml:space="preserve"> semantic localizer task (in magenta</w:t>
      </w:r>
      <w:r w:rsidRPr="006436AC">
        <w:rPr>
          <w:rFonts w:ascii="Arial" w:hAnsi="Arial" w:cs="Arial"/>
          <w:sz w:val="20"/>
          <w:szCs w:val="20"/>
        </w:rPr>
        <w:t>), regions implicated in semantic control by an acti</w:t>
      </w:r>
      <w:r w:rsidR="001061D2" w:rsidRPr="006436AC">
        <w:rPr>
          <w:rFonts w:ascii="Arial" w:hAnsi="Arial" w:cs="Arial"/>
          <w:sz w:val="20"/>
          <w:szCs w:val="20"/>
        </w:rPr>
        <w:t>vation likelihood meta-analysis</w:t>
      </w:r>
      <w:r w:rsidR="00E82A29"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{"citationItems":[{"id":"ITEM-1","itemData":{"DOI":"10.1162/jocn_a_00442","ISSN":"15308898","abstract":"Semantic cognition requires a combination of semantic representations and executive control processes to direct activation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network are specifically associated with the executive component of semantic cognition. Previous studies have described in detail the role of left ventral pFC in semantic regulation. We examined 53 studies that contrasted semantic tasks with high &gt; low executive requirements to determine whether cortical regions beyond the left pFC show the same response profile to executive semantic demands. Our findings revealed that right pFC, posterior middle temporal gyrus (pMTG) and dorsal angular gyrus (bordering intraparietal sulcus) were also consistently recruited by executively demanding semantic tasks, demonstrating patterns of activation that were highly similar to the left ventral pFC. These regions overlap with the lesions in aphasic patients who exhibit multimodal semantic impairment because of impaired regulatory control (semantic aphasia)-providing important convergence between functional neuroimaging and neuropsychological studies of semantic cognition. Activation in dorsal angular gyrus and left ventral pFC was consistent across all types of executive semantic manipulation, regardless of whether the task was receptive or expressive, whereas pMTG activation was only observed for manipulation of control demands within receptive tasks. Second, we contrasted executively demanding tasks tapping semantics and phonology. Our findings revealed substantial overlap between the two sets of contrasts within left ventral pFC, suggesting this region underpins domain-general control mechanisms. In contrast, we observed relative specialization for semantic control within pMTG as well as the most ventral aspects of left pFC (BA 47), consistent with our proposal of a distributed network underpinning semantic control.","author":[{"dropping-particle":"","family":"Noonan","given":"Krist A.","non-dropping-particle":"","parse-names":false,"suffix":""},{"dropping-particle":"","family":"Jefferies","given":"Elizabeth","non-dropping-particle":"","parse-names":false,"suffix":""},{"dropping-particle":"","family":"Visser","given":"Maya","non-dropping-particle":"","parse-names":false,"suffix":""},{"dropping-particle":"","family":"Lambon Ralph","given":"Matthew A.","non-dropping-particle":"","parse-names":false,"suffix":""}],"container-title":"Journal of cognitive neuroscience","id":"ITEM-1","issue":"11","issued":{"date-parts":[["2013"]]},"page":"1824-1850","title":"Going beyond inferior prefrontal involvement in semantic control: evidence for the additional contribution of dorsal angular gyrus and posterior middle temporal cortex.","type":"article-journal","volume":"25"},"uris":["http://www.mendeley.com/documents/?uuid=d1098e99-5136-327a-92e7-e1d7990ba655"]}],"mendeley":{"formattedCitation":"(Noonan et al., 2013)","plainTextFormattedCitation":"(Noonan et al., 2013)","previouslyFormattedCitation":"(Noonan et al., 2013)"},"properties":{"noteIndex":0},"schema":"https://github.com/citation-style-language/schema/raw/master/csl-citation.json"}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(Noonan et al., 2013)</w:t>
      </w:r>
      <w:r w:rsidRPr="006436AC">
        <w:rPr>
          <w:rFonts w:ascii="Arial" w:hAnsi="Arial" w:cs="Arial"/>
          <w:sz w:val="20"/>
          <w:szCs w:val="20"/>
        </w:rPr>
        <w:fldChar w:fldCharType="end"/>
      </w:r>
      <w:r w:rsidRPr="006436AC">
        <w:rPr>
          <w:rFonts w:ascii="Arial" w:hAnsi="Arial" w:cs="Arial"/>
          <w:sz w:val="20"/>
          <w:szCs w:val="20"/>
        </w:rPr>
        <w:t xml:space="preserve"> (in green), and their overlap </w:t>
      </w:r>
      <w:r w:rsidR="001061D2" w:rsidRPr="006436AC">
        <w:rPr>
          <w:rFonts w:ascii="Arial" w:hAnsi="Arial" w:cs="Arial"/>
          <w:sz w:val="20"/>
          <w:szCs w:val="20"/>
        </w:rPr>
        <w:t>(in orange</w:t>
      </w:r>
      <w:r w:rsidRPr="006436AC">
        <w:rPr>
          <w:rFonts w:ascii="Arial" w:hAnsi="Arial" w:cs="Arial"/>
          <w:sz w:val="20"/>
          <w:szCs w:val="20"/>
        </w:rPr>
        <w:t>). This highlights the critical role of left inferior frontal gyrus and posterior middle temporal gyrus in controlled semantic processing.</w:t>
      </w:r>
      <w:r w:rsidR="0001094C" w:rsidRPr="006436AC">
        <w:rPr>
          <w:rFonts w:ascii="Arial" w:hAnsi="Arial" w:cs="Arial"/>
          <w:sz w:val="20"/>
          <w:szCs w:val="20"/>
        </w:rPr>
        <w:t xml:space="preserve"> </w:t>
      </w:r>
    </w:p>
    <w:p w14:paraId="615B70F7" w14:textId="253275CD" w:rsidR="00E93BF5" w:rsidRPr="006436AC" w:rsidRDefault="00E93BF5" w:rsidP="000E64FB">
      <w:pPr>
        <w:pStyle w:val="Style3"/>
        <w:rPr>
          <w:color w:val="auto"/>
          <w:szCs w:val="20"/>
        </w:rPr>
      </w:pPr>
      <w:r w:rsidRPr="006436AC">
        <w:rPr>
          <w:color w:val="auto"/>
          <w:szCs w:val="20"/>
        </w:rPr>
        <w:t xml:space="preserve">3.7. </w:t>
      </w:r>
      <w:r w:rsidR="0001094C" w:rsidRPr="006436AC">
        <w:rPr>
          <w:color w:val="auto"/>
          <w:szCs w:val="20"/>
        </w:rPr>
        <w:t xml:space="preserve">The task and connectivity gradients capture the orderly transitions between DMN, semantic control and MDN </w:t>
      </w:r>
    </w:p>
    <w:p w14:paraId="4EE1C217" w14:textId="6958DE83" w:rsidR="003F39F3" w:rsidRPr="006436AC" w:rsidRDefault="003319A9"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To further understand the mapping between the</w:t>
      </w:r>
      <w:r w:rsidR="0001094C" w:rsidRPr="006436AC">
        <w:rPr>
          <w:rFonts w:ascii="Arial" w:hAnsi="Arial" w:cs="Arial"/>
          <w:sz w:val="20"/>
          <w:szCs w:val="20"/>
        </w:rPr>
        <w:t xml:space="preserve"> DMN, semantic control and MDN networks</w:t>
      </w:r>
      <w:r w:rsidR="008A7B05" w:rsidRPr="006436AC">
        <w:rPr>
          <w:rFonts w:ascii="Arial" w:hAnsi="Arial" w:cs="Arial"/>
          <w:sz w:val="20"/>
          <w:szCs w:val="20"/>
        </w:rPr>
        <w:t>,</w:t>
      </w:r>
      <w:r w:rsidR="0001094C" w:rsidRPr="006436AC">
        <w:rPr>
          <w:rFonts w:ascii="Arial" w:hAnsi="Arial" w:cs="Arial"/>
          <w:sz w:val="20"/>
          <w:szCs w:val="20"/>
        </w:rPr>
        <w:t xml:space="preserve"> </w:t>
      </w:r>
      <w:r w:rsidRPr="006436AC">
        <w:rPr>
          <w:rFonts w:ascii="Arial" w:hAnsi="Arial" w:cs="Arial"/>
          <w:sz w:val="20"/>
          <w:szCs w:val="20"/>
        </w:rPr>
        <w:t xml:space="preserve">we examined their location </w:t>
      </w:r>
      <w:r w:rsidR="0001094C" w:rsidRPr="006436AC">
        <w:rPr>
          <w:rFonts w:ascii="Arial" w:hAnsi="Arial" w:cs="Arial"/>
          <w:sz w:val="20"/>
          <w:szCs w:val="20"/>
        </w:rPr>
        <w:t xml:space="preserve">along </w:t>
      </w:r>
      <w:r w:rsidRPr="006436AC">
        <w:rPr>
          <w:rFonts w:ascii="Arial" w:hAnsi="Arial" w:cs="Arial"/>
          <w:sz w:val="20"/>
          <w:szCs w:val="20"/>
        </w:rPr>
        <w:t xml:space="preserve">both </w:t>
      </w:r>
      <w:r w:rsidR="00DC3F23" w:rsidRPr="006436AC">
        <w:rPr>
          <w:rFonts w:ascii="Arial" w:hAnsi="Arial" w:cs="Arial"/>
          <w:sz w:val="20"/>
          <w:szCs w:val="20"/>
        </w:rPr>
        <w:t xml:space="preserve">the </w:t>
      </w:r>
      <w:r w:rsidR="0001094C" w:rsidRPr="006436AC">
        <w:rPr>
          <w:rFonts w:ascii="Arial" w:hAnsi="Arial" w:cs="Arial"/>
          <w:sz w:val="20"/>
          <w:szCs w:val="20"/>
        </w:rPr>
        <w:t xml:space="preserve">task gradient </w:t>
      </w:r>
      <w:r w:rsidR="00DC3F23" w:rsidRPr="006436AC">
        <w:rPr>
          <w:rFonts w:ascii="Arial" w:hAnsi="Arial" w:cs="Arial"/>
          <w:sz w:val="20"/>
          <w:szCs w:val="20"/>
        </w:rPr>
        <w:t xml:space="preserve">and the </w:t>
      </w:r>
      <w:r w:rsidR="0001094C" w:rsidRPr="006436AC">
        <w:rPr>
          <w:rFonts w:ascii="Arial" w:hAnsi="Arial" w:cs="Arial"/>
          <w:sz w:val="20"/>
          <w:szCs w:val="20"/>
        </w:rPr>
        <w:t>connectivity gradient</w:t>
      </w:r>
      <w:r w:rsidR="00E82A29" w:rsidRPr="006436AC">
        <w:rPr>
          <w:rFonts w:ascii="Arial" w:hAnsi="Arial" w:cs="Arial"/>
          <w:sz w:val="20"/>
          <w:szCs w:val="20"/>
        </w:rPr>
        <w:t xml:space="preserve"> </w:t>
      </w:r>
      <w:r w:rsidR="00854C69"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00854C69" w:rsidRPr="006436AC">
        <w:rPr>
          <w:rFonts w:ascii="Arial" w:hAnsi="Arial" w:cs="Arial"/>
          <w:sz w:val="20"/>
          <w:szCs w:val="20"/>
        </w:rPr>
        <w:fldChar w:fldCharType="separate"/>
      </w:r>
      <w:r w:rsidR="00566455" w:rsidRPr="006436AC">
        <w:rPr>
          <w:rFonts w:ascii="Arial" w:hAnsi="Arial" w:cs="Arial"/>
          <w:noProof/>
          <w:sz w:val="20"/>
          <w:szCs w:val="20"/>
        </w:rPr>
        <w:t>(Margulies et al., 2016)</w:t>
      </w:r>
      <w:r w:rsidR="00854C69" w:rsidRPr="006436AC">
        <w:rPr>
          <w:rFonts w:ascii="Arial" w:hAnsi="Arial" w:cs="Arial"/>
          <w:sz w:val="20"/>
          <w:szCs w:val="20"/>
        </w:rPr>
        <w:fldChar w:fldCharType="end"/>
      </w:r>
      <w:r w:rsidR="0001094C" w:rsidRPr="006436AC">
        <w:rPr>
          <w:rFonts w:ascii="Arial" w:hAnsi="Arial" w:cs="Arial"/>
          <w:sz w:val="20"/>
          <w:szCs w:val="20"/>
        </w:rPr>
        <w:t xml:space="preserve">. </w:t>
      </w:r>
      <w:r w:rsidR="003F39F3" w:rsidRPr="006436AC">
        <w:rPr>
          <w:rFonts w:ascii="Arial" w:hAnsi="Arial" w:cs="Arial"/>
          <w:sz w:val="20"/>
          <w:szCs w:val="20"/>
        </w:rPr>
        <w:t xml:space="preserve">We defined the following cortical regions within the Neurosynth semantic mask: (i) regions within DMN, (ii) semantic control regions from the meta-analysis of </w:t>
      </w:r>
      <w:r w:rsidR="003F39F3" w:rsidRPr="006436AC">
        <w:rPr>
          <w:rFonts w:ascii="Arial" w:hAnsi="Arial" w:cs="Arial"/>
          <w:sz w:val="20"/>
          <w:szCs w:val="20"/>
        </w:rPr>
        <w:fldChar w:fldCharType="begin" w:fldLock="1"/>
      </w:r>
      <w:r w:rsidR="003F39F3" w:rsidRPr="006436AC">
        <w:rPr>
          <w:rFonts w:ascii="Arial" w:hAnsi="Arial" w:cs="Arial"/>
          <w:sz w:val="20"/>
          <w:szCs w:val="20"/>
        </w:rPr>
        <w:instrText>ADDIN CSL_CITATION {"citationItems":[{"id":"ITEM-1","itemData":{"DOI":"10.1162/jocn_a_00442","ISSN":"15308898","abstract":"Semantic cognition requires a combination of semantic representations and executive control processes to direct activation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network are specifically associated with the executive component of semantic cognition. Previous studies have described in detail the role of left ventral pFC in semantic regulation. We examined 53 studies that contrasted semantic tasks with high &gt; low executive requirements to determine whether cortical regions beyond the left pFC show the same response profile to executive semantic demands. Our findings revealed that right pFC, posterior middle temporal gyrus (pMTG) and dorsal angular gyrus (bordering intraparietal sulcus) were also consistently recruited by executively demanding semantic tasks, demonstrating patterns of activation that were highly similar to the left ventral pFC. These regions overlap with the lesions in aphasic patients who exhibit multimodal semantic impairment because of impaired regulatory control (semantic aphasia)-providing important convergence between functional neuroimaging and neuropsychological studies of semantic cognition. Activation in dorsal angular gyrus and left ventral pFC was consistent across all types of executive semantic manipulation, regardless of whether the task was receptive or expressive, whereas pMTG activation was only observed for manipulation of control demands within receptive tasks. Second, we contrasted executively demanding tasks tapping semantics and phonology. Our findings revealed substantial overlap between the two sets of contrasts within left ventral pFC, suggesting this region underpins domain-general control mechanisms. In contrast, we observed relative specialization for semantic control within pMTG as well as the most ventral aspects of left pFC (BA 47), consistent with our proposal of a distributed network underpinning semantic control.","author":[{"dropping-particle":"","family":"Noonan","given":"Krist A.","non-dropping-particle":"","parse-names":false,"suffix":""},{"dropping-particle":"","family":"Jefferies","given":"Elizabeth","non-dropping-particle":"","parse-names":false,"suffix":""},{"dropping-particle":"","family":"Visser","given":"Maya","non-dropping-particle":"","parse-names":false,"suffix":""},{"dropping-particle":"","family":"Lambon Ralph","given":"Matthew A.","non-dropping-particle":"","parse-names":false,"suffix":""}],"container-title":"Journal of cognitive neuroscience","id":"ITEM-1","issue":"11","issued":{"date-parts":[["2013"]]},"page":"1824-1850","title":"Going beyond inferior prefrontal involvement in semantic control: evidence for the additional contribution of dorsal angular gyrus and posterior middle temporal cortex.","type":"article-journal","volume":"25"},"uris":["http://www.mendeley.com/documents/?uuid=d1098e99-5136-327a-92e7-e1d7990ba655"]}],"mendeley":{"formattedCitation":"(Noonan et al., 2013)","manualFormatting":"Noonan et al. (2013)","plainTextFormattedCitation":"(Noonan et al., 2013)","previouslyFormattedCitation":"(Noonan et al., 2013)"},"properties":{"noteIndex":0},"schema":"https://github.com/citation-style-language/schema/raw/master/csl-citation.json"}</w:instrText>
      </w:r>
      <w:r w:rsidR="003F39F3" w:rsidRPr="006436AC">
        <w:rPr>
          <w:rFonts w:ascii="Arial" w:hAnsi="Arial" w:cs="Arial"/>
          <w:sz w:val="20"/>
          <w:szCs w:val="20"/>
        </w:rPr>
        <w:fldChar w:fldCharType="separate"/>
      </w:r>
      <w:r w:rsidR="003F39F3" w:rsidRPr="006436AC">
        <w:rPr>
          <w:rFonts w:ascii="Arial" w:hAnsi="Arial" w:cs="Arial"/>
          <w:noProof/>
          <w:sz w:val="20"/>
          <w:szCs w:val="20"/>
        </w:rPr>
        <w:t>Noonan et al. (2013)</w:t>
      </w:r>
      <w:r w:rsidR="003F39F3" w:rsidRPr="006436AC">
        <w:rPr>
          <w:rFonts w:ascii="Arial" w:hAnsi="Arial" w:cs="Arial"/>
          <w:sz w:val="20"/>
          <w:szCs w:val="20"/>
        </w:rPr>
        <w:fldChar w:fldCharType="end"/>
      </w:r>
      <w:r w:rsidR="003F39F3" w:rsidRPr="006436AC">
        <w:rPr>
          <w:rFonts w:ascii="Arial" w:hAnsi="Arial" w:cs="Arial"/>
          <w:sz w:val="20"/>
          <w:szCs w:val="20"/>
        </w:rPr>
        <w:t xml:space="preserve"> that fell outside MDN, (iii) semantic control regions within MDN and (iv) MDN regions not implicated in semantic control (Figure 6A). </w:t>
      </w:r>
      <w:r w:rsidR="00BB2A5A" w:rsidRPr="006436AC">
        <w:rPr>
          <w:rFonts w:ascii="Arial" w:hAnsi="Arial" w:cs="Arial"/>
          <w:sz w:val="20"/>
          <w:szCs w:val="20"/>
        </w:rPr>
        <w:t>W</w:t>
      </w:r>
      <w:r w:rsidR="00DC3F23" w:rsidRPr="006436AC">
        <w:rPr>
          <w:rFonts w:ascii="Arial" w:hAnsi="Arial" w:cs="Arial"/>
          <w:sz w:val="20"/>
          <w:szCs w:val="20"/>
        </w:rPr>
        <w:t xml:space="preserve">e extracted the average </w:t>
      </w:r>
      <w:r w:rsidR="00BB2A5A" w:rsidRPr="006436AC">
        <w:rPr>
          <w:rFonts w:ascii="Arial" w:hAnsi="Arial" w:cs="Arial"/>
          <w:sz w:val="20"/>
          <w:szCs w:val="20"/>
        </w:rPr>
        <w:t xml:space="preserve">task and connectivity gradient </w:t>
      </w:r>
      <w:r w:rsidR="00DC3F23" w:rsidRPr="006436AC">
        <w:rPr>
          <w:rFonts w:ascii="Arial" w:hAnsi="Arial" w:cs="Arial"/>
          <w:sz w:val="20"/>
          <w:szCs w:val="20"/>
        </w:rPr>
        <w:t xml:space="preserve">values for the </w:t>
      </w:r>
      <w:r w:rsidR="00DD64CA" w:rsidRPr="006436AC">
        <w:rPr>
          <w:rFonts w:ascii="Arial" w:hAnsi="Arial" w:cs="Arial"/>
          <w:sz w:val="20"/>
          <w:szCs w:val="20"/>
        </w:rPr>
        <w:t>voxels</w:t>
      </w:r>
      <w:r w:rsidR="00DC3F23" w:rsidRPr="006436AC">
        <w:rPr>
          <w:rFonts w:ascii="Arial" w:hAnsi="Arial" w:cs="Arial"/>
          <w:sz w:val="20"/>
          <w:szCs w:val="20"/>
        </w:rPr>
        <w:t xml:space="preserve"> falling within each network</w:t>
      </w:r>
      <w:r w:rsidR="00BB2A5A" w:rsidRPr="006436AC">
        <w:rPr>
          <w:rFonts w:ascii="Arial" w:hAnsi="Arial" w:cs="Arial"/>
          <w:sz w:val="20"/>
          <w:szCs w:val="20"/>
        </w:rPr>
        <w:t>, within participant-specific functional ROIs</w:t>
      </w:r>
      <w:r w:rsidR="00DC3F23" w:rsidRPr="006436AC">
        <w:rPr>
          <w:rFonts w:ascii="Arial" w:hAnsi="Arial" w:cs="Arial"/>
          <w:sz w:val="20"/>
          <w:szCs w:val="20"/>
        </w:rPr>
        <w:t xml:space="preserve">. We were then able to test for significant differences in task </w:t>
      </w:r>
      <w:r w:rsidR="00562A05" w:rsidRPr="006436AC">
        <w:rPr>
          <w:rFonts w:ascii="Arial" w:hAnsi="Arial" w:cs="Arial"/>
          <w:sz w:val="20"/>
          <w:szCs w:val="20"/>
        </w:rPr>
        <w:t xml:space="preserve">and connectivity </w:t>
      </w:r>
      <w:r w:rsidR="00DC3F23" w:rsidRPr="006436AC">
        <w:rPr>
          <w:rFonts w:ascii="Arial" w:hAnsi="Arial" w:cs="Arial"/>
          <w:sz w:val="20"/>
          <w:szCs w:val="20"/>
        </w:rPr>
        <w:t>gradient values between these networks</w:t>
      </w:r>
      <w:r w:rsidR="003F39F3" w:rsidRPr="006436AC">
        <w:rPr>
          <w:rFonts w:ascii="Arial" w:hAnsi="Arial" w:cs="Arial"/>
          <w:sz w:val="20"/>
          <w:szCs w:val="20"/>
        </w:rPr>
        <w:t>, using the parametric map depicting the effect of varying global semantic similarity during feature matching as well as the principal connectivity gradient map for each participant</w:t>
      </w:r>
      <w:r w:rsidR="00DC3F23" w:rsidRPr="006436AC">
        <w:rPr>
          <w:rFonts w:ascii="Arial" w:hAnsi="Arial" w:cs="Arial"/>
          <w:sz w:val="20"/>
          <w:szCs w:val="20"/>
        </w:rPr>
        <w:t xml:space="preserve">. </w:t>
      </w:r>
      <w:r w:rsidR="0001094C" w:rsidRPr="006436AC">
        <w:rPr>
          <w:rFonts w:ascii="Arial" w:hAnsi="Arial" w:cs="Arial"/>
          <w:sz w:val="20"/>
          <w:szCs w:val="20"/>
        </w:rPr>
        <w:t xml:space="preserve">We found that </w:t>
      </w:r>
      <w:r w:rsidR="006C5520" w:rsidRPr="006436AC">
        <w:rPr>
          <w:rFonts w:ascii="Arial" w:hAnsi="Arial" w:cs="Arial"/>
          <w:sz w:val="20"/>
          <w:szCs w:val="20"/>
        </w:rPr>
        <w:t xml:space="preserve">task </w:t>
      </w:r>
      <w:r w:rsidR="001002D1" w:rsidRPr="006436AC">
        <w:rPr>
          <w:rFonts w:ascii="Arial" w:hAnsi="Arial" w:cs="Arial"/>
          <w:sz w:val="20"/>
          <w:szCs w:val="20"/>
        </w:rPr>
        <w:t xml:space="preserve">and connectivity </w:t>
      </w:r>
      <w:r w:rsidR="0001094C" w:rsidRPr="006436AC">
        <w:rPr>
          <w:rFonts w:ascii="Arial" w:hAnsi="Arial" w:cs="Arial"/>
          <w:sz w:val="20"/>
          <w:szCs w:val="20"/>
        </w:rPr>
        <w:t xml:space="preserve">gradient values decreased in an orderly fashion across these networks: voxels within DMN had the highest task gradient values, voxels in the semantic control network had lower values, while voxels that fell only in MDN had the lowest values </w:t>
      </w:r>
      <w:r w:rsidR="003A26D8" w:rsidRPr="006436AC">
        <w:rPr>
          <w:rFonts w:ascii="Arial" w:hAnsi="Arial" w:cs="Arial"/>
          <w:sz w:val="20"/>
          <w:szCs w:val="20"/>
        </w:rPr>
        <w:t xml:space="preserve">when defining DMN and MDN ROIs using contrasts of easy and hard spatial working memory task </w:t>
      </w:r>
      <w:r w:rsidR="0001094C" w:rsidRPr="006436AC">
        <w:rPr>
          <w:rFonts w:ascii="Arial" w:hAnsi="Arial" w:cs="Arial"/>
          <w:sz w:val="20"/>
          <w:szCs w:val="20"/>
        </w:rPr>
        <w:t xml:space="preserve">(Figure </w:t>
      </w:r>
      <w:r w:rsidR="002B6A66" w:rsidRPr="006436AC">
        <w:rPr>
          <w:rFonts w:ascii="Arial" w:hAnsi="Arial" w:cs="Arial"/>
          <w:sz w:val="20"/>
          <w:szCs w:val="20"/>
        </w:rPr>
        <w:t>6</w:t>
      </w:r>
      <w:r w:rsidR="0001094C" w:rsidRPr="006436AC">
        <w:rPr>
          <w:rFonts w:ascii="Arial" w:hAnsi="Arial" w:cs="Arial"/>
          <w:sz w:val="20"/>
          <w:szCs w:val="20"/>
        </w:rPr>
        <w:t>B</w:t>
      </w:r>
      <w:r w:rsidR="001002D1" w:rsidRPr="006436AC">
        <w:rPr>
          <w:rFonts w:ascii="Arial" w:hAnsi="Arial" w:cs="Arial"/>
          <w:sz w:val="20"/>
          <w:szCs w:val="20"/>
        </w:rPr>
        <w:t>, 6C</w:t>
      </w:r>
      <w:r w:rsidR="0001094C" w:rsidRPr="006436AC">
        <w:rPr>
          <w:rFonts w:ascii="Arial" w:hAnsi="Arial" w:cs="Arial"/>
          <w:sz w:val="20"/>
          <w:szCs w:val="20"/>
        </w:rPr>
        <w:t>)</w:t>
      </w:r>
      <w:r w:rsidR="003A26D8" w:rsidRPr="006436AC">
        <w:rPr>
          <w:rFonts w:ascii="Arial" w:hAnsi="Arial" w:cs="Arial"/>
          <w:sz w:val="20"/>
          <w:szCs w:val="20"/>
        </w:rPr>
        <w:t xml:space="preserve"> and math task (provided in Supplementary Materials</w:t>
      </w:r>
      <w:r w:rsidR="005D74D9" w:rsidRPr="006436AC">
        <w:rPr>
          <w:rFonts w:ascii="Arial" w:hAnsi="Arial" w:cs="Arial"/>
          <w:sz w:val="20"/>
          <w:szCs w:val="20"/>
        </w:rPr>
        <w:t xml:space="preserve"> Figure S8</w:t>
      </w:r>
      <w:r w:rsidR="003A26D8" w:rsidRPr="006436AC">
        <w:rPr>
          <w:rFonts w:ascii="Arial" w:hAnsi="Arial" w:cs="Arial"/>
          <w:sz w:val="20"/>
          <w:szCs w:val="20"/>
        </w:rPr>
        <w:t>)</w:t>
      </w:r>
      <w:r w:rsidR="0001094C" w:rsidRPr="006436AC">
        <w:rPr>
          <w:rFonts w:ascii="Arial" w:hAnsi="Arial" w:cs="Arial"/>
          <w:sz w:val="20"/>
          <w:szCs w:val="20"/>
        </w:rPr>
        <w:t>.</w:t>
      </w:r>
    </w:p>
    <w:p w14:paraId="58A9E58D" w14:textId="30B946E6" w:rsidR="00872F34" w:rsidRPr="006436AC" w:rsidRDefault="00872F34"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Repeated</w:t>
      </w:r>
      <w:r w:rsidR="006C5520" w:rsidRPr="006436AC">
        <w:rPr>
          <w:rFonts w:ascii="Arial" w:hAnsi="Arial" w:cs="Arial"/>
          <w:sz w:val="20"/>
          <w:szCs w:val="20"/>
        </w:rPr>
        <w:t>-</w:t>
      </w:r>
      <w:r w:rsidRPr="006436AC">
        <w:rPr>
          <w:rFonts w:ascii="Arial" w:hAnsi="Arial" w:cs="Arial"/>
          <w:sz w:val="20"/>
          <w:szCs w:val="20"/>
        </w:rPr>
        <w:t xml:space="preserve">measures ANOVA </w:t>
      </w:r>
      <w:r w:rsidR="006A731F" w:rsidRPr="006436AC">
        <w:rPr>
          <w:rFonts w:ascii="Arial" w:hAnsi="Arial" w:cs="Arial"/>
          <w:sz w:val="20"/>
          <w:szCs w:val="20"/>
        </w:rPr>
        <w:t xml:space="preserve">was used to examine how </w:t>
      </w:r>
      <w:r w:rsidR="001002D1" w:rsidRPr="006436AC">
        <w:rPr>
          <w:rFonts w:ascii="Arial" w:hAnsi="Arial" w:cs="Arial"/>
          <w:sz w:val="20"/>
          <w:szCs w:val="20"/>
        </w:rPr>
        <w:t>task gradient values</w:t>
      </w:r>
      <w:r w:rsidR="006A731F" w:rsidRPr="006436AC">
        <w:rPr>
          <w:rFonts w:ascii="Arial" w:hAnsi="Arial" w:cs="Arial"/>
          <w:sz w:val="20"/>
          <w:szCs w:val="20"/>
        </w:rPr>
        <w:t xml:space="preserve"> changed across participants across networks. </w:t>
      </w:r>
      <w:r w:rsidRPr="006436AC">
        <w:rPr>
          <w:rFonts w:ascii="Arial" w:hAnsi="Arial" w:cs="Arial"/>
          <w:sz w:val="20"/>
          <w:szCs w:val="20"/>
        </w:rPr>
        <w:t xml:space="preserve">Mauchly’s Test of Sphericity indicated that the assumption </w:t>
      </w:r>
      <w:r w:rsidRPr="006436AC">
        <w:rPr>
          <w:rFonts w:ascii="Arial" w:hAnsi="Arial" w:cs="Arial"/>
          <w:sz w:val="20"/>
          <w:szCs w:val="20"/>
        </w:rPr>
        <w:lastRenderedPageBreak/>
        <w:t>of sphericity had been violated</w:t>
      </w:r>
      <w:r w:rsidR="006C4D60" w:rsidRPr="006436AC">
        <w:rPr>
          <w:rFonts w:ascii="Arial" w:hAnsi="Arial" w:cs="Arial"/>
          <w:sz w:val="20"/>
          <w:szCs w:val="20"/>
        </w:rPr>
        <w:t xml:space="preserve"> (</w:t>
      </w:r>
      <w:r w:rsidRPr="006436AC">
        <w:rPr>
          <w:rFonts w:ascii="Arial" w:hAnsi="Arial" w:cs="Arial"/>
          <w:sz w:val="20"/>
          <w:szCs w:val="20"/>
        </w:rPr>
        <w:sym w:font="Symbol" w:char="F063"/>
      </w:r>
      <w:r w:rsidR="001E2D84" w:rsidRPr="006436AC">
        <w:rPr>
          <w:rFonts w:ascii="Arial" w:hAnsi="Arial" w:cs="Arial"/>
          <w:sz w:val="20"/>
          <w:szCs w:val="20"/>
          <w:vertAlign w:val="superscript"/>
        </w:rPr>
        <w:t>2</w:t>
      </w:r>
      <w:r w:rsidRPr="006436AC">
        <w:rPr>
          <w:rFonts w:ascii="Arial" w:hAnsi="Arial" w:cs="Arial"/>
          <w:sz w:val="20"/>
          <w:szCs w:val="20"/>
        </w:rPr>
        <w:t xml:space="preserve"> = 18</w:t>
      </w:r>
      <w:r w:rsidR="006C4D60" w:rsidRPr="006436AC">
        <w:rPr>
          <w:rFonts w:ascii="Arial" w:hAnsi="Arial" w:cs="Arial"/>
          <w:sz w:val="20"/>
          <w:szCs w:val="20"/>
        </w:rPr>
        <w:t>.001</w:t>
      </w:r>
      <w:r w:rsidRPr="006436AC">
        <w:rPr>
          <w:rFonts w:ascii="Arial" w:hAnsi="Arial" w:cs="Arial"/>
          <w:sz w:val="20"/>
          <w:szCs w:val="20"/>
        </w:rPr>
        <w:t xml:space="preserve">, p </w:t>
      </w:r>
      <w:r w:rsidR="006C4D60" w:rsidRPr="006436AC">
        <w:rPr>
          <w:rFonts w:ascii="Arial" w:hAnsi="Arial" w:cs="Arial"/>
          <w:sz w:val="20"/>
          <w:szCs w:val="20"/>
        </w:rPr>
        <w:t>=</w:t>
      </w:r>
      <w:r w:rsidRPr="006436AC">
        <w:rPr>
          <w:rFonts w:ascii="Arial" w:hAnsi="Arial" w:cs="Arial"/>
          <w:sz w:val="20"/>
          <w:szCs w:val="20"/>
        </w:rPr>
        <w:t xml:space="preserve"> 0.003</w:t>
      </w:r>
      <w:r w:rsidR="006C4D60" w:rsidRPr="006436AC">
        <w:rPr>
          <w:rFonts w:ascii="Arial" w:hAnsi="Arial" w:cs="Arial"/>
          <w:sz w:val="20"/>
          <w:szCs w:val="20"/>
        </w:rPr>
        <w:t>)</w:t>
      </w:r>
      <w:r w:rsidRPr="006436AC">
        <w:rPr>
          <w:rFonts w:ascii="Arial" w:hAnsi="Arial" w:cs="Arial"/>
          <w:sz w:val="20"/>
          <w:szCs w:val="20"/>
        </w:rPr>
        <w:t xml:space="preserve"> and therefore a Greenhouse-Geisser correction was used. There </w:t>
      </w:r>
      <w:r w:rsidR="006A731F" w:rsidRPr="006436AC">
        <w:rPr>
          <w:rFonts w:ascii="Arial" w:hAnsi="Arial" w:cs="Arial"/>
          <w:sz w:val="20"/>
          <w:szCs w:val="20"/>
        </w:rPr>
        <w:t>were</w:t>
      </w:r>
      <w:r w:rsidRPr="006436AC">
        <w:rPr>
          <w:rFonts w:ascii="Arial" w:hAnsi="Arial" w:cs="Arial"/>
          <w:sz w:val="20"/>
          <w:szCs w:val="20"/>
        </w:rPr>
        <w:t xml:space="preserve"> significant differences in </w:t>
      </w:r>
      <w:r w:rsidR="001002D1" w:rsidRPr="006436AC">
        <w:rPr>
          <w:rFonts w:ascii="Arial" w:hAnsi="Arial" w:cs="Arial"/>
          <w:sz w:val="20"/>
          <w:szCs w:val="20"/>
        </w:rPr>
        <w:t>task</w:t>
      </w:r>
      <w:r w:rsidRPr="006436AC">
        <w:rPr>
          <w:rFonts w:ascii="Arial" w:hAnsi="Arial" w:cs="Arial"/>
          <w:sz w:val="20"/>
          <w:szCs w:val="20"/>
        </w:rPr>
        <w:t xml:space="preserve"> gradient values </w:t>
      </w:r>
      <w:r w:rsidR="006A731F" w:rsidRPr="006436AC">
        <w:rPr>
          <w:rFonts w:ascii="Arial" w:hAnsi="Arial" w:cs="Arial"/>
          <w:sz w:val="20"/>
          <w:szCs w:val="20"/>
        </w:rPr>
        <w:t xml:space="preserve">across networks </w:t>
      </w:r>
      <w:r w:rsidRPr="006436AC">
        <w:rPr>
          <w:rFonts w:ascii="Arial" w:hAnsi="Arial" w:cs="Arial"/>
          <w:sz w:val="20"/>
          <w:szCs w:val="20"/>
        </w:rPr>
        <w:t>(F(2.175</w:t>
      </w:r>
      <w:r w:rsidR="006C4D60" w:rsidRPr="006436AC">
        <w:rPr>
          <w:rFonts w:ascii="Arial" w:hAnsi="Arial" w:cs="Arial"/>
          <w:sz w:val="20"/>
          <w:szCs w:val="20"/>
        </w:rPr>
        <w:t>, 60.893</w:t>
      </w:r>
      <w:r w:rsidRPr="006436AC">
        <w:rPr>
          <w:rFonts w:ascii="Arial" w:hAnsi="Arial" w:cs="Arial"/>
          <w:sz w:val="20"/>
          <w:szCs w:val="20"/>
        </w:rPr>
        <w:t xml:space="preserve">) = 4.483, p </w:t>
      </w:r>
      <w:r w:rsidR="006C4D60" w:rsidRPr="006436AC">
        <w:rPr>
          <w:rFonts w:ascii="Arial" w:hAnsi="Arial" w:cs="Arial"/>
          <w:sz w:val="20"/>
          <w:szCs w:val="20"/>
        </w:rPr>
        <w:t>=</w:t>
      </w:r>
      <w:r w:rsidRPr="006436AC">
        <w:rPr>
          <w:rFonts w:ascii="Arial" w:hAnsi="Arial" w:cs="Arial"/>
          <w:sz w:val="20"/>
          <w:szCs w:val="20"/>
        </w:rPr>
        <w:t xml:space="preserve"> 0.013</w:t>
      </w:r>
      <w:r w:rsidR="006C4D60" w:rsidRPr="006436AC">
        <w:rPr>
          <w:rFonts w:ascii="Arial" w:hAnsi="Arial" w:cs="Arial"/>
          <w:sz w:val="20"/>
          <w:szCs w:val="20"/>
        </w:rPr>
        <w:t>)</w:t>
      </w:r>
      <w:r w:rsidR="006A731F" w:rsidRPr="006436AC">
        <w:rPr>
          <w:rFonts w:ascii="Arial" w:hAnsi="Arial" w:cs="Arial"/>
          <w:sz w:val="20"/>
          <w:szCs w:val="20"/>
        </w:rPr>
        <w:t xml:space="preserve"> and</w:t>
      </w:r>
      <w:r w:rsidR="001E2D84" w:rsidRPr="006436AC">
        <w:rPr>
          <w:rFonts w:ascii="Arial" w:hAnsi="Arial" w:cs="Arial"/>
          <w:sz w:val="20"/>
          <w:szCs w:val="20"/>
          <w:lang w:eastAsia="zh-CN"/>
        </w:rPr>
        <w:t xml:space="preserve"> a linear trend</w:t>
      </w:r>
      <w:r w:rsidR="006A731F" w:rsidRPr="006436AC">
        <w:rPr>
          <w:rFonts w:ascii="Arial" w:hAnsi="Arial" w:cs="Arial"/>
          <w:sz w:val="20"/>
          <w:szCs w:val="20"/>
          <w:lang w:eastAsia="zh-CN"/>
        </w:rPr>
        <w:t xml:space="preserve">, capturing the orderly progression in </w:t>
      </w:r>
      <w:r w:rsidR="001002D1" w:rsidRPr="006436AC">
        <w:rPr>
          <w:rFonts w:ascii="Arial" w:hAnsi="Arial" w:cs="Arial"/>
          <w:sz w:val="20"/>
          <w:szCs w:val="20"/>
          <w:lang w:eastAsia="zh-CN"/>
        </w:rPr>
        <w:t>task</w:t>
      </w:r>
      <w:r w:rsidR="006A731F" w:rsidRPr="006436AC">
        <w:rPr>
          <w:rFonts w:ascii="Arial" w:hAnsi="Arial" w:cs="Arial"/>
          <w:sz w:val="20"/>
          <w:szCs w:val="20"/>
          <w:lang w:eastAsia="zh-CN"/>
        </w:rPr>
        <w:t xml:space="preserve"> gradient values from MDN through semantic control to DMN sites</w:t>
      </w:r>
      <w:r w:rsidR="001E2D84" w:rsidRPr="006436AC">
        <w:rPr>
          <w:rFonts w:ascii="Arial" w:hAnsi="Arial" w:cs="Arial"/>
          <w:sz w:val="20"/>
          <w:szCs w:val="20"/>
          <w:lang w:eastAsia="zh-CN"/>
        </w:rPr>
        <w:t xml:space="preserve"> (F(1, 28) = 6.126, p = 0.020</w:t>
      </w:r>
      <w:r w:rsidR="006A731F" w:rsidRPr="006436AC">
        <w:rPr>
          <w:rFonts w:ascii="Arial" w:hAnsi="Arial" w:cs="Arial"/>
          <w:sz w:val="20"/>
          <w:szCs w:val="20"/>
          <w:lang w:eastAsia="zh-CN"/>
        </w:rPr>
        <w:t>)</w:t>
      </w:r>
      <w:r w:rsidR="006C5520" w:rsidRPr="006436AC">
        <w:rPr>
          <w:rFonts w:ascii="Arial" w:hAnsi="Arial" w:cs="Arial"/>
          <w:sz w:val="20"/>
          <w:szCs w:val="20"/>
          <w:lang w:eastAsia="zh-CN"/>
        </w:rPr>
        <w:t>. There was</w:t>
      </w:r>
      <w:r w:rsidR="001E2D84" w:rsidRPr="006436AC">
        <w:rPr>
          <w:rFonts w:ascii="Arial" w:hAnsi="Arial" w:cs="Arial"/>
          <w:sz w:val="20"/>
          <w:szCs w:val="20"/>
          <w:lang w:eastAsia="zh-CN"/>
        </w:rPr>
        <w:t xml:space="preserve"> no quadratic </w:t>
      </w:r>
      <w:r w:rsidR="006C5520" w:rsidRPr="006436AC">
        <w:rPr>
          <w:rFonts w:ascii="Arial" w:hAnsi="Arial" w:cs="Arial"/>
          <w:sz w:val="20"/>
          <w:szCs w:val="20"/>
          <w:lang w:eastAsia="zh-CN"/>
        </w:rPr>
        <w:t>or</w:t>
      </w:r>
      <w:r w:rsidR="003F39F3" w:rsidRPr="006436AC">
        <w:rPr>
          <w:rFonts w:ascii="Arial" w:hAnsi="Arial" w:cs="Arial"/>
          <w:sz w:val="20"/>
          <w:szCs w:val="20"/>
          <w:lang w:eastAsia="zh-CN"/>
        </w:rPr>
        <w:t xml:space="preserve"> cubic trend (</w:t>
      </w:r>
      <w:r w:rsidR="001002D1" w:rsidRPr="006436AC">
        <w:rPr>
          <w:rFonts w:ascii="Arial" w:hAnsi="Arial" w:cs="Arial"/>
          <w:sz w:val="20"/>
          <w:szCs w:val="20"/>
          <w:lang w:eastAsia="zh-CN"/>
        </w:rPr>
        <w:t>p</w:t>
      </w:r>
      <w:r w:rsidR="001E2D84" w:rsidRPr="006436AC">
        <w:rPr>
          <w:rFonts w:ascii="Arial" w:hAnsi="Arial" w:cs="Arial"/>
          <w:sz w:val="20"/>
          <w:szCs w:val="20"/>
          <w:lang w:eastAsia="zh-CN"/>
        </w:rPr>
        <w:t xml:space="preserve"> &gt; 0.05).</w:t>
      </w:r>
    </w:p>
    <w:p w14:paraId="52B4E9C0" w14:textId="2AD44F40" w:rsidR="00980C22" w:rsidRPr="006436AC" w:rsidRDefault="001002D1" w:rsidP="000E64FB">
      <w:pPr>
        <w:spacing w:before="100" w:beforeAutospacing="1" w:after="100" w:afterAutospacing="1" w:line="480" w:lineRule="auto"/>
        <w:ind w:firstLine="720"/>
        <w:rPr>
          <w:rFonts w:ascii="Arial" w:hAnsi="Arial" w:cs="Arial"/>
          <w:sz w:val="20"/>
          <w:szCs w:val="20"/>
          <w:lang w:eastAsia="zh-CN"/>
        </w:rPr>
      </w:pPr>
      <w:r w:rsidRPr="006436AC">
        <w:rPr>
          <w:rFonts w:ascii="Arial" w:hAnsi="Arial" w:cs="Arial"/>
          <w:sz w:val="20"/>
          <w:szCs w:val="20"/>
        </w:rPr>
        <w:t>Repeated-measures ANOVA was</w:t>
      </w:r>
      <w:r w:rsidR="003F39F3" w:rsidRPr="006436AC">
        <w:rPr>
          <w:rFonts w:ascii="Arial" w:hAnsi="Arial" w:cs="Arial"/>
          <w:sz w:val="20"/>
          <w:szCs w:val="20"/>
        </w:rPr>
        <w:t xml:space="preserve"> also</w:t>
      </w:r>
      <w:r w:rsidRPr="006436AC">
        <w:rPr>
          <w:rFonts w:ascii="Arial" w:hAnsi="Arial" w:cs="Arial"/>
          <w:sz w:val="20"/>
          <w:szCs w:val="20"/>
        </w:rPr>
        <w:t xml:space="preserve"> used to examine how </w:t>
      </w:r>
      <w:r w:rsidR="003F39F3" w:rsidRPr="006436AC">
        <w:rPr>
          <w:rFonts w:ascii="Arial" w:hAnsi="Arial" w:cs="Arial"/>
          <w:sz w:val="20"/>
          <w:szCs w:val="20"/>
        </w:rPr>
        <w:t xml:space="preserve">individually-defined </w:t>
      </w:r>
      <w:r w:rsidRPr="006436AC">
        <w:rPr>
          <w:rFonts w:ascii="Arial" w:hAnsi="Arial" w:cs="Arial"/>
          <w:sz w:val="20"/>
          <w:szCs w:val="20"/>
        </w:rPr>
        <w:t xml:space="preserve">connectivity gradient values changed across participants across networks. </w:t>
      </w:r>
      <w:r w:rsidR="0001094C" w:rsidRPr="006436AC">
        <w:rPr>
          <w:rFonts w:ascii="Arial" w:hAnsi="Arial" w:cs="Arial"/>
          <w:sz w:val="20"/>
          <w:szCs w:val="20"/>
        </w:rPr>
        <w:t xml:space="preserve">We found the same pattern </w:t>
      </w:r>
      <w:r w:rsidR="006A731F" w:rsidRPr="006436AC">
        <w:rPr>
          <w:rFonts w:ascii="Arial" w:hAnsi="Arial" w:cs="Arial"/>
          <w:sz w:val="20"/>
          <w:szCs w:val="20"/>
        </w:rPr>
        <w:t xml:space="preserve">across networks </w:t>
      </w:r>
      <w:r w:rsidR="006C5520" w:rsidRPr="006436AC">
        <w:rPr>
          <w:rFonts w:ascii="Arial" w:hAnsi="Arial" w:cs="Arial"/>
          <w:sz w:val="20"/>
          <w:szCs w:val="20"/>
        </w:rPr>
        <w:t>for</w:t>
      </w:r>
      <w:r w:rsidR="0001094C" w:rsidRPr="006436AC">
        <w:rPr>
          <w:rFonts w:ascii="Arial" w:hAnsi="Arial" w:cs="Arial"/>
          <w:sz w:val="20"/>
          <w:szCs w:val="20"/>
        </w:rPr>
        <w:t xml:space="preserve"> </w:t>
      </w:r>
      <w:r w:rsidR="006342DB" w:rsidRPr="006436AC">
        <w:rPr>
          <w:rFonts w:ascii="Arial" w:hAnsi="Arial" w:cs="Arial"/>
          <w:sz w:val="20"/>
          <w:szCs w:val="20"/>
        </w:rPr>
        <w:t>connectivity</w:t>
      </w:r>
      <w:r w:rsidR="0001094C" w:rsidRPr="006436AC">
        <w:rPr>
          <w:rFonts w:ascii="Arial" w:hAnsi="Arial" w:cs="Arial"/>
          <w:sz w:val="20"/>
          <w:szCs w:val="20"/>
        </w:rPr>
        <w:t xml:space="preserve"> gradient </w:t>
      </w:r>
      <w:r w:rsidR="006C5520" w:rsidRPr="006436AC">
        <w:rPr>
          <w:rFonts w:ascii="Arial" w:hAnsi="Arial" w:cs="Arial"/>
          <w:sz w:val="20"/>
          <w:szCs w:val="20"/>
        </w:rPr>
        <w:t xml:space="preserve">values </w:t>
      </w:r>
      <w:r w:rsidR="0001094C" w:rsidRPr="006436AC">
        <w:rPr>
          <w:rFonts w:ascii="Arial" w:hAnsi="Arial" w:cs="Arial"/>
          <w:sz w:val="20"/>
          <w:szCs w:val="20"/>
        </w:rPr>
        <w:t xml:space="preserve">(Figure </w:t>
      </w:r>
      <w:r w:rsidR="002B6A66" w:rsidRPr="006436AC">
        <w:rPr>
          <w:rFonts w:ascii="Arial" w:hAnsi="Arial" w:cs="Arial"/>
          <w:sz w:val="20"/>
          <w:szCs w:val="20"/>
        </w:rPr>
        <w:t>6</w:t>
      </w:r>
      <w:r w:rsidR="0001094C" w:rsidRPr="006436AC">
        <w:rPr>
          <w:rFonts w:ascii="Arial" w:hAnsi="Arial" w:cs="Arial"/>
          <w:sz w:val="20"/>
          <w:szCs w:val="20"/>
        </w:rPr>
        <w:t xml:space="preserve">C). </w:t>
      </w:r>
      <w:r w:rsidR="00872F34" w:rsidRPr="006436AC">
        <w:rPr>
          <w:rFonts w:ascii="Arial" w:hAnsi="Arial" w:cs="Arial"/>
          <w:sz w:val="20"/>
          <w:szCs w:val="20"/>
        </w:rPr>
        <w:t xml:space="preserve">Mauchly’s Test of Sphericity </w:t>
      </w:r>
      <w:r w:rsidR="006C5520" w:rsidRPr="006436AC">
        <w:rPr>
          <w:rFonts w:ascii="Arial" w:hAnsi="Arial" w:cs="Arial"/>
          <w:sz w:val="20"/>
          <w:szCs w:val="20"/>
        </w:rPr>
        <w:t xml:space="preserve">again </w:t>
      </w:r>
      <w:r w:rsidR="00872F34" w:rsidRPr="006436AC">
        <w:rPr>
          <w:rFonts w:ascii="Arial" w:hAnsi="Arial" w:cs="Arial"/>
          <w:sz w:val="20"/>
          <w:szCs w:val="20"/>
        </w:rPr>
        <w:t>indicated that the assumption of sphericity had been violated</w:t>
      </w:r>
      <w:r w:rsidR="006C4D60" w:rsidRPr="006436AC">
        <w:rPr>
          <w:rFonts w:ascii="Arial" w:hAnsi="Arial" w:cs="Arial"/>
          <w:sz w:val="20"/>
          <w:szCs w:val="20"/>
        </w:rPr>
        <w:t xml:space="preserve"> (</w:t>
      </w:r>
      <w:r w:rsidR="00872F34" w:rsidRPr="006436AC">
        <w:rPr>
          <w:rFonts w:ascii="Arial" w:hAnsi="Arial" w:cs="Arial"/>
          <w:sz w:val="20"/>
          <w:szCs w:val="20"/>
        </w:rPr>
        <w:sym w:font="Symbol" w:char="F063"/>
      </w:r>
      <w:r w:rsidR="001E2D84" w:rsidRPr="006436AC">
        <w:rPr>
          <w:rFonts w:ascii="Arial" w:hAnsi="Arial" w:cs="Arial"/>
          <w:sz w:val="20"/>
          <w:szCs w:val="20"/>
          <w:vertAlign w:val="superscript"/>
        </w:rPr>
        <w:t>2</w:t>
      </w:r>
      <w:r w:rsidR="00872F34" w:rsidRPr="006436AC">
        <w:rPr>
          <w:rFonts w:ascii="Arial" w:hAnsi="Arial" w:cs="Arial"/>
          <w:sz w:val="20"/>
          <w:szCs w:val="20"/>
        </w:rPr>
        <w:t xml:space="preserve"> = 16.344, p </w:t>
      </w:r>
      <w:r w:rsidR="006C4D60" w:rsidRPr="006436AC">
        <w:rPr>
          <w:rFonts w:ascii="Arial" w:hAnsi="Arial" w:cs="Arial"/>
          <w:sz w:val="20"/>
          <w:szCs w:val="20"/>
        </w:rPr>
        <w:t>=</w:t>
      </w:r>
      <w:r w:rsidR="00872F34" w:rsidRPr="006436AC">
        <w:rPr>
          <w:rFonts w:ascii="Arial" w:hAnsi="Arial" w:cs="Arial"/>
          <w:sz w:val="20"/>
          <w:szCs w:val="20"/>
        </w:rPr>
        <w:t xml:space="preserve"> 0.006</w:t>
      </w:r>
      <w:r w:rsidR="006C4D60" w:rsidRPr="006436AC">
        <w:rPr>
          <w:rFonts w:ascii="Arial" w:hAnsi="Arial" w:cs="Arial"/>
          <w:sz w:val="20"/>
          <w:szCs w:val="20"/>
        </w:rPr>
        <w:t>)</w:t>
      </w:r>
      <w:r w:rsidR="00872F34" w:rsidRPr="006436AC">
        <w:rPr>
          <w:rFonts w:ascii="Arial" w:hAnsi="Arial" w:cs="Arial"/>
          <w:sz w:val="20"/>
          <w:szCs w:val="20"/>
        </w:rPr>
        <w:t xml:space="preserve">, and therefore, a Greenhouse-Geisser correction was used. There </w:t>
      </w:r>
      <w:r w:rsidR="006C5520" w:rsidRPr="006436AC">
        <w:rPr>
          <w:rFonts w:ascii="Arial" w:hAnsi="Arial" w:cs="Arial"/>
          <w:sz w:val="20"/>
          <w:szCs w:val="20"/>
        </w:rPr>
        <w:t>were</w:t>
      </w:r>
      <w:r w:rsidR="00872F34" w:rsidRPr="006436AC">
        <w:rPr>
          <w:rFonts w:ascii="Arial" w:hAnsi="Arial" w:cs="Arial"/>
          <w:sz w:val="20"/>
          <w:szCs w:val="20"/>
        </w:rPr>
        <w:t xml:space="preserve"> significant differences in </w:t>
      </w:r>
      <w:r w:rsidR="006342DB" w:rsidRPr="006436AC">
        <w:rPr>
          <w:rFonts w:ascii="Arial" w:hAnsi="Arial" w:cs="Arial"/>
          <w:sz w:val="20"/>
          <w:szCs w:val="20"/>
        </w:rPr>
        <w:t>connectivity</w:t>
      </w:r>
      <w:r w:rsidR="00872F34" w:rsidRPr="006436AC">
        <w:rPr>
          <w:rFonts w:ascii="Arial" w:hAnsi="Arial" w:cs="Arial"/>
          <w:sz w:val="20"/>
          <w:szCs w:val="20"/>
        </w:rPr>
        <w:t xml:space="preserve"> gradient values (F(2.161</w:t>
      </w:r>
      <w:r w:rsidR="006C4D60" w:rsidRPr="006436AC">
        <w:rPr>
          <w:rFonts w:ascii="Arial" w:hAnsi="Arial" w:cs="Arial"/>
          <w:sz w:val="20"/>
          <w:szCs w:val="20"/>
        </w:rPr>
        <w:t>, 60.512</w:t>
      </w:r>
      <w:r w:rsidR="00872F34" w:rsidRPr="006436AC">
        <w:rPr>
          <w:rFonts w:ascii="Arial" w:hAnsi="Arial" w:cs="Arial"/>
          <w:sz w:val="20"/>
          <w:szCs w:val="20"/>
        </w:rPr>
        <w:t xml:space="preserve">) = </w:t>
      </w:r>
      <w:r w:rsidR="006C4D60" w:rsidRPr="006436AC">
        <w:rPr>
          <w:rFonts w:ascii="Arial" w:hAnsi="Arial" w:cs="Arial"/>
          <w:sz w:val="20"/>
          <w:szCs w:val="20"/>
        </w:rPr>
        <w:t>88.066</w:t>
      </w:r>
      <w:r w:rsidR="00872F34" w:rsidRPr="006436AC">
        <w:rPr>
          <w:rFonts w:ascii="Arial" w:hAnsi="Arial" w:cs="Arial"/>
          <w:sz w:val="20"/>
          <w:szCs w:val="20"/>
        </w:rPr>
        <w:t>, p &lt; 0.000</w:t>
      </w:r>
      <w:r w:rsidR="006C4D60" w:rsidRPr="006436AC">
        <w:rPr>
          <w:rFonts w:ascii="Arial" w:hAnsi="Arial" w:cs="Arial"/>
          <w:sz w:val="20"/>
          <w:szCs w:val="20"/>
        </w:rPr>
        <w:t>)</w:t>
      </w:r>
      <w:r w:rsidR="006C5520" w:rsidRPr="006436AC">
        <w:rPr>
          <w:rFonts w:ascii="Arial" w:hAnsi="Arial" w:cs="Arial"/>
          <w:sz w:val="20"/>
          <w:szCs w:val="20"/>
        </w:rPr>
        <w:t xml:space="preserve"> and</w:t>
      </w:r>
      <w:r w:rsidR="001E2D84" w:rsidRPr="006436AC">
        <w:rPr>
          <w:rFonts w:ascii="Arial" w:hAnsi="Arial" w:cs="Arial"/>
          <w:sz w:val="20"/>
          <w:szCs w:val="20"/>
          <w:lang w:eastAsia="zh-CN"/>
        </w:rPr>
        <w:t xml:space="preserve"> a linear </w:t>
      </w:r>
      <w:r w:rsidR="003F39F3" w:rsidRPr="006436AC">
        <w:rPr>
          <w:rFonts w:ascii="Arial" w:hAnsi="Arial" w:cs="Arial"/>
          <w:sz w:val="20"/>
          <w:szCs w:val="20"/>
          <w:lang w:eastAsia="zh-CN"/>
        </w:rPr>
        <w:t>change between networks</w:t>
      </w:r>
      <w:r w:rsidR="001E2D84" w:rsidRPr="006436AC">
        <w:rPr>
          <w:rFonts w:ascii="Arial" w:hAnsi="Arial" w:cs="Arial"/>
          <w:sz w:val="20"/>
          <w:szCs w:val="20"/>
          <w:lang w:eastAsia="zh-CN"/>
        </w:rPr>
        <w:t xml:space="preserve"> (F(1, 28) = 154.882, p = 0.000)</w:t>
      </w:r>
      <w:r w:rsidR="006C5520" w:rsidRPr="006436AC">
        <w:rPr>
          <w:rFonts w:ascii="Arial" w:hAnsi="Arial" w:cs="Arial"/>
          <w:sz w:val="20"/>
          <w:szCs w:val="20"/>
          <w:lang w:eastAsia="zh-CN"/>
        </w:rPr>
        <w:t xml:space="preserve">, </w:t>
      </w:r>
      <w:r w:rsidR="00580330" w:rsidRPr="006436AC">
        <w:rPr>
          <w:rFonts w:ascii="Arial" w:hAnsi="Arial" w:cs="Arial"/>
          <w:sz w:val="20"/>
          <w:szCs w:val="20"/>
          <w:lang w:eastAsia="zh-CN"/>
        </w:rPr>
        <w:t xml:space="preserve">capturing </w:t>
      </w:r>
      <w:r w:rsidR="003F39F3" w:rsidRPr="006436AC">
        <w:rPr>
          <w:rFonts w:ascii="Arial" w:hAnsi="Arial" w:cs="Arial"/>
          <w:sz w:val="20"/>
          <w:szCs w:val="20"/>
          <w:lang w:eastAsia="zh-CN"/>
        </w:rPr>
        <w:t>an</w:t>
      </w:r>
      <w:r w:rsidR="00580330" w:rsidRPr="006436AC">
        <w:rPr>
          <w:rFonts w:ascii="Arial" w:hAnsi="Arial" w:cs="Arial"/>
          <w:sz w:val="20"/>
          <w:szCs w:val="20"/>
          <w:lang w:eastAsia="zh-CN"/>
        </w:rPr>
        <w:t xml:space="preserve"> orderly progression in </w:t>
      </w:r>
      <w:r w:rsidR="003F39F3" w:rsidRPr="006436AC">
        <w:rPr>
          <w:rFonts w:ascii="Arial" w:hAnsi="Arial" w:cs="Arial"/>
          <w:sz w:val="20"/>
          <w:szCs w:val="20"/>
          <w:lang w:eastAsia="zh-CN"/>
        </w:rPr>
        <w:t>the connectivity</w:t>
      </w:r>
      <w:r w:rsidR="00580330" w:rsidRPr="006436AC">
        <w:rPr>
          <w:rFonts w:ascii="Arial" w:hAnsi="Arial" w:cs="Arial"/>
          <w:sz w:val="20"/>
          <w:szCs w:val="20"/>
          <w:lang w:eastAsia="zh-CN"/>
        </w:rPr>
        <w:t xml:space="preserve"> gradient from MDN through semantic control to DMN sites. There was also a cubic effect</w:t>
      </w:r>
      <w:r w:rsidR="001E2D84" w:rsidRPr="006436AC">
        <w:rPr>
          <w:rFonts w:ascii="Arial" w:hAnsi="Arial" w:cs="Arial"/>
          <w:sz w:val="20"/>
          <w:szCs w:val="20"/>
          <w:lang w:eastAsia="zh-CN"/>
        </w:rPr>
        <w:t xml:space="preserve"> (F(1, 28) = 16.99, p = </w:t>
      </w:r>
      <w:r w:rsidR="003F39F3" w:rsidRPr="006436AC">
        <w:rPr>
          <w:rFonts w:ascii="Arial" w:hAnsi="Arial" w:cs="Arial"/>
          <w:sz w:val="20"/>
          <w:szCs w:val="20"/>
          <w:lang w:eastAsia="zh-CN"/>
        </w:rPr>
        <w:t>0.000) but no quadratic trend (</w:t>
      </w:r>
      <w:r w:rsidR="006342DB" w:rsidRPr="006436AC">
        <w:rPr>
          <w:rFonts w:ascii="Arial" w:hAnsi="Arial" w:cs="Arial"/>
          <w:sz w:val="20"/>
          <w:szCs w:val="20"/>
          <w:lang w:eastAsia="zh-CN"/>
        </w:rPr>
        <w:t>p</w:t>
      </w:r>
      <w:r w:rsidR="001E2D84" w:rsidRPr="006436AC">
        <w:rPr>
          <w:rFonts w:ascii="Arial" w:hAnsi="Arial" w:cs="Arial"/>
          <w:sz w:val="20"/>
          <w:szCs w:val="20"/>
          <w:lang w:eastAsia="zh-CN"/>
        </w:rPr>
        <w:t xml:space="preserve"> &gt; 0.05).</w:t>
      </w:r>
      <w:r w:rsidR="00562A05" w:rsidRPr="006436AC">
        <w:rPr>
          <w:rFonts w:ascii="Arial" w:hAnsi="Arial" w:cs="Arial"/>
          <w:sz w:val="20"/>
          <w:szCs w:val="20"/>
          <w:lang w:eastAsia="zh-CN"/>
        </w:rPr>
        <w:t xml:space="preserve"> </w:t>
      </w:r>
      <w:r w:rsidR="0001094C" w:rsidRPr="006436AC">
        <w:rPr>
          <w:rFonts w:ascii="Arial" w:hAnsi="Arial" w:cs="Arial"/>
          <w:sz w:val="20"/>
          <w:szCs w:val="20"/>
        </w:rPr>
        <w:t xml:space="preserve">These findings suggest both the task gradient and connectivity gradient capture the orderly transitions between DMN, semantic control </w:t>
      </w:r>
      <w:r w:rsidR="00580330" w:rsidRPr="006436AC">
        <w:rPr>
          <w:rFonts w:ascii="Arial" w:hAnsi="Arial" w:cs="Arial"/>
          <w:sz w:val="20"/>
          <w:szCs w:val="20"/>
        </w:rPr>
        <w:t xml:space="preserve">network </w:t>
      </w:r>
      <w:r w:rsidR="0001094C" w:rsidRPr="006436AC">
        <w:rPr>
          <w:rFonts w:ascii="Arial" w:hAnsi="Arial" w:cs="Arial"/>
          <w:sz w:val="20"/>
          <w:szCs w:val="20"/>
        </w:rPr>
        <w:t xml:space="preserve">and MDN. </w:t>
      </w:r>
    </w:p>
    <w:p w14:paraId="41B1652E" w14:textId="185A203C" w:rsidR="00AB7030" w:rsidRPr="006436AC" w:rsidRDefault="009369FA" w:rsidP="000E64FB">
      <w:pPr>
        <w:spacing w:before="100" w:beforeAutospacing="1" w:after="100" w:afterAutospacing="1" w:line="480" w:lineRule="auto"/>
        <w:rPr>
          <w:rFonts w:ascii="Arial" w:hAnsi="Arial" w:cs="Arial"/>
          <w:sz w:val="20"/>
          <w:szCs w:val="20"/>
        </w:rPr>
      </w:pPr>
      <w:r w:rsidRPr="006436AC">
        <w:rPr>
          <w:rFonts w:ascii="Arial" w:hAnsi="Arial" w:cs="Arial"/>
          <w:noProof/>
          <w:sz w:val="20"/>
          <w:szCs w:val="20"/>
          <w:lang w:val="en-GB" w:eastAsia="en-GB"/>
        </w:rPr>
        <w:drawing>
          <wp:inline distT="0" distB="0" distL="0" distR="0" wp14:anchorId="4EA09003" wp14:editId="49E86EA5">
            <wp:extent cx="5486400" cy="1350010"/>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1350010"/>
                    </a:xfrm>
                    <a:prstGeom prst="rect">
                      <a:avLst/>
                    </a:prstGeom>
                  </pic:spPr>
                </pic:pic>
              </a:graphicData>
            </a:graphic>
          </wp:inline>
        </w:drawing>
      </w:r>
    </w:p>
    <w:p w14:paraId="60416CCC" w14:textId="6C18F817" w:rsidR="00A0181B" w:rsidRPr="006436AC" w:rsidRDefault="00AB7030" w:rsidP="000E64FB">
      <w:pPr>
        <w:spacing w:before="100" w:beforeAutospacing="1" w:after="100" w:afterAutospacing="1" w:line="480" w:lineRule="auto"/>
        <w:rPr>
          <w:rFonts w:ascii="Arial" w:hAnsi="Arial" w:cs="Arial"/>
          <w:sz w:val="20"/>
          <w:szCs w:val="20"/>
        </w:rPr>
      </w:pPr>
      <w:r w:rsidRPr="006436AC">
        <w:rPr>
          <w:rFonts w:ascii="Arial" w:hAnsi="Arial" w:cs="Arial"/>
          <w:b/>
          <w:sz w:val="20"/>
          <w:szCs w:val="20"/>
        </w:rPr>
        <w:t xml:space="preserve">Figure </w:t>
      </w:r>
      <w:r w:rsidR="002B6A66" w:rsidRPr="006436AC">
        <w:rPr>
          <w:rFonts w:ascii="Arial" w:hAnsi="Arial" w:cs="Arial"/>
          <w:b/>
          <w:sz w:val="20"/>
          <w:szCs w:val="20"/>
        </w:rPr>
        <w:t>6</w:t>
      </w:r>
      <w:r w:rsidRPr="006436AC">
        <w:rPr>
          <w:rFonts w:ascii="Arial" w:hAnsi="Arial" w:cs="Arial"/>
          <w:b/>
          <w:sz w:val="20"/>
          <w:szCs w:val="20"/>
        </w:rPr>
        <w:t>.</w:t>
      </w:r>
      <w:r w:rsidRPr="006436AC">
        <w:rPr>
          <w:rFonts w:ascii="Arial" w:hAnsi="Arial" w:cs="Arial"/>
          <w:sz w:val="20"/>
          <w:szCs w:val="20"/>
        </w:rPr>
        <w:t xml:space="preserve"> A – Networks used in the analysis. The same networks shown in Figure </w:t>
      </w:r>
      <w:r w:rsidR="002B6A66" w:rsidRPr="006436AC">
        <w:rPr>
          <w:rFonts w:ascii="Arial" w:hAnsi="Arial" w:cs="Arial"/>
          <w:sz w:val="20"/>
          <w:szCs w:val="20"/>
        </w:rPr>
        <w:t>5</w:t>
      </w:r>
      <w:r w:rsidRPr="006436AC">
        <w:rPr>
          <w:rFonts w:ascii="Arial" w:hAnsi="Arial" w:cs="Arial"/>
          <w:sz w:val="20"/>
          <w:szCs w:val="20"/>
        </w:rPr>
        <w:t>A, including DMN, semantic control and MDN, masked by semantically relevant regions, defined using Neurosynth. B – The task gradient values of each network for matching trials. C – The connectivity gradient values of each network.</w:t>
      </w:r>
    </w:p>
    <w:p w14:paraId="2212F9A2" w14:textId="63000A7B" w:rsidR="00980C22" w:rsidRPr="006436AC" w:rsidRDefault="00E93BF5" w:rsidP="000E64FB">
      <w:pPr>
        <w:pStyle w:val="Style1"/>
        <w:spacing w:before="100" w:beforeAutospacing="1" w:after="100" w:afterAutospacing="1" w:line="480" w:lineRule="auto"/>
        <w:rPr>
          <w:rFonts w:cs="Arial"/>
          <w:sz w:val="20"/>
          <w:szCs w:val="20"/>
        </w:rPr>
      </w:pPr>
      <w:r w:rsidRPr="006436AC">
        <w:rPr>
          <w:rFonts w:cs="Arial"/>
          <w:sz w:val="20"/>
          <w:szCs w:val="20"/>
        </w:rPr>
        <w:lastRenderedPageBreak/>
        <w:t xml:space="preserve">4. </w:t>
      </w:r>
      <w:r w:rsidR="00474D11" w:rsidRPr="006436AC">
        <w:rPr>
          <w:rFonts w:cs="Arial"/>
          <w:sz w:val="20"/>
          <w:szCs w:val="20"/>
        </w:rPr>
        <w:t>Discussion</w:t>
      </w:r>
      <w:r w:rsidR="00E6133D" w:rsidRPr="006436AC">
        <w:rPr>
          <w:rFonts w:cs="Arial"/>
          <w:sz w:val="20"/>
          <w:szCs w:val="20"/>
        </w:rPr>
        <w:t xml:space="preserve"> </w:t>
      </w:r>
    </w:p>
    <w:p w14:paraId="54DE79EE" w14:textId="51E4D964" w:rsidR="0001094C" w:rsidRPr="006436AC" w:rsidRDefault="00A15F61"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Our study investigated the relationship between a large-scale gradient in the organization of the cortex, derived from resting-state connectivity data, and a task-based gradient in BOLD response </w:t>
      </w:r>
      <w:r w:rsidR="007C7F6D" w:rsidRPr="006436AC">
        <w:rPr>
          <w:rFonts w:ascii="Arial" w:hAnsi="Arial" w:cs="Arial"/>
          <w:sz w:val="20"/>
          <w:szCs w:val="20"/>
        </w:rPr>
        <w:t>during a semantic feature-matching task</w:t>
      </w:r>
      <w:r w:rsidRPr="006436AC">
        <w:rPr>
          <w:rFonts w:ascii="Arial" w:hAnsi="Arial" w:cs="Arial"/>
          <w:sz w:val="20"/>
          <w:szCs w:val="20"/>
        </w:rPr>
        <w:t xml:space="preserve">, relating to the strength of association between concepts. </w:t>
      </w:r>
      <w:r w:rsidR="000E63AB" w:rsidRPr="006436AC">
        <w:rPr>
          <w:rFonts w:ascii="Arial" w:hAnsi="Arial" w:cs="Arial"/>
          <w:sz w:val="20"/>
          <w:szCs w:val="20"/>
        </w:rPr>
        <w:t xml:space="preserve">We measured neural function using fMRI while participants made decisions </w:t>
      </w:r>
      <w:r w:rsidR="002A0C05" w:rsidRPr="006436AC">
        <w:rPr>
          <w:rFonts w:ascii="Arial" w:hAnsi="Arial" w:cs="Arial"/>
          <w:sz w:val="20"/>
          <w:szCs w:val="20"/>
        </w:rPr>
        <w:t xml:space="preserve">about </w:t>
      </w:r>
      <w:r w:rsidR="00DE380D" w:rsidRPr="006436AC">
        <w:rPr>
          <w:rFonts w:ascii="Arial" w:hAnsi="Arial" w:cs="Arial"/>
          <w:sz w:val="20"/>
          <w:szCs w:val="20"/>
        </w:rPr>
        <w:t>specific</w:t>
      </w:r>
      <w:r w:rsidR="000E63AB" w:rsidRPr="006436AC">
        <w:rPr>
          <w:rFonts w:ascii="Arial" w:hAnsi="Arial" w:cs="Arial"/>
          <w:sz w:val="20"/>
          <w:szCs w:val="20"/>
        </w:rPr>
        <w:t xml:space="preserve"> </w:t>
      </w:r>
      <w:r w:rsidR="00632D99" w:rsidRPr="006436AC">
        <w:rPr>
          <w:rFonts w:ascii="Arial" w:hAnsi="Arial" w:cs="Arial"/>
          <w:sz w:val="20"/>
          <w:szCs w:val="20"/>
        </w:rPr>
        <w:t xml:space="preserve">conceptual </w:t>
      </w:r>
      <w:r w:rsidR="000E63AB" w:rsidRPr="006436AC">
        <w:rPr>
          <w:rFonts w:ascii="Arial" w:hAnsi="Arial" w:cs="Arial"/>
          <w:sz w:val="20"/>
          <w:szCs w:val="20"/>
        </w:rPr>
        <w:t xml:space="preserve">features of </w:t>
      </w:r>
      <w:r w:rsidR="00632D99" w:rsidRPr="006436AC">
        <w:rPr>
          <w:rFonts w:ascii="Arial" w:hAnsi="Arial" w:cs="Arial"/>
          <w:sz w:val="20"/>
          <w:szCs w:val="20"/>
        </w:rPr>
        <w:t>words</w:t>
      </w:r>
      <w:r w:rsidR="00DE380D" w:rsidRPr="006436AC">
        <w:rPr>
          <w:rFonts w:ascii="Arial" w:hAnsi="Arial" w:cs="Arial"/>
          <w:sz w:val="20"/>
          <w:szCs w:val="20"/>
        </w:rPr>
        <w:t xml:space="preserve"> (colour, shape or size)</w:t>
      </w:r>
      <w:r w:rsidR="000E63AB" w:rsidRPr="006436AC">
        <w:rPr>
          <w:rFonts w:ascii="Arial" w:hAnsi="Arial" w:cs="Arial"/>
          <w:sz w:val="20"/>
          <w:szCs w:val="20"/>
        </w:rPr>
        <w:t xml:space="preserve">, </w:t>
      </w:r>
      <w:r w:rsidR="00DE380D" w:rsidRPr="006436AC">
        <w:rPr>
          <w:rFonts w:ascii="Arial" w:hAnsi="Arial" w:cs="Arial"/>
          <w:sz w:val="20"/>
          <w:szCs w:val="20"/>
        </w:rPr>
        <w:t>and manipulated</w:t>
      </w:r>
      <w:r w:rsidR="0001094C" w:rsidRPr="006436AC">
        <w:rPr>
          <w:rFonts w:ascii="Arial" w:hAnsi="Arial" w:cs="Arial"/>
          <w:sz w:val="20"/>
          <w:szCs w:val="20"/>
        </w:rPr>
        <w:t xml:space="preserve"> the global semantic similarity of </w:t>
      </w:r>
      <w:r w:rsidR="00DE380D" w:rsidRPr="006436AC">
        <w:rPr>
          <w:rFonts w:ascii="Arial" w:hAnsi="Arial" w:cs="Arial"/>
          <w:sz w:val="20"/>
          <w:szCs w:val="20"/>
        </w:rPr>
        <w:t xml:space="preserve">the </w:t>
      </w:r>
      <w:r w:rsidR="0001094C" w:rsidRPr="006436AC">
        <w:rPr>
          <w:rFonts w:ascii="Arial" w:hAnsi="Arial" w:cs="Arial"/>
          <w:sz w:val="20"/>
          <w:szCs w:val="20"/>
        </w:rPr>
        <w:t xml:space="preserve">probe and target words parametrically. At one end of this </w:t>
      </w:r>
      <w:r w:rsidR="00A117CE" w:rsidRPr="006436AC">
        <w:rPr>
          <w:rFonts w:ascii="Arial" w:hAnsi="Arial" w:cs="Arial"/>
          <w:sz w:val="20"/>
          <w:szCs w:val="20"/>
        </w:rPr>
        <w:t>‘</w:t>
      </w:r>
      <w:r w:rsidR="0001094C" w:rsidRPr="006436AC">
        <w:rPr>
          <w:rFonts w:ascii="Arial" w:hAnsi="Arial" w:cs="Arial"/>
          <w:sz w:val="20"/>
          <w:szCs w:val="20"/>
        </w:rPr>
        <w:t>task gradient</w:t>
      </w:r>
      <w:r w:rsidR="00A117CE" w:rsidRPr="006436AC">
        <w:rPr>
          <w:rFonts w:ascii="Arial" w:hAnsi="Arial" w:cs="Arial"/>
          <w:sz w:val="20"/>
          <w:szCs w:val="20"/>
        </w:rPr>
        <w:t>’</w:t>
      </w:r>
      <w:r w:rsidR="0001094C" w:rsidRPr="006436AC">
        <w:rPr>
          <w:rFonts w:ascii="Arial" w:hAnsi="Arial" w:cs="Arial"/>
          <w:sz w:val="20"/>
          <w:szCs w:val="20"/>
        </w:rPr>
        <w:t xml:space="preserve">, items shared both goal-relevant and irrelevant features, such that these </w:t>
      </w:r>
      <w:r w:rsidR="003319A9" w:rsidRPr="006436AC">
        <w:rPr>
          <w:rFonts w:ascii="Arial" w:hAnsi="Arial" w:cs="Arial"/>
          <w:sz w:val="20"/>
          <w:szCs w:val="20"/>
        </w:rPr>
        <w:t xml:space="preserve">decisions occurred in a context that </w:t>
      </w:r>
      <w:r w:rsidR="007901E0" w:rsidRPr="006436AC">
        <w:rPr>
          <w:rFonts w:ascii="Arial" w:hAnsi="Arial" w:cs="Arial"/>
          <w:sz w:val="20"/>
          <w:szCs w:val="20"/>
        </w:rPr>
        <w:t>was</w:t>
      </w:r>
      <w:r w:rsidR="00311699" w:rsidRPr="006436AC">
        <w:rPr>
          <w:rFonts w:ascii="Arial" w:hAnsi="Arial" w:cs="Arial"/>
          <w:sz w:val="20"/>
          <w:szCs w:val="20"/>
        </w:rPr>
        <w:t xml:space="preserve"> more consistent with</w:t>
      </w:r>
      <w:r w:rsidR="007901E0" w:rsidRPr="006436AC">
        <w:rPr>
          <w:rFonts w:ascii="Arial" w:hAnsi="Arial" w:cs="Arial"/>
          <w:sz w:val="20"/>
          <w:szCs w:val="20"/>
        </w:rPr>
        <w:t xml:space="preserve"> unconstrained</w:t>
      </w:r>
      <w:r w:rsidR="00850BE9" w:rsidRPr="006436AC">
        <w:rPr>
          <w:rFonts w:ascii="Arial" w:hAnsi="Arial" w:cs="Arial"/>
          <w:sz w:val="20"/>
          <w:szCs w:val="20"/>
        </w:rPr>
        <w:t xml:space="preserve"> expectations from</w:t>
      </w:r>
      <w:r w:rsidR="003319A9" w:rsidRPr="006436AC">
        <w:rPr>
          <w:rFonts w:ascii="Arial" w:hAnsi="Arial" w:cs="Arial"/>
          <w:sz w:val="20"/>
          <w:szCs w:val="20"/>
        </w:rPr>
        <w:t xml:space="preserve"> </w:t>
      </w:r>
      <w:r w:rsidR="0001094C" w:rsidRPr="006436AC">
        <w:rPr>
          <w:rFonts w:ascii="Arial" w:hAnsi="Arial" w:cs="Arial"/>
          <w:sz w:val="20"/>
          <w:szCs w:val="20"/>
        </w:rPr>
        <w:t>long-term memory. At the other end, items had little conceptual overlap beyond th</w:t>
      </w:r>
      <w:r w:rsidR="003319A9" w:rsidRPr="006436AC">
        <w:rPr>
          <w:rFonts w:ascii="Arial" w:hAnsi="Arial" w:cs="Arial"/>
          <w:sz w:val="20"/>
          <w:szCs w:val="20"/>
        </w:rPr>
        <w:t>os</w:t>
      </w:r>
      <w:r w:rsidR="0001094C" w:rsidRPr="006436AC">
        <w:rPr>
          <w:rFonts w:ascii="Arial" w:hAnsi="Arial" w:cs="Arial"/>
          <w:sz w:val="20"/>
          <w:szCs w:val="20"/>
        </w:rPr>
        <w:t xml:space="preserve">e </w:t>
      </w:r>
      <w:r w:rsidR="000E63AB" w:rsidRPr="006436AC">
        <w:rPr>
          <w:rFonts w:ascii="Arial" w:hAnsi="Arial" w:cs="Arial"/>
          <w:sz w:val="20"/>
          <w:szCs w:val="20"/>
        </w:rPr>
        <w:t xml:space="preserve">relevant to the </w:t>
      </w:r>
      <w:r w:rsidR="0001094C" w:rsidRPr="006436AC">
        <w:rPr>
          <w:rFonts w:ascii="Arial" w:hAnsi="Arial" w:cs="Arial"/>
          <w:sz w:val="20"/>
          <w:szCs w:val="20"/>
        </w:rPr>
        <w:t>goal.</w:t>
      </w:r>
      <w:r w:rsidR="000E63AB" w:rsidRPr="006436AC">
        <w:rPr>
          <w:rFonts w:ascii="Arial" w:hAnsi="Arial" w:cs="Arial"/>
          <w:sz w:val="20"/>
          <w:szCs w:val="20"/>
        </w:rPr>
        <w:t xml:space="preserve"> Consistent with our hypothesis</w:t>
      </w:r>
      <w:r w:rsidR="00632D99" w:rsidRPr="006436AC">
        <w:rPr>
          <w:rFonts w:ascii="Arial" w:hAnsi="Arial" w:cs="Arial"/>
          <w:sz w:val="20"/>
          <w:szCs w:val="20"/>
        </w:rPr>
        <w:t>,</w:t>
      </w:r>
      <w:r w:rsidR="000E63AB" w:rsidRPr="006436AC">
        <w:rPr>
          <w:rFonts w:ascii="Arial" w:hAnsi="Arial" w:cs="Arial"/>
          <w:sz w:val="20"/>
          <w:szCs w:val="20"/>
        </w:rPr>
        <w:t xml:space="preserve"> we</w:t>
      </w:r>
      <w:r w:rsidR="0001094C" w:rsidRPr="006436AC">
        <w:rPr>
          <w:rFonts w:ascii="Arial" w:hAnsi="Arial" w:cs="Arial"/>
          <w:sz w:val="20"/>
          <w:szCs w:val="20"/>
        </w:rPr>
        <w:t xml:space="preserve"> demonstrated that functional recruitment </w:t>
      </w:r>
      <w:r w:rsidR="00632D99" w:rsidRPr="006436AC">
        <w:rPr>
          <w:rFonts w:ascii="Arial" w:hAnsi="Arial" w:cs="Arial"/>
          <w:sz w:val="20"/>
          <w:szCs w:val="20"/>
        </w:rPr>
        <w:t xml:space="preserve">in this task </w:t>
      </w:r>
      <w:r w:rsidR="000E63AB" w:rsidRPr="006436AC">
        <w:rPr>
          <w:rFonts w:ascii="Arial" w:hAnsi="Arial" w:cs="Arial"/>
          <w:sz w:val="20"/>
          <w:szCs w:val="20"/>
        </w:rPr>
        <w:t>followed</w:t>
      </w:r>
      <w:r w:rsidR="00632D99" w:rsidRPr="006436AC">
        <w:rPr>
          <w:rFonts w:ascii="Arial" w:hAnsi="Arial" w:cs="Arial"/>
          <w:sz w:val="20"/>
          <w:szCs w:val="20"/>
        </w:rPr>
        <w:t xml:space="preserve"> </w:t>
      </w:r>
      <w:r w:rsidR="000E63AB" w:rsidRPr="006436AC">
        <w:rPr>
          <w:rFonts w:ascii="Arial" w:hAnsi="Arial" w:cs="Arial"/>
          <w:sz w:val="20"/>
          <w:szCs w:val="20"/>
        </w:rPr>
        <w:t xml:space="preserve">the graded organization of </w:t>
      </w:r>
      <w:r w:rsidR="00D04B7E" w:rsidRPr="006436AC">
        <w:rPr>
          <w:rFonts w:ascii="Arial" w:hAnsi="Arial" w:cs="Arial"/>
          <w:sz w:val="20"/>
          <w:szCs w:val="20"/>
        </w:rPr>
        <w:t>the cortex</w:t>
      </w:r>
      <w:r w:rsidR="002C6D14" w:rsidRPr="006436AC">
        <w:rPr>
          <w:rFonts w:ascii="Arial" w:hAnsi="Arial" w:cs="Arial"/>
          <w:sz w:val="20"/>
          <w:szCs w:val="20"/>
        </w:rPr>
        <w:t xml:space="preserve"> </w:t>
      </w:r>
      <w:r w:rsidR="000E63AB"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000E63AB" w:rsidRPr="006436AC">
        <w:rPr>
          <w:rFonts w:ascii="Arial" w:hAnsi="Arial" w:cs="Arial"/>
          <w:sz w:val="20"/>
          <w:szCs w:val="20"/>
        </w:rPr>
        <w:fldChar w:fldCharType="separate"/>
      </w:r>
      <w:r w:rsidR="00566455" w:rsidRPr="006436AC">
        <w:rPr>
          <w:rFonts w:ascii="Arial" w:hAnsi="Arial" w:cs="Arial"/>
          <w:noProof/>
          <w:sz w:val="20"/>
          <w:szCs w:val="20"/>
        </w:rPr>
        <w:t>(Margulies et al., 2016)</w:t>
      </w:r>
      <w:r w:rsidR="000E63AB" w:rsidRPr="006436AC">
        <w:rPr>
          <w:rFonts w:ascii="Arial" w:hAnsi="Arial" w:cs="Arial"/>
          <w:sz w:val="20"/>
          <w:szCs w:val="20"/>
        </w:rPr>
        <w:fldChar w:fldCharType="end"/>
      </w:r>
      <w:r w:rsidR="00632D99" w:rsidRPr="006436AC">
        <w:rPr>
          <w:rFonts w:ascii="Arial" w:hAnsi="Arial" w:cs="Arial"/>
          <w:sz w:val="20"/>
          <w:szCs w:val="20"/>
        </w:rPr>
        <w:t>:</w:t>
      </w:r>
      <w:r w:rsidR="000E63AB" w:rsidRPr="006436AC">
        <w:rPr>
          <w:rFonts w:ascii="Arial" w:hAnsi="Arial" w:cs="Arial"/>
          <w:sz w:val="20"/>
          <w:szCs w:val="20"/>
        </w:rPr>
        <w:t xml:space="preserve"> </w:t>
      </w:r>
      <w:r w:rsidR="0001094C" w:rsidRPr="006436AC">
        <w:rPr>
          <w:rFonts w:ascii="Arial" w:hAnsi="Arial" w:cs="Arial"/>
          <w:sz w:val="20"/>
          <w:szCs w:val="20"/>
        </w:rPr>
        <w:t xml:space="preserve">strong global semantic similarity elicited more activation towards heteromodal DMN regions, </w:t>
      </w:r>
      <w:r w:rsidR="00632D99" w:rsidRPr="006436AC">
        <w:rPr>
          <w:rFonts w:ascii="Arial" w:hAnsi="Arial" w:cs="Arial"/>
          <w:sz w:val="20"/>
          <w:szCs w:val="20"/>
        </w:rPr>
        <w:t xml:space="preserve">while </w:t>
      </w:r>
      <w:r w:rsidR="0001094C" w:rsidRPr="006436AC">
        <w:rPr>
          <w:rFonts w:ascii="Arial" w:hAnsi="Arial" w:cs="Arial"/>
          <w:sz w:val="20"/>
          <w:szCs w:val="20"/>
        </w:rPr>
        <w:t>weaker global semantic similarity produced more activation within regions linked to executive control and unimodal processing. The</w:t>
      </w:r>
      <w:r w:rsidR="000E63AB" w:rsidRPr="006436AC">
        <w:rPr>
          <w:rFonts w:ascii="Arial" w:hAnsi="Arial" w:cs="Arial"/>
          <w:sz w:val="20"/>
          <w:szCs w:val="20"/>
        </w:rPr>
        <w:t xml:space="preserve"> association</w:t>
      </w:r>
      <w:r w:rsidR="0001094C" w:rsidRPr="006436AC">
        <w:rPr>
          <w:rFonts w:ascii="Arial" w:hAnsi="Arial" w:cs="Arial"/>
          <w:sz w:val="20"/>
          <w:szCs w:val="20"/>
        </w:rPr>
        <w:t xml:space="preserve"> </w:t>
      </w:r>
      <w:r w:rsidR="00632D99" w:rsidRPr="006436AC">
        <w:rPr>
          <w:rFonts w:ascii="Arial" w:hAnsi="Arial" w:cs="Arial"/>
          <w:sz w:val="20"/>
          <w:szCs w:val="20"/>
        </w:rPr>
        <w:t xml:space="preserve">between our task gradient and the connectivity gradient </w:t>
      </w:r>
      <w:r w:rsidR="0001094C" w:rsidRPr="006436AC">
        <w:rPr>
          <w:rFonts w:ascii="Arial" w:hAnsi="Arial" w:cs="Arial"/>
          <w:sz w:val="20"/>
          <w:szCs w:val="20"/>
        </w:rPr>
        <w:t xml:space="preserve">was </w:t>
      </w:r>
      <w:r w:rsidR="000E63AB" w:rsidRPr="006436AC">
        <w:rPr>
          <w:rFonts w:ascii="Arial" w:hAnsi="Arial" w:cs="Arial"/>
          <w:sz w:val="20"/>
          <w:szCs w:val="20"/>
        </w:rPr>
        <w:t xml:space="preserve">observed across multiple points on the cortical mantle, and was most clearly seen in </w:t>
      </w:r>
      <w:r w:rsidR="0001094C" w:rsidRPr="006436AC">
        <w:rPr>
          <w:rFonts w:ascii="Arial" w:hAnsi="Arial" w:cs="Arial"/>
          <w:sz w:val="20"/>
          <w:szCs w:val="20"/>
        </w:rPr>
        <w:t>regions associated with semantic cognition. Th</w:t>
      </w:r>
      <w:r w:rsidR="000E63AB" w:rsidRPr="006436AC">
        <w:rPr>
          <w:rFonts w:ascii="Arial" w:hAnsi="Arial" w:cs="Arial"/>
          <w:sz w:val="20"/>
          <w:szCs w:val="20"/>
        </w:rPr>
        <w:t xml:space="preserve">is pattern </w:t>
      </w:r>
      <w:r w:rsidR="0001094C" w:rsidRPr="006436AC">
        <w:rPr>
          <w:rFonts w:ascii="Arial" w:hAnsi="Arial" w:cs="Arial"/>
          <w:sz w:val="20"/>
          <w:szCs w:val="20"/>
        </w:rPr>
        <w:t xml:space="preserve">was </w:t>
      </w:r>
      <w:r w:rsidR="000E63AB" w:rsidRPr="006436AC">
        <w:rPr>
          <w:rFonts w:ascii="Arial" w:hAnsi="Arial" w:cs="Arial"/>
          <w:sz w:val="20"/>
          <w:szCs w:val="20"/>
        </w:rPr>
        <w:t xml:space="preserve">observed </w:t>
      </w:r>
      <w:r w:rsidR="0001094C" w:rsidRPr="006436AC">
        <w:rPr>
          <w:rFonts w:ascii="Arial" w:hAnsi="Arial" w:cs="Arial"/>
          <w:sz w:val="20"/>
          <w:szCs w:val="20"/>
        </w:rPr>
        <w:t>in individual brains</w:t>
      </w:r>
      <w:r w:rsidR="000E63AB" w:rsidRPr="006436AC">
        <w:rPr>
          <w:rFonts w:ascii="Arial" w:hAnsi="Arial" w:cs="Arial"/>
          <w:sz w:val="20"/>
          <w:szCs w:val="20"/>
        </w:rPr>
        <w:t>, suggesting that it is not a product of group averaging, and</w:t>
      </w:r>
      <w:r w:rsidR="0001094C" w:rsidRPr="006436AC">
        <w:rPr>
          <w:rFonts w:ascii="Arial" w:hAnsi="Arial" w:cs="Arial"/>
          <w:sz w:val="20"/>
          <w:szCs w:val="20"/>
        </w:rPr>
        <w:t xml:space="preserve"> </w:t>
      </w:r>
      <w:r w:rsidR="00BE1872" w:rsidRPr="006436AC">
        <w:rPr>
          <w:rFonts w:ascii="Arial" w:hAnsi="Arial" w:cs="Arial"/>
          <w:sz w:val="20"/>
          <w:szCs w:val="20"/>
        </w:rPr>
        <w:t xml:space="preserve">it </w:t>
      </w:r>
      <w:r w:rsidR="0001094C" w:rsidRPr="006436AC">
        <w:rPr>
          <w:rFonts w:ascii="Arial" w:hAnsi="Arial" w:cs="Arial"/>
          <w:sz w:val="20"/>
          <w:szCs w:val="20"/>
        </w:rPr>
        <w:t xml:space="preserve">could not be readily explained in terms of task difficulty, since non-matching trials (in which the probe and target concept did not share the task-relevant feature) showed a </w:t>
      </w:r>
      <w:r w:rsidR="000E63AB" w:rsidRPr="006436AC">
        <w:rPr>
          <w:rFonts w:ascii="Arial" w:hAnsi="Arial" w:cs="Arial"/>
          <w:sz w:val="20"/>
          <w:szCs w:val="20"/>
        </w:rPr>
        <w:t xml:space="preserve">similar pattern </w:t>
      </w:r>
      <w:r w:rsidR="0001094C" w:rsidRPr="006436AC">
        <w:rPr>
          <w:rFonts w:ascii="Arial" w:hAnsi="Arial" w:cs="Arial"/>
          <w:sz w:val="20"/>
          <w:szCs w:val="20"/>
        </w:rPr>
        <w:t xml:space="preserve">– even though for these items, global semantic similarity was </w:t>
      </w:r>
      <w:r w:rsidR="00BE1872" w:rsidRPr="006436AC">
        <w:rPr>
          <w:rFonts w:ascii="Arial" w:hAnsi="Arial" w:cs="Arial"/>
          <w:sz w:val="20"/>
          <w:szCs w:val="20"/>
        </w:rPr>
        <w:t>not associated with</w:t>
      </w:r>
      <w:r w:rsidR="0001094C" w:rsidRPr="006436AC">
        <w:rPr>
          <w:rFonts w:ascii="Arial" w:hAnsi="Arial" w:cs="Arial"/>
          <w:sz w:val="20"/>
          <w:szCs w:val="20"/>
        </w:rPr>
        <w:t xml:space="preserve"> a behavioural advantage. Finally, we found that the task gradient </w:t>
      </w:r>
      <w:r w:rsidR="000E63AB" w:rsidRPr="006436AC">
        <w:rPr>
          <w:rFonts w:ascii="Arial" w:hAnsi="Arial" w:cs="Arial"/>
          <w:sz w:val="20"/>
          <w:szCs w:val="20"/>
        </w:rPr>
        <w:t>acts as an organizing principle for the topographical distribution of neural systems implicated in semantic processing</w:t>
      </w:r>
      <w:r w:rsidR="0001094C" w:rsidRPr="006436AC">
        <w:rPr>
          <w:rFonts w:ascii="Arial" w:hAnsi="Arial" w:cs="Arial"/>
          <w:sz w:val="20"/>
          <w:szCs w:val="20"/>
        </w:rPr>
        <w:t xml:space="preserve">, including the observation that the semantic control network falls mid-way between DMN and MDN. </w:t>
      </w:r>
    </w:p>
    <w:p w14:paraId="75F88955" w14:textId="01C536AE" w:rsidR="0001094C" w:rsidRPr="006436AC" w:rsidRDefault="0001094C" w:rsidP="000E64FB">
      <w:pPr>
        <w:spacing w:before="100" w:beforeAutospacing="1" w:after="100" w:afterAutospacing="1" w:line="480" w:lineRule="auto"/>
        <w:ind w:firstLine="720"/>
        <w:rPr>
          <w:rFonts w:ascii="Arial" w:hAnsi="Arial" w:cs="Arial"/>
          <w:sz w:val="20"/>
          <w:szCs w:val="20"/>
        </w:rPr>
      </w:pPr>
      <w:r w:rsidRPr="006436AC">
        <w:rPr>
          <w:rFonts w:ascii="Arial" w:hAnsi="Arial" w:cs="Arial"/>
          <w:b/>
          <w:sz w:val="20"/>
          <w:szCs w:val="20"/>
        </w:rPr>
        <w:t>The correspondence between the task gradient and the connectivity gradient:</w:t>
      </w:r>
      <w:r w:rsidRPr="006436AC">
        <w:rPr>
          <w:rFonts w:ascii="Arial" w:hAnsi="Arial" w:cs="Arial"/>
          <w:sz w:val="20"/>
          <w:szCs w:val="20"/>
        </w:rPr>
        <w:t xml:space="preserve"> </w:t>
      </w:r>
      <w:r w:rsidR="000E63AB" w:rsidRPr="006436AC">
        <w:rPr>
          <w:rFonts w:ascii="Arial" w:hAnsi="Arial" w:cs="Arial"/>
          <w:sz w:val="20"/>
          <w:szCs w:val="20"/>
        </w:rPr>
        <w:t>Our study suggests that the organi</w:t>
      </w:r>
      <w:r w:rsidR="00A117CE" w:rsidRPr="006436AC">
        <w:rPr>
          <w:rFonts w:ascii="Arial" w:hAnsi="Arial" w:cs="Arial"/>
          <w:sz w:val="20"/>
          <w:szCs w:val="20"/>
        </w:rPr>
        <w:t>s</w:t>
      </w:r>
      <w:r w:rsidR="000E63AB" w:rsidRPr="006436AC">
        <w:rPr>
          <w:rFonts w:ascii="Arial" w:hAnsi="Arial" w:cs="Arial"/>
          <w:sz w:val="20"/>
          <w:szCs w:val="20"/>
        </w:rPr>
        <w:t xml:space="preserve">ation of the cortex may be optimized to </w:t>
      </w:r>
      <w:r w:rsidR="00C64948" w:rsidRPr="006436AC">
        <w:rPr>
          <w:rFonts w:ascii="Arial" w:hAnsi="Arial" w:cs="Arial"/>
          <w:sz w:val="20"/>
          <w:szCs w:val="20"/>
        </w:rPr>
        <w:t>support decision</w:t>
      </w:r>
      <w:r w:rsidR="00A117CE" w:rsidRPr="006436AC">
        <w:rPr>
          <w:rFonts w:ascii="Arial" w:hAnsi="Arial" w:cs="Arial"/>
          <w:sz w:val="20"/>
          <w:szCs w:val="20"/>
        </w:rPr>
        <w:t>-</w:t>
      </w:r>
      <w:r w:rsidR="00C64948" w:rsidRPr="006436AC">
        <w:rPr>
          <w:rFonts w:ascii="Arial" w:hAnsi="Arial" w:cs="Arial"/>
          <w:sz w:val="20"/>
          <w:szCs w:val="20"/>
        </w:rPr>
        <w:t xml:space="preserve">making across a range of situations that vary from </w:t>
      </w:r>
      <w:r w:rsidR="00A117CE" w:rsidRPr="006436AC">
        <w:rPr>
          <w:rFonts w:ascii="Arial" w:hAnsi="Arial" w:cs="Arial"/>
          <w:sz w:val="20"/>
          <w:szCs w:val="20"/>
        </w:rPr>
        <w:t xml:space="preserve">highly </w:t>
      </w:r>
      <w:r w:rsidR="00C64948" w:rsidRPr="006436AC">
        <w:rPr>
          <w:rFonts w:ascii="Arial" w:hAnsi="Arial" w:cs="Arial"/>
          <w:sz w:val="20"/>
          <w:szCs w:val="20"/>
        </w:rPr>
        <w:t>familiar to novel.</w:t>
      </w:r>
      <w:r w:rsidR="000E63AB" w:rsidRPr="006436AC">
        <w:rPr>
          <w:rFonts w:ascii="Arial" w:hAnsi="Arial" w:cs="Arial"/>
          <w:sz w:val="20"/>
          <w:szCs w:val="20"/>
        </w:rPr>
        <w:t xml:space="preserve"> </w:t>
      </w:r>
      <w:r w:rsidR="00C64948" w:rsidRPr="006436AC">
        <w:rPr>
          <w:rFonts w:ascii="Arial" w:hAnsi="Arial" w:cs="Arial"/>
          <w:sz w:val="20"/>
          <w:szCs w:val="20"/>
        </w:rPr>
        <w:t xml:space="preserve">The </w:t>
      </w:r>
      <w:r w:rsidRPr="006436AC">
        <w:rPr>
          <w:rFonts w:ascii="Arial" w:hAnsi="Arial" w:cs="Arial"/>
          <w:sz w:val="20"/>
          <w:szCs w:val="20"/>
        </w:rPr>
        <w:t xml:space="preserve">principal gradient of </w:t>
      </w:r>
      <w:r w:rsidRPr="006436AC">
        <w:rPr>
          <w:rFonts w:ascii="Arial" w:hAnsi="Arial" w:cs="Arial"/>
          <w:sz w:val="20"/>
          <w:szCs w:val="20"/>
        </w:rPr>
        <w:lastRenderedPageBreak/>
        <w:t>connectivity is consistent with a hierarchical view of brain organisation, in which heteromodal processing emerges from the gradual integration of unimodal sensory-motor representations. This view has been described previously within the temporal lobes by the ‘graded hub account’</w:t>
      </w:r>
      <w:r w:rsidR="00A117CE" w:rsidRPr="006436AC">
        <w:rPr>
          <w:rFonts w:ascii="Arial" w:hAnsi="Arial" w:cs="Arial"/>
          <w:sz w:val="20"/>
          <w:szCs w:val="20"/>
        </w:rPr>
        <w:t xml:space="preserve"> of conceptual representation</w:t>
      </w:r>
      <w:r w:rsidRPr="006436AC">
        <w:rPr>
          <w:rFonts w:ascii="Arial" w:hAnsi="Arial" w:cs="Arial"/>
          <w:sz w:val="20"/>
          <w:szCs w:val="20"/>
        </w:rPr>
        <w:t>, which proposes that different modalities (visual, auditory, valence) are gradually integrated within the anterior temporal lobes, with heteromodal conceptual responses falling within ventrolateral regions that are maximally dist</w:t>
      </w:r>
      <w:r w:rsidR="00AB7030" w:rsidRPr="006436AC">
        <w:rPr>
          <w:rFonts w:ascii="Arial" w:hAnsi="Arial" w:cs="Arial"/>
          <w:sz w:val="20"/>
          <w:szCs w:val="20"/>
        </w:rPr>
        <w:t>ant from these different inputs</w:t>
      </w:r>
      <w:r w:rsidR="00E82A29" w:rsidRPr="006436AC">
        <w:rPr>
          <w:rFonts w:ascii="Arial" w:hAnsi="Arial" w:cs="Arial"/>
          <w:sz w:val="20"/>
          <w:szCs w:val="20"/>
        </w:rPr>
        <w:t xml:space="preserve"> </w:t>
      </w:r>
      <w:r w:rsidRPr="006436AC">
        <w:rPr>
          <w:rFonts w:ascii="Arial" w:hAnsi="Arial" w:cs="Arial"/>
          <w:sz w:val="20"/>
          <w:szCs w:val="20"/>
        </w:rPr>
        <w:fldChar w:fldCharType="begin" w:fldLock="1"/>
      </w:r>
      <w:r w:rsidR="00D40D4C" w:rsidRPr="006436AC">
        <w:rPr>
          <w:rFonts w:ascii="Arial" w:hAnsi="Arial" w:cs="Arial"/>
          <w:sz w:val="20"/>
          <w:szCs w:val="20"/>
        </w:rPr>
        <w:instrText>ADDIN CSL_CITATION {"citationItems":[{"id":"ITEM-1","itemData":{"DOI":"10.1038/nrn.2016.150","ISSN":"1471-003X","abstract":"Our ability to use conceptual knowledge to support various behaviours is termed semantic cognition. In this Review, Lambon Ralph et al. argue that this ability arises from two interacting neural systems, one for representation and one for control.","author":[{"dropping-particle":"","family":"Ralph","given":"Matthew A. Lambon","non-dropping-particle":"","parse-names":false,"suffix":""},{"dropping-particle":"","family":"Jefferies","given":"Elizabeth","non-dropping-particle":"","parse-names":false,"suffix":""},{"dropping-particle":"","family":"Patterson","given":"Karalyn","non-dropping-particle":"","parse-names":false,"suffix":""},{"dropping-particle":"","family":"Rogers","given":"Timothy T.","non-dropping-particle":"","parse-names":false,"suffix":""}],"container-title":"Nature Reviews Neuroscience","id":"ITEM-1","issue":"1","issued":{"date-parts":[["2017","1","24"]]},"page":"42-55","publisher":"Nature Publishing Group","title":"The neural and computational bases of semantic cognition","type":"article-journal","volume":"18"},"uris":["http://www.mendeley.com/documents/?uuid=ab5d251e-b90a-365f-ace9-e3312f119924"]},{"id":"ITEM-2","itemData":{"DOI":"10.1016/j.cortex.2018.02.018","ISSN":"19738102","abstract":"Built upon a wealth of neuroimaging, neurostimulation, and neuropsychology data, a recent proposal set forth a framework termed controlled semantic cognition (CSC) to account for how the brain underpins the ability to flexibly use semantic knowledge (Lambon Ralph et al., 2017; Nature Reviews Neuroscience). In CSC, the ‘semantic control’ system, underpinned predominantly by the prefrontal cortex, dynamically monitors and modulates the ‘semantic representation’ system that consists of a ‘hub’ (anterior temporal lobe, ATL) and multiple ‘spokes’ (modality-specific areas). CSC predicts that unfamiliar and exacting semantic tasks should intensify communication between the ‘control’ and ‘representation’ systems, relative to familiar and less taxing tasks. In the present study, we used functional magnetic resonance imaging (fMRI) to test this hypothesis. Participants paired unrelated concepts by canonical colours (a less accustomed task – e.g., pairing ketchup with fire-extinguishers due to both being red) or paired well-related concepts by semantic relationship (a typical task – e.g., ketchup is related to mustard). We found the ‘control’ system was more engaged by atypical than typical pairing. While both tasks activated the ATL ‘hub’ colour pairing additionally involved occipitotemporal ‘spoke’ regions abutting areas of hue perception. Furthermore, we uncovered a gradient along the ventral temporal cortex, transitioning from the caudal ‘spoke’ zones preferring canonical colour processing to the rostral ‘hub’ zones preferring semantic relationship. Functional connectivity also differed between the tasks: Compared with semantic pairing, colour pairing relied more upon the inferior frontal gyrus, a key node of the control system, driving enhanced connectivity with occipitotemporal ‘spoke’. Together, our findings characterise the interaction within the neural architecture of semantic cognition – the control system dynamically heightens its connectivity with relevant components of the representation system, in response to different semantic contents and difficulty levels.","author":[{"dropping-particle":"","family":"Chiou","given":"Rocco","non-dropping-particle":"","parse-names":false,"suffix":""},{"dropping-particle":"","family":"Humphreys","given":"Gina F.","non-dropping-particle":"","parse-names":false,"suffix":""},{"dropping-particle":"","family":"Jung","given":"Je Young","non-dropping-particle":"","parse-names":false,"suffix":""},{"dropping-particle":"","family":"Lambon Ralph","given":"Matthew A.","non-dropping-particle":"","parse-names":false,"suffix":""}],"container-title":"Cortex","id":"ITEM-2","issued":{"date-parts":[["2018"]]},"page":"100-116","publisher":"Elsevier Ltd","title":"Controlled semantic cognition relies upon dynamic and flexible interactions between the executive ‘semantic control’ and hub-and-spoke ‘semantic representation’ systems","type":"article-journal","volume":"103"},"uris":["http://www.mendeley.com/documents/?uuid=564ad9a7-4505-4922-91b4-bd5102f2d8b9"]},{"id":"ITEM-3","itemData":{"DOI":"10.7551/mitpress/8404.003.0016","abstract":"Book Description: Vision is a massively parallel computational process, in which the retinal image is transformed over a sequence of stages so as to emphasize behaviorally relevant information (such as object category and identity) and deemphasize other information (such as viewpoint and lighting). The processes behind vision operate by concurrent computation and message passing among neurons within a visual area and between different areas. The theoretical concept of \"population code\" encapsulates the idea that visual content is represented at each stage by the pattern of activity across the local population of neurons. Understanding visual population codes ultimately requires multichannel measurement and multivariate analysis of activity patterns. Over the past decade, the multivariate approach has gained significant momentum in vision research. Functional imaging and cell recording measure brain activity in fundamentally different ways, but they now use similar theoretical concepts and mathematical tools in their modeling and analyses. With a focus on the ventral processing stream thought to underlie object recognition, this book presents recent advances in our understanding of visual population codes, novel multivariate pattern-information analysis techniques, and the beginnings of a unified perspective for cell recording and functional imaging. It serves as an introduction, overview, and reference for scientists and students across disciplines who are interested in human and primate vision and, more generally, in understanding how the brain represents and processes information.","author":[{"dropping-particle":"","family":"Connolly","given":"Andrew C","non-dropping-particle":"","parse-names":false,"suffix":""},{"dropping-particle":"","family":"Gobbini","given":"M Ida","non-dropping-particle":"","parse-names":false,"suffix":""},{"dropping-particle":"V","family":"Haxby","given":"James","non-dropping-particle":"","parse-names":false,"suffix":""}],"container-title":"Visual Population Codes","id":"ITEM-3","issued":{"date-parts":[["2018"]]},"page":"1-18","title":"Three Virtues of Similarity-Based Multivariate Pattern Analysis: An Example from the Human Object Vision Pathway","type":"article-journal"},"uris":["http://www.mendeley.com/documents/?uuid=e7464932-49a2-4776-b90a-ac00ee57ab5d"]}],"mendeley":{"formattedCitation":"(Chiou et al., 2018; Connolly et al., 2018; Ralph et al., 2017)","manualFormatting":"(Chiou et al., 2018; Connolly et al., 2018; Lambon Ralph et al., 2017)","plainTextFormattedCitation":"(Chiou et al., 2018; Connolly et al., 2018; Ralph et al., 2017)","previouslyFormattedCitation":"(Chiou et al., 2018; Connolly et al., 2018; Ralph et al., 2017)"},"properties":{"noteIndex":0},"schema":"https://github.com/citation-style-language/schema/raw/master/csl-citation.json"}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 xml:space="preserve">(Chiou et al., 2018; Connolly et al., 2018; </w:t>
      </w:r>
      <w:r w:rsidR="00E82A29" w:rsidRPr="006436AC">
        <w:rPr>
          <w:rFonts w:ascii="Arial" w:hAnsi="Arial" w:cs="Arial"/>
          <w:noProof/>
          <w:sz w:val="20"/>
          <w:szCs w:val="20"/>
        </w:rPr>
        <w:t xml:space="preserve">Lambon </w:t>
      </w:r>
      <w:r w:rsidR="00566455" w:rsidRPr="006436AC">
        <w:rPr>
          <w:rFonts w:ascii="Arial" w:hAnsi="Arial" w:cs="Arial"/>
          <w:noProof/>
          <w:sz w:val="20"/>
          <w:szCs w:val="20"/>
        </w:rPr>
        <w:t>Ralph et al., 2017)</w:t>
      </w:r>
      <w:r w:rsidRPr="006436AC">
        <w:rPr>
          <w:rFonts w:ascii="Arial" w:hAnsi="Arial" w:cs="Arial"/>
          <w:sz w:val="20"/>
          <w:szCs w:val="20"/>
        </w:rPr>
        <w:fldChar w:fldCharType="end"/>
      </w:r>
      <w:r w:rsidRPr="006436AC">
        <w:rPr>
          <w:rFonts w:ascii="Arial" w:hAnsi="Arial" w:cs="Arial"/>
          <w:sz w:val="20"/>
          <w:szCs w:val="20"/>
        </w:rPr>
        <w:t>. The whole-brain nature of the principal gradient suggests that a similar gradual abstraction of heteromodal represen</w:t>
      </w:r>
      <w:r w:rsidR="00AB7030" w:rsidRPr="006436AC">
        <w:rPr>
          <w:rFonts w:ascii="Arial" w:hAnsi="Arial" w:cs="Arial"/>
          <w:sz w:val="20"/>
          <w:szCs w:val="20"/>
        </w:rPr>
        <w:t>tations occurs across the brain</w:t>
      </w:r>
      <w:r w:rsidR="00E82A29"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{"citationItems":[{"id":"ITEM-1","itemData":{"DOI":"10.7554/eLife.36652","ISSN":"2050084X","abstract":"A central principle for understanding the cerebral cortex is that macroscale anatomy reflects a functional hierarchy from primary to transmodal processing. In contrast, the central axis of motor and nonmotor macroscale organization in the cerebellum remains unknown. Here we applied diffusion map embedding to resting-state data from the Human Connectome Project dataset (n = 1003), and show for the first time that cerebellar functional regions follow a gradual organization which progresses from primary (motor) to transmodal (DMN, task-unfocused) regions. A secondary axis extends from task-unfocused to task-focused processing. Further, these two principal gradients revealed novel functional properties of the well-established cerebellar double motor representation (lobules I-VI and VIII), and its relationship with the recently described triple nonmotor representation (lobules VI/Crus I, Crus II/VIIB, IX/X). Functional differences exist not only between the two motor but also between the three nonmotor representations, and second motor representation might share functional similarities with third nonmotor representation.","author":[{"dropping-particle":"","family":"Guell","given":"Xavier","non-dropping-particle":"","parse-names":false,"suffix":""},{"dropping-particle":"","family":"Schmahmann","given":"Jeremy D","non-dropping-particle":"","parse-names":false,"suffix":""},{"dropping-particle":"","family":"Gabrieli","given":"John D.E.","non-dropping-particle":"","parse-names":false,"suffix":""},{"dropping-particle":"","family":"Ghosh","given":"Satrajit S","non-dropping-particle":"","parse-names":false,"suffix":""}],"container-title":"eLife","id":"ITEM-1","issued":{"date-parts":[["2018"]]},"title":"Functional gradients of the cerebellum","type":"article-journal","volume":"7"},"uris":["http://www.mendeley.com/documents/?uuid=d1e0dba1-c70f-3080-af96-5bbc4ccfd207"]}],"mendeley":{"formattedCitation":"(Guell et al., 2018)","plainTextFormattedCitation":"(Guell et al., 2018)","previouslyFormattedCitation":"(Guell et al., 2018)"},"properties":{"noteIndex":0},"schema":"https://github.com/citation-style-language/schema/raw/master/csl-citation.json"}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(Guell et al., 2018)</w:t>
      </w:r>
      <w:r w:rsidRPr="006436AC">
        <w:rPr>
          <w:rFonts w:ascii="Arial" w:hAnsi="Arial" w:cs="Arial"/>
          <w:sz w:val="20"/>
          <w:szCs w:val="20"/>
        </w:rPr>
        <w:fldChar w:fldCharType="end"/>
      </w:r>
      <w:r w:rsidRPr="006436AC">
        <w:rPr>
          <w:rFonts w:ascii="Arial" w:hAnsi="Arial" w:cs="Arial"/>
          <w:sz w:val="20"/>
          <w:szCs w:val="20"/>
        </w:rPr>
        <w:t xml:space="preserve">. Moreover, the principal gradient of connectivity captures the sequence of large-scale networks on the cortical surface, which show orderly transitions from primary visual/auditory/motor systems, through attention networks, to fronto-parietal control regions, to default </w:t>
      </w:r>
      <w:r w:rsidR="00AB7030" w:rsidRPr="006436AC">
        <w:rPr>
          <w:rFonts w:ascii="Arial" w:hAnsi="Arial" w:cs="Arial"/>
          <w:sz w:val="20"/>
          <w:szCs w:val="20"/>
        </w:rPr>
        <w:t>mode regions, in multiple zones</w:t>
      </w:r>
      <w:r w:rsidR="00E82A29" w:rsidRPr="006436AC">
        <w:rPr>
          <w:rFonts w:ascii="Arial" w:hAnsi="Arial" w:cs="Arial"/>
          <w:sz w:val="20"/>
          <w:szCs w:val="20"/>
        </w:rPr>
        <w:t xml:space="preserve"> </w:t>
      </w:r>
      <w:r w:rsidRPr="006436AC">
        <w:rPr>
          <w:rFonts w:ascii="Arial" w:hAnsi="Arial" w:cs="Arial"/>
          <w:sz w:val="20"/>
          <w:szCs w:val="20"/>
        </w:rPr>
        <w:fldChar w:fldCharType="begin" w:fldLock="1"/>
      </w:r>
      <w:r w:rsidR="002F0DB9"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(Margulies et al., 2016)</w:t>
      </w:r>
      <w:r w:rsidRPr="006436AC">
        <w:rPr>
          <w:rFonts w:ascii="Arial" w:hAnsi="Arial" w:cs="Arial"/>
          <w:sz w:val="20"/>
          <w:szCs w:val="20"/>
        </w:rPr>
        <w:fldChar w:fldCharType="end"/>
      </w:r>
      <w:r w:rsidRPr="006436AC">
        <w:rPr>
          <w:rFonts w:ascii="Arial" w:hAnsi="Arial" w:cs="Arial"/>
          <w:sz w:val="20"/>
          <w:szCs w:val="20"/>
        </w:rPr>
        <w:t>.</w:t>
      </w:r>
    </w:p>
    <w:p w14:paraId="5AB974F8" w14:textId="40A5640F" w:rsidR="0001094C" w:rsidRPr="006436AC" w:rsidRDefault="0001094C"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We </w:t>
      </w:r>
      <w:r w:rsidR="00C64948" w:rsidRPr="006436AC">
        <w:rPr>
          <w:rFonts w:ascii="Arial" w:hAnsi="Arial" w:cs="Arial"/>
          <w:sz w:val="20"/>
          <w:szCs w:val="20"/>
        </w:rPr>
        <w:t xml:space="preserve">established </w:t>
      </w:r>
      <w:r w:rsidRPr="006436AC">
        <w:rPr>
          <w:rFonts w:ascii="Arial" w:hAnsi="Arial" w:cs="Arial"/>
          <w:sz w:val="20"/>
          <w:szCs w:val="20"/>
        </w:rPr>
        <w:t>this macroscale pattern of functional transitions within a single task</w:t>
      </w:r>
      <w:r w:rsidR="00C64948" w:rsidRPr="006436AC">
        <w:rPr>
          <w:rFonts w:ascii="Arial" w:hAnsi="Arial" w:cs="Arial"/>
          <w:sz w:val="20"/>
          <w:szCs w:val="20"/>
        </w:rPr>
        <w:t xml:space="preserve"> when decision</w:t>
      </w:r>
      <w:r w:rsidR="00A117CE" w:rsidRPr="006436AC">
        <w:rPr>
          <w:rFonts w:ascii="Arial" w:hAnsi="Arial" w:cs="Arial"/>
          <w:sz w:val="20"/>
          <w:szCs w:val="20"/>
        </w:rPr>
        <w:t>-</w:t>
      </w:r>
      <w:r w:rsidR="00C64948" w:rsidRPr="006436AC">
        <w:rPr>
          <w:rFonts w:ascii="Arial" w:hAnsi="Arial" w:cs="Arial"/>
          <w:sz w:val="20"/>
          <w:szCs w:val="20"/>
        </w:rPr>
        <w:t xml:space="preserve">making </w:t>
      </w:r>
      <w:r w:rsidR="00C7080E" w:rsidRPr="006436AC">
        <w:rPr>
          <w:rFonts w:ascii="Arial" w:hAnsi="Arial" w:cs="Arial"/>
          <w:sz w:val="20"/>
          <w:szCs w:val="20"/>
        </w:rPr>
        <w:t>occurred</w:t>
      </w:r>
      <w:r w:rsidR="00C64948" w:rsidRPr="006436AC">
        <w:rPr>
          <w:rFonts w:ascii="Arial" w:hAnsi="Arial" w:cs="Arial"/>
          <w:sz w:val="20"/>
          <w:szCs w:val="20"/>
        </w:rPr>
        <w:t xml:space="preserve"> in </w:t>
      </w:r>
      <w:r w:rsidR="00C7080E" w:rsidRPr="006436AC">
        <w:rPr>
          <w:rFonts w:ascii="Arial" w:hAnsi="Arial" w:cs="Arial"/>
          <w:sz w:val="20"/>
          <w:szCs w:val="20"/>
        </w:rPr>
        <w:t>contexts</w:t>
      </w:r>
      <w:r w:rsidR="00C64948" w:rsidRPr="006436AC">
        <w:rPr>
          <w:rFonts w:ascii="Arial" w:hAnsi="Arial" w:cs="Arial"/>
          <w:sz w:val="20"/>
          <w:szCs w:val="20"/>
        </w:rPr>
        <w:t xml:space="preserve"> </w:t>
      </w:r>
      <w:r w:rsidR="00C7080E" w:rsidRPr="006436AC">
        <w:rPr>
          <w:rFonts w:ascii="Arial" w:hAnsi="Arial" w:cs="Arial"/>
          <w:sz w:val="20"/>
          <w:szCs w:val="20"/>
        </w:rPr>
        <w:t xml:space="preserve">that </w:t>
      </w:r>
      <w:r w:rsidR="00BE1872" w:rsidRPr="006436AC">
        <w:rPr>
          <w:rFonts w:ascii="Arial" w:hAnsi="Arial" w:cs="Arial"/>
          <w:sz w:val="20"/>
          <w:szCs w:val="20"/>
        </w:rPr>
        <w:t>varied</w:t>
      </w:r>
      <w:r w:rsidR="00C64948" w:rsidRPr="006436AC">
        <w:rPr>
          <w:rFonts w:ascii="Arial" w:hAnsi="Arial" w:cs="Arial"/>
          <w:sz w:val="20"/>
          <w:szCs w:val="20"/>
        </w:rPr>
        <w:t xml:space="preserve"> </w:t>
      </w:r>
      <w:r w:rsidR="00BE1872" w:rsidRPr="006436AC">
        <w:rPr>
          <w:rFonts w:ascii="Arial" w:hAnsi="Arial" w:cs="Arial"/>
          <w:sz w:val="20"/>
          <w:szCs w:val="20"/>
        </w:rPr>
        <w:t xml:space="preserve">in their relevance to </w:t>
      </w:r>
      <w:r w:rsidR="00C64948" w:rsidRPr="006436AC">
        <w:rPr>
          <w:rFonts w:ascii="Arial" w:hAnsi="Arial" w:cs="Arial"/>
          <w:sz w:val="20"/>
          <w:szCs w:val="20"/>
        </w:rPr>
        <w:t>long</w:t>
      </w:r>
      <w:r w:rsidR="00BE1872" w:rsidRPr="006436AC">
        <w:rPr>
          <w:rFonts w:ascii="Arial" w:hAnsi="Arial" w:cs="Arial"/>
          <w:sz w:val="20"/>
          <w:szCs w:val="20"/>
        </w:rPr>
        <w:t>-</w:t>
      </w:r>
      <w:r w:rsidR="00C64948" w:rsidRPr="006436AC">
        <w:rPr>
          <w:rFonts w:ascii="Arial" w:hAnsi="Arial" w:cs="Arial"/>
          <w:sz w:val="20"/>
          <w:szCs w:val="20"/>
        </w:rPr>
        <w:t xml:space="preserve">term memory. </w:t>
      </w:r>
      <w:r w:rsidRPr="006436AC">
        <w:rPr>
          <w:rFonts w:ascii="Arial" w:hAnsi="Arial" w:cs="Arial"/>
          <w:sz w:val="20"/>
          <w:szCs w:val="20"/>
        </w:rPr>
        <w:t xml:space="preserve">When many features of the concepts were overlapping, and consequently </w:t>
      </w:r>
      <w:r w:rsidR="00C7080E" w:rsidRPr="006436AC">
        <w:rPr>
          <w:rFonts w:ascii="Arial" w:hAnsi="Arial" w:cs="Arial"/>
          <w:sz w:val="20"/>
          <w:szCs w:val="20"/>
        </w:rPr>
        <w:t>the presented information was</w:t>
      </w:r>
      <w:r w:rsidR="00C64948" w:rsidRPr="006436AC">
        <w:rPr>
          <w:rFonts w:ascii="Arial" w:hAnsi="Arial" w:cs="Arial"/>
          <w:sz w:val="20"/>
          <w:szCs w:val="20"/>
        </w:rPr>
        <w:t xml:space="preserve"> </w:t>
      </w:r>
      <w:r w:rsidR="00C7080E" w:rsidRPr="006436AC">
        <w:rPr>
          <w:rFonts w:ascii="Arial" w:hAnsi="Arial" w:cs="Arial"/>
          <w:sz w:val="20"/>
          <w:szCs w:val="20"/>
        </w:rPr>
        <w:t>consistent</w:t>
      </w:r>
      <w:r w:rsidR="00C64948" w:rsidRPr="006436AC">
        <w:rPr>
          <w:rFonts w:ascii="Arial" w:hAnsi="Arial" w:cs="Arial"/>
          <w:sz w:val="20"/>
          <w:szCs w:val="20"/>
        </w:rPr>
        <w:t xml:space="preserve"> </w:t>
      </w:r>
      <w:r w:rsidR="00C7080E" w:rsidRPr="006436AC">
        <w:rPr>
          <w:rFonts w:ascii="Arial" w:hAnsi="Arial" w:cs="Arial"/>
          <w:sz w:val="20"/>
          <w:szCs w:val="20"/>
        </w:rPr>
        <w:t>with</w:t>
      </w:r>
      <w:r w:rsidR="00C64948" w:rsidRPr="006436AC">
        <w:rPr>
          <w:rFonts w:ascii="Arial" w:hAnsi="Arial" w:cs="Arial"/>
          <w:sz w:val="20"/>
          <w:szCs w:val="20"/>
        </w:rPr>
        <w:t xml:space="preserve"> how we represent information in </w:t>
      </w:r>
      <w:r w:rsidRPr="006436AC">
        <w:rPr>
          <w:rFonts w:ascii="Arial" w:hAnsi="Arial" w:cs="Arial"/>
          <w:sz w:val="20"/>
          <w:szCs w:val="20"/>
        </w:rPr>
        <w:t xml:space="preserve">long-term memory, trials elicited greater engagement at the heteromodal end of the gradient. </w:t>
      </w:r>
      <w:r w:rsidR="006957A6" w:rsidRPr="006436AC">
        <w:rPr>
          <w:rFonts w:ascii="Arial" w:hAnsi="Arial" w:cs="Arial"/>
          <w:sz w:val="20"/>
          <w:szCs w:val="20"/>
        </w:rPr>
        <w:t xml:space="preserve">Conceptual access </w:t>
      </w:r>
      <w:r w:rsidR="00F823D6" w:rsidRPr="006436AC">
        <w:rPr>
          <w:rFonts w:ascii="Arial" w:hAnsi="Arial" w:cs="Arial"/>
          <w:sz w:val="20"/>
          <w:szCs w:val="20"/>
        </w:rPr>
        <w:t>i</w:t>
      </w:r>
      <w:r w:rsidR="00C7080E" w:rsidRPr="006436AC">
        <w:rPr>
          <w:rFonts w:ascii="Arial" w:hAnsi="Arial" w:cs="Arial"/>
          <w:sz w:val="20"/>
          <w:szCs w:val="20"/>
        </w:rPr>
        <w:t>n</w:t>
      </w:r>
      <w:r w:rsidR="006957A6" w:rsidRPr="006436AC">
        <w:rPr>
          <w:rFonts w:ascii="Arial" w:hAnsi="Arial" w:cs="Arial"/>
          <w:sz w:val="20"/>
          <w:szCs w:val="20"/>
        </w:rPr>
        <w:t xml:space="preserve"> both </w:t>
      </w:r>
      <w:r w:rsidR="00C7080E" w:rsidRPr="006436AC">
        <w:rPr>
          <w:rFonts w:ascii="Arial" w:hAnsi="Arial" w:cs="Arial"/>
          <w:sz w:val="20"/>
          <w:szCs w:val="20"/>
        </w:rPr>
        <w:t>feature-</w:t>
      </w:r>
      <w:r w:rsidR="006957A6" w:rsidRPr="006436AC">
        <w:rPr>
          <w:rFonts w:ascii="Arial" w:hAnsi="Arial" w:cs="Arial"/>
          <w:sz w:val="20"/>
          <w:szCs w:val="20"/>
        </w:rPr>
        <w:t xml:space="preserve">matching and mismatching tasks would be expected </w:t>
      </w:r>
      <w:r w:rsidR="00C7080E" w:rsidRPr="006436AC">
        <w:rPr>
          <w:rFonts w:ascii="Arial" w:hAnsi="Arial" w:cs="Arial"/>
          <w:sz w:val="20"/>
          <w:szCs w:val="20"/>
        </w:rPr>
        <w:t xml:space="preserve">to benefit from overlap in long-term conceptual representations towards the DMN-end of the gradient. </w:t>
      </w:r>
      <w:r w:rsidRPr="006436AC">
        <w:rPr>
          <w:rFonts w:ascii="Arial" w:hAnsi="Arial" w:cs="Arial"/>
          <w:sz w:val="20"/>
          <w:szCs w:val="20"/>
        </w:rPr>
        <w:t xml:space="preserve">In contrast, for trials in which only the goal feature was shared by the two concepts, the functional response was maximal further down the gradient, within attentional networks and unimodal regions. </w:t>
      </w:r>
      <w:r w:rsidR="00C64948" w:rsidRPr="006436AC">
        <w:rPr>
          <w:rFonts w:ascii="Arial" w:hAnsi="Arial" w:cs="Arial"/>
          <w:sz w:val="20"/>
          <w:szCs w:val="20"/>
        </w:rPr>
        <w:t xml:space="preserve">In this way our data highlights one important consequence of the pattern of neural organization </w:t>
      </w:r>
      <w:r w:rsidRPr="006436AC">
        <w:rPr>
          <w:rFonts w:ascii="Arial" w:hAnsi="Arial" w:cs="Arial"/>
          <w:sz w:val="20"/>
          <w:szCs w:val="20"/>
        </w:rPr>
        <w:t xml:space="preserve">described by </w:t>
      </w:r>
      <w:r w:rsidR="007E57BC" w:rsidRPr="006436AC">
        <w:rPr>
          <w:rFonts w:ascii="Arial" w:hAnsi="Arial" w:cs="Arial"/>
          <w:sz w:val="20"/>
          <w:szCs w:val="20"/>
        </w:rPr>
        <w:fldChar w:fldCharType="begin" w:fldLock="1"/>
      </w:r>
      <w:r w:rsidR="00573196"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2016)","manualFormatting":"Margulies et al. (2016)","plainTextFormattedCitation":"(Margulies et al., 2016)","previouslyFormattedCitation":"(Margulies et al., 2016)"},"properties":{"noteIndex":0},"schema":"https://github.com/citation-style-language/schema/raw/master/csl-citation.json"}</w:instrText>
      </w:r>
      <w:r w:rsidR="007E57BC" w:rsidRPr="006436AC">
        <w:rPr>
          <w:rFonts w:ascii="Arial" w:hAnsi="Arial" w:cs="Arial"/>
          <w:sz w:val="20"/>
          <w:szCs w:val="20"/>
        </w:rPr>
        <w:fldChar w:fldCharType="separate"/>
      </w:r>
      <w:r w:rsidR="00E82A29" w:rsidRPr="006436AC">
        <w:rPr>
          <w:rFonts w:ascii="Arial" w:hAnsi="Arial" w:cs="Arial"/>
          <w:noProof/>
          <w:sz w:val="20"/>
          <w:szCs w:val="20"/>
        </w:rPr>
        <w:t>Margulies et al. (</w:t>
      </w:r>
      <w:r w:rsidR="00566455" w:rsidRPr="006436AC">
        <w:rPr>
          <w:rFonts w:ascii="Arial" w:hAnsi="Arial" w:cs="Arial"/>
          <w:noProof/>
          <w:sz w:val="20"/>
          <w:szCs w:val="20"/>
        </w:rPr>
        <w:t>2016)</w:t>
      </w:r>
      <w:r w:rsidR="007E57BC" w:rsidRPr="006436AC">
        <w:rPr>
          <w:rFonts w:ascii="Arial" w:hAnsi="Arial" w:cs="Arial"/>
          <w:sz w:val="20"/>
          <w:szCs w:val="20"/>
        </w:rPr>
        <w:fldChar w:fldCharType="end"/>
      </w:r>
      <w:r w:rsidR="00C64948" w:rsidRPr="006436AC">
        <w:rPr>
          <w:rFonts w:ascii="Arial" w:hAnsi="Arial" w:cs="Arial"/>
          <w:sz w:val="20"/>
          <w:szCs w:val="20"/>
        </w:rPr>
        <w:t xml:space="preserve">: it may reflect </w:t>
      </w:r>
      <w:r w:rsidR="00C7080E" w:rsidRPr="006436AC">
        <w:rPr>
          <w:rFonts w:ascii="Arial" w:hAnsi="Arial" w:cs="Arial"/>
          <w:sz w:val="20"/>
          <w:szCs w:val="20"/>
        </w:rPr>
        <w:t>how</w:t>
      </w:r>
      <w:r w:rsidR="00C64948" w:rsidRPr="006436AC">
        <w:rPr>
          <w:rFonts w:ascii="Arial" w:hAnsi="Arial" w:cs="Arial"/>
          <w:sz w:val="20"/>
          <w:szCs w:val="20"/>
        </w:rPr>
        <w:t xml:space="preserve"> neural organization is optimized to </w:t>
      </w:r>
      <w:r w:rsidR="00C7080E" w:rsidRPr="006436AC">
        <w:rPr>
          <w:rFonts w:ascii="Arial" w:hAnsi="Arial" w:cs="Arial"/>
          <w:sz w:val="20"/>
          <w:szCs w:val="20"/>
        </w:rPr>
        <w:t>benefit</w:t>
      </w:r>
      <w:r w:rsidR="00C64948" w:rsidRPr="006436AC">
        <w:rPr>
          <w:rFonts w:ascii="Arial" w:hAnsi="Arial" w:cs="Arial"/>
          <w:sz w:val="20"/>
          <w:szCs w:val="20"/>
        </w:rPr>
        <w:t xml:space="preserve"> decisions when the structure of long term memory is </w:t>
      </w:r>
      <w:r w:rsidR="000E555F" w:rsidRPr="006436AC">
        <w:rPr>
          <w:rFonts w:ascii="Arial" w:hAnsi="Arial" w:cs="Arial"/>
          <w:sz w:val="20"/>
          <w:szCs w:val="20"/>
        </w:rPr>
        <w:t>variably congruent</w:t>
      </w:r>
      <w:r w:rsidR="00E311AE" w:rsidRPr="006436AC">
        <w:rPr>
          <w:rFonts w:ascii="Arial" w:hAnsi="Arial" w:cs="Arial"/>
          <w:sz w:val="20"/>
          <w:szCs w:val="20"/>
        </w:rPr>
        <w:t xml:space="preserve"> </w:t>
      </w:r>
      <w:r w:rsidR="00C7080E" w:rsidRPr="006436AC">
        <w:rPr>
          <w:rFonts w:ascii="Arial" w:hAnsi="Arial" w:cs="Arial"/>
          <w:sz w:val="20"/>
          <w:szCs w:val="20"/>
        </w:rPr>
        <w:t>w</w:t>
      </w:r>
      <w:r w:rsidR="00262E6C" w:rsidRPr="006436AC">
        <w:rPr>
          <w:rFonts w:ascii="Arial" w:hAnsi="Arial" w:cs="Arial"/>
          <w:sz w:val="20"/>
          <w:szCs w:val="20"/>
        </w:rPr>
        <w:t>ith new</w:t>
      </w:r>
      <w:r w:rsidR="00F823D6" w:rsidRPr="006436AC">
        <w:rPr>
          <w:rFonts w:ascii="Arial" w:hAnsi="Arial" w:cs="Arial"/>
          <w:sz w:val="20"/>
          <w:szCs w:val="20"/>
        </w:rPr>
        <w:t>ly-presented</w:t>
      </w:r>
      <w:r w:rsidR="00262E6C" w:rsidRPr="006436AC">
        <w:rPr>
          <w:rFonts w:ascii="Arial" w:hAnsi="Arial" w:cs="Arial"/>
          <w:sz w:val="20"/>
          <w:szCs w:val="20"/>
        </w:rPr>
        <w:t xml:space="preserve"> information</w:t>
      </w:r>
      <w:r w:rsidR="00F823D6" w:rsidRPr="006436AC">
        <w:rPr>
          <w:rFonts w:ascii="Arial" w:hAnsi="Arial" w:cs="Arial"/>
          <w:sz w:val="20"/>
          <w:szCs w:val="20"/>
        </w:rPr>
        <w:t xml:space="preserve">. </w:t>
      </w:r>
    </w:p>
    <w:p w14:paraId="17C927F0" w14:textId="27EBD7C4" w:rsidR="0001094C" w:rsidRPr="006436AC" w:rsidRDefault="0001094C" w:rsidP="000E64FB">
      <w:pPr>
        <w:spacing w:before="100" w:beforeAutospacing="1" w:after="100" w:afterAutospacing="1" w:line="480" w:lineRule="auto"/>
        <w:ind w:firstLine="720"/>
        <w:rPr>
          <w:rFonts w:ascii="Arial" w:hAnsi="Arial" w:cs="Arial"/>
          <w:sz w:val="20"/>
          <w:szCs w:val="20"/>
        </w:rPr>
      </w:pPr>
      <w:r w:rsidRPr="006436AC">
        <w:rPr>
          <w:rFonts w:ascii="Arial" w:hAnsi="Arial" w:cs="Arial"/>
          <w:b/>
          <w:sz w:val="20"/>
          <w:szCs w:val="20"/>
        </w:rPr>
        <w:t xml:space="preserve">Systematic functional transitions in multiple zones: </w:t>
      </w:r>
      <w:r w:rsidRPr="006436AC">
        <w:rPr>
          <w:rFonts w:ascii="Arial" w:hAnsi="Arial" w:cs="Arial"/>
          <w:sz w:val="20"/>
          <w:szCs w:val="20"/>
        </w:rPr>
        <w:t>We found correspondence between the task gradient and the connectivity gradient</w:t>
      </w:r>
      <w:r w:rsidR="002C6D14" w:rsidRPr="006436AC">
        <w:rPr>
          <w:rFonts w:ascii="Arial" w:hAnsi="Arial" w:cs="Arial"/>
          <w:sz w:val="20"/>
          <w:szCs w:val="20"/>
        </w:rPr>
        <w:t xml:space="preserve"> </w:t>
      </w:r>
      <w:r w:rsidR="007E57BC"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007E57BC" w:rsidRPr="006436AC">
        <w:rPr>
          <w:rFonts w:ascii="Arial" w:hAnsi="Arial" w:cs="Arial"/>
          <w:sz w:val="20"/>
          <w:szCs w:val="20"/>
        </w:rPr>
        <w:fldChar w:fldCharType="separate"/>
      </w:r>
      <w:r w:rsidR="00566455" w:rsidRPr="006436AC">
        <w:rPr>
          <w:rFonts w:ascii="Arial" w:hAnsi="Arial" w:cs="Arial"/>
          <w:noProof/>
          <w:sz w:val="20"/>
          <w:szCs w:val="20"/>
        </w:rPr>
        <w:t>(Margulies et al., 2016)</w:t>
      </w:r>
      <w:r w:rsidR="007E57BC" w:rsidRPr="006436AC">
        <w:rPr>
          <w:rFonts w:ascii="Arial" w:hAnsi="Arial" w:cs="Arial"/>
          <w:sz w:val="20"/>
          <w:szCs w:val="20"/>
        </w:rPr>
        <w:fldChar w:fldCharType="end"/>
      </w:r>
      <w:r w:rsidR="007E57BC" w:rsidRPr="006436AC">
        <w:rPr>
          <w:rFonts w:ascii="Arial" w:hAnsi="Arial" w:cs="Arial"/>
          <w:sz w:val="20"/>
          <w:szCs w:val="20"/>
        </w:rPr>
        <w:t xml:space="preserve"> </w:t>
      </w:r>
      <w:r w:rsidRPr="006436AC">
        <w:rPr>
          <w:rFonts w:ascii="Arial" w:hAnsi="Arial" w:cs="Arial"/>
          <w:sz w:val="20"/>
          <w:szCs w:val="20"/>
        </w:rPr>
        <w:t xml:space="preserve">in multiple cortical zones, including </w:t>
      </w:r>
      <w:r w:rsidR="00F823D6" w:rsidRPr="006436AC">
        <w:rPr>
          <w:rFonts w:ascii="Arial" w:hAnsi="Arial" w:cs="Arial"/>
          <w:sz w:val="20"/>
          <w:szCs w:val="20"/>
        </w:rPr>
        <w:t xml:space="preserve">(i) </w:t>
      </w:r>
      <w:r w:rsidRPr="006436AC">
        <w:rPr>
          <w:rFonts w:ascii="Arial" w:hAnsi="Arial" w:cs="Arial"/>
          <w:sz w:val="20"/>
          <w:szCs w:val="20"/>
        </w:rPr>
        <w:t xml:space="preserve">ventral anterior temporal lobe to auditory and visual cortex, </w:t>
      </w:r>
      <w:r w:rsidR="00F823D6" w:rsidRPr="006436AC">
        <w:rPr>
          <w:rFonts w:ascii="Arial" w:hAnsi="Arial" w:cs="Arial"/>
          <w:sz w:val="20"/>
          <w:szCs w:val="20"/>
        </w:rPr>
        <w:t xml:space="preserve">(ii) </w:t>
      </w:r>
      <w:r w:rsidRPr="006436AC">
        <w:rPr>
          <w:rFonts w:ascii="Arial" w:hAnsi="Arial" w:cs="Arial"/>
          <w:sz w:val="20"/>
          <w:szCs w:val="20"/>
        </w:rPr>
        <w:t xml:space="preserve">ventromedial to </w:t>
      </w:r>
      <w:r w:rsidRPr="006436AC">
        <w:rPr>
          <w:rFonts w:ascii="Arial" w:hAnsi="Arial" w:cs="Arial"/>
          <w:sz w:val="20"/>
          <w:szCs w:val="20"/>
        </w:rPr>
        <w:lastRenderedPageBreak/>
        <w:t xml:space="preserve">dorsomedial prefrontal cortex, </w:t>
      </w:r>
      <w:r w:rsidR="00F823D6" w:rsidRPr="006436AC">
        <w:rPr>
          <w:rFonts w:ascii="Arial" w:hAnsi="Arial" w:cs="Arial"/>
          <w:sz w:val="20"/>
          <w:szCs w:val="20"/>
        </w:rPr>
        <w:t xml:space="preserve">(iii) </w:t>
      </w:r>
      <w:r w:rsidRPr="006436AC">
        <w:rPr>
          <w:rFonts w:ascii="Arial" w:hAnsi="Arial" w:cs="Arial"/>
          <w:sz w:val="20"/>
          <w:szCs w:val="20"/>
        </w:rPr>
        <w:t xml:space="preserve">angular gyrus to intraparietal sulcus, and </w:t>
      </w:r>
      <w:r w:rsidR="00F823D6" w:rsidRPr="006436AC">
        <w:rPr>
          <w:rFonts w:ascii="Arial" w:hAnsi="Arial" w:cs="Arial"/>
          <w:sz w:val="20"/>
          <w:szCs w:val="20"/>
        </w:rPr>
        <w:t xml:space="preserve">(iv) </w:t>
      </w:r>
      <w:r w:rsidRPr="006436AC">
        <w:rPr>
          <w:rFonts w:ascii="Arial" w:hAnsi="Arial" w:cs="Arial"/>
          <w:sz w:val="20"/>
          <w:szCs w:val="20"/>
        </w:rPr>
        <w:t>inferior frontal gyrus to inferior frontal and precentral sulcus. Although our task involved decisions based on visual features – namely colour, shape and size – functional transitions were observed in regions far from visual cortex. This suggests that the functional gradient is a general principle of whole brain organi</w:t>
      </w:r>
      <w:r w:rsidR="00DC5E22" w:rsidRPr="006436AC">
        <w:rPr>
          <w:rFonts w:ascii="Arial" w:hAnsi="Arial" w:cs="Arial"/>
          <w:sz w:val="20"/>
          <w:szCs w:val="20"/>
        </w:rPr>
        <w:t>z</w:t>
      </w:r>
      <w:r w:rsidRPr="006436AC">
        <w:rPr>
          <w:rFonts w:ascii="Arial" w:hAnsi="Arial" w:cs="Arial"/>
          <w:sz w:val="20"/>
          <w:szCs w:val="20"/>
        </w:rPr>
        <w:t xml:space="preserve">ation that captures multiple local gradients. </w:t>
      </w:r>
      <w:r w:rsidR="00F823D6" w:rsidRPr="006436AC">
        <w:rPr>
          <w:rFonts w:ascii="Arial" w:hAnsi="Arial" w:cs="Arial"/>
          <w:sz w:val="20"/>
          <w:szCs w:val="20"/>
        </w:rPr>
        <w:t xml:space="preserve">Our </w:t>
      </w:r>
      <w:r w:rsidRPr="006436AC">
        <w:rPr>
          <w:rFonts w:ascii="Arial" w:hAnsi="Arial" w:cs="Arial"/>
          <w:sz w:val="20"/>
          <w:szCs w:val="20"/>
        </w:rPr>
        <w:t>findings are consistent with several local gradients that h</w:t>
      </w:r>
      <w:r w:rsidR="00AB7030" w:rsidRPr="006436AC">
        <w:rPr>
          <w:rFonts w:ascii="Arial" w:hAnsi="Arial" w:cs="Arial"/>
          <w:sz w:val="20"/>
          <w:szCs w:val="20"/>
        </w:rPr>
        <w:t>ave been described in isolation</w:t>
      </w:r>
      <w:r w:rsidR="00573196" w:rsidRPr="006436AC">
        <w:rPr>
          <w:rFonts w:ascii="Arial" w:hAnsi="Arial" w:cs="Arial"/>
          <w:sz w:val="20"/>
          <w:szCs w:val="20"/>
        </w:rPr>
        <w:t xml:space="preserve"> </w:t>
      </w:r>
      <w:r w:rsidRPr="006436AC">
        <w:rPr>
          <w:rFonts w:ascii="Arial" w:hAnsi="Arial" w:cs="Arial"/>
          <w:sz w:val="20"/>
          <w:szCs w:val="20"/>
        </w:rPr>
        <w:fldChar w:fldCharType="begin" w:fldLock="1"/>
      </w:r>
      <w:r w:rsidR="00573196" w:rsidRPr="006436AC">
        <w:rPr>
          <w:rFonts w:ascii="Arial" w:hAnsi="Arial" w:cs="Arial"/>
          <w:sz w:val="20"/>
          <w:szCs w:val="20"/>
        </w:rPr>
        <w:instrText>ADDIN CSL_CITATION {"citationItems":[{"id":"ITEM-1","itemData":{"DOI":"10.1038/nrn.2016.150","ISSN":"1471-003X","abstract":"Our ability to use conceptual knowledge to support various behaviours is termed semantic cognition. In this Review, Lambon Ralph et al. argue that this ability arises from two interacting neural systems, one for representation and one for control.","author":[{"dropping-particle":"","family":"Ralph","given":"Matthew A. Lambon","non-dropping-particle":"","parse-names":false,"suffix":""},{"dropping-particle":"","family":"Jefferies","given":"Elizabeth","non-dropping-particle":"","parse-names":false,"suffix":""},{"dropping-particle":"","family":"Patterson","given":"Karalyn","non-dropping-particle":"","parse-names":false,"suffix":""},{"dropping-particle":"","family":"Rogers","given":"Timothy T.","non-dropping-particle":"","parse-names":false,"suffix":""}],"container-title":"Nature Reviews Neuroscience","id":"ITEM-1","issue":"1","issued":{"date-parts":[["2017","1","24"]]},"page":"42-55","publisher":"Nature Publishing Group","title":"The neural and computational bases of semantic cognition","type":"article-journal","volume":"18"},"uris":["http://www.mendeley.com/documents/?uuid=ab5d251e-b90a-365f-ace9-e3312f119924"]},{"id":"ITEM-2","itemData":{"DOI":"10.1016/j.cortex.2018.02.018","ISSN":"19738102","abstract":"Built upon a wealth of neuroimaging, neurostimulation, and neuropsychology data, a recent proposal set forth a framework termed controlled semantic cognition (CSC) to account for how the brain underpins the ability to flexibly use semantic knowledge (Lambon Ralph et al., 2017; Nature Reviews Neuroscience). In CSC, the ‘semantic control’ system, underpinned predominantly by the prefrontal cortex, dynamically monitors and modulates the ‘semantic representation’ system that consists of a ‘hub’ (anterior temporal lobe, ATL) and multiple ‘spokes’ (modality-specific areas). CSC predicts that unfamiliar and exacting semantic tasks should intensify communication between the ‘control’ and ‘representation’ systems, relative to familiar and less taxing tasks. In the present study, we used functional magnetic resonance imaging (fMRI) to test this hypothesis. Participants paired unrelated concepts by canonical colours (a less accustomed task – e.g., pairing ketchup with fire-extinguishers due to both being red) or paired well-related concepts by semantic relationship (a typical task – e.g., ketchup is related to mustard). We found the ‘control’ system was more engaged by atypical than typical pairing. While both tasks activated the ATL ‘hub’ colour pairing additionally involved occipitotemporal ‘spoke’ regions abutting areas of hue perception. Furthermore, we uncovered a gradient along the ventral temporal cortex, transitioning from the caudal ‘spoke’ zones preferring canonical colour processing to the rostral ‘hub’ zones preferring semantic relationship. Functional connectivity also differed between the tasks: Compared with semantic pairing, colour pairing relied more upon the inferior frontal gyrus, a key node of the control system, driving enhanced connectivity with occipitotemporal ‘spoke’. Together, our findings characterise the interaction within the neural architecture of semantic cognition – the control system dynamically heightens its connectivity with relevant components of the representation system, in response to different semantic contents and difficulty levels.","author":[{"dropping-particle":"","family":"Chiou","given":"Rocco","non-dropping-particle":"","parse-names":false,"suffix":""},{"dropping-particle":"","family":"Humphreys","given":"Gina F.","non-dropping-particle":"","parse-names":false,"suffix":""},{"dropping-particle":"","family":"Jung","given":"Je Young","non-dropping-particle":"","parse-names":false,"suffix":""},{"dropping-particle":"","family":"Lambon Ralph","given":"Matthew A.","non-dropping-particle":"","parse-names":false,"suffix":""}],"container-title":"Cortex","id":"ITEM-2","issued":{"date-parts":[["2018"]]},"page":"100-116","publisher":"Elsevier Ltd","title":"Controlled semantic cognition relies upon dynamic and flexible interactions between the executive ‘semantic control’ and hub-and-spoke ‘semantic representation’ systems","type":"article-journal","volume":"103"},"uris":["http://www.mendeley.com/documents/?uuid=564ad9a7-4505-4922-91b4-bd5102f2d8b9"]},{"id":"ITEM-3","itemData":{"DOI":"10.7551/mitpress/8404.003.0016","abstract":"Book Description: Vision is a massively parallel computational process, in which the retinal image is transformed over a sequence of stages so as to emphasize behaviorally relevant information (such as object category and identity) and deemphasize other information (such as viewpoint and lighting). The processes behind vision operate by concurrent computation and message passing among neurons within a visual area and between different areas. The theoretical concept of \"population code\" encapsulates the idea that visual content is represented at each stage by the pattern of activity across the local population of neurons. Understanding visual population codes ultimately requires multichannel measurement and multivariate analysis of activity patterns. Over the past decade, the multivariate approach has gained significant momentum in vision research. Functional imaging and cell recording measure brain activity in fundamentally different ways, but they now use similar theoretical concepts and mathematical tools in their modeling and analyses. With a focus on the ventral processing stream thought to underlie object recognition, this book presents recent advances in our understanding of visual population codes, novel multivariate pattern-information analysis techniques, and the beginnings of a unified perspective for cell recording and functional imaging. It serves as an introduction, overview, and reference for scientists and students across disciplines who are interested in human and primate vision and, more generally, in understanding how the brain represents and processes information.","author":[{"dropping-particle":"","family":"Connolly","given":"Andrew C","non-dropping-particle":"","parse-names":false,"suffix":""},{"dropping-particle":"","family":"Gobbini","given":"M Ida","non-dropping-particle":"","parse-names":false,"suffix":""},{"dropping-particle":"V","family":"Haxby","given":"James","non-dropping-particle":"","parse-names":false,"suffix":""}],"container-title":"Visual Population Codes","id":"ITEM-3","issued":{"date-parts":[["2018"]]},"page":"1-18","title":"Three Virtues of Similarity-Based Multivariate Pattern Analysis: An Example from the Human Object Vision Pathway","type":"article-journal"},"uris":["http://www.mendeley.com/documents/?uuid=e7464932-49a2-4776-b90a-ac00ee57ab5d"]},{"id":"ITEM-4","itemData":{"DOI":"10.1162/jocn_a_00244","ISSN":"0898-929X","abstract":"Most contemporary theories of semantic memory assume that concepts are formed from the distillation of information arising in distinct sensory and verbal modalities. The neural basis of this distil...","author":[{"dropping-particle":"","family":"Visser","given":"Maya","non-dropping-particle":"","parse-names":false,"suffix":""},{"dropping-particle":"","family":"Jefferies","given":"Elizabeth","non-dropping-particle":"","parse-names":false,"suffix":""},{"dropping-particle":"V.","family":"Embleton","given":"Karl","non-dropping-particle":"","parse-names":false,"suffix":""},{"dropping-particle":"","family":"Lambon Ralph","given":"Matthew A.","non-dropping-particle":"","parse-names":false,"suffix":""}],"container-title":"Journal of Cognitive Neuroscience","id":"ITEM-4","issue":"8","issued":{"date-parts":[["2012","8","22"]]},"page":"1766-1778","publisher":"MIT Press55 Hayward Street, Cambridge, MA 02142-1315USAjournals-info@mit.edu","title":"Both the Middle Temporal Gyrus and the Ventral Anterior Temporal Area Are Crucial for Multimodal Semantic Processing: Distortion-corrected fMRI Evidence for a Double Gradient of Information Convergence in the Temporal Lobes","type":"article-journal","volume":"24"},"uris":["http://www.mendeley.com/documents/?uuid=7e85ca6c-b174-3cce-b559-4e9c2aecb3d4"]},{"id":"ITEM-5","itemData":{"DOI":"10.7554/eLife.36652","ISSN":"2050084X","abstract":"A central principle for understanding the cerebral cortex is that macroscale anatomy reflects a functional hierarchy from primary to transmodal processing. In contrast, the central axis of motor and nonmotor macroscale organization in the cerebellum remains unknown. Here we applied diffusion map embedding to resting-state data from the Human Connectome Project dataset (n = 1003), and show for the first time that cerebellar functional regions follow a gradual organization which progresses from primary (motor) to transmodal (DMN, task-unfocused) regions. A secondary axis extends from task-unfocused to task-focused processing. Further, these two principal gradients revealed novel functional properties of the well-established cerebellar double motor representation (lobules I-VI and VIII), and its relationship with the recently described triple nonmotor representation (lobules VI/Crus I, Crus II/VIIB, IX/X). Functional differences exist not only between the two motor but also between the three nonmotor representations, and second motor representation might share functional similarities with third nonmotor representation.","author":[{"dropping-particle":"","family":"Guell","given":"Xavier","non-dropping-particle":"","parse-names":false,"suffix":""},{"dropping-particle":"","family":"Schmahmann","given":"Jeremy D","non-dropping-particle":"","parse-names":false,"suffix":""},{"dropping-particle":"","family":"Gabrieli","given":"John D.E.","non-dropping-particle":"","parse-names":false,"suffix":""},{"dropping-particle":"","family":"Ghosh","given":"Satrajit S","non-dropping-particle":"","parse-names":false,"suffix":""}],"container-title":"eLife","id":"ITEM-5","issued":{"date-parts":[["2018"]]},"title":"Functional gradients of the cerebellum","type":"article-journal","volume":"7"},"uris":["http://www.mendeley.com/documents/?uuid=d1e0dba1-c70f-3080-af96-5bbc4ccfd207"]}],"mendeley":{"formattedCitation":"(Chiou et al., 2018; Connolly et al., 2018; Guell et al., 2018; Ralph et al., 2017; Visser et al., 2012)","manualFormatting":"(Chiou et al., 2018; Connolly et al., 2018; Guell et al., 2018; Lambon Ralph et al., 2017; Visser et al., 2012)","plainTextFormattedCitation":"(Chiou et al., 2018; Connolly et al., 2018; Guell et al., 2018; Ralph et al., 2017; Visser et al., 2012)","previouslyFormattedCitation":"(Chiou et al., 2018; Connolly et al., 2018; Guell et al., 2018; Ralph et al., 2017; Visser et al., 2012)"},"properties":{"noteIndex":0},"schema":"https://github.com/citation-style-language/schema/raw/master/csl-citation.json"}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 xml:space="preserve">(Chiou et al., 2018; Connolly et al., 2018; Guell et al., 2018; </w:t>
      </w:r>
      <w:r w:rsidR="00573196" w:rsidRPr="006436AC">
        <w:rPr>
          <w:rFonts w:ascii="Arial" w:hAnsi="Arial" w:cs="Arial"/>
          <w:noProof/>
          <w:sz w:val="20"/>
          <w:szCs w:val="20"/>
        </w:rPr>
        <w:t xml:space="preserve">Lambon </w:t>
      </w:r>
      <w:r w:rsidR="00566455" w:rsidRPr="006436AC">
        <w:rPr>
          <w:rFonts w:ascii="Arial" w:hAnsi="Arial" w:cs="Arial"/>
          <w:noProof/>
          <w:sz w:val="20"/>
          <w:szCs w:val="20"/>
        </w:rPr>
        <w:t>Ralph et al., 2017; Visser et al., 2012)</w:t>
      </w:r>
      <w:r w:rsidRPr="006436AC">
        <w:rPr>
          <w:rFonts w:ascii="Arial" w:hAnsi="Arial" w:cs="Arial"/>
          <w:sz w:val="20"/>
          <w:szCs w:val="20"/>
        </w:rPr>
        <w:fldChar w:fldCharType="end"/>
      </w:r>
      <w:r w:rsidR="00AB7030" w:rsidRPr="006436AC">
        <w:rPr>
          <w:rFonts w:ascii="Arial" w:hAnsi="Arial" w:cs="Arial"/>
          <w:sz w:val="20"/>
          <w:szCs w:val="20"/>
        </w:rPr>
        <w:t>.</w:t>
      </w:r>
      <w:r w:rsidRPr="006436AC">
        <w:rPr>
          <w:rFonts w:ascii="Arial" w:hAnsi="Arial" w:cs="Arial"/>
          <w:sz w:val="20"/>
          <w:szCs w:val="20"/>
        </w:rPr>
        <w:fldChar w:fldCharType="begin" w:fldLock="1"/>
      </w:r>
      <w:r w:rsidR="00573196" w:rsidRPr="006436AC">
        <w:rPr>
          <w:rFonts w:ascii="Arial" w:hAnsi="Arial" w:cs="Arial"/>
          <w:sz w:val="20"/>
          <w:szCs w:val="20"/>
        </w:rPr>
        <w:instrText>ADDIN CSL_CITATION {"citationItems":[{"id":"ITEM-1","itemData":{"DOI":"10.1093/cercor/bhz079","abstract":"The functional heterogeneity of the ventromedial prefrontal cortex (vmPFC) suggests it may include distinct functional subregions. To date these have not been well elucidated. Regions with differentiable connectivity (and as a result likely dissociable functions) may be identified using emergent data-driven approaches. However, prior parcellations of the vmPFC have only considered hard splits between distinct regions, although both hard and graded connectivity changes may exist. Here we determine the full pattern of change in structural and functional connectivity across the vmPFC for the first time and extract core distinct regions. Both structural and functional connectivity varied along a dorsomedial to ventrolateral axis from relatively dorsal medial wall regions to relatively lateral basal orbitofrontal cortex. The pattern of connectivity shifted from default mode network to sensorimotor and multimodal semantic connections. This finding extends the classical distinction between primate medial and orbital regions by demonstrating a similar gradient in humans for the first time. Additionally, core distinct regions in the medial wall and orbitofrontal cortex were identified that may show greater correspondence to functional differences than prior hard parcellations. The possible functional roles of the orbitofrontal cortex and medial wall are discussed.","author":[{"dropping-particle":"","family":"Jackson","given":"Rebecca L","non-dropping-particle":"","parse-names":false,"suffix":""},{"dropping-particle":"","family":"Bajada","given":"Claude J","non-dropping-particle":"","parse-names":false,"suffix":""},{"dropping-particle":"","family":"Ralph","given":"Matthew A Lambon","non-dropping-particle":"","parse-names":false,"suffix":""},{"dropping-particle":"","family":"Cloutman","given":"Lauren L","non-dropping-particle":"","parse-names":false,"suffix":""}],"container-title":"Cerebral Cortex","id":"ITEM-1","issued":{"date-parts":[["2019"]]},"page":"1-16","title":"The Graded Change in Connectivity across the Ventromedial Prefrontal Cortex Reveals Distinct Subregions","type":"article-journal","volume":"00"},"uris":["http://www.mendeley.com/documents/?uuid=ea8762f3-b9a8-34ba-b375-bfd80089df13"]}],"mendeley":{"formattedCitation":"(Jackson et al., 2019)","manualFormatting":" Jackson et al. (2019)","plainTextFormattedCitation":"(Jackson et al., 2019)","previouslyFormattedCitation":"(Jackson et al., 2019)"},"properties":{"noteIndex":0},"schema":"https://github.com/citation-style-language/schema/raw/master/csl-citation.json"}</w:instrText>
      </w:r>
      <w:r w:rsidRPr="006436AC">
        <w:rPr>
          <w:rFonts w:ascii="Arial" w:hAnsi="Arial" w:cs="Arial"/>
          <w:sz w:val="20"/>
          <w:szCs w:val="20"/>
        </w:rPr>
        <w:fldChar w:fldCharType="separate"/>
      </w:r>
      <w:r w:rsidR="00573196" w:rsidRPr="006436AC">
        <w:rPr>
          <w:rFonts w:ascii="Arial" w:hAnsi="Arial" w:cs="Arial"/>
          <w:noProof/>
          <w:sz w:val="20"/>
          <w:szCs w:val="20"/>
        </w:rPr>
        <w:t xml:space="preserve"> Jackson et al. (</w:t>
      </w:r>
      <w:r w:rsidR="00566455" w:rsidRPr="006436AC">
        <w:rPr>
          <w:rFonts w:ascii="Arial" w:hAnsi="Arial" w:cs="Arial"/>
          <w:noProof/>
          <w:sz w:val="20"/>
          <w:szCs w:val="20"/>
        </w:rPr>
        <w:t>2019)</w:t>
      </w:r>
      <w:r w:rsidRPr="006436AC">
        <w:rPr>
          <w:rFonts w:ascii="Arial" w:hAnsi="Arial" w:cs="Arial"/>
          <w:sz w:val="20"/>
          <w:szCs w:val="20"/>
        </w:rPr>
        <w:fldChar w:fldCharType="end"/>
      </w:r>
      <w:r w:rsidRPr="006436AC">
        <w:rPr>
          <w:rFonts w:ascii="Arial" w:hAnsi="Arial" w:cs="Arial"/>
          <w:sz w:val="20"/>
          <w:szCs w:val="20"/>
        </w:rPr>
        <w:t xml:space="preserve"> identified graded change in the structural and functional connectivity of the ventral medial prefrontal cortex, from DMN to sensory-motor cortex, in line with functional tran</w:t>
      </w:r>
      <w:r w:rsidR="00AB7030" w:rsidRPr="006436AC">
        <w:rPr>
          <w:rFonts w:ascii="Arial" w:hAnsi="Arial" w:cs="Arial"/>
          <w:sz w:val="20"/>
          <w:szCs w:val="20"/>
        </w:rPr>
        <w:t>sitions observed in this region</w:t>
      </w:r>
      <w:r w:rsidR="00573196"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{"citationItems":[{"id":"ITEM-1","itemData":{"DOI":"10.1162/jocn_a_00233","ISSN":"0898929X","abstract":"The distinction between processes used to perceive and understand the self and others has received considerable attention in psychology and neuroscience. Brain findings highlight a role for various regions, in particular the medial PFC (mPFC), in supporting judgments about both the self and others. We performed a meta-analysis of 107 neuroimaging studies of self- and other-related judgments using multilevel kernel density analysis Kober, H., &amp; Wager, T. D. Meta-analyses of neuroimaging data. Wiley Interdisciplinary Reviews, 1, 293-300, 2010. We sought to determine what brain regions are reliably involved in each judgment type and, in particular, what the spatial and functional organization of mPFC is with respect to them. Relative to nonmentalizing judgments, both self- and other judgments were associated with activity in mPFC, ranging from ventral to dorsal extents, as well as common activation of the left TPJ and posterior cingulate. A direct comparison between self- and other judgments revealed that ventral mPFC as well as left ventrolateral PFC and left insula were more frequently activated by self-related judgments, whereas dorsal mPFC, in addition to bilateral TPJ and cuneus, was more frequently activated by other-related judgments. Logistic regression analyses revealed that ventral and dorsal mPFC lay at opposite ends of a functional gradient: The z coordinates reported in individual studies predicted whether the study involved self- or other-related judgments, which were associated with increasingly ventral or dorsal portions of mPFC, respectively. These results argue for a distributed rather than localizationist account of mPFC organization and support an emerging view on the functional heterogeneity of mPFC.","author":[{"dropping-particle":"","family":"Denny","given":"Bryan T.","non-dropping-particle":"","parse-names":false,"suffix":""},{"dropping-particle":"","family":"Kober","given":"Hedy","non-dropping-particle":"","parse-names":false,"suffix":""},{"dropping-particle":"","family":"Wager","given":"Tor D.","non-dropping-particle":"","parse-names":false,"suffix":""},{"dropping-particle":"","family":"Ochsner","given":"Kevin N.","non-dropping-particle":"","parse-names":false,"suffix":""}],"container-title":"Journal of Cognitive Neuroscience","id":"ITEM-1","issue":"8","issued":{"date-parts":[["2012"]]},"page":"1742-1752","title":"A meta-analysis of functional neuroimaging studies of self- and other judgments reveals a spatial gradient for mentalizing in medial prefrontal cortex","type":"article-journal","volume":"24"},"uris":["http://www.mendeley.com/documents/?uuid=f488a42a-a58c-4742-91ec-c38331a19202"]},{"id":"ITEM-2","itemData":{"DOI":"10.1073/pnas.1423895112","abstract":"Despite the importance of valuing another person's welfare for pro-social behavior, currently we have only a limited understanding of how these values are represented in the brain and, more importantly, how they give rise to individual variability in prosociality. In the present study, participants underwent functional magnetic resonance imaging while performing a prosocial learning task in which they could choose to benefit themselves and/or another person. Choice behavior indicated that participants valued the welfare of another person, although less so than they valued their own welfare. Neural data revealed a spatial gradient in activity within the medial prefron-tal cortex (MPFC), such that ventral parts predominantly represented self-regarding values and dorsal parts predominantly represented other-regarding values. Importantly, compared with selfish individuals , prosocial individuals showed a more gradual transition from self-regarding to other-regarding value signals in the MPFC and stronger MPFC-striatum coupling when they made choices for another person rather than for themselves. The present study provides evidence of neural markers reflecting individual differences in human prosociality. medial prefrontal cortex | striatum | anterior insula | reinforcement learning | computational model R anging from small acts of kindness in daily life to self-sacrificing altruism under life-threatening situations, we often observe large individual differences in how humans value another person's welfare. This differential valuation process seems to be the key to understanding various human prosocial behaviors, which are fundamental to the sustainability of human society (1). The underlying neural mechanisms and their relationship to individual differences in prosociality remain unclear, however. Perhaps the most powerful way of assessing how an outcome is valued is to use an instrumental learning paradigm that examines whether the occurrence of a response increases when it is followed by that outcome (2). The mechanisms underlying this type of learning have been described more formally with a computational model, known as the advantage learning model (3-5), which has been used successfully to reveal the neuroanatomical substrates of subjective valuation (3, 4, 6). Previous research has further refined the neurobiological model of reinforcement learning by emphasizing the specific roles played by the medial frontal cortex and the striatum; the medial front…","author":[{"dropping-particle":"","family":"Sul","given":"Sunhae","non-dropping-particle":"","parse-names":false,"suffix":""},{"dropping-particle":"","family":"Tobler","given":"Philippe N","non-dropping-particle":"","parse-names":false,"suffix":""},{"dropping-particle":"","family":"Leiberg","given":"Susanne","non-dropping-particle":"","parse-names":false,"suffix":""},{"dropping-particle":"","family":"Jung","given":"Daehyun","non-dropping-particle":"","parse-names":false,"suffix":""},{"dropping-particle":"","family":"Fehr","given":"Ernst","non-dropping-particle":"","parse-names":false,"suffix":""},{"dropping-particle":"","family":"Kim","given":"Hackjin","non-dropping-particle":"","parse-names":false,"suffix":""}],"id":"ITEM-2","issue":"25","issued":{"date-parts":[["2015"]]},"page":"7851-7856","title":"Spatial gradient in value representation along the medial prefrontal cortex reflects individual differences in prosociality","type":"article-journal","volume":"112"},"uris":["http://www.mendeley.com/documents/?uuid=a296bb1d-c523-3679-883c-87cc18312096"]}],"mendeley":{"formattedCitation":"(Denny et al., 2012; Sul et al., 2015)","plainTextFormattedCitation":"(Denny et al., 2012; Sul et al., 2015)","previouslyFormattedCitation":"(Denny et al., 2012; Sul et al., 2015)"},"properties":{"noteIndex":0},"schema":"https://github.com/citation-style-language/schema/raw/master/csl-citation.json"}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(Denny et al., 2012; Sul et al., 2015)</w:t>
      </w:r>
      <w:r w:rsidRPr="006436AC">
        <w:rPr>
          <w:rFonts w:ascii="Arial" w:hAnsi="Arial" w:cs="Arial"/>
          <w:sz w:val="20"/>
          <w:szCs w:val="20"/>
        </w:rPr>
        <w:fldChar w:fldCharType="end"/>
      </w:r>
      <w:r w:rsidR="00573196" w:rsidRPr="006436AC">
        <w:rPr>
          <w:rFonts w:ascii="Arial" w:hAnsi="Arial" w:cs="Arial"/>
          <w:sz w:val="20"/>
          <w:szCs w:val="20"/>
        </w:rPr>
        <w:t xml:space="preserve">. Similarly, </w:t>
      </w:r>
      <w:r w:rsidRPr="006436AC">
        <w:rPr>
          <w:rFonts w:ascii="Arial" w:hAnsi="Arial" w:cs="Arial"/>
          <w:sz w:val="20"/>
          <w:szCs w:val="20"/>
        </w:rPr>
        <w:fldChar w:fldCharType="begin" w:fldLock="1"/>
      </w:r>
      <w:r w:rsidR="00573196" w:rsidRPr="006436AC">
        <w:rPr>
          <w:rFonts w:ascii="Arial" w:hAnsi="Arial" w:cs="Arial"/>
          <w:sz w:val="20"/>
          <w:szCs w:val="20"/>
        </w:rPr>
        <w:instrText>ADDIN CSL_CITATION {"citationItems":[{"id":"ITEM-1","itemData":{"DOI":"10.1038/nrn2667","ISSN":"1471-003X","abstract":"Studies into the role of different frontal cortex areas in cognitive control have suggested that there is a rostral-to-caudal processing gradient. Drawing on anatomical and functional data from humans and monkeys, Badre and D'Esposito discuss whether this gradient might reflect a hierarchical organization.","author":[{"dropping-particle":"","family":"Badre","given":"David","non-dropping-particle":"","parse-names":false,"suffix":""},{"dropping-particle":"","family":"D'Esposito","given":"Mark","non-dropping-particle":"","parse-names":false,"suffix":""}],"container-title":"Nature Reviews Neuroscience","id":"ITEM-1","issue":"9","issued":{"date-parts":[["2009","9","12"]]},"page":"659-669","publisher":"Nature Publishing Group","title":"Is the rostro-caudal axis of the frontal lobe hierarchical?","type":"article-journal","volume":"10"},"uris":["http://www.mendeley.com/documents/?uuid=bd27abcc-7f1e-3dff-8f12-ec0b5870e12b"]}],"mendeley":{"formattedCitation":"(Badre and D’Esposito, 2009)","manualFormatting":"Badre and D’Esposito, (2009)","plainTextFormattedCitation":"(Badre and D’Esposito, 2009)","previouslyFormattedCitation":"(Badre and D’Esposito, 2009)"},"properties":{"noteIndex":0},"schema":"https://github.com/citation-style-language/schema/raw/master/csl-citation.json"}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Badre and D’Esposito</w:t>
      </w:r>
      <w:r w:rsidR="00573196" w:rsidRPr="006436AC">
        <w:rPr>
          <w:rFonts w:ascii="Arial" w:hAnsi="Arial" w:cs="Arial"/>
          <w:noProof/>
          <w:sz w:val="20"/>
          <w:szCs w:val="20"/>
        </w:rPr>
        <w:t>, (</w:t>
      </w:r>
      <w:r w:rsidR="00566455" w:rsidRPr="006436AC">
        <w:rPr>
          <w:rFonts w:ascii="Arial" w:hAnsi="Arial" w:cs="Arial"/>
          <w:noProof/>
          <w:sz w:val="20"/>
          <w:szCs w:val="20"/>
        </w:rPr>
        <w:t>2009)</w:t>
      </w:r>
      <w:r w:rsidRPr="006436AC">
        <w:rPr>
          <w:rFonts w:ascii="Arial" w:hAnsi="Arial" w:cs="Arial"/>
          <w:sz w:val="20"/>
          <w:szCs w:val="20"/>
        </w:rPr>
        <w:fldChar w:fldCharType="end"/>
      </w:r>
      <w:r w:rsidRPr="006436AC">
        <w:rPr>
          <w:rFonts w:ascii="Arial" w:hAnsi="Arial" w:cs="Arial"/>
          <w:sz w:val="20"/>
          <w:szCs w:val="20"/>
        </w:rPr>
        <w:t xml:space="preserve"> proposed a rostrocaudal gradient in lateral frontal cortex, with rostral frontal areas supporting more abstract forms of control than caudal areas. We observed more complex spatial transitions in lateral frontal cortex, with high gradient values in anterior, ventral and dorsal regions. This is in line with the re</w:t>
      </w:r>
      <w:r w:rsidR="00AB7030" w:rsidRPr="006436AC">
        <w:rPr>
          <w:rFonts w:ascii="Arial" w:hAnsi="Arial" w:cs="Arial"/>
          <w:sz w:val="20"/>
          <w:szCs w:val="20"/>
        </w:rPr>
        <w:t>vised framework of</w:t>
      </w:r>
      <w:r w:rsidRPr="006436AC">
        <w:rPr>
          <w:rFonts w:ascii="Arial" w:hAnsi="Arial" w:cs="Arial"/>
          <w:sz w:val="20"/>
          <w:szCs w:val="20"/>
        </w:rPr>
        <w:fldChar w:fldCharType="begin" w:fldLock="1"/>
      </w:r>
      <w:r w:rsidR="00573196" w:rsidRPr="006436AC">
        <w:rPr>
          <w:rFonts w:ascii="Arial" w:hAnsi="Arial" w:cs="Arial"/>
          <w:sz w:val="20"/>
          <w:szCs w:val="20"/>
        </w:rPr>
        <w:instrText>ADDIN CSL_CITATION {"citationItems":[{"id":"ITEM-1","itemData":{"DOI":"10.1016/j.tics.2017.11.005","ISSN":"1879307X","abstract":"The frontal lobes are important for cognitive control, yet their functional organization remains controversial. An influential class of theory proposes that the frontal lobes are organized along their rostrocaudal axis to support hierarchical cognitive control. Here, we take an updated look at the literature on hierarchical control, with particular focus on the functional organization of lateral frontal cortex. Our review of the evidence supports neither a unitary model of lateral frontal function nor a unidimensional abstraction gradient. Rather, separate frontal networks interact via local and global hierarchical structure to support diverse task demands.","author":[{"dropping-particle":"","family":"Badre","given":"David","non-dropping-particle":"","parse-names":false,"suffix":""},{"dropping-particle":"","family":"Nee","given":"Derek Evan","non-dropping-particle":"","parse-names":false,"suffix":""}],"container-title":"Trends in Cognitive Sciences","id":"ITEM-1","issue":"2","issued":{"date-parts":[["2018"]]},"page":"170-188","publisher":"Elsevier Ltd","title":"Frontal Cortex and the Hierarchical Control of Behavior","type":"article-journal","volume":"22"},"uris":["http://www.mendeley.com/documents/?uuid=a2fb241a-4bd0-4831-88ae-6ac79657f1be"]}],"mendeley":{"formattedCitation":"(Badre and Nee, 2018)","manualFormatting":" Badre and Nee, (2018)","plainTextFormattedCitation":"(Badre and Nee, 2018)","previouslyFormattedCitation":"(Badre and Nee, 2018)"},"properties":{"noteIndex":0},"schema":"https://github.com/citation-style-language/schema/raw/master/csl-citation.json"}</w:instrText>
      </w:r>
      <w:r w:rsidRPr="006436AC">
        <w:rPr>
          <w:rFonts w:ascii="Arial" w:hAnsi="Arial" w:cs="Arial"/>
          <w:sz w:val="20"/>
          <w:szCs w:val="20"/>
        </w:rPr>
        <w:fldChar w:fldCharType="separate"/>
      </w:r>
      <w:r w:rsidR="00573196" w:rsidRPr="006436AC">
        <w:rPr>
          <w:rFonts w:ascii="Arial" w:hAnsi="Arial" w:cs="Arial"/>
          <w:noProof/>
          <w:sz w:val="20"/>
          <w:szCs w:val="20"/>
        </w:rPr>
        <w:t xml:space="preserve"> </w:t>
      </w:r>
      <w:r w:rsidR="002C6D14" w:rsidRPr="006436AC">
        <w:rPr>
          <w:rFonts w:ascii="Arial" w:hAnsi="Arial" w:cs="Arial"/>
          <w:noProof/>
          <w:sz w:val="20"/>
          <w:szCs w:val="20"/>
        </w:rPr>
        <w:t>Badre and Nee,</w:t>
      </w:r>
      <w:r w:rsidR="00566455" w:rsidRPr="006436AC">
        <w:rPr>
          <w:rFonts w:ascii="Arial" w:hAnsi="Arial" w:cs="Arial"/>
          <w:noProof/>
          <w:sz w:val="20"/>
          <w:szCs w:val="20"/>
        </w:rPr>
        <w:t xml:space="preserve"> </w:t>
      </w:r>
      <w:r w:rsidR="00573196" w:rsidRPr="006436AC">
        <w:rPr>
          <w:rFonts w:ascii="Arial" w:hAnsi="Arial" w:cs="Arial"/>
          <w:noProof/>
          <w:sz w:val="20"/>
          <w:szCs w:val="20"/>
        </w:rPr>
        <w:t>(</w:t>
      </w:r>
      <w:r w:rsidR="00566455" w:rsidRPr="006436AC">
        <w:rPr>
          <w:rFonts w:ascii="Arial" w:hAnsi="Arial" w:cs="Arial"/>
          <w:noProof/>
          <w:sz w:val="20"/>
          <w:szCs w:val="20"/>
        </w:rPr>
        <w:t>2018)</w:t>
      </w:r>
      <w:r w:rsidRPr="006436AC">
        <w:rPr>
          <w:rFonts w:ascii="Arial" w:hAnsi="Arial" w:cs="Arial"/>
          <w:sz w:val="20"/>
          <w:szCs w:val="20"/>
        </w:rPr>
        <w:fldChar w:fldCharType="end"/>
      </w:r>
      <w:r w:rsidRPr="006436AC">
        <w:rPr>
          <w:rFonts w:ascii="Arial" w:hAnsi="Arial" w:cs="Arial"/>
          <w:sz w:val="20"/>
          <w:szCs w:val="20"/>
        </w:rPr>
        <w:t>, which suggests that although the frontal lobes are organized hierarchically, there is no unidimensional spatial gradient of abstraction or g</w:t>
      </w:r>
      <w:r w:rsidR="00AB7030" w:rsidRPr="006436AC">
        <w:rPr>
          <w:rFonts w:ascii="Arial" w:hAnsi="Arial" w:cs="Arial"/>
          <w:sz w:val="20"/>
          <w:szCs w:val="20"/>
        </w:rPr>
        <w:t>lobal difficulty in this region</w:t>
      </w:r>
      <w:r w:rsidR="00573196" w:rsidRPr="006436AC">
        <w:rPr>
          <w:rFonts w:ascii="Arial" w:hAnsi="Arial" w:cs="Arial"/>
          <w:sz w:val="20"/>
          <w:szCs w:val="20"/>
        </w:rPr>
        <w:t xml:space="preserve"> </w:t>
      </w:r>
      <w:r w:rsidRPr="006436AC">
        <w:rPr>
          <w:rFonts w:ascii="Arial" w:hAnsi="Arial" w:cs="Arial"/>
          <w:sz w:val="20"/>
          <w:szCs w:val="20"/>
        </w:rPr>
        <w:fldChar w:fldCharType="begin" w:fldLock="1"/>
      </w:r>
      <w:r w:rsidR="00D40D4C" w:rsidRPr="006436AC">
        <w:rPr>
          <w:rFonts w:ascii="Arial" w:hAnsi="Arial" w:cs="Arial"/>
          <w:sz w:val="20"/>
          <w:szCs w:val="20"/>
        </w:rPr>
        <w:instrText>ADDIN CSL_CITATION {"citationItems":[{"id":"ITEM-1","itemData":{"DOI":"10.1038/nrn2667","ISSN":"1471-003X","abstract":"Studies into the role of different frontal cortex areas in cognitive control have suggested that there is a rostral-to-caudal processing gradient. Drawing on anatomical and functional data from humans and monkeys, Badre and D'Esposito discuss whether this gradient might reflect a hierarchical organization.","author":[{"dropping-particle":"","family":"Badre","given":"David","non-dropping-particle":"","parse-names":false,"suffix":""},{"dropping-particle":"","family":"D'Esposito","given":"Mark","non-dropping-particle":"","parse-names":false,"suffix":""}],"container-title":"Nature Reviews Neuroscience","id":"ITEM-1","issue":"9","issued":{"date-parts":[["2009","9","12"]]},"page":"659-669","publisher":"Nature Publishing Group","title":"Is the rostro-caudal axis of the frontal lobe hierarchical?","type":"article-journal","volume":"10"},"uris":["http://www.mendeley.com/documents/?uuid=bd27abcc-7f1e-3dff-8f12-ec0b5870e12b"]},{"id":"ITEM-2","itemData":{"DOI":"10.1016/j.tics.2017.11.005","ISSN":"1879307X","abstract":"The frontal lobes are important for cognitive control, yet their functional organization remains controversial. An influential class of theory proposes that the frontal lobes are organized along their rostrocaudal axis to support hierarchical cognitive control. Here, we take an updated look at the literature on hierarchical control, with particular focus on the functional organization of lateral frontal cortex. Our review of the evidence supports neither a unitary model of lateral frontal function nor a unidimensional abstraction gradient. Rather, separate frontal networks interact via local and global hierarchical structure to support diverse task demands.","author":[{"dropping-particle":"","family":"Badre","given":"David","non-dropping-particle":"","parse-names":false,"suffix":""},{"dropping-particle":"","family":"Nee","given":"Derek Evan","non-dropping-particle":"","parse-names":false,"suffix":""}],"container-title":"Trends in Cognitive Sciences","id":"ITEM-2","issue":"2","issued":{"date-parts":[["2018"]]},"page":"170-188","publisher":"Elsevier Ltd","title":"Frontal Cortex and the Hierarchical Control of Behavior","type":"article-journal","volume":"22"},"uris":["http://www.mendeley.com/documents/?uuid=a2fb241a-4bd0-4831-88ae-6ac79657f1be"]},{"id":"ITEM-3","itemData":{"DOI":"10.1126/science.1088545","ISSN":"00368075","abstract":"The prefrontal cortex (PFC) subserves cognitive control: the ability to coordinate thoughts or actions in relation with internal goals. Its functional architecture, however, remains poorly understood. Using brain imaging in humans, we showed that the lateral PFC is organized as a cascade of executive processes from premotor to anterior PFC regions that control behavior according to stimuli, the present perceptual context, and the temporal episode in which stimuli occur, respectively. The results support an unified modular model of cognitive control that describes the overall functional organization of the human lateral PFC and has basic methodological and theoretical implications.","author":[{"dropping-particle":"","family":"Koechlin","given":"Etienne","non-dropping-particle":"","parse-names":false,"suffix":""},{"dropping-particle":"","family":"Ody","given":"Chrystèle","non-dropping-particle":"","parse-names":false,"suffix":""},{"dropping-particle":"","family":"Kouneiher","given":"Frédérique","non-dropping-particle":"","parse-names":false,"suffix":""}],"container-title":"Science","id":"ITEM-3","issue":"5648","issued":{"date-parts":[["2003"]]},"page":"1181-1185","title":"The Architecture of Cognitive Control in the Human Prefrontal Cortex","type":"article-journal","volume":"302"},"uris":["http://www.mendeley.com/documents/?uuid=27f7aa2c-9641-447f-a353-7f294287052f"]}],"mendeley":{"formattedCitation":"(Badre and D’Esposito, 2009; Badre and Nee, 2018; Koechlin et al., 2003)","plainTextFormattedCitation":"(Badre and D’Esposito, 2009; Badre and Nee, 2018; Koechlin et al., 2003)","previouslyFormattedCitation":"(Badre and D’Esposito, 2009; Badre and Nee, 2018; Koechlin et al., 2003)"},"properties":{"noteIndex":0},"schema":"https://github.com/citation-style-language/schema/raw/master/csl-citation.json"}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(Badre and D’Esposito, 2009; Badre and Nee, 2018; Koechlin et al., 2003)</w:t>
      </w:r>
      <w:r w:rsidRPr="006436AC">
        <w:rPr>
          <w:rFonts w:ascii="Arial" w:hAnsi="Arial" w:cs="Arial"/>
          <w:sz w:val="20"/>
          <w:szCs w:val="20"/>
        </w:rPr>
        <w:fldChar w:fldCharType="end"/>
      </w:r>
      <w:r w:rsidRPr="006436AC">
        <w:rPr>
          <w:rFonts w:ascii="Arial" w:hAnsi="Arial" w:cs="Arial"/>
          <w:sz w:val="20"/>
          <w:szCs w:val="20"/>
        </w:rPr>
        <w:t xml:space="preserve">. </w:t>
      </w:r>
    </w:p>
    <w:p w14:paraId="1B0DCD80" w14:textId="20AD0003" w:rsidR="0001094C" w:rsidRPr="006436AC" w:rsidRDefault="0001094C" w:rsidP="000E64FB">
      <w:pPr>
        <w:spacing w:before="100" w:beforeAutospacing="1" w:after="100" w:afterAutospacing="1" w:line="480" w:lineRule="auto"/>
        <w:ind w:firstLine="720"/>
        <w:rPr>
          <w:rFonts w:ascii="Arial" w:hAnsi="Arial" w:cs="Arial"/>
          <w:sz w:val="20"/>
          <w:szCs w:val="20"/>
        </w:rPr>
      </w:pPr>
      <w:r w:rsidRPr="006436AC">
        <w:rPr>
          <w:rFonts w:ascii="Arial" w:hAnsi="Arial" w:cs="Arial"/>
          <w:b/>
          <w:sz w:val="20"/>
          <w:szCs w:val="20"/>
        </w:rPr>
        <w:t>The large-scale task gradient explains the spatial arrangement of networks that support semantic cognition</w:t>
      </w:r>
      <w:r w:rsidRPr="006436AC">
        <w:rPr>
          <w:rFonts w:ascii="Arial" w:hAnsi="Arial" w:cs="Arial"/>
          <w:sz w:val="20"/>
          <w:szCs w:val="20"/>
        </w:rPr>
        <w:t xml:space="preserve">. We found that networks that support semantic cognition are </w:t>
      </w:r>
      <w:r w:rsidRPr="006436AC">
        <w:rPr>
          <w:rFonts w:ascii="Arial" w:hAnsi="Arial" w:cs="Arial"/>
          <w:sz w:val="20"/>
          <w:szCs w:val="20"/>
          <w:lang w:val="en-GB"/>
        </w:rPr>
        <w:t>organised</w:t>
      </w:r>
      <w:r w:rsidRPr="006436AC">
        <w:rPr>
          <w:rFonts w:ascii="Arial" w:hAnsi="Arial" w:cs="Arial"/>
          <w:sz w:val="20"/>
          <w:szCs w:val="20"/>
        </w:rPr>
        <w:t xml:space="preserve"> in a systematic way along the gradient. Multiple networks with distinct connectivity profiles are recruited in semantic tasks – including DMN regions (such as angular gyrus and lateral middle temporal gyrus) </w:t>
      </w:r>
      <w:r w:rsidRPr="006436AC">
        <w:rPr>
          <w:rFonts w:ascii="Arial" w:hAnsi="Arial" w:cs="Arial"/>
          <w:sz w:val="20"/>
          <w:szCs w:val="20"/>
        </w:rPr>
        <w:fldChar w:fldCharType="begin" w:fldLock="1"/>
      </w:r>
      <w:r w:rsidR="00D40D4C" w:rsidRPr="006436AC">
        <w:rPr>
          <w:rFonts w:ascii="Arial" w:hAnsi="Arial" w:cs="Arial"/>
          <w:sz w:val="20"/>
          <w:szCs w:val="20"/>
        </w:rPr>
        <w:instrText>ADDIN CSL_CITATION {"citationItems":[{"id":"ITEM-1","itemData":{"DOI":"10.1073/pnas.1422760112","ISSN":"10916490","abstract":"The default mode network (DMN) and semantic network (SN) are two of the most extensively studied systems, and both are increasingly used as clinical biomarkers in neurological studies. There are strong theoretical reasons to assume a relationship between the networks, as well as anatomical evidence that they might rely on overlapping cortical regions, such as the anterior temporal lobe (ATL) or angular gyrus (AG). Despite these strong motivations, the relationship between the two systems has received minimal attention. We directly compared the SN and DMN using a large (n = 69) distortion-corrected functional MRI (fMRI) dataset, spanning a range of semantic and nonsemantic tasks that varied input modality. The results showed that both networks fractionate depending on the semantic nature of the task, stimulus type, modality, and task difficulty. Furthermore, despite recent claims that both AG and ATL are semantic hubs, the two areas responded very differently, with results supporting the role of ATL, but not AG, in semantic representation. Specifically, the left ATL was positively activated for all semantic tasks, but deactivated during nonsemantic task performance. In contrast, the left AG was deactivated for all tasks, with the level of deactivation related to task difficulty. Thus, ATL and AG do not share a common interest in semantic tasks, but, rather, a common \"disinterest\"in nonsemantic tasks. The implications for the variability in the DMN, its cognitive coherence, and interpretation of resting-state fMRI data are discussed.","author":[{"dropping-particle":"","family":"Humphreys","given":"Gina F.","non-dropping-particle":"","parse-names":false,"suffix":""},{"dropping-particle":"","family":"Hoffman","given":"Paul","non-dropping-particle":"","parse-names":false,"suffix":""},{"dropping-particle":"","family":"Visser","given":"Maya","non-dropping-particle":"","parse-names":false,"suffix":""},{"dropping-particle":"","family":"Binney","given":"Richard J.","non-dropping-particle":"","parse-names":false,"suffix":""},{"dropping-particle":"","family":"Lambon Ralph","given":"Matthew A.","non-dropping-particle":"","parse-names":false,"suffix":""}],"container-title":"Proceedings of the National Academy of Sciences of the United States of America","id":"ITEM-1","issue":"25","issued":{"date-parts":[["2015"]]},"page":"7857-7862","title":"Establishing task- and modality-dependent dissociations between the semantic and default mode networks","type":"article-journal","volume":"112"},"uris":["http://www.mendeley.com/documents/?uuid=29bbbdda-20e6-498e-866c-3465f2619b3a"]},{"id":"ITEM-2","itemData":{"DOI":"10.1016/j.neuroimage.2010.10.039","ISSN":"10538119","abstract":"The Default Mode Network (DMN) is a higher order functional neural network that displays activation during passive rest and deactivation during many types of cognitive tasks. Accordingly, the DMN is viewed to represent the neural correlate of internally-generated self-referential cognition. This hypothesis implies that the DMN requires the involvement of cognitive processes, like declarative memory. The present study thus examines the spatial and functional convergence of the DMN and the semantic memory system. Using an active block-design functional Magnetic Resonance Imaging (fMRI) paradigm and Independent Component Analysis (ICA), we trace the DMN and fMRI signal changes evoked by semantic, phonological and perceptual decision tasks upon visually-presented words. Our findings show less deactivation during semantic compared to the two non-semantic tasks for the entire DMN unit and within left-hemispheric DMN regions, i.e., the dorsal medial prefrontal cortex, the anterior cingulate cortex, the retrosplenial cortex, the angular gyrus, the middle temporal gyrus and the anterior temporal region, as well as the right cerebellum. These results demonstrate that well-known semantic regions are spatially and functionally involved in the DMN. The present study further supports the hypothesis of the DMN as an internal mentation system that involves declarative memory functions. © 2010 Elsevier Inc.","author":[{"dropping-particle":"","family":"Wirth","given":"Miranka","non-dropping-particle":"","parse-names":false,"suffix":""},{"dropping-particle":"","family":"Jann","given":"Kay","non-dropping-particle":"","parse-names":false,"suffix":""},{"dropping-particle":"","family":"Dierks","given":"Thomas","non-dropping-particle":"","parse-names":false,"suffix":""},{"dropping-particle":"","family":"Federspiel","given":"Andrea","non-dropping-particle":"","parse-names":false,"suffix":""},{"dropping-particle":"","family":"Wiest","given":"Roland","non-dropping-particle":"","parse-names":false,"suffix":""},{"dropping-particle":"","family":"Horn","given":"Helge","non-dropping-particle":"","parse-names":false,"suffix":""}],"container-title":"NeuroImage","id":"ITEM-2","issue":"4","issued":{"date-parts":[["2011"]]},"page":"3057-3066","publisher":"Elsevier Inc.","title":"Semantic memory involvement in the default mode network: A functional neuroimaging study using independent component analysis","type":"article-journal","volume":"54"},"uris":["http://www.mendeley.com/documents/?uuid=76a02d08-9764-46bd-937f-dd17905eb04d"]}],"mendeley":{"formattedCitation":"(Humphreys et al., 2015; Wirth et al., 2011)","plainTextFormattedCitation":"(Humphreys et al., 2015; Wirth et al., 2011)","previouslyFormattedCitation":"(Humphreys et al., 2015; Wirth et al., 2011)"},"properties":{"noteIndex":0},"schema":"https://github.com/citation-style-language/schema/raw/master/csl-citation.json"}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(Humphreys et al., 2015; Wirth et al., 2011)</w:t>
      </w:r>
      <w:r w:rsidRPr="006436AC">
        <w:rPr>
          <w:rFonts w:ascii="Arial" w:hAnsi="Arial" w:cs="Arial"/>
          <w:sz w:val="20"/>
          <w:szCs w:val="20"/>
        </w:rPr>
        <w:fldChar w:fldCharType="end"/>
      </w:r>
      <w:r w:rsidRPr="006436AC">
        <w:rPr>
          <w:rFonts w:ascii="Arial" w:hAnsi="Arial" w:cs="Arial"/>
          <w:sz w:val="20"/>
          <w:szCs w:val="20"/>
        </w:rPr>
        <w:t xml:space="preserve">, </w:t>
      </w:r>
      <w:r w:rsidR="00F823D6" w:rsidRPr="006436AC">
        <w:rPr>
          <w:rFonts w:ascii="Arial" w:hAnsi="Arial" w:cs="Arial"/>
          <w:sz w:val="20"/>
          <w:szCs w:val="20"/>
        </w:rPr>
        <w:t xml:space="preserve">brain regions </w:t>
      </w:r>
      <w:r w:rsidRPr="006436AC">
        <w:rPr>
          <w:rFonts w:ascii="Arial" w:hAnsi="Arial" w:cs="Arial"/>
          <w:sz w:val="20"/>
          <w:szCs w:val="20"/>
        </w:rPr>
        <w:t>specifically</w:t>
      </w:r>
      <w:r w:rsidR="00AB7030" w:rsidRPr="006436AC">
        <w:rPr>
          <w:rFonts w:ascii="Arial" w:hAnsi="Arial" w:cs="Arial"/>
          <w:sz w:val="20"/>
          <w:szCs w:val="20"/>
        </w:rPr>
        <w:t xml:space="preserve"> implicated in semantic control</w:t>
      </w:r>
      <w:r w:rsidR="00573196"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{"citationItems":[{"id":"ITEM-1","itemData":{"DOI":"10.1162/jocn_a_00442","ISSN":"15308898","abstract":"Semantic cognition requires a combination of semantic representations and executive control processes to direct activation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network are specifically associated with the executive component of semantic cognition. Previous studies have described in detail the role of left ventral pFC in semantic regulation. We examined 53 studies that contrasted semantic tasks with high &gt; low executive requirements to determine whether cortical regions beyond the left pFC show the same response profile to executive semantic demands. Our findings revealed that right pFC, posterior middle temporal gyrus (pMTG) and dorsal angular gyrus (bordering intraparietal sulcus) were also consistently recruited by executively demanding semantic tasks, demonstrating patterns of activation that were highly similar to the left ventral pFC. These regions overlap with the lesions in aphasic patients who exhibit multimodal semantic impairment because of impaired regulatory control (semantic aphasia)-providing important convergence between functional neuroimaging and neuropsychological studies of semantic cognition. Activation in dorsal angular gyrus and left ventral pFC was consistent across all types of executive semantic manipulation, regardless of whether the task was receptive or expressive, whereas pMTG activation was only observed for manipulation of control demands within receptive tasks. Second, we contrasted executively demanding tasks tapping semantics and phonology. Our findings revealed substantial overlap between the two sets of contrasts within left ventral pFC, suggesting this region underpins domain-general control mechanisms. In contrast, we observed relative specialization for semantic control within pMTG as well as the most ventral aspects of left pFC (BA 47), consistent with our proposal of a distributed network underpinning semantic control.","author":[{"dropping-particle":"","family":"Noonan","given":"Krist A.","non-dropping-particle":"","parse-names":false,"suffix":""},{"dropping-particle":"","family":"Jefferies","given":"Elizabeth","non-dropping-particle":"","parse-names":false,"suffix":""},{"dropping-particle":"","family":"Visser","given":"Maya","non-dropping-particle":"","parse-names":false,"suffix":""},{"dropping-particle":"","family":"Lambon Ralph","given":"Matthew A.","non-dropping-particle":"","parse-names":false,"suffix":""}],"container-title":"Journal of cognitive neuroscience","id":"ITEM-1","issue":"11","issued":{"date-parts":[["2013"]]},"page":"1824-1850","title":"Going beyond inferior prefrontal involvement in semantic control: evidence for the additional contribution of dorsal angular gyrus and posterior middle temporal cortex.","type":"article-journal","volume":"25"},"uris":["http://www.mendeley.com/documents/?uuid=d1098e99-5136-327a-92e7-e1d7990ba655"]}],"mendeley":{"formattedCitation":"(Noonan et al., 2013)","plainTextFormattedCitation":"(Noonan et al., 2013)","previouslyFormattedCitation":"(Noonan et al., 2013)"},"properties":{"noteIndex":0},"schema":"https://github.com/citation-style-language/schema/raw/master/csl-citation.json"}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(Noonan et al., 2013)</w:t>
      </w:r>
      <w:r w:rsidRPr="006436AC">
        <w:rPr>
          <w:rFonts w:ascii="Arial" w:hAnsi="Arial" w:cs="Arial"/>
          <w:sz w:val="20"/>
          <w:szCs w:val="20"/>
        </w:rPr>
        <w:fldChar w:fldCharType="end"/>
      </w:r>
      <w:r w:rsidRPr="006436AC">
        <w:rPr>
          <w:rFonts w:ascii="Arial" w:hAnsi="Arial" w:cs="Arial"/>
          <w:sz w:val="20"/>
          <w:szCs w:val="20"/>
        </w:rPr>
        <w:t>, and MDN regions implicated in d</w:t>
      </w:r>
      <w:r w:rsidR="00AB7030" w:rsidRPr="006436AC">
        <w:rPr>
          <w:rFonts w:ascii="Arial" w:hAnsi="Arial" w:cs="Arial"/>
          <w:sz w:val="20"/>
          <w:szCs w:val="20"/>
        </w:rPr>
        <w:t>omain-general executive control</w:t>
      </w:r>
      <w:r w:rsidR="00573196" w:rsidRPr="006436AC">
        <w:rPr>
          <w:rFonts w:ascii="Arial" w:hAnsi="Arial" w:cs="Arial"/>
          <w:sz w:val="20"/>
          <w:szCs w:val="20"/>
        </w:rPr>
        <w:t xml:space="preserve"> </w:t>
      </w:r>
      <w:r w:rsidRPr="006436AC">
        <w:rPr>
          <w:rFonts w:ascii="Arial" w:hAnsi="Arial" w:cs="Arial"/>
          <w:sz w:val="20"/>
          <w:szCs w:val="20"/>
        </w:rPr>
        <w:fldChar w:fldCharType="begin" w:fldLock="1"/>
      </w:r>
      <w:r w:rsidR="00D40D4C" w:rsidRPr="006436AC">
        <w:rPr>
          <w:rFonts w:ascii="Arial" w:hAnsi="Arial" w:cs="Arial"/>
          <w:sz w:val="20"/>
          <w:szCs w:val="20"/>
        </w:rPr>
        <w:instrText>ADDIN CSL_CITATION {"citationItems":[{"id":"ITEM-1","itemData":{"DOI":"10.1016/j.cortex.2018.02.018","ISSN":"19738102","abstract":"Built upon a wealth of neuroimaging, neurostimulation, and neuropsychology data, a recent proposal set forth a framework termed controlled semantic cognition (CSC) to account for how the brain underpins the ability to flexibly use semantic knowledge (Lambon Ralph et al., 2017; Nature Reviews Neuroscience). In CSC, the ‘semantic control’ system, underpinned predominantly by the prefrontal cortex, dynamically monitors and modulates the ‘semantic representation’ system that consists of a ‘hub’ (anterior temporal lobe, ATL) and multiple ‘spokes’ (modality-specific areas). CSC predicts that unfamiliar and exacting semantic tasks should intensify communication between the ‘control’ and ‘representation’ systems, relative to familiar and less taxing tasks. In the present study, we used functional magnetic resonance imaging (fMRI) to test this hypothesis. Participants paired unrelated concepts by canonical colours (a less accustomed task – e.g., pairing ketchup with fire-extinguishers due to both being red) or paired well-related concepts by semantic relationship (a typical task – e.g., ketchup is related to mustard). We found the ‘control’ system was more engaged by atypical than typical pairing. While both tasks activated the ATL ‘hub’ colour pairing additionally involved occipitotemporal ‘spoke’ regions abutting areas of hue perception. Furthermore, we uncovered a gradient along the ventral temporal cortex, transitioning from the caudal ‘spoke’ zones preferring canonical colour processing to the rostral ‘hub’ zones preferring semantic relationship. Functional connectivity also differed between the tasks: Compared with semantic pairing, colour pairing relied more upon the inferior frontal gyrus, a key node of the control system, driving enhanced connectivity with occipitotemporal ‘spoke’. Together, our findings characterise the interaction within the neural architecture of semantic cognition – the control system dynamically heightens its connectivity with relevant components of the representation system, in response to different semantic contents and difficulty levels.","author":[{"dropping-particle":"","family":"Chiou","given":"Rocco","non-dropping-particle":"","parse-names":false,"suffix":""},{"dropping-particle":"","family":"Humphreys","given":"Gina F.","non-dropping-particle":"","parse-names":false,"suffix":""},{"dropping-particle":"","family":"Jung","given":"Je Young","non-dropping-particle":"","parse-names":false,"suffix":""},{"dropping-particle":"","family":"Lambon Ralph","given":"Matthew A.","non-dropping-particle":"","parse-names":false,"suffix":""}],"container-title":"Cortex","id":"ITEM-1","issued":{"date-parts":[["2018"]]},"page":"100-116","publisher":"Elsevier Ltd","title":"Controlled semantic cognition relies upon dynamic and flexible interactions between the executive ‘semantic control’ and hub-and-spoke ‘semantic representation’ systems","type":"article-journal","volume":"103"},"uris":["http://www.mendeley.com/documents/?uuid=564ad9a7-4505-4922-91b4-bd5102f2d8b9"]},{"id":"ITEM-2","itemData":{"DOI":"10.1073/pnas.1315235110","ISBN":"1315235110","ISSN":"0027-8424","abstract":"Unlike brain regions that respond selectively to specific kinds of information content, a number of frontal and parietal regions are thought to be domain- and process-general: that is, active during a wide variety of demanding cognitive tasks. However, most previous evidence for this functional generality in humans comes from methods that overestimate activation overlap across tasks. Here we present functional MRI evidence from single-subject analyses for broad functional generality of a specific set of brain regions: the same sets of voxels are engaged across tasks ranging from arithmetic to storing information in working memory, to inhibiting irrelevant information. These regions have a specific topography, often lying directly adjacent to domain-specific regions. Thus, in addition to domain-specific brain regions tailored to solve particular problems of longstanding importance to our species, the human brain also contains a set of functionally general regions that plausibly endow us with the cognitive flexibility necessary to solve novel problems.","author":[{"dropping-particle":"","family":"Fedorenko","given":"E.","non-dropping-particle":"","parse-names":false,"suffix":""},{"dropping-particle":"","family":"Duncan","given":"J.","non-dropping-particle":"","parse-names":false,"suffix":""},{"dropping-particle":"","family":"Kanwisher","given":"N.","non-dropping-particle":"","parse-names":false,"suffix":""}],"container-title":"Proceedings of the National Academy of Sciences","id":"ITEM-2","issue":"41","issued":{"date-parts":[["2013"]]},"page":"16616-16621","title":"Broad domain generality in focal regions of frontal and parietal cortex","type":"article-journal","volume":"110"},"uris":["http://www.mendeley.com/documents/?uuid=6e80a063-9d9a-4426-908c-15c385760ef3"]}],"mendeley":{"formattedCitation":"(Chiou et al., 2018; Fedorenko et al., 2013)","manualFormatting":"(Fedorenko et al., 2013)","plainTextFormattedCitation":"(Chiou et al., 2018; Fedorenko et al., 2013)","previouslyFormattedCitation":"(Chiou et al., 2018; Fedorenko et al., 2013)"},"properties":{"noteIndex":0},"schema":"https://github.com/citation-style-language/schema/raw/master/csl-citation.json"}</w:instrText>
      </w:r>
      <w:r w:rsidRPr="006436AC">
        <w:rPr>
          <w:rFonts w:ascii="Arial" w:hAnsi="Arial" w:cs="Arial"/>
          <w:sz w:val="20"/>
          <w:szCs w:val="20"/>
        </w:rPr>
        <w:fldChar w:fldCharType="separate"/>
      </w:r>
      <w:r w:rsidR="002C6D14" w:rsidRPr="006436AC">
        <w:rPr>
          <w:rFonts w:ascii="Arial" w:hAnsi="Arial" w:cs="Arial"/>
          <w:noProof/>
          <w:sz w:val="20"/>
          <w:szCs w:val="20"/>
        </w:rPr>
        <w:t>(</w:t>
      </w:r>
      <w:r w:rsidR="00566455" w:rsidRPr="006436AC">
        <w:rPr>
          <w:rFonts w:ascii="Arial" w:hAnsi="Arial" w:cs="Arial"/>
          <w:noProof/>
          <w:sz w:val="20"/>
          <w:szCs w:val="20"/>
        </w:rPr>
        <w:t>Fedorenko et al., 2013)</w:t>
      </w:r>
      <w:r w:rsidRPr="006436AC">
        <w:rPr>
          <w:rFonts w:ascii="Arial" w:hAnsi="Arial" w:cs="Arial"/>
          <w:sz w:val="20"/>
          <w:szCs w:val="20"/>
        </w:rPr>
        <w:fldChar w:fldCharType="end"/>
      </w:r>
      <w:r w:rsidRPr="006436AC">
        <w:rPr>
          <w:rFonts w:ascii="Arial" w:hAnsi="Arial" w:cs="Arial"/>
          <w:sz w:val="20"/>
          <w:szCs w:val="20"/>
        </w:rPr>
        <w:t>; however, the topographical organi</w:t>
      </w:r>
      <w:r w:rsidR="00DC5E22" w:rsidRPr="006436AC">
        <w:rPr>
          <w:rFonts w:ascii="Arial" w:hAnsi="Arial" w:cs="Arial"/>
          <w:sz w:val="20"/>
          <w:szCs w:val="20"/>
        </w:rPr>
        <w:t>z</w:t>
      </w:r>
      <w:r w:rsidRPr="006436AC">
        <w:rPr>
          <w:rFonts w:ascii="Arial" w:hAnsi="Arial" w:cs="Arial"/>
          <w:sz w:val="20"/>
          <w:szCs w:val="20"/>
        </w:rPr>
        <w:t>ation of these networks has not been previously investigated. On both the connectivity and task gradients, the semantic control network had intermediate values – falling in between DMN and MDN in terms of patterns of connectivity and task response. The spatial adjacency of the semantic control network to both DMN and the MDN might allow semantic control regions to integrate long-term conceptual knowledge with more adaptive representations of currently-</w:t>
      </w:r>
      <w:r w:rsidRPr="006436AC">
        <w:rPr>
          <w:rFonts w:ascii="Arial" w:hAnsi="Arial" w:cs="Arial"/>
          <w:sz w:val="20"/>
          <w:szCs w:val="20"/>
        </w:rPr>
        <w:lastRenderedPageBreak/>
        <w:t>relevant goals, supporting flexible</w:t>
      </w:r>
      <w:r w:rsidR="00AB7030" w:rsidRPr="006436AC">
        <w:rPr>
          <w:rFonts w:ascii="Arial" w:hAnsi="Arial" w:cs="Arial"/>
          <w:sz w:val="20"/>
          <w:szCs w:val="20"/>
        </w:rPr>
        <w:t xml:space="preserve"> patterns of semantic retrieval</w:t>
      </w:r>
      <w:r w:rsidR="00573196"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{"citationItems":[{"id":"ITEM-1","itemData":{"DOI":"10.1016/j.neuroimage.2016.05.051","ISSN":"10959572","abstract":"Making sense of the world around us depends upon selectively retrieving information relevant to our current goal or context. However, it is unclear whether selective semantic retrieval relies exclusively on general control mechanisms recruited in demanding non-semantic tasks, or instead on systems specialised for the control of meaning. One hypothesis is that the left posterior middle temporal gyrus (pMTG) is important in the controlled retrieval of semantic (not non-semantic) information; however this view remains controversial since a parallel literature links this site to event and relational semantics. In a functional neuroimaging study, we demonstrated that an area of pMTG implicated in semantic control by a recent meta-analysis was activated in a conjunction of (i) semantic association over size judgements and (ii) action over colour feature matching. Under these circumstances the same region showed functional coupling with the inferior frontal gyrus - another crucial site for semantic control. Structural and functional connectivity analyses demonstrated that this site is at the nexus of networks recruited in automatic semantic processing (the default mode network) and executively demanding tasks (the multiple-demand network). Moreover, in both task and task-free contexts, pMTG exhibited functional properties that were more similar to ventral parts of inferior frontal cortex, implicated in controlled semantic retrieval, than more dorsal inferior frontal sulcus, implicated in domain-general control. Finally, the pMTG region was functionally correlated at rest with other regions implicated in control-demanding semantic tasks, including inferior frontal gyrus and intraparietal sulcus. We suggest that pMTG may play a crucial role within a large-scale network that allows the integration of automatic retrieval in the default mode network with executively-demanding goal-oriented cognition, and that this could support our ability to understand actions and non-dominant semantic associations, allowing semantic retrieval to be 'shaped' to suit a task or context.","author":[{"dropping-particle":"","family":"Davey","given":"James","non-dropping-particle":"","parse-names":false,"suffix":""},{"dropping-particle":"","family":"Thompson","given":"Hannah E.","non-dropping-particle":"","parse-names":false,"suffix":""},{"dropping-particle":"","family":"Hallam","given":"Glyn","non-dropping-particle":"","parse-names":false,"suffix":""},{"dropping-particle":"","family":"Karapanagiotidis","given":"Theodoros","non-dropping-particle":"","parse-names":false,"suffix":""},{"dropping-particle":"","family":"Murphy","given":"Charlotte","non-dropping-particle":"","parse-names":false,"suffix":""},{"dropping-particle":"","family":"Caso","given":"Irene","non-dropping-particle":"De","parse-names":false,"suffix":""},{"dropping-particle":"","family":"Krieger-Redwood","given":"Katya","non-dropping-particle":"","parse-names":false,"suffix":""},{"dropping-particle":"","family":"Bernhardt","given":"Boris C.","non-dropping-particle":"","parse-names":false,"suffix":""},{"dropping-particle":"","family":"Smallwood","given":"Jonathan","non-dropping-particle":"","parse-names":false,"suffix":""},{"dropping-particle":"","family":"Jefferies","given":"Elizabeth","non-dropping-particle":"","parse-names":false,"suffix":""}],"container-title":"NeuroImage","id":"ITEM-1","issued":{"date-parts":[["2016"]]},"page":"165-177","publisher":"The Authors","title":"Exploring the role of the posterior middle temporal gyrus in semantic cognition: Integration of anterior temporal lobe with executive processes","type":"article-journal","volume":"137"},"uris":["http://www.mendeley.com/documents/?uuid=db2cf281-3062-4d87-948f-6a3f68be0424"]}],"mendeley":{"formattedCitation":"(Davey et al., 2016)","plainTextFormattedCitation":"(Davey et al., 2016)","previouslyFormattedCitation":"(Davey et al., 2016)"},"properties":{"noteIndex":0},"schema":"https://github.com/citation-style-language/schema/raw/master/csl-citation.json"}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(Davey et al., 2016)</w:t>
      </w:r>
      <w:r w:rsidRPr="006436AC">
        <w:rPr>
          <w:rFonts w:ascii="Arial" w:hAnsi="Arial" w:cs="Arial"/>
          <w:sz w:val="20"/>
          <w:szCs w:val="20"/>
        </w:rPr>
        <w:fldChar w:fldCharType="end"/>
      </w:r>
      <w:r w:rsidRPr="006436AC">
        <w:rPr>
          <w:rFonts w:ascii="Arial" w:hAnsi="Arial" w:cs="Arial"/>
          <w:sz w:val="20"/>
          <w:szCs w:val="20"/>
        </w:rPr>
        <w:t>. This is consistent with recent evidence that DMN and MDN cooperate when memory is controlled</w:t>
      </w:r>
      <w:r w:rsidR="00573196"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{"citationItems":[{"id":"ITEM-1","itemData":{"DOI":"10.1162/jocn_a_00859","ISSN":"0898-929X","abstract":"The default mode network (DMN) was first recognized as a set of brain regions demonstrating consistently greater activity during rest than during a multitude of tasks. Originally, this network was ...","author":[{"dropping-particle":"","family":"Elton","given":"Amanda","non-dropping-particle":"","parse-names":false,"suffix":""},{"dropping-particle":"","family":"Gao","given":"Wei","non-dropping-particle":"","parse-names":false,"suffix":""}],"container-title":"Journal of Cognitive Neuroscience","id":"ITEM-1","issue":"12","issued":{"date-parts":[["2015","12","30"]]},"page":"2369-2381","publisher":"MIT PressOne Rogers Street, Cambridge, MA 02142-1209USAjournals-info@mit.edu","title":"Task-positive Functional Connectivity of the Default Mode Network Transcends Task Domain","type":"article-journal","volume":"27"},"uris":["http://www.mendeley.com/documents/?uuid=3395b12b-d5d6-3f2c-acca-c18cd08dd369"]},{"id":"ITEM-2","itemData":{"DOI":"10.1016/j.neuroimage.2010.06.016","ISSN":"10538119","abstract":"Tasks that demand externalized attention reliably suppress default network activity while activating the dorsal attention network. These networks have an intrinsic competitive relationship; activation of one suppresses activity of the other. Consequently, many assume that default network activity is suppressed during goal-directed cognition. We challenge this assumption in an fMRI study of planning. Recent studies link default network activity with internally focused cognition, such as imagining personal future events, suggesting a role in autobiographical planning. However, it is unclear how goal-directed cognition with an internal focus is mediated by these opposing networks. A third anatomically interposed 'frontoparietal control network' might mediate planning across domains, flexibly coupling with either the default or dorsal attention network in support of internally versus externally focused goal-directed cognition, respectively. We tested this hypothesis by analyzing brain activity during autobiographical versus visuospatial planning. Autobiographical planning engaged the default network, whereas visuospatial planning engaged the dorsal attention network, consistent with the anti-correlated domains of internalized and externalized cognition. Critically, both planning tasks engaged the frontoparietal control network. Task-related activation of these three networks was anatomically consistent with independently defined resting-state functional connectivity MRI maps. Task-related functional connectivity analyses demonstrate that the default network can be involved in goal-directed cognition when its activity is coupled with the frontoparietal control network. Additionally, the frontoparietal control network may flexibly couple with the default and dorsal attention networks according to task domain, serving as a cortical mediator linking the two networks in support of goal-directed cognitive processes. © 2010 Elsevier Inc.","author":[{"dropping-particle":"","family":"Spreng","given":"R. Nathan","non-dropping-particle":"","parse-names":false,"suffix":""},{"dropping-particle":"","family":"Stevens","given":"W. Dale","non-dropping-particle":"","parse-names":false,"suffix":""},{"dropping-particle":"","family":"Chamberlain","given":"Jon P.","non-dropping-particle":"","parse-names":false,"suffix":""},{"dropping-particle":"","family":"Gilmore","given":"Adrian W.","non-dropping-particle":"","parse-names":false,"suffix":""},{"dropping-particle":"","family":"Schacter","given":"Daniel L.","non-dropping-particle":"","parse-names":false,"suffix":""}],"container-title":"NeuroImage","id":"ITEM-2","issue":"1","issued":{"date-parts":[["2010"]]},"page":"303-317","publisher":"Elsevier Inc.","title":"Default network activity, coupled with the frontoparietal control network, supports goal-directed cognition","type":"article-journal","volume":"53"},"uris":["http://www.mendeley.com/documents/?uuid=adf9e382-f5d7-477c-8270-0a3f256b995e"]},{"id":"ITEM-3","itemData":{"DOI":"10.1016/j.neuroimage.2015.07.053","ISSN":"10538119","author":[{"dropping-particle":"","family":"Vatansever","given":"D.","non-dropping-particle":"","parse-names":false,"suffix":""},{"dropping-particle":"","family":"Menon","given":"D.K.","non-dropping-particle":"","parse-names":false,"suffix":""},{"dropping-particle":"","family":"Manktelow","given":"A.E.","non-dropping-particle":"","parse-names":false,"suffix":""},{"dropping-particle":"","family":"Sahakian","given":"B.J.","non-dropping-particle":"","parse-names":false,"suffix":""},{"dropping-particle":"","family":"Stamatakis","given":"E.A.","non-dropping-particle":"","parse-names":false,"suffix":""}],"container-title":"NeuroImage","id":"ITEM-3","issued":{"date-parts":[["2015","11"]]},"page":"96-104","title":"Default mode network connectivity during task execution","type":"article-journal","volume":"122"},"uris":["http://www.mendeley.com/documents/?uuid=3bda1d81-7a4a-3a31-af44-c5faeaf3db32"]},{"id":"ITEM-4","itemData":{"DOI":"10.1016/j.neuroimage.2017.06.067","ISSN":"10959572","abstract":"Contemporary theories assume that semantic cognition emerges from a neural architecture in which different component processes are combined to produce aspects of conceptual thought and behaviour. In addition to the state-level, momentary variation in brain connectivity, individuals may also differ in their propensity to generate particular configurations of such components, and these trait-level differences may relate to individual differences in semantic cognition. We tested this view by exploring how variation in intrinsic brain functional connectivity between semantic nodes in fMRI was related to performance on a battery of semantic tasks in 154 healthy participants. Through simultaneous decomposition of brain functional connectivity and semantic task performance, we identified distinct components of semantic cognition at rest. In a subsequent validation step, these data-driven components demonstrated explanatory power for neural responses in an fMRI-based semantic localiser task and variation in self-generated thoughts during the resting-state scan. Our findings showed that good performance on harder semantic tasks was associated with relative segregation at rest between frontal brain regions implicated in controlled semantic retrieval and the default mode network. Poor performance on easier tasks was linked to greater coupling between the same frontal regions and the anterior temporal lobe; a pattern associated with deliberate, verbal thematic thoughts at rest. We also identified components that related to qualities of semantic cognition: relatively good performance on pictorial semantic tasks was associated with greater separation of angular gyrus from frontal control sites and greater integration with posterior cingulate and anterior temporal cortex. In contrast, good speech production was linked to the separation of angular gyrus, posterior cingulate and temporal lobe regions. Together these data show that quantitative and qualitative variation in semantic cognition across individuals emerges from variations in the interaction of nodes within distinct functional brain networks.","author":[{"dropping-particle":"","family":"Vatansever","given":"Deniz","non-dropping-particle":"","parse-names":false,"suffix":""},{"dropping-particle":"","family":"Bzdok","given":"Danilo","non-dropping-particle":"","parse-names":false,"suffix":""},{"dropping-particle":"","family":"Wang","given":"Hao Ting","non-dropping-particle":"","parse-names":false,"suffix":""},{"dropping-particle":"","family":"Mollo","given":"Giovanna","non-dropping-particle":"","parse-names":false,"suffix":""},{"dropping-particle":"","family":"Sormaz","given":"Mladen","non-dropping-particle":"","parse-names":false,"suffix":""},{"dropping-particle":"","family":"Murphy","given":"Charlotte","non-dropping-particle":"","parse-names":false,"suffix":""},{"dropping-particle":"","family":"Karapanagiotidis","given":"Theodoros","non-dropping-particle":"","parse-names":false,"suffix":""},{"dropping-particle":"","family":"Smallwood","given":"Jonathan","non-dropping-particle":"","parse-names":false,"suffix":""},{"dropping-particle":"","family":"Jefferies","given":"Elizabeth","non-dropping-particle":"","parse-names":false,"suffix":""}],"container-title":"NeuroImage","id":"ITEM-4","issue":"June","issued":{"date-parts":[["2017"]]},"page":"1-11","publisher":"Elsevier Ltd","title":"Varieties of semantic cognition revealed through simultaneous decomposition of intrinsic brain connectivity and behaviour","type":"article-journal","volume":"158"},"uris":["http://www.mendeley.com/documents/?uuid=f4dbf5f7-a0f8-4041-a0c2-ee25eeda7cef"]}],"mendeley":{"formattedCitation":"(Elton and Gao, 2015; Spreng et al., 2010; Vatansever et al., 2017, 2015)","plainTextFormattedCitation":"(Elton and Gao, 2015; Spreng et al., 2010; Vatansever et al., 2017, 2015)","previouslyFormattedCitation":"(Elton and Gao, 2015; Spreng et al., 2010; Vatansever et al., 2017, 2015)"},"properties":{"noteIndex":0},"schema":"https://github.com/citation-style-language/schema/raw/master/csl-citation.json"}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(Elton and Gao, 2015; Spreng et al., 2010; Vatansever et al., 2017, 2015)</w:t>
      </w:r>
      <w:r w:rsidRPr="006436AC">
        <w:rPr>
          <w:rFonts w:ascii="Arial" w:hAnsi="Arial" w:cs="Arial"/>
          <w:sz w:val="20"/>
          <w:szCs w:val="20"/>
        </w:rPr>
        <w:fldChar w:fldCharType="end"/>
      </w:r>
      <w:r w:rsidRPr="006436AC">
        <w:rPr>
          <w:rFonts w:ascii="Arial" w:hAnsi="Arial" w:cs="Arial"/>
          <w:sz w:val="20"/>
          <w:szCs w:val="20"/>
        </w:rPr>
        <w:t xml:space="preserve">. </w:t>
      </w:r>
    </w:p>
    <w:p w14:paraId="7B915A86" w14:textId="779AEC7E" w:rsidR="0001094C" w:rsidRPr="006436AC" w:rsidRDefault="0001094C"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Graded transitions in the BOLD response from DMN to executive cortex might reflect a shift from intrinsically-guided retrieval based on representations in memory, to a stronger focus on the specific feature information required by the task, when conceptual combinations do not overlap with long-term memory. Across multiple studies, DMN regions show stronger activation when tasks are </w:t>
      </w:r>
      <w:r w:rsidR="00AB7030" w:rsidRPr="006436AC">
        <w:rPr>
          <w:rFonts w:ascii="Arial" w:hAnsi="Arial" w:cs="Arial"/>
          <w:sz w:val="20"/>
          <w:szCs w:val="20"/>
        </w:rPr>
        <w:t>guided by memory</w:t>
      </w:r>
      <w:r w:rsidR="00573196"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{"citationItems":[{"id":"ITEM-1","itemData":{"DOI":"10.1016/j.neuroimage.2010.10.039","ISSN":"10538119","abstract":"The Default Mode Network (DMN) is a higher order functional neural network that displays activation during passive rest and deactivation during many types of cognitive tasks. Accordingly, the DMN is viewed to represent the neural correlate of internally-generated self-referential cognition. This hypothesis implies that the DMN requires the involvement of cognitive processes, like declarative memory. The present study thus examines the spatial and functional convergence of the DMN and the semantic memory system. Using an active block-design functional Magnetic Resonance Imaging (fMRI) paradigm and Independent Component Analysis (ICA), we trace the DMN and fMRI signal changes evoked by semantic, phonological and perceptual decision tasks upon visually-presented words. Our findings show less deactivation during semantic compared to the two non-semantic tasks for the entire DMN unit and within left-hemispheric DMN regions, i.e., the dorsal medial prefrontal cortex, the anterior cingulate cortex, the retrosplenial cortex, the angular gyrus, the middle temporal gyrus and the anterior temporal region, as well as the right cerebellum. These results demonstrate that well-known semantic regions are spatially and functionally involved in the DMN. The present study further supports the hypothesis of the DMN as an internal mentation system that involves declarative memory functions. © 2010 Elsevier Inc.","author":[{"dropping-particle":"","family":"Wirth","given":"Miranka","non-dropping-particle":"","parse-names":false,"suffix":""},{"dropping-particle":"","family":"Jann","given":"Kay","non-dropping-particle":"","parse-names":false,"suffix":""},{"dropping-particle":"","family":"Dierks","given":"Thomas","non-dropping-particle":"","parse-names":false,"suffix":""},{"dropping-particle":"","family":"Federspiel","given":"Andrea","non-dropping-particle":"","parse-names":false,"suffix":""},{"dropping-particle":"","family":"Wiest","given":"Roland","non-dropping-particle":"","parse-names":false,"suffix":""},{"dropping-particle":"","family":"Horn","given":"Helge","non-dropping-particle":"","parse-names":false,"suffix":""}],"container-title":"NeuroImage","id":"ITEM-1","issue":"4","issued":{"date-parts":[["2011"]]},"page":"3057-3066","publisher":"Elsevier Inc.","title":"Semantic memory involvement in the default mode network: A functional neuroimaging study using independent component analysis","type":"article-journal","volume":"54"},"uris":["http://www.mendeley.com/documents/?uuid=76a02d08-9764-46bd-937f-dd17905eb04d"]},{"id":"ITEM-2","itemData":{"DOI":"10.1523/JNEUROSCI.1018-13.2013","abstract":"A core property of human semantic processing is the rapid, facilitatory influence of prior input on extracting the meaning of what comes next, even under conditions of minimal awareness. Previous work has shown a number of neurophysiological indices of this facilitation, but the mapping between time course and localization-critical for separating automatic semantic facilitation from other mechanisms has thus far been unclear. In the current study, we used a multimodal imaging approach to isolate early, bottom-up effects of context on semantic memory, acquiring a combination of electroencephalography (EEG), magnetoencephalography (MEG), and functional magnetic resonance imaging (fMRI) measurements in the same individuals with a masked semantic priming paradigm. Across techniques, the results provide a strikingly convergent picture of early automatic semantic facilitation. Event-related potentials demonstrated early sensitivity to semantic association between 300 and 500 ms; MEG localized the differential neural response within this time window to the left anterior temporal cortex, and fMRI localized the effect more precisely to the left anterior superior temporal gyrus, a region previously implicated in semantic associative processing. However, fMRI diverged from early EEG/MEG measures in revealing semantic enhancement effects within frontal and parietal regions, perhaps reflecting downstream attempts to consciously access the semantic features of the masked prime. Together, these results provide strong evidence that automatic associative semantic facilitation is realized as reduced activity within the left anterior superior temporal cortex between 300 and 500 ms after a word is presented, and emphasize the importance of multimodal neuroimaging approaches in distinguishing the contributions of multiple regions to semantic processing.","author":[{"dropping-particle":"","family":"Lau","given":"Ellen F","non-dropping-particle":"","parse-names":false,"suffix":""},{"dropping-particle":"","family":"Gramfort","given":"Alexandre","non-dropping-particle":"","parse-names":false,"suffix":""},{"dropping-particle":"","family":"Hämäläinen","given":"Matti S","non-dropping-particle":"","parse-names":false,"suffix":""},{"dropping-particle":"","family":"Kuperberg","given":"Gina R","non-dropping-particle":"","parse-names":false,"suffix":""}],"id":"ITEM-2","issued":{"date-parts":[["2013"]]},"title":"Behavioral/Cognitive Automatic Semantic Facilitation in Anterior Temporal Cortex Revealed through Multimodal Neuroimaging","type":"article-journal"},"uris":["http://www.mendeley.com/documents/?uuid=d3fc29e5-20a6-3a87-8397-41682b286055"]},{"id":"ITEM-3","itemData":{"DOI":"10.1093/cercor/bhu198","ISSN":"14602199","abstract":"How is higher cognitive function organized in the human parietal cortex? A century of neuropsychology and 30 years of functional neuroimaging has implicated the parietal lobe in many different verbal and nonverbal cognitive domains. There is little clarity, however, on how these functions are organized, that is, where do these functions coalesce (implying a shared, underpinning neurocomputation) and where do they divide (indicating different underlying neural functions). Until now, there has been no multi-domain synthesis in order to reveal where there is fusion or fission of functions in the parietal cortex. This aim was achieved through a large-scale activation likelihood estimation (ALE) analysis of 386 studies (3952 activation peaks) covering 8 cognitive domains. A tripartite, domain-general neuroanatomical division and 5 principles of cognitive organization were established, and these are discussed with respect to a unified theory of parietal functional organization.","author":[{"dropping-particle":"","family":"Humphreys","given":"Gina F.","non-dropping-particle":"","parse-names":false,"suffix":""},{"dropping-particle":"","family":"Lambon Ralph","given":"Matthew A.","non-dropping-particle":"","parse-names":false,"suffix":""}],"container-title":"Cerebral Cortex","id":"ITEM-3","issue":"10","issued":{"date-parts":[["2015"]]},"page":"3547-3560","title":"Fusion and fission of cognitive functions in the human parietal cortex","type":"article-journal","volume":"25"},"uris":["http://www.mendeley.com/documents/?uuid=af732101-8c3e-4ad3-9d64-a789151bdd84"]}],"mendeley":{"formattedCitation":"(Humphreys and Lambon Ralph, 2015; Lau et al., 2013; Wirth et al., 2011)","plainTextFormattedCitation":"(Humphreys and Lambon Ralph, 2015; Lau et al., 2013; Wirth et al., 2011)","previouslyFormattedCitation":"(Humphreys and Lambon Ralph, 2015; Lau et al., 2013; Wirth et al., 2011)"},"properties":{"noteIndex":0},"schema":"https://github.com/citation-style-language/schema/raw/master/csl-citation.json"}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(Humphreys and Lambon Ralph, 2015; Lau et al., 2013; Wirth et al., 2011)</w:t>
      </w:r>
      <w:r w:rsidRPr="006436AC">
        <w:rPr>
          <w:rFonts w:ascii="Arial" w:hAnsi="Arial" w:cs="Arial"/>
          <w:sz w:val="20"/>
          <w:szCs w:val="20"/>
        </w:rPr>
        <w:fldChar w:fldCharType="end"/>
      </w:r>
      <w:r w:rsidRPr="006436AC">
        <w:rPr>
          <w:rFonts w:ascii="Arial" w:hAnsi="Arial" w:cs="Arial"/>
          <w:sz w:val="20"/>
          <w:szCs w:val="20"/>
        </w:rPr>
        <w:t xml:space="preserve">. In contrast, when current inputs are not a good match with the information in memory, a complementary strategy is needed in which intrinsic cognition is temporarily suppressed. MDN is thought to dynamically alter </w:t>
      </w:r>
      <w:r w:rsidR="00CD4B15" w:rsidRPr="006436AC">
        <w:rPr>
          <w:rFonts w:ascii="Arial" w:hAnsi="Arial" w:cs="Arial"/>
          <w:sz w:val="20"/>
          <w:szCs w:val="20"/>
        </w:rPr>
        <w:t>task</w:t>
      </w:r>
      <w:r w:rsidRPr="006436AC">
        <w:rPr>
          <w:rFonts w:ascii="Arial" w:hAnsi="Arial" w:cs="Arial"/>
          <w:sz w:val="20"/>
          <w:szCs w:val="20"/>
        </w:rPr>
        <w:t xml:space="preserve"> processing by coding for information r</w:t>
      </w:r>
      <w:r w:rsidR="00AB7030" w:rsidRPr="006436AC">
        <w:rPr>
          <w:rFonts w:ascii="Arial" w:hAnsi="Arial" w:cs="Arial"/>
          <w:sz w:val="20"/>
          <w:szCs w:val="20"/>
        </w:rPr>
        <w:t>elevant to the current decision</w:t>
      </w:r>
      <w:r w:rsidR="00573196"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{"citationItems":[{"id":"ITEM-1","itemData":{"DOI":"10.1016/j.tics.2010.01.004","ISSN":"13646613","abstract":"A common or multiple-demand (MD) pattern of frontal and parietal activity is associated with diverse cognitive demands, and with standard tests of fluid intelligence. In intelligent behaviour, goals are achieved by assembling a series of sub-tasks, creating structured mental programs. Single cell and functional magnetic resonance imaging (fMRI) data indicate a key role for MD cortex in defining and controlling the parts of such programs, with focus on the specific content of a current cognitive operation, rapid reorganization as mental focus is changed, and robust separation of successive task steps. Resembling the structured problem-solving of symbolic artificial intelligence, the mental programs of MD cortex appear central to intelligent thought and action. © 2010 Elsevier Ltd. All rights reserved.","author":[{"dropping-particle":"","family":"Duncan","given":"John","non-dropping-particle":"","parse-names":false,"suffix":""}],"container-title":"Trends in Cognitive Sciences","id":"ITEM-1","issue":"4","issued":{"date-parts":[["2010"]]},"page":"172-179","publisher":"Elsevier Ltd","title":"The multiple-demand (MD) system of the primate brain: mental programs for intelligent behaviour","type":"article-journal","volume":"14"},"uris":["http://www.mendeley.com/documents/?uuid=4ff286d4-d3af-423d-8d30-25f4e66a34e7"]}],"mendeley":{"formattedCitation":"(Duncan, 2010)","plainTextFormattedCitation":"(Duncan, 2010)","previouslyFormattedCitation":"(Duncan, 2010)"},"properties":{"noteIndex":0},"schema":"https://github.com/citation-style-language/schema/raw/master/csl-citation.json"}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(Duncan, 2010)</w:t>
      </w:r>
      <w:r w:rsidRPr="006436AC">
        <w:rPr>
          <w:rFonts w:ascii="Arial" w:hAnsi="Arial" w:cs="Arial"/>
          <w:sz w:val="20"/>
          <w:szCs w:val="20"/>
        </w:rPr>
        <w:fldChar w:fldCharType="end"/>
      </w:r>
      <w:r w:rsidRPr="006436AC">
        <w:rPr>
          <w:rFonts w:ascii="Arial" w:hAnsi="Arial" w:cs="Arial"/>
          <w:sz w:val="20"/>
          <w:szCs w:val="20"/>
        </w:rPr>
        <w:t xml:space="preserve"> and by changing its pattern of connect</w:t>
      </w:r>
      <w:r w:rsidR="00AB7030" w:rsidRPr="006436AC">
        <w:rPr>
          <w:rFonts w:ascii="Arial" w:hAnsi="Arial" w:cs="Arial"/>
          <w:sz w:val="20"/>
          <w:szCs w:val="20"/>
        </w:rPr>
        <w:t>ivity according to task demands</w:t>
      </w:r>
      <w:r w:rsidR="00573196"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{"citationItems":[{"id":"ITEM-1","itemData":{"DOI":"10.1038/nn.3470","ISSN":"1097-6256","abstract":"The authors find that a fronto-parietal network's brain-wide functional connectivity pattern shifted more than other networks' across a variety of task states. Further, these connectivity patterns could be used to identify the current task, supporting a role for fronto-parietal regions in reconfiguring brain networks to flexibly implement task demands.","author":[{"dropping-particle":"","family":"Cole","given":"Michael W","non-dropping-particle":"","parse-names":false,"suffix":""},{"dropping-particle":"","family":"Reynolds","given":"Jeremy R","non-dropping-particle":"","parse-names":false,"suffix":""},{"dropping-particle":"","family":"Power","given":"Jonathan D","non-dropping-particle":"","parse-names":false,"suffix":""},{"dropping-particle":"","family":"Repovs","given":"Grega","non-dropping-particle":"","parse-names":false,"suffix":""},{"dropping-particle":"","family":"Anticevic","given":"Alan","non-dropping-particle":"","parse-names":false,"suffix":""},{"dropping-particle":"","family":"Braver","given":"Todd S","non-dropping-particle":"","parse-names":false,"suffix":""}],"container-title":"Nature Neuroscience","id":"ITEM-1","issue":"9","issued":{"date-parts":[["2013","9","28"]]},"page":"1348-1355","publisher":"Nature Publishing Group","title":"Multi-task connectivity reveals flexible hubs for adaptive task control","type":"article-journal","volume":"16"},"uris":["http://www.mendeley.com/documents/?uuid=87a373b1-3d49-3844-95ff-31365704a856"]}],"mendeley":{"formattedCitation":"(Cole et al., 2013)","plainTextFormattedCitation":"(Cole et al., 2013)","previouslyFormattedCitation":"(Cole et al., 2013)"},"properties":{"noteIndex":0},"schema":"https://github.com/citation-style-language/schema/raw/master/csl-citation.json"}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(Cole et al., 2013)</w:t>
      </w:r>
      <w:r w:rsidRPr="006436AC">
        <w:rPr>
          <w:rFonts w:ascii="Arial" w:hAnsi="Arial" w:cs="Arial"/>
          <w:sz w:val="20"/>
          <w:szCs w:val="20"/>
        </w:rPr>
        <w:fldChar w:fldCharType="end"/>
      </w:r>
      <w:r w:rsidRPr="006436AC">
        <w:rPr>
          <w:rFonts w:ascii="Arial" w:hAnsi="Arial" w:cs="Arial"/>
          <w:sz w:val="20"/>
          <w:szCs w:val="20"/>
        </w:rPr>
        <w:t xml:space="preserve">. Given MDN activates to demanding tasks </w:t>
      </w:r>
      <w:r w:rsidR="00AB7030" w:rsidRPr="006436AC">
        <w:rPr>
          <w:rFonts w:ascii="Arial" w:hAnsi="Arial" w:cs="Arial"/>
          <w:sz w:val="20"/>
          <w:szCs w:val="20"/>
        </w:rPr>
        <w:t>while DMN typically deactivates</w:t>
      </w:r>
      <w:r w:rsidR="00573196" w:rsidRPr="006436AC">
        <w:rPr>
          <w:rFonts w:ascii="Arial" w:hAnsi="Arial" w:cs="Arial"/>
          <w:sz w:val="20"/>
          <w:szCs w:val="20"/>
        </w:rPr>
        <w:t xml:space="preserve"> </w:t>
      </w:r>
      <w:r w:rsidRPr="006436AC">
        <w:rPr>
          <w:rFonts w:ascii="Arial" w:hAnsi="Arial" w:cs="Arial"/>
          <w:sz w:val="20"/>
          <w:szCs w:val="20"/>
        </w:rPr>
        <w:fldChar w:fldCharType="begin" w:fldLock="1"/>
      </w:r>
      <w:r w:rsidR="00160261" w:rsidRPr="006436AC">
        <w:rPr>
          <w:rFonts w:ascii="Arial" w:hAnsi="Arial" w:cs="Arial"/>
          <w:sz w:val="20"/>
          <w:szCs w:val="20"/>
        </w:rPr>
        <w:instrText>ADDIN CSL_CITATION {"citationItems":[{"id":"ITEM-1","itemData":{"DOI":"10.1016/j.tics.2012.10.008","ISSN":"13646613","abstract":"A considerable body of evidence has accumulated over recent years on the functions of the default-mode network (DMN) - a set of brain regions whose activity is high when the mind is not engaged in specific behavioral tasks and low during focused attention on the external environment. In this review, we focus on DMN suppression and its functional role in health and disease, summarizing evidence that spans several disciplines, including cognitive neuroscience, pharmacological neuroimaging, clinical neuroscience, and theoretical neuroscience. Collectively, this research highlights the functional relevance of DMN suppression for goal-directed cognition, possibly by reducing goal-irrelevant functions supported by the DMN (e.g., mind-wandering), and illustrates the functional significance of DMN suppression deficits in severe mental illness. © 2012 Elsevier Ltd.","author":[{"dropping-particle":"","family":"Anticevic","given":"Alan","non-dropping-particle":"","parse-names":false,"suffix":""},{"dropping-particle":"","family":"Cole","given":"Michael W.","non-dropping-particle":"","parse-names":false,"suffix":""},{"dropping-particle":"","family":"Murray","given":"John D.","non-dropping-particle":"","parse-names":false,"suffix":""},{"dropping-particle":"","family":"Corlett","given":"Philip R.","non-dropping-particle":"","parse-names":false,"suffix":""},{"dropping-particle":"","family":"Wang","given":"Xiao Jing","non-dropping-particle":"","parse-names":false,"suffix":""},{"dropping-particle":"","family":"Krystal","given":"John H.","non-dropping-particle":"","parse-names":false,"suffix":""}],"container-title":"Trends in Cognitive Sciences","id":"ITEM-1","issued":{"date-parts":[["2012"]]},"title":"The role of default network deactivation in cognition and disease","type":"article"},"uris":["http://www.mendeley.com/documents/?uuid=9c11fce1-dda1-3245-b053-7d0558a96df7"]}],"mendeley":{"formattedCitation":"(Anticevic et al., 2012)","plainTextFormattedCitation":"(Anticevic et al., 2012)","previouslyFormattedCitation":"(Anticevic et al., 2012)"},"properties":{"noteIndex":0},"schema":"https://github.com/citation-style-language/schema/raw/master/csl-citation.json"}</w:instrText>
      </w:r>
      <w:r w:rsidRPr="006436AC">
        <w:rPr>
          <w:rFonts w:ascii="Arial" w:hAnsi="Arial" w:cs="Arial"/>
          <w:sz w:val="20"/>
          <w:szCs w:val="20"/>
        </w:rPr>
        <w:fldChar w:fldCharType="separate"/>
      </w:r>
      <w:r w:rsidR="00566455" w:rsidRPr="006436AC">
        <w:rPr>
          <w:rFonts w:ascii="Arial" w:hAnsi="Arial" w:cs="Arial"/>
          <w:noProof/>
          <w:sz w:val="20"/>
          <w:szCs w:val="20"/>
        </w:rPr>
        <w:t>(Anticevic et al., 2012)</w:t>
      </w:r>
      <w:r w:rsidRPr="006436AC">
        <w:rPr>
          <w:rFonts w:ascii="Arial" w:hAnsi="Arial" w:cs="Arial"/>
          <w:sz w:val="20"/>
          <w:szCs w:val="20"/>
        </w:rPr>
        <w:fldChar w:fldCharType="end"/>
      </w:r>
      <w:r w:rsidRPr="006436AC">
        <w:rPr>
          <w:rFonts w:ascii="Arial" w:hAnsi="Arial" w:cs="Arial"/>
          <w:sz w:val="20"/>
          <w:szCs w:val="20"/>
        </w:rPr>
        <w:t xml:space="preserve">, task difficulty might contribute to the functional gradient that we observed for matching trials. However, on non-matching trials (when the probe and target did not share the task-relevant feature), a similar positive correlation was observed between the task gradient and the connectivity gradient – even though global semantic similarity </w:t>
      </w:r>
      <w:r w:rsidR="00F823D6" w:rsidRPr="006436AC">
        <w:rPr>
          <w:rFonts w:ascii="Arial" w:hAnsi="Arial" w:cs="Arial"/>
          <w:sz w:val="20"/>
          <w:szCs w:val="20"/>
        </w:rPr>
        <w:t>was no longer associated with easier decisions</w:t>
      </w:r>
      <w:r w:rsidRPr="006436AC">
        <w:rPr>
          <w:rFonts w:ascii="Arial" w:hAnsi="Arial" w:cs="Arial"/>
          <w:sz w:val="20"/>
          <w:szCs w:val="20"/>
        </w:rPr>
        <w:t>. This suggests that the functional gradient reflects the semantic overlap between probe and target as opposed to cognitive control demands or task difficulty per se.</w:t>
      </w:r>
    </w:p>
    <w:p w14:paraId="26C543EE" w14:textId="24E92310" w:rsidR="005F780A" w:rsidRPr="006436AC" w:rsidRDefault="0001094C"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 xml:space="preserve">Further studies that parametrically manipulate other types of semantic and non-semantic tasks are needed to examine the specificity of our findings. A single study cannot fully specify the critical aspects of the task which gave rise to the functional gradient; for example, this research does not address the question of whether the same spatial relationships would be observed for parametric manipulations of non-semantic goals, and/or other semantic tasks, such as global association tasks, that vary in association strength but in the absence of an explicit goal which requires that participants focus on specific features represented at the unimodal end of the </w:t>
      </w:r>
      <w:r w:rsidRPr="006436AC">
        <w:rPr>
          <w:rFonts w:ascii="Arial" w:hAnsi="Arial" w:cs="Arial"/>
          <w:sz w:val="20"/>
          <w:szCs w:val="20"/>
        </w:rPr>
        <w:lastRenderedPageBreak/>
        <w:t>gradient. We found that the correlation between the task gradient and the connectivity gradient was maximal within brain regions recruited during semantic tasks, suggesting that if there are similar patterns for non-semantic tasks, these might be strongest in different cortical regions. The unique contribution of the current study is to show that functional recruitment within a task can show systematic variation in a way that follows graded changes in intrinsic connectivity.</w:t>
      </w:r>
    </w:p>
    <w:p w14:paraId="1EF2D469" w14:textId="40533D9F" w:rsidR="00E93BF5" w:rsidRPr="006436AC" w:rsidRDefault="00E93BF5" w:rsidP="000E64FB">
      <w:pPr>
        <w:pStyle w:val="Style1"/>
        <w:spacing w:before="100" w:beforeAutospacing="1" w:after="100" w:afterAutospacing="1" w:line="480" w:lineRule="auto"/>
        <w:rPr>
          <w:rFonts w:cs="Arial"/>
          <w:sz w:val="20"/>
          <w:szCs w:val="20"/>
        </w:rPr>
      </w:pPr>
      <w:r w:rsidRPr="006436AC">
        <w:rPr>
          <w:rFonts w:cs="Arial"/>
          <w:sz w:val="20"/>
          <w:szCs w:val="20"/>
        </w:rPr>
        <w:t>5. Conclusion</w:t>
      </w:r>
      <w:r w:rsidR="00455FCD" w:rsidRPr="006436AC">
        <w:rPr>
          <w:rFonts w:cs="Arial"/>
          <w:sz w:val="20"/>
          <w:szCs w:val="20"/>
        </w:rPr>
        <w:t>s</w:t>
      </w:r>
    </w:p>
    <w:p w14:paraId="465D0AE2" w14:textId="06CAA648" w:rsidR="00E93BF5" w:rsidRPr="006436AC" w:rsidRDefault="009946BC"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In summary, we investigated how human cortex is organized to produce a spectrum of cognition, from efficient memory-based decisions to more novel patterns of thought. We developed a paradigm that created a “task gradient” of decisions varying from situations in which there is only weak alignment with semantic information in long-term memory to situations that are strongly anchored by past experience. We found that the brain’s response to this task gradient varied systematically with the principal gradient of intrinsic connectivity, with the strongest response in default mode network when the probe and target items were highly overlapping conceptually. This graded functional change was seen in multiple brain regions and within individual brains, and was not readily explained by task difficulty. Moreover, the gradient captured the spatial layout of networks involved in semantic processing, providing an organisational principle for understanding controlled semantic cognition across the cortex.</w:t>
      </w:r>
      <w:r w:rsidR="00E93BF5" w:rsidRPr="006436AC">
        <w:rPr>
          <w:rFonts w:ascii="Arial" w:hAnsi="Arial" w:cs="Arial"/>
          <w:sz w:val="20"/>
          <w:szCs w:val="20"/>
        </w:rPr>
        <w:t xml:space="preserve"> </w:t>
      </w:r>
    </w:p>
    <w:p w14:paraId="7AAF7546" w14:textId="77777777" w:rsidR="00566455" w:rsidRPr="006436AC" w:rsidRDefault="00566455" w:rsidP="000E64FB">
      <w:pPr>
        <w:pStyle w:val="Style1"/>
        <w:spacing w:before="100" w:beforeAutospacing="1" w:after="100" w:afterAutospacing="1" w:line="480" w:lineRule="auto"/>
        <w:rPr>
          <w:rFonts w:cs="Arial"/>
          <w:sz w:val="20"/>
          <w:szCs w:val="20"/>
        </w:rPr>
      </w:pPr>
      <w:r w:rsidRPr="006436AC">
        <w:rPr>
          <w:rFonts w:cs="Arial"/>
          <w:sz w:val="20"/>
          <w:szCs w:val="20"/>
        </w:rPr>
        <w:t>Acknowledgments</w:t>
      </w:r>
    </w:p>
    <w:p w14:paraId="782C15B7" w14:textId="7B8A8047" w:rsidR="00566455" w:rsidRPr="006436AC" w:rsidRDefault="00566455" w:rsidP="000E64FB">
      <w:pPr>
        <w:spacing w:before="100" w:beforeAutospacing="1" w:after="100" w:afterAutospacing="1" w:line="480" w:lineRule="auto"/>
        <w:ind w:firstLine="720"/>
        <w:rPr>
          <w:rFonts w:ascii="Arial" w:hAnsi="Arial" w:cs="Arial"/>
          <w:sz w:val="20"/>
          <w:szCs w:val="20"/>
        </w:rPr>
      </w:pPr>
      <w:r w:rsidRPr="006436AC">
        <w:rPr>
          <w:rFonts w:ascii="Arial" w:hAnsi="Arial" w:cs="Arial"/>
          <w:sz w:val="20"/>
          <w:szCs w:val="20"/>
        </w:rPr>
        <w:t>This study was supported by the European Research Council (Project ID: 771863 - FLEXSEM and Project ID: 646927 - WANDERINGMINDS). We are grateful to Evelina Fedorenko for providing us with the localizer tasks and to Evgeny Gluzman for piloting a preliminary version of the task. We thank Deniz Vatansever and Theodoros Karapanagiotidis for suggestions about data analysis.</w:t>
      </w:r>
    </w:p>
    <w:p w14:paraId="197B112F" w14:textId="666F146C" w:rsidR="003A2285" w:rsidRPr="006436AC" w:rsidRDefault="00E6133D" w:rsidP="000E64FB">
      <w:pPr>
        <w:pStyle w:val="Style1"/>
        <w:spacing w:before="100" w:beforeAutospacing="1" w:after="100" w:afterAutospacing="1" w:line="480" w:lineRule="auto"/>
        <w:rPr>
          <w:rFonts w:cs="Arial"/>
          <w:sz w:val="20"/>
          <w:szCs w:val="20"/>
        </w:rPr>
      </w:pPr>
      <w:r w:rsidRPr="006436AC">
        <w:rPr>
          <w:rFonts w:cs="Arial"/>
          <w:sz w:val="20"/>
          <w:szCs w:val="20"/>
        </w:rPr>
        <w:t>References</w:t>
      </w:r>
    </w:p>
    <w:p w14:paraId="75C2D5CF" w14:textId="435D1B1E" w:rsidR="008048DE" w:rsidRPr="006436AC" w:rsidRDefault="001E1E77"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sz w:val="20"/>
          <w:szCs w:val="20"/>
        </w:rPr>
        <w:fldChar w:fldCharType="begin" w:fldLock="1"/>
      </w:r>
      <w:r w:rsidRPr="006436AC">
        <w:rPr>
          <w:rFonts w:ascii="Arial" w:hAnsi="Arial" w:cs="Arial"/>
          <w:sz w:val="20"/>
          <w:szCs w:val="20"/>
        </w:rPr>
        <w:instrText xml:space="preserve">ADDIN Mendeley Bibliography CSL_BIBLIOGRAPHY </w:instrText>
      </w:r>
      <w:r w:rsidRPr="006436AC">
        <w:rPr>
          <w:rFonts w:ascii="Arial" w:hAnsi="Arial" w:cs="Arial"/>
          <w:sz w:val="20"/>
          <w:szCs w:val="20"/>
        </w:rPr>
        <w:fldChar w:fldCharType="separate"/>
      </w:r>
      <w:r w:rsidR="008048DE" w:rsidRPr="006436AC">
        <w:rPr>
          <w:rFonts w:ascii="Arial" w:hAnsi="Arial" w:cs="Arial"/>
          <w:noProof/>
          <w:sz w:val="20"/>
        </w:rPr>
        <w:t xml:space="preserve">Anticevic, A., Cole, M.W., Murray, J.D., Corlett, P.R., Wang, X.J., Krystal, J.H., 2012. The role of </w:t>
      </w:r>
      <w:r w:rsidR="008048DE" w:rsidRPr="006436AC">
        <w:rPr>
          <w:rFonts w:ascii="Arial" w:hAnsi="Arial" w:cs="Arial"/>
          <w:noProof/>
          <w:sz w:val="20"/>
        </w:rPr>
        <w:lastRenderedPageBreak/>
        <w:t>default network deactivation in cognition and disease. Trends Cogn. Sci. https://doi.org/10.1016/j.tics.2012.10.008</w:t>
      </w:r>
    </w:p>
    <w:p w14:paraId="4E91668D"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Badre, D., D’Esposito, M., 2009. Is the rostro-caudal axis of the frontal lobe hierarchical? Nat. Rev. Neurosci. 10, 659–669. https://doi.org/10.1038/nrn2667</w:t>
      </w:r>
    </w:p>
    <w:p w14:paraId="3B180EE8"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Badre, D., Nee, D.E., 2018. Frontal Cortex and the Hierarchical Control of Behavior. Trends Cogn. Sci. 22, 170–188. https://doi.org/10.1016/j.tics.2017.11.005</w:t>
      </w:r>
    </w:p>
    <w:p w14:paraId="2500B266"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Badre, D., Wagner, A.D., 2007. Left ventrolateral prefrontal cortex and the cognitive control of memory. Neuropsychologia 45, 2883–2901. https://doi.org/10.1016/J.NEUROPSYCHOLOGIA.2007.06.015</w:t>
      </w:r>
    </w:p>
    <w:p w14:paraId="26C8BDE9"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Behzadi, Y., Restom, K., Liau, J., Liu, T.T., 2007. A component based noise correction method (CompCor) for BOLD and perfusion based fMRI. Neuroimage. https://doi.org/10.1016/j.neuroimage.2007.04.042</w:t>
      </w:r>
    </w:p>
    <w:p w14:paraId="7E2A58BA"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Bemis, D.K., Pylkkänen, L., 2013. Basic linguistic composition recruits the left anterior temporal lobe and left angular gyrus during both listening and reading. Cereb. Cortex 23, 1859–1873. https://doi.org/10.1093/cercor/bhs170</w:t>
      </w:r>
    </w:p>
    <w:p w14:paraId="399AC38B"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Braga, R.M., Buckner, R.L., 2017. Parallel Interdigitated Distributed Networks within the Individual Estimated by Intrinsic Functional Connectivity. Neuron 95, 457-471.e5. https://doi.org/10.1016/j.neuron.2017.06.038</w:t>
      </w:r>
    </w:p>
    <w:p w14:paraId="014C7B99"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Brysbaert, M., Warriner, A.B., Kuperman, V., 2014. Concreteness ratings for 40 thousand generally known English word lemmas. Behav. Res. Methods 46, 904–911. https://doi.org/10.3758/s13428-013-0403-5</w:t>
      </w:r>
    </w:p>
    <w:p w14:paraId="6E2E56B9"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Chiou, R., Humphreys, G.F., Jung, J.Y., Lambon Ralph, M.A., 2018. Controlled semantic cognition relies upon dynamic and flexible interactions between the executive ‘semantic control’ and hub-and-spoke ‘semantic representation’ systems. Cortex 103, 100–116. https://doi.org/10.1016/j.cortex.2018.02.018</w:t>
      </w:r>
    </w:p>
    <w:p w14:paraId="02C1F59E"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 xml:space="preserve">Cole, M.W., Reynolds, J.R., Power, J.D., Repovs, G., Anticevic, A., Braver, T.S., 2013. Multi-task </w:t>
      </w:r>
      <w:r w:rsidRPr="006436AC">
        <w:rPr>
          <w:rFonts w:ascii="Arial" w:hAnsi="Arial" w:cs="Arial"/>
          <w:noProof/>
          <w:sz w:val="20"/>
        </w:rPr>
        <w:lastRenderedPageBreak/>
        <w:t>connectivity reveals flexible hubs for adaptive task control. Nat. Neurosci. 16, 1348–1355. https://doi.org/10.1038/nn.3470</w:t>
      </w:r>
    </w:p>
    <w:p w14:paraId="65F85788"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Connolly, A.C., Gobbini, M.I., Haxby, J. V, 2018. Three Virtues of Similarity-Based Multivariate Pattern Analysis: An Example from the Human Object Vision Pathway. Vis. Popul. Codes 1–18. https://doi.org/10.7551/mitpress/8404.003.0016</w:t>
      </w:r>
    </w:p>
    <w:p w14:paraId="0342F1E6"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Dale, A.M., 1999. Optimal Experimental Design for Event-Related fMRI, Hum. Brain Mapping.</w:t>
      </w:r>
    </w:p>
    <w:p w14:paraId="3A46C7D7"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Davey, J., Thompson, H.E., Hallam, G., Karapanagiotidis, T., Murphy, C., De Caso, I., Krieger-Redwood, K., Bernhardt, B.C., Smallwood, J., Jefferies, E., 2016. Exploring the role of the posterior middle temporal gyrus in semantic cognition: Integration of anterior temporal lobe with executive processes. Neuroimage 137, 165–177. https://doi.org/10.1016/j.neuroimage.2016.05.051</w:t>
      </w:r>
    </w:p>
    <w:p w14:paraId="486D614B"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Denny, B.T., Kober, H., Wager, T.D., Ochsner, K.N., 2012. A meta-analysis of functional neuroimaging studies of self- and other judgments reveals a spatial gradient for mentalizing in medial prefrontal cortex. J. Cogn. Neurosci. 24, 1742–1752. https://doi.org/10.1162/jocn_a_00233</w:t>
      </w:r>
    </w:p>
    <w:p w14:paraId="273A5117"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Duncan, J., 2010. The multiple-demand (MD) system of the primate brain: mental programs for intelligent behaviour. Trends Cogn. Sci. 14, 172–179. https://doi.org/10.1016/j.tics.2010.01.004</w:t>
      </w:r>
    </w:p>
    <w:p w14:paraId="0345A6D7"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Elton, A., Gao, W., 2015. Task-positive Functional Connectivity of the Default Mode Network Transcends Task Domain. J. Cogn. Neurosci. 27, 2369–2381. https://doi.org/10.1162/jocn_a_00859</w:t>
      </w:r>
    </w:p>
    <w:p w14:paraId="221E4486"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Fedorenko, E., Behr, M.K., Kanwisher, N., 2011. Functional specificity for high-level linguistic processing in the human brain. Proc. Natl. Acad. Sci. 108, 16428–16433. https://doi.org/10.1073/pnas.1112937108</w:t>
      </w:r>
    </w:p>
    <w:p w14:paraId="7E3787EB"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 xml:space="preserve">Fedorenko, E., Duncan, J., Kanwisher, N., 2013. Broad domain generality in focal regions of frontal and parietal cortex. Proc. Natl. Acad. Sci. 110, 16616–16621. </w:t>
      </w:r>
      <w:r w:rsidRPr="006436AC">
        <w:rPr>
          <w:rFonts w:ascii="Arial" w:hAnsi="Arial" w:cs="Arial"/>
          <w:noProof/>
          <w:sz w:val="20"/>
        </w:rPr>
        <w:lastRenderedPageBreak/>
        <w:t>https://doi.org/10.1073/pnas.1315235110</w:t>
      </w:r>
    </w:p>
    <w:p w14:paraId="33663EE7"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Fedorenko, E., Duncan, J., Kanwisher, N., 2012. Language-selective and domain-general regions lie side by side within Broca’s area. Curr. Biol. 22, 2059–2062. https://doi.org/10.1016/j.cub.2012.09.011</w:t>
      </w:r>
    </w:p>
    <w:p w14:paraId="7487F98F"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Fedorenko, E., Hsieh, P.-J., Nieto-Castañón, A., Whitfield-Gabrieli, S., Kanwisher, N., 2010. New Method for fMRI Investigations of Language: Defining ROIs Functionally in Individual Subjects. J. Neurophysiol. 104, 1177–1194. https://doi.org/10.1152/jn.00032.2010</w:t>
      </w:r>
    </w:p>
    <w:p w14:paraId="1F7DD465"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Fedorenko, E., Scott, T.L., Brunner, P., Coon, W.G., Pritchett, B., Schalk, G., Kanwisher, N., 2016. Neural correlate of the construction of sentence meaning. Proc. Natl. Acad. Sci. 113, E6256–E6262. https://doi.org/10.1073/pnas.1612132113</w:t>
      </w:r>
    </w:p>
    <w:p w14:paraId="3949DA78"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Gonzalez Alam, T., Murphy, C., Smallwood, J., Jefferies, E., 2018. Meaningful inhibition: Exploring the role of meaning and modality in response inhibition. Neuroimage 181, 108–119. https://doi.org/10.1016/j.neuroimage.2018.06.074</w:t>
      </w:r>
    </w:p>
    <w:p w14:paraId="614EF4C6"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Gordon, E.M., Laumann, T.O., Gilmore, A.W., Newbold, D.J., Greene, D.J., Berg, J.J., Ortega, M., Hoyt-Drazen, C., Gratton, C., Sun, H., Hampton, J.M., Coalson, R.S., Nguyen, A.L., McDermott, K.B., Shimony, J.S., Snyder, A.Z., Schlaggar, B.L., Petersen, S.E., Nelson, S.M., Dosenbach, N.U.F., 2017. Precision Functional Mapping of Individual Human Brains. Neuron 95, 791-807.e7. https://doi.org/10.1016/j.neuron.2017.07.011</w:t>
      </w:r>
    </w:p>
    <w:p w14:paraId="2D113F33"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Guell, X., Schmahmann, J.D., Gabrieli, J.D.E., Ghosh, S.S., 2018. Functional gradients of the cerebellum. Elife 7. https://doi.org/10.7554/eLife.36652</w:t>
      </w:r>
    </w:p>
    <w:p w14:paraId="09B25741"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Humphreys, G.F., Hoffman, P., Visser, M., Binney, R.J., Lambon Ralph, M.A., 2015. Establishing task- and modality-dependent dissociations between the semantic and default mode networks. Proc. Natl. Acad. Sci. U. S. A. 112, 7857–7862. https://doi.org/10.1073/pnas.1422760112</w:t>
      </w:r>
    </w:p>
    <w:p w14:paraId="19CA1648"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Humphreys, G.F., Lambon Ralph, M.A., 2015. Fusion and fission of cognitive functions in the human parietal cortex. Cereb. Cortex 25, 3547–3560. https://doi.org/10.1093/cercor/bhu198</w:t>
      </w:r>
    </w:p>
    <w:p w14:paraId="78C58E70"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lastRenderedPageBreak/>
        <w:t>Humphreys, G.F., Ralph, M.A.L., 2017. Mapping domain-selective and counterpointed domain-general higher cognitive functions in the lateral parietal cortex: Evidence from fMRI comparisons of difficulty-varying semantic versus visuo-spatial tasks, and functional connectivity analyses. Cereb. Cortex 27, 4199–4212. https://doi.org/10.1093/cercor/bhx107</w:t>
      </w:r>
    </w:p>
    <w:p w14:paraId="4DF64710"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Huntenburg, J.M., Bazin, P.L., Margulies, D.S., 2018. Large-Scale Gradients in Human Cortical Organization. Trends Cogn. Sci. 22, 21–31. https://doi.org/10.1016/j.tics.2017.11.002</w:t>
      </w:r>
    </w:p>
    <w:p w14:paraId="7C110BB2"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Jackson, R.L., Bajada, C.J., Ralph, M.A.L., Cloutman, L.L., 2019. The Graded Change in Connectivity across the Ventromedial Prefrontal Cortex Reveals Distinct Subregions. Cereb. Cortex 00, 1–16. https://doi.org/10.1093/cercor/bhz079</w:t>
      </w:r>
    </w:p>
    <w:p w14:paraId="34FAB888"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Jefferies, E., 2013. The neural basis of semantic cognition: Converging evidence from neuropsychology, neuroimaging and TMS. Cortex 49, 611–625. https://doi.org/10.1016/j.cortex.2012.10.008</w:t>
      </w:r>
    </w:p>
    <w:p w14:paraId="1185FF78"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Kahneman, D., 2003. Maps of bounded rationality: Psychology for behavioral economics. Am. Econ. Rev. 93, 1449–1475. https://doi.org/10.1257/000282803322655392</w:t>
      </w:r>
    </w:p>
    <w:p w14:paraId="5CA64BB3"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Karapanagiotidis, T., Vidaurre, D., Quinn, A.J., Vatansever, D., Poerio, G.L., Turnbull, A., Siu, N., Ho, P., Leech, R., Bernhardt, B.C., Jefferies, E., Margulies, D.S., Nichols, T.E., Woolrich, M.W., Smallwood, J., 2019. The psychological correlates of distinct neural states occurring during wakeful rest. bioRxiv 1–15. https://doi.org/10.1101/2019.12.21.885772</w:t>
      </w:r>
    </w:p>
    <w:p w14:paraId="72B2F933"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Koechlin, E., Ody, C., Kouneiher, F., 2003. The Architecture of Cognitive Control in the Human Prefrontal Cortex. Science (80-. ). 302, 1181–1185. https://doi.org/10.1126/science.1088545</w:t>
      </w:r>
    </w:p>
    <w:p w14:paraId="570F1E4D"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Lau, E.F., Gramfort, A., Hämäläinen, M.S., Kuperberg, G.R., 2013. Behavioral/Cognitive Automatic Semantic Facilitation in Anterior Temporal Cortex Revealed through Multimodal Neuroimaging. https://doi.org/10.1523/JNEUROSCI.1018-13.2013</w:t>
      </w:r>
    </w:p>
    <w:p w14:paraId="7A0A44B7"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 xml:space="preserve">Laumann, T.O., Gordon, E.M., Adeyemo, B., Snyder, A.Z., Joo, S.J., Chen, M.Y., Gilmore, A.W., McDermott, K.B., Nelson, S.M., Dosenbach, N.U.F., Schlaggar, B.L., Mumford, J.A., Poldrack, R.A., Petersen, S.E., 2015. Functional System and Areal Organization of a Highly </w:t>
      </w:r>
      <w:r w:rsidRPr="006436AC">
        <w:rPr>
          <w:rFonts w:ascii="Arial" w:hAnsi="Arial" w:cs="Arial"/>
          <w:noProof/>
          <w:sz w:val="20"/>
        </w:rPr>
        <w:lastRenderedPageBreak/>
        <w:t>Sampled Individual Human Brain. Neuron 87, 657–670. https://doi.org/10.1016/j.neuron.2015.06.037</w:t>
      </w:r>
    </w:p>
    <w:p w14:paraId="76FB0B07"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Mahowald, K., Fedorenko, E., 2016. Reliable individual-level neural markers of high-level language processing: A necessary precursor for relating neural variability to behavioral and genetic variability. Neuroimage. https://doi.org/10.1016/j.neuroimage.2016.05.073</w:t>
      </w:r>
    </w:p>
    <w:p w14:paraId="17E2F0C6"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Margulies, D.S., Ghosh, S.S., Goulas, A., Falkiewicz, M., Huntenburg, J.M., Langs, G., Bezgin, G., Eickhoff, S.B., Castellanos, F.X., Petrides, M., Jefferies, E., Smallwood, J., 2016. Situating the default-mode network along a principal gradient of macroscale cortical organization. Proc. Natl. Acad. Sci. 113, 12574–12579. https://doi.org/10.1073/pnas.1608282113</w:t>
      </w:r>
    </w:p>
    <w:p w14:paraId="783B9EB0"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Nee, D.E., D’Esposito, M., 2016. The hierarchical organization of the lateral prefrontal cortex. Elife 5, 1–26. https://doi.org/10.7554/elife.12112</w:t>
      </w:r>
    </w:p>
    <w:p w14:paraId="2243C013"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Noonan, K.A., Jefferies, E., Visser, M., Lambon Ralph, M.A., 2013. Going beyond inferior prefrontal involvement in semantic control: evidence for the additional contribution of dorsal angular gyrus and posterior middle temporal cortex. J. Cogn. Neurosci. 25, 1824–1850. https://doi.org/10.1162/jocn_a_00442</w:t>
      </w:r>
    </w:p>
    <w:p w14:paraId="1C2C4F61"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Peirce, J.W., 2007. PsychoPy—Psychophysics software in Python. J. Neurosci. Methods 162, 8–13. https://doi.org/10.1016/j.jneumeth.2006.11.017</w:t>
      </w:r>
    </w:p>
    <w:p w14:paraId="6AEDF1BC"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Poldrack, R.A., 2017. Precision Neuroscience: Dense Sampling of Individual Brains. Neuron 95, 727–729. https://doi.org/10.1016/j.neuron.2017.08.002</w:t>
      </w:r>
    </w:p>
    <w:p w14:paraId="455FADA9"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Power, J.D., Barnes, K.A., Snyder, A.Z., Schlaggar, B.L., Petersen, S.E., 2012. Spurious but systematic correlations in functional connectivity MRI networks arise from subject motion. Neuroimage 59, 2142–2154. https://doi.org/10.1016/j.neuroimage.2011.10.018</w:t>
      </w:r>
    </w:p>
    <w:p w14:paraId="029609AF"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Raichle, M.E., 2015. The Brain’s Default Mode Network. Annu. Rev. Neurosci. 38, 433–447. https://doi.org/10.1146/annurev-neuro-071013-014030</w:t>
      </w:r>
    </w:p>
    <w:p w14:paraId="50FE3785"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 xml:space="preserve">Ralph, M.A.L., Jefferies, E., Patterson, K., Rogers, T.T., 2017. The neural and computational </w:t>
      </w:r>
      <w:r w:rsidRPr="006436AC">
        <w:rPr>
          <w:rFonts w:ascii="Arial" w:hAnsi="Arial" w:cs="Arial"/>
          <w:noProof/>
          <w:sz w:val="20"/>
        </w:rPr>
        <w:lastRenderedPageBreak/>
        <w:t>bases of semantic cognition. Nat. Rev. Neurosci. 18, 42–55. https://doi.org/10.1038/nrn.2016.150</w:t>
      </w:r>
    </w:p>
    <w:p w14:paraId="43A4C4F5"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Schaefer, A., Kong, R., Gordon, E.M., Laumann, T.O., Zuo, X.-N., Holmes, A.J., Eickhoff, S.B., Yeo, B.T.T., 2018. Local-Global Parcellation of the Human Cerebral Cortex from Intrinsic Functional Connectivity MRI. Cereb. Cortex 28, 3095–3114. https://doi.org/10.1093/cercor/bhx179</w:t>
      </w:r>
    </w:p>
    <w:p w14:paraId="2324BB1B"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Snodgrass, J.G., Townsend, J.T., Ashby, F.G., 1985. Stochastic Modeling of Elementary Psychological Processes, The American Journal of Psychology. https://doi.org/10.2307/1422636</w:t>
      </w:r>
    </w:p>
    <w:p w14:paraId="532AB4F4"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Spreng, R.N., Stevens, W.D., Chamberlain, J.P., Gilmore, A.W., Schacter, D.L., 2010. Default network activity, coupled with the frontoparietal control network, supports goal-directed cognition. Neuroimage 53, 303–317. https://doi.org/10.1016/j.neuroimage.2010.06.016</w:t>
      </w:r>
    </w:p>
    <w:p w14:paraId="286CCCAF"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Sul, S., Tobler, P.N., Leiberg, S., Jung, D., Fehr, E., Kim, H., 2015. Spatial gradient in value representation along the medial prefrontal cortex reflects individual differences in prosociality 112, 7851–7856. https://doi.org/10.1073/pnas.1423895112</w:t>
      </w:r>
    </w:p>
    <w:p w14:paraId="70F51975"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Teige, C., Mollo, G., Millman, R., Savill, N., Smallwood, J., Cornelissen, P.L., Jefferies, E., 2018. Dynamic semantic cognition: Characterising coherent and controlled conceptual retrieval through time using magnetoencephalography and chronometric transcranial magnetic stimulation. Cortex 103, 329–349. https://doi.org/10.1016/j.cortex.2018.03.024</w:t>
      </w:r>
    </w:p>
    <w:p w14:paraId="05DE8D13"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Tversky, A., Kahneman, D., 1974. Judgment under Uncertainty: Heuristics and Biases. Science 185, 1124–31. https://doi.org/10.1126/science.185.4157.1124</w:t>
      </w:r>
    </w:p>
    <w:p w14:paraId="45D6D736"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van Heuven, W.J.B., Mandera, P., Keuleers, E., Brysbaert, M., 2014. Subtlex-UK: A New and Improved Word Frequency Database for British English. Q. J. Exp. Psychol. 67, 1176–1190. https://doi.org/10.1080/17470218.2013.850521</w:t>
      </w:r>
    </w:p>
    <w:p w14:paraId="5E0B0D21"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 xml:space="preserve">Vatansever, D., Bzdok, D., Wang, H.T., Mollo, G., Sormaz, M., Murphy, C., Karapanagiotidis, T., Smallwood, J., Jefferies, E., 2017. Varieties of semantic cognition revealed through </w:t>
      </w:r>
      <w:r w:rsidRPr="006436AC">
        <w:rPr>
          <w:rFonts w:ascii="Arial" w:hAnsi="Arial" w:cs="Arial"/>
          <w:noProof/>
          <w:sz w:val="20"/>
        </w:rPr>
        <w:lastRenderedPageBreak/>
        <w:t>simultaneous decomposition of intrinsic brain connectivity and behaviour. Neuroimage 158, 1–11. https://doi.org/10.1016/j.neuroimage.2017.06.067</w:t>
      </w:r>
    </w:p>
    <w:p w14:paraId="69039502"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Vatansever, D., Menon, D.K., Manktelow, A.E., Sahakian, B.J., Stamatakis, E.A., 2015. Default mode network connectivity during task execution. Neuroimage 122, 96–104. https://doi.org/10.1016/j.neuroimage.2015.07.053</w:t>
      </w:r>
    </w:p>
    <w:p w14:paraId="49786EC1"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Visser, M., Jefferies, E., Embleton, K. V., Lambon Ralph, M.A., 2012. Both the Middle Temporal Gyrus and the Ventral Anterior Temporal Area Are Crucial for Multimodal Semantic Processing: Distortion-corrected fMRI Evidence for a Double Gradient of Information Convergence in the Temporal Lobes. J. Cogn. Neurosci. 24, 1766–1778. https://doi.org/10.1162/jocn_a_00244</w:t>
      </w:r>
    </w:p>
    <w:p w14:paraId="2C3DB3B6"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Vos de Wael, R., Benkarim, O., Paquola, C., Lariviere, S., Royer, J., Tavakol, S., Xu, T., Hong, S.J., Langs, G., Valk, S., Misic, B., Milham, M., Margulies, D., Smallwood, J., Bernhardt, B.C., 2020. BrainSpace: a toolbox for the analysis of macroscale gradients in neuroimaging and connectomics datasets. Commun. Biol. 3, 1–10. https://doi.org/10.1038/s42003-020-0794-7</w:t>
      </w:r>
    </w:p>
    <w:p w14:paraId="56241F8A"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Vos De Wael, R., Larivière, S., Caldairou, B., Hong, S.J., Margulies, D.S., Jefferies, E., Bernasconi, A., Smallwood, J., Bernasconi, N., Bernhardt, B.C., 2018. Anatomical and microstructural determinants of hippocampal subfield functional connectome embedding. Proc. Natl. Acad. Sci. U. S. A. 115, 10154–10159. https://doi.org/10.1073/pnas.1803667115</w:t>
      </w:r>
    </w:p>
    <w:p w14:paraId="42DAC37B"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Wagner, A.D., Paré-Blagoev, E.J., Clark, J., Poldrack, R.A., 2001. Recovering Meaning: Left Prefrontal Cortex Guides Controlled Semantic Retrieval. Neuron 31, 329–338. https://doi.org/10.1016/S0896-6273(01)00359-2</w:t>
      </w:r>
    </w:p>
    <w:p w14:paraId="5D8A110F"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Wang, X., Bernhardt, B.C., Karapanagiotidis, T., De Caso, I., Gonzalez Alam, T.R. del J., Cotter, Z., Smallwood, J., Jefferies, E., 2018. The structural basis of semantic control: Evidence from individual differences in cortical thickness. Neuroimage 181, 480–489. https://doi.org/10.1016/j.neuroimage.2018.07.044</w:t>
      </w:r>
    </w:p>
    <w:p w14:paraId="14BD6250"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 xml:space="preserve">Whitfield-Gabrieli, S., Nieto-Castanon, A., 2012. Conn: A Functional Connectivity Toolbox for </w:t>
      </w:r>
      <w:r w:rsidRPr="006436AC">
        <w:rPr>
          <w:rFonts w:ascii="Arial" w:hAnsi="Arial" w:cs="Arial"/>
          <w:noProof/>
          <w:sz w:val="20"/>
        </w:rPr>
        <w:lastRenderedPageBreak/>
        <w:t>Correlated and Anticorrelated Brain Networks. Brain Connect. 2, 125–141. https://doi.org/10.1089/brain.2012.0073</w:t>
      </w:r>
    </w:p>
    <w:p w14:paraId="40716630"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Wirth, M., Jann, K., Dierks, T., Federspiel, A., Wiest, R., Horn, H., 2011. Semantic memory involvement in the default mode network: A functional neuroimaging study using independent component analysis. Neuroimage 54, 3057–3066. https://doi.org/10.1016/j.neuroimage.2010.10.039</w:t>
      </w:r>
    </w:p>
    <w:p w14:paraId="596A1215" w14:textId="77777777" w:rsidR="008048DE" w:rsidRPr="006436AC" w:rsidRDefault="008048DE" w:rsidP="000E64FB">
      <w:pPr>
        <w:widowControl w:val="0"/>
        <w:autoSpaceDE w:val="0"/>
        <w:autoSpaceDN w:val="0"/>
        <w:adjustRightInd w:val="0"/>
        <w:spacing w:before="100" w:after="100" w:line="480" w:lineRule="auto"/>
        <w:ind w:left="480" w:hanging="480"/>
        <w:rPr>
          <w:rFonts w:ascii="Arial" w:hAnsi="Arial" w:cs="Arial"/>
          <w:noProof/>
          <w:sz w:val="20"/>
        </w:rPr>
      </w:pPr>
      <w:r w:rsidRPr="006436AC">
        <w:rPr>
          <w:rFonts w:ascii="Arial" w:hAnsi="Arial" w:cs="Arial"/>
          <w:noProof/>
          <w:sz w:val="20"/>
        </w:rPr>
        <w:t>Yarkoni, T., Poldrack, R.A., Nichols, T.E., Van Essen, D.C., Wager, T.D., 2011. Large-scale automated synthesis of human functional neuroimaging data. Nat. Methods 8, 665–670. https://doi.org/10.1038/nmeth.1635</w:t>
      </w:r>
    </w:p>
    <w:p w14:paraId="29C4882C" w14:textId="731A885D" w:rsidR="004F0C95" w:rsidRDefault="001E1E77" w:rsidP="000E64FB">
      <w:pPr>
        <w:widowControl w:val="0"/>
        <w:autoSpaceDE w:val="0"/>
        <w:autoSpaceDN w:val="0"/>
        <w:adjustRightInd w:val="0"/>
        <w:spacing w:before="100" w:after="100" w:line="480" w:lineRule="auto"/>
        <w:ind w:left="480" w:hanging="480"/>
        <w:rPr>
          <w:rFonts w:ascii="Arial" w:hAnsi="Arial" w:cs="Arial"/>
          <w:sz w:val="20"/>
          <w:szCs w:val="20"/>
        </w:rPr>
      </w:pPr>
      <w:r w:rsidRPr="006436AC">
        <w:rPr>
          <w:rFonts w:ascii="Arial" w:hAnsi="Arial" w:cs="Arial"/>
          <w:sz w:val="20"/>
          <w:szCs w:val="20"/>
        </w:rPr>
        <w:fldChar w:fldCharType="end"/>
      </w:r>
    </w:p>
    <w:p w14:paraId="5BEE5344" w14:textId="77777777" w:rsidR="004F0C95" w:rsidRDefault="004F0C95">
      <w:pPr>
        <w:rPr>
          <w:rFonts w:ascii="Arial" w:hAnsi="Arial" w:cs="Arial"/>
          <w:sz w:val="20"/>
          <w:szCs w:val="20"/>
        </w:rPr>
      </w:pPr>
      <w:r>
        <w:rPr>
          <w:rFonts w:ascii="Arial" w:hAnsi="Arial" w:cs="Arial"/>
          <w:sz w:val="20"/>
          <w:szCs w:val="20"/>
        </w:rPr>
        <w:br w:type="page"/>
      </w:r>
    </w:p>
    <w:p w14:paraId="12999444" w14:textId="77777777" w:rsidR="004F0C95" w:rsidRPr="009A4995" w:rsidRDefault="004F0C95" w:rsidP="004F0C95">
      <w:pPr>
        <w:pStyle w:val="Style1"/>
        <w:spacing w:before="100" w:beforeAutospacing="1" w:after="100" w:afterAutospacing="1" w:line="480" w:lineRule="auto"/>
        <w:rPr>
          <w:rFonts w:cs="Arial"/>
          <w:sz w:val="20"/>
          <w:szCs w:val="20"/>
        </w:rPr>
      </w:pPr>
      <w:r w:rsidRPr="009A4995">
        <w:rPr>
          <w:rFonts w:cs="Arial"/>
          <w:sz w:val="20"/>
          <w:szCs w:val="20"/>
        </w:rPr>
        <w:lastRenderedPageBreak/>
        <w:t>Supplementary materials</w:t>
      </w:r>
    </w:p>
    <w:p w14:paraId="28D9B3CB"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sz w:val="20"/>
          <w:szCs w:val="20"/>
        </w:rPr>
        <w:t>A gradient from long-term memory to novel cognition: graded transitions through default mode and executive cortex</w:t>
      </w:r>
    </w:p>
    <w:p w14:paraId="42D34A56"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sz w:val="20"/>
          <w:szCs w:val="20"/>
        </w:rPr>
        <w:t>Xiuyi Wang</w:t>
      </w:r>
      <w:r w:rsidRPr="009A4995">
        <w:rPr>
          <w:rFonts w:ascii="Arial" w:hAnsi="Arial" w:cs="Arial"/>
          <w:sz w:val="20"/>
          <w:szCs w:val="20"/>
          <w:vertAlign w:val="superscript"/>
        </w:rPr>
        <w:t>a</w:t>
      </w:r>
      <w:r w:rsidRPr="009A4995">
        <w:rPr>
          <w:rFonts w:ascii="Arial" w:hAnsi="Arial" w:cs="Arial"/>
          <w:sz w:val="20"/>
          <w:szCs w:val="20"/>
        </w:rPr>
        <w:t>*, Daniel S. Margulies</w:t>
      </w:r>
      <w:r w:rsidRPr="009A4995">
        <w:rPr>
          <w:rFonts w:ascii="Arial" w:hAnsi="Arial" w:cs="Arial"/>
          <w:sz w:val="20"/>
          <w:szCs w:val="20"/>
          <w:vertAlign w:val="superscript"/>
        </w:rPr>
        <w:t>b</w:t>
      </w:r>
      <w:r w:rsidRPr="009A4995">
        <w:rPr>
          <w:rFonts w:ascii="Arial" w:hAnsi="Arial" w:cs="Arial"/>
          <w:sz w:val="20"/>
          <w:szCs w:val="20"/>
        </w:rPr>
        <w:t>, Jonathan Smallwood</w:t>
      </w:r>
      <w:r w:rsidRPr="009A4995">
        <w:rPr>
          <w:rFonts w:ascii="Arial" w:hAnsi="Arial" w:cs="Arial"/>
          <w:sz w:val="20"/>
          <w:szCs w:val="20"/>
          <w:vertAlign w:val="superscript"/>
        </w:rPr>
        <w:t>a</w:t>
      </w:r>
      <w:r w:rsidRPr="009A4995">
        <w:rPr>
          <w:rFonts w:ascii="Arial" w:hAnsi="Arial" w:cs="Arial"/>
          <w:sz w:val="20"/>
          <w:szCs w:val="20"/>
        </w:rPr>
        <w:t>, Elizabeth Jefferies</w:t>
      </w:r>
      <w:r w:rsidRPr="009A4995">
        <w:rPr>
          <w:rFonts w:ascii="Arial" w:hAnsi="Arial" w:cs="Arial"/>
          <w:sz w:val="20"/>
          <w:szCs w:val="20"/>
          <w:vertAlign w:val="superscript"/>
        </w:rPr>
        <w:t>a</w:t>
      </w:r>
      <w:r w:rsidRPr="009A4995">
        <w:rPr>
          <w:rFonts w:ascii="Arial" w:hAnsi="Arial" w:cs="Arial"/>
          <w:sz w:val="20"/>
          <w:szCs w:val="20"/>
        </w:rPr>
        <w:t>*</w:t>
      </w:r>
    </w:p>
    <w:p w14:paraId="3ED7AC0B"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sz w:val="20"/>
          <w:szCs w:val="20"/>
        </w:rPr>
        <w:t>* Xiuyi Wang, Elizabeth Jefferies</w:t>
      </w:r>
    </w:p>
    <w:p w14:paraId="72F003ED"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sz w:val="20"/>
          <w:szCs w:val="20"/>
        </w:rPr>
        <w:t>a Department of Psychology, University of York, Heslington, York, YO10 5DD, United Kingdom;</w:t>
      </w:r>
    </w:p>
    <w:p w14:paraId="7CD38472"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sz w:val="20"/>
          <w:szCs w:val="20"/>
        </w:rPr>
        <w:t>b Centre National de la Recherche Scientifique (CNRS) UMR 7225, Frontlab, Institut du Cerveau et de la Moelle Épinière, Paris, France</w:t>
      </w:r>
    </w:p>
    <w:p w14:paraId="598CF23D" w14:textId="77777777" w:rsidR="004F0C95" w:rsidRPr="009A4995" w:rsidRDefault="004F0C95" w:rsidP="004F0C95">
      <w:pPr>
        <w:spacing w:before="100" w:beforeAutospacing="1" w:after="100" w:afterAutospacing="1" w:line="480" w:lineRule="auto"/>
        <w:rPr>
          <w:rStyle w:val="Hyperlink"/>
          <w:rFonts w:ascii="Arial" w:hAnsi="Arial" w:cs="Arial"/>
          <w:sz w:val="20"/>
          <w:szCs w:val="20"/>
        </w:rPr>
      </w:pPr>
      <w:r w:rsidRPr="009A4995">
        <w:rPr>
          <w:rFonts w:ascii="Arial" w:hAnsi="Arial" w:cs="Arial"/>
          <w:sz w:val="20"/>
          <w:szCs w:val="20"/>
        </w:rPr>
        <w:t xml:space="preserve">Email:  </w:t>
      </w:r>
      <w:hyperlink r:id="rId17" w:history="1">
        <w:r w:rsidRPr="009A4995">
          <w:rPr>
            <w:rStyle w:val="Hyperlink"/>
            <w:rFonts w:ascii="Arial" w:hAnsi="Arial" w:cs="Arial"/>
            <w:sz w:val="20"/>
            <w:szCs w:val="20"/>
          </w:rPr>
          <w:t>wangxiuyi16@gmail.com</w:t>
        </w:r>
      </w:hyperlink>
      <w:r w:rsidRPr="009A4995">
        <w:rPr>
          <w:rFonts w:ascii="Arial" w:hAnsi="Arial" w:cs="Arial"/>
          <w:sz w:val="20"/>
          <w:szCs w:val="20"/>
        </w:rPr>
        <w:t xml:space="preserve">, </w:t>
      </w:r>
      <w:hyperlink r:id="rId18" w:history="1">
        <w:r w:rsidRPr="009A4995">
          <w:rPr>
            <w:rStyle w:val="Hyperlink"/>
            <w:rFonts w:ascii="Arial" w:hAnsi="Arial" w:cs="Arial"/>
            <w:sz w:val="20"/>
            <w:szCs w:val="20"/>
          </w:rPr>
          <w:t>beth.jefferies@york.ac.uk</w:t>
        </w:r>
      </w:hyperlink>
    </w:p>
    <w:p w14:paraId="0F35EC80" w14:textId="77777777" w:rsidR="004F0C95" w:rsidRPr="009A4995" w:rsidRDefault="004F0C95" w:rsidP="004F0C95">
      <w:pPr>
        <w:spacing w:before="100" w:beforeAutospacing="1" w:after="100" w:afterAutospacing="1" w:line="480" w:lineRule="auto"/>
        <w:rPr>
          <w:rFonts w:ascii="Arial" w:hAnsi="Arial" w:cs="Arial"/>
          <w:color w:val="0000FF" w:themeColor="hyperlink"/>
          <w:sz w:val="20"/>
          <w:szCs w:val="20"/>
          <w:u w:val="single"/>
        </w:rPr>
      </w:pPr>
      <w:r w:rsidRPr="009A4995">
        <w:rPr>
          <w:rStyle w:val="Hyperlink"/>
          <w:rFonts w:ascii="Arial" w:hAnsi="Arial" w:cs="Arial"/>
          <w:sz w:val="20"/>
          <w:szCs w:val="20"/>
        </w:rPr>
        <w:br w:type="page"/>
      </w:r>
    </w:p>
    <w:p w14:paraId="22BE91EA" w14:textId="77777777" w:rsidR="004F0C95" w:rsidRPr="009A4995" w:rsidRDefault="004F0C95" w:rsidP="004F0C95">
      <w:pPr>
        <w:pStyle w:val="Style1"/>
        <w:spacing w:before="100" w:beforeAutospacing="1" w:after="100" w:afterAutospacing="1" w:line="480" w:lineRule="auto"/>
        <w:rPr>
          <w:rFonts w:cs="Arial"/>
          <w:sz w:val="20"/>
          <w:szCs w:val="20"/>
        </w:rPr>
      </w:pPr>
      <w:r w:rsidRPr="009A4995">
        <w:rPr>
          <w:rFonts w:cs="Arial"/>
          <w:sz w:val="20"/>
          <w:szCs w:val="20"/>
        </w:rPr>
        <w:lastRenderedPageBreak/>
        <w:t>1. Tasks:</w:t>
      </w:r>
    </w:p>
    <w:p w14:paraId="03F08651" w14:textId="77777777" w:rsidR="004F0C95" w:rsidRPr="009A4995" w:rsidRDefault="004F0C95" w:rsidP="004F0C95">
      <w:pPr>
        <w:pStyle w:val="Style3"/>
      </w:pPr>
      <w:r w:rsidRPr="009A4995">
        <w:t>1.1. Semantic feature matching task</w:t>
      </w:r>
    </w:p>
    <w:p w14:paraId="3D5D8FC4"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 xml:space="preserve">For the matching trials, global feature similarity ratings positively correlated with behavioural performance (accuracy: r = 0.35, p = 0.000, Figure S2A; response time: r = -0.22, p = 0.007, Figure S2B; efficiency: r = 0.31, p = 0.000, Figure S2C), indicating that participants could more readily identify matching features when task-irrelevant characteristics were also shared between the probe and target concepts. </w:t>
      </w:r>
    </w:p>
    <w:p w14:paraId="496130D6"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 xml:space="preserve"> Our main analyses concerned these matching trials, for which we had twice as many observations and a smooth spread of trials across all levels of global semantic similarity (see results in main text). However, global semantic similarity had differing effects on behavioural performance in matching and non-matching trials. Consequently, the comparison of these trial types can establish whether functional change along the task gradient is likely to reflect the global semantic overlap between probe and target words, or alternatively the difficulty of the semantic decision. For non-matching trials, global feature similarity ratings showed significant negative correlations with accuracy (r = -0.33, p = 0.005, Figure S2D) and behavioural efficiency (r = -0.33, p = 0.005, Figure S2F). Non-matching trials with higher global feature similarity ratings were also slower, although the correlation with response time did not reach significance (r = 0.20, p = 0.099, Figure S2E). Therefore, in contrast to matching trials, which were easier when global semantic similarity was higher, if anything, greater global semantic similarity made it more difficult to decide that a target feature did </w:t>
      </w:r>
      <w:r w:rsidRPr="009A4995">
        <w:rPr>
          <w:rFonts w:ascii="Arial" w:hAnsi="Arial" w:cs="Arial"/>
          <w:i/>
          <w:sz w:val="20"/>
          <w:szCs w:val="20"/>
        </w:rPr>
        <w:t>not</w:t>
      </w:r>
      <w:r w:rsidRPr="009A4995">
        <w:rPr>
          <w:rFonts w:ascii="Arial" w:hAnsi="Arial" w:cs="Arial"/>
          <w:sz w:val="20"/>
          <w:szCs w:val="20"/>
        </w:rPr>
        <w:t xml:space="preserve"> match across probes and targets. This relationship between global similarity and behavioural performance was not explained by psycholinguistic confounds. There were no significant correlations for non-matching trials between global semantic similarity and target word length (number of letters; r = -0.05, p = 0.684, Figure S1D), or concreteness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{"citationItems":[{"id":"ITEM-1","itemData":{"DOI":"10.3758/s13428-013-0403-5","ISSN":"15543528","abstract":"Concreteness ratings are presented for 37,058 English words and 2,896 two-word expressions (such as zebra crossing and zoom in), obtained from over 4,000 participants by means of a norming study using Internet crowdsourcing for data collection. Although the instructions stressed that the assessment of word concreteness would be based on experiences involving all senses and motor responses, a comparison with the existing concreteness norms indicates that participants, as before, largely focused on visual and haptic experiences. The reported data set is a subset of a comprehensive list of English lemmas and contains all lemmas known by at least 85 % of the raters. It can be used in future research as a reference list of generally known English lemmas. © 2013 Psychonomic Society, Inc.","author":[{"dropping-particle":"","family":"Brysbaert","given":"Marc","non-dropping-particle":"","parse-names":false,"suffix":""},{"dropping-particle":"","family":"Warriner","given":"Amy Beth","non-dropping-particle":"","parse-names":false,"suffix":""},{"dropping-particle":"","family":"Kuperman","given":"Victor","non-dropping-particle":"","parse-names":false,"suffix":""}],"container-title":"Behavior Research Methods","id":"ITEM-1","issue":"3","issued":{"date-parts":[["2014"]]},"page":"904-911","title":"Concreteness ratings for 40 thousand generally known English word lemmas","type":"article-journal","volume":"46"},"uris":["http://www.mendeley.com/documents/?uuid=ba5d7f8e-8b08-35e7-9cf9-bcef2132a12a"]}],"mendeley":{"formattedCitation":"(Brysbaert et al., 2014)","plainTextFormattedCitation":"(Brysbaert et al., 2014)","previouslyFormattedCitation":"(Brysbaert et al., 2014)"},"properties":{"noteIndex":0},"schema":"https://github.com/citation-style-language/schema/raw/master/csl-citation.json"}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(Brysbaert et al., 2014)</w:t>
      </w:r>
      <w:r w:rsidRPr="009A4995">
        <w:rPr>
          <w:rFonts w:ascii="Arial" w:hAnsi="Arial" w:cs="Arial"/>
          <w:sz w:val="20"/>
          <w:szCs w:val="20"/>
        </w:rPr>
        <w:fldChar w:fldCharType="end"/>
      </w:r>
      <w:r w:rsidRPr="009A4995">
        <w:rPr>
          <w:rFonts w:ascii="Arial" w:hAnsi="Arial" w:cs="Arial"/>
          <w:sz w:val="20"/>
          <w:szCs w:val="20"/>
        </w:rPr>
        <w:t xml:space="preserve"> (r = -0.02, p = 0.867, Figure S1F), as shown in Figure S1. There was a significant correlation between global semantic similarity and target word frequency (based on SUBTLEX-UK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{"citationItems":[{"id":"ITEM-1","itemData":{"DOI":"10.1080/17470218.2013.850521","ISSN":"1747-0218","author":[{"dropping-particle":"","family":"Heuven","given":"Walter J. B.","non-dropping-particle":"van","parse-names":false,"suffix":""},{"dropping-particle":"","family":"Mandera","given":"Pawel","non-dropping-particle":"","parse-names":false,"suffix":""},{"dropping-particle":"","family":"Keuleers","given":"Emmanuel","non-dropping-particle":"","parse-names":false,"suffix":""},{"dropping-particle":"","family":"Brysbaert","given":"Marc","non-dropping-particle":"","parse-names":false,"suffix":""}],"container-title":"Quarterly Journal of Experimental Psychology","id":"ITEM-1","issue":"6","issued":{"date-parts":[["2014","6"]]},"page":"1176-1190","title":"Subtlex-UK: A New and Improved Word Frequency Database for British English","type":"article-journal","volume":"67"},"uris":["http://www.mendeley.com/documents/?uuid=b73089ca-8899-3ca8-b542-138a31d6cb5f"]}],"mendeley":{"formattedCitation":"(van Heuven et al., 2014)","plainTextFormattedCitation":"(van Heuven et al., 2014)","previouslyFormattedCitation":"(van Heuven et al., 2014)"},"properties":{"noteIndex":0},"schema":"https://github.com/citation-style-language/schema/raw/master/csl-citation.json"}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(van Heuven et al., 2014)</w:t>
      </w:r>
      <w:r w:rsidRPr="009A4995">
        <w:rPr>
          <w:rFonts w:ascii="Arial" w:hAnsi="Arial" w:cs="Arial"/>
          <w:sz w:val="20"/>
          <w:szCs w:val="20"/>
        </w:rPr>
        <w:fldChar w:fldCharType="end"/>
      </w:r>
      <w:r w:rsidRPr="009A4995">
        <w:rPr>
          <w:rFonts w:ascii="Arial" w:hAnsi="Arial" w:cs="Arial"/>
          <w:sz w:val="20"/>
          <w:szCs w:val="20"/>
        </w:rPr>
        <w:t xml:space="preserve">; r = 0.25, p = 0.036; Figure S1E). However, the </w:t>
      </w:r>
      <w:r w:rsidRPr="009A4995">
        <w:rPr>
          <w:rFonts w:ascii="Arial" w:hAnsi="Arial" w:cs="Arial"/>
          <w:sz w:val="20"/>
          <w:szCs w:val="20"/>
        </w:rPr>
        <w:lastRenderedPageBreak/>
        <w:t xml:space="preserve">psycholinguistic variables did not correlate with behavioural efficiency, including word length (r = -0.01, p = 0.919), word frequency (r = -0.02, p = 0.886) and concreteness (r = 0.03, p = 0.809). Furthermore, semantic similarity ratings were significantly negatively correlated with behavioural efficiency after regressing out word length, word frequency and concreteness (r = -0.32, p = 0.011), indicating that higher global feature similarity was associated with less efficient no-match decisions. In summary, if the positive relationship for matching trials between the task gradient and the connectivity gradient (reported in the main text) reflects task difficulty (i.e., greater activation towards the default mode network (DMN)-end of the gradient for easier decisions), we would </w:t>
      </w:r>
      <w:r w:rsidRPr="009A4995">
        <w:rPr>
          <w:rFonts w:ascii="Arial" w:hAnsi="Arial" w:cs="Arial"/>
          <w:i/>
          <w:sz w:val="20"/>
          <w:szCs w:val="20"/>
        </w:rPr>
        <w:t>not</w:t>
      </w:r>
      <w:r w:rsidRPr="009A4995">
        <w:rPr>
          <w:rFonts w:ascii="Arial" w:hAnsi="Arial" w:cs="Arial"/>
          <w:sz w:val="20"/>
          <w:szCs w:val="20"/>
        </w:rPr>
        <w:t xml:space="preserve"> expect to see the same pattern for non-matching trials. In contrast, if this relationship reflects the global semantic similarity of the probe and target words, a similar pattern may be seen for matching and non-matching trials.</w:t>
      </w:r>
    </w:p>
    <w:p w14:paraId="309B6B64"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noProof/>
          <w:sz w:val="20"/>
          <w:szCs w:val="20"/>
          <w:lang w:val="en-GB" w:eastAsia="zh-CN"/>
        </w:rPr>
        <w:drawing>
          <wp:inline distT="0" distB="0" distL="0" distR="0" wp14:anchorId="79383ACC" wp14:editId="7D34A429">
            <wp:extent cx="5486400" cy="29330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2933065"/>
                    </a:xfrm>
                    <a:prstGeom prst="rect">
                      <a:avLst/>
                    </a:prstGeom>
                  </pic:spPr>
                </pic:pic>
              </a:graphicData>
            </a:graphic>
          </wp:inline>
        </w:drawing>
      </w:r>
    </w:p>
    <w:p w14:paraId="5573B983"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b/>
          <w:sz w:val="20"/>
          <w:szCs w:val="20"/>
        </w:rPr>
        <w:t>Figure S1.</w:t>
      </w:r>
      <w:r w:rsidRPr="009A4995">
        <w:rPr>
          <w:rFonts w:ascii="Arial" w:hAnsi="Arial" w:cs="Arial"/>
          <w:sz w:val="20"/>
          <w:szCs w:val="20"/>
        </w:rPr>
        <w:t xml:space="preserve"> A, B and C show the correlations between global similarity ratings and word length, frequency and concreteness of the target word for matching trials. D, E and F show the correlations for non-matching trials.</w:t>
      </w:r>
    </w:p>
    <w:p w14:paraId="53A0BCCB"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noProof/>
          <w:sz w:val="20"/>
          <w:szCs w:val="20"/>
          <w:lang w:val="en-GB" w:eastAsia="zh-CN"/>
        </w:rPr>
        <w:lastRenderedPageBreak/>
        <w:drawing>
          <wp:inline distT="0" distB="0" distL="0" distR="0" wp14:anchorId="678AA311" wp14:editId="4C9EABDA">
            <wp:extent cx="5486400" cy="29375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2937510"/>
                    </a:xfrm>
                    <a:prstGeom prst="rect">
                      <a:avLst/>
                    </a:prstGeom>
                  </pic:spPr>
                </pic:pic>
              </a:graphicData>
            </a:graphic>
          </wp:inline>
        </w:drawing>
      </w:r>
    </w:p>
    <w:p w14:paraId="5877884B"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b/>
          <w:sz w:val="20"/>
          <w:szCs w:val="20"/>
        </w:rPr>
        <w:t>Figure S2.</w:t>
      </w:r>
      <w:r w:rsidRPr="009A4995">
        <w:rPr>
          <w:rFonts w:ascii="Arial" w:hAnsi="Arial" w:cs="Arial"/>
          <w:sz w:val="20"/>
          <w:szCs w:val="20"/>
        </w:rPr>
        <w:t xml:space="preserve"> A, B and C show correlations between global similarity ratings and average behavioural performance across 30 participants for the matching trials, examining accuracy, response time and efficiency. D, E and F show the correlations for the non-matching trials. (Each trial is shown as a data point).</w:t>
      </w:r>
    </w:p>
    <w:p w14:paraId="7CB48932" w14:textId="77777777" w:rsidR="004F0C95" w:rsidRPr="009A4995" w:rsidRDefault="004F0C95" w:rsidP="004F0C95">
      <w:pPr>
        <w:pStyle w:val="Style1"/>
        <w:spacing w:before="100" w:beforeAutospacing="1" w:after="100" w:afterAutospacing="1" w:line="480" w:lineRule="auto"/>
        <w:rPr>
          <w:rFonts w:cs="Arial"/>
          <w:sz w:val="20"/>
          <w:szCs w:val="20"/>
        </w:rPr>
      </w:pPr>
      <w:r w:rsidRPr="009A4995">
        <w:rPr>
          <w:rFonts w:cs="Arial"/>
          <w:sz w:val="20"/>
          <w:szCs w:val="20"/>
        </w:rPr>
        <w:t>2. Supplementary details about analysis</w:t>
      </w:r>
    </w:p>
    <w:p w14:paraId="35004F35" w14:textId="77777777" w:rsidR="004F0C95" w:rsidRPr="009A4995" w:rsidRDefault="004F0C95" w:rsidP="004F0C95">
      <w:pPr>
        <w:pStyle w:val="Style3"/>
        <w:rPr>
          <w:i/>
        </w:rPr>
      </w:pPr>
      <w:r w:rsidRPr="009A4995">
        <w:t>2.1. Masks used to establish if there is a relationship between the connectivity gradient and task gradient in multiple brain regions</w:t>
      </w:r>
      <w:r w:rsidRPr="009A4995">
        <w:rPr>
          <w:i/>
        </w:rPr>
        <w:t xml:space="preserve"> </w:t>
      </w:r>
    </w:p>
    <w:p w14:paraId="67EB6A76"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 xml:space="preserve">To establish whether functional change along the connectivity gradient is seen in multiple cortical areas linked to semantic processing, we examined anatomical masks in lateral frontal, medial frontal, lateral temporal, and lateral parietal areas, in addition to whole-brain analyses. We used the Harvard-Oxford cortical structural atlas and removed voxels with &lt; 5% grey matter probability. For the left lateral frontal cortex, we included frontal orbital cortex, frontal pole, inferior frontal gyrus pars opercularis, pars triangularis, middle frontal gyrus, superior frontal gyrus and frontal operculum cortex, excluding medial prefrontal regions beyond x &gt; -16. This value was set based on cortical anatomy to divide the frontal lobe into medial and lateral portions. For the left </w:t>
      </w:r>
      <w:r w:rsidRPr="009A4995">
        <w:rPr>
          <w:rFonts w:ascii="Arial" w:hAnsi="Arial" w:cs="Arial"/>
          <w:sz w:val="20"/>
          <w:szCs w:val="20"/>
        </w:rPr>
        <w:lastRenderedPageBreak/>
        <w:t>medial frontal cortex, we included lateral medial cortex, frontal pole, supplementary motor area and superior frontal gyrus and selected voxels where x &gt; -16 to exclude more lateral regions. For the left temporal area, we included temporal pole, anterior, posterior and temporooccipital inferior temporal gyrus, anterior, posterior and temporooccipital middle temporal gyrus, anterior and posterior superior temporal gyrus, anterior and posterior temporal fusiform cortex, and temporal occipital fusiform cortex. For the parietal area, we included angular gyrus, anterior and posterior supramarginal gyrus, and superior parietal lobe, and we selected voxels where z &lt; 10 to exclude voxels with a high probability of falling in the temporal lobe</w:t>
      </w:r>
      <w:r w:rsidRPr="009A4995">
        <w:rPr>
          <w:rFonts w:ascii="Arial" w:hAnsi="Arial" w:cs="Arial"/>
          <w:sz w:val="20"/>
          <w:szCs w:val="20"/>
        </w:rPr>
        <w:softHyphen/>
        <w:t xml:space="preserve">.  </w:t>
      </w:r>
    </w:p>
    <w:p w14:paraId="4D601246" w14:textId="77777777" w:rsidR="004F0C95" w:rsidRPr="009A4995" w:rsidRDefault="004F0C95" w:rsidP="004F0C95">
      <w:pPr>
        <w:pStyle w:val="Style3"/>
      </w:pPr>
      <w:r w:rsidRPr="009A4995">
        <w:t xml:space="preserve">2.2. Mixed effects modelling </w:t>
      </w:r>
    </w:p>
    <w:p w14:paraId="79A9E65C"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 xml:space="preserve">To investigate the relationship between the effect of the task manipulation and the connectivity gradient bin, we used the package ‘lme4’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{"citationItems":[{"id":"ITEM-1","itemData":{"DOI":"http://CRAN.R-project.org/package=lme4","abstract":"Bates, D., Maechler, M., &amp; Bolker, B. (2014). lme4: Linear mixed-effects models using S4 classes. R package version 1.1-6. http://CRAN.R-Project.org/package=lme4.","author":[{"dropping-particle":"","family":"Bates","given":"Douglas","non-dropping-particle":"","parse-names":false,"suffix":""},{"dropping-particle":"","family":"Maechler","given":"Martin","non-dropping-particle":"","parse-names":false,"suffix":""},{"dropping-particle":"","family":"Bolker","given":"Ben","non-dropping-particle":"","parse-names":false,"suffix":""},{"dropping-particle":"","family":"Walker","given":"Steven","non-dropping-particle":"","parse-names":false,"suffix":""}],"container-title":"R","id":"ITEM-1","issued":{"date-parts":[["2014"]]},"title":"lme4: linear mixed-effects models using S4 classes. R package version 1.1-6","type":"article-journal"},"uris":["http://www.mendeley.com/documents/?uuid=c4b1a14e-7962-4531-8d35-3c624ed44c3e"]}],"mendeley":{"formattedCitation":"(Bates et al., 2014)","plainTextFormattedCitation":"(Bates et al., 2014)","previouslyFormattedCitation":"(Bates et al., 2014)"},"properties":{"noteIndex":0},"schema":"https://github.com/citation-style-language/schema/raw/master/csl-citation.json"}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(Bates et al., 2014)</w:t>
      </w:r>
      <w:r w:rsidRPr="009A4995">
        <w:rPr>
          <w:rFonts w:ascii="Arial" w:hAnsi="Arial" w:cs="Arial"/>
          <w:sz w:val="20"/>
          <w:szCs w:val="20"/>
        </w:rPr>
        <w:fldChar w:fldCharType="end"/>
      </w:r>
      <w:r w:rsidRPr="009A4995">
        <w:rPr>
          <w:rFonts w:ascii="Arial" w:hAnsi="Arial" w:cs="Arial"/>
          <w:sz w:val="20"/>
          <w:szCs w:val="20"/>
        </w:rPr>
        <w:t xml:space="preserve"> in R version 3.6.1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{"citationItems":[{"id":"ITEM-1","itemData":{"author":[{"dropping-particle":"","family":"Team","given":"R. Core.","non-dropping-particle":"","parse-names":false,"suffix":""}],"id":"ITEM-1","issued":{"date-parts":[["2012"]]},"title":"R: A language and environment for statistical computing","type":"article"},"uris":["http://www.mendeley.com/documents/?uuid=0465bc2e-951c-4736-b66f-1d06fcde94f1"]}],"mendeley":{"formattedCitation":"(Team, 2012)","plainTextFormattedCitation":"(Team, 2012)","previouslyFormattedCitation":"(Team, 2012)"},"properties":{"noteIndex":0},"schema":"https://github.com/citation-style-language/schema/raw/master/csl-citation.json"}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(Team, 2012)</w:t>
      </w:r>
      <w:r w:rsidRPr="009A4995">
        <w:rPr>
          <w:rFonts w:ascii="Arial" w:hAnsi="Arial" w:cs="Arial"/>
          <w:sz w:val="20"/>
          <w:szCs w:val="20"/>
        </w:rPr>
        <w:fldChar w:fldCharType="end"/>
      </w:r>
      <w:r w:rsidRPr="009A4995">
        <w:rPr>
          <w:rFonts w:ascii="Arial" w:hAnsi="Arial" w:cs="Arial"/>
          <w:sz w:val="20"/>
          <w:szCs w:val="20"/>
        </w:rPr>
        <w:t xml:space="preserve"> to perform mixed effects modelling. Parameter estimates for the task gradient in matching trials (i.e. the effect of global feature similarity) were extracted for 10 decile bins along the connectivity gradient, for each subject and in each run separately. The mixed-effects model included a single fixed effect of connectivity gradient bin along with random intercepts for subjects and runs, as well as by-subject random slopes for the effect of connectivity gradient bin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{"citationItems":[{"id":"ITEM-1","itemData":{"DOI":"10.1016/j.jml.2007.12.005","ISSN":"0749596X","abstract":"This paper provides an introduction to mixed-effects models for the analysis of repeated measurement data with subjects and items as crossed random effects. A worked-out example of how to use recent software for mixed-effects modeling is provided. Simulation studies illustrate the advantages offered by mixed-effects analyses compared to traditional analyses based on quasi-F tests, by-subjects analyses, combined by-subjects and by-items analyses, and random regression. Applications and possibilities across a range of domains of inquiry are discussed. © 2007 Elsevier Inc. All rights reserved.","author":[{"dropping-particle":"","family":"Baayen","given":"R. H.","non-dropping-particle":"","parse-names":false,"suffix":""},{"dropping-particle":"","family":"Davidson","given":"D. J.","non-dropping-particle":"","parse-names":false,"suffix":""},{"dropping-particle":"","family":"Bates","given":"D. M.","non-dropping-particle":"","parse-names":false,"suffix":""}],"container-title":"Journal of Memory and Language","id":"ITEM-1","issued":{"date-parts":[["2008"]]},"title":"Mixed-effects modeling with crossed random effects for subjects and items","type":"article-journal"},"uris":["http://www.mendeley.com/documents/?uuid=8f4942cd-f0c2-3002-a385-f60f3f3238d6"]}],"mendeley":{"formattedCitation":"(Baayen et al., 2008)","plainTextFormattedCitation":"(Baayen et al., 2008)","previouslyFormattedCitation":"(Baayen et al., 2008)"},"properties":{"noteIndex":0},"schema":"https://github.com/citation-style-language/schema/raw/master/csl-citation.json"}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(Baayen et al., 2008)</w:t>
      </w:r>
      <w:r w:rsidRPr="009A4995">
        <w:rPr>
          <w:rFonts w:ascii="Arial" w:hAnsi="Arial" w:cs="Arial"/>
          <w:sz w:val="20"/>
          <w:szCs w:val="20"/>
        </w:rPr>
        <w:fldChar w:fldCharType="end"/>
      </w:r>
      <w:r w:rsidRPr="009A4995">
        <w:rPr>
          <w:rFonts w:ascii="Arial" w:hAnsi="Arial" w:cs="Arial"/>
          <w:sz w:val="20"/>
          <w:szCs w:val="20"/>
        </w:rPr>
        <w:t>. We modelled the linear effect of gradient bin as follows: Y</w:t>
      </w:r>
      <w:r w:rsidRPr="009A4995">
        <w:rPr>
          <w:rFonts w:ascii="Arial" w:hAnsi="Arial" w:cs="Arial"/>
          <w:sz w:val="20"/>
          <w:szCs w:val="20"/>
          <w:vertAlign w:val="subscript"/>
        </w:rPr>
        <w:t xml:space="preserve"> </w:t>
      </w:r>
      <w:r w:rsidRPr="009A4995">
        <w:rPr>
          <w:rFonts w:ascii="Arial" w:hAnsi="Arial" w:cs="Arial"/>
          <w:sz w:val="20"/>
          <w:szCs w:val="20"/>
        </w:rPr>
        <w:t>= β</w:t>
      </w:r>
      <w:r w:rsidRPr="009A4995">
        <w:rPr>
          <w:rFonts w:ascii="Arial" w:hAnsi="Arial" w:cs="Arial"/>
          <w:sz w:val="20"/>
          <w:szCs w:val="20"/>
          <w:vertAlign w:val="subscript"/>
        </w:rPr>
        <w:t>0</w:t>
      </w:r>
      <w:r w:rsidRPr="009A4995">
        <w:rPr>
          <w:rFonts w:ascii="Arial" w:hAnsi="Arial" w:cs="Arial"/>
          <w:sz w:val="20"/>
          <w:szCs w:val="20"/>
        </w:rPr>
        <w:t xml:space="preserve"> + β</w:t>
      </w:r>
      <w:r w:rsidRPr="009A4995">
        <w:rPr>
          <w:rFonts w:ascii="Arial" w:hAnsi="Arial" w:cs="Arial"/>
          <w:sz w:val="20"/>
          <w:szCs w:val="20"/>
          <w:vertAlign w:val="subscript"/>
        </w:rPr>
        <w:t>1</w:t>
      </w:r>
      <w:r w:rsidRPr="009A4995">
        <w:rPr>
          <w:rFonts w:ascii="Arial" w:hAnsi="Arial" w:cs="Arial"/>
          <w:sz w:val="20"/>
          <w:szCs w:val="20"/>
        </w:rPr>
        <w:t xml:space="preserve"> * Bin + r. Y</w:t>
      </w:r>
      <w:r w:rsidRPr="009A4995">
        <w:rPr>
          <w:rFonts w:ascii="Arial" w:hAnsi="Arial" w:cs="Arial"/>
          <w:sz w:val="20"/>
          <w:szCs w:val="20"/>
          <w:vertAlign w:val="subscript"/>
        </w:rPr>
        <w:t xml:space="preserve"> </w:t>
      </w:r>
      <w:r w:rsidRPr="009A4995">
        <w:rPr>
          <w:rFonts w:ascii="Arial" w:hAnsi="Arial" w:cs="Arial"/>
          <w:sz w:val="20"/>
          <w:szCs w:val="20"/>
        </w:rPr>
        <w:t>is the beta value modulated by the global similarity rating, β</w:t>
      </w:r>
      <w:r w:rsidRPr="009A4995">
        <w:rPr>
          <w:rFonts w:ascii="Arial" w:hAnsi="Arial" w:cs="Arial"/>
          <w:sz w:val="20"/>
          <w:szCs w:val="20"/>
          <w:vertAlign w:val="subscript"/>
        </w:rPr>
        <w:t xml:space="preserve">0 </w:t>
      </w:r>
      <w:r w:rsidRPr="009A4995">
        <w:rPr>
          <w:rFonts w:ascii="Arial" w:hAnsi="Arial" w:cs="Arial"/>
          <w:sz w:val="20"/>
          <w:szCs w:val="20"/>
        </w:rPr>
        <w:t>is intercept, β</w:t>
      </w:r>
      <w:r w:rsidRPr="009A4995">
        <w:rPr>
          <w:rFonts w:ascii="Arial" w:hAnsi="Arial" w:cs="Arial"/>
          <w:sz w:val="20"/>
          <w:szCs w:val="20"/>
          <w:vertAlign w:val="subscript"/>
        </w:rPr>
        <w:t>1</w:t>
      </w:r>
      <w:r w:rsidRPr="009A4995">
        <w:rPr>
          <w:rFonts w:ascii="Arial" w:hAnsi="Arial" w:cs="Arial"/>
          <w:sz w:val="20"/>
          <w:szCs w:val="20"/>
        </w:rPr>
        <w:t xml:space="preserve"> is the linear rate of change across gradient bins and r is the residual. We examined models that additionally included higher order effects of gradient bin, including quadratic and cubic effects up to the ninth-order effect, to examine whether these additional terms improved the model fit according to -2 log likelihood. The parameter estimates are provided in Tables S1 and S2. Finally, to test the robustness of the linear effect between the effect of the task manipulation and the connectivity gradient bin, we divided all the voxels within the semantic mask into 20 bins according to their functional connectivity gradient values (Figure S6A) and then repeated the linear mixed effects analysis.</w:t>
      </w:r>
    </w:p>
    <w:p w14:paraId="05F75CF3" w14:textId="77777777" w:rsidR="004F0C95" w:rsidRPr="009A4995" w:rsidRDefault="004F0C95" w:rsidP="004F0C95">
      <w:pPr>
        <w:spacing w:before="100" w:beforeAutospacing="1" w:after="100" w:afterAutospacing="1" w:line="480" w:lineRule="auto"/>
        <w:jc w:val="both"/>
        <w:rPr>
          <w:rFonts w:ascii="Arial" w:hAnsi="Arial" w:cs="Arial"/>
          <w:sz w:val="20"/>
          <w:szCs w:val="20"/>
        </w:rPr>
      </w:pPr>
      <w:r w:rsidRPr="009A4995">
        <w:rPr>
          <w:rFonts w:ascii="Arial" w:hAnsi="Arial" w:cs="Arial"/>
          <w:b/>
          <w:sz w:val="20"/>
          <w:szCs w:val="20"/>
        </w:rPr>
        <w:lastRenderedPageBreak/>
        <w:t>Table S1:</w:t>
      </w:r>
      <w:r w:rsidRPr="009A4995">
        <w:rPr>
          <w:rFonts w:ascii="Arial" w:hAnsi="Arial" w:cs="Arial"/>
          <w:sz w:val="20"/>
          <w:szCs w:val="20"/>
        </w:rPr>
        <w:t xml:space="preserve"> Relationship between connectivity and task gradient for matching trials examined using linear mixed effects modelling using 10 bins. Table of fixed effects. </w:t>
      </w:r>
    </w:p>
    <w:tbl>
      <w:tblPr>
        <w:tblStyle w:val="TableGrid"/>
        <w:tblW w:w="9754" w:type="dxa"/>
        <w:tblBorders>
          <w:left w:val="none" w:sz="0" w:space="0" w:color="auto"/>
          <w:right w:val="none" w:sz="0" w:space="0" w:color="auto"/>
        </w:tblBorders>
        <w:tblLook w:val="04A0" w:firstRow="1" w:lastRow="0" w:firstColumn="1" w:lastColumn="0" w:noHBand="0" w:noVBand="1"/>
      </w:tblPr>
      <w:tblGrid>
        <w:gridCol w:w="3402"/>
        <w:gridCol w:w="1588"/>
        <w:gridCol w:w="1588"/>
        <w:gridCol w:w="1588"/>
        <w:gridCol w:w="1588"/>
      </w:tblGrid>
      <w:tr w:rsidR="004F0C95" w:rsidRPr="009A4995" w14:paraId="7873080D" w14:textId="77777777" w:rsidTr="0017223B">
        <w:tc>
          <w:tcPr>
            <w:tcW w:w="3402" w:type="dxa"/>
            <w:tcBorders>
              <w:bottom w:val="single" w:sz="4" w:space="0" w:color="auto"/>
              <w:right w:val="nil"/>
            </w:tcBorders>
          </w:tcPr>
          <w:p w14:paraId="7DB57DC3"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Parameter</w:t>
            </w:r>
          </w:p>
        </w:tc>
        <w:tc>
          <w:tcPr>
            <w:tcW w:w="1588" w:type="dxa"/>
            <w:tcBorders>
              <w:left w:val="nil"/>
              <w:bottom w:val="single" w:sz="4" w:space="0" w:color="auto"/>
              <w:right w:val="nil"/>
            </w:tcBorders>
          </w:tcPr>
          <w:p w14:paraId="36A6977A"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Estimate</w:t>
            </w:r>
          </w:p>
        </w:tc>
        <w:tc>
          <w:tcPr>
            <w:tcW w:w="1588" w:type="dxa"/>
            <w:tcBorders>
              <w:left w:val="nil"/>
              <w:bottom w:val="single" w:sz="4" w:space="0" w:color="auto"/>
              <w:right w:val="nil"/>
            </w:tcBorders>
          </w:tcPr>
          <w:p w14:paraId="300E040E"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Standard Error</w:t>
            </w:r>
          </w:p>
        </w:tc>
        <w:tc>
          <w:tcPr>
            <w:tcW w:w="1588" w:type="dxa"/>
            <w:tcBorders>
              <w:left w:val="nil"/>
              <w:bottom w:val="single" w:sz="4" w:space="0" w:color="auto"/>
              <w:right w:val="nil"/>
            </w:tcBorders>
          </w:tcPr>
          <w:p w14:paraId="24BE53AC"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t</w:t>
            </w:r>
          </w:p>
        </w:tc>
        <w:tc>
          <w:tcPr>
            <w:tcW w:w="1588" w:type="dxa"/>
            <w:tcBorders>
              <w:left w:val="nil"/>
              <w:bottom w:val="single" w:sz="4" w:space="0" w:color="auto"/>
            </w:tcBorders>
          </w:tcPr>
          <w:p w14:paraId="349CA502"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p</w:t>
            </w:r>
          </w:p>
        </w:tc>
      </w:tr>
      <w:tr w:rsidR="004F0C95" w:rsidRPr="009A4995" w14:paraId="40B0ED01" w14:textId="77777777" w:rsidTr="0017223B">
        <w:tc>
          <w:tcPr>
            <w:tcW w:w="3402" w:type="dxa"/>
            <w:tcBorders>
              <w:bottom w:val="nil"/>
              <w:right w:val="nil"/>
            </w:tcBorders>
            <w:vAlign w:val="center"/>
          </w:tcPr>
          <w:p w14:paraId="7008E21E"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Intercept</w:t>
            </w:r>
          </w:p>
        </w:tc>
        <w:tc>
          <w:tcPr>
            <w:tcW w:w="1588" w:type="dxa"/>
            <w:tcBorders>
              <w:left w:val="nil"/>
              <w:bottom w:val="nil"/>
              <w:right w:val="nil"/>
            </w:tcBorders>
            <w:vAlign w:val="center"/>
          </w:tcPr>
          <w:p w14:paraId="1FD77B6E"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-3.69</w:t>
            </w:r>
          </w:p>
        </w:tc>
        <w:tc>
          <w:tcPr>
            <w:tcW w:w="1588" w:type="dxa"/>
            <w:tcBorders>
              <w:left w:val="nil"/>
              <w:bottom w:val="nil"/>
              <w:right w:val="nil"/>
            </w:tcBorders>
            <w:vAlign w:val="center"/>
          </w:tcPr>
          <w:p w14:paraId="28A6FF68"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2.24</w:t>
            </w:r>
          </w:p>
        </w:tc>
        <w:tc>
          <w:tcPr>
            <w:tcW w:w="1588" w:type="dxa"/>
            <w:tcBorders>
              <w:left w:val="nil"/>
              <w:bottom w:val="nil"/>
              <w:right w:val="nil"/>
            </w:tcBorders>
            <w:vAlign w:val="center"/>
          </w:tcPr>
          <w:p w14:paraId="29A10775"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-1.65</w:t>
            </w:r>
          </w:p>
        </w:tc>
        <w:tc>
          <w:tcPr>
            <w:tcW w:w="1588" w:type="dxa"/>
            <w:tcBorders>
              <w:left w:val="nil"/>
              <w:bottom w:val="nil"/>
            </w:tcBorders>
            <w:vAlign w:val="center"/>
          </w:tcPr>
          <w:p w14:paraId="21A7E2B5"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.11</w:t>
            </w:r>
          </w:p>
        </w:tc>
      </w:tr>
      <w:tr w:rsidR="004F0C95" w:rsidRPr="009A4995" w14:paraId="1042E28C" w14:textId="77777777" w:rsidTr="0017223B">
        <w:tc>
          <w:tcPr>
            <w:tcW w:w="3402" w:type="dxa"/>
            <w:tcBorders>
              <w:top w:val="nil"/>
              <w:right w:val="nil"/>
            </w:tcBorders>
            <w:vAlign w:val="center"/>
          </w:tcPr>
          <w:p w14:paraId="5E81227E"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Connectivity gradient linear effect</w:t>
            </w:r>
          </w:p>
        </w:tc>
        <w:tc>
          <w:tcPr>
            <w:tcW w:w="1588" w:type="dxa"/>
            <w:tcBorders>
              <w:top w:val="nil"/>
              <w:left w:val="nil"/>
              <w:right w:val="nil"/>
            </w:tcBorders>
            <w:vAlign w:val="center"/>
          </w:tcPr>
          <w:p w14:paraId="1B152187"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0.55</w:t>
            </w:r>
          </w:p>
        </w:tc>
        <w:tc>
          <w:tcPr>
            <w:tcW w:w="1588" w:type="dxa"/>
            <w:tcBorders>
              <w:top w:val="nil"/>
              <w:left w:val="nil"/>
              <w:right w:val="nil"/>
            </w:tcBorders>
            <w:vAlign w:val="center"/>
          </w:tcPr>
          <w:p w14:paraId="14B40526"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0.23</w:t>
            </w:r>
          </w:p>
        </w:tc>
        <w:tc>
          <w:tcPr>
            <w:tcW w:w="1588" w:type="dxa"/>
            <w:tcBorders>
              <w:top w:val="nil"/>
              <w:left w:val="nil"/>
              <w:right w:val="nil"/>
            </w:tcBorders>
            <w:vAlign w:val="center"/>
          </w:tcPr>
          <w:p w14:paraId="593632C2"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2.36</w:t>
            </w:r>
          </w:p>
        </w:tc>
        <w:tc>
          <w:tcPr>
            <w:tcW w:w="1588" w:type="dxa"/>
            <w:tcBorders>
              <w:top w:val="nil"/>
              <w:left w:val="nil"/>
            </w:tcBorders>
            <w:vAlign w:val="center"/>
          </w:tcPr>
          <w:p w14:paraId="0F461FE9"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.02</w:t>
            </w:r>
          </w:p>
        </w:tc>
      </w:tr>
    </w:tbl>
    <w:p w14:paraId="70F9D179" w14:textId="77777777" w:rsidR="004F0C95" w:rsidRPr="009A4995" w:rsidRDefault="004F0C95" w:rsidP="004F0C95">
      <w:pPr>
        <w:spacing w:before="100" w:beforeAutospacing="1" w:after="100" w:afterAutospacing="1" w:line="480" w:lineRule="auto"/>
        <w:jc w:val="both"/>
        <w:rPr>
          <w:rFonts w:ascii="Arial" w:hAnsi="Arial" w:cs="Arial"/>
          <w:sz w:val="20"/>
          <w:szCs w:val="20"/>
        </w:rPr>
      </w:pPr>
      <w:r w:rsidRPr="009A4995">
        <w:rPr>
          <w:rFonts w:ascii="Arial" w:hAnsi="Arial" w:cs="Arial"/>
          <w:b/>
          <w:sz w:val="20"/>
          <w:szCs w:val="20"/>
        </w:rPr>
        <w:t>Table S2:</w:t>
      </w:r>
      <w:r w:rsidRPr="009A4995">
        <w:rPr>
          <w:rFonts w:ascii="Arial" w:hAnsi="Arial" w:cs="Arial"/>
          <w:sz w:val="20"/>
          <w:szCs w:val="20"/>
        </w:rPr>
        <w:t xml:space="preserve"> Relationship between connectivity and task gradient for matching trials examined using linear mixed effects modelling using 10 bins. Table of random effects.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2886"/>
        <w:gridCol w:w="2869"/>
      </w:tblGrid>
      <w:tr w:rsidR="004F0C95" w:rsidRPr="009A4995" w14:paraId="4A4219ED" w14:textId="77777777" w:rsidTr="0017223B">
        <w:tc>
          <w:tcPr>
            <w:tcW w:w="3005" w:type="dxa"/>
            <w:tcBorders>
              <w:top w:val="single" w:sz="4" w:space="0" w:color="auto"/>
              <w:bottom w:val="single" w:sz="4" w:space="0" w:color="auto"/>
            </w:tcBorders>
            <w:vAlign w:val="center"/>
          </w:tcPr>
          <w:p w14:paraId="3AE60D23"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Groups</w:t>
            </w:r>
          </w:p>
        </w:tc>
        <w:tc>
          <w:tcPr>
            <w:tcW w:w="3005" w:type="dxa"/>
            <w:tcBorders>
              <w:top w:val="single" w:sz="4" w:space="0" w:color="auto"/>
              <w:bottom w:val="single" w:sz="4" w:space="0" w:color="auto"/>
            </w:tcBorders>
            <w:vAlign w:val="center"/>
          </w:tcPr>
          <w:p w14:paraId="2692CD0F"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Variance</w:t>
            </w:r>
          </w:p>
        </w:tc>
        <w:tc>
          <w:tcPr>
            <w:tcW w:w="3006" w:type="dxa"/>
            <w:tcBorders>
              <w:top w:val="single" w:sz="4" w:space="0" w:color="auto"/>
              <w:bottom w:val="single" w:sz="4" w:space="0" w:color="auto"/>
            </w:tcBorders>
            <w:vAlign w:val="center"/>
          </w:tcPr>
          <w:p w14:paraId="68D18E04"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SD</w:t>
            </w:r>
          </w:p>
        </w:tc>
      </w:tr>
      <w:tr w:rsidR="004F0C95" w:rsidRPr="009A4995" w14:paraId="6855D5FE" w14:textId="77777777" w:rsidTr="0017223B">
        <w:tc>
          <w:tcPr>
            <w:tcW w:w="3005" w:type="dxa"/>
            <w:tcBorders>
              <w:top w:val="single" w:sz="4" w:space="0" w:color="auto"/>
            </w:tcBorders>
            <w:vAlign w:val="center"/>
          </w:tcPr>
          <w:p w14:paraId="64E97735"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Subject intercept</w:t>
            </w:r>
          </w:p>
        </w:tc>
        <w:tc>
          <w:tcPr>
            <w:tcW w:w="3005" w:type="dxa"/>
            <w:tcBorders>
              <w:top w:val="single" w:sz="4" w:space="0" w:color="auto"/>
            </w:tcBorders>
            <w:vAlign w:val="center"/>
          </w:tcPr>
          <w:p w14:paraId="6B8F0B7C"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87.34</w:t>
            </w:r>
          </w:p>
        </w:tc>
        <w:tc>
          <w:tcPr>
            <w:tcW w:w="3006" w:type="dxa"/>
            <w:tcBorders>
              <w:top w:val="single" w:sz="4" w:space="0" w:color="auto"/>
            </w:tcBorders>
            <w:vAlign w:val="center"/>
          </w:tcPr>
          <w:p w14:paraId="69B88F14"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9.35</w:t>
            </w:r>
          </w:p>
        </w:tc>
      </w:tr>
      <w:tr w:rsidR="004F0C95" w:rsidRPr="009A4995" w14:paraId="574DDA72" w14:textId="77777777" w:rsidTr="0017223B">
        <w:tc>
          <w:tcPr>
            <w:tcW w:w="3005" w:type="dxa"/>
            <w:vAlign w:val="center"/>
          </w:tcPr>
          <w:p w14:paraId="3FFF6869"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Subject slope</w:t>
            </w:r>
          </w:p>
        </w:tc>
        <w:tc>
          <w:tcPr>
            <w:tcW w:w="3005" w:type="dxa"/>
            <w:vAlign w:val="center"/>
          </w:tcPr>
          <w:p w14:paraId="445556A4"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0.25</w:t>
            </w:r>
          </w:p>
        </w:tc>
        <w:tc>
          <w:tcPr>
            <w:tcW w:w="3006" w:type="dxa"/>
            <w:vAlign w:val="center"/>
          </w:tcPr>
          <w:p w14:paraId="18E9AAE5"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0.50</w:t>
            </w:r>
          </w:p>
        </w:tc>
      </w:tr>
      <w:tr w:rsidR="004F0C95" w:rsidRPr="009A4995" w14:paraId="3A8066B8" w14:textId="77777777" w:rsidTr="0017223B">
        <w:tc>
          <w:tcPr>
            <w:tcW w:w="3005" w:type="dxa"/>
            <w:vAlign w:val="center"/>
          </w:tcPr>
          <w:p w14:paraId="60C23DA6"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Run intercept</w:t>
            </w:r>
          </w:p>
        </w:tc>
        <w:tc>
          <w:tcPr>
            <w:tcW w:w="3005" w:type="dxa"/>
            <w:vAlign w:val="center"/>
          </w:tcPr>
          <w:p w14:paraId="16C3FB46"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1.32</w:t>
            </w:r>
          </w:p>
        </w:tc>
        <w:tc>
          <w:tcPr>
            <w:tcW w:w="3006" w:type="dxa"/>
            <w:vAlign w:val="center"/>
          </w:tcPr>
          <w:p w14:paraId="778B6A78"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1.15</w:t>
            </w:r>
          </w:p>
        </w:tc>
      </w:tr>
      <w:tr w:rsidR="004F0C95" w:rsidRPr="009A4995" w14:paraId="5F270889" w14:textId="77777777" w:rsidTr="0017223B">
        <w:tc>
          <w:tcPr>
            <w:tcW w:w="3005" w:type="dxa"/>
            <w:vAlign w:val="center"/>
          </w:tcPr>
          <w:p w14:paraId="6AF174B0"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Residual</w:t>
            </w:r>
          </w:p>
        </w:tc>
        <w:tc>
          <w:tcPr>
            <w:tcW w:w="3005" w:type="dxa"/>
            <w:vAlign w:val="center"/>
          </w:tcPr>
          <w:p w14:paraId="4C166797"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443.70</w:t>
            </w:r>
          </w:p>
        </w:tc>
        <w:tc>
          <w:tcPr>
            <w:tcW w:w="3006" w:type="dxa"/>
            <w:vAlign w:val="center"/>
          </w:tcPr>
          <w:p w14:paraId="1290FC2D"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21.06</w:t>
            </w:r>
          </w:p>
        </w:tc>
      </w:tr>
    </w:tbl>
    <w:p w14:paraId="777F66D4" w14:textId="77777777" w:rsidR="004F0C95" w:rsidRPr="009A4995" w:rsidRDefault="004F0C95" w:rsidP="004F0C95">
      <w:pPr>
        <w:spacing w:line="480" w:lineRule="auto"/>
        <w:rPr>
          <w:rFonts w:ascii="Arial" w:hAnsi="Arial" w:cs="Arial"/>
          <w:sz w:val="20"/>
          <w:szCs w:val="20"/>
        </w:rPr>
      </w:pPr>
    </w:p>
    <w:p w14:paraId="6D98C4E7" w14:textId="77777777" w:rsidR="004F0C95" w:rsidRPr="009A4995" w:rsidRDefault="004F0C95" w:rsidP="004F0C95">
      <w:pPr>
        <w:pStyle w:val="Style3"/>
      </w:pPr>
      <w:r w:rsidRPr="009A4995">
        <w:t xml:space="preserve">2.3. Data analysis for non-matching trials </w:t>
      </w:r>
    </w:p>
    <w:p w14:paraId="18C6D5B8"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 xml:space="preserve">To establish whether the effect we found for the matching trials could be explained by task difficulty, we examined the non-matching trials, in which probe and target did not share the specified feature. For these items, global semantic similarity was associated with poorer accuracy and no significant change in response time (while for the matching trials, global semantic similarity was linked to better performance). We modelled the parametric effect of global feature similarity by entering the demeaned global semantic similarity ratings for correct non-matching trials as a parametric regressor. We also modelled the main effect of task, the instruction period, two inter-stimulus interval periods, probe presentation, matching trials in which probe and target shared the specified feature, and incorrect trials. We examined the spatial correspondence between the task gradient for non-matching trials and the connectivity gradient by computing correlations across the whole brain and within semantic regions defined using a meta-analytic </w:t>
      </w:r>
      <w:r w:rsidRPr="009A4995">
        <w:rPr>
          <w:rFonts w:ascii="Arial" w:hAnsi="Arial" w:cs="Arial"/>
          <w:sz w:val="20"/>
          <w:szCs w:val="20"/>
        </w:rPr>
        <w:lastRenderedPageBreak/>
        <w:t xml:space="preserve">mask for the term “semantic” from Neurosynth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{"citationItems":[{"id":"ITEM-1","itemData":{"DOI":"10.1038/nmeth.1635","ISSN":"15487091","abstract":"BACKGROUND: A central goal of human neuroimaging research is to map relationships between mind and brain, enabling decoding of cognitive states from brain activity (Norman, Polyn, Detre, &amp; Haxby, 2006; Poldrack, Halchenko, &amp; Hanson, 2009). Previous decoding approaches have focused on discriminating between narrow sets of alternative states, overlooking the vast range of cognitive states human beings can experience. Here we introduce a novel framework called NeuroSynth that uses text mining and meta-analysis techniques to automatically produce accurate mappings between brain activity and a large number of broad cognitive states, providing a valuable new resource for a broad range of neuroimaging applications. The NeuroSynth framework consists of several components. First, an automated parser was used to extract activation coordinates from published neuroimaging studies. The current database contains nearly 145,000 activation foci drawn from over 4,400 studies. Second, all articles were ?tagged? with words and phrases that occur at high frequency within the article text, enabling rapid search and filtering. Third, meta-analysis was used to automatically produce whole-brain meta-analysis maps for over 200 distinct psychological concepts, each based on several hundred studies. Fourth, a na?ve Bayes classifier was used to classify the probability of specific concepts or states being present given new patterns of activation as input, enabling open-ended decoding and classification of brain activity in both entire studies and individual subjects. Validation analyses demonstrated the capacity of the NeuroSynth framework to generate meta-analysis maps that closely replicated previous results for many concepts (e.g., pain, emotion, and working memory). Subsequently, we used NeuroSynth to address two long-standing problems in neuroimaging. First, we addressed the well-known problem of reverse inference (Poldrack, 2006) by quantifying the likelihood of specific psychological processes given observed activation patterns. The results identified numerous cases in which reverse inference analyses identified results discrepant with prior findings (e.g., the lack of selectivity of medial frontal function, and the preferential role of posterior rather than anterior insula in pain). Second, we used a na?ve Bayes classifier to successfully ?decode? which of several psychological states individual subjects were experiencing given only patterns of brain activity, representing…","author":[{"dropping-particle":"","family":"Yarkoni","given":"Tal","non-dropping-particle":"","parse-names":false,"suffix":""},{"dropping-particle":"","family":"Poldrack","given":"Russell A.","non-dropping-particle":"","parse-names":false,"suffix":""},{"dropping-particle":"","family":"Nichols","given":"Thomas E.","non-dropping-particle":"","parse-names":false,"suffix":""},{"dropping-particle":"","family":"Essen","given":"David C.","non-dropping-particle":"Van","parse-names":false,"suffix":""},{"dropping-particle":"","family":"Wager","given":"Tor D.","non-dropping-particle":"","parse-names":false,"suffix":""}],"container-title":"Nature Methods","id":"ITEM-1","issue":"8","issued":{"date-parts":[["2011"]]},"page":"665-670","title":"Large-scale automated synthesis of human functional neuroimaging data","type":"article-journal","volume":"8"},"uris":["http://www.mendeley.com/documents/?uuid=085ae679-dc71-457d-8293-f3e706e67f10"]}],"mendeley":{"formattedCitation":"(Yarkoni et al., 2011)","plainTextFormattedCitation":"(Yarkoni et al., 2011)","previouslyFormattedCitation":"(Yarkoni et al., 2011)"},"properties":{"noteIndex":0},"schema":"https://github.com/citation-style-language/schema/raw/master/csl-citation.json"}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(Yarkoni et al., 2011)</w:t>
      </w:r>
      <w:r w:rsidRPr="009A4995">
        <w:rPr>
          <w:rFonts w:ascii="Arial" w:hAnsi="Arial" w:cs="Arial"/>
          <w:sz w:val="20"/>
          <w:szCs w:val="20"/>
        </w:rPr>
        <w:fldChar w:fldCharType="end"/>
      </w:r>
      <w:r w:rsidRPr="009A4995">
        <w:rPr>
          <w:rFonts w:ascii="Arial" w:hAnsi="Arial" w:cs="Arial"/>
          <w:sz w:val="20"/>
          <w:szCs w:val="20"/>
        </w:rPr>
        <w:t>. To establish whether systematic functional change along the connectivity gradient was seen in multiple cortical areas linked to semantic processing, we examined anatomical masks in lateral frontal, medial frontal, temporal and parietal areas. Finally, we investigated whether there was a linear (or more complex) relationship between the effect of global semantic similarity and the connectivity gradient bin for the non-matching trials, using a linear mixed effects model (see above).</w:t>
      </w:r>
    </w:p>
    <w:p w14:paraId="1F01BACE" w14:textId="77777777" w:rsidR="004F0C95" w:rsidRPr="009A4995" w:rsidRDefault="004F0C95" w:rsidP="004F0C95">
      <w:pPr>
        <w:pStyle w:val="Style1"/>
        <w:spacing w:before="100" w:beforeAutospacing="1" w:after="100" w:afterAutospacing="1" w:line="480" w:lineRule="auto"/>
        <w:rPr>
          <w:rFonts w:cs="Arial"/>
          <w:sz w:val="20"/>
          <w:szCs w:val="20"/>
        </w:rPr>
      </w:pPr>
      <w:r w:rsidRPr="009A4995">
        <w:rPr>
          <w:rFonts w:cs="Arial"/>
          <w:sz w:val="20"/>
          <w:szCs w:val="20"/>
        </w:rPr>
        <w:t>3. Supplementary Results</w:t>
      </w:r>
    </w:p>
    <w:p w14:paraId="206824D7" w14:textId="77777777" w:rsidR="004F0C95" w:rsidRPr="009A4995" w:rsidRDefault="004F0C95" w:rsidP="004F0C95">
      <w:pPr>
        <w:pStyle w:val="Style3"/>
      </w:pPr>
      <w:r w:rsidRPr="009A4995">
        <w:t>3.1. The parametric effect of global semantic overlap and mean effect of the task</w:t>
      </w:r>
    </w:p>
    <w:p w14:paraId="565A01D4" w14:textId="77777777" w:rsidR="004F0C95" w:rsidRPr="009A4995" w:rsidRDefault="004F0C95" w:rsidP="004F0C95">
      <w:pPr>
        <w:keepNext/>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Figure S3 shows the mean effect of the semantic task alongside the parametric effect of the task gradient for matching trials and non-matching trials, respectively. The task was shown to elicit significant activation in ‘task-positive’ regions of the multiple demand network (MDN), including inferior frontal sulcus, intraparietal sulcus and pre-supplementary motor area (Family-Wise Error (FWE) -corrected, z = 3.1, p &lt; 0.05) for matching trials (Figure S3B) and non-matching trials (Figure S3F).</w:t>
      </w:r>
    </w:p>
    <w:p w14:paraId="560504EC"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 xml:space="preserve">Figure S3E shows the parametric effect of global feature overlap for the non-matching trials across all voxels (i.e., the unthresholded map of the task gradient). Positive effects of the task gradient (i.e., a stronger BOLD response when items shared more features) can be seen within lateral anterior-to-mid temporal cortex, angular gyrus and medial and superior frontal regions. Negative effects of this variable (i.e. stronger activation for trials with lower global semantic overlap) were found in intraparietal sulcus, inferior frontal sulcus and pre-supplementary motor area. These effects are similar to those observed for the matching trials (Figure S3A). The unthresholded maps characterising the effects of global semantic similarity for matching and non-matching trials were positively correlated (r = 0.11, p &lt; 0.001 across the whole brain; r = 0.20, p &lt; 0.001 within a semantic mask defined by Neurosynth). </w:t>
      </w:r>
    </w:p>
    <w:p w14:paraId="199AA296" w14:textId="77777777" w:rsidR="004F0C95" w:rsidRPr="009A4995" w:rsidRDefault="004F0C95" w:rsidP="004F0C95">
      <w:pPr>
        <w:spacing w:before="100" w:beforeAutospacing="1" w:after="100" w:afterAutospacing="1" w:line="480" w:lineRule="auto"/>
        <w:rPr>
          <w:rFonts w:ascii="Arial" w:hAnsi="Arial" w:cs="Arial"/>
          <w:b/>
          <w:sz w:val="20"/>
          <w:szCs w:val="20"/>
        </w:rPr>
      </w:pPr>
      <w:r w:rsidRPr="009A4995">
        <w:rPr>
          <w:rFonts w:ascii="Arial" w:hAnsi="Arial" w:cs="Arial"/>
          <w:noProof/>
          <w:sz w:val="20"/>
          <w:szCs w:val="20"/>
          <w:lang w:val="en-GB" w:eastAsia="zh-CN"/>
        </w:rPr>
        <w:lastRenderedPageBreak/>
        <w:drawing>
          <wp:inline distT="0" distB="0" distL="0" distR="0" wp14:anchorId="7E339A84" wp14:editId="1CBBAF5E">
            <wp:extent cx="5731510" cy="21596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159635"/>
                    </a:xfrm>
                    <a:prstGeom prst="rect">
                      <a:avLst/>
                    </a:prstGeom>
                  </pic:spPr>
                </pic:pic>
              </a:graphicData>
            </a:graphic>
          </wp:inline>
        </w:drawing>
      </w:r>
    </w:p>
    <w:p w14:paraId="5C5C0798"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b/>
          <w:sz w:val="20"/>
          <w:szCs w:val="20"/>
        </w:rPr>
        <w:t>Figure S3.</w:t>
      </w:r>
      <w:r w:rsidRPr="009A4995">
        <w:rPr>
          <w:rFonts w:ascii="Arial" w:hAnsi="Arial" w:cs="Arial"/>
          <w:sz w:val="20"/>
          <w:szCs w:val="20"/>
        </w:rPr>
        <w:t xml:space="preserve"> A - Unthresholded map of the task gradient for matching trials: i.e. parametric manipulation of global semantic similarity. Warm colours = positively correlated activity [stronger response when task-irrelevant semantic features were shared between probe and target]. Cool colours = negatively correlated activity [stronger response when only the goal feature was shared between probe and target]. B - Unthresholded and thresholded (FWE-corrected, z = 3.1, p &lt; 0.05) mean effect of the feature matching task for matching trials, which corresponds to the intercept in the parametric analysis. C and D – Correlations between the task gradient for matching trials and the connectivity gradient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(Margulies et al., 2016)</w:t>
      </w:r>
      <w:r w:rsidRPr="009A4995">
        <w:rPr>
          <w:rFonts w:ascii="Arial" w:hAnsi="Arial" w:cs="Arial"/>
          <w:sz w:val="20"/>
          <w:szCs w:val="20"/>
        </w:rPr>
        <w:fldChar w:fldCharType="end"/>
      </w:r>
      <w:r w:rsidRPr="009A4995">
        <w:rPr>
          <w:rFonts w:ascii="Arial" w:hAnsi="Arial" w:cs="Arial"/>
          <w:sz w:val="20"/>
          <w:szCs w:val="20"/>
        </w:rPr>
        <w:t xml:space="preserve"> across the whole brain and within the semantic mask defined using Neurosynth. E - Unthresholded map of the task gradient for non-matching trials: i.e. parametric manipulation of global semantic similarity. Warm colours = positively correlated activity [stronger response when task-irrelevant semantic features were shared between probe and target]. Cool colours = negatively correlated activity [stronger response when no features were shared between probe and target]. F - Unthresholded and thresholded (FWE-corrected, z = 3.1, p &lt; 0.05) mean effect of the feature matching task for non-matching trials, which corresponds to the intercept in the parametric analysis. G and H – Correlations between the task gradient for non-matching trials and the connectivity gradient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(Margulies et al., 2016)</w:t>
      </w:r>
      <w:r w:rsidRPr="009A4995">
        <w:rPr>
          <w:rFonts w:ascii="Arial" w:hAnsi="Arial" w:cs="Arial"/>
          <w:sz w:val="20"/>
          <w:szCs w:val="20"/>
        </w:rPr>
        <w:fldChar w:fldCharType="end"/>
      </w:r>
      <w:r w:rsidRPr="009A4995">
        <w:rPr>
          <w:rFonts w:ascii="Arial" w:hAnsi="Arial" w:cs="Arial"/>
          <w:sz w:val="20"/>
          <w:szCs w:val="20"/>
        </w:rPr>
        <w:t xml:space="preserve"> across the whole brain and within the semantic mask defined using Neurosynth.  </w:t>
      </w:r>
    </w:p>
    <w:p w14:paraId="519C2769" w14:textId="77777777" w:rsidR="004F0C95" w:rsidRPr="009A4995" w:rsidRDefault="004F0C95" w:rsidP="004F0C95">
      <w:pPr>
        <w:pStyle w:val="Style3"/>
      </w:pPr>
      <w:r w:rsidRPr="009A4995">
        <w:lastRenderedPageBreak/>
        <w:t xml:space="preserve">3.2. Correlation between connectivity gradient and task gradient for matching versus non-matching trials </w:t>
      </w:r>
    </w:p>
    <w:p w14:paraId="6EA0D523"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 xml:space="preserve">In line with the pattern observed for matching trials, there were significant positive correlations between the connectivity gradient and the effect of the task gradient for non-matching trials (Figure S3G, Figure S3H), even though the trials with higher global semantic similarity were no longer easier. Non-matching trials in which the probe and target shared more non-target features elicited more activation towards the DMN-end of the gradient, despite these trials having lower accuracy. We also found a significant correlation between the task gradient and the connectivity gradient in all four anatomical zones both within a semantic mask (Figure S5) and when all voxels within these zones were included (Figure S4; see main text for the equivalent analysis for matching trials). These analyses together suggest that the relationship between the task gradient and the connectivity gradient reported in the main analysis for matching trials did not reflect task difficulty, and instead was associated with the semantic match between the items in long-term memory. </w:t>
      </w:r>
    </w:p>
    <w:p w14:paraId="2B1D926F"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For non-matching trials, the correlations between the task gradient and the connectivity gradient were significantly stronger when including all the voxels in each zone compared with only voxels associated with semantic processing (falling within a semantic mask from Neurosynth), in lateral frontal (z = 7.87, p &lt; 0.001), medial frontal (z = 6.42, p &lt; 0.001) and lateral parietal (z = 2.76, p = 0.006) regions. There was no difference in the strength of this correlation between the connectivity gradient and task gradient for non-matching trials with and without the application of the semantic mask in lateral temporal cortex (z = 0.97, p = 0.33).</w:t>
      </w:r>
    </w:p>
    <w:p w14:paraId="28876366"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 xml:space="preserve">For matching trials, the correlations between the task gradient and the connectivity gradient were significantly stronger when only voxels associated with semantic processing (falling within a semantic mask from Neurosynth) were included in the analysis, both in medial frontal (z = 6.16, p &lt; 0.001) and lateral temporal (z = 7.21, p &lt; 0.001) regions. This effect resembles the pattern seen across the whole brain (see main text). There was no difference in the strength of </w:t>
      </w:r>
      <w:r w:rsidRPr="009A4995">
        <w:rPr>
          <w:rFonts w:ascii="Arial" w:hAnsi="Arial" w:cs="Arial"/>
          <w:sz w:val="20"/>
          <w:szCs w:val="20"/>
        </w:rPr>
        <w:lastRenderedPageBreak/>
        <w:t>this correlation for matching trials with and without the application of the semantic mask in lateral frontal (z = 0.74, p = 0.46) or lateral parietal cortex (z = 0.53, p = 0.60). Brain maps were visualized using BrainNet Viewer</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{"citationItems":[{"id":"ITEM-1","itemData":{"DOI":"10.1371/journal.pone.0068910","ISSN":"1932-6203","abstract":"The human brain is a complex system whose topological organization can be represented using connectomics. Recent studies have shown that human connectomes can be constructed using various neuroimaging technologies and further characterized using sophisticated analytic strategies, such as graph theory. These methods reveal the intriguing topological architectures of human brain networks in healthy populations and explore the changes throughout normal development and aging and under various pathological conditions. However, given the huge complexity of this methodology, toolboxes for graph-based network visualization are still lacking. Here, using MATLAB with a graphical user interface (GUI), we developed a graph-theoretical network visualization toolbox, called BrainNet Viewer, to illustrate human connectomes as ball-and-stick models. Within this toolbox, several combinations of defined files with connectome information can be loaded to display different combinations of brain surface, nodes and edges. In addition, display properties, such as the color and size of network elements or the layout of the figure, can be adjusted within a comprehensive but easy-to-use settings panel. Moreover, BrainNet Viewer draws the brain surface, nodes and edges in sequence and displays brain networks in multiple views, as required by the user. The figure can be manipulated with certain interaction functions to display more detailed information. Furthermore, the figures can be exported as commonly used image file formats or demonstration video for further use. BrainNet Viewer helps researchers to visualize brain networks in an easy, flexible and quick manner, and this software is freely available on the NITRC website (www.nitrc.org/projects/bnv/).","author":[{"dropping-particle":"","family":"Xia","given":"Mingrui","non-dropping-particle":"","parse-names":false,"suffix":""},{"dropping-particle":"","family":"Wang","given":"Jinhui","non-dropping-particle":"","parse-names":false,"suffix":""},{"dropping-particle":"","family":"He","given":"Yong","non-dropping-particle":"","parse-names":false,"suffix":""}],"container-title":"PLoS ONE","editor":[{"dropping-particle":"","family":"Csermely","given":"Peter","non-dropping-particle":"","parse-names":false,"suffix":""}],"id":"ITEM-1","issue":"7","issued":{"date-parts":[["2013","7","4"]]},"page":"e68910","publisher":"Public Library of Science","title":"BrainNet Viewer: A Network Visualization Tool for Human Brain Connectomics","type":"article-journal","volume":"8"},"uris":["http://www.mendeley.com/documents/?uuid=4498813d-6471-341a-bf45-96757f119217"]}],"mendeley":{"formattedCitation":"(Xia et al., 2013)","plainTextFormattedCitation":"(Xia et al., 2013)","previouslyFormattedCitation":"(Xia et al., 2013)"},"properties":{"noteIndex":0},"schema":"https://github.com/citation-style-language/schema/raw/master/csl-citation.json"}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(Xia et al., 2013)</w:t>
      </w:r>
      <w:r w:rsidRPr="009A4995">
        <w:rPr>
          <w:rFonts w:ascii="Arial" w:hAnsi="Arial" w:cs="Arial"/>
          <w:sz w:val="20"/>
          <w:szCs w:val="20"/>
        </w:rPr>
        <w:fldChar w:fldCharType="end"/>
      </w:r>
      <w:r w:rsidRPr="009A4995">
        <w:rPr>
          <w:rFonts w:ascii="Arial" w:hAnsi="Arial" w:cs="Arial"/>
          <w:sz w:val="20"/>
          <w:szCs w:val="20"/>
        </w:rPr>
        <w:t>.</w:t>
      </w:r>
    </w:p>
    <w:p w14:paraId="6CFD06EF"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noProof/>
          <w:sz w:val="20"/>
          <w:szCs w:val="20"/>
          <w:lang w:val="en-GB" w:eastAsia="zh-CN"/>
        </w:rPr>
        <w:drawing>
          <wp:inline distT="0" distB="0" distL="0" distR="0" wp14:anchorId="674374E6" wp14:editId="21E88DE6">
            <wp:extent cx="5486400" cy="2216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2216785"/>
                    </a:xfrm>
                    <a:prstGeom prst="rect">
                      <a:avLst/>
                    </a:prstGeom>
                  </pic:spPr>
                </pic:pic>
              </a:graphicData>
            </a:graphic>
          </wp:inline>
        </w:drawing>
      </w:r>
    </w:p>
    <w:p w14:paraId="41FFF895"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b/>
          <w:sz w:val="20"/>
          <w:szCs w:val="20"/>
        </w:rPr>
        <w:t>Figure S4.</w:t>
      </w:r>
      <w:r w:rsidRPr="009A4995">
        <w:rPr>
          <w:rFonts w:ascii="Arial" w:hAnsi="Arial" w:cs="Arial"/>
          <w:sz w:val="20"/>
          <w:szCs w:val="20"/>
        </w:rPr>
        <w:t xml:space="preserve"> A, B, C and D show the correlations between the task gradient for non-matching trials and the connectivity gradient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(Margulies et al., 2016)</w:t>
      </w:r>
      <w:r w:rsidRPr="009A4995">
        <w:rPr>
          <w:rFonts w:ascii="Arial" w:hAnsi="Arial" w:cs="Arial"/>
          <w:sz w:val="20"/>
          <w:szCs w:val="20"/>
        </w:rPr>
        <w:fldChar w:fldCharType="end"/>
      </w:r>
      <w:r w:rsidRPr="009A4995">
        <w:rPr>
          <w:rFonts w:ascii="Arial" w:hAnsi="Arial" w:cs="Arial"/>
          <w:sz w:val="20"/>
          <w:szCs w:val="20"/>
        </w:rPr>
        <w:t xml:space="preserve"> in lateral frontal, medial frontal, lateral temporal and lateral parietal cortex, respectively. The colour represents each voxel’s value on the connectivity gradient defined by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2016)","manualFormatting":"Margulies et al. (2016)","plainTextFormattedCitation":"(Margulies et al., 2016)","previouslyFormattedCitation":"(Margulies et al., 2016)"},"properties":{"noteIndex":0},"schema":"https://github.com/citation-style-language/schema/raw/master/csl-citation.json"}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Margulies et al. (2016)</w:t>
      </w:r>
      <w:r w:rsidRPr="009A4995">
        <w:rPr>
          <w:rFonts w:ascii="Arial" w:hAnsi="Arial" w:cs="Arial"/>
          <w:sz w:val="20"/>
          <w:szCs w:val="20"/>
        </w:rPr>
        <w:fldChar w:fldCharType="end"/>
      </w:r>
      <w:r w:rsidRPr="009A4995">
        <w:rPr>
          <w:rFonts w:ascii="Arial" w:hAnsi="Arial" w:cs="Arial"/>
          <w:sz w:val="20"/>
          <w:szCs w:val="20"/>
        </w:rPr>
        <w:t>.</w:t>
      </w:r>
      <w:r w:rsidRPr="009A4995" w:rsidDel="002A0967">
        <w:rPr>
          <w:rFonts w:ascii="Arial" w:hAnsi="Arial" w:cs="Arial"/>
          <w:sz w:val="20"/>
          <w:szCs w:val="20"/>
        </w:rPr>
        <w:t xml:space="preserve"> </w:t>
      </w:r>
      <w:r w:rsidRPr="009A4995">
        <w:rPr>
          <w:rFonts w:ascii="Arial" w:hAnsi="Arial" w:cs="Arial"/>
          <w:sz w:val="20"/>
          <w:szCs w:val="20"/>
        </w:rPr>
        <w:t>See main text for equivalent correlations for the matching trials.</w:t>
      </w:r>
    </w:p>
    <w:p w14:paraId="13F04C6A"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noProof/>
          <w:sz w:val="20"/>
          <w:szCs w:val="20"/>
          <w:lang w:val="en-GB" w:eastAsia="zh-CN"/>
        </w:rPr>
        <w:lastRenderedPageBreak/>
        <w:drawing>
          <wp:inline distT="0" distB="0" distL="0" distR="0" wp14:anchorId="71986B12" wp14:editId="7F508C6B">
            <wp:extent cx="5486400" cy="30391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039110"/>
                    </a:xfrm>
                    <a:prstGeom prst="rect">
                      <a:avLst/>
                    </a:prstGeom>
                  </pic:spPr>
                </pic:pic>
              </a:graphicData>
            </a:graphic>
          </wp:inline>
        </w:drawing>
      </w:r>
    </w:p>
    <w:p w14:paraId="04B041A6"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b/>
          <w:sz w:val="20"/>
          <w:szCs w:val="20"/>
        </w:rPr>
        <w:t>Figure S5.</w:t>
      </w:r>
      <w:r w:rsidRPr="009A4995">
        <w:rPr>
          <w:rFonts w:ascii="Arial" w:hAnsi="Arial" w:cs="Arial"/>
          <w:sz w:val="20"/>
          <w:szCs w:val="20"/>
        </w:rPr>
        <w:t xml:space="preserve"> Top panel: A, B, C and D show anatomical regions in lateral frontal, medial frontal, lateral temporal and lateral parietal zones, only including voxels identified as relevant to semantic processing using Neurosynth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{"citationItems":[{"id":"ITEM-1","itemData":{"DOI":"10.1038/nmeth.1635","ISSN":"15487091","abstract":"BACKGROUND: A central goal of human neuroimaging research is to map relationships between mind and brain, enabling decoding of cognitive states from brain activity (Norman, Polyn, Detre, &amp; Haxby, 2006; Poldrack, Halchenko, &amp; Hanson, 2009). Previous decoding approaches have focused on discriminating between narrow sets of alternative states, overlooking the vast range of cognitive states human beings can experience. Here we introduce a novel framework called NeuroSynth that uses text mining and meta-analysis techniques to automatically produce accurate mappings between brain activity and a large number of broad cognitive states, providing a valuable new resource for a broad range of neuroimaging applications. The NeuroSynth framework consists of several components. First, an automated parser was used to extract activation coordinates from published neuroimaging studies. The current database contains nearly 145,000 activation foci drawn from over 4,400 studies. Second, all articles were ?tagged? with words and phrases that occur at high frequency within the article text, enabling rapid search and filtering. Third, meta-analysis was used to automatically produce whole-brain meta-analysis maps for over 200 distinct psychological concepts, each based on several hundred studies. Fourth, a na?ve Bayes classifier was used to classify the probability of specific concepts or states being present given new patterns of activation as input, enabling open-ended decoding and classification of brain activity in both entire studies and individual subjects. Validation analyses demonstrated the capacity of the NeuroSynth framework to generate meta-analysis maps that closely replicated previous results for many concepts (e.g., pain, emotion, and working memory). Subsequently, we used NeuroSynth to address two long-standing problems in neuroimaging. First, we addressed the well-known problem of reverse inference (Poldrack, 2006) by quantifying the likelihood of specific psychological processes given observed activation patterns. The results identified numerous cases in which reverse inference analyses identified results discrepant with prior findings (e.g., the lack of selectivity of medial frontal function, and the preferential role of posterior rather than anterior insula in pain). Second, we used a na?ve Bayes classifier to successfully ?decode? which of several psychological states individual subjects were experiencing given only patterns of brain activity, representing…","author":[{"dropping-particle":"","family":"Yarkoni","given":"Tal","non-dropping-particle":"","parse-names":false,"suffix":""},{"dropping-particle":"","family":"Poldrack","given":"Russell A.","non-dropping-particle":"","parse-names":false,"suffix":""},{"dropping-particle":"","family":"Nichols","given":"Thomas E.","non-dropping-particle":"","parse-names":false,"suffix":""},{"dropping-particle":"","family":"Essen","given":"David C.","non-dropping-particle":"Van","parse-names":false,"suffix":""},{"dropping-particle":"","family":"Wager","given":"Tor D.","non-dropping-particle":"","parse-names":false,"suffix":""}],"container-title":"Nature Methods","id":"ITEM-1","issue":"8","issued":{"date-parts":[["2011"]]},"page":"665-670","title":"Large-scale automated synthesis of human functional neuroimaging data","type":"article-journal","volume":"8"},"uris":["http://www.mendeley.com/documents/?uuid=085ae679-dc71-457d-8293-f3e706e67f10"]}],"mendeley":{"formattedCitation":"(Yarkoni et al., 2011)","plainTextFormattedCitation":"(Yarkoni et al., 2011)","previouslyFormattedCitation":"(Yarkoni et al., 2011)"},"properties":{"noteIndex":0},"schema":"https://github.com/citation-style-language/schema/raw/master/csl-citation.json"}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(Yarkoni et al., 2011)</w:t>
      </w:r>
      <w:r w:rsidRPr="009A4995">
        <w:rPr>
          <w:rFonts w:ascii="Arial" w:hAnsi="Arial" w:cs="Arial"/>
          <w:sz w:val="20"/>
          <w:szCs w:val="20"/>
        </w:rPr>
        <w:fldChar w:fldCharType="end"/>
      </w:r>
      <w:r w:rsidRPr="009A4995">
        <w:rPr>
          <w:rFonts w:ascii="Arial" w:hAnsi="Arial" w:cs="Arial"/>
          <w:sz w:val="20"/>
          <w:szCs w:val="20"/>
        </w:rPr>
        <w:t xml:space="preserve">. The colour represents the connectivity gradient value from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2016)","manualFormatting":"Margulies et al. (2016)","plainTextFormattedCitation":"(Margulies et al., 2016)","previouslyFormattedCitation":"(Margulies et al., 2016)"},"properties":{"noteIndex":0},"schema":"https://github.com/citation-style-language/schema/raw/master/csl-citation.json"}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Margulies et al. (2016)</w:t>
      </w:r>
      <w:r w:rsidRPr="009A4995">
        <w:rPr>
          <w:rFonts w:ascii="Arial" w:hAnsi="Arial" w:cs="Arial"/>
          <w:sz w:val="20"/>
          <w:szCs w:val="20"/>
        </w:rPr>
        <w:fldChar w:fldCharType="end"/>
      </w:r>
      <w:r w:rsidRPr="009A4995">
        <w:rPr>
          <w:rFonts w:ascii="Arial" w:hAnsi="Arial" w:cs="Arial"/>
          <w:sz w:val="20"/>
          <w:szCs w:val="20"/>
        </w:rPr>
        <w:t>, with red towards the heteromodal end and blue towards the unimodal end of the connectivity gradient.</w:t>
      </w:r>
      <w:r w:rsidRPr="009A4995" w:rsidDel="002A0967">
        <w:rPr>
          <w:rFonts w:ascii="Arial" w:hAnsi="Arial" w:cs="Arial"/>
          <w:sz w:val="20"/>
          <w:szCs w:val="20"/>
        </w:rPr>
        <w:t xml:space="preserve"> </w:t>
      </w:r>
      <w:r w:rsidRPr="009A4995">
        <w:rPr>
          <w:rFonts w:ascii="Arial" w:hAnsi="Arial" w:cs="Arial"/>
          <w:sz w:val="20"/>
          <w:szCs w:val="20"/>
        </w:rPr>
        <w:t xml:space="preserve">Middle panel: The correlations between the task gradient for matching trials and the connectivity gradient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(Margulies et al., 2016)</w:t>
      </w:r>
      <w:r w:rsidRPr="009A4995">
        <w:rPr>
          <w:rFonts w:ascii="Arial" w:hAnsi="Arial" w:cs="Arial"/>
          <w:sz w:val="20"/>
          <w:szCs w:val="20"/>
        </w:rPr>
        <w:fldChar w:fldCharType="end"/>
      </w:r>
      <w:r w:rsidRPr="009A4995">
        <w:rPr>
          <w:rFonts w:ascii="Arial" w:hAnsi="Arial" w:cs="Arial"/>
          <w:sz w:val="20"/>
          <w:szCs w:val="20"/>
        </w:rPr>
        <w:t xml:space="preserve"> in each anatomical region shown in the top panel. Bottom panel: The correlations between the task gradient for non-matching trials and the connectivity gradient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(Margulies et al., 2016)</w:t>
      </w:r>
      <w:r w:rsidRPr="009A4995">
        <w:rPr>
          <w:rFonts w:ascii="Arial" w:hAnsi="Arial" w:cs="Arial"/>
          <w:sz w:val="20"/>
          <w:szCs w:val="20"/>
        </w:rPr>
        <w:fldChar w:fldCharType="end"/>
      </w:r>
      <w:r w:rsidRPr="009A4995">
        <w:rPr>
          <w:rFonts w:ascii="Arial" w:hAnsi="Arial" w:cs="Arial"/>
          <w:sz w:val="20"/>
          <w:szCs w:val="20"/>
        </w:rPr>
        <w:t xml:space="preserve"> in each anatomical region shown in the top panel.</w:t>
      </w:r>
    </w:p>
    <w:p w14:paraId="78D32730"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noProof/>
          <w:sz w:val="20"/>
          <w:szCs w:val="20"/>
        </w:rPr>
        <w:drawing>
          <wp:inline distT="0" distB="0" distL="0" distR="0" wp14:anchorId="5027E0E0" wp14:editId="24EAE2E5">
            <wp:extent cx="5486400" cy="1609090"/>
            <wp:effectExtent l="0" t="0" r="0" b="381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1609090"/>
                    </a:xfrm>
                    <a:prstGeom prst="rect">
                      <a:avLst/>
                    </a:prstGeom>
                  </pic:spPr>
                </pic:pic>
              </a:graphicData>
            </a:graphic>
          </wp:inline>
        </w:drawing>
      </w:r>
    </w:p>
    <w:p w14:paraId="57934AE1"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b/>
          <w:sz w:val="20"/>
          <w:szCs w:val="20"/>
        </w:rPr>
        <w:lastRenderedPageBreak/>
        <w:t>Figure S6.</w:t>
      </w:r>
      <w:r w:rsidRPr="009A4995">
        <w:rPr>
          <w:rFonts w:ascii="Arial" w:hAnsi="Arial" w:cs="Arial"/>
          <w:sz w:val="20"/>
          <w:szCs w:val="20"/>
        </w:rPr>
        <w:t xml:space="preserve"> A – The principal gradient of intrinsic connectivity from our current study. More similar colours reflect brain regions situated at similar points along the principal gradient – i.e. they resemble each other with respect to their patterns of intrinsic connectivity. B – Correlation between the principal gradient of intrinsic connectivity from our current study and from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2016)","manualFormatting":"Margulies et al. (2016)","plainTextFormattedCitation":"(Margulies et al., 2016)","previouslyFormattedCitation":"(Margulies et al., 2016)"},"properties":{"noteIndex":0},"schema":"https://github.com/citation-style-language/schema/raw/master/csl-citation.json"}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Margulies et al. (2016)</w:t>
      </w:r>
      <w:r w:rsidRPr="009A4995">
        <w:rPr>
          <w:rFonts w:ascii="Arial" w:hAnsi="Arial" w:cs="Arial"/>
          <w:sz w:val="20"/>
          <w:szCs w:val="20"/>
        </w:rPr>
        <w:fldChar w:fldCharType="end"/>
      </w:r>
      <w:r w:rsidRPr="009A4995">
        <w:rPr>
          <w:rFonts w:ascii="Arial" w:hAnsi="Arial" w:cs="Arial"/>
          <w:sz w:val="20"/>
          <w:szCs w:val="20"/>
        </w:rPr>
        <w:t>. C – Correlation between the task gradient for matching trials and the connectivity gradient from our current study across the whole brain.</w:t>
      </w:r>
    </w:p>
    <w:p w14:paraId="48AC900D" w14:textId="77777777" w:rsidR="004F0C95" w:rsidRPr="009A4995" w:rsidRDefault="004F0C95" w:rsidP="004F0C95">
      <w:pPr>
        <w:pStyle w:val="Style3"/>
      </w:pPr>
      <w:r w:rsidRPr="009A4995">
        <w:t>3.3. Systematic change along the connectivity gradient</w:t>
      </w:r>
    </w:p>
    <w:p w14:paraId="1F1F154C"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A supplementary linear mixed effects analysis for the matching trials showed an orderly relationship between the task gradient and the connectivity gradient divided into 20 bins, as opposed to 10 in the main analysis (Figure S7A). There was a linear change along the connectivity gradient in the effect of global feature similarity: positive parameter estimates, corresponding to a stronger BOLD response for trials with high global feature similarity in the DMN, gradually reduced in magnitude and became negative at the sensorimotor end of the gradient, reflecting a stronger response for trials with lower global feature similarity (t = 2.43, p = 0.02, Figure S7B). Only the quadratic effect improved model fit over the linear effect (χ2 (1) = 7.95, p = 0.005).</w:t>
      </w:r>
      <w:r w:rsidRPr="009A4995">
        <w:rPr>
          <w:rStyle w:val="FootnoteReference"/>
          <w:rFonts w:ascii="Arial" w:hAnsi="Arial" w:cs="Arial"/>
          <w:sz w:val="20"/>
          <w:szCs w:val="20"/>
        </w:rPr>
        <w:footnoteReference w:id="1"/>
      </w:r>
      <w:r w:rsidRPr="009A4995">
        <w:rPr>
          <w:rFonts w:ascii="Arial" w:hAnsi="Arial" w:cs="Arial"/>
          <w:sz w:val="20"/>
          <w:szCs w:val="20"/>
        </w:rPr>
        <w:t xml:space="preserve"> The parameter estimates for this model are provided in Tables S3 and S4.</w:t>
      </w:r>
    </w:p>
    <w:p w14:paraId="0680BE88" w14:textId="77777777" w:rsidR="004F0C95" w:rsidRPr="009A4995" w:rsidRDefault="004F0C95" w:rsidP="004F0C95">
      <w:pPr>
        <w:spacing w:before="100" w:beforeAutospacing="1" w:after="100" w:afterAutospacing="1" w:line="480" w:lineRule="auto"/>
        <w:jc w:val="both"/>
        <w:rPr>
          <w:rFonts w:ascii="Arial" w:hAnsi="Arial" w:cs="Arial"/>
          <w:sz w:val="20"/>
          <w:szCs w:val="20"/>
        </w:rPr>
      </w:pPr>
      <w:r w:rsidRPr="009A4995">
        <w:rPr>
          <w:rFonts w:ascii="Arial" w:hAnsi="Arial" w:cs="Arial"/>
          <w:b/>
          <w:sz w:val="20"/>
          <w:szCs w:val="20"/>
        </w:rPr>
        <w:t>Table S3:</w:t>
      </w:r>
      <w:r w:rsidRPr="009A4995">
        <w:rPr>
          <w:rFonts w:ascii="Arial" w:hAnsi="Arial" w:cs="Arial"/>
          <w:sz w:val="20"/>
          <w:szCs w:val="20"/>
        </w:rPr>
        <w:t xml:space="preserve"> Relationship between connectivity and task gradient for matching trials examined using linear mixed effects modelling using 20 bins. Table of fixed effects. </w:t>
      </w:r>
    </w:p>
    <w:tbl>
      <w:tblPr>
        <w:tblStyle w:val="TableGrid"/>
        <w:tblW w:w="9754" w:type="dxa"/>
        <w:tblBorders>
          <w:left w:val="none" w:sz="0" w:space="0" w:color="auto"/>
          <w:right w:val="none" w:sz="0" w:space="0" w:color="auto"/>
        </w:tblBorders>
        <w:tblLook w:val="04A0" w:firstRow="1" w:lastRow="0" w:firstColumn="1" w:lastColumn="0" w:noHBand="0" w:noVBand="1"/>
      </w:tblPr>
      <w:tblGrid>
        <w:gridCol w:w="3402"/>
        <w:gridCol w:w="1588"/>
        <w:gridCol w:w="1588"/>
        <w:gridCol w:w="1588"/>
        <w:gridCol w:w="1588"/>
      </w:tblGrid>
      <w:tr w:rsidR="004F0C95" w:rsidRPr="009A4995" w14:paraId="685D6FAD" w14:textId="77777777" w:rsidTr="0017223B">
        <w:tc>
          <w:tcPr>
            <w:tcW w:w="3402" w:type="dxa"/>
            <w:tcBorders>
              <w:bottom w:val="single" w:sz="4" w:space="0" w:color="auto"/>
              <w:right w:val="nil"/>
            </w:tcBorders>
          </w:tcPr>
          <w:p w14:paraId="141A2A8C"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Parameter</w:t>
            </w:r>
          </w:p>
        </w:tc>
        <w:tc>
          <w:tcPr>
            <w:tcW w:w="1588" w:type="dxa"/>
            <w:tcBorders>
              <w:left w:val="nil"/>
              <w:bottom w:val="single" w:sz="4" w:space="0" w:color="auto"/>
              <w:right w:val="nil"/>
            </w:tcBorders>
          </w:tcPr>
          <w:p w14:paraId="4ADEE6BE"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Estimate</w:t>
            </w:r>
          </w:p>
        </w:tc>
        <w:tc>
          <w:tcPr>
            <w:tcW w:w="1588" w:type="dxa"/>
            <w:tcBorders>
              <w:left w:val="nil"/>
              <w:bottom w:val="single" w:sz="4" w:space="0" w:color="auto"/>
              <w:right w:val="nil"/>
            </w:tcBorders>
          </w:tcPr>
          <w:p w14:paraId="6446F577"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Standard Error</w:t>
            </w:r>
          </w:p>
        </w:tc>
        <w:tc>
          <w:tcPr>
            <w:tcW w:w="1588" w:type="dxa"/>
            <w:tcBorders>
              <w:left w:val="nil"/>
              <w:bottom w:val="single" w:sz="4" w:space="0" w:color="auto"/>
              <w:right w:val="nil"/>
            </w:tcBorders>
          </w:tcPr>
          <w:p w14:paraId="1143CC65"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t</w:t>
            </w:r>
          </w:p>
        </w:tc>
        <w:tc>
          <w:tcPr>
            <w:tcW w:w="1588" w:type="dxa"/>
            <w:tcBorders>
              <w:left w:val="nil"/>
              <w:bottom w:val="single" w:sz="4" w:space="0" w:color="auto"/>
            </w:tcBorders>
          </w:tcPr>
          <w:p w14:paraId="71050353"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p</w:t>
            </w:r>
          </w:p>
        </w:tc>
      </w:tr>
      <w:tr w:rsidR="004F0C95" w:rsidRPr="009A4995" w14:paraId="7A45AC1E" w14:textId="77777777" w:rsidTr="0017223B">
        <w:tc>
          <w:tcPr>
            <w:tcW w:w="3402" w:type="dxa"/>
            <w:tcBorders>
              <w:bottom w:val="nil"/>
              <w:right w:val="nil"/>
            </w:tcBorders>
            <w:vAlign w:val="center"/>
          </w:tcPr>
          <w:p w14:paraId="639228AC"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Intercept</w:t>
            </w:r>
          </w:p>
        </w:tc>
        <w:tc>
          <w:tcPr>
            <w:tcW w:w="1588" w:type="dxa"/>
            <w:tcBorders>
              <w:left w:val="nil"/>
              <w:bottom w:val="nil"/>
              <w:right w:val="nil"/>
            </w:tcBorders>
            <w:vAlign w:val="center"/>
          </w:tcPr>
          <w:p w14:paraId="792F2CBE"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-3.60</w:t>
            </w:r>
          </w:p>
        </w:tc>
        <w:tc>
          <w:tcPr>
            <w:tcW w:w="1588" w:type="dxa"/>
            <w:tcBorders>
              <w:left w:val="nil"/>
              <w:bottom w:val="nil"/>
              <w:right w:val="nil"/>
            </w:tcBorders>
            <w:vAlign w:val="center"/>
          </w:tcPr>
          <w:p w14:paraId="21D46232"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2.03</w:t>
            </w:r>
          </w:p>
        </w:tc>
        <w:tc>
          <w:tcPr>
            <w:tcW w:w="1588" w:type="dxa"/>
            <w:tcBorders>
              <w:left w:val="nil"/>
              <w:bottom w:val="nil"/>
              <w:right w:val="nil"/>
            </w:tcBorders>
            <w:vAlign w:val="center"/>
          </w:tcPr>
          <w:p w14:paraId="6BC7E4AA"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-1.77</w:t>
            </w:r>
          </w:p>
        </w:tc>
        <w:tc>
          <w:tcPr>
            <w:tcW w:w="1588" w:type="dxa"/>
            <w:tcBorders>
              <w:left w:val="nil"/>
              <w:bottom w:val="nil"/>
            </w:tcBorders>
            <w:vAlign w:val="center"/>
          </w:tcPr>
          <w:p w14:paraId="6E9C390D"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0.09</w:t>
            </w:r>
          </w:p>
        </w:tc>
      </w:tr>
      <w:tr w:rsidR="004F0C95" w:rsidRPr="009A4995" w14:paraId="0AC32152" w14:textId="77777777" w:rsidTr="0017223B">
        <w:tc>
          <w:tcPr>
            <w:tcW w:w="3402" w:type="dxa"/>
            <w:tcBorders>
              <w:top w:val="nil"/>
              <w:right w:val="nil"/>
            </w:tcBorders>
            <w:vAlign w:val="center"/>
          </w:tcPr>
          <w:p w14:paraId="5DE8F99A"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Connectivity gradient linear effect</w:t>
            </w:r>
          </w:p>
        </w:tc>
        <w:tc>
          <w:tcPr>
            <w:tcW w:w="1588" w:type="dxa"/>
            <w:tcBorders>
              <w:top w:val="nil"/>
              <w:left w:val="nil"/>
              <w:right w:val="nil"/>
            </w:tcBorders>
            <w:vAlign w:val="center"/>
          </w:tcPr>
          <w:p w14:paraId="4DBC68C7"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0.28</w:t>
            </w:r>
          </w:p>
        </w:tc>
        <w:tc>
          <w:tcPr>
            <w:tcW w:w="1588" w:type="dxa"/>
            <w:tcBorders>
              <w:top w:val="nil"/>
              <w:left w:val="nil"/>
              <w:right w:val="nil"/>
            </w:tcBorders>
            <w:vAlign w:val="center"/>
          </w:tcPr>
          <w:p w14:paraId="500C8058"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0.10</w:t>
            </w:r>
          </w:p>
        </w:tc>
        <w:tc>
          <w:tcPr>
            <w:tcW w:w="1588" w:type="dxa"/>
            <w:tcBorders>
              <w:top w:val="nil"/>
              <w:left w:val="nil"/>
              <w:right w:val="nil"/>
            </w:tcBorders>
            <w:vAlign w:val="center"/>
          </w:tcPr>
          <w:p w14:paraId="0AA498F2"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2.72</w:t>
            </w:r>
          </w:p>
        </w:tc>
        <w:tc>
          <w:tcPr>
            <w:tcW w:w="1588" w:type="dxa"/>
            <w:tcBorders>
              <w:top w:val="nil"/>
              <w:left w:val="nil"/>
            </w:tcBorders>
            <w:vAlign w:val="center"/>
          </w:tcPr>
          <w:p w14:paraId="678C41BF"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0.01</w:t>
            </w:r>
          </w:p>
        </w:tc>
      </w:tr>
    </w:tbl>
    <w:p w14:paraId="7AE1ED99" w14:textId="77777777" w:rsidR="004F0C95" w:rsidRPr="009A4995" w:rsidRDefault="004F0C95" w:rsidP="004F0C95">
      <w:pPr>
        <w:spacing w:before="100" w:beforeAutospacing="1" w:after="100" w:afterAutospacing="1" w:line="480" w:lineRule="auto"/>
        <w:jc w:val="both"/>
        <w:rPr>
          <w:rFonts w:ascii="Arial" w:hAnsi="Arial" w:cs="Arial"/>
          <w:sz w:val="20"/>
          <w:szCs w:val="20"/>
        </w:rPr>
      </w:pPr>
      <w:r w:rsidRPr="009A4995">
        <w:rPr>
          <w:rFonts w:ascii="Arial" w:hAnsi="Arial" w:cs="Arial"/>
          <w:b/>
          <w:sz w:val="20"/>
          <w:szCs w:val="20"/>
        </w:rPr>
        <w:lastRenderedPageBreak/>
        <w:t>Table S4:</w:t>
      </w:r>
      <w:r w:rsidRPr="009A4995">
        <w:rPr>
          <w:rFonts w:ascii="Arial" w:hAnsi="Arial" w:cs="Arial"/>
          <w:sz w:val="20"/>
          <w:szCs w:val="20"/>
        </w:rPr>
        <w:t xml:space="preserve"> Relationship between connectivity and task gradient for matching trials examined using linear mixed effects modelling using 20 bins. Table of random effects.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2886"/>
        <w:gridCol w:w="2869"/>
      </w:tblGrid>
      <w:tr w:rsidR="004F0C95" w:rsidRPr="009A4995" w14:paraId="371B38BF" w14:textId="77777777" w:rsidTr="0017223B">
        <w:tc>
          <w:tcPr>
            <w:tcW w:w="3005" w:type="dxa"/>
            <w:tcBorders>
              <w:top w:val="single" w:sz="4" w:space="0" w:color="auto"/>
              <w:bottom w:val="single" w:sz="4" w:space="0" w:color="auto"/>
            </w:tcBorders>
            <w:vAlign w:val="center"/>
          </w:tcPr>
          <w:p w14:paraId="48650A3B"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Groups</w:t>
            </w:r>
          </w:p>
        </w:tc>
        <w:tc>
          <w:tcPr>
            <w:tcW w:w="3005" w:type="dxa"/>
            <w:tcBorders>
              <w:top w:val="single" w:sz="4" w:space="0" w:color="auto"/>
              <w:bottom w:val="single" w:sz="4" w:space="0" w:color="auto"/>
            </w:tcBorders>
            <w:vAlign w:val="center"/>
          </w:tcPr>
          <w:p w14:paraId="674658D1"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Variance</w:t>
            </w:r>
          </w:p>
        </w:tc>
        <w:tc>
          <w:tcPr>
            <w:tcW w:w="3006" w:type="dxa"/>
            <w:tcBorders>
              <w:top w:val="single" w:sz="4" w:space="0" w:color="auto"/>
              <w:bottom w:val="single" w:sz="4" w:space="0" w:color="auto"/>
            </w:tcBorders>
            <w:vAlign w:val="center"/>
          </w:tcPr>
          <w:p w14:paraId="10CA2C89"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SD</w:t>
            </w:r>
          </w:p>
        </w:tc>
      </w:tr>
      <w:tr w:rsidR="004F0C95" w:rsidRPr="009A4995" w14:paraId="04B79584" w14:textId="77777777" w:rsidTr="0017223B">
        <w:tc>
          <w:tcPr>
            <w:tcW w:w="3005" w:type="dxa"/>
            <w:tcBorders>
              <w:top w:val="single" w:sz="4" w:space="0" w:color="auto"/>
            </w:tcBorders>
            <w:vAlign w:val="center"/>
          </w:tcPr>
          <w:p w14:paraId="2A5CBAF9"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Subject intercept</w:t>
            </w:r>
          </w:p>
        </w:tc>
        <w:tc>
          <w:tcPr>
            <w:tcW w:w="3005" w:type="dxa"/>
            <w:tcBorders>
              <w:top w:val="single" w:sz="4" w:space="0" w:color="auto"/>
            </w:tcBorders>
            <w:vAlign w:val="center"/>
          </w:tcPr>
          <w:p w14:paraId="427DB627"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82.64</w:t>
            </w:r>
          </w:p>
        </w:tc>
        <w:tc>
          <w:tcPr>
            <w:tcW w:w="3006" w:type="dxa"/>
            <w:tcBorders>
              <w:top w:val="single" w:sz="4" w:space="0" w:color="auto"/>
            </w:tcBorders>
            <w:vAlign w:val="center"/>
          </w:tcPr>
          <w:p w14:paraId="6BC1CBE2"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9.09</w:t>
            </w:r>
          </w:p>
        </w:tc>
      </w:tr>
      <w:tr w:rsidR="004F0C95" w:rsidRPr="009A4995" w14:paraId="4D3AEF34" w14:textId="77777777" w:rsidTr="0017223B">
        <w:tc>
          <w:tcPr>
            <w:tcW w:w="3005" w:type="dxa"/>
            <w:vAlign w:val="center"/>
          </w:tcPr>
          <w:p w14:paraId="11EF9889"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Subject slope</w:t>
            </w:r>
          </w:p>
        </w:tc>
        <w:tc>
          <w:tcPr>
            <w:tcW w:w="3005" w:type="dxa"/>
            <w:vAlign w:val="center"/>
          </w:tcPr>
          <w:p w14:paraId="2FBB805C"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0.14</w:t>
            </w:r>
          </w:p>
        </w:tc>
        <w:tc>
          <w:tcPr>
            <w:tcW w:w="3006" w:type="dxa"/>
            <w:vAlign w:val="center"/>
          </w:tcPr>
          <w:p w14:paraId="473812ED"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0.38</w:t>
            </w:r>
          </w:p>
        </w:tc>
      </w:tr>
      <w:tr w:rsidR="004F0C95" w:rsidRPr="009A4995" w14:paraId="59AED480" w14:textId="77777777" w:rsidTr="0017223B">
        <w:tc>
          <w:tcPr>
            <w:tcW w:w="3005" w:type="dxa"/>
            <w:vAlign w:val="center"/>
          </w:tcPr>
          <w:p w14:paraId="68F78750"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Run intercept</w:t>
            </w:r>
          </w:p>
        </w:tc>
        <w:tc>
          <w:tcPr>
            <w:tcW w:w="3005" w:type="dxa"/>
            <w:vAlign w:val="center"/>
          </w:tcPr>
          <w:p w14:paraId="7B0EF7B4"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2.09</w:t>
            </w:r>
          </w:p>
        </w:tc>
        <w:tc>
          <w:tcPr>
            <w:tcW w:w="3006" w:type="dxa"/>
            <w:vAlign w:val="center"/>
          </w:tcPr>
          <w:p w14:paraId="0841A6F6"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1.45</w:t>
            </w:r>
          </w:p>
        </w:tc>
      </w:tr>
      <w:tr w:rsidR="004F0C95" w:rsidRPr="009A4995" w14:paraId="280D0C1F" w14:textId="77777777" w:rsidTr="0017223B">
        <w:tc>
          <w:tcPr>
            <w:tcW w:w="3005" w:type="dxa"/>
            <w:vAlign w:val="center"/>
          </w:tcPr>
          <w:p w14:paraId="231B27FD"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Residual</w:t>
            </w:r>
          </w:p>
        </w:tc>
        <w:tc>
          <w:tcPr>
            <w:tcW w:w="3005" w:type="dxa"/>
            <w:vAlign w:val="center"/>
          </w:tcPr>
          <w:p w14:paraId="63D9E78E"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447.27</w:t>
            </w:r>
          </w:p>
        </w:tc>
        <w:tc>
          <w:tcPr>
            <w:tcW w:w="3006" w:type="dxa"/>
            <w:vAlign w:val="center"/>
          </w:tcPr>
          <w:p w14:paraId="399519D6"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21.15</w:t>
            </w:r>
          </w:p>
        </w:tc>
      </w:tr>
    </w:tbl>
    <w:p w14:paraId="1796D1E3"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sz w:val="20"/>
          <w:szCs w:val="20"/>
        </w:rPr>
        <w:t>Note: The random effect of run was not included as this model failed to converge.</w:t>
      </w:r>
    </w:p>
    <w:p w14:paraId="0FFEB607"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 xml:space="preserve">Figure S7C and S7D show the effect of the task gradient for non-matching trials in each bin of the connectivity gradient within the semantic mask. In the linear mixed effects analysis, the linear effect of global semantic similarity across bins showed a non-significant trend (t = 1.95, p = 0.06) when dividing all the voxels into 10 bins. There was a significant linear effect of global semantic similarity along the connectivity gradient when this was divided into 20 bins (t = 2.12, p = 0.04). The parameter estimates for these two models are provided in Tables S5, S6, S7 and S8. </w:t>
      </w:r>
    </w:p>
    <w:p w14:paraId="3999E5BD"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noProof/>
          <w:sz w:val="20"/>
          <w:szCs w:val="20"/>
          <w:lang w:val="en-GB" w:eastAsia="zh-CN"/>
        </w:rPr>
        <w:lastRenderedPageBreak/>
        <w:drawing>
          <wp:inline distT="0" distB="0" distL="0" distR="0" wp14:anchorId="620F25C9" wp14:editId="7A296B81">
            <wp:extent cx="5486400" cy="31343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3134360"/>
                    </a:xfrm>
                    <a:prstGeom prst="rect">
                      <a:avLst/>
                    </a:prstGeom>
                  </pic:spPr>
                </pic:pic>
              </a:graphicData>
            </a:graphic>
          </wp:inline>
        </w:drawing>
      </w:r>
    </w:p>
    <w:p w14:paraId="600F4A2B"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b/>
          <w:sz w:val="20"/>
          <w:szCs w:val="20"/>
        </w:rPr>
        <w:t>Figure S7.</w:t>
      </w:r>
      <w:r w:rsidRPr="009A4995">
        <w:rPr>
          <w:rFonts w:ascii="Arial" w:hAnsi="Arial" w:cs="Arial"/>
          <w:sz w:val="20"/>
          <w:szCs w:val="20"/>
        </w:rPr>
        <w:t xml:space="preserve"> A - The connectivity gradient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(Margulies et al., 2016)</w:t>
      </w:r>
      <w:r w:rsidRPr="009A4995">
        <w:rPr>
          <w:rFonts w:ascii="Arial" w:hAnsi="Arial" w:cs="Arial"/>
          <w:sz w:val="20"/>
          <w:szCs w:val="20"/>
        </w:rPr>
        <w:fldChar w:fldCharType="end"/>
      </w:r>
      <w:r w:rsidRPr="009A4995">
        <w:rPr>
          <w:rFonts w:ascii="Arial" w:hAnsi="Arial" w:cs="Arial"/>
          <w:sz w:val="20"/>
          <w:szCs w:val="20"/>
        </w:rPr>
        <w:t xml:space="preserve"> within a semantic mask defined using Neurosynth, divided into 20 bins according to gradient value: bin 1 is located towards the unimodal end, while bin 20 is at the heteromodal end of the principal gradient. B - The effect of global semantic similarity (i.e. the task gradient) for matching trials within each bin of the connectivity gradient within the semantic mask, showing that the response to the task changes in an orderly way. C and D - The effect of the task gradient for non-matching trials in each bin of the connectivity gradient within the semantic mask. This is divided into 10 bins and 20 bins, respectively, showing that the response to the task changes in an orderly way.</w:t>
      </w:r>
    </w:p>
    <w:p w14:paraId="459D2A8A" w14:textId="77777777" w:rsidR="004F0C95" w:rsidRPr="009A4995" w:rsidRDefault="004F0C95" w:rsidP="004F0C95">
      <w:pPr>
        <w:spacing w:before="100" w:beforeAutospacing="1" w:after="100" w:afterAutospacing="1" w:line="480" w:lineRule="auto"/>
        <w:jc w:val="both"/>
        <w:rPr>
          <w:rFonts w:ascii="Arial" w:hAnsi="Arial" w:cs="Arial"/>
          <w:sz w:val="20"/>
          <w:szCs w:val="20"/>
        </w:rPr>
      </w:pPr>
      <w:r w:rsidRPr="009A4995">
        <w:rPr>
          <w:rFonts w:ascii="Arial" w:hAnsi="Arial" w:cs="Arial"/>
          <w:b/>
          <w:sz w:val="20"/>
          <w:szCs w:val="20"/>
        </w:rPr>
        <w:t>Table S5:</w:t>
      </w:r>
      <w:r w:rsidRPr="009A4995">
        <w:rPr>
          <w:rFonts w:ascii="Arial" w:hAnsi="Arial" w:cs="Arial"/>
          <w:sz w:val="20"/>
          <w:szCs w:val="20"/>
        </w:rPr>
        <w:t xml:space="preserve"> Relationship between connectivity and task gradient examined using linear mixed effects modelling using 10 bins for the non-matching trials. Table of fixed effects. </w:t>
      </w:r>
    </w:p>
    <w:tbl>
      <w:tblPr>
        <w:tblStyle w:val="TableGrid"/>
        <w:tblW w:w="9754" w:type="dxa"/>
        <w:tblBorders>
          <w:left w:val="none" w:sz="0" w:space="0" w:color="auto"/>
          <w:right w:val="none" w:sz="0" w:space="0" w:color="auto"/>
        </w:tblBorders>
        <w:tblLook w:val="04A0" w:firstRow="1" w:lastRow="0" w:firstColumn="1" w:lastColumn="0" w:noHBand="0" w:noVBand="1"/>
      </w:tblPr>
      <w:tblGrid>
        <w:gridCol w:w="3402"/>
        <w:gridCol w:w="1588"/>
        <w:gridCol w:w="1588"/>
        <w:gridCol w:w="1588"/>
        <w:gridCol w:w="1588"/>
      </w:tblGrid>
      <w:tr w:rsidR="004F0C95" w:rsidRPr="009A4995" w14:paraId="018A5C83" w14:textId="77777777" w:rsidTr="0017223B">
        <w:tc>
          <w:tcPr>
            <w:tcW w:w="3402" w:type="dxa"/>
            <w:tcBorders>
              <w:bottom w:val="single" w:sz="4" w:space="0" w:color="auto"/>
              <w:right w:val="nil"/>
            </w:tcBorders>
          </w:tcPr>
          <w:p w14:paraId="3975BE95"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Parameter</w:t>
            </w:r>
          </w:p>
        </w:tc>
        <w:tc>
          <w:tcPr>
            <w:tcW w:w="1588" w:type="dxa"/>
            <w:tcBorders>
              <w:left w:val="nil"/>
              <w:bottom w:val="single" w:sz="4" w:space="0" w:color="auto"/>
              <w:right w:val="nil"/>
            </w:tcBorders>
          </w:tcPr>
          <w:p w14:paraId="751D3AC9"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Estimate</w:t>
            </w:r>
          </w:p>
        </w:tc>
        <w:tc>
          <w:tcPr>
            <w:tcW w:w="1588" w:type="dxa"/>
            <w:tcBorders>
              <w:left w:val="nil"/>
              <w:bottom w:val="single" w:sz="4" w:space="0" w:color="auto"/>
              <w:right w:val="nil"/>
            </w:tcBorders>
          </w:tcPr>
          <w:p w14:paraId="7D6516FE"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Standard Error</w:t>
            </w:r>
          </w:p>
        </w:tc>
        <w:tc>
          <w:tcPr>
            <w:tcW w:w="1588" w:type="dxa"/>
            <w:tcBorders>
              <w:left w:val="nil"/>
              <w:bottom w:val="single" w:sz="4" w:space="0" w:color="auto"/>
              <w:right w:val="nil"/>
            </w:tcBorders>
          </w:tcPr>
          <w:p w14:paraId="2A3016B8"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t</w:t>
            </w:r>
          </w:p>
        </w:tc>
        <w:tc>
          <w:tcPr>
            <w:tcW w:w="1588" w:type="dxa"/>
            <w:tcBorders>
              <w:left w:val="nil"/>
              <w:bottom w:val="single" w:sz="4" w:space="0" w:color="auto"/>
            </w:tcBorders>
          </w:tcPr>
          <w:p w14:paraId="11E461D8"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p</w:t>
            </w:r>
          </w:p>
        </w:tc>
      </w:tr>
      <w:tr w:rsidR="004F0C95" w:rsidRPr="009A4995" w14:paraId="054485E9" w14:textId="77777777" w:rsidTr="0017223B">
        <w:tc>
          <w:tcPr>
            <w:tcW w:w="3402" w:type="dxa"/>
            <w:tcBorders>
              <w:bottom w:val="nil"/>
              <w:right w:val="nil"/>
            </w:tcBorders>
            <w:vAlign w:val="center"/>
          </w:tcPr>
          <w:p w14:paraId="340BB42E"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Intercept</w:t>
            </w:r>
          </w:p>
        </w:tc>
        <w:tc>
          <w:tcPr>
            <w:tcW w:w="1588" w:type="dxa"/>
            <w:tcBorders>
              <w:left w:val="nil"/>
              <w:bottom w:val="nil"/>
              <w:right w:val="nil"/>
            </w:tcBorders>
            <w:vAlign w:val="center"/>
          </w:tcPr>
          <w:p w14:paraId="400C1118"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-4.27</w:t>
            </w:r>
          </w:p>
        </w:tc>
        <w:tc>
          <w:tcPr>
            <w:tcW w:w="1588" w:type="dxa"/>
            <w:tcBorders>
              <w:left w:val="nil"/>
              <w:bottom w:val="nil"/>
              <w:right w:val="nil"/>
            </w:tcBorders>
            <w:vAlign w:val="center"/>
          </w:tcPr>
          <w:p w14:paraId="29F89688"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5.31</w:t>
            </w:r>
          </w:p>
        </w:tc>
        <w:tc>
          <w:tcPr>
            <w:tcW w:w="1588" w:type="dxa"/>
            <w:tcBorders>
              <w:left w:val="nil"/>
              <w:bottom w:val="nil"/>
              <w:right w:val="nil"/>
            </w:tcBorders>
            <w:vAlign w:val="center"/>
          </w:tcPr>
          <w:p w14:paraId="40B3A23E"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-0.80</w:t>
            </w:r>
          </w:p>
        </w:tc>
        <w:tc>
          <w:tcPr>
            <w:tcW w:w="1588" w:type="dxa"/>
            <w:tcBorders>
              <w:left w:val="nil"/>
              <w:bottom w:val="nil"/>
            </w:tcBorders>
            <w:vAlign w:val="center"/>
          </w:tcPr>
          <w:p w14:paraId="4663FF43"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0.42</w:t>
            </w:r>
          </w:p>
        </w:tc>
      </w:tr>
      <w:tr w:rsidR="004F0C95" w:rsidRPr="009A4995" w14:paraId="02254302" w14:textId="77777777" w:rsidTr="0017223B">
        <w:tc>
          <w:tcPr>
            <w:tcW w:w="3402" w:type="dxa"/>
            <w:tcBorders>
              <w:top w:val="nil"/>
              <w:right w:val="nil"/>
            </w:tcBorders>
            <w:vAlign w:val="center"/>
          </w:tcPr>
          <w:p w14:paraId="30D1E395"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Connectivity gradient linear effect</w:t>
            </w:r>
          </w:p>
        </w:tc>
        <w:tc>
          <w:tcPr>
            <w:tcW w:w="1588" w:type="dxa"/>
            <w:tcBorders>
              <w:top w:val="nil"/>
              <w:left w:val="nil"/>
              <w:right w:val="nil"/>
            </w:tcBorders>
            <w:vAlign w:val="center"/>
          </w:tcPr>
          <w:p w14:paraId="7F149DD9"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1.40</w:t>
            </w:r>
          </w:p>
        </w:tc>
        <w:tc>
          <w:tcPr>
            <w:tcW w:w="1588" w:type="dxa"/>
            <w:tcBorders>
              <w:top w:val="nil"/>
              <w:left w:val="nil"/>
              <w:right w:val="nil"/>
            </w:tcBorders>
            <w:vAlign w:val="center"/>
          </w:tcPr>
          <w:p w14:paraId="54F87C0D"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0.72</w:t>
            </w:r>
          </w:p>
        </w:tc>
        <w:tc>
          <w:tcPr>
            <w:tcW w:w="1588" w:type="dxa"/>
            <w:tcBorders>
              <w:top w:val="nil"/>
              <w:left w:val="nil"/>
              <w:right w:val="nil"/>
            </w:tcBorders>
            <w:vAlign w:val="center"/>
          </w:tcPr>
          <w:p w14:paraId="5BBBE00E"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1.95</w:t>
            </w:r>
          </w:p>
        </w:tc>
        <w:tc>
          <w:tcPr>
            <w:tcW w:w="1588" w:type="dxa"/>
            <w:tcBorders>
              <w:top w:val="nil"/>
              <w:left w:val="nil"/>
            </w:tcBorders>
            <w:vAlign w:val="center"/>
          </w:tcPr>
          <w:p w14:paraId="518F510D"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0.06</w:t>
            </w:r>
          </w:p>
        </w:tc>
      </w:tr>
    </w:tbl>
    <w:p w14:paraId="6A884AB0" w14:textId="77777777" w:rsidR="004F0C95" w:rsidRPr="009A4995" w:rsidRDefault="004F0C95" w:rsidP="004F0C95">
      <w:pPr>
        <w:spacing w:before="100" w:beforeAutospacing="1" w:after="100" w:afterAutospacing="1" w:line="480" w:lineRule="auto"/>
        <w:jc w:val="both"/>
        <w:rPr>
          <w:rFonts w:ascii="Arial" w:hAnsi="Arial" w:cs="Arial"/>
          <w:sz w:val="20"/>
          <w:szCs w:val="20"/>
        </w:rPr>
      </w:pPr>
      <w:r w:rsidRPr="009A4995">
        <w:rPr>
          <w:rFonts w:ascii="Arial" w:hAnsi="Arial" w:cs="Arial"/>
          <w:b/>
          <w:sz w:val="20"/>
          <w:szCs w:val="20"/>
        </w:rPr>
        <w:lastRenderedPageBreak/>
        <w:t>Table S6:</w:t>
      </w:r>
      <w:r w:rsidRPr="009A4995">
        <w:rPr>
          <w:rFonts w:ascii="Arial" w:hAnsi="Arial" w:cs="Arial"/>
          <w:sz w:val="20"/>
          <w:szCs w:val="20"/>
        </w:rPr>
        <w:t xml:space="preserve"> Relationship between connectivity and task gradient examined using linear mixed effects modelling using 10 bins for the non-matching trials. Table of random effects.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2886"/>
        <w:gridCol w:w="2869"/>
      </w:tblGrid>
      <w:tr w:rsidR="004F0C95" w:rsidRPr="009A4995" w14:paraId="40BDE9F6" w14:textId="77777777" w:rsidTr="0017223B">
        <w:tc>
          <w:tcPr>
            <w:tcW w:w="2885" w:type="dxa"/>
            <w:tcBorders>
              <w:top w:val="single" w:sz="4" w:space="0" w:color="auto"/>
              <w:bottom w:val="single" w:sz="4" w:space="0" w:color="auto"/>
            </w:tcBorders>
            <w:vAlign w:val="center"/>
          </w:tcPr>
          <w:p w14:paraId="09A62D2A"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Groups</w:t>
            </w:r>
          </w:p>
        </w:tc>
        <w:tc>
          <w:tcPr>
            <w:tcW w:w="2886" w:type="dxa"/>
            <w:tcBorders>
              <w:top w:val="single" w:sz="4" w:space="0" w:color="auto"/>
              <w:bottom w:val="single" w:sz="4" w:space="0" w:color="auto"/>
            </w:tcBorders>
            <w:vAlign w:val="center"/>
          </w:tcPr>
          <w:p w14:paraId="471F6BF7"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Variance</w:t>
            </w:r>
          </w:p>
        </w:tc>
        <w:tc>
          <w:tcPr>
            <w:tcW w:w="2869" w:type="dxa"/>
            <w:tcBorders>
              <w:top w:val="single" w:sz="4" w:space="0" w:color="auto"/>
              <w:bottom w:val="single" w:sz="4" w:space="0" w:color="auto"/>
            </w:tcBorders>
            <w:vAlign w:val="center"/>
          </w:tcPr>
          <w:p w14:paraId="1B7DB60E"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SD</w:t>
            </w:r>
          </w:p>
        </w:tc>
      </w:tr>
      <w:tr w:rsidR="004F0C95" w:rsidRPr="009A4995" w14:paraId="49BA034F" w14:textId="77777777" w:rsidTr="0017223B">
        <w:tc>
          <w:tcPr>
            <w:tcW w:w="2885" w:type="dxa"/>
            <w:tcBorders>
              <w:top w:val="single" w:sz="4" w:space="0" w:color="auto"/>
            </w:tcBorders>
            <w:vAlign w:val="center"/>
          </w:tcPr>
          <w:p w14:paraId="50C56905"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Subject intercept</w:t>
            </w:r>
          </w:p>
        </w:tc>
        <w:tc>
          <w:tcPr>
            <w:tcW w:w="2886" w:type="dxa"/>
            <w:tcBorders>
              <w:top w:val="single" w:sz="4" w:space="0" w:color="auto"/>
            </w:tcBorders>
            <w:vAlign w:val="center"/>
          </w:tcPr>
          <w:p w14:paraId="405AB8D0"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393.26</w:t>
            </w:r>
          </w:p>
        </w:tc>
        <w:tc>
          <w:tcPr>
            <w:tcW w:w="2869" w:type="dxa"/>
            <w:tcBorders>
              <w:top w:val="single" w:sz="4" w:space="0" w:color="auto"/>
            </w:tcBorders>
            <w:vAlign w:val="center"/>
          </w:tcPr>
          <w:p w14:paraId="7370CECA"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19.83</w:t>
            </w:r>
          </w:p>
        </w:tc>
      </w:tr>
      <w:tr w:rsidR="004F0C95" w:rsidRPr="009A4995" w14:paraId="1FD9F92D" w14:textId="77777777" w:rsidTr="0017223B">
        <w:tc>
          <w:tcPr>
            <w:tcW w:w="2885" w:type="dxa"/>
            <w:vAlign w:val="center"/>
          </w:tcPr>
          <w:p w14:paraId="001DC525"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Subject slope</w:t>
            </w:r>
          </w:p>
        </w:tc>
        <w:tc>
          <w:tcPr>
            <w:tcW w:w="2886" w:type="dxa"/>
            <w:vAlign w:val="center"/>
          </w:tcPr>
          <w:p w14:paraId="1120CEF2"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3.74</w:t>
            </w:r>
          </w:p>
        </w:tc>
        <w:tc>
          <w:tcPr>
            <w:tcW w:w="2869" w:type="dxa"/>
            <w:vAlign w:val="center"/>
          </w:tcPr>
          <w:p w14:paraId="32AFDDBA"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1.94</w:t>
            </w:r>
          </w:p>
        </w:tc>
      </w:tr>
      <w:tr w:rsidR="004F0C95" w:rsidRPr="009A4995" w14:paraId="61CBE93E" w14:textId="77777777" w:rsidTr="0017223B">
        <w:tc>
          <w:tcPr>
            <w:tcW w:w="2885" w:type="dxa"/>
            <w:vAlign w:val="center"/>
          </w:tcPr>
          <w:p w14:paraId="0838FFC7"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Residual</w:t>
            </w:r>
          </w:p>
        </w:tc>
        <w:tc>
          <w:tcPr>
            <w:tcW w:w="2886" w:type="dxa"/>
            <w:vAlign w:val="center"/>
          </w:tcPr>
          <w:p w14:paraId="0DB93343"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3769.77</w:t>
            </w:r>
          </w:p>
        </w:tc>
        <w:tc>
          <w:tcPr>
            <w:tcW w:w="2869" w:type="dxa"/>
            <w:vAlign w:val="center"/>
          </w:tcPr>
          <w:p w14:paraId="14F04D23"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61.40</w:t>
            </w:r>
          </w:p>
        </w:tc>
      </w:tr>
    </w:tbl>
    <w:p w14:paraId="66BFCBD5"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sz w:val="20"/>
          <w:szCs w:val="20"/>
        </w:rPr>
        <w:t>Note: The random effect of run was not included as this model failed to converge.</w:t>
      </w:r>
    </w:p>
    <w:p w14:paraId="66FBA230" w14:textId="77777777" w:rsidR="004F0C95" w:rsidRPr="009A4995" w:rsidRDefault="004F0C95" w:rsidP="004F0C95">
      <w:pPr>
        <w:spacing w:before="100" w:beforeAutospacing="1" w:after="100" w:afterAutospacing="1" w:line="480" w:lineRule="auto"/>
        <w:jc w:val="both"/>
        <w:rPr>
          <w:rFonts w:ascii="Arial" w:hAnsi="Arial" w:cs="Arial"/>
          <w:sz w:val="20"/>
          <w:szCs w:val="20"/>
        </w:rPr>
      </w:pPr>
      <w:r w:rsidRPr="009A4995">
        <w:rPr>
          <w:rFonts w:ascii="Arial" w:hAnsi="Arial" w:cs="Arial"/>
          <w:b/>
          <w:sz w:val="20"/>
          <w:szCs w:val="20"/>
        </w:rPr>
        <w:t>Table S7:</w:t>
      </w:r>
      <w:r w:rsidRPr="009A4995">
        <w:rPr>
          <w:rFonts w:ascii="Arial" w:hAnsi="Arial" w:cs="Arial"/>
          <w:sz w:val="20"/>
          <w:szCs w:val="20"/>
        </w:rPr>
        <w:t xml:space="preserve"> Relationship between connectivity and task gradient examined using linear mixed effects modelling using 20 bins for the non-matching trials. Table of fixed effects. </w:t>
      </w:r>
    </w:p>
    <w:tbl>
      <w:tblPr>
        <w:tblStyle w:val="TableGrid"/>
        <w:tblW w:w="9754" w:type="dxa"/>
        <w:tblBorders>
          <w:left w:val="none" w:sz="0" w:space="0" w:color="auto"/>
          <w:right w:val="none" w:sz="0" w:space="0" w:color="auto"/>
        </w:tblBorders>
        <w:tblLook w:val="04A0" w:firstRow="1" w:lastRow="0" w:firstColumn="1" w:lastColumn="0" w:noHBand="0" w:noVBand="1"/>
      </w:tblPr>
      <w:tblGrid>
        <w:gridCol w:w="3402"/>
        <w:gridCol w:w="1588"/>
        <w:gridCol w:w="1588"/>
        <w:gridCol w:w="1588"/>
        <w:gridCol w:w="1588"/>
      </w:tblGrid>
      <w:tr w:rsidR="004F0C95" w:rsidRPr="009A4995" w14:paraId="3754AF7F" w14:textId="77777777" w:rsidTr="0017223B">
        <w:tc>
          <w:tcPr>
            <w:tcW w:w="3402" w:type="dxa"/>
            <w:tcBorders>
              <w:bottom w:val="single" w:sz="4" w:space="0" w:color="auto"/>
              <w:right w:val="nil"/>
            </w:tcBorders>
          </w:tcPr>
          <w:p w14:paraId="5E89F649"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Parameter</w:t>
            </w:r>
          </w:p>
        </w:tc>
        <w:tc>
          <w:tcPr>
            <w:tcW w:w="1588" w:type="dxa"/>
            <w:tcBorders>
              <w:left w:val="nil"/>
              <w:bottom w:val="single" w:sz="4" w:space="0" w:color="auto"/>
              <w:right w:val="nil"/>
            </w:tcBorders>
          </w:tcPr>
          <w:p w14:paraId="6DBA291B"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Estimate</w:t>
            </w:r>
          </w:p>
        </w:tc>
        <w:tc>
          <w:tcPr>
            <w:tcW w:w="1588" w:type="dxa"/>
            <w:tcBorders>
              <w:left w:val="nil"/>
              <w:bottom w:val="single" w:sz="4" w:space="0" w:color="auto"/>
              <w:right w:val="nil"/>
            </w:tcBorders>
          </w:tcPr>
          <w:p w14:paraId="19C7E1CE"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Standard Error</w:t>
            </w:r>
          </w:p>
        </w:tc>
        <w:tc>
          <w:tcPr>
            <w:tcW w:w="1588" w:type="dxa"/>
            <w:tcBorders>
              <w:left w:val="nil"/>
              <w:bottom w:val="single" w:sz="4" w:space="0" w:color="auto"/>
              <w:right w:val="nil"/>
            </w:tcBorders>
          </w:tcPr>
          <w:p w14:paraId="242E4C04"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t</w:t>
            </w:r>
          </w:p>
        </w:tc>
        <w:tc>
          <w:tcPr>
            <w:tcW w:w="1588" w:type="dxa"/>
            <w:tcBorders>
              <w:left w:val="nil"/>
              <w:bottom w:val="single" w:sz="4" w:space="0" w:color="auto"/>
            </w:tcBorders>
          </w:tcPr>
          <w:p w14:paraId="1F27076D"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p</w:t>
            </w:r>
          </w:p>
        </w:tc>
      </w:tr>
      <w:tr w:rsidR="004F0C95" w:rsidRPr="009A4995" w14:paraId="54EEA6A2" w14:textId="77777777" w:rsidTr="0017223B">
        <w:tc>
          <w:tcPr>
            <w:tcW w:w="3402" w:type="dxa"/>
            <w:tcBorders>
              <w:bottom w:val="nil"/>
              <w:right w:val="nil"/>
            </w:tcBorders>
            <w:vAlign w:val="center"/>
          </w:tcPr>
          <w:p w14:paraId="46DD7F3E"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Intercept</w:t>
            </w:r>
          </w:p>
        </w:tc>
        <w:tc>
          <w:tcPr>
            <w:tcW w:w="1588" w:type="dxa"/>
            <w:tcBorders>
              <w:left w:val="nil"/>
              <w:bottom w:val="nil"/>
              <w:right w:val="nil"/>
            </w:tcBorders>
            <w:vAlign w:val="center"/>
          </w:tcPr>
          <w:p w14:paraId="3A673AC6"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-4.09</w:t>
            </w:r>
          </w:p>
        </w:tc>
        <w:tc>
          <w:tcPr>
            <w:tcW w:w="1588" w:type="dxa"/>
            <w:tcBorders>
              <w:left w:val="nil"/>
              <w:bottom w:val="nil"/>
              <w:right w:val="nil"/>
            </w:tcBorders>
            <w:vAlign w:val="center"/>
          </w:tcPr>
          <w:p w14:paraId="2546A230"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5.05</w:t>
            </w:r>
          </w:p>
        </w:tc>
        <w:tc>
          <w:tcPr>
            <w:tcW w:w="1588" w:type="dxa"/>
            <w:tcBorders>
              <w:left w:val="nil"/>
              <w:bottom w:val="nil"/>
              <w:right w:val="nil"/>
            </w:tcBorders>
            <w:vAlign w:val="center"/>
          </w:tcPr>
          <w:p w14:paraId="21C8C044"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-0.81</w:t>
            </w:r>
          </w:p>
        </w:tc>
        <w:tc>
          <w:tcPr>
            <w:tcW w:w="1588" w:type="dxa"/>
            <w:tcBorders>
              <w:left w:val="nil"/>
              <w:bottom w:val="nil"/>
            </w:tcBorders>
            <w:vAlign w:val="center"/>
          </w:tcPr>
          <w:p w14:paraId="2D84A65A"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0.42</w:t>
            </w:r>
          </w:p>
        </w:tc>
      </w:tr>
      <w:tr w:rsidR="004F0C95" w:rsidRPr="009A4995" w14:paraId="7A426DF2" w14:textId="77777777" w:rsidTr="0017223B">
        <w:tc>
          <w:tcPr>
            <w:tcW w:w="3402" w:type="dxa"/>
            <w:tcBorders>
              <w:top w:val="nil"/>
              <w:right w:val="nil"/>
            </w:tcBorders>
            <w:vAlign w:val="center"/>
          </w:tcPr>
          <w:p w14:paraId="627B69D2"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Connectivity gradient linear effect</w:t>
            </w:r>
          </w:p>
        </w:tc>
        <w:tc>
          <w:tcPr>
            <w:tcW w:w="1588" w:type="dxa"/>
            <w:tcBorders>
              <w:top w:val="nil"/>
              <w:left w:val="nil"/>
              <w:right w:val="nil"/>
            </w:tcBorders>
            <w:vAlign w:val="center"/>
          </w:tcPr>
          <w:p w14:paraId="33977661"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0.73</w:t>
            </w:r>
          </w:p>
        </w:tc>
        <w:tc>
          <w:tcPr>
            <w:tcW w:w="1588" w:type="dxa"/>
            <w:tcBorders>
              <w:top w:val="nil"/>
              <w:left w:val="nil"/>
              <w:right w:val="nil"/>
            </w:tcBorders>
            <w:vAlign w:val="center"/>
          </w:tcPr>
          <w:p w14:paraId="54A53FF4"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0.34</w:t>
            </w:r>
          </w:p>
        </w:tc>
        <w:tc>
          <w:tcPr>
            <w:tcW w:w="1588" w:type="dxa"/>
            <w:tcBorders>
              <w:top w:val="nil"/>
              <w:left w:val="nil"/>
              <w:right w:val="nil"/>
            </w:tcBorders>
            <w:vAlign w:val="center"/>
          </w:tcPr>
          <w:p w14:paraId="62934FE0"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2.12</w:t>
            </w:r>
          </w:p>
        </w:tc>
        <w:tc>
          <w:tcPr>
            <w:tcW w:w="1588" w:type="dxa"/>
            <w:tcBorders>
              <w:top w:val="nil"/>
              <w:left w:val="nil"/>
            </w:tcBorders>
            <w:vAlign w:val="center"/>
          </w:tcPr>
          <w:p w14:paraId="486C3538"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0.04</w:t>
            </w:r>
          </w:p>
        </w:tc>
      </w:tr>
    </w:tbl>
    <w:p w14:paraId="6180DD7D" w14:textId="77777777" w:rsidR="004F0C95" w:rsidRPr="009A4995" w:rsidRDefault="004F0C95" w:rsidP="004F0C95">
      <w:pPr>
        <w:spacing w:before="100" w:beforeAutospacing="1" w:after="100" w:afterAutospacing="1" w:line="480" w:lineRule="auto"/>
        <w:jc w:val="both"/>
        <w:rPr>
          <w:rFonts w:ascii="Arial" w:hAnsi="Arial" w:cs="Arial"/>
          <w:sz w:val="20"/>
          <w:szCs w:val="20"/>
        </w:rPr>
      </w:pPr>
      <w:r w:rsidRPr="009A4995">
        <w:rPr>
          <w:rFonts w:ascii="Arial" w:hAnsi="Arial" w:cs="Arial"/>
          <w:b/>
          <w:sz w:val="20"/>
          <w:szCs w:val="20"/>
        </w:rPr>
        <w:t>Table S8:</w:t>
      </w:r>
      <w:r w:rsidRPr="009A4995">
        <w:rPr>
          <w:rFonts w:ascii="Arial" w:hAnsi="Arial" w:cs="Arial"/>
          <w:sz w:val="20"/>
          <w:szCs w:val="20"/>
        </w:rPr>
        <w:t xml:space="preserve"> Relationship between connectivity and task gradient examined using linear mixed effects modelling using 20 bins for the non-matching trials. Table of random effects.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2886"/>
        <w:gridCol w:w="2869"/>
      </w:tblGrid>
      <w:tr w:rsidR="004F0C95" w:rsidRPr="009A4995" w14:paraId="37641B09" w14:textId="77777777" w:rsidTr="0017223B">
        <w:tc>
          <w:tcPr>
            <w:tcW w:w="3005" w:type="dxa"/>
            <w:tcBorders>
              <w:top w:val="single" w:sz="4" w:space="0" w:color="auto"/>
              <w:bottom w:val="single" w:sz="4" w:space="0" w:color="auto"/>
            </w:tcBorders>
            <w:vAlign w:val="center"/>
          </w:tcPr>
          <w:p w14:paraId="27BDF8ED"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Groups</w:t>
            </w:r>
          </w:p>
        </w:tc>
        <w:tc>
          <w:tcPr>
            <w:tcW w:w="3005" w:type="dxa"/>
            <w:tcBorders>
              <w:top w:val="single" w:sz="4" w:space="0" w:color="auto"/>
              <w:bottom w:val="single" w:sz="4" w:space="0" w:color="auto"/>
            </w:tcBorders>
            <w:vAlign w:val="center"/>
          </w:tcPr>
          <w:p w14:paraId="3E0360E2"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Variance</w:t>
            </w:r>
          </w:p>
        </w:tc>
        <w:tc>
          <w:tcPr>
            <w:tcW w:w="3006" w:type="dxa"/>
            <w:tcBorders>
              <w:top w:val="single" w:sz="4" w:space="0" w:color="auto"/>
              <w:bottom w:val="single" w:sz="4" w:space="0" w:color="auto"/>
            </w:tcBorders>
            <w:vAlign w:val="center"/>
          </w:tcPr>
          <w:p w14:paraId="22A88E34"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SD</w:t>
            </w:r>
          </w:p>
        </w:tc>
      </w:tr>
      <w:tr w:rsidR="004F0C95" w:rsidRPr="009A4995" w14:paraId="75E5A147" w14:textId="77777777" w:rsidTr="0017223B">
        <w:tc>
          <w:tcPr>
            <w:tcW w:w="3005" w:type="dxa"/>
            <w:tcBorders>
              <w:top w:val="single" w:sz="4" w:space="0" w:color="auto"/>
            </w:tcBorders>
            <w:vAlign w:val="center"/>
          </w:tcPr>
          <w:p w14:paraId="166E0050"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Subject intercept</w:t>
            </w:r>
          </w:p>
        </w:tc>
        <w:tc>
          <w:tcPr>
            <w:tcW w:w="3005" w:type="dxa"/>
            <w:tcBorders>
              <w:top w:val="single" w:sz="4" w:space="0" w:color="auto"/>
            </w:tcBorders>
            <w:vAlign w:val="center"/>
          </w:tcPr>
          <w:p w14:paraId="150EC0F3"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501.27</w:t>
            </w:r>
          </w:p>
        </w:tc>
        <w:tc>
          <w:tcPr>
            <w:tcW w:w="3006" w:type="dxa"/>
            <w:tcBorders>
              <w:top w:val="single" w:sz="4" w:space="0" w:color="auto"/>
            </w:tcBorders>
            <w:vAlign w:val="center"/>
          </w:tcPr>
          <w:p w14:paraId="720CF37B"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22.39</w:t>
            </w:r>
          </w:p>
        </w:tc>
      </w:tr>
      <w:tr w:rsidR="004F0C95" w:rsidRPr="009A4995" w14:paraId="126B3171" w14:textId="77777777" w:rsidTr="0017223B">
        <w:tc>
          <w:tcPr>
            <w:tcW w:w="3005" w:type="dxa"/>
            <w:vAlign w:val="center"/>
          </w:tcPr>
          <w:p w14:paraId="05691AB5"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Subject slope</w:t>
            </w:r>
          </w:p>
        </w:tc>
        <w:tc>
          <w:tcPr>
            <w:tcW w:w="3005" w:type="dxa"/>
            <w:vAlign w:val="center"/>
          </w:tcPr>
          <w:p w14:paraId="2C323340"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2.04</w:t>
            </w:r>
          </w:p>
        </w:tc>
        <w:tc>
          <w:tcPr>
            <w:tcW w:w="3006" w:type="dxa"/>
            <w:vAlign w:val="center"/>
          </w:tcPr>
          <w:p w14:paraId="1CE4D925"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1.43</w:t>
            </w:r>
          </w:p>
        </w:tc>
      </w:tr>
      <w:tr w:rsidR="004F0C95" w:rsidRPr="009A4995" w14:paraId="6D2E95EF" w14:textId="77777777" w:rsidTr="0017223B">
        <w:tc>
          <w:tcPr>
            <w:tcW w:w="3005" w:type="dxa"/>
            <w:vAlign w:val="center"/>
          </w:tcPr>
          <w:p w14:paraId="35547D17"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Run intercept</w:t>
            </w:r>
          </w:p>
        </w:tc>
        <w:tc>
          <w:tcPr>
            <w:tcW w:w="3005" w:type="dxa"/>
            <w:vAlign w:val="center"/>
          </w:tcPr>
          <w:p w14:paraId="054FA850"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6.63</w:t>
            </w:r>
          </w:p>
        </w:tc>
        <w:tc>
          <w:tcPr>
            <w:tcW w:w="3006" w:type="dxa"/>
            <w:vAlign w:val="center"/>
          </w:tcPr>
          <w:p w14:paraId="5BF8A714"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2.58</w:t>
            </w:r>
          </w:p>
        </w:tc>
      </w:tr>
      <w:tr w:rsidR="004F0C95" w:rsidRPr="009A4995" w14:paraId="3CDD3F90" w14:textId="77777777" w:rsidTr="0017223B">
        <w:tc>
          <w:tcPr>
            <w:tcW w:w="3005" w:type="dxa"/>
            <w:vAlign w:val="center"/>
          </w:tcPr>
          <w:p w14:paraId="2F3AF2B4"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Residual</w:t>
            </w:r>
          </w:p>
        </w:tc>
        <w:tc>
          <w:tcPr>
            <w:tcW w:w="3005" w:type="dxa"/>
            <w:vAlign w:val="center"/>
          </w:tcPr>
          <w:p w14:paraId="037DA70E"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3813.83</w:t>
            </w:r>
          </w:p>
        </w:tc>
        <w:tc>
          <w:tcPr>
            <w:tcW w:w="3006" w:type="dxa"/>
            <w:vAlign w:val="center"/>
          </w:tcPr>
          <w:p w14:paraId="067E7864"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61.76</w:t>
            </w:r>
          </w:p>
        </w:tc>
      </w:tr>
    </w:tbl>
    <w:p w14:paraId="0EDC49BD" w14:textId="77777777" w:rsidR="004F0C95" w:rsidRPr="009A4995" w:rsidRDefault="004F0C95" w:rsidP="004F0C95">
      <w:pPr>
        <w:spacing w:line="480" w:lineRule="auto"/>
        <w:rPr>
          <w:rFonts w:ascii="Arial" w:hAnsi="Arial" w:cs="Arial"/>
          <w:sz w:val="20"/>
          <w:szCs w:val="20"/>
        </w:rPr>
      </w:pPr>
    </w:p>
    <w:p w14:paraId="340583A5" w14:textId="77777777" w:rsidR="004F0C95" w:rsidRPr="009A4995" w:rsidRDefault="004F0C95" w:rsidP="004F0C95">
      <w:pPr>
        <w:pStyle w:val="Style3"/>
      </w:pPr>
      <w:r w:rsidRPr="009A4995">
        <w:lastRenderedPageBreak/>
        <w:t>3.4. The task and connectivity gradients capture the orderly transitions between DMN, semantic control and MDN</w:t>
      </w:r>
    </w:p>
    <w:p w14:paraId="52981C52"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bCs/>
          <w:sz w:val="20"/>
          <w:szCs w:val="20"/>
        </w:rPr>
        <w:t xml:space="preserve">In the main text, this analysis is presented using the spatial working memory localizer task. Here we defined </w:t>
      </w:r>
      <w:r w:rsidRPr="009A4995">
        <w:rPr>
          <w:rFonts w:ascii="Arial" w:hAnsi="Arial" w:cs="Arial"/>
          <w:sz w:val="20"/>
          <w:szCs w:val="20"/>
        </w:rPr>
        <w:t>functional regions of interest (</w:t>
      </w:r>
      <w:r w:rsidRPr="009A4995">
        <w:rPr>
          <w:rFonts w:ascii="Arial" w:hAnsi="Arial" w:cs="Arial"/>
          <w:bCs/>
          <w:sz w:val="20"/>
          <w:szCs w:val="20"/>
        </w:rPr>
        <w:t>ROIs</w:t>
      </w:r>
      <w:r w:rsidRPr="009A4995">
        <w:rPr>
          <w:rFonts w:ascii="Arial" w:hAnsi="Arial" w:cs="Arial"/>
          <w:sz w:val="20"/>
          <w:szCs w:val="20"/>
        </w:rPr>
        <w:t>)</w:t>
      </w:r>
      <w:r w:rsidRPr="009A4995">
        <w:rPr>
          <w:rFonts w:ascii="Arial" w:hAnsi="Arial" w:cs="Arial"/>
          <w:bCs/>
          <w:sz w:val="20"/>
          <w:szCs w:val="20"/>
        </w:rPr>
        <w:t xml:space="preserve"> using contrasts of easy and hard math localizer trials</w:t>
      </w:r>
      <w:r w:rsidRPr="009A4995">
        <w:rPr>
          <w:rFonts w:ascii="Arial" w:hAnsi="Arial" w:cs="Arial"/>
          <w:sz w:val="20"/>
          <w:szCs w:val="20"/>
        </w:rPr>
        <w:t xml:space="preserve">. </w:t>
      </w:r>
      <w:r w:rsidRPr="009A4995">
        <w:rPr>
          <w:rFonts w:ascii="Arial" w:hAnsi="Arial" w:cs="Arial"/>
          <w:bCs/>
          <w:sz w:val="20"/>
          <w:szCs w:val="20"/>
        </w:rPr>
        <w:t>As before, we found task gradient and connectivity gradient values decreased in an orderly fashion across these networks (Figure S8B, S8C).</w:t>
      </w:r>
      <w:r w:rsidRPr="009A4995">
        <w:rPr>
          <w:rFonts w:ascii="Arial" w:hAnsi="Arial" w:cs="Arial"/>
          <w:sz w:val="20"/>
          <w:szCs w:val="20"/>
        </w:rPr>
        <w:t xml:space="preserve"> Repeated-measures ANOVA was used to examine how task gradient values changed across participants across networks. Mauchly’s Test of Sphericity indicated that the assumption of sphericity had been violated (</w:t>
      </w:r>
      <w:r w:rsidRPr="009A4995">
        <w:rPr>
          <w:rFonts w:ascii="Arial" w:hAnsi="Arial" w:cs="Arial"/>
          <w:sz w:val="20"/>
          <w:szCs w:val="20"/>
        </w:rPr>
        <w:sym w:font="Symbol" w:char="F063"/>
      </w:r>
      <w:r w:rsidRPr="009A4995">
        <w:rPr>
          <w:rFonts w:ascii="Arial" w:hAnsi="Arial" w:cs="Arial"/>
          <w:sz w:val="20"/>
          <w:szCs w:val="20"/>
          <w:vertAlign w:val="superscript"/>
        </w:rPr>
        <w:t>2</w:t>
      </w:r>
      <w:r w:rsidRPr="009A4995">
        <w:rPr>
          <w:rFonts w:ascii="Arial" w:hAnsi="Arial" w:cs="Arial"/>
          <w:sz w:val="20"/>
          <w:szCs w:val="20"/>
        </w:rPr>
        <w:t xml:space="preserve"> = 16.069, p = 0.007) and therefore a Greenhouse-Geisser correction was used. There were significant differences in task gradient values across networks (F(2.274, 63.664) = 3.683, p = 0.026) and</w:t>
      </w:r>
      <w:r w:rsidRPr="009A4995">
        <w:rPr>
          <w:rFonts w:ascii="Arial" w:hAnsi="Arial" w:cs="Arial"/>
          <w:sz w:val="20"/>
          <w:szCs w:val="20"/>
          <w:lang w:eastAsia="zh-CN"/>
        </w:rPr>
        <w:t xml:space="preserve"> a linear trend, capturing the orderly progression in task gradient values from MDN through semantic control to DMN sites (F(1, 28) = 6.895, p = 0.014). There was no quadratic or cubic trend (p &gt; 0.05).</w:t>
      </w:r>
    </w:p>
    <w:p w14:paraId="3083454A" w14:textId="77777777" w:rsidR="004F0C95" w:rsidRPr="009A4995" w:rsidRDefault="004F0C95" w:rsidP="004F0C95">
      <w:pPr>
        <w:spacing w:before="100" w:beforeAutospacing="1" w:after="100" w:afterAutospacing="1" w:line="480" w:lineRule="auto"/>
        <w:ind w:firstLine="720"/>
        <w:rPr>
          <w:rFonts w:ascii="Arial" w:hAnsi="Arial" w:cs="Arial"/>
          <w:sz w:val="20"/>
          <w:szCs w:val="20"/>
          <w:lang w:eastAsia="zh-CN"/>
        </w:rPr>
      </w:pPr>
      <w:r w:rsidRPr="009A4995">
        <w:rPr>
          <w:rFonts w:ascii="Arial" w:hAnsi="Arial" w:cs="Arial"/>
          <w:sz w:val="20"/>
          <w:szCs w:val="20"/>
        </w:rPr>
        <w:t>Repeated-measures ANOVA was also used to examine how individually-defined connectivity gradient values changed across participants across networks. We found the same pattern across networks for connectivity gradient values (Figure S8C). Mauchly’s Test of Sphericity again indicated that the assumption of sphericity had been violated (</w:t>
      </w:r>
      <w:r w:rsidRPr="009A4995">
        <w:rPr>
          <w:rFonts w:ascii="Arial" w:hAnsi="Arial" w:cs="Arial"/>
          <w:sz w:val="20"/>
          <w:szCs w:val="20"/>
        </w:rPr>
        <w:sym w:font="Symbol" w:char="F063"/>
      </w:r>
      <w:r w:rsidRPr="009A4995">
        <w:rPr>
          <w:rFonts w:ascii="Arial" w:hAnsi="Arial" w:cs="Arial"/>
          <w:sz w:val="20"/>
          <w:szCs w:val="20"/>
          <w:vertAlign w:val="superscript"/>
        </w:rPr>
        <w:t>2</w:t>
      </w:r>
      <w:r w:rsidRPr="009A4995">
        <w:rPr>
          <w:rFonts w:ascii="Arial" w:hAnsi="Arial" w:cs="Arial"/>
          <w:sz w:val="20"/>
          <w:szCs w:val="20"/>
        </w:rPr>
        <w:t xml:space="preserve"> = 27.923, p &lt; 0.000), and therefore, a Greenhouse-Geisser correction was used. There were significant differences in connectivity gradient values (F(1.775, 49.712) = 107.370, p &lt; 0.000) and</w:t>
      </w:r>
      <w:r w:rsidRPr="009A4995">
        <w:rPr>
          <w:rFonts w:ascii="Arial" w:hAnsi="Arial" w:cs="Arial"/>
          <w:sz w:val="20"/>
          <w:szCs w:val="20"/>
          <w:lang w:eastAsia="zh-CN"/>
        </w:rPr>
        <w:t xml:space="preserve"> a linear change between networks (F(1, 28) = 150.840, p = 0.000), capturing an orderly progression in the connectivity gradient from MDN through semantic control to DMN sites. There was also a quadratic effect (F(1, 28) = 27.680, p = 0.000) and cubic effect (F(1, 28) = 17.502, p = 0.000).</w:t>
      </w:r>
    </w:p>
    <w:p w14:paraId="3705F702" w14:textId="77777777" w:rsidR="004F0C95" w:rsidRPr="009A4995" w:rsidRDefault="004F0C95" w:rsidP="004F0C95">
      <w:pPr>
        <w:spacing w:before="100" w:beforeAutospacing="1" w:after="100" w:afterAutospacing="1" w:line="480" w:lineRule="auto"/>
        <w:rPr>
          <w:rFonts w:ascii="Arial" w:hAnsi="Arial" w:cs="Arial"/>
          <w:sz w:val="20"/>
          <w:szCs w:val="20"/>
          <w:lang w:eastAsia="zh-CN"/>
        </w:rPr>
      </w:pPr>
      <w:r w:rsidRPr="009A4995">
        <w:rPr>
          <w:rFonts w:ascii="Arial" w:hAnsi="Arial" w:cs="Arial"/>
          <w:noProof/>
          <w:sz w:val="20"/>
          <w:szCs w:val="20"/>
          <w:lang w:eastAsia="zh-CN"/>
        </w:rPr>
        <w:lastRenderedPageBreak/>
        <w:drawing>
          <wp:inline distT="0" distB="0" distL="0" distR="0" wp14:anchorId="220E2BC0" wp14:editId="14B13035">
            <wp:extent cx="5486400" cy="133477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1334770"/>
                    </a:xfrm>
                    <a:prstGeom prst="rect">
                      <a:avLst/>
                    </a:prstGeom>
                  </pic:spPr>
                </pic:pic>
              </a:graphicData>
            </a:graphic>
          </wp:inline>
        </w:drawing>
      </w:r>
    </w:p>
    <w:p w14:paraId="7AE1DA5F" w14:textId="77777777" w:rsidR="004F0C95" w:rsidRPr="009A4995" w:rsidRDefault="004F0C95" w:rsidP="004F0C95">
      <w:pPr>
        <w:spacing w:before="100" w:beforeAutospacing="1" w:after="100" w:afterAutospacing="1" w:line="480" w:lineRule="auto"/>
        <w:rPr>
          <w:rFonts w:ascii="Arial" w:eastAsiaTheme="majorEastAsia" w:hAnsi="Arial" w:cs="Arial"/>
          <w:b/>
          <w:sz w:val="20"/>
          <w:szCs w:val="20"/>
        </w:rPr>
      </w:pPr>
      <w:r w:rsidRPr="009A4995">
        <w:rPr>
          <w:rFonts w:ascii="Arial" w:hAnsi="Arial" w:cs="Arial"/>
          <w:b/>
          <w:sz w:val="20"/>
          <w:szCs w:val="20"/>
        </w:rPr>
        <w:t>Figure S8.</w:t>
      </w:r>
      <w:r w:rsidRPr="009A4995">
        <w:rPr>
          <w:rFonts w:ascii="Arial" w:hAnsi="Arial" w:cs="Arial"/>
          <w:sz w:val="20"/>
          <w:szCs w:val="20"/>
        </w:rPr>
        <w:t xml:space="preserve"> A – Networks used in the analysis. The same networks shown in Figure 5A, including DMN, semantic control and MDN, masked by semantically relevant regions, defined using Neurosynth. B – The task gradient values of each network for matching trials. C – The connectivity gradient values of each network.</w:t>
      </w:r>
    </w:p>
    <w:p w14:paraId="458355C3" w14:textId="77777777" w:rsidR="004F0C95" w:rsidRPr="009A4995" w:rsidRDefault="004F0C95" w:rsidP="004F0C95">
      <w:pPr>
        <w:pStyle w:val="Style1"/>
        <w:spacing w:before="100" w:beforeAutospacing="1" w:after="100" w:afterAutospacing="1" w:line="480" w:lineRule="auto"/>
        <w:rPr>
          <w:rFonts w:cs="Arial"/>
          <w:sz w:val="20"/>
          <w:szCs w:val="20"/>
        </w:rPr>
      </w:pPr>
      <w:r w:rsidRPr="009A4995">
        <w:rPr>
          <w:rFonts w:cs="Arial"/>
          <w:sz w:val="20"/>
          <w:szCs w:val="20"/>
        </w:rPr>
        <w:t>References</w:t>
      </w:r>
    </w:p>
    <w:p w14:paraId="5A7DFF5E" w14:textId="77777777" w:rsidR="004F0C95" w:rsidRPr="009A4995" w:rsidRDefault="004F0C95" w:rsidP="004F0C95">
      <w:pPr>
        <w:widowControl w:val="0"/>
        <w:autoSpaceDE w:val="0"/>
        <w:autoSpaceDN w:val="0"/>
        <w:adjustRightInd w:val="0"/>
        <w:spacing w:before="100" w:after="100" w:line="480" w:lineRule="auto"/>
        <w:ind w:left="480" w:hanging="480"/>
        <w:rPr>
          <w:rFonts w:ascii="Arial" w:hAnsi="Arial" w:cs="Arial"/>
          <w:noProof/>
          <w:sz w:val="20"/>
          <w:szCs w:val="20"/>
        </w:rPr>
      </w:pPr>
      <w:r w:rsidRPr="009A4995">
        <w:rPr>
          <w:rFonts w:ascii="Arial" w:hAnsi="Arial" w:cs="Arial"/>
          <w:sz w:val="20"/>
          <w:szCs w:val="20"/>
        </w:rPr>
        <w:fldChar w:fldCharType="begin" w:fldLock="1"/>
      </w:r>
      <w:r w:rsidRPr="009A4995">
        <w:rPr>
          <w:rFonts w:ascii="Arial" w:hAnsi="Arial" w:cs="Arial"/>
          <w:sz w:val="20"/>
          <w:szCs w:val="20"/>
        </w:rPr>
        <w:instrText xml:space="preserve">ADDIN Mendeley Bibliography CSL_BIBLIOGRAPHY </w:instrText>
      </w:r>
      <w:r w:rsidRPr="009A4995">
        <w:rPr>
          <w:rFonts w:ascii="Arial" w:hAnsi="Arial" w:cs="Arial"/>
          <w:sz w:val="20"/>
          <w:szCs w:val="20"/>
        </w:rPr>
        <w:fldChar w:fldCharType="separate"/>
      </w:r>
      <w:r w:rsidRPr="009A4995">
        <w:rPr>
          <w:rFonts w:ascii="Arial" w:hAnsi="Arial" w:cs="Arial"/>
          <w:noProof/>
          <w:sz w:val="20"/>
          <w:szCs w:val="20"/>
        </w:rPr>
        <w:t>Baayen, R.H., Davidson, D.J., Bates, D.M., 2008. Mixed-effects modeling with crossed random effects for subjects and items. J. Mem. Lang. https://doi.org/10.1016/j.jml.2007.12.005</w:t>
      </w:r>
    </w:p>
    <w:p w14:paraId="2EBA97B6" w14:textId="77777777" w:rsidR="004F0C95" w:rsidRPr="009A4995" w:rsidRDefault="004F0C95" w:rsidP="004F0C95">
      <w:pPr>
        <w:widowControl w:val="0"/>
        <w:autoSpaceDE w:val="0"/>
        <w:autoSpaceDN w:val="0"/>
        <w:adjustRightInd w:val="0"/>
        <w:spacing w:before="100" w:after="100" w:line="480" w:lineRule="auto"/>
        <w:ind w:left="480" w:hanging="480"/>
        <w:rPr>
          <w:rFonts w:ascii="Arial" w:hAnsi="Arial" w:cs="Arial"/>
          <w:noProof/>
          <w:sz w:val="20"/>
          <w:szCs w:val="20"/>
        </w:rPr>
      </w:pPr>
      <w:r w:rsidRPr="009A4995">
        <w:rPr>
          <w:rFonts w:ascii="Arial" w:hAnsi="Arial" w:cs="Arial"/>
          <w:noProof/>
          <w:sz w:val="20"/>
          <w:szCs w:val="20"/>
        </w:rPr>
        <w:t>Bates, D., Maechler, M., Bolker, B., Walker, S., 2014. lme4: linear mixed-effects models using S4 classes. R package version 1.1-6. R. https://doi.org/http://CRAN.R-project.org/package=lme4</w:t>
      </w:r>
    </w:p>
    <w:p w14:paraId="475ADD6F" w14:textId="77777777" w:rsidR="004F0C95" w:rsidRPr="009A4995" w:rsidRDefault="004F0C95" w:rsidP="004F0C95">
      <w:pPr>
        <w:widowControl w:val="0"/>
        <w:autoSpaceDE w:val="0"/>
        <w:autoSpaceDN w:val="0"/>
        <w:adjustRightInd w:val="0"/>
        <w:spacing w:before="100" w:after="100" w:line="480" w:lineRule="auto"/>
        <w:ind w:left="480" w:hanging="480"/>
        <w:rPr>
          <w:rFonts w:ascii="Arial" w:hAnsi="Arial" w:cs="Arial"/>
          <w:noProof/>
          <w:sz w:val="20"/>
          <w:szCs w:val="20"/>
        </w:rPr>
      </w:pPr>
      <w:r w:rsidRPr="009A4995">
        <w:rPr>
          <w:rFonts w:ascii="Arial" w:hAnsi="Arial" w:cs="Arial"/>
          <w:noProof/>
          <w:sz w:val="20"/>
          <w:szCs w:val="20"/>
        </w:rPr>
        <w:t>Brysbaert, M., Warriner, A.B., Kuperman, V., 2014. Concreteness ratings for 40 thousand generally known English word lemmas. Behav. Res. Methods 46, 904–911. https://doi.org/10.3758/s13428-013-0403-5</w:t>
      </w:r>
    </w:p>
    <w:p w14:paraId="03EDCDA2" w14:textId="77777777" w:rsidR="004F0C95" w:rsidRPr="009A4995" w:rsidRDefault="004F0C95" w:rsidP="004F0C95">
      <w:pPr>
        <w:widowControl w:val="0"/>
        <w:autoSpaceDE w:val="0"/>
        <w:autoSpaceDN w:val="0"/>
        <w:adjustRightInd w:val="0"/>
        <w:spacing w:before="100" w:after="100" w:line="480" w:lineRule="auto"/>
        <w:ind w:left="480" w:hanging="480"/>
        <w:rPr>
          <w:rFonts w:ascii="Arial" w:hAnsi="Arial" w:cs="Arial"/>
          <w:noProof/>
          <w:sz w:val="20"/>
          <w:szCs w:val="20"/>
        </w:rPr>
      </w:pPr>
      <w:r w:rsidRPr="009A4995">
        <w:rPr>
          <w:rFonts w:ascii="Arial" w:hAnsi="Arial" w:cs="Arial"/>
          <w:noProof/>
          <w:sz w:val="20"/>
          <w:szCs w:val="20"/>
        </w:rPr>
        <w:t>Margulies, D.S., Ghosh, S.S., Goulas, A., Falkiewicz, M., Huntenburg, J.M., Langs, G., Bezgin, G., Eickhoff, S.B., Castellanos, F.X., Petrides, M., Jefferies, E., Smallwood, J., 2016. Situating the default-mode network along a principal gradient of macroscale cortical organization. Proc. Natl. Acad. Sci. 113, 12574–12579. https://doi.org/10.1073/pnas.1608282113</w:t>
      </w:r>
    </w:p>
    <w:p w14:paraId="54F67F51" w14:textId="77777777" w:rsidR="004F0C95" w:rsidRPr="009A4995" w:rsidRDefault="004F0C95" w:rsidP="004F0C95">
      <w:pPr>
        <w:widowControl w:val="0"/>
        <w:autoSpaceDE w:val="0"/>
        <w:autoSpaceDN w:val="0"/>
        <w:adjustRightInd w:val="0"/>
        <w:spacing w:before="100" w:after="100" w:line="480" w:lineRule="auto"/>
        <w:ind w:left="480" w:hanging="480"/>
        <w:rPr>
          <w:rFonts w:ascii="Arial" w:hAnsi="Arial" w:cs="Arial"/>
          <w:noProof/>
          <w:sz w:val="20"/>
          <w:szCs w:val="20"/>
        </w:rPr>
      </w:pPr>
      <w:r w:rsidRPr="009A4995">
        <w:rPr>
          <w:rFonts w:ascii="Arial" w:hAnsi="Arial" w:cs="Arial"/>
          <w:noProof/>
          <w:sz w:val="20"/>
          <w:szCs w:val="20"/>
        </w:rPr>
        <w:t>Team, R.C., 2012. R: A language and environment for statistical computing.</w:t>
      </w:r>
    </w:p>
    <w:p w14:paraId="0F7F1A80" w14:textId="77777777" w:rsidR="004F0C95" w:rsidRPr="009A4995" w:rsidRDefault="004F0C95" w:rsidP="004F0C95">
      <w:pPr>
        <w:widowControl w:val="0"/>
        <w:autoSpaceDE w:val="0"/>
        <w:autoSpaceDN w:val="0"/>
        <w:adjustRightInd w:val="0"/>
        <w:spacing w:before="100" w:after="100" w:line="480" w:lineRule="auto"/>
        <w:ind w:left="480" w:hanging="480"/>
        <w:rPr>
          <w:rFonts w:ascii="Arial" w:hAnsi="Arial" w:cs="Arial"/>
          <w:noProof/>
          <w:sz w:val="20"/>
          <w:szCs w:val="20"/>
        </w:rPr>
      </w:pPr>
      <w:r w:rsidRPr="009A4995">
        <w:rPr>
          <w:rFonts w:ascii="Arial" w:hAnsi="Arial" w:cs="Arial"/>
          <w:noProof/>
          <w:sz w:val="20"/>
          <w:szCs w:val="20"/>
        </w:rPr>
        <w:t xml:space="preserve">van Heuven, W.J.B., Mandera, P., Keuleers, E., Brysbaert, M., 2014. Subtlex-UK: A New and </w:t>
      </w:r>
      <w:r w:rsidRPr="009A4995">
        <w:rPr>
          <w:rFonts w:ascii="Arial" w:hAnsi="Arial" w:cs="Arial"/>
          <w:noProof/>
          <w:sz w:val="20"/>
          <w:szCs w:val="20"/>
        </w:rPr>
        <w:lastRenderedPageBreak/>
        <w:t>Improved Word Frequency Database for British English. Q. J. Exp. Psychol. 67, 1176–1190. https://doi.org/10.1080/17470218.2013.850521</w:t>
      </w:r>
    </w:p>
    <w:p w14:paraId="1A284C56" w14:textId="77777777" w:rsidR="004F0C95" w:rsidRPr="009A4995" w:rsidRDefault="004F0C95" w:rsidP="004F0C95">
      <w:pPr>
        <w:widowControl w:val="0"/>
        <w:autoSpaceDE w:val="0"/>
        <w:autoSpaceDN w:val="0"/>
        <w:adjustRightInd w:val="0"/>
        <w:spacing w:before="100" w:after="100" w:line="480" w:lineRule="auto"/>
        <w:ind w:left="480" w:hanging="480"/>
        <w:rPr>
          <w:rFonts w:ascii="Arial" w:hAnsi="Arial" w:cs="Arial"/>
          <w:noProof/>
          <w:sz w:val="20"/>
          <w:szCs w:val="20"/>
        </w:rPr>
      </w:pPr>
      <w:r w:rsidRPr="009A4995">
        <w:rPr>
          <w:rFonts w:ascii="Arial" w:hAnsi="Arial" w:cs="Arial"/>
          <w:noProof/>
          <w:sz w:val="20"/>
          <w:szCs w:val="20"/>
        </w:rPr>
        <w:t>Xia, M., Wang, J., He, Y., 2013. BrainNet Viewer: A Network Visualization Tool for Human Brain Connectomics. PLoS One 8, e68910. https://doi.org/10.1371/journal.pone.0068910</w:t>
      </w:r>
    </w:p>
    <w:p w14:paraId="17053CB0" w14:textId="77777777" w:rsidR="004F0C95" w:rsidRPr="009A4995" w:rsidRDefault="004F0C95" w:rsidP="004F0C95">
      <w:pPr>
        <w:widowControl w:val="0"/>
        <w:autoSpaceDE w:val="0"/>
        <w:autoSpaceDN w:val="0"/>
        <w:adjustRightInd w:val="0"/>
        <w:spacing w:before="100" w:after="100" w:line="480" w:lineRule="auto"/>
        <w:ind w:left="480" w:hanging="480"/>
        <w:rPr>
          <w:rFonts w:ascii="Arial" w:hAnsi="Arial" w:cs="Arial"/>
          <w:noProof/>
          <w:sz w:val="20"/>
          <w:szCs w:val="20"/>
        </w:rPr>
      </w:pPr>
      <w:r w:rsidRPr="009A4995">
        <w:rPr>
          <w:rFonts w:ascii="Arial" w:hAnsi="Arial" w:cs="Arial"/>
          <w:noProof/>
          <w:sz w:val="20"/>
          <w:szCs w:val="20"/>
        </w:rPr>
        <w:t>Yarkoni, T., Poldrack, R.A., Nichols, T.E., Van Essen, D.C., Wager, T.D., 2011. Large-scale automated synthesis of human functional neuroimaging data. Nat. Methods 8, 665–670. https://doi.org/10.1038/nmeth.1635</w:t>
      </w:r>
    </w:p>
    <w:p w14:paraId="3EF5DD51" w14:textId="77777777" w:rsidR="004F0C95" w:rsidRPr="009A4995" w:rsidRDefault="004F0C95" w:rsidP="004F0C95">
      <w:pPr>
        <w:spacing w:before="100" w:beforeAutospacing="1" w:after="100" w:afterAutospacing="1" w:line="480" w:lineRule="auto"/>
        <w:rPr>
          <w:rFonts w:ascii="Arial" w:hAnsi="Arial" w:cs="Arial"/>
          <w:color w:val="000000" w:themeColor="text1"/>
          <w:sz w:val="20"/>
          <w:szCs w:val="20"/>
        </w:rPr>
      </w:pPr>
      <w:r w:rsidRPr="009A4995">
        <w:rPr>
          <w:rFonts w:ascii="Arial" w:hAnsi="Arial" w:cs="Arial"/>
          <w:sz w:val="20"/>
          <w:szCs w:val="20"/>
        </w:rPr>
        <w:fldChar w:fldCharType="end"/>
      </w:r>
    </w:p>
    <w:p w14:paraId="0FF2DD25" w14:textId="3E70D758" w:rsidR="004F0C95" w:rsidRDefault="004F0C95" w:rsidP="000E64FB">
      <w:pPr>
        <w:widowControl w:val="0"/>
        <w:autoSpaceDE w:val="0"/>
        <w:autoSpaceDN w:val="0"/>
        <w:adjustRightInd w:val="0"/>
        <w:spacing w:before="100" w:after="100" w:line="480" w:lineRule="auto"/>
        <w:ind w:left="480" w:hanging="480"/>
        <w:rPr>
          <w:rFonts w:ascii="Arial" w:hAnsi="Arial" w:cs="Arial"/>
          <w:sz w:val="20"/>
          <w:szCs w:val="20"/>
        </w:rPr>
      </w:pPr>
    </w:p>
    <w:p w14:paraId="0A021E98" w14:textId="77777777" w:rsidR="004F0C95" w:rsidRDefault="004F0C95">
      <w:pPr>
        <w:rPr>
          <w:rFonts w:ascii="Arial" w:hAnsi="Arial" w:cs="Arial"/>
          <w:sz w:val="20"/>
          <w:szCs w:val="20"/>
        </w:rPr>
      </w:pPr>
      <w:r>
        <w:rPr>
          <w:rFonts w:ascii="Arial" w:hAnsi="Arial" w:cs="Arial"/>
          <w:sz w:val="20"/>
          <w:szCs w:val="20"/>
        </w:rPr>
        <w:br w:type="page"/>
      </w:r>
    </w:p>
    <w:p w14:paraId="1AB7ABC8" w14:textId="77777777" w:rsidR="004F0C95" w:rsidRPr="009A4995" w:rsidRDefault="004F0C95" w:rsidP="004F0C95">
      <w:pPr>
        <w:pStyle w:val="Style1"/>
        <w:spacing w:before="100" w:beforeAutospacing="1" w:after="100" w:afterAutospacing="1" w:line="480" w:lineRule="auto"/>
        <w:rPr>
          <w:rFonts w:cs="Arial"/>
          <w:sz w:val="20"/>
          <w:szCs w:val="20"/>
        </w:rPr>
      </w:pPr>
      <w:r w:rsidRPr="009A4995">
        <w:rPr>
          <w:rFonts w:cs="Arial"/>
          <w:sz w:val="20"/>
          <w:szCs w:val="20"/>
        </w:rPr>
        <w:lastRenderedPageBreak/>
        <w:t>Supplementary materials</w:t>
      </w:r>
    </w:p>
    <w:p w14:paraId="1345CC69"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sz w:val="20"/>
          <w:szCs w:val="20"/>
        </w:rPr>
        <w:t>A gradient from long-term memory to novel cognition: graded transitions through default mode and executive cortex</w:t>
      </w:r>
    </w:p>
    <w:p w14:paraId="77BF86D2"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sz w:val="20"/>
          <w:szCs w:val="20"/>
        </w:rPr>
        <w:t>Xiuyi Wang</w:t>
      </w:r>
      <w:r w:rsidRPr="009A4995">
        <w:rPr>
          <w:rFonts w:ascii="Arial" w:hAnsi="Arial" w:cs="Arial"/>
          <w:sz w:val="20"/>
          <w:szCs w:val="20"/>
          <w:vertAlign w:val="superscript"/>
        </w:rPr>
        <w:t>a</w:t>
      </w:r>
      <w:r w:rsidRPr="009A4995">
        <w:rPr>
          <w:rFonts w:ascii="Arial" w:hAnsi="Arial" w:cs="Arial"/>
          <w:sz w:val="20"/>
          <w:szCs w:val="20"/>
        </w:rPr>
        <w:t>*, Daniel S. Margulies</w:t>
      </w:r>
      <w:r w:rsidRPr="009A4995">
        <w:rPr>
          <w:rFonts w:ascii="Arial" w:hAnsi="Arial" w:cs="Arial"/>
          <w:sz w:val="20"/>
          <w:szCs w:val="20"/>
          <w:vertAlign w:val="superscript"/>
        </w:rPr>
        <w:t>b</w:t>
      </w:r>
      <w:r w:rsidRPr="009A4995">
        <w:rPr>
          <w:rFonts w:ascii="Arial" w:hAnsi="Arial" w:cs="Arial"/>
          <w:sz w:val="20"/>
          <w:szCs w:val="20"/>
        </w:rPr>
        <w:t>, Jonathan Smallwood</w:t>
      </w:r>
      <w:r w:rsidRPr="009A4995">
        <w:rPr>
          <w:rFonts w:ascii="Arial" w:hAnsi="Arial" w:cs="Arial"/>
          <w:sz w:val="20"/>
          <w:szCs w:val="20"/>
          <w:vertAlign w:val="superscript"/>
        </w:rPr>
        <w:t>a</w:t>
      </w:r>
      <w:r w:rsidRPr="009A4995">
        <w:rPr>
          <w:rFonts w:ascii="Arial" w:hAnsi="Arial" w:cs="Arial"/>
          <w:sz w:val="20"/>
          <w:szCs w:val="20"/>
        </w:rPr>
        <w:t>, Elizabeth Jefferies</w:t>
      </w:r>
      <w:r w:rsidRPr="009A4995">
        <w:rPr>
          <w:rFonts w:ascii="Arial" w:hAnsi="Arial" w:cs="Arial"/>
          <w:sz w:val="20"/>
          <w:szCs w:val="20"/>
          <w:vertAlign w:val="superscript"/>
        </w:rPr>
        <w:t>a</w:t>
      </w:r>
      <w:r w:rsidRPr="009A4995">
        <w:rPr>
          <w:rFonts w:ascii="Arial" w:hAnsi="Arial" w:cs="Arial"/>
          <w:sz w:val="20"/>
          <w:szCs w:val="20"/>
        </w:rPr>
        <w:t>*</w:t>
      </w:r>
    </w:p>
    <w:p w14:paraId="09A42CB7"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sz w:val="20"/>
          <w:szCs w:val="20"/>
        </w:rPr>
        <w:t>* Xiuyi Wang, Elizabeth Jefferies</w:t>
      </w:r>
    </w:p>
    <w:p w14:paraId="7A5416DC"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sz w:val="20"/>
          <w:szCs w:val="20"/>
        </w:rPr>
        <w:t>a Department of Psychology, University of York, Heslington, York, YO10 5DD, United Kingdom;</w:t>
      </w:r>
    </w:p>
    <w:p w14:paraId="06FDE079"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sz w:val="20"/>
          <w:szCs w:val="20"/>
        </w:rPr>
        <w:t>b Centre National de la Recherche Scientifique (CNRS) UMR 7225, Frontlab, Institut du Cerveau et de la Moelle Épinière, Paris, France</w:t>
      </w:r>
    </w:p>
    <w:p w14:paraId="549940D2" w14:textId="77777777" w:rsidR="004F0C95" w:rsidRPr="009A4995" w:rsidRDefault="004F0C95" w:rsidP="004F0C95">
      <w:pPr>
        <w:spacing w:before="100" w:beforeAutospacing="1" w:after="100" w:afterAutospacing="1" w:line="480" w:lineRule="auto"/>
        <w:rPr>
          <w:rStyle w:val="Hyperlink"/>
          <w:rFonts w:ascii="Arial" w:hAnsi="Arial" w:cs="Arial"/>
          <w:sz w:val="20"/>
          <w:szCs w:val="20"/>
        </w:rPr>
      </w:pPr>
      <w:r w:rsidRPr="009A4995">
        <w:rPr>
          <w:rFonts w:ascii="Arial" w:hAnsi="Arial" w:cs="Arial"/>
          <w:sz w:val="20"/>
          <w:szCs w:val="20"/>
        </w:rPr>
        <w:t xml:space="preserve">Email:  </w:t>
      </w:r>
      <w:hyperlink r:id="rId27" w:history="1">
        <w:r w:rsidRPr="009A4995">
          <w:rPr>
            <w:rStyle w:val="Hyperlink"/>
            <w:rFonts w:ascii="Arial" w:hAnsi="Arial" w:cs="Arial"/>
            <w:sz w:val="20"/>
            <w:szCs w:val="20"/>
          </w:rPr>
          <w:t>wangxiuyi16@gmail.com</w:t>
        </w:r>
      </w:hyperlink>
      <w:r w:rsidRPr="009A4995">
        <w:rPr>
          <w:rFonts w:ascii="Arial" w:hAnsi="Arial" w:cs="Arial"/>
          <w:sz w:val="20"/>
          <w:szCs w:val="20"/>
        </w:rPr>
        <w:t xml:space="preserve">, </w:t>
      </w:r>
      <w:hyperlink r:id="rId28" w:history="1">
        <w:r w:rsidRPr="009A4995">
          <w:rPr>
            <w:rStyle w:val="Hyperlink"/>
            <w:rFonts w:ascii="Arial" w:hAnsi="Arial" w:cs="Arial"/>
            <w:sz w:val="20"/>
            <w:szCs w:val="20"/>
          </w:rPr>
          <w:t>beth.jefferies@york.ac.uk</w:t>
        </w:r>
      </w:hyperlink>
    </w:p>
    <w:p w14:paraId="1658A157" w14:textId="77777777" w:rsidR="004F0C95" w:rsidRPr="009A4995" w:rsidRDefault="004F0C95" w:rsidP="004F0C95">
      <w:pPr>
        <w:spacing w:before="100" w:beforeAutospacing="1" w:after="100" w:afterAutospacing="1" w:line="480" w:lineRule="auto"/>
        <w:rPr>
          <w:rFonts w:ascii="Arial" w:hAnsi="Arial" w:cs="Arial"/>
          <w:color w:val="0000FF" w:themeColor="hyperlink"/>
          <w:sz w:val="20"/>
          <w:szCs w:val="20"/>
          <w:u w:val="single"/>
        </w:rPr>
      </w:pPr>
      <w:r w:rsidRPr="009A4995">
        <w:rPr>
          <w:rStyle w:val="Hyperlink"/>
          <w:rFonts w:ascii="Arial" w:hAnsi="Arial" w:cs="Arial"/>
          <w:sz w:val="20"/>
          <w:szCs w:val="20"/>
        </w:rPr>
        <w:br w:type="page"/>
      </w:r>
    </w:p>
    <w:p w14:paraId="61325368" w14:textId="77777777" w:rsidR="004F0C95" w:rsidRPr="009A4995" w:rsidRDefault="004F0C95" w:rsidP="004F0C95">
      <w:pPr>
        <w:pStyle w:val="Style1"/>
        <w:spacing w:before="100" w:beforeAutospacing="1" w:after="100" w:afterAutospacing="1" w:line="480" w:lineRule="auto"/>
        <w:rPr>
          <w:rFonts w:cs="Arial"/>
          <w:sz w:val="20"/>
          <w:szCs w:val="20"/>
        </w:rPr>
      </w:pPr>
      <w:r w:rsidRPr="009A4995">
        <w:rPr>
          <w:rFonts w:cs="Arial"/>
          <w:sz w:val="20"/>
          <w:szCs w:val="20"/>
        </w:rPr>
        <w:lastRenderedPageBreak/>
        <w:t>1. Tasks:</w:t>
      </w:r>
    </w:p>
    <w:p w14:paraId="62B69D96" w14:textId="77777777" w:rsidR="004F0C95" w:rsidRPr="009A4995" w:rsidRDefault="004F0C95" w:rsidP="004F0C95">
      <w:pPr>
        <w:pStyle w:val="Style3"/>
      </w:pPr>
      <w:r w:rsidRPr="009A4995">
        <w:t>1.1. Semantic feature matching task</w:t>
      </w:r>
    </w:p>
    <w:p w14:paraId="12C87769"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 xml:space="preserve">For the matching trials, global feature similarity ratings positively correlated with behavioural performance (accuracy: r = 0.35, p = 0.000, Figure S2A; response time: r = -0.22, p = 0.007, Figure S2B; efficiency: r = 0.31, p = 0.000, Figure S2C), indicating that participants could more readily identify matching features when task-irrelevant characteristics were also shared between the probe and target concepts. </w:t>
      </w:r>
    </w:p>
    <w:p w14:paraId="2F99AA8C"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 xml:space="preserve"> Our main analyses concerned these matching trials, for which we had twice as many observations and a smooth spread of trials across all levels of global semantic similarity (see results in main text). However, global semantic similarity had differing effects on behavioural performance in matching and non-matching trials. Consequently, the comparison of these trial types can establish whether functional change along the task gradient is likely to reflect the global semantic overlap between probe and target words, or alternatively the difficulty of the semantic decision. For non-matching trials, global feature similarity ratings showed significant negative correlations with accuracy (r = -0.33, p = 0.005, Figure S2D) and behavioural efficiency (r = -0.33, p = 0.005, Figure S2F). Non-matching trials with higher global feature similarity ratings were also slower, although the correlation with response time did not reach significance (r = 0.20, p = 0.099, Figure S2E). Therefore, in contrast to matching trials, which were easier when global semantic similarity was higher, if anything, greater global semantic similarity made it more difficult to decide that a target feature did </w:t>
      </w:r>
      <w:r w:rsidRPr="009A4995">
        <w:rPr>
          <w:rFonts w:ascii="Arial" w:hAnsi="Arial" w:cs="Arial"/>
          <w:i/>
          <w:sz w:val="20"/>
          <w:szCs w:val="20"/>
        </w:rPr>
        <w:t>not</w:t>
      </w:r>
      <w:r w:rsidRPr="009A4995">
        <w:rPr>
          <w:rFonts w:ascii="Arial" w:hAnsi="Arial" w:cs="Arial"/>
          <w:sz w:val="20"/>
          <w:szCs w:val="20"/>
        </w:rPr>
        <w:t xml:space="preserve"> match across probes and targets. This relationship between global similarity and behavioural performance was not explained by psycholinguistic confounds. There were no significant correlations for non-matching trials between global semantic similarity and target word length (number of letters; r = -0.05, p = 0.684, Figure S1D), or concreteness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{"citationItems":[{"id":"ITEM-1","itemData":{"DOI":"10.3758/s13428-013-0403-5","ISSN":"15543528","abstract":"Concreteness ratings are presented for 37,058 English words and 2,896 two-word expressions (such as zebra crossing and zoom in), obtained from over 4,000 participants by means of a norming study using Internet crowdsourcing for data collection. Although the instructions stressed that the assessment of word concreteness would be based on experiences involving all senses and motor responses, a comparison with the existing concreteness norms indicates that participants, as before, largely focused on visual and haptic experiences. The reported data set is a subset of a comprehensive list of English lemmas and contains all lemmas known by at least 85 % of the raters. It can be used in future research as a reference list of generally known English lemmas. © 2013 Psychonomic Society, Inc.","author":[{"dropping-particle":"","family":"Brysbaert","given":"Marc","non-dropping-particle":"","parse-names":false,"suffix":""},{"dropping-particle":"","family":"Warriner","given":"Amy Beth","non-dropping-particle":"","parse-names":false,"suffix":""},{"dropping-particle":"","family":"Kuperman","given":"Victor","non-dropping-particle":"","parse-names":false,"suffix":""}],"container-title":"Behavior Research Methods","id":"ITEM-1","issue":"3","issued":{"date-parts":[["2014"]]},"page":"904-911","title":"Concreteness ratings for 40 thousand generally known English word lemmas","type":"article-journal","volume":"46"},"uris":["http://www.mendeley.com/documents/?uuid=ba5d7f8e-8b08-35e7-9cf9-bcef2132a12a"]}],"mendeley":{"formattedCitation":"(Brysbaert et al., 2014)","plainTextFormattedCitation":"(Brysbaert et al., 2014)","previouslyFormattedCitation":"(Brysbaert et al., 2014)"},"properties":{"noteIndex":0},"schema":"https://github.com/citation-style-language/schema/raw/master/csl-citation.json"}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(Brysbaert et al., 2014)</w:t>
      </w:r>
      <w:r w:rsidRPr="009A4995">
        <w:rPr>
          <w:rFonts w:ascii="Arial" w:hAnsi="Arial" w:cs="Arial"/>
          <w:sz w:val="20"/>
          <w:szCs w:val="20"/>
        </w:rPr>
        <w:fldChar w:fldCharType="end"/>
      </w:r>
      <w:r w:rsidRPr="009A4995">
        <w:rPr>
          <w:rFonts w:ascii="Arial" w:hAnsi="Arial" w:cs="Arial"/>
          <w:sz w:val="20"/>
          <w:szCs w:val="20"/>
        </w:rPr>
        <w:t xml:space="preserve"> (r = -0.02, p = 0.867, Figure S1F), as shown in Figure S1. There was a significant correlation between global semantic similarity and target word frequency (based on SUBTLEX-UK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{"citationItems":[{"id":"ITEM-1","itemData":{"DOI":"10.1080/17470218.2013.850521","ISSN":"1747-0218","author":[{"dropping-particle":"","family":"Heuven","given":"Walter J. B.","non-dropping-particle":"van","parse-names":false,"suffix":""},{"dropping-particle":"","family":"Mandera","given":"Pawel","non-dropping-particle":"","parse-names":false,"suffix":""},{"dropping-particle":"","family":"Keuleers","given":"Emmanuel","non-dropping-particle":"","parse-names":false,"suffix":""},{"dropping-particle":"","family":"Brysbaert","given":"Marc","non-dropping-particle":"","parse-names":false,"suffix":""}],"container-title":"Quarterly Journal of Experimental Psychology","id":"ITEM-1","issue":"6","issued":{"date-parts":[["2014","6"]]},"page":"1176-1190","title":"Subtlex-UK: A New and Improved Word Frequency Database for British English","type":"article-journal","volume":"67"},"uris":["http://www.mendeley.com/documents/?uuid=b73089ca-8899-3ca8-b542-138a31d6cb5f"]}],"mendeley":{"formattedCitation":"(van Heuven et al., 2014)","plainTextFormattedCitation":"(van Heuven et al., 2014)","previouslyFormattedCitation":"(van Heuven et al., 2014)"},"properties":{"noteIndex":0},"schema":"https://github.com/citation-style-language/schema/raw/master/csl-citation.json"}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(van Heuven et al., 2014)</w:t>
      </w:r>
      <w:r w:rsidRPr="009A4995">
        <w:rPr>
          <w:rFonts w:ascii="Arial" w:hAnsi="Arial" w:cs="Arial"/>
          <w:sz w:val="20"/>
          <w:szCs w:val="20"/>
        </w:rPr>
        <w:fldChar w:fldCharType="end"/>
      </w:r>
      <w:r w:rsidRPr="009A4995">
        <w:rPr>
          <w:rFonts w:ascii="Arial" w:hAnsi="Arial" w:cs="Arial"/>
          <w:sz w:val="20"/>
          <w:szCs w:val="20"/>
        </w:rPr>
        <w:t xml:space="preserve">; r = 0.25, p = 0.036; Figure S1E). However, the </w:t>
      </w:r>
      <w:r w:rsidRPr="009A4995">
        <w:rPr>
          <w:rFonts w:ascii="Arial" w:hAnsi="Arial" w:cs="Arial"/>
          <w:sz w:val="20"/>
          <w:szCs w:val="20"/>
        </w:rPr>
        <w:lastRenderedPageBreak/>
        <w:t xml:space="preserve">psycholinguistic variables did not correlate with behavioural efficiency, including word length (r = -0.01, p = 0.919), word frequency (r = -0.02, p = 0.886) and concreteness (r = 0.03, p = 0.809). Furthermore, semantic similarity ratings were significantly negatively correlated with behavioural efficiency after regressing out word length, word frequency and concreteness (r = -0.32, p = 0.011), indicating that higher global feature similarity was associated with less efficient no-match decisions. In summary, if the positive relationship for matching trials between the task gradient and the connectivity gradient (reported in the main text) reflects task difficulty (i.e., greater activation towards the default mode network (DMN)-end of the gradient for easier decisions), we would </w:t>
      </w:r>
      <w:r w:rsidRPr="009A4995">
        <w:rPr>
          <w:rFonts w:ascii="Arial" w:hAnsi="Arial" w:cs="Arial"/>
          <w:i/>
          <w:sz w:val="20"/>
          <w:szCs w:val="20"/>
        </w:rPr>
        <w:t>not</w:t>
      </w:r>
      <w:r w:rsidRPr="009A4995">
        <w:rPr>
          <w:rFonts w:ascii="Arial" w:hAnsi="Arial" w:cs="Arial"/>
          <w:sz w:val="20"/>
          <w:szCs w:val="20"/>
        </w:rPr>
        <w:t xml:space="preserve"> expect to see the same pattern for non-matching trials. In contrast, if this relationship reflects the global semantic similarity of the probe and target words, a similar pattern may be seen for matching and non-matching trials.</w:t>
      </w:r>
    </w:p>
    <w:p w14:paraId="35308790"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noProof/>
          <w:sz w:val="20"/>
          <w:szCs w:val="20"/>
          <w:lang w:val="en-GB" w:eastAsia="zh-CN"/>
        </w:rPr>
        <w:drawing>
          <wp:inline distT="0" distB="0" distL="0" distR="0" wp14:anchorId="641C9DFF" wp14:editId="38E6198D">
            <wp:extent cx="5486400" cy="2933065"/>
            <wp:effectExtent l="0" t="0" r="0" b="635"/>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2933065"/>
                    </a:xfrm>
                    <a:prstGeom prst="rect">
                      <a:avLst/>
                    </a:prstGeom>
                  </pic:spPr>
                </pic:pic>
              </a:graphicData>
            </a:graphic>
          </wp:inline>
        </w:drawing>
      </w:r>
    </w:p>
    <w:p w14:paraId="21CD7CD3"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b/>
          <w:sz w:val="20"/>
          <w:szCs w:val="20"/>
        </w:rPr>
        <w:t>Figure S1.</w:t>
      </w:r>
      <w:r w:rsidRPr="009A4995">
        <w:rPr>
          <w:rFonts w:ascii="Arial" w:hAnsi="Arial" w:cs="Arial"/>
          <w:sz w:val="20"/>
          <w:szCs w:val="20"/>
        </w:rPr>
        <w:t xml:space="preserve"> A, B and C show the correlations between global similarity ratings and word length, frequency and concreteness of the target word for matching trials. D, E and F show the correlations for non-matching trials.</w:t>
      </w:r>
    </w:p>
    <w:p w14:paraId="633A7880"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noProof/>
          <w:sz w:val="20"/>
          <w:szCs w:val="20"/>
          <w:lang w:val="en-GB" w:eastAsia="zh-CN"/>
        </w:rPr>
        <w:lastRenderedPageBreak/>
        <w:drawing>
          <wp:inline distT="0" distB="0" distL="0" distR="0" wp14:anchorId="6E6F0EDC" wp14:editId="359A098E">
            <wp:extent cx="5486400" cy="2937510"/>
            <wp:effectExtent l="0" t="0" r="0" b="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2937510"/>
                    </a:xfrm>
                    <a:prstGeom prst="rect">
                      <a:avLst/>
                    </a:prstGeom>
                  </pic:spPr>
                </pic:pic>
              </a:graphicData>
            </a:graphic>
          </wp:inline>
        </w:drawing>
      </w:r>
    </w:p>
    <w:p w14:paraId="552DBC23"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b/>
          <w:sz w:val="20"/>
          <w:szCs w:val="20"/>
        </w:rPr>
        <w:t>Figure S2.</w:t>
      </w:r>
      <w:r w:rsidRPr="009A4995">
        <w:rPr>
          <w:rFonts w:ascii="Arial" w:hAnsi="Arial" w:cs="Arial"/>
          <w:sz w:val="20"/>
          <w:szCs w:val="20"/>
        </w:rPr>
        <w:t xml:space="preserve"> A, B and C show correlations between global similarity ratings and average behavioural performance across 30 participants for the matching trials, examining accuracy, response time and efficiency. D, E and F show the correlations for the non-matching trials. (Each trial is shown as a data point).</w:t>
      </w:r>
    </w:p>
    <w:p w14:paraId="56976B4C" w14:textId="77777777" w:rsidR="004F0C95" w:rsidRPr="009A4995" w:rsidRDefault="004F0C95" w:rsidP="004F0C95">
      <w:pPr>
        <w:pStyle w:val="Style1"/>
        <w:spacing w:before="100" w:beforeAutospacing="1" w:after="100" w:afterAutospacing="1" w:line="480" w:lineRule="auto"/>
        <w:rPr>
          <w:rFonts w:cs="Arial"/>
          <w:sz w:val="20"/>
          <w:szCs w:val="20"/>
        </w:rPr>
      </w:pPr>
      <w:r w:rsidRPr="009A4995">
        <w:rPr>
          <w:rFonts w:cs="Arial"/>
          <w:sz w:val="20"/>
          <w:szCs w:val="20"/>
        </w:rPr>
        <w:t>2. Supplementary details about analysis</w:t>
      </w:r>
    </w:p>
    <w:p w14:paraId="09FC219F" w14:textId="77777777" w:rsidR="004F0C95" w:rsidRPr="009A4995" w:rsidRDefault="004F0C95" w:rsidP="004F0C95">
      <w:pPr>
        <w:pStyle w:val="Style3"/>
        <w:rPr>
          <w:i/>
        </w:rPr>
      </w:pPr>
      <w:r w:rsidRPr="009A4995">
        <w:t>2.1. Masks used to establish if there is a relationship between the connectivity gradient and task gradient in multiple brain regions</w:t>
      </w:r>
      <w:r w:rsidRPr="009A4995">
        <w:rPr>
          <w:i/>
        </w:rPr>
        <w:t xml:space="preserve"> </w:t>
      </w:r>
    </w:p>
    <w:p w14:paraId="28A29087"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 xml:space="preserve">To establish whether functional change along the connectivity gradient is seen in multiple cortical areas linked to semantic processing, we examined anatomical masks in lateral frontal, medial frontal, lateral temporal, and lateral parietal areas, in addition to whole-brain analyses. We used the Harvard-Oxford cortical structural atlas and removed voxels with &lt; 5% grey matter probability. For the left lateral frontal cortex, we included frontal orbital cortex, frontal pole, inferior frontal gyrus pars opercularis, pars triangularis, middle frontal gyrus, superior frontal gyrus and frontal operculum cortex, excluding medial prefrontal regions beyond x &gt; -16. This value was set based on cortical anatomy to divide the frontal lobe into medial and lateral portions. For the left </w:t>
      </w:r>
      <w:r w:rsidRPr="009A4995">
        <w:rPr>
          <w:rFonts w:ascii="Arial" w:hAnsi="Arial" w:cs="Arial"/>
          <w:sz w:val="20"/>
          <w:szCs w:val="20"/>
        </w:rPr>
        <w:lastRenderedPageBreak/>
        <w:t>medial frontal cortex, we included lateral medial cortex, frontal pole, supplementary motor area and superior frontal gyrus and selected voxels where x &gt; -16 to exclude more lateral regions. For the left temporal area, we included temporal pole, anterior, posterior and temporooccipital inferior temporal gyrus, anterior, posterior and temporooccipital middle temporal gyrus, anterior and posterior superior temporal gyrus, anterior and posterior temporal fusiform cortex, and temporal occipital fusiform cortex. For the parietal area, we included angular gyrus, anterior and posterior supramarginal gyrus, and superior parietal lobe, and we selected voxels where z &lt; 10 to exclude voxels with a high probability of falling in the temporal lobe</w:t>
      </w:r>
      <w:r w:rsidRPr="009A4995">
        <w:rPr>
          <w:rFonts w:ascii="Arial" w:hAnsi="Arial" w:cs="Arial"/>
          <w:sz w:val="20"/>
          <w:szCs w:val="20"/>
        </w:rPr>
        <w:softHyphen/>
        <w:t xml:space="preserve">.  </w:t>
      </w:r>
    </w:p>
    <w:p w14:paraId="7F8F549E" w14:textId="77777777" w:rsidR="004F0C95" w:rsidRPr="009A4995" w:rsidRDefault="004F0C95" w:rsidP="004F0C95">
      <w:pPr>
        <w:pStyle w:val="Style3"/>
      </w:pPr>
      <w:r w:rsidRPr="009A4995">
        <w:t xml:space="preserve">2.2. Mixed effects modelling </w:t>
      </w:r>
    </w:p>
    <w:p w14:paraId="38AE3FD7"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 xml:space="preserve">To investigate the relationship between the effect of the task manipulation and the connectivity gradient bin, we used the package ‘lme4’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{"citationItems":[{"id":"ITEM-1","itemData":{"DOI":"http://CRAN.R-project.org/package=lme4","abstract":"Bates, D., Maechler, M., &amp; Bolker, B. (2014). lme4: Linear mixed-effects models using S4 classes. R package version 1.1-6. http://CRAN.R-Project.org/package=lme4.","author":[{"dropping-particle":"","family":"Bates","given":"Douglas","non-dropping-particle":"","parse-names":false,"suffix":""},{"dropping-particle":"","family":"Maechler","given":"Martin","non-dropping-particle":"","parse-names":false,"suffix":""},{"dropping-particle":"","family":"Bolker","given":"Ben","non-dropping-particle":"","parse-names":false,"suffix":""},{"dropping-particle":"","family":"Walker","given":"Steven","non-dropping-particle":"","parse-names":false,"suffix":""}],"container-title":"R","id":"ITEM-1","issued":{"date-parts":[["2014"]]},"title":"lme4: linear mixed-effects models using S4 classes. R package version 1.1-6","type":"article-journal"},"uris":["http://www.mendeley.com/documents/?uuid=c4b1a14e-7962-4531-8d35-3c624ed44c3e"]}],"mendeley":{"formattedCitation":"(Bates et al., 2014)","plainTextFormattedCitation":"(Bates et al., 2014)","previouslyFormattedCitation":"(Bates et al., 2014)"},"properties":{"noteIndex":0},"schema":"https://github.com/citation-style-language/schema/raw/master/csl-citation.json"}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(Bates et al., 2014)</w:t>
      </w:r>
      <w:r w:rsidRPr="009A4995">
        <w:rPr>
          <w:rFonts w:ascii="Arial" w:hAnsi="Arial" w:cs="Arial"/>
          <w:sz w:val="20"/>
          <w:szCs w:val="20"/>
        </w:rPr>
        <w:fldChar w:fldCharType="end"/>
      </w:r>
      <w:r w:rsidRPr="009A4995">
        <w:rPr>
          <w:rFonts w:ascii="Arial" w:hAnsi="Arial" w:cs="Arial"/>
          <w:sz w:val="20"/>
          <w:szCs w:val="20"/>
        </w:rPr>
        <w:t xml:space="preserve"> in R version 3.6.1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{"citationItems":[{"id":"ITEM-1","itemData":{"author":[{"dropping-particle":"","family":"Team","given":"R. Core.","non-dropping-particle":"","parse-names":false,"suffix":""}],"id":"ITEM-1","issued":{"date-parts":[["2012"]]},"title":"R: A language and environment for statistical computing","type":"article"},"uris":["http://www.mendeley.com/documents/?uuid=0465bc2e-951c-4736-b66f-1d06fcde94f1"]}],"mendeley":{"formattedCitation":"(Team, 2012)","plainTextFormattedCitation":"(Team, 2012)","previouslyFormattedCitation":"(Team, 2012)"},"properties":{"noteIndex":0},"schema":"https://github.com/citation-style-language/schema/raw/master/csl-citation.json"}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(Team, 2012)</w:t>
      </w:r>
      <w:r w:rsidRPr="009A4995">
        <w:rPr>
          <w:rFonts w:ascii="Arial" w:hAnsi="Arial" w:cs="Arial"/>
          <w:sz w:val="20"/>
          <w:szCs w:val="20"/>
        </w:rPr>
        <w:fldChar w:fldCharType="end"/>
      </w:r>
      <w:r w:rsidRPr="009A4995">
        <w:rPr>
          <w:rFonts w:ascii="Arial" w:hAnsi="Arial" w:cs="Arial"/>
          <w:sz w:val="20"/>
          <w:szCs w:val="20"/>
        </w:rPr>
        <w:t xml:space="preserve"> to perform mixed effects modelling. Parameter estimates for the task gradient in matching trials (i.e. the effect of global feature similarity) were extracted for 10 decile bins along the connectivity gradient, for each subject and in each run separately. The mixed-effects model included a single fixed effect of connectivity gradient bin along with random intercepts for subjects and runs, as well as by-subject random slopes for the effect of connectivity gradient bin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{"citationItems":[{"id":"ITEM-1","itemData":{"DOI":"10.1016/j.jml.2007.12.005","ISSN":"0749596X","abstract":"This paper provides an introduction to mixed-effects models for the analysis of repeated measurement data with subjects and items as crossed random effects. A worked-out example of how to use recent software for mixed-effects modeling is provided. Simulation studies illustrate the advantages offered by mixed-effects analyses compared to traditional analyses based on quasi-F tests, by-subjects analyses, combined by-subjects and by-items analyses, and random regression. Applications and possibilities across a range of domains of inquiry are discussed. © 2007 Elsevier Inc. All rights reserved.","author":[{"dropping-particle":"","family":"Baayen","given":"R. H.","non-dropping-particle":"","parse-names":false,"suffix":""},{"dropping-particle":"","family":"Davidson","given":"D. J.","non-dropping-particle":"","parse-names":false,"suffix":""},{"dropping-particle":"","family":"Bates","given":"D. M.","non-dropping-particle":"","parse-names":false,"suffix":""}],"container-title":"Journal of Memory and Language","id":"ITEM-1","issued":{"date-parts":[["2008"]]},"title":"Mixed-effects modeling with crossed random effects for subjects and items","type":"article-journal"},"uris":["http://www.mendeley.com/documents/?uuid=8f4942cd-f0c2-3002-a385-f60f3f3238d6"]}],"mendeley":{"formattedCitation":"(Baayen et al., 2008)","plainTextFormattedCitation":"(Baayen et al., 2008)","previouslyFormattedCitation":"(Baayen et al., 2008)"},"properties":{"noteIndex":0},"schema":"https://github.com/citation-style-language/schema/raw/master/csl-citation.json"}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(Baayen et al., 2008)</w:t>
      </w:r>
      <w:r w:rsidRPr="009A4995">
        <w:rPr>
          <w:rFonts w:ascii="Arial" w:hAnsi="Arial" w:cs="Arial"/>
          <w:sz w:val="20"/>
          <w:szCs w:val="20"/>
        </w:rPr>
        <w:fldChar w:fldCharType="end"/>
      </w:r>
      <w:r w:rsidRPr="009A4995">
        <w:rPr>
          <w:rFonts w:ascii="Arial" w:hAnsi="Arial" w:cs="Arial"/>
          <w:sz w:val="20"/>
          <w:szCs w:val="20"/>
        </w:rPr>
        <w:t>. We modelled the linear effect of gradient bin as follows: Y</w:t>
      </w:r>
      <w:r w:rsidRPr="009A4995">
        <w:rPr>
          <w:rFonts w:ascii="Arial" w:hAnsi="Arial" w:cs="Arial"/>
          <w:sz w:val="20"/>
          <w:szCs w:val="20"/>
          <w:vertAlign w:val="subscript"/>
        </w:rPr>
        <w:t xml:space="preserve"> </w:t>
      </w:r>
      <w:r w:rsidRPr="009A4995">
        <w:rPr>
          <w:rFonts w:ascii="Arial" w:hAnsi="Arial" w:cs="Arial"/>
          <w:sz w:val="20"/>
          <w:szCs w:val="20"/>
        </w:rPr>
        <w:t>= β</w:t>
      </w:r>
      <w:r w:rsidRPr="009A4995">
        <w:rPr>
          <w:rFonts w:ascii="Arial" w:hAnsi="Arial" w:cs="Arial"/>
          <w:sz w:val="20"/>
          <w:szCs w:val="20"/>
          <w:vertAlign w:val="subscript"/>
        </w:rPr>
        <w:t>0</w:t>
      </w:r>
      <w:r w:rsidRPr="009A4995">
        <w:rPr>
          <w:rFonts w:ascii="Arial" w:hAnsi="Arial" w:cs="Arial"/>
          <w:sz w:val="20"/>
          <w:szCs w:val="20"/>
        </w:rPr>
        <w:t xml:space="preserve"> + β</w:t>
      </w:r>
      <w:r w:rsidRPr="009A4995">
        <w:rPr>
          <w:rFonts w:ascii="Arial" w:hAnsi="Arial" w:cs="Arial"/>
          <w:sz w:val="20"/>
          <w:szCs w:val="20"/>
          <w:vertAlign w:val="subscript"/>
        </w:rPr>
        <w:t>1</w:t>
      </w:r>
      <w:r w:rsidRPr="009A4995">
        <w:rPr>
          <w:rFonts w:ascii="Arial" w:hAnsi="Arial" w:cs="Arial"/>
          <w:sz w:val="20"/>
          <w:szCs w:val="20"/>
        </w:rPr>
        <w:t xml:space="preserve"> * Bin + r. Y</w:t>
      </w:r>
      <w:r w:rsidRPr="009A4995">
        <w:rPr>
          <w:rFonts w:ascii="Arial" w:hAnsi="Arial" w:cs="Arial"/>
          <w:sz w:val="20"/>
          <w:szCs w:val="20"/>
          <w:vertAlign w:val="subscript"/>
        </w:rPr>
        <w:t xml:space="preserve"> </w:t>
      </w:r>
      <w:r w:rsidRPr="009A4995">
        <w:rPr>
          <w:rFonts w:ascii="Arial" w:hAnsi="Arial" w:cs="Arial"/>
          <w:sz w:val="20"/>
          <w:szCs w:val="20"/>
        </w:rPr>
        <w:t>is the beta value modulated by the global similarity rating, β</w:t>
      </w:r>
      <w:r w:rsidRPr="009A4995">
        <w:rPr>
          <w:rFonts w:ascii="Arial" w:hAnsi="Arial" w:cs="Arial"/>
          <w:sz w:val="20"/>
          <w:szCs w:val="20"/>
          <w:vertAlign w:val="subscript"/>
        </w:rPr>
        <w:t xml:space="preserve">0 </w:t>
      </w:r>
      <w:r w:rsidRPr="009A4995">
        <w:rPr>
          <w:rFonts w:ascii="Arial" w:hAnsi="Arial" w:cs="Arial"/>
          <w:sz w:val="20"/>
          <w:szCs w:val="20"/>
        </w:rPr>
        <w:t>is intercept, β</w:t>
      </w:r>
      <w:r w:rsidRPr="009A4995">
        <w:rPr>
          <w:rFonts w:ascii="Arial" w:hAnsi="Arial" w:cs="Arial"/>
          <w:sz w:val="20"/>
          <w:szCs w:val="20"/>
          <w:vertAlign w:val="subscript"/>
        </w:rPr>
        <w:t>1</w:t>
      </w:r>
      <w:r w:rsidRPr="009A4995">
        <w:rPr>
          <w:rFonts w:ascii="Arial" w:hAnsi="Arial" w:cs="Arial"/>
          <w:sz w:val="20"/>
          <w:szCs w:val="20"/>
        </w:rPr>
        <w:t xml:space="preserve"> is the linear rate of change across gradient bins and r is the residual. We examined models that additionally included higher order effects of gradient bin, including quadratic and cubic effects up to the ninth-order effect, to examine whether these additional terms improved the model fit according to -2 log likelihood. The parameter estimates are provided in Tables S1 and S2. Finally, to test the robustness of the linear effect between the effect of the task manipulation and the connectivity gradient bin, we divided all the voxels within the semantic mask into 20 bins according to their functional connectivity gradient values (Figure S6A) and then repeated the linear mixed effects analysis.</w:t>
      </w:r>
    </w:p>
    <w:p w14:paraId="0FD3DA20" w14:textId="77777777" w:rsidR="004F0C95" w:rsidRPr="009A4995" w:rsidRDefault="004F0C95" w:rsidP="004F0C95">
      <w:pPr>
        <w:spacing w:before="100" w:beforeAutospacing="1" w:after="100" w:afterAutospacing="1" w:line="480" w:lineRule="auto"/>
        <w:jc w:val="both"/>
        <w:rPr>
          <w:rFonts w:ascii="Arial" w:hAnsi="Arial" w:cs="Arial"/>
          <w:sz w:val="20"/>
          <w:szCs w:val="20"/>
        </w:rPr>
      </w:pPr>
      <w:r w:rsidRPr="009A4995">
        <w:rPr>
          <w:rFonts w:ascii="Arial" w:hAnsi="Arial" w:cs="Arial"/>
          <w:b/>
          <w:sz w:val="20"/>
          <w:szCs w:val="20"/>
        </w:rPr>
        <w:lastRenderedPageBreak/>
        <w:t>Table S1:</w:t>
      </w:r>
      <w:r w:rsidRPr="009A4995">
        <w:rPr>
          <w:rFonts w:ascii="Arial" w:hAnsi="Arial" w:cs="Arial"/>
          <w:sz w:val="20"/>
          <w:szCs w:val="20"/>
        </w:rPr>
        <w:t xml:space="preserve"> Relationship between connectivity and task gradient for matching trials examined using linear mixed effects modelling using 10 bins. Table of fixed effects. </w:t>
      </w:r>
    </w:p>
    <w:tbl>
      <w:tblPr>
        <w:tblStyle w:val="TableGrid"/>
        <w:tblW w:w="9754" w:type="dxa"/>
        <w:tblBorders>
          <w:left w:val="none" w:sz="0" w:space="0" w:color="auto"/>
          <w:right w:val="none" w:sz="0" w:space="0" w:color="auto"/>
        </w:tblBorders>
        <w:tblLook w:val="04A0" w:firstRow="1" w:lastRow="0" w:firstColumn="1" w:lastColumn="0" w:noHBand="0" w:noVBand="1"/>
      </w:tblPr>
      <w:tblGrid>
        <w:gridCol w:w="3402"/>
        <w:gridCol w:w="1588"/>
        <w:gridCol w:w="1588"/>
        <w:gridCol w:w="1588"/>
        <w:gridCol w:w="1588"/>
      </w:tblGrid>
      <w:tr w:rsidR="004F0C95" w:rsidRPr="009A4995" w14:paraId="6CB254E1" w14:textId="77777777" w:rsidTr="0017223B">
        <w:tc>
          <w:tcPr>
            <w:tcW w:w="3402" w:type="dxa"/>
            <w:tcBorders>
              <w:bottom w:val="single" w:sz="4" w:space="0" w:color="auto"/>
              <w:right w:val="nil"/>
            </w:tcBorders>
          </w:tcPr>
          <w:p w14:paraId="4D63A7E2"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Parameter</w:t>
            </w:r>
          </w:p>
        </w:tc>
        <w:tc>
          <w:tcPr>
            <w:tcW w:w="1588" w:type="dxa"/>
            <w:tcBorders>
              <w:left w:val="nil"/>
              <w:bottom w:val="single" w:sz="4" w:space="0" w:color="auto"/>
              <w:right w:val="nil"/>
            </w:tcBorders>
          </w:tcPr>
          <w:p w14:paraId="032C7407"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Estimate</w:t>
            </w:r>
          </w:p>
        </w:tc>
        <w:tc>
          <w:tcPr>
            <w:tcW w:w="1588" w:type="dxa"/>
            <w:tcBorders>
              <w:left w:val="nil"/>
              <w:bottom w:val="single" w:sz="4" w:space="0" w:color="auto"/>
              <w:right w:val="nil"/>
            </w:tcBorders>
          </w:tcPr>
          <w:p w14:paraId="5B6BEBBC"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Standard Error</w:t>
            </w:r>
          </w:p>
        </w:tc>
        <w:tc>
          <w:tcPr>
            <w:tcW w:w="1588" w:type="dxa"/>
            <w:tcBorders>
              <w:left w:val="nil"/>
              <w:bottom w:val="single" w:sz="4" w:space="0" w:color="auto"/>
              <w:right w:val="nil"/>
            </w:tcBorders>
          </w:tcPr>
          <w:p w14:paraId="563F782B"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t</w:t>
            </w:r>
          </w:p>
        </w:tc>
        <w:tc>
          <w:tcPr>
            <w:tcW w:w="1588" w:type="dxa"/>
            <w:tcBorders>
              <w:left w:val="nil"/>
              <w:bottom w:val="single" w:sz="4" w:space="0" w:color="auto"/>
            </w:tcBorders>
          </w:tcPr>
          <w:p w14:paraId="5BF1F78A"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p</w:t>
            </w:r>
          </w:p>
        </w:tc>
      </w:tr>
      <w:tr w:rsidR="004F0C95" w:rsidRPr="009A4995" w14:paraId="46031ED9" w14:textId="77777777" w:rsidTr="0017223B">
        <w:tc>
          <w:tcPr>
            <w:tcW w:w="3402" w:type="dxa"/>
            <w:tcBorders>
              <w:bottom w:val="nil"/>
              <w:right w:val="nil"/>
            </w:tcBorders>
            <w:vAlign w:val="center"/>
          </w:tcPr>
          <w:p w14:paraId="106F1D39"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Intercept</w:t>
            </w:r>
          </w:p>
        </w:tc>
        <w:tc>
          <w:tcPr>
            <w:tcW w:w="1588" w:type="dxa"/>
            <w:tcBorders>
              <w:left w:val="nil"/>
              <w:bottom w:val="nil"/>
              <w:right w:val="nil"/>
            </w:tcBorders>
            <w:vAlign w:val="center"/>
          </w:tcPr>
          <w:p w14:paraId="11C0D353"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-3.69</w:t>
            </w:r>
          </w:p>
        </w:tc>
        <w:tc>
          <w:tcPr>
            <w:tcW w:w="1588" w:type="dxa"/>
            <w:tcBorders>
              <w:left w:val="nil"/>
              <w:bottom w:val="nil"/>
              <w:right w:val="nil"/>
            </w:tcBorders>
            <w:vAlign w:val="center"/>
          </w:tcPr>
          <w:p w14:paraId="2D77D2CC"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2.24</w:t>
            </w:r>
          </w:p>
        </w:tc>
        <w:tc>
          <w:tcPr>
            <w:tcW w:w="1588" w:type="dxa"/>
            <w:tcBorders>
              <w:left w:val="nil"/>
              <w:bottom w:val="nil"/>
              <w:right w:val="nil"/>
            </w:tcBorders>
            <w:vAlign w:val="center"/>
          </w:tcPr>
          <w:p w14:paraId="68DEA610"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-1.65</w:t>
            </w:r>
          </w:p>
        </w:tc>
        <w:tc>
          <w:tcPr>
            <w:tcW w:w="1588" w:type="dxa"/>
            <w:tcBorders>
              <w:left w:val="nil"/>
              <w:bottom w:val="nil"/>
            </w:tcBorders>
            <w:vAlign w:val="center"/>
          </w:tcPr>
          <w:p w14:paraId="4095985E"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.11</w:t>
            </w:r>
          </w:p>
        </w:tc>
      </w:tr>
      <w:tr w:rsidR="004F0C95" w:rsidRPr="009A4995" w14:paraId="35423662" w14:textId="77777777" w:rsidTr="0017223B">
        <w:tc>
          <w:tcPr>
            <w:tcW w:w="3402" w:type="dxa"/>
            <w:tcBorders>
              <w:top w:val="nil"/>
              <w:right w:val="nil"/>
            </w:tcBorders>
            <w:vAlign w:val="center"/>
          </w:tcPr>
          <w:p w14:paraId="00C3365D"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Connectivity gradient linear effect</w:t>
            </w:r>
          </w:p>
        </w:tc>
        <w:tc>
          <w:tcPr>
            <w:tcW w:w="1588" w:type="dxa"/>
            <w:tcBorders>
              <w:top w:val="nil"/>
              <w:left w:val="nil"/>
              <w:right w:val="nil"/>
            </w:tcBorders>
            <w:vAlign w:val="center"/>
          </w:tcPr>
          <w:p w14:paraId="5C0944DB"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0.55</w:t>
            </w:r>
          </w:p>
        </w:tc>
        <w:tc>
          <w:tcPr>
            <w:tcW w:w="1588" w:type="dxa"/>
            <w:tcBorders>
              <w:top w:val="nil"/>
              <w:left w:val="nil"/>
              <w:right w:val="nil"/>
            </w:tcBorders>
            <w:vAlign w:val="center"/>
          </w:tcPr>
          <w:p w14:paraId="6AA372CE"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0.23</w:t>
            </w:r>
          </w:p>
        </w:tc>
        <w:tc>
          <w:tcPr>
            <w:tcW w:w="1588" w:type="dxa"/>
            <w:tcBorders>
              <w:top w:val="nil"/>
              <w:left w:val="nil"/>
              <w:right w:val="nil"/>
            </w:tcBorders>
            <w:vAlign w:val="center"/>
          </w:tcPr>
          <w:p w14:paraId="1B7827B3"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2.36</w:t>
            </w:r>
          </w:p>
        </w:tc>
        <w:tc>
          <w:tcPr>
            <w:tcW w:w="1588" w:type="dxa"/>
            <w:tcBorders>
              <w:top w:val="nil"/>
              <w:left w:val="nil"/>
            </w:tcBorders>
            <w:vAlign w:val="center"/>
          </w:tcPr>
          <w:p w14:paraId="6B97AFDA"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.02</w:t>
            </w:r>
          </w:p>
        </w:tc>
      </w:tr>
    </w:tbl>
    <w:p w14:paraId="482D0E90" w14:textId="77777777" w:rsidR="004F0C95" w:rsidRPr="009A4995" w:rsidRDefault="004F0C95" w:rsidP="004F0C95">
      <w:pPr>
        <w:spacing w:before="100" w:beforeAutospacing="1" w:after="100" w:afterAutospacing="1" w:line="480" w:lineRule="auto"/>
        <w:jc w:val="both"/>
        <w:rPr>
          <w:rFonts w:ascii="Arial" w:hAnsi="Arial" w:cs="Arial"/>
          <w:sz w:val="20"/>
          <w:szCs w:val="20"/>
        </w:rPr>
      </w:pPr>
      <w:r w:rsidRPr="009A4995">
        <w:rPr>
          <w:rFonts w:ascii="Arial" w:hAnsi="Arial" w:cs="Arial"/>
          <w:b/>
          <w:sz w:val="20"/>
          <w:szCs w:val="20"/>
        </w:rPr>
        <w:t>Table S2:</w:t>
      </w:r>
      <w:r w:rsidRPr="009A4995">
        <w:rPr>
          <w:rFonts w:ascii="Arial" w:hAnsi="Arial" w:cs="Arial"/>
          <w:sz w:val="20"/>
          <w:szCs w:val="20"/>
        </w:rPr>
        <w:t xml:space="preserve"> Relationship between connectivity and task gradient for matching trials examined using linear mixed effects modelling using 10 bins. Table of random effects.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2886"/>
        <w:gridCol w:w="2869"/>
      </w:tblGrid>
      <w:tr w:rsidR="004F0C95" w:rsidRPr="009A4995" w14:paraId="5E18AA72" w14:textId="77777777" w:rsidTr="0017223B">
        <w:tc>
          <w:tcPr>
            <w:tcW w:w="3005" w:type="dxa"/>
            <w:tcBorders>
              <w:top w:val="single" w:sz="4" w:space="0" w:color="auto"/>
              <w:bottom w:val="single" w:sz="4" w:space="0" w:color="auto"/>
            </w:tcBorders>
            <w:vAlign w:val="center"/>
          </w:tcPr>
          <w:p w14:paraId="039496AA"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Groups</w:t>
            </w:r>
          </w:p>
        </w:tc>
        <w:tc>
          <w:tcPr>
            <w:tcW w:w="3005" w:type="dxa"/>
            <w:tcBorders>
              <w:top w:val="single" w:sz="4" w:space="0" w:color="auto"/>
              <w:bottom w:val="single" w:sz="4" w:space="0" w:color="auto"/>
            </w:tcBorders>
            <w:vAlign w:val="center"/>
          </w:tcPr>
          <w:p w14:paraId="76649DE5"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Variance</w:t>
            </w:r>
          </w:p>
        </w:tc>
        <w:tc>
          <w:tcPr>
            <w:tcW w:w="3006" w:type="dxa"/>
            <w:tcBorders>
              <w:top w:val="single" w:sz="4" w:space="0" w:color="auto"/>
              <w:bottom w:val="single" w:sz="4" w:space="0" w:color="auto"/>
            </w:tcBorders>
            <w:vAlign w:val="center"/>
          </w:tcPr>
          <w:p w14:paraId="0D0A457E"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SD</w:t>
            </w:r>
          </w:p>
        </w:tc>
      </w:tr>
      <w:tr w:rsidR="004F0C95" w:rsidRPr="009A4995" w14:paraId="3889C57C" w14:textId="77777777" w:rsidTr="0017223B">
        <w:tc>
          <w:tcPr>
            <w:tcW w:w="3005" w:type="dxa"/>
            <w:tcBorders>
              <w:top w:val="single" w:sz="4" w:space="0" w:color="auto"/>
            </w:tcBorders>
            <w:vAlign w:val="center"/>
          </w:tcPr>
          <w:p w14:paraId="734FAFAD"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Subject intercept</w:t>
            </w:r>
          </w:p>
        </w:tc>
        <w:tc>
          <w:tcPr>
            <w:tcW w:w="3005" w:type="dxa"/>
            <w:tcBorders>
              <w:top w:val="single" w:sz="4" w:space="0" w:color="auto"/>
            </w:tcBorders>
            <w:vAlign w:val="center"/>
          </w:tcPr>
          <w:p w14:paraId="53137F00"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87.34</w:t>
            </w:r>
          </w:p>
        </w:tc>
        <w:tc>
          <w:tcPr>
            <w:tcW w:w="3006" w:type="dxa"/>
            <w:tcBorders>
              <w:top w:val="single" w:sz="4" w:space="0" w:color="auto"/>
            </w:tcBorders>
            <w:vAlign w:val="center"/>
          </w:tcPr>
          <w:p w14:paraId="2DFC0648"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9.35</w:t>
            </w:r>
          </w:p>
        </w:tc>
      </w:tr>
      <w:tr w:rsidR="004F0C95" w:rsidRPr="009A4995" w14:paraId="10C9DA43" w14:textId="77777777" w:rsidTr="0017223B">
        <w:tc>
          <w:tcPr>
            <w:tcW w:w="3005" w:type="dxa"/>
            <w:vAlign w:val="center"/>
          </w:tcPr>
          <w:p w14:paraId="1869EAE9"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Subject slope</w:t>
            </w:r>
          </w:p>
        </w:tc>
        <w:tc>
          <w:tcPr>
            <w:tcW w:w="3005" w:type="dxa"/>
            <w:vAlign w:val="center"/>
          </w:tcPr>
          <w:p w14:paraId="32659D59"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0.25</w:t>
            </w:r>
          </w:p>
        </w:tc>
        <w:tc>
          <w:tcPr>
            <w:tcW w:w="3006" w:type="dxa"/>
            <w:vAlign w:val="center"/>
          </w:tcPr>
          <w:p w14:paraId="7F523BB7"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0.50</w:t>
            </w:r>
          </w:p>
        </w:tc>
      </w:tr>
      <w:tr w:rsidR="004F0C95" w:rsidRPr="009A4995" w14:paraId="43F4158F" w14:textId="77777777" w:rsidTr="0017223B">
        <w:tc>
          <w:tcPr>
            <w:tcW w:w="3005" w:type="dxa"/>
            <w:vAlign w:val="center"/>
          </w:tcPr>
          <w:p w14:paraId="2AC6FCB4"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Run intercept</w:t>
            </w:r>
          </w:p>
        </w:tc>
        <w:tc>
          <w:tcPr>
            <w:tcW w:w="3005" w:type="dxa"/>
            <w:vAlign w:val="center"/>
          </w:tcPr>
          <w:p w14:paraId="2ED9605B"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1.32</w:t>
            </w:r>
          </w:p>
        </w:tc>
        <w:tc>
          <w:tcPr>
            <w:tcW w:w="3006" w:type="dxa"/>
            <w:vAlign w:val="center"/>
          </w:tcPr>
          <w:p w14:paraId="64524A2A"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1.15</w:t>
            </w:r>
          </w:p>
        </w:tc>
      </w:tr>
      <w:tr w:rsidR="004F0C95" w:rsidRPr="009A4995" w14:paraId="104B8754" w14:textId="77777777" w:rsidTr="0017223B">
        <w:tc>
          <w:tcPr>
            <w:tcW w:w="3005" w:type="dxa"/>
            <w:vAlign w:val="center"/>
          </w:tcPr>
          <w:p w14:paraId="05EBE2CC"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Residual</w:t>
            </w:r>
          </w:p>
        </w:tc>
        <w:tc>
          <w:tcPr>
            <w:tcW w:w="3005" w:type="dxa"/>
            <w:vAlign w:val="center"/>
          </w:tcPr>
          <w:p w14:paraId="45686967"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443.70</w:t>
            </w:r>
          </w:p>
        </w:tc>
        <w:tc>
          <w:tcPr>
            <w:tcW w:w="3006" w:type="dxa"/>
            <w:vAlign w:val="center"/>
          </w:tcPr>
          <w:p w14:paraId="51A05E39"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21.06</w:t>
            </w:r>
          </w:p>
        </w:tc>
      </w:tr>
    </w:tbl>
    <w:p w14:paraId="3C935418" w14:textId="77777777" w:rsidR="004F0C95" w:rsidRPr="009A4995" w:rsidRDefault="004F0C95" w:rsidP="004F0C95">
      <w:pPr>
        <w:spacing w:line="480" w:lineRule="auto"/>
        <w:rPr>
          <w:rFonts w:ascii="Arial" w:hAnsi="Arial" w:cs="Arial"/>
          <w:sz w:val="20"/>
          <w:szCs w:val="20"/>
        </w:rPr>
      </w:pPr>
    </w:p>
    <w:p w14:paraId="7B0DE77E" w14:textId="77777777" w:rsidR="004F0C95" w:rsidRPr="009A4995" w:rsidRDefault="004F0C95" w:rsidP="004F0C95">
      <w:pPr>
        <w:pStyle w:val="Style3"/>
      </w:pPr>
      <w:r w:rsidRPr="009A4995">
        <w:t xml:space="preserve">2.3. Data analysis for non-matching trials </w:t>
      </w:r>
    </w:p>
    <w:p w14:paraId="5F76D79D"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 xml:space="preserve">To establish whether the effect we found for the matching trials could be explained by task difficulty, we examined the non-matching trials, in which probe and target did not share the specified feature. For these items, global semantic similarity was associated with poorer accuracy and no significant change in response time (while for the matching trials, global semantic similarity was linked to better performance). We modelled the parametric effect of global feature similarity by entering the demeaned global semantic similarity ratings for correct non-matching trials as a parametric regressor. We also modelled the main effect of task, the instruction period, two inter-stimulus interval periods, probe presentation, matching trials in which probe and target shared the specified feature, and incorrect trials. We examined the spatial correspondence between the task gradient for non-matching trials and the connectivity gradient by computing correlations across the whole brain and within semantic regions defined using a meta-analytic </w:t>
      </w:r>
      <w:r w:rsidRPr="009A4995">
        <w:rPr>
          <w:rFonts w:ascii="Arial" w:hAnsi="Arial" w:cs="Arial"/>
          <w:sz w:val="20"/>
          <w:szCs w:val="20"/>
        </w:rPr>
        <w:lastRenderedPageBreak/>
        <w:t xml:space="preserve">mask for the term “semantic” from Neurosynth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{"citationItems":[{"id":"ITEM-1","itemData":{"DOI":"10.1038/nmeth.1635","ISSN":"15487091","abstract":"BACKGROUND: A central goal of human neuroimaging research is to map relationships between mind and brain, enabling decoding of cognitive states from brain activity (Norman, Polyn, Detre, &amp; Haxby, 2006; Poldrack, Halchenko, &amp; Hanson, 2009). Previous decoding approaches have focused on discriminating between narrow sets of alternative states, overlooking the vast range of cognitive states human beings can experience. Here we introduce a novel framework called NeuroSynth that uses text mining and meta-analysis techniques to automatically produce accurate mappings between brain activity and a large number of broad cognitive states, providing a valuable new resource for a broad range of neuroimaging applications. The NeuroSynth framework consists of several components. First, an automated parser was used to extract activation coordinates from published neuroimaging studies. The current database contains nearly 145,000 activation foci drawn from over 4,400 studies. Second, all articles were ?tagged? with words and phrases that occur at high frequency within the article text, enabling rapid search and filtering. Third, meta-analysis was used to automatically produce whole-brain meta-analysis maps for over 200 distinct psychological concepts, each based on several hundred studies. Fourth, a na?ve Bayes classifier was used to classify the probability of specific concepts or states being present given new patterns of activation as input, enabling open-ended decoding and classification of brain activity in both entire studies and individual subjects. Validation analyses demonstrated the capacity of the NeuroSynth framework to generate meta-analysis maps that closely replicated previous results for many concepts (e.g., pain, emotion, and working memory). Subsequently, we used NeuroSynth to address two long-standing problems in neuroimaging. First, we addressed the well-known problem of reverse inference (Poldrack, 2006) by quantifying the likelihood of specific psychological processes given observed activation patterns. The results identified numerous cases in which reverse inference analyses identified results discrepant with prior findings (e.g., the lack of selectivity of medial frontal function, and the preferential role of posterior rather than anterior insula in pain). Second, we used a na?ve Bayes classifier to successfully ?decode? which of several psychological states individual subjects were experiencing given only patterns of brain activity, representing…","author":[{"dropping-particle":"","family":"Yarkoni","given":"Tal","non-dropping-particle":"","parse-names":false,"suffix":""},{"dropping-particle":"","family":"Poldrack","given":"Russell A.","non-dropping-particle":"","parse-names":false,"suffix":""},{"dropping-particle":"","family":"Nichols","given":"Thomas E.","non-dropping-particle":"","parse-names":false,"suffix":""},{"dropping-particle":"","family":"Essen","given":"David C.","non-dropping-particle":"Van","parse-names":false,"suffix":""},{"dropping-particle":"","family":"Wager","given":"Tor D.","non-dropping-particle":"","parse-names":false,"suffix":""}],"container-title":"Nature Methods","id":"ITEM-1","issue":"8","issued":{"date-parts":[["2011"]]},"page":"665-670","title":"Large-scale automated synthesis of human functional neuroimaging data","type":"article-journal","volume":"8"},"uris":["http://www.mendeley.com/documents/?uuid=085ae679-dc71-457d-8293-f3e706e67f10"]}],"mendeley":{"formattedCitation":"(Yarkoni et al., 2011)","plainTextFormattedCitation":"(Yarkoni et al., 2011)","previouslyFormattedCitation":"(Yarkoni et al., 2011)"},"properties":{"noteIndex":0},"schema":"https://github.com/citation-style-language/schema/raw/master/csl-citation.json"}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(Yarkoni et al., 2011)</w:t>
      </w:r>
      <w:r w:rsidRPr="009A4995">
        <w:rPr>
          <w:rFonts w:ascii="Arial" w:hAnsi="Arial" w:cs="Arial"/>
          <w:sz w:val="20"/>
          <w:szCs w:val="20"/>
        </w:rPr>
        <w:fldChar w:fldCharType="end"/>
      </w:r>
      <w:r w:rsidRPr="009A4995">
        <w:rPr>
          <w:rFonts w:ascii="Arial" w:hAnsi="Arial" w:cs="Arial"/>
          <w:sz w:val="20"/>
          <w:szCs w:val="20"/>
        </w:rPr>
        <w:t>. To establish whether systematic functional change along the connectivity gradient was seen in multiple cortical areas linked to semantic processing, we examined anatomical masks in lateral frontal, medial frontal, temporal and parietal areas. Finally, we investigated whether there was a linear (or more complex) relationship between the effect of global semantic similarity and the connectivity gradient bin for the non-matching trials, using a linear mixed effects model (see above).</w:t>
      </w:r>
    </w:p>
    <w:p w14:paraId="6D3A9233" w14:textId="77777777" w:rsidR="004F0C95" w:rsidRPr="009A4995" w:rsidRDefault="004F0C95" w:rsidP="004F0C95">
      <w:pPr>
        <w:pStyle w:val="Style1"/>
        <w:spacing w:before="100" w:beforeAutospacing="1" w:after="100" w:afterAutospacing="1" w:line="480" w:lineRule="auto"/>
        <w:rPr>
          <w:rFonts w:cs="Arial"/>
          <w:sz w:val="20"/>
          <w:szCs w:val="20"/>
        </w:rPr>
      </w:pPr>
      <w:r w:rsidRPr="009A4995">
        <w:rPr>
          <w:rFonts w:cs="Arial"/>
          <w:sz w:val="20"/>
          <w:szCs w:val="20"/>
        </w:rPr>
        <w:t>3. Supplementary Results</w:t>
      </w:r>
    </w:p>
    <w:p w14:paraId="7B07AB81" w14:textId="77777777" w:rsidR="004F0C95" w:rsidRPr="009A4995" w:rsidRDefault="004F0C95" w:rsidP="004F0C95">
      <w:pPr>
        <w:pStyle w:val="Style3"/>
      </w:pPr>
      <w:r w:rsidRPr="009A4995">
        <w:t>3.1. The parametric effect of global semantic overlap and mean effect of the task</w:t>
      </w:r>
    </w:p>
    <w:p w14:paraId="704B732A" w14:textId="77777777" w:rsidR="004F0C95" w:rsidRPr="009A4995" w:rsidRDefault="004F0C95" w:rsidP="004F0C95">
      <w:pPr>
        <w:keepNext/>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Figure S3 shows the mean effect of the semantic task alongside the parametric effect of the task gradient for matching trials and non-matching trials, respectively. The task was shown to elicit significant activation in ‘task-positive’ regions of the multiple demand network (MDN), including inferior frontal sulcus, intraparietal sulcus and pre-supplementary motor area (Family-Wise Error (FWE) -corrected, z = 3.1, p &lt; 0.05) for matching trials (Figure S3B) and non-matching trials (Figure S3F).</w:t>
      </w:r>
    </w:p>
    <w:p w14:paraId="198E037A"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 xml:space="preserve">Figure S3E shows the parametric effect of global feature overlap for the non-matching trials across all voxels (i.e., the unthresholded map of the task gradient). Positive effects of the task gradient (i.e., a stronger BOLD response when items shared more features) can be seen within lateral anterior-to-mid temporal cortex, angular gyrus and medial and superior frontal regions. Negative effects of this variable (i.e. stronger activation for trials with lower global semantic overlap) were found in intraparietal sulcus, inferior frontal sulcus and pre-supplementary motor area. These effects are similar to those observed for the matching trials (Figure S3A). The unthresholded maps characterising the effects of global semantic similarity for matching and non-matching trials were positively correlated (r = 0.11, p &lt; 0.001 across the whole brain; r = 0.20, p &lt; 0.001 within a semantic mask defined by Neurosynth). </w:t>
      </w:r>
    </w:p>
    <w:p w14:paraId="7828247A" w14:textId="77777777" w:rsidR="004F0C95" w:rsidRPr="009A4995" w:rsidRDefault="004F0C95" w:rsidP="004F0C95">
      <w:pPr>
        <w:spacing w:before="100" w:beforeAutospacing="1" w:after="100" w:afterAutospacing="1" w:line="480" w:lineRule="auto"/>
        <w:rPr>
          <w:rFonts w:ascii="Arial" w:hAnsi="Arial" w:cs="Arial"/>
          <w:b/>
          <w:sz w:val="20"/>
          <w:szCs w:val="20"/>
        </w:rPr>
      </w:pPr>
      <w:r w:rsidRPr="009A4995">
        <w:rPr>
          <w:rFonts w:ascii="Arial" w:hAnsi="Arial" w:cs="Arial"/>
          <w:noProof/>
          <w:sz w:val="20"/>
          <w:szCs w:val="20"/>
          <w:lang w:val="en-GB" w:eastAsia="zh-CN"/>
        </w:rPr>
        <w:lastRenderedPageBreak/>
        <w:drawing>
          <wp:inline distT="0" distB="0" distL="0" distR="0" wp14:anchorId="716D5B55" wp14:editId="0B55C86A">
            <wp:extent cx="5731510" cy="2159635"/>
            <wp:effectExtent l="0" t="0" r="254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159635"/>
                    </a:xfrm>
                    <a:prstGeom prst="rect">
                      <a:avLst/>
                    </a:prstGeom>
                  </pic:spPr>
                </pic:pic>
              </a:graphicData>
            </a:graphic>
          </wp:inline>
        </w:drawing>
      </w:r>
    </w:p>
    <w:p w14:paraId="370C4F43"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b/>
          <w:sz w:val="20"/>
          <w:szCs w:val="20"/>
        </w:rPr>
        <w:t>Figure S3.</w:t>
      </w:r>
      <w:r w:rsidRPr="009A4995">
        <w:rPr>
          <w:rFonts w:ascii="Arial" w:hAnsi="Arial" w:cs="Arial"/>
          <w:sz w:val="20"/>
          <w:szCs w:val="20"/>
        </w:rPr>
        <w:t xml:space="preserve"> A - Unthresholded map of the task gradient for matching trials: i.e. parametric manipulation of global semantic similarity. Warm colours = positively correlated activity [stronger response when task-irrelevant semantic features were shared between probe and target]. Cool colours = negatively correlated activity [stronger response when only the goal feature was shared between probe and target]. B - Unthresholded and thresholded (FWE-corrected, z = 3.1, p &lt; 0.05) mean effect of the feature matching task for matching trials, which corresponds to the intercept in the parametric analysis. C and D – Correlations between the task gradient for matching trials and the connectivity gradient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(Margulies et al., 2016)</w:t>
      </w:r>
      <w:r w:rsidRPr="009A4995">
        <w:rPr>
          <w:rFonts w:ascii="Arial" w:hAnsi="Arial" w:cs="Arial"/>
          <w:sz w:val="20"/>
          <w:szCs w:val="20"/>
        </w:rPr>
        <w:fldChar w:fldCharType="end"/>
      </w:r>
      <w:r w:rsidRPr="009A4995">
        <w:rPr>
          <w:rFonts w:ascii="Arial" w:hAnsi="Arial" w:cs="Arial"/>
          <w:sz w:val="20"/>
          <w:szCs w:val="20"/>
        </w:rPr>
        <w:t xml:space="preserve"> across the whole brain and within the semantic mask defined using Neurosynth. E - Unthresholded map of the task gradient for non-matching trials: i.e. parametric manipulation of global semantic similarity. Warm colours = positively correlated activity [stronger response when task-irrelevant semantic features were shared between probe and target]. Cool colours = negatively correlated activity [stronger response when no features were shared between probe and target]. F - Unthresholded and thresholded (FWE-corrected, z = 3.1, p &lt; 0.05) mean effect of the feature matching task for non-matching trials, which corresponds to the intercept in the parametric analysis. G and H – Correlations between the task gradient for non-matching trials and the connectivity gradient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(Margulies et al., 2016)</w:t>
      </w:r>
      <w:r w:rsidRPr="009A4995">
        <w:rPr>
          <w:rFonts w:ascii="Arial" w:hAnsi="Arial" w:cs="Arial"/>
          <w:sz w:val="20"/>
          <w:szCs w:val="20"/>
        </w:rPr>
        <w:fldChar w:fldCharType="end"/>
      </w:r>
      <w:r w:rsidRPr="009A4995">
        <w:rPr>
          <w:rFonts w:ascii="Arial" w:hAnsi="Arial" w:cs="Arial"/>
          <w:sz w:val="20"/>
          <w:szCs w:val="20"/>
        </w:rPr>
        <w:t xml:space="preserve"> across the whole brain and within the semantic mask defined using Neurosynth.  </w:t>
      </w:r>
    </w:p>
    <w:p w14:paraId="6E498964" w14:textId="77777777" w:rsidR="004F0C95" w:rsidRPr="009A4995" w:rsidRDefault="004F0C95" w:rsidP="004F0C95">
      <w:pPr>
        <w:pStyle w:val="Style3"/>
      </w:pPr>
      <w:r w:rsidRPr="009A4995">
        <w:lastRenderedPageBreak/>
        <w:t xml:space="preserve">3.2. Correlation between connectivity gradient and task gradient for matching versus non-matching trials </w:t>
      </w:r>
    </w:p>
    <w:p w14:paraId="1628A92E"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 xml:space="preserve">In line with the pattern observed for matching trials, there were significant positive correlations between the connectivity gradient and the effect of the task gradient for non-matching trials (Figure S3G, Figure S3H), even though the trials with higher global semantic similarity were no longer easier. Non-matching trials in which the probe and target shared more non-target features elicited more activation towards the DMN-end of the gradient, despite these trials having lower accuracy. We also found a significant correlation between the task gradient and the connectivity gradient in all four anatomical zones both within a semantic mask (Figure S5) and when all voxels within these zones were included (Figure S4; see main text for the equivalent analysis for matching trials). These analyses together suggest that the relationship between the task gradient and the connectivity gradient reported in the main analysis for matching trials did not reflect task difficulty, and instead was associated with the semantic match between the items in long-term memory. </w:t>
      </w:r>
    </w:p>
    <w:p w14:paraId="30EF1A43"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For non-matching trials, the correlations between the task gradient and the connectivity gradient were significantly stronger when including all the voxels in each zone compared with only voxels associated with semantic processing (falling within a semantic mask from Neurosynth), in lateral frontal (z = 7.87, p &lt; 0.001), medial frontal (z = 6.42, p &lt; 0.001) and lateral parietal (z = 2.76, p = 0.006) regions. There was no difference in the strength of this correlation between the connectivity gradient and task gradient for non-matching trials with and without the application of the semantic mask in lateral temporal cortex (z = 0.97, p = 0.33).</w:t>
      </w:r>
    </w:p>
    <w:p w14:paraId="5FCF39EE"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 xml:space="preserve">For matching trials, the correlations between the task gradient and the connectivity gradient were significantly stronger when only voxels associated with semantic processing (falling within a semantic mask from Neurosynth) were included in the analysis, both in medial frontal (z = 6.16, p &lt; 0.001) and lateral temporal (z = 7.21, p &lt; 0.001) regions. This effect resembles the pattern seen across the whole brain (see main text). There was no difference in the strength of </w:t>
      </w:r>
      <w:r w:rsidRPr="009A4995">
        <w:rPr>
          <w:rFonts w:ascii="Arial" w:hAnsi="Arial" w:cs="Arial"/>
          <w:sz w:val="20"/>
          <w:szCs w:val="20"/>
        </w:rPr>
        <w:lastRenderedPageBreak/>
        <w:t>this correlation for matching trials with and without the application of the semantic mask in lateral frontal (z = 0.74, p = 0.46) or lateral parietal cortex (z = 0.53, p = 0.60). Brain maps were visualized using BrainNet Viewer</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{"citationItems":[{"id":"ITEM-1","itemData":{"DOI":"10.1371/journal.pone.0068910","ISSN":"1932-6203","abstract":"The human brain is a complex system whose topological organization can be represented using connectomics. Recent studies have shown that human connectomes can be constructed using various neuroimaging technologies and further characterized using sophisticated analytic strategies, such as graph theory. These methods reveal the intriguing topological architectures of human brain networks in healthy populations and explore the changes throughout normal development and aging and under various pathological conditions. However, given the huge complexity of this methodology, toolboxes for graph-based network visualization are still lacking. Here, using MATLAB with a graphical user interface (GUI), we developed a graph-theoretical network visualization toolbox, called BrainNet Viewer, to illustrate human connectomes as ball-and-stick models. Within this toolbox, several combinations of defined files with connectome information can be loaded to display different combinations of brain surface, nodes and edges. In addition, display properties, such as the color and size of network elements or the layout of the figure, can be adjusted within a comprehensive but easy-to-use settings panel. Moreover, BrainNet Viewer draws the brain surface, nodes and edges in sequence and displays brain networks in multiple views, as required by the user. The figure can be manipulated with certain interaction functions to display more detailed information. Furthermore, the figures can be exported as commonly used image file formats or demonstration video for further use. BrainNet Viewer helps researchers to visualize brain networks in an easy, flexible and quick manner, and this software is freely available on the NITRC website (www.nitrc.org/projects/bnv/).","author":[{"dropping-particle":"","family":"Xia","given":"Mingrui","non-dropping-particle":"","parse-names":false,"suffix":""},{"dropping-particle":"","family":"Wang","given":"Jinhui","non-dropping-particle":"","parse-names":false,"suffix":""},{"dropping-particle":"","family":"He","given":"Yong","non-dropping-particle":"","parse-names":false,"suffix":""}],"container-title":"PLoS ONE","editor":[{"dropping-particle":"","family":"Csermely","given":"Peter","non-dropping-particle":"","parse-names":false,"suffix":""}],"id":"ITEM-1","issue":"7","issued":{"date-parts":[["2013","7","4"]]},"page":"e68910","publisher":"Public Library of Science","title":"BrainNet Viewer: A Network Visualization Tool for Human Brain Connectomics","type":"article-journal","volume":"8"},"uris":["http://www.mendeley.com/documents/?uuid=4498813d-6471-341a-bf45-96757f119217"]}],"mendeley":{"formattedCitation":"(Xia et al., 2013)","plainTextFormattedCitation":"(Xia et al., 2013)","previouslyFormattedCitation":"(Xia et al., 2013)"},"properties":{"noteIndex":0},"schema":"https://github.com/citation-style-language/schema/raw/master/csl-citation.json"}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(Xia et al., 2013)</w:t>
      </w:r>
      <w:r w:rsidRPr="009A4995">
        <w:rPr>
          <w:rFonts w:ascii="Arial" w:hAnsi="Arial" w:cs="Arial"/>
          <w:sz w:val="20"/>
          <w:szCs w:val="20"/>
        </w:rPr>
        <w:fldChar w:fldCharType="end"/>
      </w:r>
      <w:r w:rsidRPr="009A4995">
        <w:rPr>
          <w:rFonts w:ascii="Arial" w:hAnsi="Arial" w:cs="Arial"/>
          <w:sz w:val="20"/>
          <w:szCs w:val="20"/>
        </w:rPr>
        <w:t>.</w:t>
      </w:r>
    </w:p>
    <w:p w14:paraId="2BEE4524"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noProof/>
          <w:sz w:val="20"/>
          <w:szCs w:val="20"/>
          <w:lang w:val="en-GB" w:eastAsia="zh-CN"/>
        </w:rPr>
        <w:drawing>
          <wp:inline distT="0" distB="0" distL="0" distR="0" wp14:anchorId="74F639C9" wp14:editId="2513C577">
            <wp:extent cx="5486400" cy="2216785"/>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2216785"/>
                    </a:xfrm>
                    <a:prstGeom prst="rect">
                      <a:avLst/>
                    </a:prstGeom>
                  </pic:spPr>
                </pic:pic>
              </a:graphicData>
            </a:graphic>
          </wp:inline>
        </w:drawing>
      </w:r>
    </w:p>
    <w:p w14:paraId="6EDF3C35"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b/>
          <w:sz w:val="20"/>
          <w:szCs w:val="20"/>
        </w:rPr>
        <w:t>Figure S4.</w:t>
      </w:r>
      <w:r w:rsidRPr="009A4995">
        <w:rPr>
          <w:rFonts w:ascii="Arial" w:hAnsi="Arial" w:cs="Arial"/>
          <w:sz w:val="20"/>
          <w:szCs w:val="20"/>
        </w:rPr>
        <w:t xml:space="preserve"> A, B, C and D show the correlations between the task gradient for non-matching trials and the connectivity gradient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(Margulies et al., 2016)</w:t>
      </w:r>
      <w:r w:rsidRPr="009A4995">
        <w:rPr>
          <w:rFonts w:ascii="Arial" w:hAnsi="Arial" w:cs="Arial"/>
          <w:sz w:val="20"/>
          <w:szCs w:val="20"/>
        </w:rPr>
        <w:fldChar w:fldCharType="end"/>
      </w:r>
      <w:r w:rsidRPr="009A4995">
        <w:rPr>
          <w:rFonts w:ascii="Arial" w:hAnsi="Arial" w:cs="Arial"/>
          <w:sz w:val="20"/>
          <w:szCs w:val="20"/>
        </w:rPr>
        <w:t xml:space="preserve"> in lateral frontal, medial frontal, lateral temporal and lateral parietal cortex, respectively. The colour represents each voxel’s value on the connectivity gradient defined by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2016)","manualFormatting":"Margulies et al. (2016)","plainTextFormattedCitation":"(Margulies et al., 2016)","previouslyFormattedCitation":"(Margulies et al., 2016)"},"properties":{"noteIndex":0},"schema":"https://github.com/citation-style-language/schema/raw/master/csl-citation.json"}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Margulies et al. (2016)</w:t>
      </w:r>
      <w:r w:rsidRPr="009A4995">
        <w:rPr>
          <w:rFonts w:ascii="Arial" w:hAnsi="Arial" w:cs="Arial"/>
          <w:sz w:val="20"/>
          <w:szCs w:val="20"/>
        </w:rPr>
        <w:fldChar w:fldCharType="end"/>
      </w:r>
      <w:r w:rsidRPr="009A4995">
        <w:rPr>
          <w:rFonts w:ascii="Arial" w:hAnsi="Arial" w:cs="Arial"/>
          <w:sz w:val="20"/>
          <w:szCs w:val="20"/>
        </w:rPr>
        <w:t>.</w:t>
      </w:r>
      <w:r w:rsidRPr="009A4995" w:rsidDel="002A0967">
        <w:rPr>
          <w:rFonts w:ascii="Arial" w:hAnsi="Arial" w:cs="Arial"/>
          <w:sz w:val="20"/>
          <w:szCs w:val="20"/>
        </w:rPr>
        <w:t xml:space="preserve"> </w:t>
      </w:r>
      <w:r w:rsidRPr="009A4995">
        <w:rPr>
          <w:rFonts w:ascii="Arial" w:hAnsi="Arial" w:cs="Arial"/>
          <w:sz w:val="20"/>
          <w:szCs w:val="20"/>
        </w:rPr>
        <w:t>See main text for equivalent correlations for the matching trials.</w:t>
      </w:r>
    </w:p>
    <w:p w14:paraId="0515BE0F"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noProof/>
          <w:sz w:val="20"/>
          <w:szCs w:val="20"/>
          <w:lang w:val="en-GB" w:eastAsia="zh-CN"/>
        </w:rPr>
        <w:lastRenderedPageBreak/>
        <w:drawing>
          <wp:inline distT="0" distB="0" distL="0" distR="0" wp14:anchorId="028B1A03" wp14:editId="2D7185E9">
            <wp:extent cx="5486400" cy="3039110"/>
            <wp:effectExtent l="0" t="0" r="0" b="889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039110"/>
                    </a:xfrm>
                    <a:prstGeom prst="rect">
                      <a:avLst/>
                    </a:prstGeom>
                  </pic:spPr>
                </pic:pic>
              </a:graphicData>
            </a:graphic>
          </wp:inline>
        </w:drawing>
      </w:r>
    </w:p>
    <w:p w14:paraId="2E290238"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b/>
          <w:sz w:val="20"/>
          <w:szCs w:val="20"/>
        </w:rPr>
        <w:t>Figure S5.</w:t>
      </w:r>
      <w:r w:rsidRPr="009A4995">
        <w:rPr>
          <w:rFonts w:ascii="Arial" w:hAnsi="Arial" w:cs="Arial"/>
          <w:sz w:val="20"/>
          <w:szCs w:val="20"/>
        </w:rPr>
        <w:t xml:space="preserve"> Top panel: A, B, C and D show anatomical regions in lateral frontal, medial frontal, lateral temporal and lateral parietal zones, only including voxels identified as relevant to semantic processing using Neurosynth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{"citationItems":[{"id":"ITEM-1","itemData":{"DOI":"10.1038/nmeth.1635","ISSN":"15487091","abstract":"BACKGROUND: A central goal of human neuroimaging research is to map relationships between mind and brain, enabling decoding of cognitive states from brain activity (Norman, Polyn, Detre, &amp; Haxby, 2006; Poldrack, Halchenko, &amp; Hanson, 2009). Previous decoding approaches have focused on discriminating between narrow sets of alternative states, overlooking the vast range of cognitive states human beings can experience. Here we introduce a novel framework called NeuroSynth that uses text mining and meta-analysis techniques to automatically produce accurate mappings between brain activity and a large number of broad cognitive states, providing a valuable new resource for a broad range of neuroimaging applications. The NeuroSynth framework consists of several components. First, an automated parser was used to extract activation coordinates from published neuroimaging studies. The current database contains nearly 145,000 activation foci drawn from over 4,400 studies. Second, all articles were ?tagged? with words and phrases that occur at high frequency within the article text, enabling rapid search and filtering. Third, meta-analysis was used to automatically produce whole-brain meta-analysis maps for over 200 distinct psychological concepts, each based on several hundred studies. Fourth, a na?ve Bayes classifier was used to classify the probability of specific concepts or states being present given new patterns of activation as input, enabling open-ended decoding and classification of brain activity in both entire studies and individual subjects. Validation analyses demonstrated the capacity of the NeuroSynth framework to generate meta-analysis maps that closely replicated previous results for many concepts (e.g., pain, emotion, and working memory). Subsequently, we used NeuroSynth to address two long-standing problems in neuroimaging. First, we addressed the well-known problem of reverse inference (Poldrack, 2006) by quantifying the likelihood of specific psychological processes given observed activation patterns. The results identified numerous cases in which reverse inference analyses identified results discrepant with prior findings (e.g., the lack of selectivity of medial frontal function, and the preferential role of posterior rather than anterior insula in pain). Second, we used a na?ve Bayes classifier to successfully ?decode? which of several psychological states individual subjects were experiencing given only patterns of brain activity, representing…","author":[{"dropping-particle":"","family":"Yarkoni","given":"Tal","non-dropping-particle":"","parse-names":false,"suffix":""},{"dropping-particle":"","family":"Poldrack","given":"Russell A.","non-dropping-particle":"","parse-names":false,"suffix":""},{"dropping-particle":"","family":"Nichols","given":"Thomas E.","non-dropping-particle":"","parse-names":false,"suffix":""},{"dropping-particle":"","family":"Essen","given":"David C.","non-dropping-particle":"Van","parse-names":false,"suffix":""},{"dropping-particle":"","family":"Wager","given":"Tor D.","non-dropping-particle":"","parse-names":false,"suffix":""}],"container-title":"Nature Methods","id":"ITEM-1","issue":"8","issued":{"date-parts":[["2011"]]},"page":"665-670","title":"Large-scale automated synthesis of human functional neuroimaging data","type":"article-journal","volume":"8"},"uris":["http://www.mendeley.com/documents/?uuid=085ae679-dc71-457d-8293-f3e706e67f10"]}],"mendeley":{"formattedCitation":"(Yarkoni et al., 2011)","plainTextFormattedCitation":"(Yarkoni et al., 2011)","previouslyFormattedCitation":"(Yarkoni et al., 2011)"},"properties":{"noteIndex":0},"schema":"https://github.com/citation-style-language/schema/raw/master/csl-citation.json"}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(Yarkoni et al., 2011)</w:t>
      </w:r>
      <w:r w:rsidRPr="009A4995">
        <w:rPr>
          <w:rFonts w:ascii="Arial" w:hAnsi="Arial" w:cs="Arial"/>
          <w:sz w:val="20"/>
          <w:szCs w:val="20"/>
        </w:rPr>
        <w:fldChar w:fldCharType="end"/>
      </w:r>
      <w:r w:rsidRPr="009A4995">
        <w:rPr>
          <w:rFonts w:ascii="Arial" w:hAnsi="Arial" w:cs="Arial"/>
          <w:sz w:val="20"/>
          <w:szCs w:val="20"/>
        </w:rPr>
        <w:t xml:space="preserve">. The colour represents the connectivity gradient value from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2016)","manualFormatting":"Margulies et al. (2016)","plainTextFormattedCitation":"(Margulies et al., 2016)","previouslyFormattedCitation":"(Margulies et al., 2016)"},"properties":{"noteIndex":0},"schema":"https://github.com/citation-style-language/schema/raw/master/csl-citation.json"}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Margulies et al. (2016)</w:t>
      </w:r>
      <w:r w:rsidRPr="009A4995">
        <w:rPr>
          <w:rFonts w:ascii="Arial" w:hAnsi="Arial" w:cs="Arial"/>
          <w:sz w:val="20"/>
          <w:szCs w:val="20"/>
        </w:rPr>
        <w:fldChar w:fldCharType="end"/>
      </w:r>
      <w:r w:rsidRPr="009A4995">
        <w:rPr>
          <w:rFonts w:ascii="Arial" w:hAnsi="Arial" w:cs="Arial"/>
          <w:sz w:val="20"/>
          <w:szCs w:val="20"/>
        </w:rPr>
        <w:t>, with red towards the heteromodal end and blue towards the unimodal end of the connectivity gradient.</w:t>
      </w:r>
      <w:r w:rsidRPr="009A4995" w:rsidDel="002A0967">
        <w:rPr>
          <w:rFonts w:ascii="Arial" w:hAnsi="Arial" w:cs="Arial"/>
          <w:sz w:val="20"/>
          <w:szCs w:val="20"/>
        </w:rPr>
        <w:t xml:space="preserve"> </w:t>
      </w:r>
      <w:r w:rsidRPr="009A4995">
        <w:rPr>
          <w:rFonts w:ascii="Arial" w:hAnsi="Arial" w:cs="Arial"/>
          <w:sz w:val="20"/>
          <w:szCs w:val="20"/>
        </w:rPr>
        <w:t xml:space="preserve">Middle panel: The correlations between the task gradient for matching trials and the connectivity gradient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(Margulies et al., 2016)</w:t>
      </w:r>
      <w:r w:rsidRPr="009A4995">
        <w:rPr>
          <w:rFonts w:ascii="Arial" w:hAnsi="Arial" w:cs="Arial"/>
          <w:sz w:val="20"/>
          <w:szCs w:val="20"/>
        </w:rPr>
        <w:fldChar w:fldCharType="end"/>
      </w:r>
      <w:r w:rsidRPr="009A4995">
        <w:rPr>
          <w:rFonts w:ascii="Arial" w:hAnsi="Arial" w:cs="Arial"/>
          <w:sz w:val="20"/>
          <w:szCs w:val="20"/>
        </w:rPr>
        <w:t xml:space="preserve"> in each anatomical region shown in the top panel. Bottom panel: The correlations between the task gradient for non-matching trials and the connectivity gradient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(Margulies et al., 2016)</w:t>
      </w:r>
      <w:r w:rsidRPr="009A4995">
        <w:rPr>
          <w:rFonts w:ascii="Arial" w:hAnsi="Arial" w:cs="Arial"/>
          <w:sz w:val="20"/>
          <w:szCs w:val="20"/>
        </w:rPr>
        <w:fldChar w:fldCharType="end"/>
      </w:r>
      <w:r w:rsidRPr="009A4995">
        <w:rPr>
          <w:rFonts w:ascii="Arial" w:hAnsi="Arial" w:cs="Arial"/>
          <w:sz w:val="20"/>
          <w:szCs w:val="20"/>
        </w:rPr>
        <w:t xml:space="preserve"> in each anatomical region shown in the top panel.</w:t>
      </w:r>
    </w:p>
    <w:p w14:paraId="7646DDBB"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noProof/>
          <w:sz w:val="20"/>
          <w:szCs w:val="20"/>
        </w:rPr>
        <w:drawing>
          <wp:inline distT="0" distB="0" distL="0" distR="0" wp14:anchorId="772B048D" wp14:editId="485A7BF3">
            <wp:extent cx="5486400" cy="1609090"/>
            <wp:effectExtent l="0" t="0" r="0" b="3810"/>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1609090"/>
                    </a:xfrm>
                    <a:prstGeom prst="rect">
                      <a:avLst/>
                    </a:prstGeom>
                  </pic:spPr>
                </pic:pic>
              </a:graphicData>
            </a:graphic>
          </wp:inline>
        </w:drawing>
      </w:r>
    </w:p>
    <w:p w14:paraId="17B54267"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b/>
          <w:sz w:val="20"/>
          <w:szCs w:val="20"/>
        </w:rPr>
        <w:lastRenderedPageBreak/>
        <w:t>Figure S6.</w:t>
      </w:r>
      <w:r w:rsidRPr="009A4995">
        <w:rPr>
          <w:rFonts w:ascii="Arial" w:hAnsi="Arial" w:cs="Arial"/>
          <w:sz w:val="20"/>
          <w:szCs w:val="20"/>
        </w:rPr>
        <w:t xml:space="preserve"> A – The principal gradient of intrinsic connectivity from our current study. More similar colours reflect brain regions situated at similar points along the principal gradient – i.e. they resemble each other with respect to their patterns of intrinsic connectivity. B – Correlation between the principal gradient of intrinsic connectivity from our current study and from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2016)","manualFormatting":"Margulies et al. (2016)","plainTextFormattedCitation":"(Margulies et al., 2016)","previouslyFormattedCitation":"(Margulies et al., 2016)"},"properties":{"noteIndex":0},"schema":"https://github.com/citation-style-language/schema/raw/master/csl-citation.json"}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Margulies et al. (2016)</w:t>
      </w:r>
      <w:r w:rsidRPr="009A4995">
        <w:rPr>
          <w:rFonts w:ascii="Arial" w:hAnsi="Arial" w:cs="Arial"/>
          <w:sz w:val="20"/>
          <w:szCs w:val="20"/>
        </w:rPr>
        <w:fldChar w:fldCharType="end"/>
      </w:r>
      <w:r w:rsidRPr="009A4995">
        <w:rPr>
          <w:rFonts w:ascii="Arial" w:hAnsi="Arial" w:cs="Arial"/>
          <w:sz w:val="20"/>
          <w:szCs w:val="20"/>
        </w:rPr>
        <w:t>. C – Correlation between the task gradient for matching trials and the connectivity gradient from our current study across the whole brain.</w:t>
      </w:r>
    </w:p>
    <w:p w14:paraId="1FC11973" w14:textId="77777777" w:rsidR="004F0C95" w:rsidRPr="009A4995" w:rsidRDefault="004F0C95" w:rsidP="004F0C95">
      <w:pPr>
        <w:pStyle w:val="Style3"/>
      </w:pPr>
      <w:r w:rsidRPr="009A4995">
        <w:t>3.3. Systematic change along the connectivity gradient</w:t>
      </w:r>
    </w:p>
    <w:p w14:paraId="4DFA14D0"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A supplementary linear mixed effects analysis for the matching trials showed an orderly relationship between the task gradient and the connectivity gradient divided into 20 bins, as opposed to 10 in the main analysis (Figure S7A). There was a linear change along the connectivity gradient in the effect of global feature similarity: positive parameter estimates, corresponding to a stronger BOLD response for trials with high global feature similarity in the DMN, gradually reduced in magnitude and became negative at the sensorimotor end of the gradient, reflecting a stronger response for trials with lower global feature similarity (t = 2.43, p = 0.02, Figure S7B). Only the quadratic effect improved model fit over the linear effect (χ2 (1) = 7.95, p = 0.005).</w:t>
      </w:r>
      <w:r w:rsidRPr="009A4995">
        <w:rPr>
          <w:rStyle w:val="FootnoteReference"/>
          <w:rFonts w:ascii="Arial" w:hAnsi="Arial" w:cs="Arial"/>
          <w:sz w:val="20"/>
          <w:szCs w:val="20"/>
        </w:rPr>
        <w:footnoteReference w:id="2"/>
      </w:r>
      <w:r w:rsidRPr="009A4995">
        <w:rPr>
          <w:rFonts w:ascii="Arial" w:hAnsi="Arial" w:cs="Arial"/>
          <w:sz w:val="20"/>
          <w:szCs w:val="20"/>
        </w:rPr>
        <w:t xml:space="preserve"> The parameter estimates for this model are provided in Tables S3 and S4.</w:t>
      </w:r>
    </w:p>
    <w:p w14:paraId="0DFD46B5" w14:textId="77777777" w:rsidR="004F0C95" w:rsidRPr="009A4995" w:rsidRDefault="004F0C95" w:rsidP="004F0C95">
      <w:pPr>
        <w:spacing w:before="100" w:beforeAutospacing="1" w:after="100" w:afterAutospacing="1" w:line="480" w:lineRule="auto"/>
        <w:jc w:val="both"/>
        <w:rPr>
          <w:rFonts w:ascii="Arial" w:hAnsi="Arial" w:cs="Arial"/>
          <w:sz w:val="20"/>
          <w:szCs w:val="20"/>
        </w:rPr>
      </w:pPr>
      <w:r w:rsidRPr="009A4995">
        <w:rPr>
          <w:rFonts w:ascii="Arial" w:hAnsi="Arial" w:cs="Arial"/>
          <w:b/>
          <w:sz w:val="20"/>
          <w:szCs w:val="20"/>
        </w:rPr>
        <w:t>Table S3:</w:t>
      </w:r>
      <w:r w:rsidRPr="009A4995">
        <w:rPr>
          <w:rFonts w:ascii="Arial" w:hAnsi="Arial" w:cs="Arial"/>
          <w:sz w:val="20"/>
          <w:szCs w:val="20"/>
        </w:rPr>
        <w:t xml:space="preserve"> Relationship between connectivity and task gradient for matching trials examined using linear mixed effects modelling using 20 bins. Table of fixed effects. </w:t>
      </w:r>
    </w:p>
    <w:tbl>
      <w:tblPr>
        <w:tblStyle w:val="TableGrid"/>
        <w:tblW w:w="9754" w:type="dxa"/>
        <w:tblBorders>
          <w:left w:val="none" w:sz="0" w:space="0" w:color="auto"/>
          <w:right w:val="none" w:sz="0" w:space="0" w:color="auto"/>
        </w:tblBorders>
        <w:tblLook w:val="04A0" w:firstRow="1" w:lastRow="0" w:firstColumn="1" w:lastColumn="0" w:noHBand="0" w:noVBand="1"/>
      </w:tblPr>
      <w:tblGrid>
        <w:gridCol w:w="3402"/>
        <w:gridCol w:w="1588"/>
        <w:gridCol w:w="1588"/>
        <w:gridCol w:w="1588"/>
        <w:gridCol w:w="1588"/>
      </w:tblGrid>
      <w:tr w:rsidR="004F0C95" w:rsidRPr="009A4995" w14:paraId="3CCADDBF" w14:textId="77777777" w:rsidTr="0017223B">
        <w:tc>
          <w:tcPr>
            <w:tcW w:w="3402" w:type="dxa"/>
            <w:tcBorders>
              <w:bottom w:val="single" w:sz="4" w:space="0" w:color="auto"/>
              <w:right w:val="nil"/>
            </w:tcBorders>
          </w:tcPr>
          <w:p w14:paraId="488E4ABF"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Parameter</w:t>
            </w:r>
          </w:p>
        </w:tc>
        <w:tc>
          <w:tcPr>
            <w:tcW w:w="1588" w:type="dxa"/>
            <w:tcBorders>
              <w:left w:val="nil"/>
              <w:bottom w:val="single" w:sz="4" w:space="0" w:color="auto"/>
              <w:right w:val="nil"/>
            </w:tcBorders>
          </w:tcPr>
          <w:p w14:paraId="15D655AF"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Estimate</w:t>
            </w:r>
          </w:p>
        </w:tc>
        <w:tc>
          <w:tcPr>
            <w:tcW w:w="1588" w:type="dxa"/>
            <w:tcBorders>
              <w:left w:val="nil"/>
              <w:bottom w:val="single" w:sz="4" w:space="0" w:color="auto"/>
              <w:right w:val="nil"/>
            </w:tcBorders>
          </w:tcPr>
          <w:p w14:paraId="5AA1DB50"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Standard Error</w:t>
            </w:r>
          </w:p>
        </w:tc>
        <w:tc>
          <w:tcPr>
            <w:tcW w:w="1588" w:type="dxa"/>
            <w:tcBorders>
              <w:left w:val="nil"/>
              <w:bottom w:val="single" w:sz="4" w:space="0" w:color="auto"/>
              <w:right w:val="nil"/>
            </w:tcBorders>
          </w:tcPr>
          <w:p w14:paraId="0E676382"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t</w:t>
            </w:r>
          </w:p>
        </w:tc>
        <w:tc>
          <w:tcPr>
            <w:tcW w:w="1588" w:type="dxa"/>
            <w:tcBorders>
              <w:left w:val="nil"/>
              <w:bottom w:val="single" w:sz="4" w:space="0" w:color="auto"/>
            </w:tcBorders>
          </w:tcPr>
          <w:p w14:paraId="2F6124BB"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p</w:t>
            </w:r>
          </w:p>
        </w:tc>
      </w:tr>
      <w:tr w:rsidR="004F0C95" w:rsidRPr="009A4995" w14:paraId="177C9521" w14:textId="77777777" w:rsidTr="0017223B">
        <w:tc>
          <w:tcPr>
            <w:tcW w:w="3402" w:type="dxa"/>
            <w:tcBorders>
              <w:bottom w:val="nil"/>
              <w:right w:val="nil"/>
            </w:tcBorders>
            <w:vAlign w:val="center"/>
          </w:tcPr>
          <w:p w14:paraId="4DA9AA9F"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Intercept</w:t>
            </w:r>
          </w:p>
        </w:tc>
        <w:tc>
          <w:tcPr>
            <w:tcW w:w="1588" w:type="dxa"/>
            <w:tcBorders>
              <w:left w:val="nil"/>
              <w:bottom w:val="nil"/>
              <w:right w:val="nil"/>
            </w:tcBorders>
            <w:vAlign w:val="center"/>
          </w:tcPr>
          <w:p w14:paraId="0103857C"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-3.60</w:t>
            </w:r>
          </w:p>
        </w:tc>
        <w:tc>
          <w:tcPr>
            <w:tcW w:w="1588" w:type="dxa"/>
            <w:tcBorders>
              <w:left w:val="nil"/>
              <w:bottom w:val="nil"/>
              <w:right w:val="nil"/>
            </w:tcBorders>
            <w:vAlign w:val="center"/>
          </w:tcPr>
          <w:p w14:paraId="7F2492DA"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2.03</w:t>
            </w:r>
          </w:p>
        </w:tc>
        <w:tc>
          <w:tcPr>
            <w:tcW w:w="1588" w:type="dxa"/>
            <w:tcBorders>
              <w:left w:val="nil"/>
              <w:bottom w:val="nil"/>
              <w:right w:val="nil"/>
            </w:tcBorders>
            <w:vAlign w:val="center"/>
          </w:tcPr>
          <w:p w14:paraId="3922A6DD"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-1.77</w:t>
            </w:r>
          </w:p>
        </w:tc>
        <w:tc>
          <w:tcPr>
            <w:tcW w:w="1588" w:type="dxa"/>
            <w:tcBorders>
              <w:left w:val="nil"/>
              <w:bottom w:val="nil"/>
            </w:tcBorders>
            <w:vAlign w:val="center"/>
          </w:tcPr>
          <w:p w14:paraId="0168406F"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0.09</w:t>
            </w:r>
          </w:p>
        </w:tc>
      </w:tr>
      <w:tr w:rsidR="004F0C95" w:rsidRPr="009A4995" w14:paraId="05EB9B05" w14:textId="77777777" w:rsidTr="0017223B">
        <w:tc>
          <w:tcPr>
            <w:tcW w:w="3402" w:type="dxa"/>
            <w:tcBorders>
              <w:top w:val="nil"/>
              <w:right w:val="nil"/>
            </w:tcBorders>
            <w:vAlign w:val="center"/>
          </w:tcPr>
          <w:p w14:paraId="2171CC50"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Connectivity gradient linear effect</w:t>
            </w:r>
          </w:p>
        </w:tc>
        <w:tc>
          <w:tcPr>
            <w:tcW w:w="1588" w:type="dxa"/>
            <w:tcBorders>
              <w:top w:val="nil"/>
              <w:left w:val="nil"/>
              <w:right w:val="nil"/>
            </w:tcBorders>
            <w:vAlign w:val="center"/>
          </w:tcPr>
          <w:p w14:paraId="25B7D651"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0.28</w:t>
            </w:r>
          </w:p>
        </w:tc>
        <w:tc>
          <w:tcPr>
            <w:tcW w:w="1588" w:type="dxa"/>
            <w:tcBorders>
              <w:top w:val="nil"/>
              <w:left w:val="nil"/>
              <w:right w:val="nil"/>
            </w:tcBorders>
            <w:vAlign w:val="center"/>
          </w:tcPr>
          <w:p w14:paraId="18A5BAEE"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0.10</w:t>
            </w:r>
          </w:p>
        </w:tc>
        <w:tc>
          <w:tcPr>
            <w:tcW w:w="1588" w:type="dxa"/>
            <w:tcBorders>
              <w:top w:val="nil"/>
              <w:left w:val="nil"/>
              <w:right w:val="nil"/>
            </w:tcBorders>
            <w:vAlign w:val="center"/>
          </w:tcPr>
          <w:p w14:paraId="290101F5"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2.72</w:t>
            </w:r>
          </w:p>
        </w:tc>
        <w:tc>
          <w:tcPr>
            <w:tcW w:w="1588" w:type="dxa"/>
            <w:tcBorders>
              <w:top w:val="nil"/>
              <w:left w:val="nil"/>
            </w:tcBorders>
            <w:vAlign w:val="center"/>
          </w:tcPr>
          <w:p w14:paraId="26B4ECC2"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0.01</w:t>
            </w:r>
          </w:p>
        </w:tc>
      </w:tr>
    </w:tbl>
    <w:p w14:paraId="3AA6C40E" w14:textId="77777777" w:rsidR="004F0C95" w:rsidRPr="009A4995" w:rsidRDefault="004F0C95" w:rsidP="004F0C95">
      <w:pPr>
        <w:spacing w:before="100" w:beforeAutospacing="1" w:after="100" w:afterAutospacing="1" w:line="480" w:lineRule="auto"/>
        <w:jc w:val="both"/>
        <w:rPr>
          <w:rFonts w:ascii="Arial" w:hAnsi="Arial" w:cs="Arial"/>
          <w:sz w:val="20"/>
          <w:szCs w:val="20"/>
        </w:rPr>
      </w:pPr>
      <w:r w:rsidRPr="009A4995">
        <w:rPr>
          <w:rFonts w:ascii="Arial" w:hAnsi="Arial" w:cs="Arial"/>
          <w:b/>
          <w:sz w:val="20"/>
          <w:szCs w:val="20"/>
        </w:rPr>
        <w:lastRenderedPageBreak/>
        <w:t>Table S4:</w:t>
      </w:r>
      <w:r w:rsidRPr="009A4995">
        <w:rPr>
          <w:rFonts w:ascii="Arial" w:hAnsi="Arial" w:cs="Arial"/>
          <w:sz w:val="20"/>
          <w:szCs w:val="20"/>
        </w:rPr>
        <w:t xml:space="preserve"> Relationship between connectivity and task gradient for matching trials examined using linear mixed effects modelling using 20 bins. Table of random effects.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2886"/>
        <w:gridCol w:w="2869"/>
      </w:tblGrid>
      <w:tr w:rsidR="004F0C95" w:rsidRPr="009A4995" w14:paraId="7625AB27" w14:textId="77777777" w:rsidTr="0017223B">
        <w:tc>
          <w:tcPr>
            <w:tcW w:w="3005" w:type="dxa"/>
            <w:tcBorders>
              <w:top w:val="single" w:sz="4" w:space="0" w:color="auto"/>
              <w:bottom w:val="single" w:sz="4" w:space="0" w:color="auto"/>
            </w:tcBorders>
            <w:vAlign w:val="center"/>
          </w:tcPr>
          <w:p w14:paraId="2ABC15E1"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Groups</w:t>
            </w:r>
          </w:p>
        </w:tc>
        <w:tc>
          <w:tcPr>
            <w:tcW w:w="3005" w:type="dxa"/>
            <w:tcBorders>
              <w:top w:val="single" w:sz="4" w:space="0" w:color="auto"/>
              <w:bottom w:val="single" w:sz="4" w:space="0" w:color="auto"/>
            </w:tcBorders>
            <w:vAlign w:val="center"/>
          </w:tcPr>
          <w:p w14:paraId="0CA03128"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Variance</w:t>
            </w:r>
          </w:p>
        </w:tc>
        <w:tc>
          <w:tcPr>
            <w:tcW w:w="3006" w:type="dxa"/>
            <w:tcBorders>
              <w:top w:val="single" w:sz="4" w:space="0" w:color="auto"/>
              <w:bottom w:val="single" w:sz="4" w:space="0" w:color="auto"/>
            </w:tcBorders>
            <w:vAlign w:val="center"/>
          </w:tcPr>
          <w:p w14:paraId="788A8BE4"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SD</w:t>
            </w:r>
          </w:p>
        </w:tc>
      </w:tr>
      <w:tr w:rsidR="004F0C95" w:rsidRPr="009A4995" w14:paraId="19C90010" w14:textId="77777777" w:rsidTr="0017223B">
        <w:tc>
          <w:tcPr>
            <w:tcW w:w="3005" w:type="dxa"/>
            <w:tcBorders>
              <w:top w:val="single" w:sz="4" w:space="0" w:color="auto"/>
            </w:tcBorders>
            <w:vAlign w:val="center"/>
          </w:tcPr>
          <w:p w14:paraId="1E23E4CA"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Subject intercept</w:t>
            </w:r>
          </w:p>
        </w:tc>
        <w:tc>
          <w:tcPr>
            <w:tcW w:w="3005" w:type="dxa"/>
            <w:tcBorders>
              <w:top w:val="single" w:sz="4" w:space="0" w:color="auto"/>
            </w:tcBorders>
            <w:vAlign w:val="center"/>
          </w:tcPr>
          <w:p w14:paraId="620CE954"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82.64</w:t>
            </w:r>
          </w:p>
        </w:tc>
        <w:tc>
          <w:tcPr>
            <w:tcW w:w="3006" w:type="dxa"/>
            <w:tcBorders>
              <w:top w:val="single" w:sz="4" w:space="0" w:color="auto"/>
            </w:tcBorders>
            <w:vAlign w:val="center"/>
          </w:tcPr>
          <w:p w14:paraId="24603474"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9.09</w:t>
            </w:r>
          </w:p>
        </w:tc>
      </w:tr>
      <w:tr w:rsidR="004F0C95" w:rsidRPr="009A4995" w14:paraId="169F046D" w14:textId="77777777" w:rsidTr="0017223B">
        <w:tc>
          <w:tcPr>
            <w:tcW w:w="3005" w:type="dxa"/>
            <w:vAlign w:val="center"/>
          </w:tcPr>
          <w:p w14:paraId="4F1428F3"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Subject slope</w:t>
            </w:r>
          </w:p>
        </w:tc>
        <w:tc>
          <w:tcPr>
            <w:tcW w:w="3005" w:type="dxa"/>
            <w:vAlign w:val="center"/>
          </w:tcPr>
          <w:p w14:paraId="5373C286"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0.14</w:t>
            </w:r>
          </w:p>
        </w:tc>
        <w:tc>
          <w:tcPr>
            <w:tcW w:w="3006" w:type="dxa"/>
            <w:vAlign w:val="center"/>
          </w:tcPr>
          <w:p w14:paraId="1AFA7D20"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0.38</w:t>
            </w:r>
          </w:p>
        </w:tc>
      </w:tr>
      <w:tr w:rsidR="004F0C95" w:rsidRPr="009A4995" w14:paraId="5133235A" w14:textId="77777777" w:rsidTr="0017223B">
        <w:tc>
          <w:tcPr>
            <w:tcW w:w="3005" w:type="dxa"/>
            <w:vAlign w:val="center"/>
          </w:tcPr>
          <w:p w14:paraId="6D798E3B"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Run intercept</w:t>
            </w:r>
          </w:p>
        </w:tc>
        <w:tc>
          <w:tcPr>
            <w:tcW w:w="3005" w:type="dxa"/>
            <w:vAlign w:val="center"/>
          </w:tcPr>
          <w:p w14:paraId="6B5255F5"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2.09</w:t>
            </w:r>
          </w:p>
        </w:tc>
        <w:tc>
          <w:tcPr>
            <w:tcW w:w="3006" w:type="dxa"/>
            <w:vAlign w:val="center"/>
          </w:tcPr>
          <w:p w14:paraId="50B880D4"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1.45</w:t>
            </w:r>
          </w:p>
        </w:tc>
      </w:tr>
      <w:tr w:rsidR="004F0C95" w:rsidRPr="009A4995" w14:paraId="5B0D16A1" w14:textId="77777777" w:rsidTr="0017223B">
        <w:tc>
          <w:tcPr>
            <w:tcW w:w="3005" w:type="dxa"/>
            <w:vAlign w:val="center"/>
          </w:tcPr>
          <w:p w14:paraId="31E00179"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Residual</w:t>
            </w:r>
          </w:p>
        </w:tc>
        <w:tc>
          <w:tcPr>
            <w:tcW w:w="3005" w:type="dxa"/>
            <w:vAlign w:val="center"/>
          </w:tcPr>
          <w:p w14:paraId="79A54742"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447.27</w:t>
            </w:r>
          </w:p>
        </w:tc>
        <w:tc>
          <w:tcPr>
            <w:tcW w:w="3006" w:type="dxa"/>
            <w:vAlign w:val="center"/>
          </w:tcPr>
          <w:p w14:paraId="54ABBA0B"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21.15</w:t>
            </w:r>
          </w:p>
        </w:tc>
      </w:tr>
    </w:tbl>
    <w:p w14:paraId="202A0824"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sz w:val="20"/>
          <w:szCs w:val="20"/>
        </w:rPr>
        <w:t>Note: The random effect of run was not included as this model failed to converge.</w:t>
      </w:r>
    </w:p>
    <w:p w14:paraId="078704E7"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sz w:val="20"/>
          <w:szCs w:val="20"/>
        </w:rPr>
        <w:t xml:space="preserve">Figure S7C and S7D show the effect of the task gradient for non-matching trials in each bin of the connectivity gradient within the semantic mask. In the linear mixed effects analysis, the linear effect of global semantic similarity across bins showed a non-significant trend (t = 1.95, p = 0.06) when dividing all the voxels into 10 bins. There was a significant linear effect of global semantic similarity along the connectivity gradient when this was divided into 20 bins (t = 2.12, p = 0.04). The parameter estimates for these two models are provided in Tables S5, S6, S7 and S8. </w:t>
      </w:r>
    </w:p>
    <w:p w14:paraId="61D3D1C1"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noProof/>
          <w:sz w:val="20"/>
          <w:szCs w:val="20"/>
          <w:lang w:val="en-GB" w:eastAsia="zh-CN"/>
        </w:rPr>
        <w:lastRenderedPageBreak/>
        <w:drawing>
          <wp:inline distT="0" distB="0" distL="0" distR="0" wp14:anchorId="5251F450" wp14:editId="2D169581">
            <wp:extent cx="5486400" cy="3134360"/>
            <wp:effectExtent l="0" t="0" r="0" b="889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3134360"/>
                    </a:xfrm>
                    <a:prstGeom prst="rect">
                      <a:avLst/>
                    </a:prstGeom>
                  </pic:spPr>
                </pic:pic>
              </a:graphicData>
            </a:graphic>
          </wp:inline>
        </w:drawing>
      </w:r>
    </w:p>
    <w:p w14:paraId="1622D007"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b/>
          <w:sz w:val="20"/>
          <w:szCs w:val="20"/>
        </w:rPr>
        <w:t>Figure S7.</w:t>
      </w:r>
      <w:r w:rsidRPr="009A4995">
        <w:rPr>
          <w:rFonts w:ascii="Arial" w:hAnsi="Arial" w:cs="Arial"/>
          <w:sz w:val="20"/>
          <w:szCs w:val="20"/>
        </w:rPr>
        <w:t xml:space="preserve"> A - The connectivity gradient </w:t>
      </w:r>
      <w:r w:rsidRPr="009A4995">
        <w:rPr>
          <w:rFonts w:ascii="Arial" w:hAnsi="Arial" w:cs="Arial"/>
          <w:sz w:val="20"/>
          <w:szCs w:val="20"/>
        </w:rPr>
        <w:fldChar w:fldCharType="begin" w:fldLock="1"/>
      </w:r>
      <w:r w:rsidRPr="009A4995">
        <w:rPr>
          <w:rFonts w:ascii="Arial" w:hAnsi="Arial" w:cs="Arial"/>
          <w:sz w:val="20"/>
          <w:szCs w:val="20"/>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organization","type":"article-journal","volume":"113"},"uris":["http://www.mendeley.com/documents/?uuid=15f00bbc-0ef2-4a4b-aab9-2f6b193aad3d"]}],"mendeley":{"formattedCitation":"(Margulies et al., 2016)","plainTextFormattedCitation":"(Margulies et al., 2016)","previouslyFormattedCitation":"(Margulies et al., 2016)"},"properties":{"noteIndex":0},"schema":"https://github.com/citation-style-language/schema/raw/master/csl-citation.json"}</w:instrText>
      </w:r>
      <w:r w:rsidRPr="009A4995">
        <w:rPr>
          <w:rFonts w:ascii="Arial" w:hAnsi="Arial" w:cs="Arial"/>
          <w:sz w:val="20"/>
          <w:szCs w:val="20"/>
        </w:rPr>
        <w:fldChar w:fldCharType="separate"/>
      </w:r>
      <w:r w:rsidRPr="009A4995">
        <w:rPr>
          <w:rFonts w:ascii="Arial" w:hAnsi="Arial" w:cs="Arial"/>
          <w:noProof/>
          <w:sz w:val="20"/>
          <w:szCs w:val="20"/>
        </w:rPr>
        <w:t>(Margulies et al., 2016)</w:t>
      </w:r>
      <w:r w:rsidRPr="009A4995">
        <w:rPr>
          <w:rFonts w:ascii="Arial" w:hAnsi="Arial" w:cs="Arial"/>
          <w:sz w:val="20"/>
          <w:szCs w:val="20"/>
        </w:rPr>
        <w:fldChar w:fldCharType="end"/>
      </w:r>
      <w:r w:rsidRPr="009A4995">
        <w:rPr>
          <w:rFonts w:ascii="Arial" w:hAnsi="Arial" w:cs="Arial"/>
          <w:sz w:val="20"/>
          <w:szCs w:val="20"/>
        </w:rPr>
        <w:t xml:space="preserve"> within a semantic mask defined using Neurosynth, divided into 20 bins according to gradient value: bin 1 is located towards the unimodal end, while bin 20 is at the heteromodal end of the principal gradient. B - The effect of global semantic similarity (i.e. the task gradient) for matching trials within each bin of the connectivity gradient within the semantic mask, showing that the response to the task changes in an orderly way. C and D - The effect of the task gradient for non-matching trials in each bin of the connectivity gradient within the semantic mask. This is divided into 10 bins and 20 bins, respectively, showing that the response to the task changes in an orderly way.</w:t>
      </w:r>
    </w:p>
    <w:p w14:paraId="50935A22" w14:textId="77777777" w:rsidR="004F0C95" w:rsidRPr="009A4995" w:rsidRDefault="004F0C95" w:rsidP="004F0C95">
      <w:pPr>
        <w:spacing w:before="100" w:beforeAutospacing="1" w:after="100" w:afterAutospacing="1" w:line="480" w:lineRule="auto"/>
        <w:jc w:val="both"/>
        <w:rPr>
          <w:rFonts w:ascii="Arial" w:hAnsi="Arial" w:cs="Arial"/>
          <w:sz w:val="20"/>
          <w:szCs w:val="20"/>
        </w:rPr>
      </w:pPr>
      <w:r w:rsidRPr="009A4995">
        <w:rPr>
          <w:rFonts w:ascii="Arial" w:hAnsi="Arial" w:cs="Arial"/>
          <w:b/>
          <w:sz w:val="20"/>
          <w:szCs w:val="20"/>
        </w:rPr>
        <w:t>Table S5:</w:t>
      </w:r>
      <w:r w:rsidRPr="009A4995">
        <w:rPr>
          <w:rFonts w:ascii="Arial" w:hAnsi="Arial" w:cs="Arial"/>
          <w:sz w:val="20"/>
          <w:szCs w:val="20"/>
        </w:rPr>
        <w:t xml:space="preserve"> Relationship between connectivity and task gradient examined using linear mixed effects modelling using 10 bins for the non-matching trials. Table of fixed effects. </w:t>
      </w:r>
    </w:p>
    <w:tbl>
      <w:tblPr>
        <w:tblStyle w:val="TableGrid"/>
        <w:tblW w:w="9754" w:type="dxa"/>
        <w:tblBorders>
          <w:left w:val="none" w:sz="0" w:space="0" w:color="auto"/>
          <w:right w:val="none" w:sz="0" w:space="0" w:color="auto"/>
        </w:tblBorders>
        <w:tblLook w:val="04A0" w:firstRow="1" w:lastRow="0" w:firstColumn="1" w:lastColumn="0" w:noHBand="0" w:noVBand="1"/>
      </w:tblPr>
      <w:tblGrid>
        <w:gridCol w:w="3402"/>
        <w:gridCol w:w="1588"/>
        <w:gridCol w:w="1588"/>
        <w:gridCol w:w="1588"/>
        <w:gridCol w:w="1588"/>
      </w:tblGrid>
      <w:tr w:rsidR="004F0C95" w:rsidRPr="009A4995" w14:paraId="31C9FD54" w14:textId="77777777" w:rsidTr="0017223B">
        <w:tc>
          <w:tcPr>
            <w:tcW w:w="3402" w:type="dxa"/>
            <w:tcBorders>
              <w:bottom w:val="single" w:sz="4" w:space="0" w:color="auto"/>
              <w:right w:val="nil"/>
            </w:tcBorders>
          </w:tcPr>
          <w:p w14:paraId="3FF5B008"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Parameter</w:t>
            </w:r>
          </w:p>
        </w:tc>
        <w:tc>
          <w:tcPr>
            <w:tcW w:w="1588" w:type="dxa"/>
            <w:tcBorders>
              <w:left w:val="nil"/>
              <w:bottom w:val="single" w:sz="4" w:space="0" w:color="auto"/>
              <w:right w:val="nil"/>
            </w:tcBorders>
          </w:tcPr>
          <w:p w14:paraId="4F6EE90A"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Estimate</w:t>
            </w:r>
          </w:p>
        </w:tc>
        <w:tc>
          <w:tcPr>
            <w:tcW w:w="1588" w:type="dxa"/>
            <w:tcBorders>
              <w:left w:val="nil"/>
              <w:bottom w:val="single" w:sz="4" w:space="0" w:color="auto"/>
              <w:right w:val="nil"/>
            </w:tcBorders>
          </w:tcPr>
          <w:p w14:paraId="6CEEFF12"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Standard Error</w:t>
            </w:r>
          </w:p>
        </w:tc>
        <w:tc>
          <w:tcPr>
            <w:tcW w:w="1588" w:type="dxa"/>
            <w:tcBorders>
              <w:left w:val="nil"/>
              <w:bottom w:val="single" w:sz="4" w:space="0" w:color="auto"/>
              <w:right w:val="nil"/>
            </w:tcBorders>
          </w:tcPr>
          <w:p w14:paraId="27BC3899"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t</w:t>
            </w:r>
          </w:p>
        </w:tc>
        <w:tc>
          <w:tcPr>
            <w:tcW w:w="1588" w:type="dxa"/>
            <w:tcBorders>
              <w:left w:val="nil"/>
              <w:bottom w:val="single" w:sz="4" w:space="0" w:color="auto"/>
            </w:tcBorders>
          </w:tcPr>
          <w:p w14:paraId="7AD3FE26"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p</w:t>
            </w:r>
          </w:p>
        </w:tc>
      </w:tr>
      <w:tr w:rsidR="004F0C95" w:rsidRPr="009A4995" w14:paraId="46A5B138" w14:textId="77777777" w:rsidTr="0017223B">
        <w:tc>
          <w:tcPr>
            <w:tcW w:w="3402" w:type="dxa"/>
            <w:tcBorders>
              <w:bottom w:val="nil"/>
              <w:right w:val="nil"/>
            </w:tcBorders>
            <w:vAlign w:val="center"/>
          </w:tcPr>
          <w:p w14:paraId="2D084D5E"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Intercept</w:t>
            </w:r>
          </w:p>
        </w:tc>
        <w:tc>
          <w:tcPr>
            <w:tcW w:w="1588" w:type="dxa"/>
            <w:tcBorders>
              <w:left w:val="nil"/>
              <w:bottom w:val="nil"/>
              <w:right w:val="nil"/>
            </w:tcBorders>
            <w:vAlign w:val="center"/>
          </w:tcPr>
          <w:p w14:paraId="328CDE6C"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-4.27</w:t>
            </w:r>
          </w:p>
        </w:tc>
        <w:tc>
          <w:tcPr>
            <w:tcW w:w="1588" w:type="dxa"/>
            <w:tcBorders>
              <w:left w:val="nil"/>
              <w:bottom w:val="nil"/>
              <w:right w:val="nil"/>
            </w:tcBorders>
            <w:vAlign w:val="center"/>
          </w:tcPr>
          <w:p w14:paraId="613DB5D1"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5.31</w:t>
            </w:r>
          </w:p>
        </w:tc>
        <w:tc>
          <w:tcPr>
            <w:tcW w:w="1588" w:type="dxa"/>
            <w:tcBorders>
              <w:left w:val="nil"/>
              <w:bottom w:val="nil"/>
              <w:right w:val="nil"/>
            </w:tcBorders>
            <w:vAlign w:val="center"/>
          </w:tcPr>
          <w:p w14:paraId="1774F1F0"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-0.80</w:t>
            </w:r>
          </w:p>
        </w:tc>
        <w:tc>
          <w:tcPr>
            <w:tcW w:w="1588" w:type="dxa"/>
            <w:tcBorders>
              <w:left w:val="nil"/>
              <w:bottom w:val="nil"/>
            </w:tcBorders>
            <w:vAlign w:val="center"/>
          </w:tcPr>
          <w:p w14:paraId="7C7243F3"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0.42</w:t>
            </w:r>
          </w:p>
        </w:tc>
      </w:tr>
      <w:tr w:rsidR="004F0C95" w:rsidRPr="009A4995" w14:paraId="7299EB71" w14:textId="77777777" w:rsidTr="0017223B">
        <w:tc>
          <w:tcPr>
            <w:tcW w:w="3402" w:type="dxa"/>
            <w:tcBorders>
              <w:top w:val="nil"/>
              <w:right w:val="nil"/>
            </w:tcBorders>
            <w:vAlign w:val="center"/>
          </w:tcPr>
          <w:p w14:paraId="5D8C9991"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Connectivity gradient linear effect</w:t>
            </w:r>
          </w:p>
        </w:tc>
        <w:tc>
          <w:tcPr>
            <w:tcW w:w="1588" w:type="dxa"/>
            <w:tcBorders>
              <w:top w:val="nil"/>
              <w:left w:val="nil"/>
              <w:right w:val="nil"/>
            </w:tcBorders>
            <w:vAlign w:val="center"/>
          </w:tcPr>
          <w:p w14:paraId="75EC42EA"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1.40</w:t>
            </w:r>
          </w:p>
        </w:tc>
        <w:tc>
          <w:tcPr>
            <w:tcW w:w="1588" w:type="dxa"/>
            <w:tcBorders>
              <w:top w:val="nil"/>
              <w:left w:val="nil"/>
              <w:right w:val="nil"/>
            </w:tcBorders>
            <w:vAlign w:val="center"/>
          </w:tcPr>
          <w:p w14:paraId="03CFF2CA"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0.72</w:t>
            </w:r>
          </w:p>
        </w:tc>
        <w:tc>
          <w:tcPr>
            <w:tcW w:w="1588" w:type="dxa"/>
            <w:tcBorders>
              <w:top w:val="nil"/>
              <w:left w:val="nil"/>
              <w:right w:val="nil"/>
            </w:tcBorders>
            <w:vAlign w:val="center"/>
          </w:tcPr>
          <w:p w14:paraId="5BA1D286"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1.95</w:t>
            </w:r>
          </w:p>
        </w:tc>
        <w:tc>
          <w:tcPr>
            <w:tcW w:w="1588" w:type="dxa"/>
            <w:tcBorders>
              <w:top w:val="nil"/>
              <w:left w:val="nil"/>
            </w:tcBorders>
            <w:vAlign w:val="center"/>
          </w:tcPr>
          <w:p w14:paraId="6A163FC9"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0.06</w:t>
            </w:r>
          </w:p>
        </w:tc>
      </w:tr>
    </w:tbl>
    <w:p w14:paraId="15EA3DB2" w14:textId="77777777" w:rsidR="004F0C95" w:rsidRPr="009A4995" w:rsidRDefault="004F0C95" w:rsidP="004F0C95">
      <w:pPr>
        <w:spacing w:before="100" w:beforeAutospacing="1" w:after="100" w:afterAutospacing="1" w:line="480" w:lineRule="auto"/>
        <w:jc w:val="both"/>
        <w:rPr>
          <w:rFonts w:ascii="Arial" w:hAnsi="Arial" w:cs="Arial"/>
          <w:sz w:val="20"/>
          <w:szCs w:val="20"/>
        </w:rPr>
      </w:pPr>
      <w:r w:rsidRPr="009A4995">
        <w:rPr>
          <w:rFonts w:ascii="Arial" w:hAnsi="Arial" w:cs="Arial"/>
          <w:b/>
          <w:sz w:val="20"/>
          <w:szCs w:val="20"/>
        </w:rPr>
        <w:lastRenderedPageBreak/>
        <w:t>Table S6:</w:t>
      </w:r>
      <w:r w:rsidRPr="009A4995">
        <w:rPr>
          <w:rFonts w:ascii="Arial" w:hAnsi="Arial" w:cs="Arial"/>
          <w:sz w:val="20"/>
          <w:szCs w:val="20"/>
        </w:rPr>
        <w:t xml:space="preserve"> Relationship between connectivity and task gradient examined using linear mixed effects modelling using 10 bins for the non-matching trials. Table of random effects.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2886"/>
        <w:gridCol w:w="2869"/>
      </w:tblGrid>
      <w:tr w:rsidR="004F0C95" w:rsidRPr="009A4995" w14:paraId="18790CB3" w14:textId="77777777" w:rsidTr="0017223B">
        <w:tc>
          <w:tcPr>
            <w:tcW w:w="2885" w:type="dxa"/>
            <w:tcBorders>
              <w:top w:val="single" w:sz="4" w:space="0" w:color="auto"/>
              <w:bottom w:val="single" w:sz="4" w:space="0" w:color="auto"/>
            </w:tcBorders>
            <w:vAlign w:val="center"/>
          </w:tcPr>
          <w:p w14:paraId="564DA204"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Groups</w:t>
            </w:r>
          </w:p>
        </w:tc>
        <w:tc>
          <w:tcPr>
            <w:tcW w:w="2886" w:type="dxa"/>
            <w:tcBorders>
              <w:top w:val="single" w:sz="4" w:space="0" w:color="auto"/>
              <w:bottom w:val="single" w:sz="4" w:space="0" w:color="auto"/>
            </w:tcBorders>
            <w:vAlign w:val="center"/>
          </w:tcPr>
          <w:p w14:paraId="7B4D50CF"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Variance</w:t>
            </w:r>
          </w:p>
        </w:tc>
        <w:tc>
          <w:tcPr>
            <w:tcW w:w="2869" w:type="dxa"/>
            <w:tcBorders>
              <w:top w:val="single" w:sz="4" w:space="0" w:color="auto"/>
              <w:bottom w:val="single" w:sz="4" w:space="0" w:color="auto"/>
            </w:tcBorders>
            <w:vAlign w:val="center"/>
          </w:tcPr>
          <w:p w14:paraId="602221D7"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SD</w:t>
            </w:r>
          </w:p>
        </w:tc>
      </w:tr>
      <w:tr w:rsidR="004F0C95" w:rsidRPr="009A4995" w14:paraId="10968312" w14:textId="77777777" w:rsidTr="0017223B">
        <w:tc>
          <w:tcPr>
            <w:tcW w:w="2885" w:type="dxa"/>
            <w:tcBorders>
              <w:top w:val="single" w:sz="4" w:space="0" w:color="auto"/>
            </w:tcBorders>
            <w:vAlign w:val="center"/>
          </w:tcPr>
          <w:p w14:paraId="76E8EF76"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Subject intercept</w:t>
            </w:r>
          </w:p>
        </w:tc>
        <w:tc>
          <w:tcPr>
            <w:tcW w:w="2886" w:type="dxa"/>
            <w:tcBorders>
              <w:top w:val="single" w:sz="4" w:space="0" w:color="auto"/>
            </w:tcBorders>
            <w:vAlign w:val="center"/>
          </w:tcPr>
          <w:p w14:paraId="61378A29"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393.26</w:t>
            </w:r>
          </w:p>
        </w:tc>
        <w:tc>
          <w:tcPr>
            <w:tcW w:w="2869" w:type="dxa"/>
            <w:tcBorders>
              <w:top w:val="single" w:sz="4" w:space="0" w:color="auto"/>
            </w:tcBorders>
            <w:vAlign w:val="center"/>
          </w:tcPr>
          <w:p w14:paraId="2ABC3052"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19.83</w:t>
            </w:r>
          </w:p>
        </w:tc>
      </w:tr>
      <w:tr w:rsidR="004F0C95" w:rsidRPr="009A4995" w14:paraId="646EAF97" w14:textId="77777777" w:rsidTr="0017223B">
        <w:tc>
          <w:tcPr>
            <w:tcW w:w="2885" w:type="dxa"/>
            <w:vAlign w:val="center"/>
          </w:tcPr>
          <w:p w14:paraId="792F15BD"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Subject slope</w:t>
            </w:r>
          </w:p>
        </w:tc>
        <w:tc>
          <w:tcPr>
            <w:tcW w:w="2886" w:type="dxa"/>
            <w:vAlign w:val="center"/>
          </w:tcPr>
          <w:p w14:paraId="1E61E973"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3.74</w:t>
            </w:r>
          </w:p>
        </w:tc>
        <w:tc>
          <w:tcPr>
            <w:tcW w:w="2869" w:type="dxa"/>
            <w:vAlign w:val="center"/>
          </w:tcPr>
          <w:p w14:paraId="2D45A8EF"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1.94</w:t>
            </w:r>
          </w:p>
        </w:tc>
      </w:tr>
      <w:tr w:rsidR="004F0C95" w:rsidRPr="009A4995" w14:paraId="3314135C" w14:textId="77777777" w:rsidTr="0017223B">
        <w:tc>
          <w:tcPr>
            <w:tcW w:w="2885" w:type="dxa"/>
            <w:vAlign w:val="center"/>
          </w:tcPr>
          <w:p w14:paraId="05531ABC"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Residual</w:t>
            </w:r>
          </w:p>
        </w:tc>
        <w:tc>
          <w:tcPr>
            <w:tcW w:w="2886" w:type="dxa"/>
            <w:vAlign w:val="center"/>
          </w:tcPr>
          <w:p w14:paraId="603560D5"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3769.77</w:t>
            </w:r>
          </w:p>
        </w:tc>
        <w:tc>
          <w:tcPr>
            <w:tcW w:w="2869" w:type="dxa"/>
            <w:vAlign w:val="center"/>
          </w:tcPr>
          <w:p w14:paraId="7AD0B09B"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61.40</w:t>
            </w:r>
          </w:p>
        </w:tc>
      </w:tr>
    </w:tbl>
    <w:p w14:paraId="24377D60" w14:textId="77777777" w:rsidR="004F0C95" w:rsidRPr="009A4995" w:rsidRDefault="004F0C95" w:rsidP="004F0C95">
      <w:pPr>
        <w:spacing w:before="100" w:beforeAutospacing="1" w:after="100" w:afterAutospacing="1" w:line="480" w:lineRule="auto"/>
        <w:rPr>
          <w:rFonts w:ascii="Arial" w:hAnsi="Arial" w:cs="Arial"/>
          <w:sz w:val="20"/>
          <w:szCs w:val="20"/>
        </w:rPr>
      </w:pPr>
      <w:r w:rsidRPr="009A4995">
        <w:rPr>
          <w:rFonts w:ascii="Arial" w:hAnsi="Arial" w:cs="Arial"/>
          <w:sz w:val="20"/>
          <w:szCs w:val="20"/>
        </w:rPr>
        <w:t>Note: The random effect of run was not included as this model failed to converge.</w:t>
      </w:r>
    </w:p>
    <w:p w14:paraId="7FD19441" w14:textId="77777777" w:rsidR="004F0C95" w:rsidRPr="009A4995" w:rsidRDefault="004F0C95" w:rsidP="004F0C95">
      <w:pPr>
        <w:spacing w:before="100" w:beforeAutospacing="1" w:after="100" w:afterAutospacing="1" w:line="480" w:lineRule="auto"/>
        <w:jc w:val="both"/>
        <w:rPr>
          <w:rFonts w:ascii="Arial" w:hAnsi="Arial" w:cs="Arial"/>
          <w:sz w:val="20"/>
          <w:szCs w:val="20"/>
        </w:rPr>
      </w:pPr>
      <w:r w:rsidRPr="009A4995">
        <w:rPr>
          <w:rFonts w:ascii="Arial" w:hAnsi="Arial" w:cs="Arial"/>
          <w:b/>
          <w:sz w:val="20"/>
          <w:szCs w:val="20"/>
        </w:rPr>
        <w:t>Table S7:</w:t>
      </w:r>
      <w:r w:rsidRPr="009A4995">
        <w:rPr>
          <w:rFonts w:ascii="Arial" w:hAnsi="Arial" w:cs="Arial"/>
          <w:sz w:val="20"/>
          <w:szCs w:val="20"/>
        </w:rPr>
        <w:t xml:space="preserve"> Relationship between connectivity and task gradient examined using linear mixed effects modelling using 20 bins for the non-matching trials. Table of fixed effects. </w:t>
      </w:r>
    </w:p>
    <w:tbl>
      <w:tblPr>
        <w:tblStyle w:val="TableGrid"/>
        <w:tblW w:w="9754" w:type="dxa"/>
        <w:tblBorders>
          <w:left w:val="none" w:sz="0" w:space="0" w:color="auto"/>
          <w:right w:val="none" w:sz="0" w:space="0" w:color="auto"/>
        </w:tblBorders>
        <w:tblLook w:val="04A0" w:firstRow="1" w:lastRow="0" w:firstColumn="1" w:lastColumn="0" w:noHBand="0" w:noVBand="1"/>
      </w:tblPr>
      <w:tblGrid>
        <w:gridCol w:w="3402"/>
        <w:gridCol w:w="1588"/>
        <w:gridCol w:w="1588"/>
        <w:gridCol w:w="1588"/>
        <w:gridCol w:w="1588"/>
      </w:tblGrid>
      <w:tr w:rsidR="004F0C95" w:rsidRPr="009A4995" w14:paraId="6AC1DAA5" w14:textId="77777777" w:rsidTr="0017223B">
        <w:tc>
          <w:tcPr>
            <w:tcW w:w="3402" w:type="dxa"/>
            <w:tcBorders>
              <w:bottom w:val="single" w:sz="4" w:space="0" w:color="auto"/>
              <w:right w:val="nil"/>
            </w:tcBorders>
          </w:tcPr>
          <w:p w14:paraId="26316D4A"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Parameter</w:t>
            </w:r>
          </w:p>
        </w:tc>
        <w:tc>
          <w:tcPr>
            <w:tcW w:w="1588" w:type="dxa"/>
            <w:tcBorders>
              <w:left w:val="nil"/>
              <w:bottom w:val="single" w:sz="4" w:space="0" w:color="auto"/>
              <w:right w:val="nil"/>
            </w:tcBorders>
          </w:tcPr>
          <w:p w14:paraId="513A641B"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Estimate</w:t>
            </w:r>
          </w:p>
        </w:tc>
        <w:tc>
          <w:tcPr>
            <w:tcW w:w="1588" w:type="dxa"/>
            <w:tcBorders>
              <w:left w:val="nil"/>
              <w:bottom w:val="single" w:sz="4" w:space="0" w:color="auto"/>
              <w:right w:val="nil"/>
            </w:tcBorders>
          </w:tcPr>
          <w:p w14:paraId="481F50CD"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Standard Error</w:t>
            </w:r>
          </w:p>
        </w:tc>
        <w:tc>
          <w:tcPr>
            <w:tcW w:w="1588" w:type="dxa"/>
            <w:tcBorders>
              <w:left w:val="nil"/>
              <w:bottom w:val="single" w:sz="4" w:space="0" w:color="auto"/>
              <w:right w:val="nil"/>
            </w:tcBorders>
          </w:tcPr>
          <w:p w14:paraId="746B9F03"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t</w:t>
            </w:r>
          </w:p>
        </w:tc>
        <w:tc>
          <w:tcPr>
            <w:tcW w:w="1588" w:type="dxa"/>
            <w:tcBorders>
              <w:left w:val="nil"/>
              <w:bottom w:val="single" w:sz="4" w:space="0" w:color="auto"/>
            </w:tcBorders>
          </w:tcPr>
          <w:p w14:paraId="5FC02E6C"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p</w:t>
            </w:r>
          </w:p>
        </w:tc>
      </w:tr>
      <w:tr w:rsidR="004F0C95" w:rsidRPr="009A4995" w14:paraId="5AB15A17" w14:textId="77777777" w:rsidTr="0017223B">
        <w:tc>
          <w:tcPr>
            <w:tcW w:w="3402" w:type="dxa"/>
            <w:tcBorders>
              <w:bottom w:val="nil"/>
              <w:right w:val="nil"/>
            </w:tcBorders>
            <w:vAlign w:val="center"/>
          </w:tcPr>
          <w:p w14:paraId="29EDDDFC"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Intercept</w:t>
            </w:r>
          </w:p>
        </w:tc>
        <w:tc>
          <w:tcPr>
            <w:tcW w:w="1588" w:type="dxa"/>
            <w:tcBorders>
              <w:left w:val="nil"/>
              <w:bottom w:val="nil"/>
              <w:right w:val="nil"/>
            </w:tcBorders>
            <w:vAlign w:val="center"/>
          </w:tcPr>
          <w:p w14:paraId="2569D18F"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-4.09</w:t>
            </w:r>
          </w:p>
        </w:tc>
        <w:tc>
          <w:tcPr>
            <w:tcW w:w="1588" w:type="dxa"/>
            <w:tcBorders>
              <w:left w:val="nil"/>
              <w:bottom w:val="nil"/>
              <w:right w:val="nil"/>
            </w:tcBorders>
            <w:vAlign w:val="center"/>
          </w:tcPr>
          <w:p w14:paraId="67991996"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5.05</w:t>
            </w:r>
          </w:p>
        </w:tc>
        <w:tc>
          <w:tcPr>
            <w:tcW w:w="1588" w:type="dxa"/>
            <w:tcBorders>
              <w:left w:val="nil"/>
              <w:bottom w:val="nil"/>
              <w:right w:val="nil"/>
            </w:tcBorders>
            <w:vAlign w:val="center"/>
          </w:tcPr>
          <w:p w14:paraId="777789FF"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-0.81</w:t>
            </w:r>
          </w:p>
        </w:tc>
        <w:tc>
          <w:tcPr>
            <w:tcW w:w="1588" w:type="dxa"/>
            <w:tcBorders>
              <w:left w:val="nil"/>
              <w:bottom w:val="nil"/>
            </w:tcBorders>
            <w:vAlign w:val="center"/>
          </w:tcPr>
          <w:p w14:paraId="3FF5FB2A"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0.42</w:t>
            </w:r>
          </w:p>
        </w:tc>
      </w:tr>
      <w:tr w:rsidR="004F0C95" w:rsidRPr="009A4995" w14:paraId="2EF19B32" w14:textId="77777777" w:rsidTr="0017223B">
        <w:tc>
          <w:tcPr>
            <w:tcW w:w="3402" w:type="dxa"/>
            <w:tcBorders>
              <w:top w:val="nil"/>
              <w:right w:val="nil"/>
            </w:tcBorders>
            <w:vAlign w:val="center"/>
          </w:tcPr>
          <w:p w14:paraId="60DA0A68"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Connectivity gradient linear effect</w:t>
            </w:r>
          </w:p>
        </w:tc>
        <w:tc>
          <w:tcPr>
            <w:tcW w:w="1588" w:type="dxa"/>
            <w:tcBorders>
              <w:top w:val="nil"/>
              <w:left w:val="nil"/>
              <w:right w:val="nil"/>
            </w:tcBorders>
            <w:vAlign w:val="center"/>
          </w:tcPr>
          <w:p w14:paraId="27CE20C2"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0.73</w:t>
            </w:r>
          </w:p>
        </w:tc>
        <w:tc>
          <w:tcPr>
            <w:tcW w:w="1588" w:type="dxa"/>
            <w:tcBorders>
              <w:top w:val="nil"/>
              <w:left w:val="nil"/>
              <w:right w:val="nil"/>
            </w:tcBorders>
            <w:vAlign w:val="center"/>
          </w:tcPr>
          <w:p w14:paraId="29CB7850"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0.34</w:t>
            </w:r>
          </w:p>
        </w:tc>
        <w:tc>
          <w:tcPr>
            <w:tcW w:w="1588" w:type="dxa"/>
            <w:tcBorders>
              <w:top w:val="nil"/>
              <w:left w:val="nil"/>
              <w:right w:val="nil"/>
            </w:tcBorders>
            <w:vAlign w:val="center"/>
          </w:tcPr>
          <w:p w14:paraId="7DD353A0"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2.12</w:t>
            </w:r>
          </w:p>
        </w:tc>
        <w:tc>
          <w:tcPr>
            <w:tcW w:w="1588" w:type="dxa"/>
            <w:tcBorders>
              <w:top w:val="nil"/>
              <w:left w:val="nil"/>
            </w:tcBorders>
            <w:vAlign w:val="center"/>
          </w:tcPr>
          <w:p w14:paraId="2F3C14AA"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0.04</w:t>
            </w:r>
          </w:p>
        </w:tc>
      </w:tr>
    </w:tbl>
    <w:p w14:paraId="05DB940D" w14:textId="77777777" w:rsidR="004F0C95" w:rsidRPr="009A4995" w:rsidRDefault="004F0C95" w:rsidP="004F0C95">
      <w:pPr>
        <w:spacing w:before="100" w:beforeAutospacing="1" w:after="100" w:afterAutospacing="1" w:line="480" w:lineRule="auto"/>
        <w:jc w:val="both"/>
        <w:rPr>
          <w:rFonts w:ascii="Arial" w:hAnsi="Arial" w:cs="Arial"/>
          <w:sz w:val="20"/>
          <w:szCs w:val="20"/>
        </w:rPr>
      </w:pPr>
      <w:r w:rsidRPr="009A4995">
        <w:rPr>
          <w:rFonts w:ascii="Arial" w:hAnsi="Arial" w:cs="Arial"/>
          <w:b/>
          <w:sz w:val="20"/>
          <w:szCs w:val="20"/>
        </w:rPr>
        <w:t>Table S8:</w:t>
      </w:r>
      <w:r w:rsidRPr="009A4995">
        <w:rPr>
          <w:rFonts w:ascii="Arial" w:hAnsi="Arial" w:cs="Arial"/>
          <w:sz w:val="20"/>
          <w:szCs w:val="20"/>
        </w:rPr>
        <w:t xml:space="preserve"> Relationship between connectivity and task gradient examined using linear mixed effects modelling using 20 bins for the non-matching trials. Table of random effects.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2886"/>
        <w:gridCol w:w="2869"/>
      </w:tblGrid>
      <w:tr w:rsidR="004F0C95" w:rsidRPr="009A4995" w14:paraId="34843529" w14:textId="77777777" w:rsidTr="0017223B">
        <w:tc>
          <w:tcPr>
            <w:tcW w:w="3005" w:type="dxa"/>
            <w:tcBorders>
              <w:top w:val="single" w:sz="4" w:space="0" w:color="auto"/>
              <w:bottom w:val="single" w:sz="4" w:space="0" w:color="auto"/>
            </w:tcBorders>
            <w:vAlign w:val="center"/>
          </w:tcPr>
          <w:p w14:paraId="53CB63C1"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Groups</w:t>
            </w:r>
          </w:p>
        </w:tc>
        <w:tc>
          <w:tcPr>
            <w:tcW w:w="3005" w:type="dxa"/>
            <w:tcBorders>
              <w:top w:val="single" w:sz="4" w:space="0" w:color="auto"/>
              <w:bottom w:val="single" w:sz="4" w:space="0" w:color="auto"/>
            </w:tcBorders>
            <w:vAlign w:val="center"/>
          </w:tcPr>
          <w:p w14:paraId="3CBEC352"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Variance</w:t>
            </w:r>
          </w:p>
        </w:tc>
        <w:tc>
          <w:tcPr>
            <w:tcW w:w="3006" w:type="dxa"/>
            <w:tcBorders>
              <w:top w:val="single" w:sz="4" w:space="0" w:color="auto"/>
              <w:bottom w:val="single" w:sz="4" w:space="0" w:color="auto"/>
            </w:tcBorders>
            <w:vAlign w:val="center"/>
          </w:tcPr>
          <w:p w14:paraId="7D580351"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SD</w:t>
            </w:r>
          </w:p>
        </w:tc>
      </w:tr>
      <w:tr w:rsidR="004F0C95" w:rsidRPr="009A4995" w14:paraId="133A299C" w14:textId="77777777" w:rsidTr="0017223B">
        <w:tc>
          <w:tcPr>
            <w:tcW w:w="3005" w:type="dxa"/>
            <w:tcBorders>
              <w:top w:val="single" w:sz="4" w:space="0" w:color="auto"/>
            </w:tcBorders>
            <w:vAlign w:val="center"/>
          </w:tcPr>
          <w:p w14:paraId="4EF82DC0"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Subject intercept</w:t>
            </w:r>
          </w:p>
        </w:tc>
        <w:tc>
          <w:tcPr>
            <w:tcW w:w="3005" w:type="dxa"/>
            <w:tcBorders>
              <w:top w:val="single" w:sz="4" w:space="0" w:color="auto"/>
            </w:tcBorders>
            <w:vAlign w:val="center"/>
          </w:tcPr>
          <w:p w14:paraId="22000002"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501.27</w:t>
            </w:r>
          </w:p>
        </w:tc>
        <w:tc>
          <w:tcPr>
            <w:tcW w:w="3006" w:type="dxa"/>
            <w:tcBorders>
              <w:top w:val="single" w:sz="4" w:space="0" w:color="auto"/>
            </w:tcBorders>
            <w:vAlign w:val="center"/>
          </w:tcPr>
          <w:p w14:paraId="750D1DB9"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22.39</w:t>
            </w:r>
          </w:p>
        </w:tc>
      </w:tr>
      <w:tr w:rsidR="004F0C95" w:rsidRPr="009A4995" w14:paraId="0B464E5D" w14:textId="77777777" w:rsidTr="0017223B">
        <w:tc>
          <w:tcPr>
            <w:tcW w:w="3005" w:type="dxa"/>
            <w:vAlign w:val="center"/>
          </w:tcPr>
          <w:p w14:paraId="395B12A0"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Subject slope</w:t>
            </w:r>
          </w:p>
        </w:tc>
        <w:tc>
          <w:tcPr>
            <w:tcW w:w="3005" w:type="dxa"/>
            <w:vAlign w:val="center"/>
          </w:tcPr>
          <w:p w14:paraId="75E64C81"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2.04</w:t>
            </w:r>
          </w:p>
        </w:tc>
        <w:tc>
          <w:tcPr>
            <w:tcW w:w="3006" w:type="dxa"/>
            <w:vAlign w:val="center"/>
          </w:tcPr>
          <w:p w14:paraId="1F11DC8A"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1.43</w:t>
            </w:r>
          </w:p>
        </w:tc>
      </w:tr>
      <w:tr w:rsidR="004F0C95" w:rsidRPr="009A4995" w14:paraId="01BBD8C0" w14:textId="77777777" w:rsidTr="0017223B">
        <w:tc>
          <w:tcPr>
            <w:tcW w:w="3005" w:type="dxa"/>
            <w:vAlign w:val="center"/>
          </w:tcPr>
          <w:p w14:paraId="2338EA0D"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Run intercept</w:t>
            </w:r>
          </w:p>
        </w:tc>
        <w:tc>
          <w:tcPr>
            <w:tcW w:w="3005" w:type="dxa"/>
            <w:vAlign w:val="center"/>
          </w:tcPr>
          <w:p w14:paraId="5977CB43"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6.63</w:t>
            </w:r>
          </w:p>
        </w:tc>
        <w:tc>
          <w:tcPr>
            <w:tcW w:w="3006" w:type="dxa"/>
            <w:vAlign w:val="center"/>
          </w:tcPr>
          <w:p w14:paraId="63BDC1AC"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2.58</w:t>
            </w:r>
          </w:p>
        </w:tc>
      </w:tr>
      <w:tr w:rsidR="004F0C95" w:rsidRPr="009A4995" w14:paraId="2D0CA5CF" w14:textId="77777777" w:rsidTr="0017223B">
        <w:tc>
          <w:tcPr>
            <w:tcW w:w="3005" w:type="dxa"/>
            <w:vAlign w:val="center"/>
          </w:tcPr>
          <w:p w14:paraId="1E76FB7E" w14:textId="77777777" w:rsidR="004F0C95" w:rsidRPr="009A4995" w:rsidRDefault="004F0C95" w:rsidP="0017223B">
            <w:pPr>
              <w:spacing w:before="100" w:beforeAutospacing="1" w:after="100" w:afterAutospacing="1" w:line="480" w:lineRule="auto"/>
              <w:rPr>
                <w:rFonts w:ascii="Arial" w:hAnsi="Arial" w:cs="Arial"/>
                <w:sz w:val="20"/>
                <w:szCs w:val="20"/>
              </w:rPr>
            </w:pPr>
            <w:r w:rsidRPr="009A4995">
              <w:rPr>
                <w:rFonts w:ascii="Arial" w:hAnsi="Arial" w:cs="Arial"/>
                <w:sz w:val="20"/>
                <w:szCs w:val="20"/>
              </w:rPr>
              <w:t>Residual</w:t>
            </w:r>
          </w:p>
        </w:tc>
        <w:tc>
          <w:tcPr>
            <w:tcW w:w="3005" w:type="dxa"/>
            <w:vAlign w:val="center"/>
          </w:tcPr>
          <w:p w14:paraId="559ADE07"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3813.83</w:t>
            </w:r>
          </w:p>
        </w:tc>
        <w:tc>
          <w:tcPr>
            <w:tcW w:w="3006" w:type="dxa"/>
            <w:vAlign w:val="center"/>
          </w:tcPr>
          <w:p w14:paraId="31448770" w14:textId="77777777" w:rsidR="004F0C95" w:rsidRPr="009A4995" w:rsidRDefault="004F0C95" w:rsidP="0017223B">
            <w:pPr>
              <w:spacing w:before="100" w:beforeAutospacing="1" w:after="100" w:afterAutospacing="1" w:line="480" w:lineRule="auto"/>
              <w:jc w:val="center"/>
              <w:rPr>
                <w:rFonts w:ascii="Arial" w:hAnsi="Arial" w:cs="Arial"/>
                <w:sz w:val="20"/>
                <w:szCs w:val="20"/>
              </w:rPr>
            </w:pPr>
            <w:r w:rsidRPr="009A4995">
              <w:rPr>
                <w:rFonts w:ascii="Arial" w:hAnsi="Arial" w:cs="Arial"/>
                <w:sz w:val="20"/>
                <w:szCs w:val="20"/>
              </w:rPr>
              <w:t>61.76</w:t>
            </w:r>
          </w:p>
        </w:tc>
      </w:tr>
    </w:tbl>
    <w:p w14:paraId="5941D309" w14:textId="77777777" w:rsidR="004F0C95" w:rsidRPr="009A4995" w:rsidRDefault="004F0C95" w:rsidP="004F0C95">
      <w:pPr>
        <w:spacing w:line="480" w:lineRule="auto"/>
        <w:rPr>
          <w:rFonts w:ascii="Arial" w:hAnsi="Arial" w:cs="Arial"/>
          <w:sz w:val="20"/>
          <w:szCs w:val="20"/>
        </w:rPr>
      </w:pPr>
    </w:p>
    <w:p w14:paraId="4D49DC22" w14:textId="77777777" w:rsidR="004F0C95" w:rsidRPr="009A4995" w:rsidRDefault="004F0C95" w:rsidP="004F0C95">
      <w:pPr>
        <w:pStyle w:val="Style3"/>
      </w:pPr>
      <w:r w:rsidRPr="009A4995">
        <w:lastRenderedPageBreak/>
        <w:t>3.4. The task and connectivity gradients capture the orderly transitions between DMN, semantic control and MDN</w:t>
      </w:r>
    </w:p>
    <w:p w14:paraId="258ED25B" w14:textId="77777777" w:rsidR="004F0C95" w:rsidRPr="009A4995" w:rsidRDefault="004F0C95" w:rsidP="004F0C95">
      <w:pPr>
        <w:spacing w:before="100" w:beforeAutospacing="1" w:after="100" w:afterAutospacing="1" w:line="480" w:lineRule="auto"/>
        <w:ind w:firstLine="720"/>
        <w:rPr>
          <w:rFonts w:ascii="Arial" w:hAnsi="Arial" w:cs="Arial"/>
          <w:sz w:val="20"/>
          <w:szCs w:val="20"/>
        </w:rPr>
      </w:pPr>
      <w:r w:rsidRPr="009A4995">
        <w:rPr>
          <w:rFonts w:ascii="Arial" w:hAnsi="Arial" w:cs="Arial"/>
          <w:bCs/>
          <w:sz w:val="20"/>
          <w:szCs w:val="20"/>
        </w:rPr>
        <w:t xml:space="preserve">In the main text, this analysis is presented using the spatial working memory localizer task. Here we defined </w:t>
      </w:r>
      <w:r w:rsidRPr="009A4995">
        <w:rPr>
          <w:rFonts w:ascii="Arial" w:hAnsi="Arial" w:cs="Arial"/>
          <w:sz w:val="20"/>
          <w:szCs w:val="20"/>
        </w:rPr>
        <w:t>functional regions of interest (</w:t>
      </w:r>
      <w:r w:rsidRPr="009A4995">
        <w:rPr>
          <w:rFonts w:ascii="Arial" w:hAnsi="Arial" w:cs="Arial"/>
          <w:bCs/>
          <w:sz w:val="20"/>
          <w:szCs w:val="20"/>
        </w:rPr>
        <w:t>ROIs</w:t>
      </w:r>
      <w:r w:rsidRPr="009A4995">
        <w:rPr>
          <w:rFonts w:ascii="Arial" w:hAnsi="Arial" w:cs="Arial"/>
          <w:sz w:val="20"/>
          <w:szCs w:val="20"/>
        </w:rPr>
        <w:t>)</w:t>
      </w:r>
      <w:r w:rsidRPr="009A4995">
        <w:rPr>
          <w:rFonts w:ascii="Arial" w:hAnsi="Arial" w:cs="Arial"/>
          <w:bCs/>
          <w:sz w:val="20"/>
          <w:szCs w:val="20"/>
        </w:rPr>
        <w:t xml:space="preserve"> using contrasts of easy and hard math localizer trials</w:t>
      </w:r>
      <w:r w:rsidRPr="009A4995">
        <w:rPr>
          <w:rFonts w:ascii="Arial" w:hAnsi="Arial" w:cs="Arial"/>
          <w:sz w:val="20"/>
          <w:szCs w:val="20"/>
        </w:rPr>
        <w:t xml:space="preserve">. </w:t>
      </w:r>
      <w:r w:rsidRPr="009A4995">
        <w:rPr>
          <w:rFonts w:ascii="Arial" w:hAnsi="Arial" w:cs="Arial"/>
          <w:bCs/>
          <w:sz w:val="20"/>
          <w:szCs w:val="20"/>
        </w:rPr>
        <w:t>As before, we found task gradient and connectivity gradient values decreased in an orderly fashion across these networks (Figure S8B, S8C).</w:t>
      </w:r>
      <w:r w:rsidRPr="009A4995">
        <w:rPr>
          <w:rFonts w:ascii="Arial" w:hAnsi="Arial" w:cs="Arial"/>
          <w:sz w:val="20"/>
          <w:szCs w:val="20"/>
        </w:rPr>
        <w:t xml:space="preserve"> Repeated-measures ANOVA was used to examine how task gradient values changed across participants across networks. Mauchly’s Test of Sphericity indicated that the assumption of sphericity had been violated (</w:t>
      </w:r>
      <w:r w:rsidRPr="009A4995">
        <w:rPr>
          <w:rFonts w:ascii="Arial" w:hAnsi="Arial" w:cs="Arial"/>
          <w:sz w:val="20"/>
          <w:szCs w:val="20"/>
        </w:rPr>
        <w:sym w:font="Symbol" w:char="F063"/>
      </w:r>
      <w:r w:rsidRPr="009A4995">
        <w:rPr>
          <w:rFonts w:ascii="Arial" w:hAnsi="Arial" w:cs="Arial"/>
          <w:sz w:val="20"/>
          <w:szCs w:val="20"/>
          <w:vertAlign w:val="superscript"/>
        </w:rPr>
        <w:t>2</w:t>
      </w:r>
      <w:r w:rsidRPr="009A4995">
        <w:rPr>
          <w:rFonts w:ascii="Arial" w:hAnsi="Arial" w:cs="Arial"/>
          <w:sz w:val="20"/>
          <w:szCs w:val="20"/>
        </w:rPr>
        <w:t xml:space="preserve"> = 16.069, p = 0.007) and therefore a Greenhouse-Geisser correction was used. There were significant differences in task gradient values across networks (F(2.274, 63.664) = 3.683, p = 0.026) and</w:t>
      </w:r>
      <w:r w:rsidRPr="009A4995">
        <w:rPr>
          <w:rFonts w:ascii="Arial" w:hAnsi="Arial" w:cs="Arial"/>
          <w:sz w:val="20"/>
          <w:szCs w:val="20"/>
          <w:lang w:eastAsia="zh-CN"/>
        </w:rPr>
        <w:t xml:space="preserve"> a linear trend, capturing the orderly progression in task gradient values from MDN through semantic control to DMN sites (F(1, 28) = 6.895, p = 0.014). There was no quadratic or cubic trend (p &gt; 0.05).</w:t>
      </w:r>
    </w:p>
    <w:p w14:paraId="7328A3E7" w14:textId="77777777" w:rsidR="004F0C95" w:rsidRPr="009A4995" w:rsidRDefault="004F0C95" w:rsidP="004F0C95">
      <w:pPr>
        <w:spacing w:before="100" w:beforeAutospacing="1" w:after="100" w:afterAutospacing="1" w:line="480" w:lineRule="auto"/>
        <w:ind w:firstLine="720"/>
        <w:rPr>
          <w:rFonts w:ascii="Arial" w:hAnsi="Arial" w:cs="Arial"/>
          <w:sz w:val="20"/>
          <w:szCs w:val="20"/>
          <w:lang w:eastAsia="zh-CN"/>
        </w:rPr>
      </w:pPr>
      <w:r w:rsidRPr="009A4995">
        <w:rPr>
          <w:rFonts w:ascii="Arial" w:hAnsi="Arial" w:cs="Arial"/>
          <w:sz w:val="20"/>
          <w:szCs w:val="20"/>
        </w:rPr>
        <w:t>Repeated-measures ANOVA was also used to examine how individually-defined connectivity gradient values changed across participants across networks. We found the same pattern across networks for connectivity gradient values (Figure S8C). Mauchly’s Test of Sphericity again indicated that the assumption of sphericity had been violated (</w:t>
      </w:r>
      <w:r w:rsidRPr="009A4995">
        <w:rPr>
          <w:rFonts w:ascii="Arial" w:hAnsi="Arial" w:cs="Arial"/>
          <w:sz w:val="20"/>
          <w:szCs w:val="20"/>
        </w:rPr>
        <w:sym w:font="Symbol" w:char="F063"/>
      </w:r>
      <w:r w:rsidRPr="009A4995">
        <w:rPr>
          <w:rFonts w:ascii="Arial" w:hAnsi="Arial" w:cs="Arial"/>
          <w:sz w:val="20"/>
          <w:szCs w:val="20"/>
          <w:vertAlign w:val="superscript"/>
        </w:rPr>
        <w:t>2</w:t>
      </w:r>
      <w:r w:rsidRPr="009A4995">
        <w:rPr>
          <w:rFonts w:ascii="Arial" w:hAnsi="Arial" w:cs="Arial"/>
          <w:sz w:val="20"/>
          <w:szCs w:val="20"/>
        </w:rPr>
        <w:t xml:space="preserve"> = 27.923, p &lt; 0.000), and therefore, a Greenhouse-Geisser correction was used. There were significant differences in connectivity gradient values (F(1.775, 49.712) = 107.370, p &lt; 0.000) and</w:t>
      </w:r>
      <w:r w:rsidRPr="009A4995">
        <w:rPr>
          <w:rFonts w:ascii="Arial" w:hAnsi="Arial" w:cs="Arial"/>
          <w:sz w:val="20"/>
          <w:szCs w:val="20"/>
          <w:lang w:eastAsia="zh-CN"/>
        </w:rPr>
        <w:t xml:space="preserve"> a linear change between networks (F(1, 28) = 150.840, p = 0.000), capturing an orderly progression in the connectivity gradient from MDN through semantic control to DMN sites. There was also a quadratic effect (F(1, 28) = 27.680, p = 0.000) and cubic effect (F(1, 28) = 17.502, p = 0.000).</w:t>
      </w:r>
    </w:p>
    <w:p w14:paraId="7924D39E" w14:textId="77777777" w:rsidR="004F0C95" w:rsidRPr="009A4995" w:rsidRDefault="004F0C95" w:rsidP="004F0C95">
      <w:pPr>
        <w:spacing w:before="100" w:beforeAutospacing="1" w:after="100" w:afterAutospacing="1" w:line="480" w:lineRule="auto"/>
        <w:rPr>
          <w:rFonts w:ascii="Arial" w:hAnsi="Arial" w:cs="Arial"/>
          <w:sz w:val="20"/>
          <w:szCs w:val="20"/>
          <w:lang w:eastAsia="zh-CN"/>
        </w:rPr>
      </w:pPr>
      <w:r w:rsidRPr="009A4995">
        <w:rPr>
          <w:rFonts w:ascii="Arial" w:hAnsi="Arial" w:cs="Arial"/>
          <w:noProof/>
          <w:sz w:val="20"/>
          <w:szCs w:val="20"/>
          <w:lang w:eastAsia="zh-CN"/>
        </w:rPr>
        <w:lastRenderedPageBreak/>
        <w:drawing>
          <wp:inline distT="0" distB="0" distL="0" distR="0" wp14:anchorId="567233AE" wp14:editId="76356E6D">
            <wp:extent cx="5486400" cy="1334770"/>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1334770"/>
                    </a:xfrm>
                    <a:prstGeom prst="rect">
                      <a:avLst/>
                    </a:prstGeom>
                  </pic:spPr>
                </pic:pic>
              </a:graphicData>
            </a:graphic>
          </wp:inline>
        </w:drawing>
      </w:r>
    </w:p>
    <w:p w14:paraId="14D75A99" w14:textId="77777777" w:rsidR="004F0C95" w:rsidRPr="009A4995" w:rsidRDefault="004F0C95" w:rsidP="004F0C95">
      <w:pPr>
        <w:spacing w:before="100" w:beforeAutospacing="1" w:after="100" w:afterAutospacing="1" w:line="480" w:lineRule="auto"/>
        <w:rPr>
          <w:rFonts w:ascii="Arial" w:eastAsiaTheme="majorEastAsia" w:hAnsi="Arial" w:cs="Arial"/>
          <w:b/>
          <w:sz w:val="20"/>
          <w:szCs w:val="20"/>
        </w:rPr>
      </w:pPr>
      <w:r w:rsidRPr="009A4995">
        <w:rPr>
          <w:rFonts w:ascii="Arial" w:hAnsi="Arial" w:cs="Arial"/>
          <w:b/>
          <w:sz w:val="20"/>
          <w:szCs w:val="20"/>
        </w:rPr>
        <w:t>Figure S8.</w:t>
      </w:r>
      <w:r w:rsidRPr="009A4995">
        <w:rPr>
          <w:rFonts w:ascii="Arial" w:hAnsi="Arial" w:cs="Arial"/>
          <w:sz w:val="20"/>
          <w:szCs w:val="20"/>
        </w:rPr>
        <w:t xml:space="preserve"> A – Networks used in the analysis. The same networks shown in Figure 5A, including DMN, semantic control and MDN, masked by semantically relevant regions, defined using Neurosynth. B – The task gradient values of each network for matching trials. C – The connectivity gradient values of each network.</w:t>
      </w:r>
    </w:p>
    <w:p w14:paraId="24BB5F59" w14:textId="77777777" w:rsidR="004F0C95" w:rsidRPr="009A4995" w:rsidRDefault="004F0C95" w:rsidP="004F0C95">
      <w:pPr>
        <w:pStyle w:val="Style1"/>
        <w:spacing w:before="100" w:beforeAutospacing="1" w:after="100" w:afterAutospacing="1" w:line="480" w:lineRule="auto"/>
        <w:rPr>
          <w:rFonts w:cs="Arial"/>
          <w:sz w:val="20"/>
          <w:szCs w:val="20"/>
        </w:rPr>
      </w:pPr>
      <w:r w:rsidRPr="009A4995">
        <w:rPr>
          <w:rFonts w:cs="Arial"/>
          <w:sz w:val="20"/>
          <w:szCs w:val="20"/>
        </w:rPr>
        <w:t>References</w:t>
      </w:r>
    </w:p>
    <w:p w14:paraId="4345A2E9" w14:textId="77777777" w:rsidR="004F0C95" w:rsidRPr="009A4995" w:rsidRDefault="004F0C95" w:rsidP="004F0C95">
      <w:pPr>
        <w:widowControl w:val="0"/>
        <w:autoSpaceDE w:val="0"/>
        <w:autoSpaceDN w:val="0"/>
        <w:adjustRightInd w:val="0"/>
        <w:spacing w:before="100" w:after="100" w:line="480" w:lineRule="auto"/>
        <w:ind w:left="480" w:hanging="480"/>
        <w:rPr>
          <w:rFonts w:ascii="Arial" w:hAnsi="Arial" w:cs="Arial"/>
          <w:noProof/>
          <w:sz w:val="20"/>
          <w:szCs w:val="20"/>
        </w:rPr>
      </w:pPr>
      <w:r w:rsidRPr="009A4995">
        <w:rPr>
          <w:rFonts w:ascii="Arial" w:hAnsi="Arial" w:cs="Arial"/>
          <w:sz w:val="20"/>
          <w:szCs w:val="20"/>
        </w:rPr>
        <w:fldChar w:fldCharType="begin" w:fldLock="1"/>
      </w:r>
      <w:r w:rsidRPr="009A4995">
        <w:rPr>
          <w:rFonts w:ascii="Arial" w:hAnsi="Arial" w:cs="Arial"/>
          <w:sz w:val="20"/>
          <w:szCs w:val="20"/>
        </w:rPr>
        <w:instrText xml:space="preserve">ADDIN Mendeley Bibliography CSL_BIBLIOGRAPHY </w:instrText>
      </w:r>
      <w:r w:rsidRPr="009A4995">
        <w:rPr>
          <w:rFonts w:ascii="Arial" w:hAnsi="Arial" w:cs="Arial"/>
          <w:sz w:val="20"/>
          <w:szCs w:val="20"/>
        </w:rPr>
        <w:fldChar w:fldCharType="separate"/>
      </w:r>
      <w:r w:rsidRPr="009A4995">
        <w:rPr>
          <w:rFonts w:ascii="Arial" w:hAnsi="Arial" w:cs="Arial"/>
          <w:noProof/>
          <w:sz w:val="20"/>
          <w:szCs w:val="20"/>
        </w:rPr>
        <w:t>Baayen, R.H., Davidson, D.J., Bates, D.M., 2008. Mixed-effects modeling with crossed random effects for subjects and items. J. Mem. Lang. https://doi.org/10.1016/j.jml.2007.12.005</w:t>
      </w:r>
    </w:p>
    <w:p w14:paraId="6187ACB8" w14:textId="77777777" w:rsidR="004F0C95" w:rsidRPr="009A4995" w:rsidRDefault="004F0C95" w:rsidP="004F0C95">
      <w:pPr>
        <w:widowControl w:val="0"/>
        <w:autoSpaceDE w:val="0"/>
        <w:autoSpaceDN w:val="0"/>
        <w:adjustRightInd w:val="0"/>
        <w:spacing w:before="100" w:after="100" w:line="480" w:lineRule="auto"/>
        <w:ind w:left="480" w:hanging="480"/>
        <w:rPr>
          <w:rFonts w:ascii="Arial" w:hAnsi="Arial" w:cs="Arial"/>
          <w:noProof/>
          <w:sz w:val="20"/>
          <w:szCs w:val="20"/>
        </w:rPr>
      </w:pPr>
      <w:r w:rsidRPr="009A4995">
        <w:rPr>
          <w:rFonts w:ascii="Arial" w:hAnsi="Arial" w:cs="Arial"/>
          <w:noProof/>
          <w:sz w:val="20"/>
          <w:szCs w:val="20"/>
        </w:rPr>
        <w:t>Bates, D., Maechler, M., Bolker, B., Walker, S., 2014. lme4: linear mixed-effects models using S4 classes. R package version 1.1-6. R. https://doi.org/http://CRAN.R-project.org/package=lme4</w:t>
      </w:r>
    </w:p>
    <w:p w14:paraId="2CF9F426" w14:textId="77777777" w:rsidR="004F0C95" w:rsidRPr="009A4995" w:rsidRDefault="004F0C95" w:rsidP="004F0C95">
      <w:pPr>
        <w:widowControl w:val="0"/>
        <w:autoSpaceDE w:val="0"/>
        <w:autoSpaceDN w:val="0"/>
        <w:adjustRightInd w:val="0"/>
        <w:spacing w:before="100" w:after="100" w:line="480" w:lineRule="auto"/>
        <w:ind w:left="480" w:hanging="480"/>
        <w:rPr>
          <w:rFonts w:ascii="Arial" w:hAnsi="Arial" w:cs="Arial"/>
          <w:noProof/>
          <w:sz w:val="20"/>
          <w:szCs w:val="20"/>
        </w:rPr>
      </w:pPr>
      <w:r w:rsidRPr="009A4995">
        <w:rPr>
          <w:rFonts w:ascii="Arial" w:hAnsi="Arial" w:cs="Arial"/>
          <w:noProof/>
          <w:sz w:val="20"/>
          <w:szCs w:val="20"/>
        </w:rPr>
        <w:t>Brysbaert, M., Warriner, A.B., Kuperman, V., 2014. Concreteness ratings for 40 thousand generally known English word lemmas. Behav. Res. Methods 46, 904–911. https://doi.org/10.3758/s13428-013-0403-5</w:t>
      </w:r>
    </w:p>
    <w:p w14:paraId="0C181F76" w14:textId="77777777" w:rsidR="004F0C95" w:rsidRPr="009A4995" w:rsidRDefault="004F0C95" w:rsidP="004F0C95">
      <w:pPr>
        <w:widowControl w:val="0"/>
        <w:autoSpaceDE w:val="0"/>
        <w:autoSpaceDN w:val="0"/>
        <w:adjustRightInd w:val="0"/>
        <w:spacing w:before="100" w:after="100" w:line="480" w:lineRule="auto"/>
        <w:ind w:left="480" w:hanging="480"/>
        <w:rPr>
          <w:rFonts w:ascii="Arial" w:hAnsi="Arial" w:cs="Arial"/>
          <w:noProof/>
          <w:sz w:val="20"/>
          <w:szCs w:val="20"/>
        </w:rPr>
      </w:pPr>
      <w:r w:rsidRPr="009A4995">
        <w:rPr>
          <w:rFonts w:ascii="Arial" w:hAnsi="Arial" w:cs="Arial"/>
          <w:noProof/>
          <w:sz w:val="20"/>
          <w:szCs w:val="20"/>
        </w:rPr>
        <w:t>Margulies, D.S., Ghosh, S.S., Goulas, A., Falkiewicz, M., Huntenburg, J.M., Langs, G., Bezgin, G., Eickhoff, S.B., Castellanos, F.X., Petrides, M., Jefferies, E., Smallwood, J., 2016. Situating the default-mode network along a principal gradient of macroscale cortical organization. Proc. Natl. Acad. Sci. 113, 12574–12579. https://doi.org/10.1073/pnas.1608282113</w:t>
      </w:r>
    </w:p>
    <w:p w14:paraId="147BBA8D" w14:textId="77777777" w:rsidR="004F0C95" w:rsidRPr="009A4995" w:rsidRDefault="004F0C95" w:rsidP="004F0C95">
      <w:pPr>
        <w:widowControl w:val="0"/>
        <w:autoSpaceDE w:val="0"/>
        <w:autoSpaceDN w:val="0"/>
        <w:adjustRightInd w:val="0"/>
        <w:spacing w:before="100" w:after="100" w:line="480" w:lineRule="auto"/>
        <w:ind w:left="480" w:hanging="480"/>
        <w:rPr>
          <w:rFonts w:ascii="Arial" w:hAnsi="Arial" w:cs="Arial"/>
          <w:noProof/>
          <w:sz w:val="20"/>
          <w:szCs w:val="20"/>
        </w:rPr>
      </w:pPr>
      <w:r w:rsidRPr="009A4995">
        <w:rPr>
          <w:rFonts w:ascii="Arial" w:hAnsi="Arial" w:cs="Arial"/>
          <w:noProof/>
          <w:sz w:val="20"/>
          <w:szCs w:val="20"/>
        </w:rPr>
        <w:t>Team, R.C., 2012. R: A language and environment for statistical computing.</w:t>
      </w:r>
    </w:p>
    <w:p w14:paraId="69B06E0A" w14:textId="77777777" w:rsidR="004F0C95" w:rsidRPr="009A4995" w:rsidRDefault="004F0C95" w:rsidP="004F0C95">
      <w:pPr>
        <w:widowControl w:val="0"/>
        <w:autoSpaceDE w:val="0"/>
        <w:autoSpaceDN w:val="0"/>
        <w:adjustRightInd w:val="0"/>
        <w:spacing w:before="100" w:after="100" w:line="480" w:lineRule="auto"/>
        <w:ind w:left="480" w:hanging="480"/>
        <w:rPr>
          <w:rFonts w:ascii="Arial" w:hAnsi="Arial" w:cs="Arial"/>
          <w:noProof/>
          <w:sz w:val="20"/>
          <w:szCs w:val="20"/>
        </w:rPr>
      </w:pPr>
      <w:r w:rsidRPr="009A4995">
        <w:rPr>
          <w:rFonts w:ascii="Arial" w:hAnsi="Arial" w:cs="Arial"/>
          <w:noProof/>
          <w:sz w:val="20"/>
          <w:szCs w:val="20"/>
        </w:rPr>
        <w:t xml:space="preserve">van Heuven, W.J.B., Mandera, P., Keuleers, E., Brysbaert, M., 2014. Subtlex-UK: A New and </w:t>
      </w:r>
      <w:r w:rsidRPr="009A4995">
        <w:rPr>
          <w:rFonts w:ascii="Arial" w:hAnsi="Arial" w:cs="Arial"/>
          <w:noProof/>
          <w:sz w:val="20"/>
          <w:szCs w:val="20"/>
        </w:rPr>
        <w:lastRenderedPageBreak/>
        <w:t>Improved Word Frequency Database for British English. Q. J. Exp. Psychol. 67, 1176–1190. https://doi.org/10.1080/17470218.2013.850521</w:t>
      </w:r>
    </w:p>
    <w:p w14:paraId="307A6607" w14:textId="77777777" w:rsidR="004F0C95" w:rsidRPr="009A4995" w:rsidRDefault="004F0C95" w:rsidP="004F0C95">
      <w:pPr>
        <w:widowControl w:val="0"/>
        <w:autoSpaceDE w:val="0"/>
        <w:autoSpaceDN w:val="0"/>
        <w:adjustRightInd w:val="0"/>
        <w:spacing w:before="100" w:after="100" w:line="480" w:lineRule="auto"/>
        <w:ind w:left="480" w:hanging="480"/>
        <w:rPr>
          <w:rFonts w:ascii="Arial" w:hAnsi="Arial" w:cs="Arial"/>
          <w:noProof/>
          <w:sz w:val="20"/>
          <w:szCs w:val="20"/>
        </w:rPr>
      </w:pPr>
      <w:r w:rsidRPr="009A4995">
        <w:rPr>
          <w:rFonts w:ascii="Arial" w:hAnsi="Arial" w:cs="Arial"/>
          <w:noProof/>
          <w:sz w:val="20"/>
          <w:szCs w:val="20"/>
        </w:rPr>
        <w:t>Xia, M., Wang, J., He, Y., 2013. BrainNet Viewer: A Network Visualization Tool for Human Brain Connectomics. PLoS One 8, e68910. https://doi.org/10.1371/journal.pone.0068910</w:t>
      </w:r>
    </w:p>
    <w:p w14:paraId="62A8DFB3" w14:textId="77777777" w:rsidR="004F0C95" w:rsidRPr="009A4995" w:rsidRDefault="004F0C95" w:rsidP="004F0C95">
      <w:pPr>
        <w:widowControl w:val="0"/>
        <w:autoSpaceDE w:val="0"/>
        <w:autoSpaceDN w:val="0"/>
        <w:adjustRightInd w:val="0"/>
        <w:spacing w:before="100" w:after="100" w:line="480" w:lineRule="auto"/>
        <w:ind w:left="480" w:hanging="480"/>
        <w:rPr>
          <w:rFonts w:ascii="Arial" w:hAnsi="Arial" w:cs="Arial"/>
          <w:noProof/>
          <w:sz w:val="20"/>
          <w:szCs w:val="20"/>
        </w:rPr>
      </w:pPr>
      <w:r w:rsidRPr="009A4995">
        <w:rPr>
          <w:rFonts w:ascii="Arial" w:hAnsi="Arial" w:cs="Arial"/>
          <w:noProof/>
          <w:sz w:val="20"/>
          <w:szCs w:val="20"/>
        </w:rPr>
        <w:t>Yarkoni, T., Poldrack, R.A., Nichols, T.E., Van Essen, D.C., Wager, T.D., 2011. Large-scale automated synthesis of human functional neuroimaging data. Nat. Methods 8, 665–670. https://doi.org/10.1038/nmeth.1635</w:t>
      </w:r>
    </w:p>
    <w:p w14:paraId="039AC8F9" w14:textId="77777777" w:rsidR="004F0C95" w:rsidRPr="009A4995" w:rsidRDefault="004F0C95" w:rsidP="004F0C95">
      <w:pPr>
        <w:spacing w:before="100" w:beforeAutospacing="1" w:after="100" w:afterAutospacing="1" w:line="480" w:lineRule="auto"/>
        <w:rPr>
          <w:rFonts w:ascii="Arial" w:hAnsi="Arial" w:cs="Arial"/>
          <w:color w:val="000000" w:themeColor="text1"/>
          <w:sz w:val="20"/>
          <w:szCs w:val="20"/>
        </w:rPr>
      </w:pPr>
      <w:r w:rsidRPr="009A4995">
        <w:rPr>
          <w:rFonts w:ascii="Arial" w:hAnsi="Arial" w:cs="Arial"/>
          <w:sz w:val="20"/>
          <w:szCs w:val="20"/>
        </w:rPr>
        <w:fldChar w:fldCharType="end"/>
      </w:r>
    </w:p>
    <w:p w14:paraId="642D71BA" w14:textId="77777777" w:rsidR="003A2285" w:rsidRPr="006436AC" w:rsidRDefault="003A2285" w:rsidP="000E64FB">
      <w:pPr>
        <w:widowControl w:val="0"/>
        <w:autoSpaceDE w:val="0"/>
        <w:autoSpaceDN w:val="0"/>
        <w:adjustRightInd w:val="0"/>
        <w:spacing w:before="100" w:after="100" w:line="480" w:lineRule="auto"/>
        <w:ind w:left="480" w:hanging="480"/>
        <w:rPr>
          <w:rFonts w:ascii="Arial" w:hAnsi="Arial" w:cs="Arial"/>
          <w:sz w:val="20"/>
          <w:szCs w:val="20"/>
        </w:rPr>
      </w:pPr>
      <w:bookmarkStart w:id="2" w:name="_GoBack"/>
      <w:bookmarkEnd w:id="2"/>
    </w:p>
    <w:sectPr w:rsidR="003A2285" w:rsidRPr="006436AC" w:rsidSect="00474DE9">
      <w:headerReference w:type="even" r:id="rId29"/>
      <w:headerReference w:type="default" r:id="rId30"/>
      <w:footerReference w:type="even" r:id="rId31"/>
      <w:footerReference w:type="default" r:id="rId32"/>
      <w:headerReference w:type="first" r:id="rId33"/>
      <w:footerReference w:type="first" r:id="rId34"/>
      <w:type w:val="continuous"/>
      <w:pgSz w:w="12240" w:h="15840"/>
      <w:pgMar w:top="1440" w:right="1800" w:bottom="1440" w:left="180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3ED200" w14:textId="77777777" w:rsidR="00924CCF" w:rsidRDefault="00924CCF">
      <w:pPr>
        <w:spacing w:after="0"/>
      </w:pPr>
      <w:r>
        <w:separator/>
      </w:r>
    </w:p>
  </w:endnote>
  <w:endnote w:type="continuationSeparator" w:id="0">
    <w:p w14:paraId="34F48F10" w14:textId="77777777" w:rsidR="00924CCF" w:rsidRDefault="00924C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DE4A8" w14:textId="77777777" w:rsidR="008048DE" w:rsidRDefault="008048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CAFD" w14:textId="77777777" w:rsidR="008048DE" w:rsidRDefault="008048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031FF" w14:textId="77777777" w:rsidR="008048DE" w:rsidRDefault="008048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894CC" w14:textId="77777777" w:rsidR="00924CCF" w:rsidRDefault="00924CCF">
      <w:pPr>
        <w:spacing w:after="0"/>
      </w:pPr>
      <w:r>
        <w:separator/>
      </w:r>
    </w:p>
  </w:footnote>
  <w:footnote w:type="continuationSeparator" w:id="0">
    <w:p w14:paraId="16C186FE" w14:textId="77777777" w:rsidR="00924CCF" w:rsidRDefault="00924CCF">
      <w:pPr>
        <w:spacing w:after="0"/>
      </w:pPr>
      <w:r>
        <w:continuationSeparator/>
      </w:r>
    </w:p>
  </w:footnote>
  <w:footnote w:id="1">
    <w:p w14:paraId="6C93115B" w14:textId="77777777" w:rsidR="004F0C95" w:rsidRPr="004E62A2" w:rsidRDefault="004F0C95" w:rsidP="004F0C95">
      <w:pPr>
        <w:pStyle w:val="FootnoteText"/>
      </w:pPr>
      <w:r w:rsidRPr="00153A7B">
        <w:rPr>
          <w:rStyle w:val="FootnoteReference"/>
        </w:rPr>
        <w:footnoteRef/>
      </w:r>
      <w:r>
        <w:t xml:space="preserve"> More complex effects up to order 7 were tested; the model failed to converge when even higher-order effects were included. </w:t>
      </w:r>
    </w:p>
  </w:footnote>
  <w:footnote w:id="2">
    <w:p w14:paraId="7ADA5217" w14:textId="77777777" w:rsidR="004F0C95" w:rsidRPr="004E62A2" w:rsidRDefault="004F0C95" w:rsidP="004F0C95">
      <w:pPr>
        <w:pStyle w:val="FootnoteText"/>
      </w:pPr>
      <w:r w:rsidRPr="00153A7B">
        <w:rPr>
          <w:rStyle w:val="FootnoteReference"/>
        </w:rPr>
        <w:footnoteRef/>
      </w:r>
      <w:r>
        <w:t xml:space="preserve"> More complex effects up to order 7 were tested; the model failed to converge when even higher-order effects were included.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A5A13" w14:textId="77777777" w:rsidR="008048DE" w:rsidRDefault="008048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4095859"/>
      <w:docPartObj>
        <w:docPartGallery w:val="Page Numbers (Top of Page)"/>
        <w:docPartUnique/>
      </w:docPartObj>
    </w:sdtPr>
    <w:sdtEndPr>
      <w:rPr>
        <w:noProof/>
      </w:rPr>
    </w:sdtEndPr>
    <w:sdtContent>
      <w:p w14:paraId="2D1BF4DA" w14:textId="4FBB6827" w:rsidR="008048DE" w:rsidRDefault="008048DE">
        <w:pPr>
          <w:pStyle w:val="Header"/>
          <w:jc w:val="right"/>
        </w:pPr>
        <w:r>
          <w:fldChar w:fldCharType="begin"/>
        </w:r>
        <w:r>
          <w:instrText xml:space="preserve"> PAGE   \* MERGEFORMAT </w:instrText>
        </w:r>
        <w:r>
          <w:fldChar w:fldCharType="separate"/>
        </w:r>
        <w:r>
          <w:rPr>
            <w:noProof/>
          </w:rPr>
          <w:t>39</w:t>
        </w:r>
        <w:r>
          <w:rPr>
            <w:noProof/>
          </w:rPr>
          <w:fldChar w:fldCharType="end"/>
        </w:r>
      </w:p>
    </w:sdtContent>
  </w:sdt>
  <w:p w14:paraId="53ADAFEF" w14:textId="77777777" w:rsidR="008048DE" w:rsidRDefault="008048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E2B9" w14:textId="77777777" w:rsidR="008048DE" w:rsidRDefault="008048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C5390"/>
    <w:multiLevelType w:val="multilevel"/>
    <w:tmpl w:val="E0FCC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6"/>
  <w:doNotDisplayPageBoundaries/>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33D"/>
    <w:rsid w:val="00005750"/>
    <w:rsid w:val="0001094C"/>
    <w:rsid w:val="00012F2A"/>
    <w:rsid w:val="00013944"/>
    <w:rsid w:val="0002101C"/>
    <w:rsid w:val="0002362D"/>
    <w:rsid w:val="00030B11"/>
    <w:rsid w:val="000331D0"/>
    <w:rsid w:val="00034509"/>
    <w:rsid w:val="000402FA"/>
    <w:rsid w:val="00050A84"/>
    <w:rsid w:val="000664D1"/>
    <w:rsid w:val="00071CC5"/>
    <w:rsid w:val="0007631F"/>
    <w:rsid w:val="0008218A"/>
    <w:rsid w:val="000826B1"/>
    <w:rsid w:val="00087B64"/>
    <w:rsid w:val="00091FC0"/>
    <w:rsid w:val="000A2D4D"/>
    <w:rsid w:val="000A5911"/>
    <w:rsid w:val="000B025F"/>
    <w:rsid w:val="000B73B4"/>
    <w:rsid w:val="000B753B"/>
    <w:rsid w:val="000C0A5A"/>
    <w:rsid w:val="000C3044"/>
    <w:rsid w:val="000E555F"/>
    <w:rsid w:val="000E63AB"/>
    <w:rsid w:val="000E64FB"/>
    <w:rsid w:val="000F4370"/>
    <w:rsid w:val="001002D1"/>
    <w:rsid w:val="001061D2"/>
    <w:rsid w:val="00112451"/>
    <w:rsid w:val="00117D43"/>
    <w:rsid w:val="00140155"/>
    <w:rsid w:val="00142257"/>
    <w:rsid w:val="00144F9F"/>
    <w:rsid w:val="00145644"/>
    <w:rsid w:val="00160261"/>
    <w:rsid w:val="00160CF7"/>
    <w:rsid w:val="001714A5"/>
    <w:rsid w:val="00173F95"/>
    <w:rsid w:val="00196868"/>
    <w:rsid w:val="001A796C"/>
    <w:rsid w:val="001B320E"/>
    <w:rsid w:val="001C2F4D"/>
    <w:rsid w:val="001E191F"/>
    <w:rsid w:val="001E1E77"/>
    <w:rsid w:val="001E277B"/>
    <w:rsid w:val="001E2D84"/>
    <w:rsid w:val="00203D49"/>
    <w:rsid w:val="00206A6C"/>
    <w:rsid w:val="00215FFD"/>
    <w:rsid w:val="00224408"/>
    <w:rsid w:val="002353EA"/>
    <w:rsid w:val="00237396"/>
    <w:rsid w:val="00247451"/>
    <w:rsid w:val="002612A3"/>
    <w:rsid w:val="00262E6C"/>
    <w:rsid w:val="002703E6"/>
    <w:rsid w:val="00270945"/>
    <w:rsid w:val="00282118"/>
    <w:rsid w:val="00292768"/>
    <w:rsid w:val="00294712"/>
    <w:rsid w:val="002A0C05"/>
    <w:rsid w:val="002B2848"/>
    <w:rsid w:val="002B3592"/>
    <w:rsid w:val="002B6A66"/>
    <w:rsid w:val="002B7F7E"/>
    <w:rsid w:val="002C6D14"/>
    <w:rsid w:val="002D19DB"/>
    <w:rsid w:val="002E183A"/>
    <w:rsid w:val="002E6896"/>
    <w:rsid w:val="002F0DB9"/>
    <w:rsid w:val="002F3026"/>
    <w:rsid w:val="002F68E0"/>
    <w:rsid w:val="002F7E51"/>
    <w:rsid w:val="00300A40"/>
    <w:rsid w:val="00311699"/>
    <w:rsid w:val="00313282"/>
    <w:rsid w:val="003319A9"/>
    <w:rsid w:val="00332C46"/>
    <w:rsid w:val="00333F4D"/>
    <w:rsid w:val="003365D5"/>
    <w:rsid w:val="00340C99"/>
    <w:rsid w:val="00346A3D"/>
    <w:rsid w:val="00347B0C"/>
    <w:rsid w:val="0035075F"/>
    <w:rsid w:val="00356026"/>
    <w:rsid w:val="00360655"/>
    <w:rsid w:val="00362163"/>
    <w:rsid w:val="0036423B"/>
    <w:rsid w:val="003646BF"/>
    <w:rsid w:val="00372928"/>
    <w:rsid w:val="0037784F"/>
    <w:rsid w:val="00391147"/>
    <w:rsid w:val="003926F4"/>
    <w:rsid w:val="0039702B"/>
    <w:rsid w:val="003A2285"/>
    <w:rsid w:val="003A26D8"/>
    <w:rsid w:val="003B2D45"/>
    <w:rsid w:val="003B3162"/>
    <w:rsid w:val="003B37FB"/>
    <w:rsid w:val="003D7155"/>
    <w:rsid w:val="003E456C"/>
    <w:rsid w:val="003F39F3"/>
    <w:rsid w:val="00410D6E"/>
    <w:rsid w:val="0041702F"/>
    <w:rsid w:val="0042641D"/>
    <w:rsid w:val="00427FEF"/>
    <w:rsid w:val="004319AA"/>
    <w:rsid w:val="00433E41"/>
    <w:rsid w:val="00434453"/>
    <w:rsid w:val="00446285"/>
    <w:rsid w:val="00455FCD"/>
    <w:rsid w:val="00456959"/>
    <w:rsid w:val="004606ED"/>
    <w:rsid w:val="00474D11"/>
    <w:rsid w:val="00474DE9"/>
    <w:rsid w:val="004761DB"/>
    <w:rsid w:val="004768C8"/>
    <w:rsid w:val="00482987"/>
    <w:rsid w:val="00483828"/>
    <w:rsid w:val="00483A2F"/>
    <w:rsid w:val="00483D1D"/>
    <w:rsid w:val="00486D0F"/>
    <w:rsid w:val="004B135C"/>
    <w:rsid w:val="004B40F0"/>
    <w:rsid w:val="004B4F7A"/>
    <w:rsid w:val="004E155A"/>
    <w:rsid w:val="004E6F38"/>
    <w:rsid w:val="004E7A58"/>
    <w:rsid w:val="004F0C95"/>
    <w:rsid w:val="00501175"/>
    <w:rsid w:val="00507213"/>
    <w:rsid w:val="00515BDD"/>
    <w:rsid w:val="0052241F"/>
    <w:rsid w:val="00522824"/>
    <w:rsid w:val="005324D7"/>
    <w:rsid w:val="00553857"/>
    <w:rsid w:val="00562A05"/>
    <w:rsid w:val="00564650"/>
    <w:rsid w:val="00566455"/>
    <w:rsid w:val="00566557"/>
    <w:rsid w:val="00567C92"/>
    <w:rsid w:val="00573196"/>
    <w:rsid w:val="00580330"/>
    <w:rsid w:val="00584550"/>
    <w:rsid w:val="00591094"/>
    <w:rsid w:val="005A1E51"/>
    <w:rsid w:val="005A611C"/>
    <w:rsid w:val="005A78D5"/>
    <w:rsid w:val="005B2C33"/>
    <w:rsid w:val="005B4F44"/>
    <w:rsid w:val="005C434F"/>
    <w:rsid w:val="005C5898"/>
    <w:rsid w:val="005D74D9"/>
    <w:rsid w:val="005F1E3B"/>
    <w:rsid w:val="005F4FED"/>
    <w:rsid w:val="005F780A"/>
    <w:rsid w:val="006031EC"/>
    <w:rsid w:val="00632D99"/>
    <w:rsid w:val="006342DB"/>
    <w:rsid w:val="00635221"/>
    <w:rsid w:val="0063712B"/>
    <w:rsid w:val="006436AC"/>
    <w:rsid w:val="006447F2"/>
    <w:rsid w:val="00650109"/>
    <w:rsid w:val="006601F4"/>
    <w:rsid w:val="00666A94"/>
    <w:rsid w:val="006759EB"/>
    <w:rsid w:val="0068493C"/>
    <w:rsid w:val="00691C84"/>
    <w:rsid w:val="00691FEF"/>
    <w:rsid w:val="006957A6"/>
    <w:rsid w:val="006A4F7B"/>
    <w:rsid w:val="006A731F"/>
    <w:rsid w:val="006B1FB0"/>
    <w:rsid w:val="006B4F81"/>
    <w:rsid w:val="006C4D60"/>
    <w:rsid w:val="006C5520"/>
    <w:rsid w:val="006D396C"/>
    <w:rsid w:val="006E5476"/>
    <w:rsid w:val="006F1020"/>
    <w:rsid w:val="006F2669"/>
    <w:rsid w:val="006F3207"/>
    <w:rsid w:val="0072070C"/>
    <w:rsid w:val="00740E40"/>
    <w:rsid w:val="0075281C"/>
    <w:rsid w:val="007558A3"/>
    <w:rsid w:val="00762137"/>
    <w:rsid w:val="00763502"/>
    <w:rsid w:val="00767E64"/>
    <w:rsid w:val="00770556"/>
    <w:rsid w:val="007745ED"/>
    <w:rsid w:val="00774940"/>
    <w:rsid w:val="007870A2"/>
    <w:rsid w:val="007901E0"/>
    <w:rsid w:val="00790DE3"/>
    <w:rsid w:val="0079337D"/>
    <w:rsid w:val="007A28A4"/>
    <w:rsid w:val="007B34DC"/>
    <w:rsid w:val="007B7ACF"/>
    <w:rsid w:val="007C7F6D"/>
    <w:rsid w:val="007E13A3"/>
    <w:rsid w:val="007E57BC"/>
    <w:rsid w:val="007E6FC6"/>
    <w:rsid w:val="00801095"/>
    <w:rsid w:val="008048DE"/>
    <w:rsid w:val="0080698F"/>
    <w:rsid w:val="008115DD"/>
    <w:rsid w:val="00815FF0"/>
    <w:rsid w:val="00823A02"/>
    <w:rsid w:val="00832182"/>
    <w:rsid w:val="008322D7"/>
    <w:rsid w:val="008332C5"/>
    <w:rsid w:val="00850BE9"/>
    <w:rsid w:val="00854C69"/>
    <w:rsid w:val="00866A44"/>
    <w:rsid w:val="00872F34"/>
    <w:rsid w:val="0088165C"/>
    <w:rsid w:val="008843AD"/>
    <w:rsid w:val="00892070"/>
    <w:rsid w:val="008A7B05"/>
    <w:rsid w:val="008D2B70"/>
    <w:rsid w:val="008D3297"/>
    <w:rsid w:val="008E1E04"/>
    <w:rsid w:val="008E6DB8"/>
    <w:rsid w:val="0090131F"/>
    <w:rsid w:val="00904C3C"/>
    <w:rsid w:val="00904FBD"/>
    <w:rsid w:val="009149E4"/>
    <w:rsid w:val="00924CCF"/>
    <w:rsid w:val="00930BAB"/>
    <w:rsid w:val="0093625A"/>
    <w:rsid w:val="009369FA"/>
    <w:rsid w:val="00946E8E"/>
    <w:rsid w:val="00950ADF"/>
    <w:rsid w:val="009515F7"/>
    <w:rsid w:val="00955081"/>
    <w:rsid w:val="00961370"/>
    <w:rsid w:val="0096171B"/>
    <w:rsid w:val="00970EED"/>
    <w:rsid w:val="009779DB"/>
    <w:rsid w:val="00980C22"/>
    <w:rsid w:val="00982E60"/>
    <w:rsid w:val="00987030"/>
    <w:rsid w:val="009945C4"/>
    <w:rsid w:val="009946BC"/>
    <w:rsid w:val="009A3F8A"/>
    <w:rsid w:val="009A49D3"/>
    <w:rsid w:val="009C052D"/>
    <w:rsid w:val="009C1E29"/>
    <w:rsid w:val="009C410E"/>
    <w:rsid w:val="009D41C9"/>
    <w:rsid w:val="009E180E"/>
    <w:rsid w:val="00A0181B"/>
    <w:rsid w:val="00A04A2E"/>
    <w:rsid w:val="00A06207"/>
    <w:rsid w:val="00A11181"/>
    <w:rsid w:val="00A117CE"/>
    <w:rsid w:val="00A1401C"/>
    <w:rsid w:val="00A15F61"/>
    <w:rsid w:val="00A20D36"/>
    <w:rsid w:val="00A22273"/>
    <w:rsid w:val="00A23835"/>
    <w:rsid w:val="00A2519C"/>
    <w:rsid w:val="00A44B39"/>
    <w:rsid w:val="00A46B44"/>
    <w:rsid w:val="00A46FA8"/>
    <w:rsid w:val="00A47AD2"/>
    <w:rsid w:val="00A560E9"/>
    <w:rsid w:val="00A635A9"/>
    <w:rsid w:val="00A660A1"/>
    <w:rsid w:val="00A80216"/>
    <w:rsid w:val="00A80640"/>
    <w:rsid w:val="00A85CC3"/>
    <w:rsid w:val="00A90A21"/>
    <w:rsid w:val="00A92727"/>
    <w:rsid w:val="00A96917"/>
    <w:rsid w:val="00AA4683"/>
    <w:rsid w:val="00AB213C"/>
    <w:rsid w:val="00AB4F60"/>
    <w:rsid w:val="00AB7030"/>
    <w:rsid w:val="00AC4214"/>
    <w:rsid w:val="00AC6E28"/>
    <w:rsid w:val="00AD32F8"/>
    <w:rsid w:val="00AE60EF"/>
    <w:rsid w:val="00AF296C"/>
    <w:rsid w:val="00B06EDE"/>
    <w:rsid w:val="00B274FF"/>
    <w:rsid w:val="00B307B8"/>
    <w:rsid w:val="00B34C0F"/>
    <w:rsid w:val="00B36EAF"/>
    <w:rsid w:val="00B50F84"/>
    <w:rsid w:val="00B604A6"/>
    <w:rsid w:val="00B80908"/>
    <w:rsid w:val="00B80B0D"/>
    <w:rsid w:val="00B840C2"/>
    <w:rsid w:val="00B9147E"/>
    <w:rsid w:val="00B97290"/>
    <w:rsid w:val="00B97BE6"/>
    <w:rsid w:val="00BB2A5A"/>
    <w:rsid w:val="00BC00BC"/>
    <w:rsid w:val="00BE0020"/>
    <w:rsid w:val="00BE100E"/>
    <w:rsid w:val="00BE1872"/>
    <w:rsid w:val="00BF7A33"/>
    <w:rsid w:val="00C1179E"/>
    <w:rsid w:val="00C1748B"/>
    <w:rsid w:val="00C22697"/>
    <w:rsid w:val="00C22B14"/>
    <w:rsid w:val="00C42D13"/>
    <w:rsid w:val="00C43D7B"/>
    <w:rsid w:val="00C47291"/>
    <w:rsid w:val="00C50658"/>
    <w:rsid w:val="00C5716B"/>
    <w:rsid w:val="00C64948"/>
    <w:rsid w:val="00C7080E"/>
    <w:rsid w:val="00C71A4B"/>
    <w:rsid w:val="00C87C8C"/>
    <w:rsid w:val="00C94C22"/>
    <w:rsid w:val="00C9649F"/>
    <w:rsid w:val="00CA4D14"/>
    <w:rsid w:val="00CB0315"/>
    <w:rsid w:val="00CC27FB"/>
    <w:rsid w:val="00CD418F"/>
    <w:rsid w:val="00CD4B15"/>
    <w:rsid w:val="00CD714C"/>
    <w:rsid w:val="00CF4144"/>
    <w:rsid w:val="00D04B7E"/>
    <w:rsid w:val="00D0505A"/>
    <w:rsid w:val="00D13681"/>
    <w:rsid w:val="00D20507"/>
    <w:rsid w:val="00D40D4C"/>
    <w:rsid w:val="00D40D70"/>
    <w:rsid w:val="00D41AB2"/>
    <w:rsid w:val="00D420FF"/>
    <w:rsid w:val="00D5010D"/>
    <w:rsid w:val="00D56150"/>
    <w:rsid w:val="00D57DCC"/>
    <w:rsid w:val="00D771B6"/>
    <w:rsid w:val="00DA4B54"/>
    <w:rsid w:val="00DB181C"/>
    <w:rsid w:val="00DB3087"/>
    <w:rsid w:val="00DC0851"/>
    <w:rsid w:val="00DC24FE"/>
    <w:rsid w:val="00DC3F23"/>
    <w:rsid w:val="00DC5E22"/>
    <w:rsid w:val="00DD1E2D"/>
    <w:rsid w:val="00DD3FA9"/>
    <w:rsid w:val="00DD64CA"/>
    <w:rsid w:val="00DD7889"/>
    <w:rsid w:val="00DE380D"/>
    <w:rsid w:val="00DE3838"/>
    <w:rsid w:val="00DE6B14"/>
    <w:rsid w:val="00DF03A2"/>
    <w:rsid w:val="00DF1C10"/>
    <w:rsid w:val="00E027B0"/>
    <w:rsid w:val="00E17384"/>
    <w:rsid w:val="00E26D53"/>
    <w:rsid w:val="00E2786F"/>
    <w:rsid w:val="00E27C3E"/>
    <w:rsid w:val="00E311AE"/>
    <w:rsid w:val="00E3170D"/>
    <w:rsid w:val="00E47A08"/>
    <w:rsid w:val="00E501CD"/>
    <w:rsid w:val="00E51A81"/>
    <w:rsid w:val="00E6133D"/>
    <w:rsid w:val="00E62215"/>
    <w:rsid w:val="00E63BD8"/>
    <w:rsid w:val="00E7140C"/>
    <w:rsid w:val="00E82A29"/>
    <w:rsid w:val="00E93BF5"/>
    <w:rsid w:val="00EA6F9B"/>
    <w:rsid w:val="00EB75A3"/>
    <w:rsid w:val="00EB75D6"/>
    <w:rsid w:val="00EC0EBE"/>
    <w:rsid w:val="00ED3A92"/>
    <w:rsid w:val="00EE320B"/>
    <w:rsid w:val="00EE3E7E"/>
    <w:rsid w:val="00F019CE"/>
    <w:rsid w:val="00F42304"/>
    <w:rsid w:val="00F43D9A"/>
    <w:rsid w:val="00F509D4"/>
    <w:rsid w:val="00F5274A"/>
    <w:rsid w:val="00F532C2"/>
    <w:rsid w:val="00F60D6A"/>
    <w:rsid w:val="00F649EE"/>
    <w:rsid w:val="00F65240"/>
    <w:rsid w:val="00F672E4"/>
    <w:rsid w:val="00F823D6"/>
    <w:rsid w:val="00F84B2F"/>
    <w:rsid w:val="00F904D6"/>
    <w:rsid w:val="00FA25BE"/>
    <w:rsid w:val="00FA71B6"/>
    <w:rsid w:val="00FC6602"/>
    <w:rsid w:val="00FC76B0"/>
    <w:rsid w:val="00FC7D60"/>
    <w:rsid w:val="00FD6F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22619"/>
  <w15:chartTrackingRefBased/>
  <w15:docId w15:val="{0BACA329-D68F-41E1-8712-30BE2256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780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B4F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autoRedefine/>
    <w:uiPriority w:val="9"/>
    <w:unhideWhenUsed/>
    <w:qFormat/>
    <w:rsid w:val="0052241F"/>
    <w:pPr>
      <w:keepNext/>
      <w:keepLines/>
      <w:spacing w:before="100" w:beforeAutospacing="1" w:after="100" w:afterAutospacing="1" w:line="480" w:lineRule="auto"/>
      <w:outlineLvl w:val="2"/>
    </w:pPr>
    <w:rPr>
      <w:rFonts w:ascii="Arial" w:eastAsiaTheme="majorEastAsia" w:hAnsi="Arial" w:cstheme="majorBidi"/>
      <w:color w:val="000000" w:themeColor="text1"/>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E6133D"/>
    <w:rPr>
      <w:sz w:val="16"/>
      <w:szCs w:val="16"/>
    </w:rPr>
  </w:style>
  <w:style w:type="paragraph" w:styleId="CommentText">
    <w:name w:val="annotation text"/>
    <w:basedOn w:val="Normal"/>
    <w:link w:val="CommentTextChar"/>
    <w:uiPriority w:val="99"/>
    <w:unhideWhenUsed/>
    <w:qFormat/>
    <w:rsid w:val="00E6133D"/>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qFormat/>
    <w:rsid w:val="00E6133D"/>
    <w:rPr>
      <w:rFonts w:ascii="Times New Roman" w:eastAsia="Times New Roman" w:hAnsi="Times New Roman" w:cs="Times New Roman"/>
      <w:sz w:val="20"/>
      <w:szCs w:val="20"/>
    </w:rPr>
  </w:style>
  <w:style w:type="character" w:styleId="Hyperlink">
    <w:name w:val="Hyperlink"/>
    <w:basedOn w:val="DefaultParagraphFont"/>
    <w:uiPriority w:val="99"/>
    <w:unhideWhenUsed/>
    <w:rsid w:val="00E6133D"/>
    <w:rPr>
      <w:color w:val="0000FF" w:themeColor="hyperlink"/>
      <w:u w:val="single"/>
    </w:rPr>
  </w:style>
  <w:style w:type="paragraph" w:styleId="BalloonText">
    <w:name w:val="Balloon Text"/>
    <w:basedOn w:val="Normal"/>
    <w:link w:val="BalloonTextChar"/>
    <w:uiPriority w:val="99"/>
    <w:semiHidden/>
    <w:unhideWhenUsed/>
    <w:rsid w:val="00E6133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33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6133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6133D"/>
    <w:rPr>
      <w:rFonts w:ascii="Times New Roman" w:eastAsia="Times New Roman" w:hAnsi="Times New Roman" w:cs="Times New Roman"/>
      <w:b/>
      <w:bCs/>
      <w:sz w:val="20"/>
      <w:szCs w:val="20"/>
    </w:rPr>
  </w:style>
  <w:style w:type="paragraph" w:customStyle="1" w:styleId="SMcaption">
    <w:name w:val="SM caption"/>
    <w:basedOn w:val="Normal"/>
    <w:qFormat/>
    <w:rsid w:val="00483D1D"/>
    <w:pPr>
      <w:spacing w:after="0"/>
    </w:pPr>
    <w:rPr>
      <w:rFonts w:ascii="Times New Roman" w:eastAsia="Times New Roman" w:hAnsi="Times New Roman" w:cs="Times New Roman"/>
      <w:sz w:val="24"/>
      <w:szCs w:val="20"/>
    </w:rPr>
  </w:style>
  <w:style w:type="paragraph" w:styleId="NormalWeb">
    <w:name w:val="Normal (Web)"/>
    <w:basedOn w:val="Normal"/>
    <w:uiPriority w:val="99"/>
    <w:semiHidden/>
    <w:rsid w:val="00483D1D"/>
    <w:pPr>
      <w:spacing w:after="0"/>
    </w:pPr>
    <w:rPr>
      <w:rFonts w:ascii="Times New Roman" w:eastAsia="Times New Roman" w:hAnsi="Times New Roman" w:cs="Times New Roman"/>
      <w:sz w:val="24"/>
      <w:szCs w:val="24"/>
    </w:rPr>
  </w:style>
  <w:style w:type="paragraph" w:customStyle="1" w:styleId="SMHeading">
    <w:name w:val="SM Heading"/>
    <w:basedOn w:val="Heading1"/>
    <w:qFormat/>
    <w:rsid w:val="005F780A"/>
    <w:pPr>
      <w:keepLines w:val="0"/>
      <w:spacing w:after="60"/>
    </w:pPr>
    <w:rPr>
      <w:rFonts w:ascii="Times New Roman" w:eastAsia="Times New Roman" w:hAnsi="Times New Roman" w:cs="Times New Roman"/>
      <w:b/>
      <w:bCs/>
      <w:color w:val="auto"/>
      <w:kern w:val="32"/>
      <w:sz w:val="24"/>
      <w:szCs w:val="24"/>
    </w:rPr>
  </w:style>
  <w:style w:type="paragraph" w:customStyle="1" w:styleId="SMSubheading">
    <w:name w:val="SM Subheading"/>
    <w:basedOn w:val="Normal"/>
    <w:qFormat/>
    <w:rsid w:val="005F780A"/>
    <w:pPr>
      <w:spacing w:after="0"/>
    </w:pPr>
    <w:rPr>
      <w:rFonts w:ascii="Times New Roman" w:eastAsia="Times New Roman" w:hAnsi="Times New Roman" w:cs="Times New Roman"/>
      <w:sz w:val="24"/>
      <w:szCs w:val="20"/>
      <w:u w:val="words"/>
    </w:rPr>
  </w:style>
  <w:style w:type="paragraph" w:customStyle="1" w:styleId="SMText">
    <w:name w:val="SM Text"/>
    <w:basedOn w:val="Normal"/>
    <w:qFormat/>
    <w:rsid w:val="005F780A"/>
    <w:pPr>
      <w:spacing w:after="0"/>
      <w:ind w:firstLine="480"/>
    </w:pPr>
    <w:rPr>
      <w:rFonts w:ascii="Times New Roman" w:eastAsia="Times New Roman" w:hAnsi="Times New Roman" w:cs="Times New Roman"/>
      <w:sz w:val="24"/>
      <w:szCs w:val="20"/>
    </w:rPr>
  </w:style>
  <w:style w:type="paragraph" w:styleId="Footer">
    <w:name w:val="footer"/>
    <w:basedOn w:val="Normal"/>
    <w:link w:val="FooterChar"/>
    <w:semiHidden/>
    <w:rsid w:val="005F780A"/>
    <w:pPr>
      <w:tabs>
        <w:tab w:val="center" w:pos="4680"/>
        <w:tab w:val="right" w:pos="9360"/>
      </w:tabs>
      <w:spacing w:after="0"/>
    </w:pPr>
    <w:rPr>
      <w:rFonts w:ascii="Times New Roman" w:eastAsia="Times New Roman" w:hAnsi="Times New Roman" w:cs="Times New Roman"/>
      <w:sz w:val="24"/>
      <w:szCs w:val="20"/>
    </w:rPr>
  </w:style>
  <w:style w:type="character" w:customStyle="1" w:styleId="FooterChar">
    <w:name w:val="Footer Char"/>
    <w:basedOn w:val="DefaultParagraphFont"/>
    <w:link w:val="Footer"/>
    <w:semiHidden/>
    <w:rsid w:val="005F780A"/>
    <w:rPr>
      <w:rFonts w:ascii="Times New Roman" w:eastAsia="Times New Roman" w:hAnsi="Times New Roman" w:cs="Times New Roman"/>
      <w:sz w:val="24"/>
      <w:szCs w:val="20"/>
    </w:rPr>
  </w:style>
  <w:style w:type="paragraph" w:styleId="FootnoteText">
    <w:name w:val="footnote text"/>
    <w:basedOn w:val="Normal"/>
    <w:link w:val="FootnoteTextChar"/>
    <w:uiPriority w:val="99"/>
    <w:semiHidden/>
    <w:rsid w:val="005F780A"/>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F780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F780A"/>
    <w:rPr>
      <w:vertAlign w:val="superscript"/>
    </w:rPr>
  </w:style>
  <w:style w:type="table" w:styleId="TableGrid">
    <w:name w:val="Table Grid"/>
    <w:basedOn w:val="TableNormal"/>
    <w:uiPriority w:val="39"/>
    <w:rsid w:val="005F780A"/>
    <w:pPr>
      <w:spacing w:after="0"/>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F780A"/>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0F4370"/>
    <w:pPr>
      <w:ind w:left="720"/>
      <w:contextualSpacing/>
    </w:pPr>
  </w:style>
  <w:style w:type="character" w:styleId="LineNumber">
    <w:name w:val="line number"/>
    <w:basedOn w:val="DefaultParagraphFont"/>
    <w:uiPriority w:val="99"/>
    <w:semiHidden/>
    <w:unhideWhenUsed/>
    <w:rsid w:val="00474DE9"/>
  </w:style>
  <w:style w:type="paragraph" w:styleId="Revision">
    <w:name w:val="Revision"/>
    <w:hidden/>
    <w:uiPriority w:val="99"/>
    <w:semiHidden/>
    <w:rsid w:val="00E3170D"/>
    <w:pPr>
      <w:spacing w:after="0"/>
    </w:pPr>
  </w:style>
  <w:style w:type="paragraph" w:styleId="Header">
    <w:name w:val="header"/>
    <w:basedOn w:val="Normal"/>
    <w:link w:val="HeaderChar"/>
    <w:uiPriority w:val="99"/>
    <w:unhideWhenUsed/>
    <w:rsid w:val="00D420FF"/>
    <w:pPr>
      <w:tabs>
        <w:tab w:val="center" w:pos="4513"/>
        <w:tab w:val="right" w:pos="9026"/>
      </w:tabs>
      <w:spacing w:after="0"/>
    </w:pPr>
  </w:style>
  <w:style w:type="character" w:customStyle="1" w:styleId="HeaderChar">
    <w:name w:val="Header Char"/>
    <w:basedOn w:val="DefaultParagraphFont"/>
    <w:link w:val="Header"/>
    <w:uiPriority w:val="99"/>
    <w:rsid w:val="00D420FF"/>
  </w:style>
  <w:style w:type="paragraph" w:customStyle="1" w:styleId="Style1">
    <w:name w:val="Style1"/>
    <w:basedOn w:val="Heading1"/>
    <w:link w:val="Style1Char"/>
    <w:qFormat/>
    <w:rsid w:val="004B4F7A"/>
    <w:rPr>
      <w:rFonts w:ascii="Arial" w:hAnsi="Arial"/>
      <w:b/>
      <w:color w:val="auto"/>
      <w:sz w:val="24"/>
    </w:rPr>
  </w:style>
  <w:style w:type="character" w:customStyle="1" w:styleId="Heading2Char">
    <w:name w:val="Heading 2 Char"/>
    <w:basedOn w:val="DefaultParagraphFont"/>
    <w:link w:val="Heading2"/>
    <w:uiPriority w:val="9"/>
    <w:rsid w:val="004B4F7A"/>
    <w:rPr>
      <w:rFonts w:asciiTheme="majorHAnsi" w:eastAsiaTheme="majorEastAsia" w:hAnsiTheme="majorHAnsi" w:cstheme="majorBidi"/>
      <w:color w:val="365F91" w:themeColor="accent1" w:themeShade="BF"/>
      <w:sz w:val="26"/>
      <w:szCs w:val="26"/>
    </w:rPr>
  </w:style>
  <w:style w:type="character" w:customStyle="1" w:styleId="Style1Char">
    <w:name w:val="Style1 Char"/>
    <w:basedOn w:val="Heading1Char"/>
    <w:link w:val="Style1"/>
    <w:rsid w:val="004B4F7A"/>
    <w:rPr>
      <w:rFonts w:ascii="Arial" w:eastAsiaTheme="majorEastAsia" w:hAnsi="Arial" w:cstheme="majorBidi"/>
      <w:b/>
      <w:color w:val="365F91" w:themeColor="accent1" w:themeShade="BF"/>
      <w:sz w:val="24"/>
      <w:szCs w:val="32"/>
    </w:rPr>
  </w:style>
  <w:style w:type="paragraph" w:customStyle="1" w:styleId="Style2">
    <w:name w:val="Style2"/>
    <w:basedOn w:val="Normal"/>
    <w:link w:val="Style2Char"/>
    <w:rsid w:val="004B4F7A"/>
    <w:pPr>
      <w:spacing w:before="100" w:beforeAutospacing="1" w:after="100" w:afterAutospacing="1" w:line="480" w:lineRule="auto"/>
    </w:pPr>
    <w:rPr>
      <w:rFonts w:ascii="Arial" w:hAnsi="Arial"/>
      <w:sz w:val="20"/>
    </w:rPr>
  </w:style>
  <w:style w:type="paragraph" w:customStyle="1" w:styleId="Style3">
    <w:name w:val="Style3"/>
    <w:basedOn w:val="Heading2"/>
    <w:link w:val="Style3Char"/>
    <w:autoRedefine/>
    <w:qFormat/>
    <w:rsid w:val="002F3026"/>
    <w:pPr>
      <w:spacing w:before="100" w:beforeAutospacing="1" w:after="100" w:afterAutospacing="1" w:line="480" w:lineRule="auto"/>
    </w:pPr>
    <w:rPr>
      <w:rFonts w:ascii="Arial" w:hAnsi="Arial" w:cs="Arial"/>
      <w:bCs/>
      <w:color w:val="000000" w:themeColor="text1"/>
      <w:sz w:val="20"/>
    </w:rPr>
  </w:style>
  <w:style w:type="character" w:customStyle="1" w:styleId="Style2Char">
    <w:name w:val="Style2 Char"/>
    <w:basedOn w:val="DefaultParagraphFont"/>
    <w:link w:val="Style2"/>
    <w:rsid w:val="004B4F7A"/>
    <w:rPr>
      <w:rFonts w:ascii="Arial" w:hAnsi="Arial"/>
      <w:sz w:val="20"/>
    </w:rPr>
  </w:style>
  <w:style w:type="character" w:customStyle="1" w:styleId="Heading3Char">
    <w:name w:val="Heading 3 Char"/>
    <w:basedOn w:val="DefaultParagraphFont"/>
    <w:link w:val="Heading3"/>
    <w:uiPriority w:val="9"/>
    <w:rsid w:val="0052241F"/>
    <w:rPr>
      <w:rFonts w:ascii="Arial" w:eastAsiaTheme="majorEastAsia" w:hAnsi="Arial" w:cstheme="majorBidi"/>
      <w:color w:val="000000" w:themeColor="text1"/>
      <w:sz w:val="20"/>
      <w:szCs w:val="24"/>
    </w:rPr>
  </w:style>
  <w:style w:type="character" w:customStyle="1" w:styleId="Style3Char">
    <w:name w:val="Style3 Char"/>
    <w:basedOn w:val="Heading2Char"/>
    <w:link w:val="Style3"/>
    <w:rsid w:val="002F3026"/>
    <w:rPr>
      <w:rFonts w:ascii="Arial" w:eastAsiaTheme="majorEastAsia" w:hAnsi="Arial" w:cs="Arial"/>
      <w:bCs/>
      <w:color w:val="000000" w:themeColor="text1"/>
      <w:sz w:val="20"/>
      <w:szCs w:val="26"/>
    </w:rPr>
  </w:style>
  <w:style w:type="paragraph" w:styleId="NoSpacing">
    <w:name w:val="No Spacing"/>
    <w:uiPriority w:val="1"/>
    <w:qFormat/>
    <w:rsid w:val="00E93BF5"/>
    <w:pPr>
      <w:spacing w:after="0"/>
    </w:pPr>
  </w:style>
  <w:style w:type="character" w:customStyle="1" w:styleId="UnresolvedMention1">
    <w:name w:val="Unresolved Mention1"/>
    <w:basedOn w:val="DefaultParagraphFont"/>
    <w:uiPriority w:val="99"/>
    <w:semiHidden/>
    <w:unhideWhenUsed/>
    <w:rsid w:val="002703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beth.jefferies@york.ac.uk"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nitrc.org/projects/conn" TargetMode="External"/><Relationship Id="rId17" Type="http://schemas.openxmlformats.org/officeDocument/2006/relationships/hyperlink" Target="mailto:wangxiuyi16@gmail.com" TargetMode="External"/><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mailto:beth.jefferies@york.ac.uk"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eth.jefferies@york.ac.uk"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mailto:wangxiuyi16@gmail.com"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mailto:wangxiuyi1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B1DA7-1374-F446-99D5-257C88E47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75</Pages>
  <Words>89888</Words>
  <Characters>512368</Characters>
  <Application>Microsoft Office Word</Application>
  <DocSecurity>0</DocSecurity>
  <Lines>4269</Lines>
  <Paragraphs>1202</Paragraphs>
  <ScaleCrop>false</ScaleCrop>
  <HeadingPairs>
    <vt:vector size="2" baseType="variant">
      <vt:variant>
        <vt:lpstr>Title</vt:lpstr>
      </vt:variant>
      <vt:variant>
        <vt:i4>1</vt:i4>
      </vt:variant>
    </vt:vector>
  </HeadingPairs>
  <TitlesOfParts>
    <vt:vector size="1" baseType="lpstr">
      <vt:lpstr/>
    </vt:vector>
  </TitlesOfParts>
  <Company>The National Academies</Company>
  <LinksUpToDate>false</LinksUpToDate>
  <CharactersWithSpaces>601054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Shuler, Megan</dc:creator>
  <cp:keywords/>
  <dc:description/>
  <cp:lastModifiedBy>Microsoft Office User</cp:lastModifiedBy>
  <cp:revision>5</cp:revision>
  <cp:lastPrinted>2020-05-21T16:37:00Z</cp:lastPrinted>
  <dcterms:created xsi:type="dcterms:W3CDTF">2020-05-21T16:37:00Z</dcterms:created>
  <dcterms:modified xsi:type="dcterms:W3CDTF">2020-06-19T22:22:00Z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60aed736-c739-34a0-9701-b74adbab3cc4</vt:lpwstr>
  </property>
  <property fmtid="{D5CDD505-2E9C-101B-9397-08002B2CF9AE}" pid="4" name="Mendeley Citation Style_1">
    <vt:lpwstr>http://www.zotero.org/styles/neuroimage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http://www.zotero.org/styles/neuroimage</vt:lpwstr>
  </property>
  <property fmtid="{D5CDD505-2E9C-101B-9397-08002B2CF9AE}" pid="24" name="Mendeley Recent Style Name 9_1">
    <vt:lpwstr>NeuroImage</vt:lpwstr>
  </property>
</Properties>
</file>