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34AC1" w14:textId="26607710" w:rsidR="00431CC3" w:rsidRPr="00794A22" w:rsidRDefault="00431CC3" w:rsidP="00586D9D">
      <w:pPr>
        <w:jc w:val="center"/>
        <w:rPr>
          <w:b/>
          <w:bCs/>
          <w:sz w:val="28"/>
          <w:szCs w:val="28"/>
        </w:rPr>
      </w:pPr>
      <w:bookmarkStart w:id="0" w:name="_GoBack"/>
      <w:bookmarkEnd w:id="0"/>
      <w:r w:rsidRPr="00794A22">
        <w:rPr>
          <w:b/>
          <w:bCs/>
          <w:sz w:val="28"/>
          <w:szCs w:val="28"/>
        </w:rPr>
        <w:t xml:space="preserve">Stress CMR Imaging for Stable Chest Pain Syndromes: </w:t>
      </w:r>
      <w:r w:rsidR="00717230">
        <w:rPr>
          <w:b/>
          <w:bCs/>
          <w:sz w:val="28"/>
          <w:szCs w:val="28"/>
        </w:rPr>
        <w:t>u</w:t>
      </w:r>
      <w:r w:rsidR="00292183" w:rsidRPr="00794A22">
        <w:rPr>
          <w:b/>
          <w:bCs/>
          <w:sz w:val="28"/>
          <w:szCs w:val="28"/>
        </w:rPr>
        <w:t>nder-used and under</w:t>
      </w:r>
      <w:r w:rsidRPr="00794A22">
        <w:rPr>
          <w:b/>
          <w:bCs/>
          <w:sz w:val="28"/>
          <w:szCs w:val="28"/>
        </w:rPr>
        <w:t>valued?</w:t>
      </w:r>
    </w:p>
    <w:p w14:paraId="64279CF0" w14:textId="77777777" w:rsidR="00431CC3" w:rsidRDefault="00431CC3">
      <w:pPr>
        <w:rPr>
          <w:b/>
          <w:bCs/>
          <w:sz w:val="24"/>
          <w:szCs w:val="24"/>
        </w:rPr>
      </w:pPr>
    </w:p>
    <w:p w14:paraId="43056500" w14:textId="1AAE0636" w:rsidR="00717230" w:rsidRPr="00794A22" w:rsidRDefault="00717230" w:rsidP="00717230">
      <w:pPr>
        <w:jc w:val="center"/>
        <w:rPr>
          <w:b/>
          <w:bCs/>
          <w:sz w:val="24"/>
          <w:szCs w:val="24"/>
        </w:rPr>
      </w:pPr>
      <w:r>
        <w:rPr>
          <w:b/>
          <w:bCs/>
          <w:sz w:val="24"/>
          <w:szCs w:val="24"/>
        </w:rPr>
        <w:t>Running title: Stress CMR: u</w:t>
      </w:r>
      <w:r w:rsidRPr="00717230">
        <w:rPr>
          <w:b/>
          <w:bCs/>
          <w:sz w:val="24"/>
          <w:szCs w:val="24"/>
        </w:rPr>
        <w:t>nder-used and undervalued?</w:t>
      </w:r>
    </w:p>
    <w:p w14:paraId="2AF01790" w14:textId="77777777" w:rsidR="00717230" w:rsidRDefault="00717230" w:rsidP="00717230">
      <w:pPr>
        <w:jc w:val="center"/>
        <w:rPr>
          <w:b/>
          <w:bCs/>
          <w:sz w:val="24"/>
          <w:szCs w:val="24"/>
        </w:rPr>
      </w:pPr>
    </w:p>
    <w:p w14:paraId="16109E1F" w14:textId="72A2F5B5" w:rsidR="006D2229" w:rsidRPr="00794A22" w:rsidRDefault="00431CC3" w:rsidP="00717230">
      <w:pPr>
        <w:jc w:val="center"/>
        <w:rPr>
          <w:b/>
          <w:bCs/>
          <w:sz w:val="24"/>
          <w:szCs w:val="24"/>
        </w:rPr>
      </w:pPr>
      <w:r w:rsidRPr="00794A22">
        <w:rPr>
          <w:b/>
          <w:bCs/>
          <w:sz w:val="24"/>
          <w:szCs w:val="24"/>
        </w:rPr>
        <w:t xml:space="preserve">John P. Greenwood, </w:t>
      </w:r>
      <w:proofErr w:type="spellStart"/>
      <w:r w:rsidRPr="00794A22">
        <w:rPr>
          <w:b/>
          <w:bCs/>
          <w:sz w:val="24"/>
          <w:szCs w:val="24"/>
        </w:rPr>
        <w:t>MBChB</w:t>
      </w:r>
      <w:proofErr w:type="spellEnd"/>
      <w:r w:rsidRPr="00794A22">
        <w:rPr>
          <w:b/>
          <w:bCs/>
          <w:sz w:val="24"/>
          <w:szCs w:val="24"/>
        </w:rPr>
        <w:t xml:space="preserve">, PhD, </w:t>
      </w:r>
      <w:proofErr w:type="gramStart"/>
      <w:r w:rsidRPr="00794A22">
        <w:rPr>
          <w:b/>
          <w:bCs/>
          <w:sz w:val="24"/>
          <w:szCs w:val="24"/>
        </w:rPr>
        <w:t>FRCP(</w:t>
      </w:r>
      <w:proofErr w:type="gramEnd"/>
      <w:r w:rsidRPr="00794A22">
        <w:rPr>
          <w:b/>
          <w:bCs/>
          <w:sz w:val="24"/>
          <w:szCs w:val="24"/>
        </w:rPr>
        <w:t>UK)</w:t>
      </w:r>
      <w:r w:rsidRPr="00794A22">
        <w:rPr>
          <w:b/>
          <w:bCs/>
          <w:sz w:val="24"/>
          <w:szCs w:val="24"/>
          <w:vertAlign w:val="superscript"/>
        </w:rPr>
        <w:t>1,2</w:t>
      </w:r>
      <w:r w:rsidRPr="00794A22">
        <w:rPr>
          <w:b/>
          <w:bCs/>
          <w:sz w:val="24"/>
          <w:szCs w:val="24"/>
        </w:rPr>
        <w:t xml:space="preserve">, </w:t>
      </w:r>
      <w:r w:rsidR="006001EC" w:rsidRPr="00794A22">
        <w:rPr>
          <w:b/>
          <w:bCs/>
          <w:sz w:val="24"/>
          <w:szCs w:val="24"/>
        </w:rPr>
        <w:t xml:space="preserve">and </w:t>
      </w:r>
      <w:r w:rsidRPr="00794A22">
        <w:rPr>
          <w:b/>
          <w:bCs/>
          <w:sz w:val="24"/>
          <w:szCs w:val="24"/>
        </w:rPr>
        <w:t xml:space="preserve">Simon </w:t>
      </w:r>
      <w:r w:rsidR="006D2229" w:rsidRPr="00794A22">
        <w:rPr>
          <w:b/>
          <w:bCs/>
          <w:sz w:val="24"/>
          <w:szCs w:val="24"/>
        </w:rPr>
        <w:t>Walker</w:t>
      </w:r>
      <w:r w:rsidRPr="00794A22">
        <w:rPr>
          <w:b/>
          <w:bCs/>
          <w:sz w:val="24"/>
          <w:szCs w:val="24"/>
        </w:rPr>
        <w:t xml:space="preserve">, </w:t>
      </w:r>
      <w:r w:rsidR="0026437A" w:rsidRPr="00794A22">
        <w:rPr>
          <w:b/>
          <w:bCs/>
          <w:sz w:val="24"/>
          <w:szCs w:val="24"/>
        </w:rPr>
        <w:t xml:space="preserve">MSc </w:t>
      </w:r>
      <w:r w:rsidRPr="00794A22">
        <w:rPr>
          <w:b/>
          <w:bCs/>
          <w:sz w:val="24"/>
          <w:szCs w:val="24"/>
          <w:vertAlign w:val="superscript"/>
        </w:rPr>
        <w:t>3</w:t>
      </w:r>
    </w:p>
    <w:p w14:paraId="63A53665" w14:textId="77777777" w:rsidR="00431CC3" w:rsidRPr="00794A22" w:rsidRDefault="00431CC3">
      <w:pPr>
        <w:rPr>
          <w:sz w:val="24"/>
          <w:szCs w:val="24"/>
        </w:rPr>
      </w:pPr>
    </w:p>
    <w:p w14:paraId="5A3B663D" w14:textId="6E049324" w:rsidR="00431CC3" w:rsidRPr="00794A22" w:rsidRDefault="00431CC3" w:rsidP="00431CC3">
      <w:pPr>
        <w:rPr>
          <w:sz w:val="24"/>
          <w:szCs w:val="24"/>
        </w:rPr>
      </w:pPr>
      <w:r w:rsidRPr="00794A22">
        <w:rPr>
          <w:sz w:val="24"/>
          <w:szCs w:val="24"/>
        </w:rPr>
        <w:t>1. Multidisciplinary Cardiovascular Research Centre (MCRC) &amp; Leeds Institute of Cardiovascular and Metabolic Medicine, University of Leeds, Leeds, UK</w:t>
      </w:r>
    </w:p>
    <w:p w14:paraId="3C363B99" w14:textId="21A4573E" w:rsidR="00431CC3" w:rsidRPr="00794A22" w:rsidRDefault="00431CC3" w:rsidP="00431CC3">
      <w:pPr>
        <w:rPr>
          <w:sz w:val="24"/>
          <w:szCs w:val="24"/>
        </w:rPr>
      </w:pPr>
      <w:r w:rsidRPr="00794A22">
        <w:rPr>
          <w:sz w:val="24"/>
          <w:szCs w:val="24"/>
        </w:rPr>
        <w:t>2. Leeds Teaching Hospital NHS Trust, Leeds, UK</w:t>
      </w:r>
    </w:p>
    <w:p w14:paraId="2479576F" w14:textId="356D467F" w:rsidR="00431CC3" w:rsidRPr="00794A22" w:rsidRDefault="00431CC3" w:rsidP="00431CC3">
      <w:pPr>
        <w:rPr>
          <w:sz w:val="24"/>
          <w:szCs w:val="24"/>
        </w:rPr>
      </w:pPr>
      <w:r w:rsidRPr="00794A22">
        <w:rPr>
          <w:sz w:val="24"/>
          <w:szCs w:val="24"/>
        </w:rPr>
        <w:t>3. Centre for Health Economics, University of York, York, UK</w:t>
      </w:r>
    </w:p>
    <w:p w14:paraId="5E1BFE36" w14:textId="77777777" w:rsidR="00431CC3" w:rsidRPr="00794A22" w:rsidRDefault="00431CC3">
      <w:pPr>
        <w:rPr>
          <w:sz w:val="24"/>
          <w:szCs w:val="24"/>
        </w:rPr>
      </w:pPr>
    </w:p>
    <w:p w14:paraId="4AA1A2FF" w14:textId="5E3D4897" w:rsidR="00586D9D" w:rsidRPr="00794A22" w:rsidRDefault="00586D9D">
      <w:pPr>
        <w:rPr>
          <w:sz w:val="24"/>
          <w:szCs w:val="24"/>
        </w:rPr>
      </w:pPr>
      <w:r w:rsidRPr="00794A22">
        <w:rPr>
          <w:b/>
          <w:sz w:val="24"/>
          <w:szCs w:val="24"/>
        </w:rPr>
        <w:t>Article type</w:t>
      </w:r>
      <w:r w:rsidRPr="00794A22">
        <w:rPr>
          <w:sz w:val="24"/>
          <w:szCs w:val="24"/>
        </w:rPr>
        <w:t>: Commissioned Editorial</w:t>
      </w:r>
    </w:p>
    <w:p w14:paraId="35F6F5B7" w14:textId="77777777" w:rsidR="00586D9D" w:rsidRPr="00794A22" w:rsidRDefault="00586D9D">
      <w:pPr>
        <w:rPr>
          <w:sz w:val="24"/>
          <w:szCs w:val="24"/>
        </w:rPr>
      </w:pPr>
    </w:p>
    <w:p w14:paraId="72F442FE" w14:textId="5AE7460D" w:rsidR="00431CC3" w:rsidRPr="00794A22" w:rsidRDefault="00586D9D">
      <w:pPr>
        <w:rPr>
          <w:sz w:val="24"/>
          <w:szCs w:val="24"/>
        </w:rPr>
      </w:pPr>
      <w:r w:rsidRPr="00794A22">
        <w:rPr>
          <w:b/>
          <w:sz w:val="24"/>
          <w:szCs w:val="24"/>
        </w:rPr>
        <w:t>Funding</w:t>
      </w:r>
      <w:r w:rsidRPr="00794A22">
        <w:rPr>
          <w:sz w:val="24"/>
          <w:szCs w:val="24"/>
        </w:rPr>
        <w:t>: None</w:t>
      </w:r>
    </w:p>
    <w:p w14:paraId="1FBB0143" w14:textId="77777777" w:rsidR="00431CC3" w:rsidRPr="00794A22" w:rsidRDefault="00431CC3">
      <w:pPr>
        <w:rPr>
          <w:sz w:val="24"/>
          <w:szCs w:val="24"/>
        </w:rPr>
      </w:pPr>
    </w:p>
    <w:p w14:paraId="3EAAFBB2" w14:textId="77777777" w:rsidR="00431CC3" w:rsidRPr="00794A22" w:rsidRDefault="00431CC3">
      <w:pPr>
        <w:rPr>
          <w:sz w:val="24"/>
          <w:szCs w:val="24"/>
        </w:rPr>
      </w:pPr>
      <w:r w:rsidRPr="00794A22">
        <w:rPr>
          <w:b/>
          <w:sz w:val="24"/>
          <w:szCs w:val="24"/>
        </w:rPr>
        <w:t>Conflicts of interest:</w:t>
      </w:r>
      <w:r w:rsidRPr="00794A22">
        <w:rPr>
          <w:sz w:val="24"/>
          <w:szCs w:val="24"/>
        </w:rPr>
        <w:t xml:space="preserve"> None</w:t>
      </w:r>
    </w:p>
    <w:p w14:paraId="0BE51C6B" w14:textId="77777777" w:rsidR="00431CC3" w:rsidRPr="00794A22" w:rsidRDefault="00431CC3">
      <w:pPr>
        <w:rPr>
          <w:sz w:val="24"/>
          <w:szCs w:val="24"/>
        </w:rPr>
      </w:pPr>
    </w:p>
    <w:p w14:paraId="53DC3F25" w14:textId="5DC4752E" w:rsidR="00586D9D" w:rsidRPr="00794A22" w:rsidRDefault="00557B78">
      <w:pPr>
        <w:rPr>
          <w:sz w:val="24"/>
          <w:szCs w:val="24"/>
        </w:rPr>
      </w:pPr>
      <w:r w:rsidRPr="00794A22">
        <w:rPr>
          <w:b/>
          <w:sz w:val="24"/>
          <w:szCs w:val="24"/>
        </w:rPr>
        <w:t>Text w</w:t>
      </w:r>
      <w:r w:rsidR="00431CC3" w:rsidRPr="00794A22">
        <w:rPr>
          <w:b/>
          <w:sz w:val="24"/>
          <w:szCs w:val="24"/>
        </w:rPr>
        <w:t>ord count</w:t>
      </w:r>
      <w:r w:rsidR="00431CC3" w:rsidRPr="00794A22">
        <w:rPr>
          <w:sz w:val="24"/>
          <w:szCs w:val="24"/>
        </w:rPr>
        <w:t xml:space="preserve">: </w:t>
      </w:r>
      <w:r w:rsidR="0036685B" w:rsidRPr="00794A22">
        <w:rPr>
          <w:sz w:val="24"/>
          <w:szCs w:val="24"/>
        </w:rPr>
        <w:t>12</w:t>
      </w:r>
      <w:r w:rsidR="00744DAA">
        <w:rPr>
          <w:sz w:val="24"/>
          <w:szCs w:val="24"/>
        </w:rPr>
        <w:t>32</w:t>
      </w:r>
    </w:p>
    <w:p w14:paraId="1F03E607" w14:textId="77777777" w:rsidR="00586D9D" w:rsidRPr="00794A22" w:rsidRDefault="00586D9D">
      <w:pPr>
        <w:rPr>
          <w:sz w:val="24"/>
          <w:szCs w:val="24"/>
        </w:rPr>
      </w:pPr>
    </w:p>
    <w:p w14:paraId="5083ADD7" w14:textId="75775143" w:rsidR="00586D9D" w:rsidRPr="00794A22" w:rsidRDefault="00586D9D" w:rsidP="00586D9D">
      <w:pPr>
        <w:rPr>
          <w:b/>
          <w:sz w:val="24"/>
          <w:szCs w:val="24"/>
        </w:rPr>
      </w:pPr>
      <w:r w:rsidRPr="00794A22">
        <w:rPr>
          <w:b/>
          <w:sz w:val="24"/>
          <w:szCs w:val="24"/>
        </w:rPr>
        <w:t>Address for correspondence:</w:t>
      </w:r>
    </w:p>
    <w:p w14:paraId="66B1005F" w14:textId="41DAD02E" w:rsidR="00586D9D" w:rsidRPr="00794A22" w:rsidRDefault="00586D9D" w:rsidP="00586D9D">
      <w:pPr>
        <w:spacing w:after="0" w:line="360" w:lineRule="auto"/>
        <w:rPr>
          <w:sz w:val="24"/>
          <w:szCs w:val="24"/>
        </w:rPr>
      </w:pPr>
      <w:r w:rsidRPr="00794A22">
        <w:rPr>
          <w:sz w:val="24"/>
          <w:szCs w:val="24"/>
        </w:rPr>
        <w:t>Prof</w:t>
      </w:r>
      <w:r w:rsidR="00765C50" w:rsidRPr="00794A22">
        <w:rPr>
          <w:sz w:val="24"/>
          <w:szCs w:val="24"/>
        </w:rPr>
        <w:t>essor</w:t>
      </w:r>
      <w:r w:rsidRPr="00794A22">
        <w:rPr>
          <w:sz w:val="24"/>
          <w:szCs w:val="24"/>
        </w:rPr>
        <w:t xml:space="preserve"> John P. Greenwood, </w:t>
      </w:r>
    </w:p>
    <w:p w14:paraId="2C159285" w14:textId="77777777" w:rsidR="00586D9D" w:rsidRPr="00794A22" w:rsidRDefault="00586D9D" w:rsidP="00586D9D">
      <w:pPr>
        <w:spacing w:after="0" w:line="360" w:lineRule="auto"/>
        <w:rPr>
          <w:sz w:val="24"/>
          <w:szCs w:val="24"/>
        </w:rPr>
      </w:pPr>
      <w:r w:rsidRPr="00794A22">
        <w:rPr>
          <w:sz w:val="24"/>
          <w:szCs w:val="24"/>
        </w:rPr>
        <w:t xml:space="preserve">Multidisciplinary Cardiovascular Research Centre &amp; </w:t>
      </w:r>
      <w:proofErr w:type="gramStart"/>
      <w:r w:rsidRPr="00794A22">
        <w:rPr>
          <w:sz w:val="24"/>
          <w:szCs w:val="24"/>
        </w:rPr>
        <w:t>The</w:t>
      </w:r>
      <w:proofErr w:type="gramEnd"/>
      <w:r w:rsidRPr="00794A22">
        <w:rPr>
          <w:sz w:val="24"/>
          <w:szCs w:val="24"/>
        </w:rPr>
        <w:t xml:space="preserve"> Division of Biomedical Imaging, Leeds Institute of Cardiovascular and Metabolic Medicine, University of Leeds, Leeds, </w:t>
      </w:r>
    </w:p>
    <w:p w14:paraId="4B69FB9C" w14:textId="52A2CD0F" w:rsidR="00586D9D" w:rsidRPr="00794A22" w:rsidRDefault="00586D9D" w:rsidP="00586D9D">
      <w:pPr>
        <w:spacing w:after="0" w:line="360" w:lineRule="auto"/>
        <w:rPr>
          <w:sz w:val="24"/>
          <w:szCs w:val="24"/>
        </w:rPr>
      </w:pPr>
      <w:r w:rsidRPr="00794A22">
        <w:rPr>
          <w:sz w:val="24"/>
          <w:szCs w:val="24"/>
        </w:rPr>
        <w:t>LS2 9JT, United Kingdom</w:t>
      </w:r>
    </w:p>
    <w:p w14:paraId="5F144E78" w14:textId="4BEE17AC" w:rsidR="00431CC3" w:rsidRPr="00794A22" w:rsidRDefault="00586D9D" w:rsidP="00586D9D">
      <w:pPr>
        <w:spacing w:after="0" w:line="360" w:lineRule="auto"/>
        <w:rPr>
          <w:sz w:val="24"/>
          <w:szCs w:val="24"/>
        </w:rPr>
      </w:pPr>
      <w:r w:rsidRPr="00794A22">
        <w:rPr>
          <w:sz w:val="24"/>
          <w:szCs w:val="24"/>
        </w:rPr>
        <w:t>Tel +44 113 3925398</w:t>
      </w:r>
      <w:r w:rsidRPr="00794A22">
        <w:rPr>
          <w:sz w:val="24"/>
          <w:szCs w:val="24"/>
        </w:rPr>
        <w:tab/>
        <w:t xml:space="preserve"> </w:t>
      </w:r>
      <w:r w:rsidR="00765C50" w:rsidRPr="00794A22">
        <w:rPr>
          <w:sz w:val="24"/>
          <w:szCs w:val="24"/>
        </w:rPr>
        <w:t xml:space="preserve">   </w:t>
      </w:r>
      <w:r w:rsidRPr="00794A22">
        <w:rPr>
          <w:sz w:val="24"/>
          <w:szCs w:val="24"/>
        </w:rPr>
        <w:t xml:space="preserve">  Fax +44 113 3926022</w:t>
      </w:r>
      <w:r w:rsidRPr="00794A22">
        <w:rPr>
          <w:sz w:val="24"/>
          <w:szCs w:val="24"/>
        </w:rPr>
        <w:tab/>
        <w:t>E-mail:</w:t>
      </w:r>
      <w:r w:rsidR="00765C50" w:rsidRPr="00794A22">
        <w:rPr>
          <w:sz w:val="24"/>
          <w:szCs w:val="24"/>
        </w:rPr>
        <w:t xml:space="preserve"> </w:t>
      </w:r>
      <w:r w:rsidRPr="00794A22">
        <w:rPr>
          <w:sz w:val="24"/>
          <w:szCs w:val="24"/>
        </w:rPr>
        <w:t>j.greenwood@leeds.ac.uk</w:t>
      </w:r>
    </w:p>
    <w:p w14:paraId="0B96DE1E" w14:textId="77777777" w:rsidR="00586D9D" w:rsidRPr="00794A22" w:rsidRDefault="00586D9D">
      <w:pPr>
        <w:rPr>
          <w:sz w:val="24"/>
          <w:szCs w:val="24"/>
        </w:rPr>
      </w:pPr>
      <w:r w:rsidRPr="00794A22">
        <w:rPr>
          <w:sz w:val="24"/>
          <w:szCs w:val="24"/>
        </w:rPr>
        <w:br w:type="page"/>
      </w:r>
    </w:p>
    <w:p w14:paraId="54DF0DF3" w14:textId="3D921FA3" w:rsidR="00B12334" w:rsidRPr="00794A22" w:rsidRDefault="002201A0" w:rsidP="00101F14">
      <w:pPr>
        <w:spacing w:after="0" w:line="480" w:lineRule="auto"/>
        <w:ind w:firstLine="720"/>
        <w:rPr>
          <w:sz w:val="24"/>
          <w:szCs w:val="24"/>
        </w:rPr>
      </w:pPr>
      <w:r w:rsidRPr="00794A22">
        <w:rPr>
          <w:sz w:val="24"/>
          <w:szCs w:val="24"/>
        </w:rPr>
        <w:lastRenderedPageBreak/>
        <w:t xml:space="preserve">Over the </w:t>
      </w:r>
      <w:r w:rsidR="00586D9D" w:rsidRPr="00794A22">
        <w:rPr>
          <w:sz w:val="24"/>
          <w:szCs w:val="24"/>
        </w:rPr>
        <w:t>p</w:t>
      </w:r>
      <w:r w:rsidRPr="00794A22">
        <w:rPr>
          <w:sz w:val="24"/>
          <w:szCs w:val="24"/>
        </w:rPr>
        <w:t>ast decade</w:t>
      </w:r>
      <w:r w:rsidR="00B12334" w:rsidRPr="00794A22">
        <w:rPr>
          <w:sz w:val="24"/>
          <w:szCs w:val="24"/>
        </w:rPr>
        <w:t>,</w:t>
      </w:r>
      <w:r w:rsidRPr="00794A22">
        <w:rPr>
          <w:sz w:val="24"/>
          <w:szCs w:val="24"/>
        </w:rPr>
        <w:t xml:space="preserve"> </w:t>
      </w:r>
      <w:r w:rsidR="00B12334" w:rsidRPr="00794A22">
        <w:rPr>
          <w:sz w:val="24"/>
          <w:szCs w:val="24"/>
        </w:rPr>
        <w:t xml:space="preserve">in many developed healthcare systems, </w:t>
      </w:r>
      <w:r w:rsidRPr="00794A22">
        <w:rPr>
          <w:sz w:val="24"/>
          <w:szCs w:val="24"/>
        </w:rPr>
        <w:t xml:space="preserve">there has been dramatic increase in the use of </w:t>
      </w:r>
      <w:r w:rsidR="00B12334" w:rsidRPr="00794A22">
        <w:rPr>
          <w:sz w:val="24"/>
          <w:szCs w:val="24"/>
        </w:rPr>
        <w:t xml:space="preserve">stress </w:t>
      </w:r>
      <w:r w:rsidRPr="00794A22">
        <w:rPr>
          <w:sz w:val="24"/>
          <w:szCs w:val="24"/>
        </w:rPr>
        <w:t xml:space="preserve">CMR </w:t>
      </w:r>
      <w:r w:rsidR="00B12334" w:rsidRPr="00794A22">
        <w:rPr>
          <w:sz w:val="24"/>
          <w:szCs w:val="24"/>
        </w:rPr>
        <w:t xml:space="preserve">to aid both diagnosis and further management decisions in </w:t>
      </w:r>
      <w:r w:rsidR="00711C65" w:rsidRPr="00794A22">
        <w:rPr>
          <w:sz w:val="24"/>
          <w:szCs w:val="24"/>
        </w:rPr>
        <w:t xml:space="preserve">patients with </w:t>
      </w:r>
      <w:r w:rsidR="00B12334" w:rsidRPr="00794A22">
        <w:rPr>
          <w:sz w:val="24"/>
          <w:szCs w:val="24"/>
        </w:rPr>
        <w:t xml:space="preserve">stable chest pain syndromes. </w:t>
      </w:r>
      <w:r w:rsidR="0050433E" w:rsidRPr="00794A22">
        <w:rPr>
          <w:sz w:val="24"/>
          <w:szCs w:val="24"/>
        </w:rPr>
        <w:t xml:space="preserve">This has been driven by a strong evidence base and </w:t>
      </w:r>
      <w:r w:rsidR="00711C65" w:rsidRPr="00794A22">
        <w:rPr>
          <w:sz w:val="24"/>
          <w:szCs w:val="24"/>
        </w:rPr>
        <w:t xml:space="preserve">contemporary </w:t>
      </w:r>
      <w:r w:rsidR="0050433E" w:rsidRPr="00794A22">
        <w:rPr>
          <w:sz w:val="24"/>
          <w:szCs w:val="24"/>
        </w:rPr>
        <w:t xml:space="preserve">high-quality randomised trials that have led to a Class I recommendation </w:t>
      </w:r>
      <w:r w:rsidR="00711C65" w:rsidRPr="00794A22">
        <w:rPr>
          <w:sz w:val="24"/>
          <w:szCs w:val="24"/>
        </w:rPr>
        <w:t xml:space="preserve">by the European Society of Cardiology </w:t>
      </w:r>
      <w:r w:rsidR="0050433E" w:rsidRPr="00794A22">
        <w:rPr>
          <w:sz w:val="24"/>
          <w:szCs w:val="24"/>
        </w:rPr>
        <w:t xml:space="preserve">for the use of </w:t>
      </w:r>
      <w:r w:rsidR="004F0176">
        <w:rPr>
          <w:sz w:val="24"/>
          <w:szCs w:val="24"/>
        </w:rPr>
        <w:t xml:space="preserve">stress </w:t>
      </w:r>
      <w:r w:rsidR="0050433E" w:rsidRPr="00794A22">
        <w:rPr>
          <w:sz w:val="24"/>
          <w:szCs w:val="24"/>
        </w:rPr>
        <w:t>CMR as a first-line investigation</w:t>
      </w:r>
      <w:r w:rsidR="00805A92" w:rsidRPr="00794A22">
        <w:rPr>
          <w:sz w:val="24"/>
          <w:szCs w:val="24"/>
        </w:rPr>
        <w:t xml:space="preserve"> </w:t>
      </w:r>
      <w:r w:rsidR="0050433E" w:rsidRPr="00794A22">
        <w:rPr>
          <w:sz w:val="24"/>
          <w:szCs w:val="24"/>
        </w:rPr>
        <w:t>[</w:t>
      </w:r>
      <w:r w:rsidR="008D2C8F" w:rsidRPr="00794A22">
        <w:rPr>
          <w:sz w:val="24"/>
          <w:szCs w:val="24"/>
        </w:rPr>
        <w:t>1</w:t>
      </w:r>
      <w:r w:rsidR="0050433E" w:rsidRPr="00794A22">
        <w:rPr>
          <w:sz w:val="24"/>
          <w:szCs w:val="24"/>
        </w:rPr>
        <w:t xml:space="preserve">]. </w:t>
      </w:r>
    </w:p>
    <w:p w14:paraId="61D2E267" w14:textId="5929BCE2" w:rsidR="00711C65" w:rsidRPr="00794A22" w:rsidRDefault="00101F14" w:rsidP="00101F14">
      <w:pPr>
        <w:spacing w:after="0" w:line="480" w:lineRule="auto"/>
        <w:ind w:firstLine="720"/>
        <w:rPr>
          <w:sz w:val="24"/>
          <w:szCs w:val="24"/>
        </w:rPr>
      </w:pPr>
      <w:r w:rsidRPr="00794A22">
        <w:rPr>
          <w:sz w:val="24"/>
          <w:szCs w:val="24"/>
        </w:rPr>
        <w:t xml:space="preserve">CMR </w:t>
      </w:r>
      <w:r w:rsidR="00711C65" w:rsidRPr="00794A22">
        <w:rPr>
          <w:sz w:val="24"/>
          <w:szCs w:val="24"/>
        </w:rPr>
        <w:t xml:space="preserve">has </w:t>
      </w:r>
      <w:r w:rsidR="0036685B" w:rsidRPr="00794A22">
        <w:rPr>
          <w:sz w:val="24"/>
          <w:szCs w:val="24"/>
        </w:rPr>
        <w:t xml:space="preserve">a </w:t>
      </w:r>
      <w:r w:rsidR="00711C65" w:rsidRPr="00794A22">
        <w:rPr>
          <w:sz w:val="24"/>
          <w:szCs w:val="24"/>
        </w:rPr>
        <w:t xml:space="preserve">high </w:t>
      </w:r>
      <w:r w:rsidRPr="00794A22">
        <w:rPr>
          <w:sz w:val="24"/>
          <w:szCs w:val="24"/>
        </w:rPr>
        <w:t xml:space="preserve">diagnostic accuracy </w:t>
      </w:r>
      <w:r w:rsidR="00711C65" w:rsidRPr="00794A22">
        <w:rPr>
          <w:sz w:val="24"/>
          <w:szCs w:val="24"/>
        </w:rPr>
        <w:t xml:space="preserve">for </w:t>
      </w:r>
      <w:r w:rsidR="00A82DA6" w:rsidRPr="00794A22">
        <w:rPr>
          <w:sz w:val="24"/>
          <w:szCs w:val="24"/>
        </w:rPr>
        <w:t xml:space="preserve">the identification of significant </w:t>
      </w:r>
      <w:r w:rsidR="00711C65" w:rsidRPr="00794A22">
        <w:rPr>
          <w:sz w:val="24"/>
          <w:szCs w:val="24"/>
        </w:rPr>
        <w:t>obstructive coronary artery disease (CAD)</w:t>
      </w:r>
      <w:r w:rsidR="00A82DA6" w:rsidRPr="00794A22">
        <w:rPr>
          <w:sz w:val="24"/>
          <w:szCs w:val="24"/>
        </w:rPr>
        <w:t xml:space="preserve"> [</w:t>
      </w:r>
      <w:r w:rsidR="00DC40F0" w:rsidRPr="00794A22">
        <w:rPr>
          <w:sz w:val="24"/>
          <w:szCs w:val="24"/>
        </w:rPr>
        <w:t>2</w:t>
      </w:r>
      <w:proofErr w:type="gramStart"/>
      <w:r w:rsidR="00DC40F0" w:rsidRPr="00794A22">
        <w:rPr>
          <w:sz w:val="24"/>
          <w:szCs w:val="24"/>
        </w:rPr>
        <w:t>,</w:t>
      </w:r>
      <w:r w:rsidR="00BE0C32" w:rsidRPr="00794A22">
        <w:rPr>
          <w:sz w:val="24"/>
          <w:szCs w:val="24"/>
        </w:rPr>
        <w:t>3</w:t>
      </w:r>
      <w:proofErr w:type="gramEnd"/>
      <w:r w:rsidR="00A82DA6" w:rsidRPr="00794A22">
        <w:rPr>
          <w:sz w:val="24"/>
          <w:szCs w:val="24"/>
        </w:rPr>
        <w:t>] compared to invasive coronary angiography (ICA)</w:t>
      </w:r>
      <w:r w:rsidR="00184BA9">
        <w:rPr>
          <w:sz w:val="24"/>
          <w:szCs w:val="24"/>
        </w:rPr>
        <w:t>. M</w:t>
      </w:r>
      <w:r w:rsidR="004F0176">
        <w:rPr>
          <w:sz w:val="24"/>
          <w:szCs w:val="24"/>
        </w:rPr>
        <w:t xml:space="preserve">ore importantly, it </w:t>
      </w:r>
      <w:r w:rsidR="0036685B" w:rsidRPr="00794A22">
        <w:rPr>
          <w:sz w:val="24"/>
          <w:szCs w:val="24"/>
        </w:rPr>
        <w:t xml:space="preserve">is </w:t>
      </w:r>
      <w:r w:rsidR="00711C65" w:rsidRPr="00794A22">
        <w:rPr>
          <w:sz w:val="24"/>
          <w:szCs w:val="24"/>
        </w:rPr>
        <w:t>highly concordant with the reference standard invasive FFR</w:t>
      </w:r>
      <w:r w:rsidR="00A82DA6" w:rsidRPr="00794A22">
        <w:rPr>
          <w:sz w:val="24"/>
          <w:szCs w:val="24"/>
        </w:rPr>
        <w:t xml:space="preserve"> </w:t>
      </w:r>
      <w:r w:rsidR="00F32AD1" w:rsidRPr="00794A22">
        <w:rPr>
          <w:sz w:val="24"/>
          <w:szCs w:val="24"/>
        </w:rPr>
        <w:t xml:space="preserve">for myocardial ischemia </w:t>
      </w:r>
      <w:r w:rsidR="0036685B" w:rsidRPr="00794A22">
        <w:rPr>
          <w:sz w:val="24"/>
          <w:szCs w:val="24"/>
        </w:rPr>
        <w:t xml:space="preserve">detection </w:t>
      </w:r>
      <w:r w:rsidR="00A82DA6" w:rsidRPr="00794A22">
        <w:rPr>
          <w:sz w:val="24"/>
          <w:szCs w:val="24"/>
        </w:rPr>
        <w:t>[</w:t>
      </w:r>
      <w:r w:rsidR="00BE0C32" w:rsidRPr="00794A22">
        <w:rPr>
          <w:sz w:val="24"/>
          <w:szCs w:val="24"/>
        </w:rPr>
        <w:t>4</w:t>
      </w:r>
      <w:r w:rsidR="00A82DA6" w:rsidRPr="00794A22">
        <w:rPr>
          <w:sz w:val="24"/>
          <w:szCs w:val="24"/>
        </w:rPr>
        <w:t>]</w:t>
      </w:r>
      <w:r w:rsidR="00711C65" w:rsidRPr="00794A22">
        <w:rPr>
          <w:sz w:val="24"/>
          <w:szCs w:val="24"/>
        </w:rPr>
        <w:t>, which has been shown in clinical trials to deliver better patient outcomes compared to revascularisation decisions made by visual angiographic interpretation</w:t>
      </w:r>
      <w:r w:rsidR="00A82DA6" w:rsidRPr="00794A22">
        <w:rPr>
          <w:sz w:val="24"/>
          <w:szCs w:val="24"/>
        </w:rPr>
        <w:t xml:space="preserve"> [</w:t>
      </w:r>
      <w:r w:rsidR="00BE0C32" w:rsidRPr="00794A22">
        <w:rPr>
          <w:sz w:val="24"/>
          <w:szCs w:val="24"/>
        </w:rPr>
        <w:t>e.g.5</w:t>
      </w:r>
      <w:r w:rsidR="00A82DA6" w:rsidRPr="00794A22">
        <w:rPr>
          <w:sz w:val="24"/>
          <w:szCs w:val="24"/>
        </w:rPr>
        <w:t>]</w:t>
      </w:r>
      <w:r w:rsidR="00711C65" w:rsidRPr="00794A22">
        <w:rPr>
          <w:sz w:val="24"/>
          <w:szCs w:val="24"/>
        </w:rPr>
        <w:t xml:space="preserve">. </w:t>
      </w:r>
      <w:r w:rsidR="00C64E96">
        <w:rPr>
          <w:sz w:val="24"/>
          <w:szCs w:val="24"/>
        </w:rPr>
        <w:t xml:space="preserve">A </w:t>
      </w:r>
      <w:r w:rsidR="00232A6A" w:rsidRPr="00794A22">
        <w:rPr>
          <w:sz w:val="24"/>
          <w:szCs w:val="24"/>
        </w:rPr>
        <w:t xml:space="preserve">first-line strategy of stress CMR in patients with </w:t>
      </w:r>
      <w:r w:rsidR="00B93209">
        <w:rPr>
          <w:sz w:val="24"/>
          <w:szCs w:val="24"/>
        </w:rPr>
        <w:t xml:space="preserve">chest pain and </w:t>
      </w:r>
      <w:r w:rsidR="00232A6A" w:rsidRPr="00794A22">
        <w:rPr>
          <w:sz w:val="24"/>
          <w:szCs w:val="24"/>
        </w:rPr>
        <w:t xml:space="preserve">suspected </w:t>
      </w:r>
      <w:r w:rsidR="00B93209">
        <w:rPr>
          <w:sz w:val="24"/>
          <w:szCs w:val="24"/>
        </w:rPr>
        <w:t xml:space="preserve">or known CAD, </w:t>
      </w:r>
      <w:r w:rsidR="00232A6A" w:rsidRPr="00794A22">
        <w:rPr>
          <w:sz w:val="24"/>
          <w:szCs w:val="24"/>
        </w:rPr>
        <w:t xml:space="preserve">has recently </w:t>
      </w:r>
      <w:r w:rsidR="00B93209">
        <w:rPr>
          <w:sz w:val="24"/>
          <w:szCs w:val="24"/>
        </w:rPr>
        <w:t xml:space="preserve">been evaluated </w:t>
      </w:r>
      <w:r w:rsidR="00232A6A" w:rsidRPr="00794A22">
        <w:rPr>
          <w:sz w:val="24"/>
          <w:szCs w:val="24"/>
        </w:rPr>
        <w:t>in two large</w:t>
      </w:r>
      <w:r w:rsidR="00F32AD1" w:rsidRPr="00794A22">
        <w:rPr>
          <w:sz w:val="24"/>
          <w:szCs w:val="24"/>
        </w:rPr>
        <w:t>,</w:t>
      </w:r>
      <w:r w:rsidR="00232A6A" w:rsidRPr="00794A22">
        <w:rPr>
          <w:sz w:val="24"/>
          <w:szCs w:val="24"/>
        </w:rPr>
        <w:t xml:space="preserve"> </w:t>
      </w:r>
      <w:r w:rsidR="00F32AD1" w:rsidRPr="00794A22">
        <w:rPr>
          <w:sz w:val="24"/>
          <w:szCs w:val="24"/>
        </w:rPr>
        <w:t>multi-centre, clinical trials</w:t>
      </w:r>
      <w:r w:rsidR="00B93209">
        <w:rPr>
          <w:sz w:val="24"/>
          <w:szCs w:val="24"/>
        </w:rPr>
        <w:t xml:space="preserve">. </w:t>
      </w:r>
      <w:r w:rsidR="00F32AD1" w:rsidRPr="00794A22">
        <w:rPr>
          <w:sz w:val="24"/>
          <w:szCs w:val="24"/>
        </w:rPr>
        <w:t xml:space="preserve"> </w:t>
      </w:r>
      <w:r w:rsidR="00184BA9">
        <w:rPr>
          <w:sz w:val="24"/>
          <w:szCs w:val="24"/>
        </w:rPr>
        <w:t xml:space="preserve">These showed </w:t>
      </w:r>
      <w:r w:rsidR="00232A6A" w:rsidRPr="00794A22">
        <w:rPr>
          <w:sz w:val="24"/>
          <w:szCs w:val="24"/>
        </w:rPr>
        <w:t xml:space="preserve">that </w:t>
      </w:r>
      <w:r w:rsidR="00184BA9">
        <w:rPr>
          <w:sz w:val="24"/>
          <w:szCs w:val="24"/>
        </w:rPr>
        <w:t xml:space="preserve">stress CMR </w:t>
      </w:r>
      <w:r w:rsidR="00232A6A" w:rsidRPr="00794A22">
        <w:rPr>
          <w:sz w:val="24"/>
          <w:szCs w:val="24"/>
        </w:rPr>
        <w:t xml:space="preserve">is 1) a highly effective gatekeeper for </w:t>
      </w:r>
      <w:r w:rsidR="00F32AD1" w:rsidRPr="00794A22">
        <w:rPr>
          <w:sz w:val="24"/>
          <w:szCs w:val="24"/>
        </w:rPr>
        <w:t xml:space="preserve">the </w:t>
      </w:r>
      <w:r w:rsidR="00232A6A" w:rsidRPr="00794A22">
        <w:rPr>
          <w:sz w:val="24"/>
          <w:szCs w:val="24"/>
        </w:rPr>
        <w:t>catheter-lab, significantly reducing the rates of ‘unnecessary’ ICA compared to management according to the UK NICE 2010 chest pain guideline</w:t>
      </w:r>
      <w:r w:rsidR="00F2204A" w:rsidRPr="00794A22">
        <w:rPr>
          <w:sz w:val="24"/>
          <w:szCs w:val="24"/>
        </w:rPr>
        <w:t xml:space="preserve"> [</w:t>
      </w:r>
      <w:r w:rsidR="002E5C79" w:rsidRPr="00794A22">
        <w:rPr>
          <w:sz w:val="24"/>
          <w:szCs w:val="24"/>
        </w:rPr>
        <w:t>6</w:t>
      </w:r>
      <w:r w:rsidR="00F2204A" w:rsidRPr="00794A22">
        <w:rPr>
          <w:sz w:val="24"/>
          <w:szCs w:val="24"/>
        </w:rPr>
        <w:t>]</w:t>
      </w:r>
      <w:r w:rsidR="00232A6A" w:rsidRPr="00794A22">
        <w:rPr>
          <w:sz w:val="24"/>
          <w:szCs w:val="24"/>
        </w:rPr>
        <w:t xml:space="preserve">, and 2) non-inferior </w:t>
      </w:r>
      <w:r w:rsidR="00F2204A" w:rsidRPr="00794A22">
        <w:rPr>
          <w:sz w:val="24"/>
          <w:szCs w:val="24"/>
        </w:rPr>
        <w:t xml:space="preserve">to </w:t>
      </w:r>
      <w:r w:rsidR="00184BA9">
        <w:rPr>
          <w:sz w:val="24"/>
          <w:szCs w:val="24"/>
        </w:rPr>
        <w:t xml:space="preserve">a strategy of </w:t>
      </w:r>
      <w:r w:rsidR="00F2204A" w:rsidRPr="00794A22">
        <w:rPr>
          <w:sz w:val="24"/>
          <w:szCs w:val="24"/>
        </w:rPr>
        <w:t>direct to ICA</w:t>
      </w:r>
      <w:r w:rsidR="00F32AD1" w:rsidRPr="00794A22">
        <w:rPr>
          <w:sz w:val="24"/>
          <w:szCs w:val="24"/>
        </w:rPr>
        <w:t>+/-</w:t>
      </w:r>
      <w:r w:rsidR="00F2204A" w:rsidRPr="00794A22">
        <w:rPr>
          <w:sz w:val="24"/>
          <w:szCs w:val="24"/>
        </w:rPr>
        <w:t>FFR as needed, in terms of clinical outcomes at 12-months [</w:t>
      </w:r>
      <w:r w:rsidR="002E5C79" w:rsidRPr="00794A22">
        <w:rPr>
          <w:sz w:val="24"/>
          <w:szCs w:val="24"/>
        </w:rPr>
        <w:t>7</w:t>
      </w:r>
      <w:r w:rsidR="00F2204A" w:rsidRPr="00794A22">
        <w:rPr>
          <w:sz w:val="24"/>
          <w:szCs w:val="24"/>
        </w:rPr>
        <w:t>]. F</w:t>
      </w:r>
      <w:r w:rsidR="00F32AD1" w:rsidRPr="00794A22">
        <w:rPr>
          <w:sz w:val="24"/>
          <w:szCs w:val="24"/>
        </w:rPr>
        <w:t>urthermore</w:t>
      </w:r>
      <w:r w:rsidR="00F2204A" w:rsidRPr="00794A22">
        <w:rPr>
          <w:sz w:val="24"/>
          <w:szCs w:val="24"/>
        </w:rPr>
        <w:t>, in terms of prognos</w:t>
      </w:r>
      <w:r w:rsidR="00F32AD1" w:rsidRPr="00794A22">
        <w:rPr>
          <w:sz w:val="24"/>
          <w:szCs w:val="24"/>
        </w:rPr>
        <w:t>tication</w:t>
      </w:r>
      <w:r w:rsidR="00F2204A" w:rsidRPr="00794A22">
        <w:rPr>
          <w:sz w:val="24"/>
          <w:szCs w:val="24"/>
        </w:rPr>
        <w:t>, when adjusted for multiple cardiovascular risk factors and revascularisation, CMR was more closely associated with 5</w:t>
      </w:r>
      <w:r w:rsidR="008020BC" w:rsidRPr="00794A22">
        <w:rPr>
          <w:sz w:val="24"/>
          <w:szCs w:val="24"/>
        </w:rPr>
        <w:t xml:space="preserve"> </w:t>
      </w:r>
      <w:r w:rsidR="00F2204A" w:rsidRPr="00794A22">
        <w:rPr>
          <w:sz w:val="24"/>
          <w:szCs w:val="24"/>
        </w:rPr>
        <w:t>y</w:t>
      </w:r>
      <w:r w:rsidR="008020BC" w:rsidRPr="00794A22">
        <w:rPr>
          <w:sz w:val="24"/>
          <w:szCs w:val="24"/>
        </w:rPr>
        <w:t>ear</w:t>
      </w:r>
      <w:r w:rsidR="00F2204A" w:rsidRPr="00794A22">
        <w:rPr>
          <w:sz w:val="24"/>
          <w:szCs w:val="24"/>
        </w:rPr>
        <w:t xml:space="preserve"> MACE than </w:t>
      </w:r>
      <w:r w:rsidR="0054169E" w:rsidRPr="00794A22">
        <w:rPr>
          <w:sz w:val="24"/>
          <w:szCs w:val="24"/>
        </w:rPr>
        <w:t>MPS-SPECT [</w:t>
      </w:r>
      <w:r w:rsidR="00B56C93" w:rsidRPr="00794A22">
        <w:rPr>
          <w:sz w:val="24"/>
          <w:szCs w:val="24"/>
        </w:rPr>
        <w:t>8</w:t>
      </w:r>
      <w:r w:rsidR="0054169E" w:rsidRPr="00794A22">
        <w:rPr>
          <w:sz w:val="24"/>
          <w:szCs w:val="24"/>
        </w:rPr>
        <w:t xml:space="preserve">]. </w:t>
      </w:r>
      <w:r w:rsidR="00F2204A" w:rsidRPr="00794A22">
        <w:rPr>
          <w:sz w:val="24"/>
          <w:szCs w:val="24"/>
        </w:rPr>
        <w:t xml:space="preserve"> </w:t>
      </w:r>
    </w:p>
    <w:p w14:paraId="5C8D11CB" w14:textId="1E9EFD1B" w:rsidR="005E0984" w:rsidRPr="00794A22" w:rsidRDefault="0054169E" w:rsidP="00586D9D">
      <w:pPr>
        <w:spacing w:after="0" w:line="480" w:lineRule="auto"/>
        <w:rPr>
          <w:sz w:val="24"/>
          <w:szCs w:val="24"/>
        </w:rPr>
      </w:pPr>
      <w:r w:rsidRPr="00794A22">
        <w:rPr>
          <w:sz w:val="24"/>
          <w:szCs w:val="24"/>
        </w:rPr>
        <w:tab/>
      </w:r>
      <w:r w:rsidR="00AF496E">
        <w:rPr>
          <w:sz w:val="24"/>
          <w:szCs w:val="24"/>
        </w:rPr>
        <w:t xml:space="preserve">So </w:t>
      </w:r>
      <w:r w:rsidR="002F3AF7" w:rsidRPr="00794A22">
        <w:rPr>
          <w:sz w:val="24"/>
          <w:szCs w:val="24"/>
        </w:rPr>
        <w:t xml:space="preserve">why is CMR not used more frequently in some healthcare systems; perhaps it is related to </w:t>
      </w:r>
      <w:r w:rsidR="0086468F" w:rsidRPr="00794A22">
        <w:rPr>
          <w:sz w:val="24"/>
          <w:szCs w:val="24"/>
        </w:rPr>
        <w:t xml:space="preserve">the index </w:t>
      </w:r>
      <w:r w:rsidR="002F3AF7" w:rsidRPr="00794A22">
        <w:rPr>
          <w:sz w:val="24"/>
          <w:szCs w:val="24"/>
        </w:rPr>
        <w:t xml:space="preserve">procedural costs? Certainly in some countries, the index cost of </w:t>
      </w:r>
      <w:r w:rsidR="00AF496E">
        <w:rPr>
          <w:sz w:val="24"/>
          <w:szCs w:val="24"/>
        </w:rPr>
        <w:t xml:space="preserve">stress </w:t>
      </w:r>
      <w:r w:rsidR="002F3AF7" w:rsidRPr="00794A22">
        <w:rPr>
          <w:sz w:val="24"/>
          <w:szCs w:val="24"/>
        </w:rPr>
        <w:t xml:space="preserve">CMR is higher than </w:t>
      </w:r>
      <w:r w:rsidR="00AD27C1" w:rsidRPr="00794A22">
        <w:rPr>
          <w:sz w:val="24"/>
          <w:szCs w:val="24"/>
        </w:rPr>
        <w:t>o</w:t>
      </w:r>
      <w:r w:rsidR="002F3AF7" w:rsidRPr="00794A22">
        <w:rPr>
          <w:sz w:val="24"/>
          <w:szCs w:val="24"/>
        </w:rPr>
        <w:t>ther functional tests</w:t>
      </w:r>
      <w:r w:rsidR="0086468F" w:rsidRPr="00794A22">
        <w:rPr>
          <w:sz w:val="24"/>
          <w:szCs w:val="24"/>
        </w:rPr>
        <w:t xml:space="preserve">, but in the US this is not </w:t>
      </w:r>
      <w:r w:rsidR="0036685B" w:rsidRPr="00794A22">
        <w:rPr>
          <w:sz w:val="24"/>
          <w:szCs w:val="24"/>
        </w:rPr>
        <w:t xml:space="preserve">strictly </w:t>
      </w:r>
      <w:r w:rsidR="0086468F" w:rsidRPr="00794A22">
        <w:rPr>
          <w:sz w:val="24"/>
          <w:szCs w:val="24"/>
        </w:rPr>
        <w:t>the case, with CMR being less costly than MPS-SPECT ($807 vs. $1,219</w:t>
      </w:r>
      <w:r w:rsidR="00AF496E">
        <w:rPr>
          <w:sz w:val="24"/>
          <w:szCs w:val="24"/>
        </w:rPr>
        <w:t xml:space="preserve">; based on </w:t>
      </w:r>
      <w:r w:rsidR="00AF496E" w:rsidRPr="00AF496E">
        <w:rPr>
          <w:sz w:val="24"/>
          <w:szCs w:val="24"/>
        </w:rPr>
        <w:t>Medicare reimbursement</w:t>
      </w:r>
      <w:r w:rsidR="0086468F" w:rsidRPr="00794A22">
        <w:rPr>
          <w:sz w:val="24"/>
          <w:szCs w:val="24"/>
        </w:rPr>
        <w:t>)</w:t>
      </w:r>
      <w:r w:rsidR="00AF496E">
        <w:rPr>
          <w:sz w:val="24"/>
          <w:szCs w:val="24"/>
        </w:rPr>
        <w:t xml:space="preserve"> and PET</w:t>
      </w:r>
      <w:r w:rsidR="002F3AF7" w:rsidRPr="00794A22">
        <w:rPr>
          <w:sz w:val="24"/>
          <w:szCs w:val="24"/>
        </w:rPr>
        <w:t xml:space="preserve">. However, </w:t>
      </w:r>
      <w:r w:rsidR="005E0984" w:rsidRPr="00794A22">
        <w:rPr>
          <w:sz w:val="24"/>
          <w:szCs w:val="24"/>
        </w:rPr>
        <w:t xml:space="preserve">this is not the complete picture. To understand the </w:t>
      </w:r>
      <w:r w:rsidR="00AD27C1" w:rsidRPr="00794A22">
        <w:rPr>
          <w:sz w:val="24"/>
          <w:szCs w:val="24"/>
        </w:rPr>
        <w:t xml:space="preserve">true </w:t>
      </w:r>
      <w:r w:rsidR="005E0984" w:rsidRPr="00794A22">
        <w:rPr>
          <w:sz w:val="24"/>
          <w:szCs w:val="24"/>
        </w:rPr>
        <w:t xml:space="preserve">cost </w:t>
      </w:r>
      <w:r w:rsidR="0086468F" w:rsidRPr="00794A22">
        <w:rPr>
          <w:sz w:val="24"/>
          <w:szCs w:val="24"/>
        </w:rPr>
        <w:t xml:space="preserve">and hence value </w:t>
      </w:r>
      <w:r w:rsidR="005E0984" w:rsidRPr="00794A22">
        <w:rPr>
          <w:sz w:val="24"/>
          <w:szCs w:val="24"/>
        </w:rPr>
        <w:lastRenderedPageBreak/>
        <w:t xml:space="preserve">of a test, one needs to consider the false positive and false negative rates, and their impact on downstream investigations and resource use, including </w:t>
      </w:r>
      <w:r w:rsidR="006001EC" w:rsidRPr="00794A22">
        <w:rPr>
          <w:sz w:val="24"/>
          <w:szCs w:val="24"/>
        </w:rPr>
        <w:t>impacts on health resulting from delayed and incorrect treatments</w:t>
      </w:r>
      <w:r w:rsidR="005E0984" w:rsidRPr="00794A22">
        <w:rPr>
          <w:sz w:val="24"/>
          <w:szCs w:val="24"/>
        </w:rPr>
        <w:t xml:space="preserve">. Only by conducting </w:t>
      </w:r>
      <w:r w:rsidR="00AF496E">
        <w:rPr>
          <w:sz w:val="24"/>
          <w:szCs w:val="24"/>
        </w:rPr>
        <w:t xml:space="preserve">a </w:t>
      </w:r>
      <w:r w:rsidR="005E0984" w:rsidRPr="00794A22">
        <w:rPr>
          <w:sz w:val="24"/>
          <w:szCs w:val="24"/>
        </w:rPr>
        <w:t xml:space="preserve">rigorous health economic analysis </w:t>
      </w:r>
      <w:r w:rsidR="00AD27C1" w:rsidRPr="00794A22">
        <w:rPr>
          <w:sz w:val="24"/>
          <w:szCs w:val="24"/>
        </w:rPr>
        <w:t xml:space="preserve">of the investigation and treatment pathway </w:t>
      </w:r>
      <w:r w:rsidR="005E0984" w:rsidRPr="00794A22">
        <w:rPr>
          <w:sz w:val="24"/>
          <w:szCs w:val="24"/>
        </w:rPr>
        <w:t>can one get a clear</w:t>
      </w:r>
      <w:r w:rsidR="00AD27C1" w:rsidRPr="00794A22">
        <w:rPr>
          <w:sz w:val="24"/>
          <w:szCs w:val="24"/>
        </w:rPr>
        <w:t xml:space="preserve"> idea</w:t>
      </w:r>
      <w:r w:rsidR="005E0984" w:rsidRPr="00794A22">
        <w:rPr>
          <w:sz w:val="24"/>
          <w:szCs w:val="24"/>
        </w:rPr>
        <w:t xml:space="preserve"> </w:t>
      </w:r>
      <w:r w:rsidR="00AD27C1" w:rsidRPr="00794A22">
        <w:rPr>
          <w:sz w:val="24"/>
          <w:szCs w:val="24"/>
        </w:rPr>
        <w:t xml:space="preserve">of a tests cost-effectiveness in a particular healthcare </w:t>
      </w:r>
      <w:r w:rsidR="000752CA" w:rsidRPr="00794A22">
        <w:rPr>
          <w:sz w:val="24"/>
          <w:szCs w:val="24"/>
        </w:rPr>
        <w:t>system</w:t>
      </w:r>
      <w:r w:rsidR="00AD27C1" w:rsidRPr="00794A22">
        <w:rPr>
          <w:sz w:val="24"/>
          <w:szCs w:val="24"/>
        </w:rPr>
        <w:t>, and start to understand the value of that test in terms of willingness to pay thresholds. Typically, the standard unit of measure</w:t>
      </w:r>
      <w:r w:rsidR="0026437A" w:rsidRPr="00794A22">
        <w:rPr>
          <w:sz w:val="24"/>
          <w:szCs w:val="24"/>
        </w:rPr>
        <w:t>ment</w:t>
      </w:r>
      <w:r w:rsidR="00AD27C1" w:rsidRPr="00794A22">
        <w:rPr>
          <w:sz w:val="24"/>
          <w:szCs w:val="24"/>
        </w:rPr>
        <w:t xml:space="preserve"> is the quality-adjusted life-year (QALY)</w:t>
      </w:r>
      <w:r w:rsidR="00105BAF" w:rsidRPr="00794A22">
        <w:rPr>
          <w:sz w:val="24"/>
          <w:szCs w:val="24"/>
        </w:rPr>
        <w:t xml:space="preserve">, </w:t>
      </w:r>
      <w:r w:rsidR="00AD27C1" w:rsidRPr="00794A22">
        <w:rPr>
          <w:sz w:val="24"/>
          <w:szCs w:val="24"/>
        </w:rPr>
        <w:t xml:space="preserve">a generic measure of </w:t>
      </w:r>
      <w:r w:rsidR="00A22A76" w:rsidRPr="00794A22">
        <w:rPr>
          <w:sz w:val="24"/>
          <w:szCs w:val="24"/>
        </w:rPr>
        <w:t>health</w:t>
      </w:r>
      <w:r w:rsidR="00AD27C1" w:rsidRPr="00794A22">
        <w:rPr>
          <w:sz w:val="24"/>
          <w:szCs w:val="24"/>
        </w:rPr>
        <w:t xml:space="preserve">, </w:t>
      </w:r>
      <w:r w:rsidR="0026437A" w:rsidRPr="00794A22">
        <w:rPr>
          <w:sz w:val="24"/>
          <w:szCs w:val="24"/>
        </w:rPr>
        <w:t xml:space="preserve">capturing </w:t>
      </w:r>
      <w:r w:rsidR="00AD27C1" w:rsidRPr="00794A22">
        <w:rPr>
          <w:sz w:val="24"/>
          <w:szCs w:val="24"/>
        </w:rPr>
        <w:t>both quality and quantity of life lived</w:t>
      </w:r>
      <w:r w:rsidR="00105BAF" w:rsidRPr="00794A22">
        <w:rPr>
          <w:sz w:val="24"/>
          <w:szCs w:val="24"/>
        </w:rPr>
        <w:t>, where o</w:t>
      </w:r>
      <w:r w:rsidR="00AD27C1" w:rsidRPr="00794A22">
        <w:rPr>
          <w:sz w:val="24"/>
          <w:szCs w:val="24"/>
        </w:rPr>
        <w:t>ne QALY equates to one year in perfect health</w:t>
      </w:r>
      <w:r w:rsidR="00105BAF" w:rsidRPr="00794A22">
        <w:rPr>
          <w:sz w:val="24"/>
          <w:szCs w:val="24"/>
        </w:rPr>
        <w:t xml:space="preserve">. </w:t>
      </w:r>
      <w:r w:rsidR="006001EC" w:rsidRPr="00794A22">
        <w:rPr>
          <w:sz w:val="24"/>
          <w:szCs w:val="24"/>
        </w:rPr>
        <w:t xml:space="preserve">On this basis, </w:t>
      </w:r>
      <w:r w:rsidR="00AF496E">
        <w:rPr>
          <w:sz w:val="24"/>
          <w:szCs w:val="24"/>
        </w:rPr>
        <w:t xml:space="preserve">stress </w:t>
      </w:r>
      <w:r w:rsidR="006001EC" w:rsidRPr="00794A22">
        <w:rPr>
          <w:sz w:val="24"/>
          <w:szCs w:val="24"/>
        </w:rPr>
        <w:t>CMR has been shown to be cost-</w:t>
      </w:r>
      <w:r w:rsidR="000752CA" w:rsidRPr="00794A22">
        <w:rPr>
          <w:sz w:val="24"/>
          <w:szCs w:val="24"/>
        </w:rPr>
        <w:t xml:space="preserve">effective as an investigation for stable chest pain in healthcare systems </w:t>
      </w:r>
      <w:r w:rsidR="006001EC" w:rsidRPr="00794A22">
        <w:rPr>
          <w:sz w:val="24"/>
          <w:szCs w:val="24"/>
        </w:rPr>
        <w:t xml:space="preserve">across </w:t>
      </w:r>
      <w:r w:rsidR="000752CA" w:rsidRPr="00794A22">
        <w:rPr>
          <w:sz w:val="24"/>
          <w:szCs w:val="24"/>
        </w:rPr>
        <w:t>Europe, UK and US [</w:t>
      </w:r>
      <w:r w:rsidR="008020BC" w:rsidRPr="00794A22">
        <w:rPr>
          <w:sz w:val="24"/>
          <w:szCs w:val="24"/>
        </w:rPr>
        <w:t>9-1</w:t>
      </w:r>
      <w:r w:rsidR="004E031C" w:rsidRPr="00794A22">
        <w:rPr>
          <w:sz w:val="24"/>
          <w:szCs w:val="24"/>
        </w:rPr>
        <w:t>1</w:t>
      </w:r>
      <w:r w:rsidR="003B6F5E" w:rsidRPr="00794A22">
        <w:rPr>
          <w:sz w:val="24"/>
          <w:szCs w:val="24"/>
        </w:rPr>
        <w:t>]</w:t>
      </w:r>
      <w:r w:rsidR="000752CA" w:rsidRPr="00794A22">
        <w:rPr>
          <w:sz w:val="24"/>
          <w:szCs w:val="24"/>
        </w:rPr>
        <w:t xml:space="preserve">. </w:t>
      </w:r>
    </w:p>
    <w:p w14:paraId="2AEE8DE6" w14:textId="5D2FCE05" w:rsidR="00F37F80" w:rsidRPr="00794A22" w:rsidRDefault="00941954" w:rsidP="00F37F80">
      <w:pPr>
        <w:spacing w:after="0" w:line="480" w:lineRule="auto"/>
        <w:rPr>
          <w:sz w:val="24"/>
          <w:szCs w:val="24"/>
        </w:rPr>
      </w:pPr>
      <w:r w:rsidRPr="00794A22">
        <w:rPr>
          <w:sz w:val="24"/>
          <w:szCs w:val="24"/>
        </w:rPr>
        <w:tab/>
        <w:t xml:space="preserve">In this issue of </w:t>
      </w:r>
      <w:proofErr w:type="spellStart"/>
      <w:r w:rsidRPr="00794A22">
        <w:rPr>
          <w:i/>
          <w:sz w:val="24"/>
          <w:szCs w:val="24"/>
        </w:rPr>
        <w:t>iJACC</w:t>
      </w:r>
      <w:proofErr w:type="spellEnd"/>
      <w:r w:rsidRPr="00794A22">
        <w:rPr>
          <w:sz w:val="24"/>
          <w:szCs w:val="24"/>
        </w:rPr>
        <w:t>, Ge et al. [</w:t>
      </w:r>
      <w:r w:rsidR="008020BC" w:rsidRPr="00794A22">
        <w:rPr>
          <w:sz w:val="24"/>
          <w:szCs w:val="24"/>
        </w:rPr>
        <w:t>1</w:t>
      </w:r>
      <w:r w:rsidR="004E031C" w:rsidRPr="00794A22">
        <w:rPr>
          <w:sz w:val="24"/>
          <w:szCs w:val="24"/>
        </w:rPr>
        <w:t>2</w:t>
      </w:r>
      <w:r w:rsidRPr="00794A22">
        <w:rPr>
          <w:sz w:val="24"/>
          <w:szCs w:val="24"/>
        </w:rPr>
        <w:t>] describe their cost effectiveness analysis of stress CMR for stable chest pain syndromes, using data derived from the multi-</w:t>
      </w:r>
      <w:proofErr w:type="spellStart"/>
      <w:r w:rsidRPr="00794A22">
        <w:rPr>
          <w:sz w:val="24"/>
          <w:szCs w:val="24"/>
        </w:rPr>
        <w:t>center</w:t>
      </w:r>
      <w:proofErr w:type="spellEnd"/>
      <w:r w:rsidRPr="00794A22">
        <w:rPr>
          <w:sz w:val="24"/>
          <w:szCs w:val="24"/>
        </w:rPr>
        <w:t xml:space="preserve"> </w:t>
      </w:r>
      <w:r w:rsidRPr="00794A22">
        <w:rPr>
          <w:sz w:val="24"/>
          <w:szCs w:val="24"/>
          <w:u w:val="single"/>
        </w:rPr>
        <w:t>S</w:t>
      </w:r>
      <w:r w:rsidRPr="00794A22">
        <w:rPr>
          <w:sz w:val="24"/>
          <w:szCs w:val="24"/>
        </w:rPr>
        <w:t xml:space="preserve">tress CMR </w:t>
      </w:r>
      <w:r w:rsidRPr="00794A22">
        <w:rPr>
          <w:sz w:val="24"/>
          <w:szCs w:val="24"/>
          <w:u w:val="single"/>
        </w:rPr>
        <w:t>P</w:t>
      </w:r>
      <w:r w:rsidRPr="00794A22">
        <w:rPr>
          <w:sz w:val="24"/>
          <w:szCs w:val="24"/>
        </w:rPr>
        <w:t xml:space="preserve">erfusion </w:t>
      </w:r>
      <w:r w:rsidRPr="00794A22">
        <w:rPr>
          <w:sz w:val="24"/>
          <w:szCs w:val="24"/>
          <w:u w:val="single"/>
        </w:rPr>
        <w:t>I</w:t>
      </w:r>
      <w:r w:rsidRPr="00794A22">
        <w:rPr>
          <w:sz w:val="24"/>
          <w:szCs w:val="24"/>
        </w:rPr>
        <w:t>maging i</w:t>
      </w:r>
      <w:r w:rsidRPr="00794A22">
        <w:rPr>
          <w:sz w:val="24"/>
          <w:szCs w:val="24"/>
          <w:u w:val="single"/>
        </w:rPr>
        <w:t>n</w:t>
      </w:r>
      <w:r w:rsidRPr="00794A22">
        <w:rPr>
          <w:sz w:val="24"/>
          <w:szCs w:val="24"/>
        </w:rPr>
        <w:t xml:space="preserve"> the United </w:t>
      </w:r>
      <w:r w:rsidRPr="00794A22">
        <w:rPr>
          <w:sz w:val="24"/>
          <w:szCs w:val="24"/>
          <w:u w:val="single"/>
        </w:rPr>
        <w:t>S</w:t>
      </w:r>
      <w:r w:rsidRPr="00794A22">
        <w:rPr>
          <w:sz w:val="24"/>
          <w:szCs w:val="24"/>
        </w:rPr>
        <w:t>tates (SPINS) Study.</w:t>
      </w:r>
      <w:r w:rsidR="00124F0B" w:rsidRPr="00794A22">
        <w:rPr>
          <w:sz w:val="24"/>
          <w:szCs w:val="24"/>
        </w:rPr>
        <w:t xml:space="preserve"> SPINS was a registry </w:t>
      </w:r>
      <w:r w:rsidR="007F595E" w:rsidRPr="00794A22">
        <w:rPr>
          <w:sz w:val="24"/>
          <w:szCs w:val="24"/>
        </w:rPr>
        <w:t>conducted between 2008 and 2013, of patients with known or suspected obstructive CAD, aged between 35 and 85 years, referred for clinical stress CMR</w:t>
      </w:r>
      <w:r w:rsidR="00124F0B" w:rsidRPr="00794A22">
        <w:rPr>
          <w:sz w:val="24"/>
          <w:szCs w:val="24"/>
        </w:rPr>
        <w:t xml:space="preserve"> at 13 US centres [</w:t>
      </w:r>
      <w:r w:rsidR="00925347" w:rsidRPr="00794A22">
        <w:rPr>
          <w:sz w:val="24"/>
          <w:szCs w:val="24"/>
        </w:rPr>
        <w:t>1</w:t>
      </w:r>
      <w:r w:rsidR="004E031C" w:rsidRPr="00794A22">
        <w:rPr>
          <w:sz w:val="24"/>
          <w:szCs w:val="24"/>
        </w:rPr>
        <w:t>3</w:t>
      </w:r>
      <w:r w:rsidR="00124F0B" w:rsidRPr="00794A22">
        <w:rPr>
          <w:sz w:val="24"/>
          <w:szCs w:val="24"/>
        </w:rPr>
        <w:t xml:space="preserve">]. </w:t>
      </w:r>
      <w:r w:rsidR="007F595E" w:rsidRPr="00794A22">
        <w:rPr>
          <w:sz w:val="24"/>
          <w:szCs w:val="24"/>
        </w:rPr>
        <w:t xml:space="preserve">Using a decision analytic model to </w:t>
      </w:r>
      <w:r w:rsidR="00A22A76" w:rsidRPr="00794A22">
        <w:rPr>
          <w:sz w:val="24"/>
          <w:szCs w:val="24"/>
        </w:rPr>
        <w:t xml:space="preserve">estimate lifetime </w:t>
      </w:r>
      <w:r w:rsidR="007F595E" w:rsidRPr="00794A22">
        <w:rPr>
          <w:sz w:val="24"/>
          <w:szCs w:val="24"/>
        </w:rPr>
        <w:t xml:space="preserve">healthcare costs and QALYs, they </w:t>
      </w:r>
      <w:r w:rsidR="00A22A76" w:rsidRPr="00794A22">
        <w:rPr>
          <w:sz w:val="24"/>
          <w:szCs w:val="24"/>
        </w:rPr>
        <w:t>assessed the</w:t>
      </w:r>
      <w:r w:rsidR="006001EC" w:rsidRPr="00794A22">
        <w:rPr>
          <w:sz w:val="24"/>
          <w:szCs w:val="24"/>
        </w:rPr>
        <w:t xml:space="preserve"> cost-</w:t>
      </w:r>
      <w:r w:rsidR="007F595E" w:rsidRPr="00794A22">
        <w:rPr>
          <w:sz w:val="24"/>
          <w:szCs w:val="24"/>
        </w:rPr>
        <w:t xml:space="preserve">effectiveness of a stress CMR first-line strategy, against four other </w:t>
      </w:r>
      <w:r w:rsidR="001304F7" w:rsidRPr="00794A22">
        <w:rPr>
          <w:sz w:val="24"/>
          <w:szCs w:val="24"/>
        </w:rPr>
        <w:t xml:space="preserve">first-line </w:t>
      </w:r>
      <w:r w:rsidR="007F595E" w:rsidRPr="00794A22">
        <w:rPr>
          <w:sz w:val="24"/>
          <w:szCs w:val="24"/>
        </w:rPr>
        <w:t>strategies: 1) Immediate ICA with selective FFR</w:t>
      </w:r>
      <w:r w:rsidR="000902F3" w:rsidRPr="00794A22">
        <w:rPr>
          <w:sz w:val="24"/>
          <w:szCs w:val="24"/>
        </w:rPr>
        <w:t>,</w:t>
      </w:r>
      <w:r w:rsidR="007F595E" w:rsidRPr="00794A22">
        <w:rPr>
          <w:sz w:val="24"/>
          <w:szCs w:val="24"/>
        </w:rPr>
        <w:t xml:space="preserve"> 2) MPS-SPECT</w:t>
      </w:r>
      <w:r w:rsidR="000902F3" w:rsidRPr="00794A22">
        <w:rPr>
          <w:sz w:val="24"/>
          <w:szCs w:val="24"/>
        </w:rPr>
        <w:t>,</w:t>
      </w:r>
      <w:r w:rsidR="007F595E" w:rsidRPr="00794A22">
        <w:rPr>
          <w:sz w:val="24"/>
          <w:szCs w:val="24"/>
        </w:rPr>
        <w:t xml:space="preserve"> 3) CTCA with selective CT-FFR</w:t>
      </w:r>
      <w:r w:rsidR="000902F3" w:rsidRPr="00794A22">
        <w:rPr>
          <w:sz w:val="24"/>
          <w:szCs w:val="24"/>
        </w:rPr>
        <w:t>,</w:t>
      </w:r>
      <w:r w:rsidR="007F595E" w:rsidRPr="00794A22">
        <w:rPr>
          <w:sz w:val="24"/>
          <w:szCs w:val="24"/>
        </w:rPr>
        <w:t xml:space="preserve"> and 4) no imaging.</w:t>
      </w:r>
      <w:r w:rsidR="000902F3" w:rsidRPr="00794A22">
        <w:rPr>
          <w:sz w:val="24"/>
          <w:szCs w:val="24"/>
        </w:rPr>
        <w:t xml:space="preserve"> </w:t>
      </w:r>
      <w:r w:rsidR="001304F7" w:rsidRPr="00794A22">
        <w:rPr>
          <w:sz w:val="24"/>
          <w:szCs w:val="24"/>
        </w:rPr>
        <w:t xml:space="preserve">The analyses were conducted from a US health system perspective over a lifetime horizon, with all costs </w:t>
      </w:r>
      <w:r w:rsidR="00A22A76" w:rsidRPr="00794A22">
        <w:rPr>
          <w:sz w:val="24"/>
          <w:szCs w:val="24"/>
        </w:rPr>
        <w:t>in</w:t>
      </w:r>
      <w:r w:rsidR="001304F7" w:rsidRPr="00794A22">
        <w:rPr>
          <w:sz w:val="24"/>
          <w:szCs w:val="24"/>
        </w:rPr>
        <w:t xml:space="preserve"> 2017 dollars, </w:t>
      </w:r>
      <w:r w:rsidR="0030012D" w:rsidRPr="00794A22">
        <w:rPr>
          <w:sz w:val="24"/>
          <w:szCs w:val="24"/>
        </w:rPr>
        <w:t>and a threshold for willingness to pay for health of $100,000/QALY.</w:t>
      </w:r>
      <w:r w:rsidR="00A62E9F" w:rsidRPr="00794A22">
        <w:rPr>
          <w:sz w:val="24"/>
          <w:szCs w:val="24"/>
        </w:rPr>
        <w:t xml:space="preserve"> </w:t>
      </w:r>
      <w:r w:rsidR="00A22A76" w:rsidRPr="00794A22">
        <w:rPr>
          <w:sz w:val="24"/>
          <w:szCs w:val="24"/>
        </w:rPr>
        <w:t xml:space="preserve"> SPINs</w:t>
      </w:r>
      <w:r w:rsidR="0030012D" w:rsidRPr="00794A22">
        <w:rPr>
          <w:sz w:val="24"/>
          <w:szCs w:val="24"/>
        </w:rPr>
        <w:t xml:space="preserve"> </w:t>
      </w:r>
      <w:r w:rsidR="00A22A76" w:rsidRPr="00794A22">
        <w:rPr>
          <w:sz w:val="24"/>
          <w:szCs w:val="24"/>
        </w:rPr>
        <w:t>f</w:t>
      </w:r>
      <w:r w:rsidR="00BA28A3" w:rsidRPr="00794A22">
        <w:rPr>
          <w:sz w:val="24"/>
          <w:szCs w:val="24"/>
        </w:rPr>
        <w:t xml:space="preserve">ollow-up was for at least 4 years, </w:t>
      </w:r>
      <w:r w:rsidR="00F37F80" w:rsidRPr="00794A22">
        <w:rPr>
          <w:sz w:val="24"/>
          <w:szCs w:val="24"/>
        </w:rPr>
        <w:t>for MACE (cardiovascular death, acute non-fatal myocardial infarction (AMI), hospitalization for unstable angina (UA) or congestive heart failure (CHF), and late coronary artery bypass grafting (CABG)</w:t>
      </w:r>
      <w:r w:rsidR="0062595A" w:rsidRPr="00794A22">
        <w:rPr>
          <w:sz w:val="24"/>
          <w:szCs w:val="24"/>
        </w:rPr>
        <w:t xml:space="preserve"> (</w:t>
      </w:r>
      <w:proofErr w:type="spellStart"/>
      <w:r w:rsidR="0062595A" w:rsidRPr="00794A22">
        <w:rPr>
          <w:sz w:val="24"/>
          <w:szCs w:val="24"/>
        </w:rPr>
        <w:t>MACE</w:t>
      </w:r>
      <w:r w:rsidR="0062595A" w:rsidRPr="00794A22">
        <w:rPr>
          <w:sz w:val="24"/>
          <w:szCs w:val="24"/>
          <w:vertAlign w:val="subscript"/>
        </w:rPr>
        <w:t>All</w:t>
      </w:r>
      <w:proofErr w:type="spellEnd"/>
      <w:r w:rsidR="0062595A" w:rsidRPr="00794A22">
        <w:rPr>
          <w:sz w:val="24"/>
          <w:szCs w:val="24"/>
        </w:rPr>
        <w:t>)</w:t>
      </w:r>
      <w:r w:rsidR="006001EC" w:rsidRPr="00794A22">
        <w:rPr>
          <w:sz w:val="24"/>
          <w:szCs w:val="24"/>
        </w:rPr>
        <w:t>)</w:t>
      </w:r>
      <w:r w:rsidR="00F37F80" w:rsidRPr="00794A22">
        <w:rPr>
          <w:sz w:val="24"/>
          <w:szCs w:val="24"/>
        </w:rPr>
        <w:t>, with ‘hard’ endpoints defined as cardiovascular death and AMI</w:t>
      </w:r>
      <w:r w:rsidR="008C305C" w:rsidRPr="00794A22">
        <w:rPr>
          <w:sz w:val="24"/>
          <w:szCs w:val="24"/>
        </w:rPr>
        <w:t xml:space="preserve"> (</w:t>
      </w:r>
      <w:proofErr w:type="spellStart"/>
      <w:r w:rsidR="008C305C" w:rsidRPr="00794A22">
        <w:rPr>
          <w:sz w:val="24"/>
          <w:szCs w:val="24"/>
        </w:rPr>
        <w:t>MACE</w:t>
      </w:r>
      <w:r w:rsidR="008C305C" w:rsidRPr="00794A22">
        <w:rPr>
          <w:sz w:val="24"/>
          <w:szCs w:val="24"/>
          <w:vertAlign w:val="subscript"/>
        </w:rPr>
        <w:t>Hard</w:t>
      </w:r>
      <w:proofErr w:type="spellEnd"/>
      <w:r w:rsidR="008C305C" w:rsidRPr="00794A22">
        <w:rPr>
          <w:sz w:val="24"/>
          <w:szCs w:val="24"/>
        </w:rPr>
        <w:t>)</w:t>
      </w:r>
      <w:r w:rsidR="00F37F80" w:rsidRPr="00794A22">
        <w:rPr>
          <w:sz w:val="24"/>
          <w:szCs w:val="24"/>
        </w:rPr>
        <w:t xml:space="preserve">. </w:t>
      </w:r>
    </w:p>
    <w:p w14:paraId="2463CF83" w14:textId="5460BE3D" w:rsidR="00711C65" w:rsidRPr="00794A22" w:rsidRDefault="00F37F80" w:rsidP="00CB746F">
      <w:pPr>
        <w:spacing w:after="0" w:line="480" w:lineRule="auto"/>
        <w:rPr>
          <w:sz w:val="24"/>
          <w:szCs w:val="24"/>
        </w:rPr>
      </w:pPr>
      <w:r w:rsidRPr="00794A22">
        <w:rPr>
          <w:sz w:val="24"/>
          <w:szCs w:val="24"/>
        </w:rPr>
        <w:lastRenderedPageBreak/>
        <w:tab/>
      </w:r>
      <w:r w:rsidR="00A62E9F" w:rsidRPr="00794A22">
        <w:rPr>
          <w:sz w:val="24"/>
          <w:szCs w:val="24"/>
        </w:rPr>
        <w:t xml:space="preserve">Predictably, </w:t>
      </w:r>
      <w:r w:rsidR="008C305C" w:rsidRPr="00794A22">
        <w:rPr>
          <w:sz w:val="24"/>
          <w:szCs w:val="24"/>
        </w:rPr>
        <w:t xml:space="preserve">doing </w:t>
      </w:r>
      <w:r w:rsidR="00A62E9F" w:rsidRPr="00794A22">
        <w:rPr>
          <w:sz w:val="24"/>
          <w:szCs w:val="24"/>
        </w:rPr>
        <w:t xml:space="preserve">‘no imaging’ investigations was the </w:t>
      </w:r>
      <w:r w:rsidR="00BA28A3" w:rsidRPr="00794A22">
        <w:rPr>
          <w:sz w:val="24"/>
          <w:szCs w:val="24"/>
        </w:rPr>
        <w:t xml:space="preserve">cheapest of the five strategies, </w:t>
      </w:r>
      <w:r w:rsidR="00407E24">
        <w:rPr>
          <w:sz w:val="24"/>
          <w:szCs w:val="24"/>
        </w:rPr>
        <w:t xml:space="preserve">but </w:t>
      </w:r>
      <w:r w:rsidR="00BA28A3" w:rsidRPr="00794A22">
        <w:rPr>
          <w:sz w:val="24"/>
          <w:szCs w:val="24"/>
        </w:rPr>
        <w:t>produced the lowest lifetime QALY</w:t>
      </w:r>
      <w:r w:rsidR="00407E24">
        <w:rPr>
          <w:sz w:val="24"/>
          <w:szCs w:val="24"/>
        </w:rPr>
        <w:t>s</w:t>
      </w:r>
      <w:r w:rsidR="00BA28A3" w:rsidRPr="00794A22">
        <w:rPr>
          <w:sz w:val="24"/>
          <w:szCs w:val="24"/>
        </w:rPr>
        <w:t xml:space="preserve">. However, </w:t>
      </w:r>
      <w:r w:rsidR="008C305C" w:rsidRPr="00794A22">
        <w:rPr>
          <w:sz w:val="24"/>
          <w:szCs w:val="24"/>
        </w:rPr>
        <w:t xml:space="preserve">in terms of </w:t>
      </w:r>
      <w:proofErr w:type="spellStart"/>
      <w:r w:rsidR="008C305C" w:rsidRPr="00794A22">
        <w:rPr>
          <w:sz w:val="24"/>
          <w:szCs w:val="24"/>
        </w:rPr>
        <w:t>MACE</w:t>
      </w:r>
      <w:r w:rsidR="008C305C" w:rsidRPr="00794A22">
        <w:rPr>
          <w:sz w:val="24"/>
          <w:szCs w:val="24"/>
          <w:vertAlign w:val="subscript"/>
        </w:rPr>
        <w:t>Hard</w:t>
      </w:r>
      <w:proofErr w:type="spellEnd"/>
      <w:r w:rsidR="008C305C" w:rsidRPr="00794A22">
        <w:rPr>
          <w:sz w:val="24"/>
          <w:szCs w:val="24"/>
        </w:rPr>
        <w:t xml:space="preserve">, </w:t>
      </w:r>
      <w:r w:rsidR="00BA28A3" w:rsidRPr="00794A22">
        <w:rPr>
          <w:sz w:val="24"/>
          <w:szCs w:val="24"/>
        </w:rPr>
        <w:t>compared to a ‘no imaging’ strategy, CMR strongly dominated (</w:t>
      </w:r>
      <w:r w:rsidR="005D6587" w:rsidRPr="00794A22">
        <w:rPr>
          <w:sz w:val="24"/>
          <w:szCs w:val="24"/>
        </w:rPr>
        <w:t>i.e.</w:t>
      </w:r>
      <w:r w:rsidR="008C305C" w:rsidRPr="00794A22">
        <w:rPr>
          <w:sz w:val="24"/>
          <w:szCs w:val="24"/>
        </w:rPr>
        <w:t xml:space="preserve"> </w:t>
      </w:r>
      <w:r w:rsidR="005D6587" w:rsidRPr="00794A22">
        <w:rPr>
          <w:sz w:val="24"/>
          <w:szCs w:val="24"/>
        </w:rPr>
        <w:t xml:space="preserve">was </w:t>
      </w:r>
      <w:r w:rsidR="008C305C" w:rsidRPr="00794A22">
        <w:rPr>
          <w:sz w:val="24"/>
          <w:szCs w:val="24"/>
        </w:rPr>
        <w:t xml:space="preserve">associated with </w:t>
      </w:r>
      <w:r w:rsidR="00BA28A3" w:rsidRPr="00794A22">
        <w:rPr>
          <w:sz w:val="24"/>
          <w:szCs w:val="24"/>
        </w:rPr>
        <w:t xml:space="preserve">lower costs and more QALYs) both MPS-SPECT and CTCA, with an incremental cost-effectiveness ratio (ICER) of $52,000/QALY. </w:t>
      </w:r>
      <w:r w:rsidR="001B548C" w:rsidRPr="00794A22">
        <w:rPr>
          <w:sz w:val="24"/>
          <w:szCs w:val="24"/>
        </w:rPr>
        <w:t xml:space="preserve">When </w:t>
      </w:r>
      <w:proofErr w:type="spellStart"/>
      <w:r w:rsidR="001B548C" w:rsidRPr="00794A22">
        <w:rPr>
          <w:sz w:val="24"/>
          <w:szCs w:val="24"/>
        </w:rPr>
        <w:t>MACE</w:t>
      </w:r>
      <w:r w:rsidR="001B548C" w:rsidRPr="00794A22">
        <w:rPr>
          <w:sz w:val="24"/>
          <w:szCs w:val="24"/>
          <w:vertAlign w:val="subscript"/>
        </w:rPr>
        <w:t>All</w:t>
      </w:r>
      <w:proofErr w:type="spellEnd"/>
      <w:r w:rsidR="001B548C" w:rsidRPr="00794A22">
        <w:rPr>
          <w:sz w:val="24"/>
          <w:szCs w:val="24"/>
        </w:rPr>
        <w:t xml:space="preserve"> was considered, the CMR-based strategy remained the preferred strategy in the base-case</w:t>
      </w:r>
      <w:r w:rsidR="00407E24">
        <w:rPr>
          <w:sz w:val="24"/>
          <w:szCs w:val="24"/>
        </w:rPr>
        <w:t>,</w:t>
      </w:r>
      <w:r w:rsidR="001B548C" w:rsidRPr="00794A22">
        <w:rPr>
          <w:sz w:val="24"/>
          <w:szCs w:val="24"/>
        </w:rPr>
        <w:t xml:space="preserve"> with ICER of $58,000/QALY compared to the ‘no imaging’ strategy</w:t>
      </w:r>
      <w:r w:rsidR="005D6587" w:rsidRPr="00794A22">
        <w:rPr>
          <w:sz w:val="24"/>
          <w:szCs w:val="24"/>
        </w:rPr>
        <w:t>, and again dominated both MPS-SPECT and CTCA</w:t>
      </w:r>
      <w:r w:rsidR="001B548C" w:rsidRPr="00794A22">
        <w:rPr>
          <w:sz w:val="24"/>
          <w:szCs w:val="24"/>
        </w:rPr>
        <w:t xml:space="preserve">. </w:t>
      </w:r>
      <w:r w:rsidR="000D0809" w:rsidRPr="00794A22">
        <w:rPr>
          <w:sz w:val="24"/>
          <w:szCs w:val="24"/>
        </w:rPr>
        <w:t xml:space="preserve">As these model-based analysis techniques rely on multiple assumptions, the authors performed multiple sensitivity analyses, and showed that the results remained consistent for CMR. </w:t>
      </w:r>
      <w:r w:rsidR="00CB746F" w:rsidRPr="00794A22">
        <w:rPr>
          <w:sz w:val="24"/>
          <w:szCs w:val="24"/>
        </w:rPr>
        <w:t xml:space="preserve">Finally, using probabilistic sensitivity analysis </w:t>
      </w:r>
      <w:r w:rsidR="00794A22" w:rsidRPr="00794A22">
        <w:rPr>
          <w:sz w:val="24"/>
          <w:szCs w:val="24"/>
        </w:rPr>
        <w:t xml:space="preserve">(PSA) </w:t>
      </w:r>
      <w:r w:rsidR="00CB746F" w:rsidRPr="00794A22">
        <w:rPr>
          <w:sz w:val="24"/>
          <w:szCs w:val="24"/>
        </w:rPr>
        <w:t xml:space="preserve">and a cost-effectiveness threshold of $100,000/QALY, the CMR-based strategy was optimal in 84% of </w:t>
      </w:r>
      <w:r w:rsidR="0062595A" w:rsidRPr="00794A22">
        <w:rPr>
          <w:sz w:val="24"/>
          <w:szCs w:val="24"/>
        </w:rPr>
        <w:t xml:space="preserve">draws </w:t>
      </w:r>
      <w:r w:rsidR="00CB746F" w:rsidRPr="00794A22">
        <w:rPr>
          <w:sz w:val="24"/>
          <w:szCs w:val="24"/>
        </w:rPr>
        <w:t xml:space="preserve">and a ‘no-imaging’ strategy in 16%; MPS-SPECT, CTCA and immediate ICA were optimal </w:t>
      </w:r>
      <w:r w:rsidR="00794A22" w:rsidRPr="00794A22">
        <w:rPr>
          <w:sz w:val="24"/>
          <w:szCs w:val="24"/>
        </w:rPr>
        <w:t xml:space="preserve">strategies </w:t>
      </w:r>
      <w:r w:rsidR="00CB746F" w:rsidRPr="00794A22">
        <w:rPr>
          <w:sz w:val="24"/>
          <w:szCs w:val="24"/>
        </w:rPr>
        <w:t>in 0%.</w:t>
      </w:r>
    </w:p>
    <w:p w14:paraId="5689AA91" w14:textId="77777777" w:rsidR="00744DAA" w:rsidRDefault="00CB746F" w:rsidP="00586D9D">
      <w:pPr>
        <w:spacing w:after="0" w:line="480" w:lineRule="auto"/>
        <w:rPr>
          <w:sz w:val="24"/>
          <w:szCs w:val="24"/>
        </w:rPr>
      </w:pPr>
      <w:r w:rsidRPr="00794A22">
        <w:rPr>
          <w:sz w:val="24"/>
          <w:szCs w:val="24"/>
        </w:rPr>
        <w:tab/>
      </w:r>
      <w:r w:rsidR="00F4781D" w:rsidRPr="00794A22">
        <w:rPr>
          <w:sz w:val="24"/>
          <w:szCs w:val="24"/>
        </w:rPr>
        <w:t xml:space="preserve">How do we interpret these findings? Firstly, the authors should be congratulated for their efforts in developing a coherent decision analytic model synthesising contemporary US data from the SPINS study with other literature. Importantly, their conclusions appears robust and we commend the use of </w:t>
      </w:r>
      <w:r w:rsidR="00794A22" w:rsidRPr="00794A22">
        <w:rPr>
          <w:sz w:val="24"/>
          <w:szCs w:val="24"/>
        </w:rPr>
        <w:t>PSA</w:t>
      </w:r>
      <w:r w:rsidR="00F4781D" w:rsidRPr="00794A22">
        <w:rPr>
          <w:sz w:val="24"/>
          <w:szCs w:val="24"/>
        </w:rPr>
        <w:t xml:space="preserve"> to address the joint uncertainty across all parameters, which demonstrates a high probability of CMR being cost-effective at $100,000/QALY. </w:t>
      </w:r>
      <w:r w:rsidR="00F72262" w:rsidRPr="00794A22">
        <w:rPr>
          <w:sz w:val="24"/>
          <w:szCs w:val="24"/>
        </w:rPr>
        <w:t>Nonetheless, there are potential weaknesses which could be addressed in future analyses, for example, a failure to reflect higher MACE risk in the year following a previous MACE is not in line with previous analyses, and assuming a constant long-term MACE risk</w:t>
      </w:r>
      <w:r w:rsidR="00744DAA">
        <w:rPr>
          <w:sz w:val="24"/>
          <w:szCs w:val="24"/>
        </w:rPr>
        <w:t>,</w:t>
      </w:r>
      <w:r w:rsidR="00F72262" w:rsidRPr="00794A22">
        <w:rPr>
          <w:sz w:val="24"/>
          <w:szCs w:val="24"/>
        </w:rPr>
        <w:t xml:space="preserve"> does not reflect increasing risk with age [1</w:t>
      </w:r>
      <w:r w:rsidR="004E031C" w:rsidRPr="00794A22">
        <w:rPr>
          <w:sz w:val="24"/>
          <w:szCs w:val="24"/>
        </w:rPr>
        <w:t>4</w:t>
      </w:r>
      <w:r w:rsidR="00F72262" w:rsidRPr="00794A22">
        <w:rPr>
          <w:sz w:val="24"/>
          <w:szCs w:val="24"/>
        </w:rPr>
        <w:t>,</w:t>
      </w:r>
      <w:r w:rsidR="009E4BDF" w:rsidRPr="00794A22">
        <w:rPr>
          <w:sz w:val="24"/>
          <w:szCs w:val="24"/>
        </w:rPr>
        <w:t>1</w:t>
      </w:r>
      <w:r w:rsidR="004E031C" w:rsidRPr="00794A22">
        <w:rPr>
          <w:sz w:val="24"/>
          <w:szCs w:val="24"/>
        </w:rPr>
        <w:t>5</w:t>
      </w:r>
      <w:r w:rsidR="00F72262" w:rsidRPr="00794A22">
        <w:rPr>
          <w:sz w:val="24"/>
          <w:szCs w:val="24"/>
        </w:rPr>
        <w:t>]. Similarly, the model does not reflect increasing costs of patients with increasing age [</w:t>
      </w:r>
      <w:r w:rsidR="009E4BDF" w:rsidRPr="00794A22">
        <w:rPr>
          <w:sz w:val="24"/>
          <w:szCs w:val="24"/>
        </w:rPr>
        <w:t>1</w:t>
      </w:r>
      <w:r w:rsidR="004E031C" w:rsidRPr="00794A22">
        <w:rPr>
          <w:sz w:val="24"/>
          <w:szCs w:val="24"/>
        </w:rPr>
        <w:t>6</w:t>
      </w:r>
      <w:r w:rsidR="00F72262" w:rsidRPr="00794A22">
        <w:rPr>
          <w:sz w:val="24"/>
          <w:szCs w:val="24"/>
        </w:rPr>
        <w:t xml:space="preserve">]. The use of common utility values for those with and without obstructive CAD and the failure to consider disutility arising from non-fatal adverse events associated with ICA, or from recovery from </w:t>
      </w:r>
      <w:r w:rsidR="00F72262" w:rsidRPr="00794A22">
        <w:rPr>
          <w:sz w:val="24"/>
          <w:szCs w:val="24"/>
        </w:rPr>
        <w:lastRenderedPageBreak/>
        <w:t xml:space="preserve">revascularisation is questionable, the impact of which has not been considered in the uncertainty analysis. Finally, the divergence between the results based on ‘hard’ and ‘all’ MACE outcomes needs further consideration, as does the use of common mortality multipliers across these two different MACE outcomes. </w:t>
      </w:r>
    </w:p>
    <w:p w14:paraId="31D52FD7" w14:textId="7A617289" w:rsidR="0030012D" w:rsidRPr="00794A22" w:rsidRDefault="00BC2104" w:rsidP="00744DAA">
      <w:pPr>
        <w:spacing w:after="0" w:line="480" w:lineRule="auto"/>
        <w:ind w:firstLine="720"/>
        <w:rPr>
          <w:sz w:val="24"/>
          <w:szCs w:val="24"/>
        </w:rPr>
      </w:pPr>
      <w:r w:rsidRPr="00794A22">
        <w:rPr>
          <w:sz w:val="24"/>
          <w:szCs w:val="24"/>
        </w:rPr>
        <w:t>The lack of accepted cost-effectiveness thresholds in the US makes conclusions on cost-effectiveness of interventions challenging, however, the ICERs suggested here for CMR fall well below most accepted values, although exceed the historic and widely used, if also much maligned, $50,000 per QALY [</w:t>
      </w:r>
      <w:r w:rsidR="009E4BDF" w:rsidRPr="00794A22">
        <w:rPr>
          <w:sz w:val="24"/>
          <w:szCs w:val="24"/>
        </w:rPr>
        <w:t>1</w:t>
      </w:r>
      <w:r w:rsidR="004E031C" w:rsidRPr="00794A22">
        <w:rPr>
          <w:sz w:val="24"/>
          <w:szCs w:val="24"/>
        </w:rPr>
        <w:t>7</w:t>
      </w:r>
      <w:r w:rsidRPr="00794A22">
        <w:rPr>
          <w:sz w:val="24"/>
          <w:szCs w:val="24"/>
        </w:rPr>
        <w:t>]. The authors recommend the use of future RCTs to further evaluate these modalities, however, there are challenges in conducting such trials given the size required to demonstrate impacts on final endpoints, and the potential that the evidence already demonstrates a lack of clinical equipoise. The use of PSA in the model could be extended to consider the importance of the uncertainty of different parameters to help focus where the most valuable future research could be conducted [</w:t>
      </w:r>
      <w:r w:rsidR="00557B78" w:rsidRPr="00794A22">
        <w:rPr>
          <w:sz w:val="24"/>
          <w:szCs w:val="24"/>
        </w:rPr>
        <w:t>1</w:t>
      </w:r>
      <w:r w:rsidR="004E031C" w:rsidRPr="00794A22">
        <w:rPr>
          <w:sz w:val="24"/>
          <w:szCs w:val="24"/>
        </w:rPr>
        <w:t>8</w:t>
      </w:r>
      <w:r w:rsidR="00F61A71" w:rsidRPr="00794A22">
        <w:rPr>
          <w:sz w:val="24"/>
          <w:szCs w:val="24"/>
        </w:rPr>
        <w:t xml:space="preserve">]. </w:t>
      </w:r>
    </w:p>
    <w:p w14:paraId="3D9BEAC7" w14:textId="1E6F1B4E" w:rsidR="00BC2104" w:rsidRPr="00794A22" w:rsidRDefault="00BC2104" w:rsidP="00586D9D">
      <w:pPr>
        <w:spacing w:after="0" w:line="480" w:lineRule="auto"/>
        <w:rPr>
          <w:sz w:val="24"/>
          <w:szCs w:val="24"/>
        </w:rPr>
      </w:pPr>
      <w:r w:rsidRPr="00794A22">
        <w:rPr>
          <w:sz w:val="24"/>
          <w:szCs w:val="24"/>
        </w:rPr>
        <w:tab/>
        <w:t xml:space="preserve">In summary, </w:t>
      </w:r>
      <w:r w:rsidR="00F61A71" w:rsidRPr="00794A22">
        <w:rPr>
          <w:sz w:val="24"/>
          <w:szCs w:val="24"/>
        </w:rPr>
        <w:t>from a US perspective the study by Ge et al.</w:t>
      </w:r>
      <w:r w:rsidR="00744DAA">
        <w:rPr>
          <w:sz w:val="24"/>
          <w:szCs w:val="24"/>
        </w:rPr>
        <w:t>,</w:t>
      </w:r>
      <w:r w:rsidR="00F61A71" w:rsidRPr="00794A22">
        <w:rPr>
          <w:sz w:val="24"/>
          <w:szCs w:val="24"/>
        </w:rPr>
        <w:t xml:space="preserve"> adds the final piece to the jigsaw. CMR has high diagnostic accuracy for obstructive CAD detection, is closely concordant with the invasive </w:t>
      </w:r>
      <w:r w:rsidR="00744DAA">
        <w:rPr>
          <w:sz w:val="24"/>
          <w:szCs w:val="24"/>
        </w:rPr>
        <w:t xml:space="preserve">reference </w:t>
      </w:r>
      <w:r w:rsidR="00F61A71" w:rsidRPr="00794A22">
        <w:rPr>
          <w:sz w:val="24"/>
          <w:szCs w:val="24"/>
        </w:rPr>
        <w:t xml:space="preserve">standard of FFR for ischemia detection, </w:t>
      </w:r>
      <w:r w:rsidR="004F0026" w:rsidRPr="00794A22">
        <w:rPr>
          <w:sz w:val="24"/>
          <w:szCs w:val="24"/>
        </w:rPr>
        <w:t xml:space="preserve">is a strong prognosticator, and in the US, the index </w:t>
      </w:r>
      <w:r w:rsidR="00744DAA">
        <w:rPr>
          <w:sz w:val="24"/>
          <w:szCs w:val="24"/>
        </w:rPr>
        <w:t xml:space="preserve">reimbursement </w:t>
      </w:r>
      <w:r w:rsidR="004F0026" w:rsidRPr="00794A22">
        <w:rPr>
          <w:sz w:val="24"/>
          <w:szCs w:val="24"/>
        </w:rPr>
        <w:t xml:space="preserve">cost of </w:t>
      </w:r>
      <w:r w:rsidR="00744DAA">
        <w:rPr>
          <w:sz w:val="24"/>
          <w:szCs w:val="24"/>
        </w:rPr>
        <w:t xml:space="preserve">stress </w:t>
      </w:r>
      <w:r w:rsidR="004F0026" w:rsidRPr="00794A22">
        <w:rPr>
          <w:sz w:val="24"/>
          <w:szCs w:val="24"/>
        </w:rPr>
        <w:t>CMR is lower than MPS-SPECT</w:t>
      </w:r>
      <w:r w:rsidR="00FB23FD" w:rsidRPr="00794A22">
        <w:rPr>
          <w:sz w:val="24"/>
          <w:szCs w:val="24"/>
        </w:rPr>
        <w:t xml:space="preserve">, with </w:t>
      </w:r>
      <w:r w:rsidR="004F0026" w:rsidRPr="00794A22">
        <w:rPr>
          <w:sz w:val="24"/>
          <w:szCs w:val="24"/>
        </w:rPr>
        <w:t xml:space="preserve">CMR </w:t>
      </w:r>
      <w:r w:rsidR="00FB23FD" w:rsidRPr="00794A22">
        <w:rPr>
          <w:sz w:val="24"/>
          <w:szCs w:val="24"/>
        </w:rPr>
        <w:t xml:space="preserve">being </w:t>
      </w:r>
      <w:r w:rsidR="004F0026" w:rsidRPr="00794A22">
        <w:rPr>
          <w:sz w:val="24"/>
          <w:szCs w:val="24"/>
        </w:rPr>
        <w:t>a cost effective first-line investigation for suspected CAD in multiple scenarios</w:t>
      </w:r>
      <w:r w:rsidR="00FB23FD" w:rsidRPr="00794A22">
        <w:rPr>
          <w:sz w:val="24"/>
          <w:szCs w:val="24"/>
        </w:rPr>
        <w:t xml:space="preserve"> [</w:t>
      </w:r>
      <w:r w:rsidR="009E4BDF" w:rsidRPr="00794A22">
        <w:rPr>
          <w:sz w:val="24"/>
          <w:szCs w:val="24"/>
        </w:rPr>
        <w:t>1</w:t>
      </w:r>
      <w:r w:rsidR="004E031C" w:rsidRPr="00794A22">
        <w:rPr>
          <w:sz w:val="24"/>
          <w:szCs w:val="24"/>
        </w:rPr>
        <w:t>2</w:t>
      </w:r>
      <w:r w:rsidR="00FB23FD" w:rsidRPr="00794A22">
        <w:rPr>
          <w:sz w:val="24"/>
          <w:szCs w:val="24"/>
        </w:rPr>
        <w:t>]</w:t>
      </w:r>
      <w:r w:rsidR="004F0026" w:rsidRPr="00794A22">
        <w:rPr>
          <w:sz w:val="24"/>
          <w:szCs w:val="24"/>
        </w:rPr>
        <w:t xml:space="preserve">. </w:t>
      </w:r>
      <w:r w:rsidR="00FB23FD" w:rsidRPr="00794A22">
        <w:rPr>
          <w:sz w:val="24"/>
          <w:szCs w:val="24"/>
        </w:rPr>
        <w:t xml:space="preserve">For these reasons, and the fact that a comprehensive </w:t>
      </w:r>
      <w:r w:rsidR="00794A22" w:rsidRPr="00794A22">
        <w:rPr>
          <w:sz w:val="24"/>
          <w:szCs w:val="24"/>
        </w:rPr>
        <w:t>ischemia</w:t>
      </w:r>
      <w:r w:rsidR="00FB23FD" w:rsidRPr="00794A22">
        <w:rPr>
          <w:sz w:val="24"/>
          <w:szCs w:val="24"/>
        </w:rPr>
        <w:t xml:space="preserve">/LV function/viability </w:t>
      </w:r>
      <w:r w:rsidR="00794A22" w:rsidRPr="00794A22">
        <w:rPr>
          <w:sz w:val="24"/>
          <w:szCs w:val="24"/>
        </w:rPr>
        <w:t xml:space="preserve">CMR </w:t>
      </w:r>
      <w:r w:rsidR="00FB23FD" w:rsidRPr="00794A22">
        <w:rPr>
          <w:sz w:val="24"/>
          <w:szCs w:val="24"/>
        </w:rPr>
        <w:t>scan can be performed in as little as 20mins</w:t>
      </w:r>
      <w:r w:rsidR="00775228" w:rsidRPr="00794A22">
        <w:rPr>
          <w:sz w:val="24"/>
          <w:szCs w:val="24"/>
        </w:rPr>
        <w:t xml:space="preserve"> [</w:t>
      </w:r>
      <w:r w:rsidR="004E031C" w:rsidRPr="00794A22">
        <w:rPr>
          <w:sz w:val="24"/>
          <w:szCs w:val="24"/>
        </w:rPr>
        <w:t>19</w:t>
      </w:r>
      <w:r w:rsidR="00775228" w:rsidRPr="00794A22">
        <w:rPr>
          <w:sz w:val="24"/>
          <w:szCs w:val="24"/>
        </w:rPr>
        <w:t>]</w:t>
      </w:r>
      <w:r w:rsidR="00FB23FD" w:rsidRPr="00794A22">
        <w:rPr>
          <w:sz w:val="24"/>
          <w:szCs w:val="24"/>
        </w:rPr>
        <w:t xml:space="preserve">, </w:t>
      </w:r>
      <w:r w:rsidR="00292183" w:rsidRPr="00794A22">
        <w:rPr>
          <w:sz w:val="24"/>
          <w:szCs w:val="24"/>
        </w:rPr>
        <w:t>there really is no logic as to why CMR should be under-used or undervalued</w:t>
      </w:r>
      <w:r w:rsidR="008C16EA" w:rsidRPr="00794A22">
        <w:rPr>
          <w:sz w:val="24"/>
          <w:szCs w:val="24"/>
        </w:rPr>
        <w:t xml:space="preserve"> anymore</w:t>
      </w:r>
      <w:r w:rsidR="009E4BDF" w:rsidRPr="00794A22">
        <w:rPr>
          <w:sz w:val="24"/>
          <w:szCs w:val="24"/>
        </w:rPr>
        <w:t>.</w:t>
      </w:r>
    </w:p>
    <w:p w14:paraId="37DBC9D8" w14:textId="77777777" w:rsidR="008D2C8F" w:rsidRPr="00794A22" w:rsidRDefault="008D2C8F" w:rsidP="00586D9D">
      <w:pPr>
        <w:spacing w:after="0" w:line="480" w:lineRule="auto"/>
        <w:rPr>
          <w:sz w:val="24"/>
          <w:szCs w:val="24"/>
        </w:rPr>
      </w:pPr>
    </w:p>
    <w:p w14:paraId="4353C8F8" w14:textId="77777777" w:rsidR="00794A22" w:rsidRPr="00794A22" w:rsidRDefault="00794A22" w:rsidP="00586D9D">
      <w:pPr>
        <w:spacing w:after="0" w:line="480" w:lineRule="auto"/>
        <w:rPr>
          <w:sz w:val="24"/>
          <w:szCs w:val="24"/>
        </w:rPr>
      </w:pPr>
    </w:p>
    <w:p w14:paraId="554F026A" w14:textId="77777777" w:rsidR="0009660B" w:rsidRPr="00794A22" w:rsidRDefault="0009660B" w:rsidP="00586D9D">
      <w:pPr>
        <w:spacing w:after="0" w:line="480" w:lineRule="auto"/>
        <w:rPr>
          <w:sz w:val="24"/>
          <w:szCs w:val="24"/>
        </w:rPr>
      </w:pPr>
    </w:p>
    <w:p w14:paraId="3FEA97F1" w14:textId="6988CBAE" w:rsidR="006D2229" w:rsidRPr="00794A22" w:rsidRDefault="008D2C8F" w:rsidP="00586D9D">
      <w:pPr>
        <w:spacing w:after="0" w:line="480" w:lineRule="auto"/>
        <w:rPr>
          <w:b/>
          <w:sz w:val="24"/>
          <w:szCs w:val="24"/>
        </w:rPr>
      </w:pPr>
      <w:r w:rsidRPr="00794A22">
        <w:rPr>
          <w:b/>
          <w:sz w:val="24"/>
          <w:szCs w:val="24"/>
        </w:rPr>
        <w:lastRenderedPageBreak/>
        <w:t>References</w:t>
      </w:r>
    </w:p>
    <w:p w14:paraId="211DCD95" w14:textId="77777777" w:rsidR="00B83544" w:rsidRPr="00794A22" w:rsidRDefault="00DC40F0" w:rsidP="004E031C">
      <w:pPr>
        <w:pStyle w:val="ListParagraph"/>
        <w:numPr>
          <w:ilvl w:val="0"/>
          <w:numId w:val="1"/>
        </w:numPr>
        <w:spacing w:after="0" w:line="480" w:lineRule="auto"/>
        <w:ind w:left="426" w:hanging="426"/>
        <w:rPr>
          <w:sz w:val="24"/>
          <w:szCs w:val="24"/>
        </w:rPr>
      </w:pPr>
      <w:proofErr w:type="spellStart"/>
      <w:r w:rsidRPr="00794A22">
        <w:rPr>
          <w:sz w:val="24"/>
          <w:szCs w:val="24"/>
        </w:rPr>
        <w:t>Knuuti</w:t>
      </w:r>
      <w:proofErr w:type="spellEnd"/>
      <w:r w:rsidRPr="00794A22">
        <w:rPr>
          <w:sz w:val="24"/>
          <w:szCs w:val="24"/>
        </w:rPr>
        <w:t xml:space="preserve"> J, </w:t>
      </w:r>
      <w:proofErr w:type="spellStart"/>
      <w:r w:rsidRPr="00794A22">
        <w:rPr>
          <w:sz w:val="24"/>
          <w:szCs w:val="24"/>
        </w:rPr>
        <w:t>Wijns</w:t>
      </w:r>
      <w:proofErr w:type="spellEnd"/>
      <w:r w:rsidRPr="00794A22">
        <w:rPr>
          <w:sz w:val="24"/>
          <w:szCs w:val="24"/>
        </w:rPr>
        <w:t xml:space="preserve"> W, </w:t>
      </w:r>
      <w:proofErr w:type="spellStart"/>
      <w:r w:rsidRPr="00794A22">
        <w:rPr>
          <w:sz w:val="24"/>
          <w:szCs w:val="24"/>
        </w:rPr>
        <w:t>Saraste</w:t>
      </w:r>
      <w:proofErr w:type="spellEnd"/>
      <w:r w:rsidRPr="00794A22">
        <w:rPr>
          <w:sz w:val="24"/>
          <w:szCs w:val="24"/>
        </w:rPr>
        <w:t xml:space="preserve"> A, et al. 2019 ESC Guidelines for the diagnosis and management of chronic coronary syndromes. </w:t>
      </w:r>
      <w:proofErr w:type="spellStart"/>
      <w:r w:rsidRPr="00794A22">
        <w:rPr>
          <w:sz w:val="24"/>
          <w:szCs w:val="24"/>
        </w:rPr>
        <w:t>Eur</w:t>
      </w:r>
      <w:proofErr w:type="spellEnd"/>
      <w:r w:rsidRPr="00794A22">
        <w:rPr>
          <w:sz w:val="24"/>
          <w:szCs w:val="24"/>
        </w:rPr>
        <w:t xml:space="preserve"> Heart J. 2020</w:t>
      </w:r>
      <w:proofErr w:type="gramStart"/>
      <w:r w:rsidRPr="00794A22">
        <w:rPr>
          <w:sz w:val="24"/>
          <w:szCs w:val="24"/>
        </w:rPr>
        <w:t>;41</w:t>
      </w:r>
      <w:proofErr w:type="gramEnd"/>
      <w:r w:rsidRPr="00794A22">
        <w:rPr>
          <w:sz w:val="24"/>
          <w:szCs w:val="24"/>
        </w:rPr>
        <w:t xml:space="preserve">(3):407-477. </w:t>
      </w:r>
    </w:p>
    <w:p w14:paraId="0D6B520C" w14:textId="77777777" w:rsidR="0036685B" w:rsidRPr="00794A22" w:rsidRDefault="00DC40F0" w:rsidP="0036685B">
      <w:pPr>
        <w:pStyle w:val="ListParagraph"/>
        <w:numPr>
          <w:ilvl w:val="0"/>
          <w:numId w:val="1"/>
        </w:numPr>
        <w:spacing w:after="0" w:line="480" w:lineRule="auto"/>
        <w:ind w:left="426" w:hanging="426"/>
        <w:rPr>
          <w:sz w:val="24"/>
          <w:szCs w:val="24"/>
        </w:rPr>
      </w:pPr>
      <w:r w:rsidRPr="00794A22">
        <w:rPr>
          <w:sz w:val="24"/>
          <w:szCs w:val="24"/>
        </w:rPr>
        <w:t xml:space="preserve">JP Greenwood, N </w:t>
      </w:r>
      <w:proofErr w:type="spellStart"/>
      <w:r w:rsidRPr="00794A22">
        <w:rPr>
          <w:sz w:val="24"/>
          <w:szCs w:val="24"/>
        </w:rPr>
        <w:t>Maredia</w:t>
      </w:r>
      <w:proofErr w:type="spellEnd"/>
      <w:r w:rsidRPr="00794A22">
        <w:rPr>
          <w:sz w:val="24"/>
          <w:szCs w:val="24"/>
        </w:rPr>
        <w:t xml:space="preserve">, JF Younger, </w:t>
      </w:r>
      <w:r w:rsidR="00B83544" w:rsidRPr="00794A22">
        <w:rPr>
          <w:sz w:val="24"/>
          <w:szCs w:val="24"/>
        </w:rPr>
        <w:t xml:space="preserve">et al. </w:t>
      </w:r>
      <w:r w:rsidRPr="00794A22">
        <w:rPr>
          <w:sz w:val="24"/>
          <w:szCs w:val="24"/>
        </w:rPr>
        <w:t>Cardiovascular magnetic resonance and single-photon emission computed tomography for diagnosis of coronary heart disease (CE-MARC): a prospective trial. Lancet 2012; 379(9814): 453-460.</w:t>
      </w:r>
    </w:p>
    <w:p w14:paraId="4FD80E3E" w14:textId="1E2B0F9A" w:rsidR="00BE0C32" w:rsidRPr="00794A22" w:rsidRDefault="0036685B" w:rsidP="0036685B">
      <w:pPr>
        <w:pStyle w:val="ListParagraph"/>
        <w:numPr>
          <w:ilvl w:val="0"/>
          <w:numId w:val="1"/>
        </w:numPr>
        <w:spacing w:after="0" w:line="480" w:lineRule="auto"/>
        <w:ind w:left="426" w:hanging="426"/>
        <w:rPr>
          <w:sz w:val="24"/>
          <w:szCs w:val="24"/>
        </w:rPr>
      </w:pPr>
      <w:proofErr w:type="spellStart"/>
      <w:r w:rsidRPr="00794A22">
        <w:rPr>
          <w:sz w:val="24"/>
          <w:szCs w:val="24"/>
        </w:rPr>
        <w:t>Jaarsma</w:t>
      </w:r>
      <w:proofErr w:type="spellEnd"/>
      <w:r w:rsidRPr="00794A22">
        <w:rPr>
          <w:sz w:val="24"/>
          <w:szCs w:val="24"/>
        </w:rPr>
        <w:t xml:space="preserve"> C, </w:t>
      </w:r>
      <w:proofErr w:type="spellStart"/>
      <w:r w:rsidRPr="00794A22">
        <w:rPr>
          <w:sz w:val="24"/>
          <w:szCs w:val="24"/>
        </w:rPr>
        <w:t>Leiner</w:t>
      </w:r>
      <w:proofErr w:type="spellEnd"/>
      <w:r w:rsidRPr="00794A22">
        <w:rPr>
          <w:sz w:val="24"/>
          <w:szCs w:val="24"/>
        </w:rPr>
        <w:t xml:space="preserve"> T, </w:t>
      </w:r>
      <w:proofErr w:type="spellStart"/>
      <w:r w:rsidRPr="00794A22">
        <w:rPr>
          <w:sz w:val="24"/>
          <w:szCs w:val="24"/>
        </w:rPr>
        <w:t>Bekkers</w:t>
      </w:r>
      <w:proofErr w:type="spellEnd"/>
      <w:r w:rsidRPr="00794A22">
        <w:rPr>
          <w:sz w:val="24"/>
          <w:szCs w:val="24"/>
        </w:rPr>
        <w:t xml:space="preserve"> SC, et al. Diagnostic performance of </w:t>
      </w:r>
      <w:proofErr w:type="spellStart"/>
      <w:r w:rsidRPr="00794A22">
        <w:rPr>
          <w:sz w:val="24"/>
          <w:szCs w:val="24"/>
        </w:rPr>
        <w:t>noninvasive</w:t>
      </w:r>
      <w:proofErr w:type="spellEnd"/>
      <w:r w:rsidRPr="00794A22">
        <w:rPr>
          <w:sz w:val="24"/>
          <w:szCs w:val="24"/>
        </w:rPr>
        <w:t xml:space="preserve"> myocardial perfusion imaging using single-photon emission computed tomography, cardiac magnetic resonance, and positron emission tomography imaging for the detection of obstructive coronary artery disease: a meta-analysis. J Am </w:t>
      </w:r>
      <w:proofErr w:type="spellStart"/>
      <w:r w:rsidRPr="00794A22">
        <w:rPr>
          <w:sz w:val="24"/>
          <w:szCs w:val="24"/>
        </w:rPr>
        <w:t>Coll</w:t>
      </w:r>
      <w:proofErr w:type="spellEnd"/>
      <w:r w:rsidRPr="00794A22">
        <w:rPr>
          <w:sz w:val="24"/>
          <w:szCs w:val="24"/>
        </w:rPr>
        <w:t xml:space="preserve"> </w:t>
      </w:r>
      <w:proofErr w:type="spellStart"/>
      <w:r w:rsidRPr="00794A22">
        <w:rPr>
          <w:sz w:val="24"/>
          <w:szCs w:val="24"/>
        </w:rPr>
        <w:t>Cardiol</w:t>
      </w:r>
      <w:proofErr w:type="spellEnd"/>
      <w:r w:rsidRPr="00794A22">
        <w:rPr>
          <w:sz w:val="24"/>
          <w:szCs w:val="24"/>
        </w:rPr>
        <w:t>. 2012; 59:1719–1728</w:t>
      </w:r>
    </w:p>
    <w:p w14:paraId="713A3197" w14:textId="77777777" w:rsidR="00BE0C32" w:rsidRPr="00794A22" w:rsidRDefault="00BE0C32" w:rsidP="004E031C">
      <w:pPr>
        <w:pStyle w:val="ListParagraph"/>
        <w:numPr>
          <w:ilvl w:val="0"/>
          <w:numId w:val="1"/>
        </w:numPr>
        <w:spacing w:after="0" w:line="480" w:lineRule="auto"/>
        <w:ind w:left="426" w:hanging="426"/>
        <w:rPr>
          <w:sz w:val="24"/>
          <w:szCs w:val="24"/>
        </w:rPr>
      </w:pPr>
      <w:proofErr w:type="spellStart"/>
      <w:r w:rsidRPr="00794A22">
        <w:rPr>
          <w:sz w:val="24"/>
          <w:szCs w:val="24"/>
        </w:rPr>
        <w:t>Danad</w:t>
      </w:r>
      <w:proofErr w:type="spellEnd"/>
      <w:r w:rsidRPr="00794A22">
        <w:rPr>
          <w:sz w:val="24"/>
          <w:szCs w:val="24"/>
        </w:rPr>
        <w:t xml:space="preserve"> I, </w:t>
      </w:r>
      <w:proofErr w:type="spellStart"/>
      <w:r w:rsidRPr="00794A22">
        <w:rPr>
          <w:sz w:val="24"/>
          <w:szCs w:val="24"/>
        </w:rPr>
        <w:t>Szymonifka</w:t>
      </w:r>
      <w:proofErr w:type="spellEnd"/>
      <w:r w:rsidRPr="00794A22">
        <w:rPr>
          <w:sz w:val="24"/>
          <w:szCs w:val="24"/>
        </w:rPr>
        <w:t xml:space="preserve"> J, </w:t>
      </w:r>
      <w:proofErr w:type="spellStart"/>
      <w:r w:rsidRPr="00794A22">
        <w:rPr>
          <w:sz w:val="24"/>
          <w:szCs w:val="24"/>
        </w:rPr>
        <w:t>Twisk</w:t>
      </w:r>
      <w:proofErr w:type="spellEnd"/>
      <w:r w:rsidRPr="00794A22">
        <w:rPr>
          <w:sz w:val="24"/>
          <w:szCs w:val="24"/>
        </w:rPr>
        <w:t xml:space="preserve"> JWR, et al. Diagnostic performance of cardiac imaging methods to diagnose ischaemia-causing coronary artery disease when directly compared with fractional flow reserve as a reference standard: a meta-analysis. </w:t>
      </w:r>
      <w:proofErr w:type="spellStart"/>
      <w:r w:rsidRPr="00794A22">
        <w:rPr>
          <w:sz w:val="24"/>
          <w:szCs w:val="24"/>
        </w:rPr>
        <w:t>Eur</w:t>
      </w:r>
      <w:proofErr w:type="spellEnd"/>
      <w:r w:rsidRPr="00794A22">
        <w:rPr>
          <w:sz w:val="24"/>
          <w:szCs w:val="24"/>
        </w:rPr>
        <w:t xml:space="preserve"> Heart J. 2017</w:t>
      </w:r>
      <w:proofErr w:type="gramStart"/>
      <w:r w:rsidRPr="00794A22">
        <w:rPr>
          <w:sz w:val="24"/>
          <w:szCs w:val="24"/>
        </w:rPr>
        <w:t>;38</w:t>
      </w:r>
      <w:proofErr w:type="gramEnd"/>
      <w:r w:rsidRPr="00794A22">
        <w:rPr>
          <w:sz w:val="24"/>
          <w:szCs w:val="24"/>
        </w:rPr>
        <w:t>(13):991-998.</w:t>
      </w:r>
    </w:p>
    <w:p w14:paraId="094AA1E1" w14:textId="77777777" w:rsidR="002E5C79" w:rsidRPr="00794A22" w:rsidRDefault="00BE0C32" w:rsidP="004E031C">
      <w:pPr>
        <w:pStyle w:val="ListParagraph"/>
        <w:numPr>
          <w:ilvl w:val="0"/>
          <w:numId w:val="1"/>
        </w:numPr>
        <w:spacing w:after="0" w:line="480" w:lineRule="auto"/>
        <w:ind w:left="426" w:hanging="426"/>
        <w:rPr>
          <w:sz w:val="24"/>
          <w:szCs w:val="24"/>
        </w:rPr>
      </w:pPr>
      <w:proofErr w:type="spellStart"/>
      <w:r w:rsidRPr="00794A22">
        <w:rPr>
          <w:sz w:val="24"/>
          <w:szCs w:val="24"/>
        </w:rPr>
        <w:t>Tonino</w:t>
      </w:r>
      <w:proofErr w:type="spellEnd"/>
      <w:r w:rsidRPr="00794A22">
        <w:rPr>
          <w:sz w:val="24"/>
          <w:szCs w:val="24"/>
        </w:rPr>
        <w:t xml:space="preserve"> PA, De </w:t>
      </w:r>
      <w:proofErr w:type="spellStart"/>
      <w:r w:rsidRPr="00794A22">
        <w:rPr>
          <w:sz w:val="24"/>
          <w:szCs w:val="24"/>
        </w:rPr>
        <w:t>Bruyne</w:t>
      </w:r>
      <w:proofErr w:type="spellEnd"/>
      <w:r w:rsidRPr="00794A22">
        <w:rPr>
          <w:sz w:val="24"/>
          <w:szCs w:val="24"/>
        </w:rPr>
        <w:t xml:space="preserve"> B, </w:t>
      </w:r>
      <w:proofErr w:type="spellStart"/>
      <w:r w:rsidRPr="00794A22">
        <w:rPr>
          <w:sz w:val="24"/>
          <w:szCs w:val="24"/>
        </w:rPr>
        <w:t>Pijls</w:t>
      </w:r>
      <w:proofErr w:type="spellEnd"/>
      <w:r w:rsidRPr="00794A22">
        <w:rPr>
          <w:sz w:val="24"/>
          <w:szCs w:val="24"/>
        </w:rPr>
        <w:t xml:space="preserve"> NH, et al. Fractional flow reserve versus angiography for guiding percutaneous coronary intervention. N </w:t>
      </w:r>
      <w:proofErr w:type="spellStart"/>
      <w:r w:rsidRPr="00794A22">
        <w:rPr>
          <w:sz w:val="24"/>
          <w:szCs w:val="24"/>
        </w:rPr>
        <w:t>Engl</w:t>
      </w:r>
      <w:proofErr w:type="spellEnd"/>
      <w:r w:rsidRPr="00794A22">
        <w:rPr>
          <w:sz w:val="24"/>
          <w:szCs w:val="24"/>
        </w:rPr>
        <w:t xml:space="preserve"> J Med. 2009</w:t>
      </w:r>
      <w:proofErr w:type="gramStart"/>
      <w:r w:rsidRPr="00794A22">
        <w:rPr>
          <w:sz w:val="24"/>
          <w:szCs w:val="24"/>
        </w:rPr>
        <w:t>;360</w:t>
      </w:r>
      <w:proofErr w:type="gramEnd"/>
      <w:r w:rsidRPr="00794A22">
        <w:rPr>
          <w:sz w:val="24"/>
          <w:szCs w:val="24"/>
        </w:rPr>
        <w:t>(3):213-24.</w:t>
      </w:r>
    </w:p>
    <w:p w14:paraId="5621E20A" w14:textId="77777777" w:rsidR="002C2301" w:rsidRPr="00794A22" w:rsidRDefault="002E5C79" w:rsidP="004E031C">
      <w:pPr>
        <w:pStyle w:val="ListParagraph"/>
        <w:numPr>
          <w:ilvl w:val="0"/>
          <w:numId w:val="1"/>
        </w:numPr>
        <w:spacing w:after="0" w:line="480" w:lineRule="auto"/>
        <w:ind w:left="426" w:hanging="426"/>
        <w:rPr>
          <w:sz w:val="24"/>
          <w:szCs w:val="24"/>
        </w:rPr>
      </w:pPr>
      <w:r w:rsidRPr="00794A22">
        <w:rPr>
          <w:sz w:val="24"/>
          <w:szCs w:val="24"/>
        </w:rPr>
        <w:t>JP Greenwood, DP Ripley, C Berry, et al. Effect of care guided by cardiovascular magnetic resonance, myocardial perfusion scintigraphy, or NICE guidelines on subsequent unnecessary angiography rates: a randomized trial (CE-MARC 2). JAMA 2016; 316(10):1051-1060.</w:t>
      </w:r>
    </w:p>
    <w:p w14:paraId="7A70037D" w14:textId="77777777" w:rsidR="008020BC" w:rsidRPr="00794A22" w:rsidRDefault="002C2301" w:rsidP="004E031C">
      <w:pPr>
        <w:pStyle w:val="ListParagraph"/>
        <w:numPr>
          <w:ilvl w:val="0"/>
          <w:numId w:val="1"/>
        </w:numPr>
        <w:spacing w:after="0" w:line="480" w:lineRule="auto"/>
        <w:ind w:left="426" w:hanging="426"/>
        <w:rPr>
          <w:sz w:val="24"/>
          <w:szCs w:val="24"/>
        </w:rPr>
      </w:pPr>
      <w:r w:rsidRPr="00794A22">
        <w:rPr>
          <w:sz w:val="24"/>
          <w:szCs w:val="24"/>
        </w:rPr>
        <w:t>E Nagel, JP Greenwood, GP McCann, et al. Magnetic Resonance Perfusion or Fractional Flow Reserve in Coronary Disease. New England Journal of Medicine 2019</w:t>
      </w:r>
      <w:proofErr w:type="gramStart"/>
      <w:r w:rsidRPr="00794A22">
        <w:rPr>
          <w:sz w:val="24"/>
          <w:szCs w:val="24"/>
        </w:rPr>
        <w:t>;380:2418</w:t>
      </w:r>
      <w:proofErr w:type="gramEnd"/>
      <w:r w:rsidRPr="00794A22">
        <w:rPr>
          <w:sz w:val="24"/>
          <w:szCs w:val="24"/>
        </w:rPr>
        <w:t>-28.</w:t>
      </w:r>
    </w:p>
    <w:p w14:paraId="169DAC83" w14:textId="77777777" w:rsidR="004E031C" w:rsidRPr="00794A22" w:rsidRDefault="008020BC" w:rsidP="004E031C">
      <w:pPr>
        <w:pStyle w:val="ListParagraph"/>
        <w:numPr>
          <w:ilvl w:val="0"/>
          <w:numId w:val="1"/>
        </w:numPr>
        <w:spacing w:after="0" w:line="480" w:lineRule="auto"/>
        <w:ind w:left="426" w:hanging="426"/>
        <w:rPr>
          <w:sz w:val="24"/>
          <w:szCs w:val="24"/>
        </w:rPr>
      </w:pPr>
      <w:r w:rsidRPr="00794A22">
        <w:rPr>
          <w:sz w:val="24"/>
          <w:szCs w:val="24"/>
        </w:rPr>
        <w:lastRenderedPageBreak/>
        <w:t>JP Greenwood, BA Herzog, JM Brown, et al. Prognostic Value of CMR and SPECT in Suspected Coronary Heart Disease: Long Term Follow-Up of the CE-MARC Study. Annals of Internal Medicine 2016; 165(1):1-9.</w:t>
      </w:r>
      <w:r w:rsidR="004E031C" w:rsidRPr="00794A22">
        <w:rPr>
          <w:sz w:val="24"/>
          <w:szCs w:val="24"/>
        </w:rPr>
        <w:t xml:space="preserve"> </w:t>
      </w:r>
    </w:p>
    <w:p w14:paraId="261A23FA" w14:textId="39EFC8C0" w:rsidR="004E031C" w:rsidRPr="00794A22" w:rsidRDefault="004E031C" w:rsidP="004E031C">
      <w:pPr>
        <w:pStyle w:val="ListParagraph"/>
        <w:numPr>
          <w:ilvl w:val="0"/>
          <w:numId w:val="1"/>
        </w:numPr>
        <w:spacing w:after="0" w:line="480" w:lineRule="auto"/>
        <w:ind w:left="426" w:hanging="426"/>
        <w:rPr>
          <w:sz w:val="24"/>
          <w:szCs w:val="24"/>
        </w:rPr>
      </w:pPr>
      <w:r w:rsidRPr="00794A22">
        <w:rPr>
          <w:sz w:val="24"/>
          <w:szCs w:val="24"/>
        </w:rPr>
        <w:t xml:space="preserve">S Walker, F </w:t>
      </w:r>
      <w:proofErr w:type="spellStart"/>
      <w:r w:rsidRPr="00794A22">
        <w:rPr>
          <w:sz w:val="24"/>
          <w:szCs w:val="24"/>
        </w:rPr>
        <w:t>Girardin</w:t>
      </w:r>
      <w:proofErr w:type="spellEnd"/>
      <w:r w:rsidRPr="00794A22">
        <w:rPr>
          <w:sz w:val="24"/>
          <w:szCs w:val="24"/>
        </w:rPr>
        <w:t>, C McKenna, et al. Cost-effectiveness of cardiovascular magnetic resonance in the diagnosis of coronary heart disease: an economic evaluation using data from the CE-MARC study. Heart 2013; 99(12):873-81.</w:t>
      </w:r>
    </w:p>
    <w:p w14:paraId="4191F21E" w14:textId="77777777" w:rsidR="008A494B" w:rsidRPr="00794A22" w:rsidRDefault="004E031C" w:rsidP="008A494B">
      <w:pPr>
        <w:pStyle w:val="ListParagraph"/>
        <w:numPr>
          <w:ilvl w:val="0"/>
          <w:numId w:val="1"/>
        </w:numPr>
        <w:spacing w:after="0" w:line="480" w:lineRule="auto"/>
        <w:ind w:left="426" w:hanging="426"/>
        <w:rPr>
          <w:sz w:val="24"/>
          <w:szCs w:val="24"/>
        </w:rPr>
      </w:pPr>
      <w:r w:rsidRPr="00794A22">
        <w:rPr>
          <w:sz w:val="24"/>
          <w:szCs w:val="24"/>
        </w:rPr>
        <w:t xml:space="preserve">M </w:t>
      </w:r>
      <w:proofErr w:type="spellStart"/>
      <w:r w:rsidRPr="00794A22">
        <w:rPr>
          <w:sz w:val="24"/>
          <w:szCs w:val="24"/>
        </w:rPr>
        <w:t>Pletscher</w:t>
      </w:r>
      <w:proofErr w:type="spellEnd"/>
      <w:r w:rsidRPr="00794A22">
        <w:rPr>
          <w:sz w:val="24"/>
          <w:szCs w:val="24"/>
        </w:rPr>
        <w:t xml:space="preserve">, S Walker, K </w:t>
      </w:r>
      <w:proofErr w:type="spellStart"/>
      <w:r w:rsidRPr="00794A22">
        <w:rPr>
          <w:sz w:val="24"/>
          <w:szCs w:val="24"/>
        </w:rPr>
        <w:t>Moschetti</w:t>
      </w:r>
      <w:proofErr w:type="spellEnd"/>
      <w:r w:rsidRPr="00794A22">
        <w:rPr>
          <w:sz w:val="24"/>
          <w:szCs w:val="24"/>
        </w:rPr>
        <w:t xml:space="preserve">, et al. Cost-effectiveness of functional cardiac imaging in the diagnostic work-up of coronary heart disease. </w:t>
      </w:r>
      <w:proofErr w:type="spellStart"/>
      <w:r w:rsidRPr="00794A22">
        <w:rPr>
          <w:sz w:val="24"/>
          <w:szCs w:val="24"/>
        </w:rPr>
        <w:t>Eur</w:t>
      </w:r>
      <w:proofErr w:type="spellEnd"/>
      <w:r w:rsidRPr="00794A22">
        <w:rPr>
          <w:sz w:val="24"/>
          <w:szCs w:val="24"/>
        </w:rPr>
        <w:t xml:space="preserve"> Heart J </w:t>
      </w:r>
      <w:proofErr w:type="spellStart"/>
      <w:r w:rsidRPr="00794A22">
        <w:rPr>
          <w:sz w:val="24"/>
          <w:szCs w:val="24"/>
        </w:rPr>
        <w:t>Qual</w:t>
      </w:r>
      <w:proofErr w:type="spellEnd"/>
      <w:r w:rsidRPr="00794A22">
        <w:rPr>
          <w:sz w:val="24"/>
          <w:szCs w:val="24"/>
        </w:rPr>
        <w:t xml:space="preserve"> Care </w:t>
      </w:r>
      <w:proofErr w:type="spellStart"/>
      <w:r w:rsidRPr="00794A22">
        <w:rPr>
          <w:sz w:val="24"/>
          <w:szCs w:val="24"/>
        </w:rPr>
        <w:t>Clin</w:t>
      </w:r>
      <w:proofErr w:type="spellEnd"/>
      <w:r w:rsidRPr="00794A22">
        <w:rPr>
          <w:sz w:val="24"/>
          <w:szCs w:val="24"/>
        </w:rPr>
        <w:t xml:space="preserve"> Outcomes. 2016; 2(3):201-207. </w:t>
      </w:r>
    </w:p>
    <w:p w14:paraId="4C18DA99" w14:textId="17024789" w:rsidR="008020BC" w:rsidRPr="00794A22" w:rsidRDefault="008A494B" w:rsidP="008A494B">
      <w:pPr>
        <w:pStyle w:val="ListParagraph"/>
        <w:numPr>
          <w:ilvl w:val="0"/>
          <w:numId w:val="1"/>
        </w:numPr>
        <w:spacing w:after="0" w:line="480" w:lineRule="auto"/>
        <w:ind w:left="426" w:hanging="426"/>
        <w:rPr>
          <w:sz w:val="24"/>
          <w:szCs w:val="24"/>
        </w:rPr>
      </w:pPr>
      <w:proofErr w:type="spellStart"/>
      <w:r w:rsidRPr="00794A22">
        <w:rPr>
          <w:sz w:val="24"/>
          <w:szCs w:val="24"/>
        </w:rPr>
        <w:t>Moschetti</w:t>
      </w:r>
      <w:proofErr w:type="spellEnd"/>
      <w:r w:rsidRPr="00794A22">
        <w:rPr>
          <w:sz w:val="24"/>
          <w:szCs w:val="24"/>
        </w:rPr>
        <w:t xml:space="preserve"> K, Favre D, </w:t>
      </w:r>
      <w:proofErr w:type="spellStart"/>
      <w:r w:rsidRPr="00794A22">
        <w:rPr>
          <w:sz w:val="24"/>
          <w:szCs w:val="24"/>
        </w:rPr>
        <w:t>Pinget</w:t>
      </w:r>
      <w:proofErr w:type="spellEnd"/>
      <w:r w:rsidRPr="00794A22">
        <w:rPr>
          <w:sz w:val="24"/>
          <w:szCs w:val="24"/>
        </w:rPr>
        <w:t xml:space="preserve"> C, et al. Comparative cost-effectiveness analyses of cardiovascular magnetic resonance and coronary angiography combined with fractional flow reserve for the diagnosis of coronary artery disease. Journal of Cardiovascular Magnetic Resonance 2014, 16:13.</w:t>
      </w:r>
    </w:p>
    <w:p w14:paraId="54C454B8" w14:textId="77777777" w:rsidR="007D05E1" w:rsidRPr="00794A22" w:rsidRDefault="008020BC" w:rsidP="004E031C">
      <w:pPr>
        <w:pStyle w:val="ListParagraph"/>
        <w:numPr>
          <w:ilvl w:val="0"/>
          <w:numId w:val="1"/>
        </w:numPr>
        <w:spacing w:after="0" w:line="480" w:lineRule="auto"/>
        <w:ind w:left="426" w:hanging="426"/>
        <w:rPr>
          <w:sz w:val="24"/>
          <w:szCs w:val="24"/>
        </w:rPr>
      </w:pPr>
      <w:r w:rsidRPr="00794A22">
        <w:rPr>
          <w:sz w:val="24"/>
          <w:szCs w:val="24"/>
        </w:rPr>
        <w:t xml:space="preserve">Ge Y, Pandya A, Steel K, et al. Cost Effectiveness Analysis of Stress Cardiac Magnetic Resonance Imaging for Stable Chest Pain Syndromes. JACC imaging 2020 (in press). </w:t>
      </w:r>
    </w:p>
    <w:p w14:paraId="120AAD7B" w14:textId="77777777" w:rsidR="0066599A" w:rsidRPr="00794A22" w:rsidRDefault="00925347" w:rsidP="004E031C">
      <w:pPr>
        <w:pStyle w:val="ListParagraph"/>
        <w:numPr>
          <w:ilvl w:val="0"/>
          <w:numId w:val="1"/>
        </w:numPr>
        <w:spacing w:after="0" w:line="480" w:lineRule="auto"/>
        <w:ind w:left="426" w:hanging="426"/>
        <w:rPr>
          <w:sz w:val="24"/>
          <w:szCs w:val="24"/>
        </w:rPr>
      </w:pPr>
      <w:r w:rsidRPr="00794A22">
        <w:rPr>
          <w:sz w:val="24"/>
          <w:szCs w:val="24"/>
        </w:rPr>
        <w:t>RY Kwong, Y Ge, K Steel</w:t>
      </w:r>
      <w:r w:rsidR="007D05E1" w:rsidRPr="00794A22">
        <w:rPr>
          <w:sz w:val="24"/>
          <w:szCs w:val="24"/>
        </w:rPr>
        <w:t xml:space="preserve">, et al. Cardiac Magnetic Resonance Stress Perfusion Imaging for Evaluation of Patients With Chest Pain. J Am </w:t>
      </w:r>
      <w:proofErr w:type="spellStart"/>
      <w:r w:rsidR="007D05E1" w:rsidRPr="00794A22">
        <w:rPr>
          <w:sz w:val="24"/>
          <w:szCs w:val="24"/>
        </w:rPr>
        <w:t>Coll</w:t>
      </w:r>
      <w:proofErr w:type="spellEnd"/>
      <w:r w:rsidR="007D05E1" w:rsidRPr="00794A22">
        <w:rPr>
          <w:sz w:val="24"/>
          <w:szCs w:val="24"/>
        </w:rPr>
        <w:t xml:space="preserve"> </w:t>
      </w:r>
      <w:proofErr w:type="spellStart"/>
      <w:r w:rsidR="007D05E1" w:rsidRPr="00794A22">
        <w:rPr>
          <w:sz w:val="24"/>
          <w:szCs w:val="24"/>
        </w:rPr>
        <w:t>Cardiol</w:t>
      </w:r>
      <w:proofErr w:type="spellEnd"/>
      <w:r w:rsidR="007D05E1" w:rsidRPr="00794A22">
        <w:rPr>
          <w:sz w:val="24"/>
          <w:szCs w:val="24"/>
        </w:rPr>
        <w:t xml:space="preserve"> 2019</w:t>
      </w:r>
      <w:proofErr w:type="gramStart"/>
      <w:r w:rsidR="007D05E1" w:rsidRPr="00794A22">
        <w:rPr>
          <w:sz w:val="24"/>
          <w:szCs w:val="24"/>
        </w:rPr>
        <w:t>;74:1741</w:t>
      </w:r>
      <w:proofErr w:type="gramEnd"/>
      <w:r w:rsidR="007D05E1" w:rsidRPr="00794A22">
        <w:rPr>
          <w:sz w:val="24"/>
          <w:szCs w:val="24"/>
        </w:rPr>
        <w:t>–55.</w:t>
      </w:r>
    </w:p>
    <w:p w14:paraId="00A5D223" w14:textId="77777777" w:rsidR="009E4BDF" w:rsidRPr="00794A22" w:rsidRDefault="00BC2104" w:rsidP="004E031C">
      <w:pPr>
        <w:pStyle w:val="ListParagraph"/>
        <w:numPr>
          <w:ilvl w:val="0"/>
          <w:numId w:val="1"/>
        </w:numPr>
        <w:spacing w:after="0" w:line="480" w:lineRule="auto"/>
        <w:ind w:left="426" w:hanging="426"/>
        <w:rPr>
          <w:sz w:val="24"/>
          <w:szCs w:val="24"/>
        </w:rPr>
      </w:pPr>
      <w:r w:rsidRPr="00794A22">
        <w:rPr>
          <w:sz w:val="24"/>
          <w:szCs w:val="24"/>
        </w:rPr>
        <w:t xml:space="preserve">Briggs A, </w:t>
      </w:r>
      <w:proofErr w:type="spellStart"/>
      <w:r w:rsidRPr="00794A22">
        <w:rPr>
          <w:sz w:val="24"/>
          <w:szCs w:val="24"/>
        </w:rPr>
        <w:t>Mihaylova</w:t>
      </w:r>
      <w:proofErr w:type="spellEnd"/>
      <w:r w:rsidRPr="00794A22">
        <w:rPr>
          <w:sz w:val="24"/>
          <w:szCs w:val="24"/>
        </w:rPr>
        <w:t xml:space="preserve"> B, Sculpher M, et al. Cost effectiveness of perindopril in reducing cardiovascular events in patients with stable coronary artery disease using data from the EURO</w:t>
      </w:r>
      <w:r w:rsidR="009E4BDF" w:rsidRPr="00794A22">
        <w:rPr>
          <w:sz w:val="24"/>
          <w:szCs w:val="24"/>
        </w:rPr>
        <w:t>PA study. Heart 2007</w:t>
      </w:r>
      <w:proofErr w:type="gramStart"/>
      <w:r w:rsidR="009E4BDF" w:rsidRPr="00794A22">
        <w:rPr>
          <w:sz w:val="24"/>
          <w:szCs w:val="24"/>
        </w:rPr>
        <w:t>;93:1081</w:t>
      </w:r>
      <w:proofErr w:type="gramEnd"/>
      <w:r w:rsidR="009E4BDF" w:rsidRPr="00794A22">
        <w:rPr>
          <w:sz w:val="24"/>
          <w:szCs w:val="24"/>
        </w:rPr>
        <w:t xml:space="preserve">–6. </w:t>
      </w:r>
    </w:p>
    <w:p w14:paraId="29F96EF0" w14:textId="77777777" w:rsidR="009E4BDF" w:rsidRPr="00794A22" w:rsidRDefault="00BC2104" w:rsidP="004E031C">
      <w:pPr>
        <w:pStyle w:val="ListParagraph"/>
        <w:numPr>
          <w:ilvl w:val="0"/>
          <w:numId w:val="1"/>
        </w:numPr>
        <w:spacing w:after="0" w:line="480" w:lineRule="auto"/>
        <w:ind w:left="426" w:hanging="426"/>
        <w:rPr>
          <w:sz w:val="24"/>
          <w:szCs w:val="24"/>
        </w:rPr>
      </w:pPr>
      <w:proofErr w:type="spellStart"/>
      <w:r w:rsidRPr="00794A22">
        <w:rPr>
          <w:sz w:val="24"/>
          <w:szCs w:val="24"/>
        </w:rPr>
        <w:t>Asaria</w:t>
      </w:r>
      <w:proofErr w:type="spellEnd"/>
      <w:r w:rsidRPr="00794A22">
        <w:rPr>
          <w:sz w:val="24"/>
          <w:szCs w:val="24"/>
        </w:rPr>
        <w:t xml:space="preserve"> M, Walker S, Palmer S, et al. Using electronic health records to predict costs and outcomes in stable coronary artery disease. Heart 2016</w:t>
      </w:r>
      <w:proofErr w:type="gramStart"/>
      <w:r w:rsidRPr="00794A22">
        <w:rPr>
          <w:sz w:val="24"/>
          <w:szCs w:val="24"/>
        </w:rPr>
        <w:t>;102:755</w:t>
      </w:r>
      <w:proofErr w:type="gramEnd"/>
      <w:r w:rsidRPr="00794A22">
        <w:rPr>
          <w:sz w:val="24"/>
          <w:szCs w:val="24"/>
        </w:rPr>
        <w:t xml:space="preserve">–62. </w:t>
      </w:r>
    </w:p>
    <w:p w14:paraId="2C176FE8" w14:textId="77777777" w:rsidR="009E4BDF" w:rsidRPr="00794A22" w:rsidRDefault="00BC2104" w:rsidP="004E031C">
      <w:pPr>
        <w:pStyle w:val="ListParagraph"/>
        <w:numPr>
          <w:ilvl w:val="0"/>
          <w:numId w:val="1"/>
        </w:numPr>
        <w:spacing w:after="0" w:line="480" w:lineRule="auto"/>
        <w:ind w:left="426" w:hanging="426"/>
        <w:rPr>
          <w:sz w:val="24"/>
          <w:szCs w:val="24"/>
        </w:rPr>
      </w:pPr>
      <w:r w:rsidRPr="00794A22">
        <w:rPr>
          <w:sz w:val="24"/>
          <w:szCs w:val="24"/>
        </w:rPr>
        <w:lastRenderedPageBreak/>
        <w:t xml:space="preserve">Walker S, </w:t>
      </w:r>
      <w:proofErr w:type="spellStart"/>
      <w:r w:rsidRPr="00794A22">
        <w:rPr>
          <w:sz w:val="24"/>
          <w:szCs w:val="24"/>
        </w:rPr>
        <w:t>Asaria</w:t>
      </w:r>
      <w:proofErr w:type="spellEnd"/>
      <w:r w:rsidRPr="00794A22">
        <w:rPr>
          <w:sz w:val="24"/>
          <w:szCs w:val="24"/>
        </w:rPr>
        <w:t xml:space="preserve"> M, </w:t>
      </w:r>
      <w:proofErr w:type="spellStart"/>
      <w:r w:rsidRPr="00794A22">
        <w:rPr>
          <w:sz w:val="24"/>
          <w:szCs w:val="24"/>
        </w:rPr>
        <w:t>Manca</w:t>
      </w:r>
      <w:proofErr w:type="spellEnd"/>
      <w:r w:rsidRPr="00794A22">
        <w:rPr>
          <w:sz w:val="24"/>
          <w:szCs w:val="24"/>
        </w:rPr>
        <w:t xml:space="preserve"> A, et al. Long-term healthcare use and costs in patients with stable coronary artery disease: a population-based cohort using linked health records (CALIBER). </w:t>
      </w:r>
      <w:proofErr w:type="spellStart"/>
      <w:r w:rsidRPr="00794A22">
        <w:rPr>
          <w:sz w:val="24"/>
          <w:szCs w:val="24"/>
        </w:rPr>
        <w:t>Eur</w:t>
      </w:r>
      <w:proofErr w:type="spellEnd"/>
      <w:r w:rsidRPr="00794A22">
        <w:rPr>
          <w:sz w:val="24"/>
          <w:szCs w:val="24"/>
        </w:rPr>
        <w:t xml:space="preserve"> Hear J - </w:t>
      </w:r>
      <w:proofErr w:type="spellStart"/>
      <w:r w:rsidRPr="00794A22">
        <w:rPr>
          <w:sz w:val="24"/>
          <w:szCs w:val="24"/>
        </w:rPr>
        <w:t>Qual</w:t>
      </w:r>
      <w:proofErr w:type="spellEnd"/>
      <w:r w:rsidRPr="00794A22">
        <w:rPr>
          <w:sz w:val="24"/>
          <w:szCs w:val="24"/>
        </w:rPr>
        <w:t xml:space="preserve"> Care </w:t>
      </w:r>
      <w:proofErr w:type="spellStart"/>
      <w:r w:rsidRPr="00794A22">
        <w:rPr>
          <w:sz w:val="24"/>
          <w:szCs w:val="24"/>
        </w:rPr>
        <w:t>Clin</w:t>
      </w:r>
      <w:proofErr w:type="spellEnd"/>
      <w:r w:rsidRPr="00794A22">
        <w:rPr>
          <w:sz w:val="24"/>
          <w:szCs w:val="24"/>
        </w:rPr>
        <w:t xml:space="preserve"> Outcomes 2016</w:t>
      </w:r>
      <w:proofErr w:type="gramStart"/>
      <w:r w:rsidRPr="00794A22">
        <w:rPr>
          <w:sz w:val="24"/>
          <w:szCs w:val="24"/>
        </w:rPr>
        <w:t>;2:125</w:t>
      </w:r>
      <w:proofErr w:type="gramEnd"/>
      <w:r w:rsidRPr="00794A22">
        <w:rPr>
          <w:sz w:val="24"/>
          <w:szCs w:val="24"/>
        </w:rPr>
        <w:t xml:space="preserve">–40. </w:t>
      </w:r>
    </w:p>
    <w:p w14:paraId="35B2E2FF" w14:textId="77777777" w:rsidR="009E4BDF" w:rsidRPr="00794A22" w:rsidRDefault="00BC2104" w:rsidP="004E031C">
      <w:pPr>
        <w:pStyle w:val="ListParagraph"/>
        <w:numPr>
          <w:ilvl w:val="0"/>
          <w:numId w:val="1"/>
        </w:numPr>
        <w:spacing w:after="0" w:line="480" w:lineRule="auto"/>
        <w:ind w:left="426" w:hanging="426"/>
        <w:rPr>
          <w:sz w:val="24"/>
          <w:szCs w:val="24"/>
        </w:rPr>
      </w:pPr>
      <w:r w:rsidRPr="00794A22">
        <w:rPr>
          <w:sz w:val="24"/>
          <w:szCs w:val="24"/>
        </w:rPr>
        <w:t xml:space="preserve">Neumann PJ, Cohen JT, Weinstein MC. Updating Cost-Effectiveness — </w:t>
      </w:r>
      <w:proofErr w:type="gramStart"/>
      <w:r w:rsidRPr="00794A22">
        <w:rPr>
          <w:sz w:val="24"/>
          <w:szCs w:val="24"/>
        </w:rPr>
        <w:t>The</w:t>
      </w:r>
      <w:proofErr w:type="gramEnd"/>
      <w:r w:rsidRPr="00794A22">
        <w:rPr>
          <w:sz w:val="24"/>
          <w:szCs w:val="24"/>
        </w:rPr>
        <w:t xml:space="preserve"> Curious Resilience of the $50,000-per-QALY Threshold. N </w:t>
      </w:r>
      <w:proofErr w:type="spellStart"/>
      <w:r w:rsidRPr="00794A22">
        <w:rPr>
          <w:sz w:val="24"/>
          <w:szCs w:val="24"/>
        </w:rPr>
        <w:t>Engl</w:t>
      </w:r>
      <w:proofErr w:type="spellEnd"/>
      <w:r w:rsidRPr="00794A22">
        <w:rPr>
          <w:sz w:val="24"/>
          <w:szCs w:val="24"/>
        </w:rPr>
        <w:t xml:space="preserve"> J Med 2014</w:t>
      </w:r>
      <w:proofErr w:type="gramStart"/>
      <w:r w:rsidRPr="00794A22">
        <w:rPr>
          <w:sz w:val="24"/>
          <w:szCs w:val="24"/>
        </w:rPr>
        <w:t>;371:796</w:t>
      </w:r>
      <w:proofErr w:type="gramEnd"/>
      <w:r w:rsidR="009E4BDF" w:rsidRPr="00794A22">
        <w:rPr>
          <w:sz w:val="24"/>
          <w:szCs w:val="24"/>
        </w:rPr>
        <w:t>–7.</w:t>
      </w:r>
    </w:p>
    <w:p w14:paraId="5E1A3D94" w14:textId="77777777" w:rsidR="009E4BDF" w:rsidRPr="00794A22" w:rsidRDefault="00BC2104" w:rsidP="004E031C">
      <w:pPr>
        <w:pStyle w:val="ListParagraph"/>
        <w:numPr>
          <w:ilvl w:val="0"/>
          <w:numId w:val="1"/>
        </w:numPr>
        <w:spacing w:after="0" w:line="480" w:lineRule="auto"/>
        <w:ind w:left="426" w:hanging="426"/>
        <w:rPr>
          <w:sz w:val="24"/>
          <w:szCs w:val="24"/>
        </w:rPr>
      </w:pPr>
      <w:proofErr w:type="spellStart"/>
      <w:r w:rsidRPr="00794A22">
        <w:rPr>
          <w:sz w:val="24"/>
          <w:szCs w:val="24"/>
        </w:rPr>
        <w:t>Rothery</w:t>
      </w:r>
      <w:proofErr w:type="spellEnd"/>
      <w:r w:rsidRPr="00794A22">
        <w:rPr>
          <w:sz w:val="24"/>
          <w:szCs w:val="24"/>
        </w:rPr>
        <w:t xml:space="preserve"> C, Strong M, </w:t>
      </w:r>
      <w:proofErr w:type="spellStart"/>
      <w:r w:rsidRPr="00794A22">
        <w:rPr>
          <w:sz w:val="24"/>
          <w:szCs w:val="24"/>
        </w:rPr>
        <w:t>Koffijberg</w:t>
      </w:r>
      <w:proofErr w:type="spellEnd"/>
      <w:r w:rsidRPr="00794A22">
        <w:rPr>
          <w:sz w:val="24"/>
          <w:szCs w:val="24"/>
        </w:rPr>
        <w:t xml:space="preserve"> HE, et al. Value of Information Analytical Methods: Report 2 of the ISPOR Value of Information Analysis Emerging Good Practices Task Force. Value Heal</w:t>
      </w:r>
      <w:r w:rsidR="009E4BDF" w:rsidRPr="00794A22">
        <w:rPr>
          <w:sz w:val="24"/>
          <w:szCs w:val="24"/>
        </w:rPr>
        <w:t>th</w:t>
      </w:r>
      <w:r w:rsidRPr="00794A22">
        <w:rPr>
          <w:sz w:val="24"/>
          <w:szCs w:val="24"/>
        </w:rPr>
        <w:t xml:space="preserve"> 2020</w:t>
      </w:r>
      <w:proofErr w:type="gramStart"/>
      <w:r w:rsidRPr="00794A22">
        <w:rPr>
          <w:sz w:val="24"/>
          <w:szCs w:val="24"/>
        </w:rPr>
        <w:t>;23:277</w:t>
      </w:r>
      <w:proofErr w:type="gramEnd"/>
      <w:r w:rsidRPr="00794A22">
        <w:rPr>
          <w:sz w:val="24"/>
          <w:szCs w:val="24"/>
        </w:rPr>
        <w:t xml:space="preserve">–286. </w:t>
      </w:r>
    </w:p>
    <w:p w14:paraId="7E1F4D25" w14:textId="3DCE9C45" w:rsidR="00BC2104" w:rsidRPr="00794A22" w:rsidRDefault="009E4BDF" w:rsidP="0009660B">
      <w:pPr>
        <w:pStyle w:val="ListParagraph"/>
        <w:numPr>
          <w:ilvl w:val="0"/>
          <w:numId w:val="1"/>
        </w:numPr>
        <w:spacing w:after="0" w:line="480" w:lineRule="auto"/>
        <w:ind w:left="426" w:hanging="426"/>
        <w:rPr>
          <w:sz w:val="24"/>
          <w:szCs w:val="24"/>
        </w:rPr>
      </w:pPr>
      <w:r w:rsidRPr="00794A22">
        <w:rPr>
          <w:sz w:val="24"/>
          <w:szCs w:val="24"/>
        </w:rPr>
        <w:t xml:space="preserve">JRJ Foley, C Richmond, GJ </w:t>
      </w:r>
      <w:proofErr w:type="spellStart"/>
      <w:r w:rsidRPr="00794A22">
        <w:rPr>
          <w:sz w:val="24"/>
          <w:szCs w:val="24"/>
        </w:rPr>
        <w:t>Fent</w:t>
      </w:r>
      <w:proofErr w:type="spellEnd"/>
      <w:r w:rsidRPr="00794A22">
        <w:rPr>
          <w:sz w:val="24"/>
          <w:szCs w:val="24"/>
        </w:rPr>
        <w:t xml:space="preserve">, et al. Rapid Cardiovascular Magnetic Resonance for Ischemic Heart Disease Investigation (RAPID-IHD). JACC </w:t>
      </w:r>
      <w:proofErr w:type="spellStart"/>
      <w:r w:rsidRPr="00794A22">
        <w:rPr>
          <w:sz w:val="24"/>
          <w:szCs w:val="24"/>
        </w:rPr>
        <w:t>Img</w:t>
      </w:r>
      <w:proofErr w:type="spellEnd"/>
      <w:r w:rsidRPr="00794A22">
        <w:rPr>
          <w:sz w:val="24"/>
          <w:szCs w:val="24"/>
        </w:rPr>
        <w:t xml:space="preserve"> 2020; (in press).</w:t>
      </w:r>
    </w:p>
    <w:sectPr w:rsidR="00BC2104" w:rsidRPr="00794A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4845B9" w16cid:durableId="2227273D"/>
  <w16cid:commentId w16cid:paraId="29D919B1" w16cid:durableId="222728DE"/>
  <w16cid:commentId w16cid:paraId="0BE7FE3B" w16cid:durableId="222728BF"/>
  <w16cid:commentId w16cid:paraId="4784FBA2" w16cid:durableId="22272947"/>
  <w16cid:commentId w16cid:paraId="76D0CAB6" w16cid:durableId="22272A90"/>
  <w16cid:commentId w16cid:paraId="1925CA09" w16cid:durableId="22272C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64428"/>
    <w:multiLevelType w:val="hybridMultilevel"/>
    <w:tmpl w:val="4056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FF527B"/>
    <w:multiLevelType w:val="hybridMultilevel"/>
    <w:tmpl w:val="4056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4652B6"/>
    <w:multiLevelType w:val="hybridMultilevel"/>
    <w:tmpl w:val="40569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740"/>
    <w:rsid w:val="000752CA"/>
    <w:rsid w:val="000902F3"/>
    <w:rsid w:val="0009660B"/>
    <w:rsid w:val="000D0809"/>
    <w:rsid w:val="00101F14"/>
    <w:rsid w:val="00105BAF"/>
    <w:rsid w:val="00124F0B"/>
    <w:rsid w:val="001304F7"/>
    <w:rsid w:val="00184BA9"/>
    <w:rsid w:val="001B548C"/>
    <w:rsid w:val="002201A0"/>
    <w:rsid w:val="00232A6A"/>
    <w:rsid w:val="0026437A"/>
    <w:rsid w:val="00292183"/>
    <w:rsid w:val="002C2301"/>
    <w:rsid w:val="002E5C79"/>
    <w:rsid w:val="002F3AF7"/>
    <w:rsid w:val="0030012D"/>
    <w:rsid w:val="0035616B"/>
    <w:rsid w:val="0036685B"/>
    <w:rsid w:val="003B6F5E"/>
    <w:rsid w:val="00407E24"/>
    <w:rsid w:val="00431CC3"/>
    <w:rsid w:val="004E031C"/>
    <w:rsid w:val="004F0026"/>
    <w:rsid w:val="004F0176"/>
    <w:rsid w:val="0050433E"/>
    <w:rsid w:val="0054169E"/>
    <w:rsid w:val="00556148"/>
    <w:rsid w:val="00557B78"/>
    <w:rsid w:val="00586D9D"/>
    <w:rsid w:val="005D6587"/>
    <w:rsid w:val="005E0984"/>
    <w:rsid w:val="006001EC"/>
    <w:rsid w:val="0062595A"/>
    <w:rsid w:val="0066599A"/>
    <w:rsid w:val="0068057B"/>
    <w:rsid w:val="006D2229"/>
    <w:rsid w:val="00711C65"/>
    <w:rsid w:val="00717230"/>
    <w:rsid w:val="00744DAA"/>
    <w:rsid w:val="00765C50"/>
    <w:rsid w:val="0076784E"/>
    <w:rsid w:val="00775228"/>
    <w:rsid w:val="00794A22"/>
    <w:rsid w:val="007D05E1"/>
    <w:rsid w:val="007F595E"/>
    <w:rsid w:val="008020BC"/>
    <w:rsid w:val="00805A92"/>
    <w:rsid w:val="0086468F"/>
    <w:rsid w:val="008A494B"/>
    <w:rsid w:val="008C16EA"/>
    <w:rsid w:val="008C305C"/>
    <w:rsid w:val="008D2C8F"/>
    <w:rsid w:val="008E08ED"/>
    <w:rsid w:val="00925347"/>
    <w:rsid w:val="00941954"/>
    <w:rsid w:val="00956E4F"/>
    <w:rsid w:val="009E4BDF"/>
    <w:rsid w:val="00A22A76"/>
    <w:rsid w:val="00A62E9F"/>
    <w:rsid w:val="00A82DA6"/>
    <w:rsid w:val="00AD27C1"/>
    <w:rsid w:val="00AF496E"/>
    <w:rsid w:val="00B12334"/>
    <w:rsid w:val="00B56C93"/>
    <w:rsid w:val="00B7617B"/>
    <w:rsid w:val="00B77740"/>
    <w:rsid w:val="00B83544"/>
    <w:rsid w:val="00B93209"/>
    <w:rsid w:val="00BA28A3"/>
    <w:rsid w:val="00BC2104"/>
    <w:rsid w:val="00BE0C32"/>
    <w:rsid w:val="00C64E96"/>
    <w:rsid w:val="00CB746F"/>
    <w:rsid w:val="00DC40F0"/>
    <w:rsid w:val="00F2204A"/>
    <w:rsid w:val="00F32AD1"/>
    <w:rsid w:val="00F37F80"/>
    <w:rsid w:val="00F4781D"/>
    <w:rsid w:val="00F61A71"/>
    <w:rsid w:val="00F72262"/>
    <w:rsid w:val="00FB23FD"/>
    <w:rsid w:val="00FE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63AC"/>
  <w15:chartTrackingRefBased/>
  <w15:docId w15:val="{72843847-3B88-45F0-A9DB-A5E1BAC2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CC3"/>
    <w:pPr>
      <w:ind w:left="720"/>
      <w:contextualSpacing/>
    </w:pPr>
  </w:style>
  <w:style w:type="character" w:styleId="CommentReference">
    <w:name w:val="annotation reference"/>
    <w:basedOn w:val="DefaultParagraphFont"/>
    <w:uiPriority w:val="99"/>
    <w:semiHidden/>
    <w:unhideWhenUsed/>
    <w:rsid w:val="005D6587"/>
    <w:rPr>
      <w:sz w:val="16"/>
      <w:szCs w:val="16"/>
    </w:rPr>
  </w:style>
  <w:style w:type="paragraph" w:styleId="CommentText">
    <w:name w:val="annotation text"/>
    <w:basedOn w:val="Normal"/>
    <w:link w:val="CommentTextChar"/>
    <w:uiPriority w:val="99"/>
    <w:semiHidden/>
    <w:unhideWhenUsed/>
    <w:rsid w:val="005D6587"/>
    <w:pPr>
      <w:spacing w:line="240" w:lineRule="auto"/>
    </w:pPr>
    <w:rPr>
      <w:sz w:val="20"/>
      <w:szCs w:val="20"/>
    </w:rPr>
  </w:style>
  <w:style w:type="character" w:customStyle="1" w:styleId="CommentTextChar">
    <w:name w:val="Comment Text Char"/>
    <w:basedOn w:val="DefaultParagraphFont"/>
    <w:link w:val="CommentText"/>
    <w:uiPriority w:val="99"/>
    <w:semiHidden/>
    <w:rsid w:val="005D6587"/>
    <w:rPr>
      <w:sz w:val="20"/>
      <w:szCs w:val="20"/>
    </w:rPr>
  </w:style>
  <w:style w:type="paragraph" w:styleId="BalloonText">
    <w:name w:val="Balloon Text"/>
    <w:basedOn w:val="Normal"/>
    <w:link w:val="BalloonTextChar"/>
    <w:uiPriority w:val="99"/>
    <w:semiHidden/>
    <w:unhideWhenUsed/>
    <w:rsid w:val="005D6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8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6437A"/>
    <w:rPr>
      <w:b/>
      <w:bCs/>
    </w:rPr>
  </w:style>
  <w:style w:type="character" w:customStyle="1" w:styleId="CommentSubjectChar">
    <w:name w:val="Comment Subject Char"/>
    <w:basedOn w:val="CommentTextChar"/>
    <w:link w:val="CommentSubject"/>
    <w:uiPriority w:val="99"/>
    <w:semiHidden/>
    <w:rsid w:val="00264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Greenwood</dc:creator>
  <cp:keywords/>
  <dc:description/>
  <cp:lastModifiedBy>John Greenwood</cp:lastModifiedBy>
  <cp:revision>2</cp:revision>
  <dcterms:created xsi:type="dcterms:W3CDTF">2020-06-18T11:30:00Z</dcterms:created>
  <dcterms:modified xsi:type="dcterms:W3CDTF">2020-06-18T11:30:00Z</dcterms:modified>
</cp:coreProperties>
</file>