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12" w:rsidRPr="00180121" w:rsidRDefault="00774112" w:rsidP="00774112">
      <w:pPr>
        <w:spacing w:line="360" w:lineRule="auto"/>
        <w:jc w:val="center"/>
        <w:rPr>
          <w:b/>
          <w:sz w:val="26"/>
          <w:szCs w:val="26"/>
        </w:rPr>
      </w:pPr>
      <w:r w:rsidRPr="00180121">
        <w:rPr>
          <w:b/>
          <w:sz w:val="26"/>
          <w:szCs w:val="26"/>
        </w:rPr>
        <w:t>A large population based study of the Mental Health and Wellbeing of Children and Young People in the North of England</w:t>
      </w:r>
      <w:r w:rsidR="00044D29" w:rsidRPr="00180121">
        <w:rPr>
          <w:b/>
          <w:sz w:val="26"/>
          <w:szCs w:val="26"/>
        </w:rPr>
        <w:br/>
      </w:r>
    </w:p>
    <w:p w:rsidR="00774112" w:rsidRDefault="00774112" w:rsidP="00774112">
      <w:pPr>
        <w:spacing w:line="360" w:lineRule="auto"/>
        <w:jc w:val="center"/>
        <w:rPr>
          <w:b/>
          <w:sz w:val="22"/>
        </w:rPr>
      </w:pPr>
      <w:bookmarkStart w:id="0" w:name="_GoBack"/>
      <w:r>
        <w:rPr>
          <w:b/>
          <w:sz w:val="22"/>
        </w:rPr>
        <w:t>Barry Wright, Megan Garside, Victoria Allgar, Rachel Hodkinson, Helen Thorpe</w:t>
      </w:r>
    </w:p>
    <w:p w:rsidR="00774112" w:rsidRDefault="00774112" w:rsidP="00774112"/>
    <w:bookmarkEnd w:id="0"/>
    <w:p w:rsidR="00774112" w:rsidRPr="00180121" w:rsidRDefault="00774112" w:rsidP="00044D29">
      <w:pPr>
        <w:spacing w:line="276" w:lineRule="auto"/>
        <w:rPr>
          <w:b/>
          <w:sz w:val="26"/>
          <w:szCs w:val="26"/>
        </w:rPr>
      </w:pPr>
      <w:r w:rsidRPr="00180121">
        <w:rPr>
          <w:b/>
          <w:sz w:val="26"/>
          <w:szCs w:val="26"/>
        </w:rPr>
        <w:t>Abstract</w:t>
      </w:r>
    </w:p>
    <w:p w:rsidR="00774112" w:rsidRPr="00044D29" w:rsidRDefault="00774112" w:rsidP="00044D29">
      <w:pPr>
        <w:spacing w:line="276" w:lineRule="auto"/>
      </w:pPr>
    </w:p>
    <w:p w:rsidR="00044D29" w:rsidRPr="00044D29" w:rsidRDefault="00044D29" w:rsidP="00044D29">
      <w:pPr>
        <w:spacing w:line="276" w:lineRule="auto"/>
        <w:rPr>
          <w:b/>
        </w:rPr>
      </w:pPr>
      <w:r w:rsidRPr="00044D29">
        <w:rPr>
          <w:b/>
        </w:rPr>
        <w:t>Background</w:t>
      </w:r>
    </w:p>
    <w:p w:rsidR="00774112" w:rsidRPr="00044D29" w:rsidRDefault="00774112" w:rsidP="00044D29">
      <w:pPr>
        <w:spacing w:line="276" w:lineRule="auto"/>
        <w:jc w:val="both"/>
      </w:pPr>
      <w:r w:rsidRPr="00044D29">
        <w:t>There has been a recent reported rise in prevalence of mental health problems</w:t>
      </w:r>
      <w:r w:rsidR="00044D29" w:rsidRPr="00044D29">
        <w:t xml:space="preserve"> </w:t>
      </w:r>
      <w:r w:rsidRPr="00044D29">
        <w:t>among children in the United Kingdom, alongside increased referrals into specialist services.</w:t>
      </w:r>
      <w:r w:rsidR="00044D29">
        <w:t xml:space="preserve"> </w:t>
      </w:r>
      <w:r w:rsidRPr="00044D29">
        <w:t>There is a need for up-to-date information regarding changing trends of young people’s mental health to allow for improved understanding and service planning.</w:t>
      </w:r>
    </w:p>
    <w:p w:rsidR="00774112" w:rsidRPr="00044D29" w:rsidRDefault="00774112" w:rsidP="00044D29">
      <w:pPr>
        <w:spacing w:line="276" w:lineRule="auto"/>
        <w:jc w:val="both"/>
      </w:pPr>
    </w:p>
    <w:p w:rsidR="00044D29" w:rsidRPr="00044D29" w:rsidRDefault="00044D29" w:rsidP="00044D29">
      <w:pPr>
        <w:spacing w:line="276" w:lineRule="auto"/>
        <w:rPr>
          <w:b/>
        </w:rPr>
      </w:pPr>
      <w:r w:rsidRPr="00044D29">
        <w:rPr>
          <w:b/>
        </w:rPr>
        <w:t>Objectives</w:t>
      </w:r>
    </w:p>
    <w:p w:rsidR="00774112" w:rsidRPr="00044D29" w:rsidRDefault="00774112" w:rsidP="00044D29">
      <w:pPr>
        <w:spacing w:line="276" w:lineRule="auto"/>
        <w:jc w:val="both"/>
      </w:pPr>
      <w:r w:rsidRPr="00044D29">
        <w:t>This article aims to provide an overview of the current mental health and well-being of years 8, 9 and 11 secondary school–aged pupils from two large regions in the North of England.</w:t>
      </w:r>
    </w:p>
    <w:p w:rsidR="00774112" w:rsidRPr="00044D29" w:rsidRDefault="00774112" w:rsidP="00044D29">
      <w:pPr>
        <w:spacing w:line="276" w:lineRule="auto"/>
        <w:jc w:val="both"/>
      </w:pPr>
    </w:p>
    <w:p w:rsidR="00044D29" w:rsidRPr="00044D29" w:rsidRDefault="00044D29" w:rsidP="00044D29">
      <w:pPr>
        <w:spacing w:line="276" w:lineRule="auto"/>
        <w:rPr>
          <w:b/>
        </w:rPr>
      </w:pPr>
      <w:r w:rsidRPr="00044D29">
        <w:rPr>
          <w:b/>
        </w:rPr>
        <w:t>Method</w:t>
      </w:r>
    </w:p>
    <w:p w:rsidR="00774112" w:rsidRPr="00044D29" w:rsidRDefault="00774112" w:rsidP="00044D29">
      <w:pPr>
        <w:spacing w:line="276" w:lineRule="auto"/>
        <w:jc w:val="both"/>
      </w:pPr>
      <w:r w:rsidRPr="00044D29">
        <w:t>This was a cohort cross-sectional study. Measures including the Strengths and</w:t>
      </w:r>
      <w:r w:rsidR="00044D29">
        <w:t xml:space="preserve"> </w:t>
      </w:r>
      <w:r w:rsidRPr="00044D29">
        <w:t>Difficulties questionnaire, the EQ-5D-Y, social media use questions, and a mental health service use</w:t>
      </w:r>
      <w:r w:rsidR="00044D29">
        <w:t xml:space="preserve"> </w:t>
      </w:r>
      <w:r w:rsidRPr="00044D29">
        <w:t>questionnaire were completed by participants.</w:t>
      </w:r>
    </w:p>
    <w:p w:rsidR="00774112" w:rsidRPr="00044D29" w:rsidRDefault="00774112" w:rsidP="00044D29">
      <w:pPr>
        <w:spacing w:line="276" w:lineRule="auto"/>
      </w:pPr>
    </w:p>
    <w:p w:rsidR="00044D29" w:rsidRPr="00044D29" w:rsidRDefault="00044D29" w:rsidP="00044D29">
      <w:pPr>
        <w:spacing w:line="276" w:lineRule="auto"/>
        <w:rPr>
          <w:b/>
        </w:rPr>
      </w:pPr>
      <w:r w:rsidRPr="00044D29">
        <w:rPr>
          <w:b/>
        </w:rPr>
        <w:t>Results</w:t>
      </w:r>
    </w:p>
    <w:p w:rsidR="00774112" w:rsidRPr="00044D29" w:rsidRDefault="00774112" w:rsidP="00044D29">
      <w:pPr>
        <w:spacing w:line="276" w:lineRule="auto"/>
        <w:jc w:val="both"/>
      </w:pPr>
      <w:r w:rsidRPr="00044D29">
        <w:t>In total, 6328 questionnaires were returned from 21 secondary schools. One in 10</w:t>
      </w:r>
      <w:r w:rsidR="00044D29" w:rsidRPr="00044D29">
        <w:t xml:space="preserve"> </w:t>
      </w:r>
      <w:r w:rsidRPr="00044D29">
        <w:t>participating pupils scored ‘very high’ for total mental health difficulties. Significant differences on well-being scores were found between both gender and year groups.</w:t>
      </w:r>
    </w:p>
    <w:p w:rsidR="00774112" w:rsidRPr="00044D29" w:rsidRDefault="00774112" w:rsidP="00044D29">
      <w:pPr>
        <w:spacing w:line="276" w:lineRule="auto"/>
        <w:jc w:val="both"/>
      </w:pPr>
    </w:p>
    <w:p w:rsidR="00044D29" w:rsidRPr="00044D29" w:rsidRDefault="00044D29" w:rsidP="00044D29">
      <w:pPr>
        <w:spacing w:line="276" w:lineRule="auto"/>
        <w:rPr>
          <w:b/>
        </w:rPr>
      </w:pPr>
      <w:r w:rsidRPr="00044D29">
        <w:rPr>
          <w:b/>
        </w:rPr>
        <w:t>Conclusion</w:t>
      </w:r>
    </w:p>
    <w:p w:rsidR="00774112" w:rsidRPr="00044D29" w:rsidRDefault="00774112" w:rsidP="00044D29">
      <w:pPr>
        <w:spacing w:line="276" w:lineRule="auto"/>
        <w:jc w:val="both"/>
      </w:pPr>
      <w:r w:rsidRPr="00044D29">
        <w:t>In recent years, the proportion of children facing mental health problems has</w:t>
      </w:r>
      <w:r w:rsidR="00044D29" w:rsidRPr="00044D29">
        <w:t xml:space="preserve"> </w:t>
      </w:r>
      <w:r w:rsidRPr="00044D29">
        <w:t>increased. In particular, high levels of female pupils and year 11 pupils report facing difficulties. It is important to develop targeted, accessible interventions, and to continue to collect up-to-date measures for this population.</w:t>
      </w:r>
    </w:p>
    <w:p w:rsidR="00774112" w:rsidRPr="00044D29" w:rsidRDefault="00774112" w:rsidP="00044D29">
      <w:pPr>
        <w:spacing w:line="276" w:lineRule="auto"/>
      </w:pPr>
    </w:p>
    <w:p w:rsidR="00180121" w:rsidRDefault="00180121" w:rsidP="00044D29">
      <w:pPr>
        <w:spacing w:line="276" w:lineRule="auto"/>
        <w:rPr>
          <w:b/>
        </w:rPr>
      </w:pPr>
    </w:p>
    <w:p w:rsidR="00774112" w:rsidRPr="00044D29" w:rsidRDefault="00774112" w:rsidP="00044D29">
      <w:pPr>
        <w:spacing w:line="276" w:lineRule="auto"/>
        <w:rPr>
          <w:b/>
        </w:rPr>
      </w:pPr>
      <w:r w:rsidRPr="00044D29">
        <w:rPr>
          <w:b/>
        </w:rPr>
        <w:t>Keywords</w:t>
      </w:r>
    </w:p>
    <w:p w:rsidR="00F540F4" w:rsidRPr="00044D29" w:rsidRDefault="00774112" w:rsidP="00044D29">
      <w:pPr>
        <w:spacing w:line="276" w:lineRule="auto"/>
      </w:pPr>
      <w:r w:rsidRPr="00044D29">
        <w:t>Children, mental health, school, well-being, education, survey</w:t>
      </w:r>
    </w:p>
    <w:p w:rsidR="00774112" w:rsidRPr="00044D29" w:rsidRDefault="00774112" w:rsidP="00044D29">
      <w:pPr>
        <w:spacing w:line="276" w:lineRule="auto"/>
      </w:pPr>
    </w:p>
    <w:p w:rsidR="00044D29" w:rsidRDefault="00044D29">
      <w:pPr>
        <w:spacing w:after="200" w:line="276" w:lineRule="auto"/>
        <w:rPr>
          <w:b/>
        </w:rPr>
      </w:pPr>
      <w:r>
        <w:rPr>
          <w:b/>
        </w:rPr>
        <w:br w:type="page"/>
      </w:r>
    </w:p>
    <w:p w:rsidR="00774112" w:rsidRDefault="00774112" w:rsidP="0025086A">
      <w:pPr>
        <w:spacing w:line="276" w:lineRule="auto"/>
        <w:jc w:val="both"/>
        <w:rPr>
          <w:b/>
        </w:rPr>
      </w:pPr>
      <w:r w:rsidRPr="00044D29">
        <w:rPr>
          <w:b/>
        </w:rPr>
        <w:lastRenderedPageBreak/>
        <w:t>Introduction</w:t>
      </w:r>
    </w:p>
    <w:p w:rsidR="0025086A" w:rsidRPr="00044D29" w:rsidRDefault="0025086A" w:rsidP="0025086A">
      <w:pPr>
        <w:spacing w:line="276" w:lineRule="auto"/>
        <w:jc w:val="both"/>
        <w:rPr>
          <w:b/>
        </w:rPr>
      </w:pPr>
    </w:p>
    <w:p w:rsidR="00774112" w:rsidRDefault="00774112" w:rsidP="0025086A">
      <w:pPr>
        <w:spacing w:line="276" w:lineRule="auto"/>
        <w:jc w:val="both"/>
      </w:pPr>
      <w:r>
        <w:t>Approximately 50% of mental health problems are thought to begin before the age of 14 years (Kessler et al., 2005). Poor mental health has been linked to associated poor outcomes, such as lower educational achievement, substance use and poor physical health (Naylor et al., 2016; Prince et al.,</w:t>
      </w:r>
      <w:r w:rsidRPr="00774112">
        <w:t xml:space="preserve"> </w:t>
      </w:r>
      <w:r>
        <w:t>2007). Preventive measures to address mental health early in life is proposed to improve outcomes for young people and lead to more positive outcomes later in life (Wellander et al., 2016).</w:t>
      </w:r>
    </w:p>
    <w:p w:rsidR="00774112" w:rsidRDefault="00774112" w:rsidP="0025086A">
      <w:pPr>
        <w:spacing w:line="276" w:lineRule="auto"/>
        <w:jc w:val="both"/>
      </w:pPr>
    </w:p>
    <w:p w:rsidR="00774112" w:rsidRDefault="00774112" w:rsidP="0025086A">
      <w:pPr>
        <w:spacing w:line="276" w:lineRule="auto"/>
        <w:jc w:val="both"/>
      </w:pPr>
      <w:r>
        <w:t>Recent reports have identified an increase in the rates of mental health problems in young people over time (Fink et al., 2015; Murphy &amp; Fonagy, 2013; Rutter, 1989). The latest Office of National Statistics results (Sadler et al., 2018) report a prevalence of mental disorders among young people in the United Kingdom of 14.4% (11–16 year olds), an increase on the previously reported prevalence of 11.7% (11–16 year olds) (McGinnity et al., 2005).</w:t>
      </w:r>
    </w:p>
    <w:p w:rsidR="00774112" w:rsidRDefault="00774112" w:rsidP="0025086A">
      <w:pPr>
        <w:spacing w:line="276" w:lineRule="auto"/>
        <w:jc w:val="both"/>
      </w:pPr>
    </w:p>
    <w:p w:rsidR="00774112" w:rsidRDefault="00774112" w:rsidP="0025086A">
      <w:pPr>
        <w:spacing w:line="276" w:lineRule="auto"/>
        <w:jc w:val="both"/>
      </w:pPr>
      <w:r>
        <w:t>This reported increase has come against a backdrop of increasing mental health morbidity,</w:t>
      </w:r>
      <w:r w:rsidR="0025086A">
        <w:t xml:space="preserve"> </w:t>
      </w:r>
      <w:r>
        <w:t>inequalities and referrals into specialist Child and Adolescent Mental Health Services (CAMHS) (NHS Benchmarking Network, 2016; Frith, 2016) as well as an increase in counselling support needed from services such as ChildLine, and a recent increase in schools seeking referrals for professional mental health help (National Society for the Prevention of Cruelty to Children, 2018a, 2018b). Several factors have been suggested as contributing to this rise, including poverty, societal changes brought about by advances in technology (including social media) and anxiety and pressure from the school environment (Evans &amp; Hurrell, 2016; Hood &amp; Waters, 2017; Pitchforth et al., 2019; Sweeting et al., 2010).</w:t>
      </w:r>
    </w:p>
    <w:p w:rsidR="00774112" w:rsidRDefault="00774112" w:rsidP="0025086A">
      <w:pPr>
        <w:spacing w:line="276" w:lineRule="auto"/>
        <w:jc w:val="both"/>
      </w:pPr>
    </w:p>
    <w:p w:rsidR="00774112" w:rsidRDefault="00774112" w:rsidP="0025086A">
      <w:pPr>
        <w:spacing w:line="276" w:lineRule="auto"/>
        <w:jc w:val="both"/>
      </w:pPr>
      <w:r>
        <w:t>The initial ‘Future in Mind’ report (NHS England and Department of Health, 2015) and subsequent follow-up report (Burt, 2016) identified the need for improved emotional, psychological and mental health services for children and young people within schools. Both Local Authority (LA) and CAMHS budgets were reduced during the recent time of austerity (Young Minds, 2015). 6.7% of local-area mental health funding is spent on child services despite this being nearly 20% of the population (Children’s Commissioner, 2018). The children and young people’s mental health UK Government Green Paper (Department of Health and Social Care and Department for Education, 2017) identifies the need for effective interventions across a range of settings, including schools. It identifies children and young people’s mental health as a key Government priority, as they aim to deliver the objectives outlined in Future in Mind. Despite a clear increase in need for low-level interventions to support children with mental health difficulties, there is huge variation between local areas in terms of service provision and spending, and reports of nearly 60% of UK areas seeing LA spend per child decrease between 2016/2017 and 2018/2019 (Children’s Commissioner, 2019).</w:t>
      </w:r>
    </w:p>
    <w:p w:rsidR="00774112" w:rsidRDefault="00774112" w:rsidP="0025086A">
      <w:pPr>
        <w:spacing w:line="276" w:lineRule="auto"/>
        <w:jc w:val="both"/>
      </w:pPr>
    </w:p>
    <w:p w:rsidR="00774112" w:rsidRDefault="00774112" w:rsidP="0025086A">
      <w:pPr>
        <w:spacing w:line="276" w:lineRule="auto"/>
        <w:jc w:val="both"/>
      </w:pPr>
      <w:r>
        <w:t>It is important to collect large-scale data on the mental health and well-being of children and</w:t>
      </w:r>
      <w:r w:rsidR="0025086A">
        <w:t xml:space="preserve"> </w:t>
      </w:r>
      <w:r>
        <w:t xml:space="preserve">young people, to understand the current prevalence and allow trends to be identified over time. Increased understanding enables effective future planning of services. This study aimed to </w:t>
      </w:r>
      <w:r>
        <w:lastRenderedPageBreak/>
        <w:t>provide a current overview of the mental health of young people attending secondary schools across two large regions in the North of England.</w:t>
      </w:r>
    </w:p>
    <w:p w:rsidR="00774112" w:rsidRDefault="00774112" w:rsidP="0025086A">
      <w:pPr>
        <w:spacing w:line="276" w:lineRule="auto"/>
        <w:jc w:val="both"/>
      </w:pPr>
    </w:p>
    <w:p w:rsidR="00774112" w:rsidRDefault="00774112" w:rsidP="0025086A">
      <w:pPr>
        <w:spacing w:line="276" w:lineRule="auto"/>
        <w:jc w:val="both"/>
        <w:rPr>
          <w:b/>
        </w:rPr>
      </w:pPr>
      <w:r w:rsidRPr="00044D29">
        <w:rPr>
          <w:b/>
        </w:rPr>
        <w:t>Method</w:t>
      </w:r>
    </w:p>
    <w:p w:rsidR="00044D29" w:rsidRPr="00044D29" w:rsidRDefault="00044D29" w:rsidP="0025086A">
      <w:pPr>
        <w:spacing w:line="276" w:lineRule="auto"/>
        <w:jc w:val="both"/>
        <w:rPr>
          <w:b/>
        </w:rPr>
      </w:pPr>
    </w:p>
    <w:p w:rsidR="00774112" w:rsidRDefault="00774112" w:rsidP="0025086A">
      <w:pPr>
        <w:spacing w:line="276" w:lineRule="auto"/>
        <w:jc w:val="both"/>
        <w:rPr>
          <w:b/>
        </w:rPr>
      </w:pPr>
      <w:r w:rsidRPr="00044D29">
        <w:rPr>
          <w:b/>
        </w:rPr>
        <w:t>Design</w:t>
      </w:r>
    </w:p>
    <w:p w:rsidR="0025086A" w:rsidRPr="00044D29" w:rsidRDefault="0025086A" w:rsidP="0025086A">
      <w:pPr>
        <w:spacing w:line="276" w:lineRule="auto"/>
        <w:jc w:val="both"/>
        <w:rPr>
          <w:b/>
        </w:rPr>
      </w:pPr>
    </w:p>
    <w:p w:rsidR="00774112" w:rsidRDefault="00774112" w:rsidP="0025086A">
      <w:pPr>
        <w:spacing w:line="276" w:lineRule="auto"/>
        <w:jc w:val="both"/>
      </w:pPr>
      <w:r>
        <w:t>This large-scale evaluation is a cohort cross-sectional design and presents questionnaire data collected from children and young people attending secondary schools across the North of England during Spring of the 2017/2018 academic school year. Ethics approval was obtained from the University of York Health Sciences Research Governance Committee.</w:t>
      </w:r>
    </w:p>
    <w:p w:rsidR="00774112" w:rsidRDefault="00774112" w:rsidP="0025086A">
      <w:pPr>
        <w:spacing w:line="276" w:lineRule="auto"/>
        <w:jc w:val="both"/>
      </w:pPr>
    </w:p>
    <w:p w:rsidR="00774112" w:rsidRDefault="00774112" w:rsidP="0025086A">
      <w:pPr>
        <w:spacing w:line="276" w:lineRule="auto"/>
        <w:jc w:val="both"/>
        <w:rPr>
          <w:b/>
        </w:rPr>
      </w:pPr>
      <w:r w:rsidRPr="00044D29">
        <w:rPr>
          <w:b/>
        </w:rPr>
        <w:t>Participants</w:t>
      </w:r>
    </w:p>
    <w:p w:rsidR="0025086A" w:rsidRPr="00044D29" w:rsidRDefault="0025086A" w:rsidP="0025086A">
      <w:pPr>
        <w:spacing w:line="276" w:lineRule="auto"/>
        <w:jc w:val="both"/>
        <w:rPr>
          <w:b/>
        </w:rPr>
      </w:pPr>
    </w:p>
    <w:p w:rsidR="00774112" w:rsidRDefault="00774112" w:rsidP="0025086A">
      <w:pPr>
        <w:spacing w:line="276" w:lineRule="auto"/>
        <w:jc w:val="both"/>
      </w:pPr>
      <w:r>
        <w:t>A total of 6328 pupils participated from 21 mainstream secondary schools. Demographic information about participating pupils is presented in Table 1.</w:t>
      </w:r>
    </w:p>
    <w:p w:rsidR="00774112" w:rsidRDefault="00774112" w:rsidP="00774112"/>
    <w:p w:rsidR="0025086A" w:rsidRDefault="0025086A" w:rsidP="00774112">
      <w:pPr>
        <w:pStyle w:val="Caption"/>
        <w:rPr>
          <w:color w:val="auto"/>
          <w:sz w:val="22"/>
        </w:rPr>
      </w:pPr>
    </w:p>
    <w:p w:rsidR="00774112" w:rsidRPr="006252E1" w:rsidRDefault="00774112" w:rsidP="00774112">
      <w:pPr>
        <w:pStyle w:val="Caption"/>
        <w:rPr>
          <w:color w:val="auto"/>
          <w:sz w:val="22"/>
        </w:rPr>
      </w:pPr>
      <w:r w:rsidRPr="006252E1">
        <w:rPr>
          <w:color w:val="auto"/>
          <w:sz w:val="22"/>
        </w:rPr>
        <w:t xml:space="preserve">Table </w:t>
      </w:r>
      <w:r w:rsidRPr="006252E1">
        <w:rPr>
          <w:color w:val="auto"/>
          <w:sz w:val="22"/>
        </w:rPr>
        <w:fldChar w:fldCharType="begin"/>
      </w:r>
      <w:r w:rsidRPr="006252E1">
        <w:rPr>
          <w:color w:val="auto"/>
          <w:sz w:val="22"/>
        </w:rPr>
        <w:instrText xml:space="preserve"> SEQ Table \* ARABIC </w:instrText>
      </w:r>
      <w:r w:rsidRPr="006252E1">
        <w:rPr>
          <w:color w:val="auto"/>
          <w:sz w:val="22"/>
        </w:rPr>
        <w:fldChar w:fldCharType="separate"/>
      </w:r>
      <w:r>
        <w:rPr>
          <w:noProof/>
          <w:color w:val="auto"/>
          <w:sz w:val="22"/>
        </w:rPr>
        <w:t>1</w:t>
      </w:r>
      <w:r w:rsidRPr="006252E1">
        <w:rPr>
          <w:color w:val="auto"/>
          <w:sz w:val="22"/>
        </w:rPr>
        <w:fldChar w:fldCharType="end"/>
      </w:r>
      <w:r w:rsidRPr="006252E1">
        <w:rPr>
          <w:color w:val="auto"/>
          <w:sz w:val="22"/>
        </w:rPr>
        <w:t>: Characteristics of respondents</w:t>
      </w:r>
      <w:r>
        <w:rPr>
          <w:color w:val="auto"/>
          <w:sz w:val="22"/>
        </w:rPr>
        <w:br/>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440"/>
      </w:tblGrid>
      <w:tr w:rsidR="00774112" w:rsidTr="00F540F4">
        <w:trPr>
          <w:jc w:val="center"/>
        </w:trPr>
        <w:tc>
          <w:tcPr>
            <w:tcW w:w="2965" w:type="dxa"/>
            <w:tcBorders>
              <w:top w:val="single" w:sz="4" w:space="0" w:color="auto"/>
              <w:bottom w:val="single" w:sz="4" w:space="0" w:color="auto"/>
            </w:tcBorders>
          </w:tcPr>
          <w:p w:rsidR="00774112" w:rsidRPr="00F852DD" w:rsidRDefault="00774112" w:rsidP="00F540F4">
            <w:pPr>
              <w:spacing w:line="360" w:lineRule="auto"/>
              <w:rPr>
                <w:b/>
                <w:sz w:val="22"/>
                <w:szCs w:val="20"/>
              </w:rPr>
            </w:pPr>
            <w:r w:rsidRPr="00F852DD">
              <w:rPr>
                <w:b/>
                <w:sz w:val="22"/>
                <w:szCs w:val="20"/>
              </w:rPr>
              <w:t>Characteristic</w:t>
            </w:r>
          </w:p>
        </w:tc>
        <w:tc>
          <w:tcPr>
            <w:tcW w:w="1440" w:type="dxa"/>
            <w:tcBorders>
              <w:top w:val="single" w:sz="4" w:space="0" w:color="auto"/>
              <w:bottom w:val="single" w:sz="4" w:space="0" w:color="auto"/>
            </w:tcBorders>
          </w:tcPr>
          <w:p w:rsidR="00774112" w:rsidRPr="00F852DD" w:rsidRDefault="00774112" w:rsidP="00F540F4">
            <w:pPr>
              <w:spacing w:line="360" w:lineRule="auto"/>
              <w:jc w:val="center"/>
              <w:rPr>
                <w:b/>
                <w:sz w:val="22"/>
                <w:szCs w:val="20"/>
              </w:rPr>
            </w:pPr>
            <w:r w:rsidRPr="00F852DD">
              <w:rPr>
                <w:b/>
                <w:sz w:val="22"/>
                <w:szCs w:val="20"/>
              </w:rPr>
              <w:t>n (%)</w:t>
            </w:r>
          </w:p>
        </w:tc>
      </w:tr>
      <w:tr w:rsidR="00774112" w:rsidTr="00F540F4">
        <w:trPr>
          <w:jc w:val="center"/>
        </w:trPr>
        <w:tc>
          <w:tcPr>
            <w:tcW w:w="2965" w:type="dxa"/>
            <w:tcBorders>
              <w:top w:val="single" w:sz="4" w:space="0" w:color="auto"/>
              <w:bottom w:val="single" w:sz="4" w:space="0" w:color="auto"/>
            </w:tcBorders>
          </w:tcPr>
          <w:p w:rsidR="00774112" w:rsidRPr="00F852DD" w:rsidRDefault="00774112" w:rsidP="00F540F4">
            <w:pPr>
              <w:spacing w:line="360" w:lineRule="auto"/>
              <w:rPr>
                <w:b/>
                <w:sz w:val="22"/>
                <w:szCs w:val="20"/>
              </w:rPr>
            </w:pPr>
            <w:r w:rsidRPr="00F852DD">
              <w:rPr>
                <w:b/>
                <w:sz w:val="22"/>
                <w:szCs w:val="20"/>
              </w:rPr>
              <w:t>Gender</w:t>
            </w:r>
          </w:p>
          <w:p w:rsidR="00774112" w:rsidRPr="00F852DD" w:rsidRDefault="00774112" w:rsidP="00F540F4">
            <w:pPr>
              <w:spacing w:line="360" w:lineRule="auto"/>
              <w:rPr>
                <w:sz w:val="22"/>
                <w:szCs w:val="20"/>
              </w:rPr>
            </w:pPr>
            <w:r w:rsidRPr="00F852DD">
              <w:rPr>
                <w:sz w:val="22"/>
                <w:szCs w:val="20"/>
              </w:rPr>
              <w:t>Male</w:t>
            </w:r>
          </w:p>
          <w:p w:rsidR="00774112" w:rsidRPr="00F852DD" w:rsidRDefault="00774112" w:rsidP="00F540F4">
            <w:pPr>
              <w:spacing w:line="360" w:lineRule="auto"/>
              <w:rPr>
                <w:sz w:val="22"/>
                <w:szCs w:val="20"/>
              </w:rPr>
            </w:pPr>
            <w:r w:rsidRPr="00F852DD">
              <w:rPr>
                <w:sz w:val="22"/>
                <w:szCs w:val="20"/>
              </w:rPr>
              <w:t>Female</w:t>
            </w:r>
          </w:p>
          <w:p w:rsidR="00774112" w:rsidRPr="00F852DD" w:rsidRDefault="00774112" w:rsidP="00F540F4">
            <w:pPr>
              <w:spacing w:line="360" w:lineRule="auto"/>
              <w:rPr>
                <w:sz w:val="22"/>
                <w:szCs w:val="20"/>
              </w:rPr>
            </w:pPr>
            <w:r w:rsidRPr="00F852DD">
              <w:rPr>
                <w:sz w:val="22"/>
                <w:szCs w:val="20"/>
              </w:rPr>
              <w:t>Prefer not to say / missing</w:t>
            </w:r>
          </w:p>
        </w:tc>
        <w:tc>
          <w:tcPr>
            <w:tcW w:w="1440" w:type="dxa"/>
            <w:tcBorders>
              <w:top w:val="single" w:sz="4" w:space="0" w:color="auto"/>
              <w:bottom w:val="single" w:sz="4" w:space="0" w:color="auto"/>
            </w:tcBorders>
          </w:tcPr>
          <w:p w:rsidR="00774112" w:rsidRPr="00F852DD" w:rsidRDefault="00774112" w:rsidP="00F540F4">
            <w:pPr>
              <w:spacing w:line="360" w:lineRule="auto"/>
              <w:jc w:val="center"/>
              <w:rPr>
                <w:sz w:val="22"/>
                <w:szCs w:val="20"/>
              </w:rPr>
            </w:pPr>
          </w:p>
          <w:p w:rsidR="00774112" w:rsidRPr="00F852DD" w:rsidRDefault="00774112" w:rsidP="00F540F4">
            <w:pPr>
              <w:spacing w:line="360" w:lineRule="auto"/>
              <w:jc w:val="center"/>
              <w:rPr>
                <w:sz w:val="22"/>
                <w:szCs w:val="20"/>
              </w:rPr>
            </w:pPr>
            <w:r w:rsidRPr="00F852DD">
              <w:rPr>
                <w:sz w:val="22"/>
                <w:szCs w:val="20"/>
              </w:rPr>
              <w:t>2443 (39%)</w:t>
            </w:r>
          </w:p>
          <w:p w:rsidR="00774112" w:rsidRPr="00F852DD" w:rsidRDefault="00774112" w:rsidP="00F540F4">
            <w:pPr>
              <w:spacing w:line="360" w:lineRule="auto"/>
              <w:jc w:val="center"/>
              <w:rPr>
                <w:sz w:val="22"/>
                <w:szCs w:val="20"/>
              </w:rPr>
            </w:pPr>
            <w:r w:rsidRPr="00F852DD">
              <w:rPr>
                <w:sz w:val="22"/>
                <w:szCs w:val="20"/>
              </w:rPr>
              <w:t>2827 (45%)</w:t>
            </w:r>
          </w:p>
          <w:p w:rsidR="00774112" w:rsidRPr="00F852DD" w:rsidRDefault="00774112" w:rsidP="00F540F4">
            <w:pPr>
              <w:spacing w:line="360" w:lineRule="auto"/>
              <w:jc w:val="center"/>
              <w:rPr>
                <w:sz w:val="22"/>
                <w:szCs w:val="20"/>
              </w:rPr>
            </w:pPr>
            <w:r w:rsidRPr="00F852DD">
              <w:rPr>
                <w:sz w:val="22"/>
                <w:szCs w:val="20"/>
              </w:rPr>
              <w:t>1</w:t>
            </w:r>
            <w:r>
              <w:rPr>
                <w:sz w:val="22"/>
                <w:szCs w:val="20"/>
              </w:rPr>
              <w:t>058 (1</w:t>
            </w:r>
            <w:r w:rsidRPr="00F852DD">
              <w:rPr>
                <w:sz w:val="22"/>
                <w:szCs w:val="20"/>
              </w:rPr>
              <w:t>7%)</w:t>
            </w:r>
          </w:p>
        </w:tc>
      </w:tr>
      <w:tr w:rsidR="00774112" w:rsidTr="00F540F4">
        <w:trPr>
          <w:jc w:val="center"/>
        </w:trPr>
        <w:tc>
          <w:tcPr>
            <w:tcW w:w="2965" w:type="dxa"/>
            <w:tcBorders>
              <w:top w:val="single" w:sz="4" w:space="0" w:color="auto"/>
            </w:tcBorders>
          </w:tcPr>
          <w:p w:rsidR="00774112" w:rsidRPr="00F852DD" w:rsidRDefault="00774112" w:rsidP="00F540F4">
            <w:pPr>
              <w:spacing w:line="360" w:lineRule="auto"/>
              <w:rPr>
                <w:b/>
                <w:sz w:val="22"/>
                <w:szCs w:val="20"/>
              </w:rPr>
            </w:pPr>
            <w:r w:rsidRPr="00F852DD">
              <w:rPr>
                <w:b/>
                <w:sz w:val="22"/>
                <w:szCs w:val="20"/>
              </w:rPr>
              <w:t>Year Group</w:t>
            </w:r>
          </w:p>
          <w:p w:rsidR="00774112" w:rsidRPr="00F852DD" w:rsidRDefault="00774112" w:rsidP="00F540F4">
            <w:pPr>
              <w:spacing w:line="360" w:lineRule="auto"/>
              <w:rPr>
                <w:sz w:val="22"/>
                <w:szCs w:val="20"/>
              </w:rPr>
            </w:pPr>
            <w:r w:rsidRPr="00F852DD">
              <w:rPr>
                <w:sz w:val="22"/>
                <w:szCs w:val="20"/>
              </w:rPr>
              <w:t>8</w:t>
            </w:r>
          </w:p>
          <w:p w:rsidR="00774112" w:rsidRPr="00F852DD" w:rsidRDefault="00774112" w:rsidP="00F540F4">
            <w:pPr>
              <w:spacing w:line="360" w:lineRule="auto"/>
              <w:rPr>
                <w:sz w:val="22"/>
                <w:szCs w:val="20"/>
              </w:rPr>
            </w:pPr>
            <w:r w:rsidRPr="00F852DD">
              <w:rPr>
                <w:sz w:val="22"/>
                <w:szCs w:val="20"/>
              </w:rPr>
              <w:t>9</w:t>
            </w:r>
          </w:p>
          <w:p w:rsidR="00774112" w:rsidRPr="00F852DD" w:rsidRDefault="00774112" w:rsidP="00F540F4">
            <w:pPr>
              <w:spacing w:line="360" w:lineRule="auto"/>
              <w:rPr>
                <w:sz w:val="22"/>
                <w:szCs w:val="20"/>
              </w:rPr>
            </w:pPr>
            <w:r w:rsidRPr="00F852DD">
              <w:rPr>
                <w:sz w:val="22"/>
                <w:szCs w:val="20"/>
              </w:rPr>
              <w:t>11</w:t>
            </w:r>
          </w:p>
          <w:p w:rsidR="00774112" w:rsidRPr="00F852DD" w:rsidRDefault="00774112" w:rsidP="00F540F4">
            <w:pPr>
              <w:spacing w:line="360" w:lineRule="auto"/>
              <w:rPr>
                <w:sz w:val="22"/>
                <w:szCs w:val="20"/>
              </w:rPr>
            </w:pPr>
            <w:r w:rsidRPr="00F852DD">
              <w:rPr>
                <w:sz w:val="22"/>
                <w:szCs w:val="20"/>
              </w:rPr>
              <w:t>Missing</w:t>
            </w:r>
          </w:p>
        </w:tc>
        <w:tc>
          <w:tcPr>
            <w:tcW w:w="1440" w:type="dxa"/>
            <w:tcBorders>
              <w:top w:val="single" w:sz="4" w:space="0" w:color="auto"/>
            </w:tcBorders>
          </w:tcPr>
          <w:p w:rsidR="00774112" w:rsidRPr="00F852DD" w:rsidRDefault="00774112" w:rsidP="00F540F4">
            <w:pPr>
              <w:spacing w:line="360" w:lineRule="auto"/>
              <w:jc w:val="center"/>
              <w:rPr>
                <w:sz w:val="22"/>
                <w:szCs w:val="20"/>
              </w:rPr>
            </w:pPr>
          </w:p>
          <w:p w:rsidR="00774112" w:rsidRPr="00F852DD" w:rsidRDefault="00774112" w:rsidP="00F540F4">
            <w:pPr>
              <w:spacing w:line="360" w:lineRule="auto"/>
              <w:jc w:val="center"/>
              <w:rPr>
                <w:sz w:val="22"/>
                <w:szCs w:val="20"/>
              </w:rPr>
            </w:pPr>
            <w:r w:rsidRPr="00F852DD">
              <w:rPr>
                <w:sz w:val="22"/>
                <w:szCs w:val="20"/>
              </w:rPr>
              <w:t>2907 (46%)</w:t>
            </w:r>
          </w:p>
          <w:p w:rsidR="00774112" w:rsidRPr="00F852DD" w:rsidRDefault="00774112" w:rsidP="00F540F4">
            <w:pPr>
              <w:spacing w:line="360" w:lineRule="auto"/>
              <w:jc w:val="center"/>
              <w:rPr>
                <w:sz w:val="22"/>
                <w:szCs w:val="20"/>
              </w:rPr>
            </w:pPr>
            <w:r w:rsidRPr="00F852DD">
              <w:rPr>
                <w:sz w:val="22"/>
                <w:szCs w:val="20"/>
              </w:rPr>
              <w:t>1711 (27%)</w:t>
            </w:r>
          </w:p>
          <w:p w:rsidR="00774112" w:rsidRPr="00F852DD" w:rsidRDefault="00774112" w:rsidP="00F540F4">
            <w:pPr>
              <w:spacing w:line="360" w:lineRule="auto"/>
              <w:jc w:val="center"/>
              <w:rPr>
                <w:sz w:val="22"/>
                <w:szCs w:val="20"/>
              </w:rPr>
            </w:pPr>
            <w:r w:rsidRPr="00F852DD">
              <w:rPr>
                <w:sz w:val="22"/>
                <w:szCs w:val="20"/>
              </w:rPr>
              <w:t>1603 (25%)</w:t>
            </w:r>
          </w:p>
          <w:p w:rsidR="00774112" w:rsidRPr="00F852DD" w:rsidRDefault="00774112" w:rsidP="00F540F4">
            <w:pPr>
              <w:spacing w:line="360" w:lineRule="auto"/>
              <w:jc w:val="center"/>
              <w:rPr>
                <w:sz w:val="22"/>
                <w:szCs w:val="20"/>
              </w:rPr>
            </w:pPr>
            <w:r w:rsidRPr="00F852DD">
              <w:rPr>
                <w:sz w:val="22"/>
                <w:szCs w:val="20"/>
              </w:rPr>
              <w:t>107 (2%)</w:t>
            </w:r>
          </w:p>
        </w:tc>
      </w:tr>
    </w:tbl>
    <w:p w:rsidR="00774112" w:rsidRDefault="00774112" w:rsidP="00774112"/>
    <w:p w:rsidR="0025086A" w:rsidRDefault="0025086A" w:rsidP="00774112">
      <w:pPr>
        <w:autoSpaceDE w:val="0"/>
        <w:autoSpaceDN w:val="0"/>
        <w:adjustRightInd w:val="0"/>
      </w:pPr>
    </w:p>
    <w:p w:rsidR="0025086A" w:rsidRDefault="0025086A" w:rsidP="0025086A">
      <w:pPr>
        <w:autoSpaceDE w:val="0"/>
        <w:autoSpaceDN w:val="0"/>
        <w:adjustRightInd w:val="0"/>
        <w:spacing w:line="276" w:lineRule="auto"/>
        <w:jc w:val="both"/>
      </w:pPr>
    </w:p>
    <w:p w:rsidR="00774112" w:rsidRDefault="00774112" w:rsidP="0025086A">
      <w:pPr>
        <w:autoSpaceDE w:val="0"/>
        <w:autoSpaceDN w:val="0"/>
        <w:adjustRightInd w:val="0"/>
        <w:spacing w:line="276" w:lineRule="auto"/>
        <w:jc w:val="both"/>
      </w:pPr>
      <w:r w:rsidRPr="00774112">
        <w:t>The study sample includes a diverse range of secondary schools, from both urban and rural</w:t>
      </w:r>
      <w:r w:rsidR="0025086A">
        <w:t xml:space="preserve"> </w:t>
      </w:r>
      <w:r w:rsidRPr="00774112">
        <w:t>areas, and across a range of socioeconomic areas. Approximate school sizes range from 100 to</w:t>
      </w:r>
      <w:r>
        <w:t xml:space="preserve"> </w:t>
      </w:r>
      <w:r w:rsidRPr="00774112">
        <w:t>2000 pupils. We included any mainstream secondary school, including community schools, free</w:t>
      </w:r>
      <w:r>
        <w:t xml:space="preserve"> </w:t>
      </w:r>
      <w:r w:rsidRPr="00774112">
        <w:t>schools and academies. Two of the schools are Church of England, three are Roman Catholic and</w:t>
      </w:r>
      <w:r>
        <w:t xml:space="preserve"> </w:t>
      </w:r>
      <w:r w:rsidRPr="00774112">
        <w:t>16 are secular. The percentages of pupils eligible for free school meals varied, from approximately</w:t>
      </w:r>
      <w:r>
        <w:t xml:space="preserve"> </w:t>
      </w:r>
      <w:r w:rsidRPr="00774112">
        <w:t>2% to 20% and the reported number of pupils eligible for Pupil Premium ranged from approximately</w:t>
      </w:r>
      <w:r>
        <w:t xml:space="preserve"> </w:t>
      </w:r>
      <w:r w:rsidRPr="00774112">
        <w:t>80 to 400 pupils.</w:t>
      </w:r>
    </w:p>
    <w:p w:rsidR="00774112" w:rsidRDefault="00774112" w:rsidP="00774112">
      <w:pPr>
        <w:autoSpaceDE w:val="0"/>
        <w:autoSpaceDN w:val="0"/>
        <w:adjustRightInd w:val="0"/>
      </w:pPr>
    </w:p>
    <w:p w:rsidR="00774112" w:rsidRDefault="00774112" w:rsidP="00774112">
      <w:pPr>
        <w:autoSpaceDE w:val="0"/>
        <w:autoSpaceDN w:val="0"/>
        <w:adjustRightInd w:val="0"/>
        <w:rPr>
          <w:b/>
        </w:rPr>
      </w:pPr>
      <w:r w:rsidRPr="00044D29">
        <w:rPr>
          <w:b/>
        </w:rPr>
        <w:lastRenderedPageBreak/>
        <w:t>Measures</w:t>
      </w:r>
    </w:p>
    <w:p w:rsidR="0025086A" w:rsidRPr="00044D29" w:rsidRDefault="0025086A" w:rsidP="00774112">
      <w:pPr>
        <w:autoSpaceDE w:val="0"/>
        <w:autoSpaceDN w:val="0"/>
        <w:adjustRightInd w:val="0"/>
        <w:rPr>
          <w:b/>
        </w:rPr>
      </w:pPr>
    </w:p>
    <w:p w:rsidR="00774112" w:rsidRDefault="00774112" w:rsidP="0025086A">
      <w:pPr>
        <w:autoSpaceDE w:val="0"/>
        <w:autoSpaceDN w:val="0"/>
        <w:adjustRightInd w:val="0"/>
        <w:spacing w:line="276" w:lineRule="auto"/>
        <w:jc w:val="both"/>
      </w:pPr>
      <w:r>
        <w:t>Participating pupils completed the questionnaire booklets using an ID provided by the research</w:t>
      </w:r>
      <w:r w:rsidR="00F540F4">
        <w:t xml:space="preserve"> </w:t>
      </w:r>
      <w:r>
        <w:t>team. Booklets did not include personal identifying details. They included the self-report 11–17 year</w:t>
      </w:r>
      <w:r w:rsidR="00F540F4">
        <w:t xml:space="preserve"> </w:t>
      </w:r>
      <w:r>
        <w:t>olds Strengths and Difficulties Questionnaire (SDQ) (Goodman, 1997) with impact supplement,</w:t>
      </w:r>
      <w:r w:rsidR="00F540F4">
        <w:t xml:space="preserve"> </w:t>
      </w:r>
      <w:r>
        <w:t>two brief bespoke questions regarding social media use, the EQ-5D-Y (Wille et al., 2010) and a</w:t>
      </w:r>
      <w:r w:rsidR="00F540F4">
        <w:t xml:space="preserve"> </w:t>
      </w:r>
      <w:r>
        <w:t>bespoke service use questionnaire, developed by the research team. Details of pupils’ year group</w:t>
      </w:r>
      <w:r w:rsidR="00F540F4">
        <w:t xml:space="preserve"> </w:t>
      </w:r>
      <w:r>
        <w:t>and gender were also collected.</w:t>
      </w:r>
    </w:p>
    <w:p w:rsidR="00F540F4" w:rsidRDefault="00F540F4" w:rsidP="0025086A">
      <w:pPr>
        <w:autoSpaceDE w:val="0"/>
        <w:autoSpaceDN w:val="0"/>
        <w:adjustRightInd w:val="0"/>
        <w:spacing w:line="276" w:lineRule="auto"/>
        <w:jc w:val="both"/>
      </w:pPr>
    </w:p>
    <w:p w:rsidR="00774112" w:rsidRDefault="00774112" w:rsidP="0025086A">
      <w:pPr>
        <w:autoSpaceDE w:val="0"/>
        <w:autoSpaceDN w:val="0"/>
        <w:adjustRightInd w:val="0"/>
        <w:spacing w:line="276" w:lineRule="auto"/>
        <w:jc w:val="both"/>
      </w:pPr>
      <w:r>
        <w:t>The SDQ (Goodman, 1997) measures responses to 25 questions across five subscales. Four</w:t>
      </w:r>
      <w:r w:rsidR="0025086A">
        <w:t xml:space="preserve"> </w:t>
      </w:r>
      <w:r>
        <w:t>represent difficulties, including emotional problems, conduct problems, hyperactivity, peer</w:t>
      </w:r>
      <w:r w:rsidR="0025086A">
        <w:t xml:space="preserve"> </w:t>
      </w:r>
      <w:r>
        <w:t>problems and one represents a strength; prosocial behaviour. The first four subscales can be</w:t>
      </w:r>
      <w:r w:rsidR="0025086A">
        <w:t xml:space="preserve"> </w:t>
      </w:r>
      <w:r>
        <w:t>combined to give a total difficulties score. The scores on each subscale can be categorised as</w:t>
      </w:r>
      <w:r w:rsidR="0025086A">
        <w:t xml:space="preserve"> </w:t>
      </w:r>
      <w:r>
        <w:t>scoring ‘Close to Average’, ‘Slightly Raised’, ‘High’ or ‘Very High’. These thresholds are created</w:t>
      </w:r>
      <w:r w:rsidR="00F540F4">
        <w:t xml:space="preserve"> </w:t>
      </w:r>
      <w:r>
        <w:t>from a UK-based population survey which selected bandings where 80% of children scored</w:t>
      </w:r>
      <w:r w:rsidR="00F540F4">
        <w:t xml:space="preserve"> </w:t>
      </w:r>
      <w:r>
        <w:t>‘Close to Average’, 10% scored ‘Slightly Raised’, 5% scored ‘High’ and 5% scored ‘Very High’.</w:t>
      </w:r>
      <w:r w:rsidR="00F540F4">
        <w:t xml:space="preserve"> </w:t>
      </w:r>
      <w:r>
        <w:t>As only self-report measures were collected from this sample, it was not appropriate to categorise</w:t>
      </w:r>
      <w:r w:rsidR="00F540F4">
        <w:t xml:space="preserve"> </w:t>
      </w:r>
      <w:r>
        <w:t>responses as scoring ‘unlikely’, ‘possible’ and ‘probable’ for a mental disorder (Goodman</w:t>
      </w:r>
      <w:r w:rsidR="00F540F4">
        <w:t xml:space="preserve"> </w:t>
      </w:r>
      <w:r>
        <w:t>et al., 2000).</w:t>
      </w:r>
    </w:p>
    <w:p w:rsidR="00F540F4" w:rsidRDefault="00F540F4" w:rsidP="0025086A">
      <w:pPr>
        <w:autoSpaceDE w:val="0"/>
        <w:autoSpaceDN w:val="0"/>
        <w:adjustRightInd w:val="0"/>
        <w:spacing w:line="276" w:lineRule="auto"/>
        <w:jc w:val="both"/>
      </w:pPr>
    </w:p>
    <w:p w:rsidR="00774112" w:rsidRDefault="00774112" w:rsidP="0025086A">
      <w:pPr>
        <w:autoSpaceDE w:val="0"/>
        <w:autoSpaceDN w:val="0"/>
        <w:adjustRightInd w:val="0"/>
        <w:spacing w:line="276" w:lineRule="auto"/>
        <w:jc w:val="both"/>
      </w:pPr>
      <w:r>
        <w:t>Two brief bespoke questions about social media use were included asking pupils to rate the</w:t>
      </w:r>
      <w:r w:rsidR="0025086A">
        <w:t xml:space="preserve"> </w:t>
      </w:r>
      <w:r>
        <w:t>effect social media had on their mood as either ‘positive’, ‘negative’ or ‘neither positive or negative’,</w:t>
      </w:r>
      <w:r w:rsidR="00F540F4">
        <w:t xml:space="preserve"> </w:t>
      </w:r>
      <w:r>
        <w:t>and rating how much using social media impacted their mood over the past week, as either</w:t>
      </w:r>
      <w:r w:rsidR="00F540F4">
        <w:t xml:space="preserve"> </w:t>
      </w:r>
      <w:r>
        <w:t>‘not at all’, ‘some of the time’, ‘more than half of the time’ or ‘all of the time’.</w:t>
      </w:r>
    </w:p>
    <w:p w:rsidR="00F540F4" w:rsidRDefault="00F540F4" w:rsidP="0025086A">
      <w:pPr>
        <w:autoSpaceDE w:val="0"/>
        <w:autoSpaceDN w:val="0"/>
        <w:adjustRightInd w:val="0"/>
        <w:spacing w:line="276" w:lineRule="auto"/>
        <w:jc w:val="both"/>
      </w:pPr>
    </w:p>
    <w:p w:rsidR="00774112" w:rsidRDefault="00774112" w:rsidP="0025086A">
      <w:pPr>
        <w:autoSpaceDE w:val="0"/>
        <w:autoSpaceDN w:val="0"/>
        <w:adjustRightInd w:val="0"/>
        <w:spacing w:line="276" w:lineRule="auto"/>
        <w:jc w:val="both"/>
      </w:pPr>
      <w:r>
        <w:t xml:space="preserve">The EQ-5D-Y (Wille et al., 2010) is the child-version of the EQ-5D quality-of-life measure. </w:t>
      </w:r>
      <w:r w:rsidR="0025086A">
        <w:t xml:space="preserve"> I</w:t>
      </w:r>
      <w:r>
        <w:t>t</w:t>
      </w:r>
      <w:r w:rsidR="00F540F4">
        <w:t xml:space="preserve"> </w:t>
      </w:r>
      <w:r>
        <w:t>measures responses on five dimensions; ‘mobility’, ‘looking after myself’, ‘doing usual activities’,</w:t>
      </w:r>
      <w:r w:rsidR="00F540F4">
        <w:t xml:space="preserve"> </w:t>
      </w:r>
      <w:r>
        <w:t>‘having pain or discomfort’ and ‘feeling worried, sad or unhappy’. The EQ visual analogue scale</w:t>
      </w:r>
      <w:r w:rsidR="00F540F4">
        <w:t xml:space="preserve"> </w:t>
      </w:r>
      <w:r>
        <w:t>(EQ-VAS) was included, asking participants to rate their health on a scale, from ‘the best health</w:t>
      </w:r>
      <w:r w:rsidR="00F540F4">
        <w:t xml:space="preserve"> </w:t>
      </w:r>
      <w:r>
        <w:t>they can imagine’ to ‘the worst health they can imagine’.</w:t>
      </w:r>
    </w:p>
    <w:p w:rsidR="00F540F4" w:rsidRDefault="00F540F4" w:rsidP="0025086A">
      <w:pPr>
        <w:autoSpaceDE w:val="0"/>
        <w:autoSpaceDN w:val="0"/>
        <w:adjustRightInd w:val="0"/>
        <w:spacing w:line="276" w:lineRule="auto"/>
        <w:jc w:val="both"/>
      </w:pPr>
    </w:p>
    <w:p w:rsidR="00774112" w:rsidRDefault="00774112" w:rsidP="0025086A">
      <w:pPr>
        <w:autoSpaceDE w:val="0"/>
        <w:autoSpaceDN w:val="0"/>
        <w:adjustRightInd w:val="0"/>
        <w:spacing w:line="276" w:lineRule="auto"/>
        <w:jc w:val="both"/>
      </w:pPr>
      <w:r>
        <w:t>The bespoke service use questionnaire developed by the research team allowed pupils to record</w:t>
      </w:r>
      <w:r w:rsidR="00F540F4">
        <w:t xml:space="preserve"> </w:t>
      </w:r>
      <w:r>
        <w:t>what physical health, school-based and mental health services they have used in the past 12 months.</w:t>
      </w:r>
    </w:p>
    <w:p w:rsidR="00F540F4" w:rsidRDefault="00F540F4" w:rsidP="00774112">
      <w:pPr>
        <w:autoSpaceDE w:val="0"/>
        <w:autoSpaceDN w:val="0"/>
        <w:adjustRightInd w:val="0"/>
      </w:pPr>
    </w:p>
    <w:p w:rsidR="00F540F4" w:rsidRDefault="00F540F4" w:rsidP="00F540F4">
      <w:pPr>
        <w:autoSpaceDE w:val="0"/>
        <w:autoSpaceDN w:val="0"/>
        <w:adjustRightInd w:val="0"/>
        <w:rPr>
          <w:b/>
        </w:rPr>
      </w:pPr>
      <w:r w:rsidRPr="00044D29">
        <w:rPr>
          <w:b/>
        </w:rPr>
        <w:t>Procedure</w:t>
      </w:r>
    </w:p>
    <w:p w:rsidR="0025086A" w:rsidRPr="00044D29" w:rsidRDefault="0025086A" w:rsidP="0025086A">
      <w:pPr>
        <w:autoSpaceDE w:val="0"/>
        <w:autoSpaceDN w:val="0"/>
        <w:adjustRightInd w:val="0"/>
        <w:spacing w:line="276" w:lineRule="auto"/>
        <w:jc w:val="both"/>
        <w:rPr>
          <w:b/>
        </w:rPr>
      </w:pPr>
    </w:p>
    <w:p w:rsidR="00F540F4" w:rsidRDefault="00F540F4" w:rsidP="0025086A">
      <w:pPr>
        <w:autoSpaceDE w:val="0"/>
        <w:autoSpaceDN w:val="0"/>
        <w:adjustRightInd w:val="0"/>
        <w:spacing w:line="276" w:lineRule="auto"/>
        <w:jc w:val="both"/>
      </w:pPr>
      <w:r>
        <w:t xml:space="preserve">Four LAs were contacted and asked to distribute study information to secondary school staff. In January 2018, the research team then contacted all eligible schools to further explain the study and offer participation. Schools were eligible if they were a mainstream secondary school, no specialist schools or primary schools were included. Of approximately 84 eligible schools, one withdrew due to capacity issues, and approximately 12 actively decided not to participate; reasons included capacity issues, staff changes and competing demands due to </w:t>
      </w:r>
      <w:r>
        <w:lastRenderedPageBreak/>
        <w:t>participation in another survey. The other schools were contacted several times and did not respond within the recruitment timeframe.</w:t>
      </w:r>
    </w:p>
    <w:p w:rsidR="00F540F4" w:rsidRDefault="00F540F4" w:rsidP="00F540F4">
      <w:pPr>
        <w:autoSpaceDE w:val="0"/>
        <w:autoSpaceDN w:val="0"/>
        <w:adjustRightInd w:val="0"/>
      </w:pPr>
    </w:p>
    <w:p w:rsidR="00F540F4" w:rsidRDefault="00F540F4" w:rsidP="0025086A">
      <w:pPr>
        <w:autoSpaceDE w:val="0"/>
        <w:autoSpaceDN w:val="0"/>
        <w:adjustRightInd w:val="0"/>
        <w:spacing w:line="276" w:lineRule="auto"/>
        <w:jc w:val="both"/>
      </w:pPr>
      <w:r>
        <w:t>Year 8 (12–13 years old), year 9 (13–14 years old) and year 11 (15–16 years old) pupils at consenting schools were given participant information sheets about the study and were able to choose not to participate by completing and returning an opt-out form, signed by their parents/guardians. The school also notified parents/guardians of the study and the opt-out form by email or text. Children could also opt-out on the day and choose not to complete the questionnaire. Pupils completed questionnaires at school in Personal, Social &amp; Health Education lessons or form time during the Spring Term.</w:t>
      </w:r>
    </w:p>
    <w:p w:rsidR="00F540F4" w:rsidRDefault="00F540F4" w:rsidP="0025086A">
      <w:pPr>
        <w:autoSpaceDE w:val="0"/>
        <w:autoSpaceDN w:val="0"/>
        <w:adjustRightInd w:val="0"/>
        <w:spacing w:line="276" w:lineRule="auto"/>
        <w:jc w:val="both"/>
      </w:pPr>
    </w:p>
    <w:p w:rsidR="00F540F4" w:rsidRDefault="00F540F4" w:rsidP="0025086A">
      <w:pPr>
        <w:autoSpaceDE w:val="0"/>
        <w:autoSpaceDN w:val="0"/>
        <w:adjustRightInd w:val="0"/>
        <w:spacing w:line="276" w:lineRule="auto"/>
        <w:jc w:val="both"/>
      </w:pPr>
      <w:r>
        <w:t>Questionnaires were collected by the research team and data inputting and analysis then took</w:t>
      </w:r>
    </w:p>
    <w:p w:rsidR="00F540F4" w:rsidRDefault="00F540F4" w:rsidP="0025086A">
      <w:pPr>
        <w:autoSpaceDE w:val="0"/>
        <w:autoSpaceDN w:val="0"/>
        <w:adjustRightInd w:val="0"/>
        <w:spacing w:line="276" w:lineRule="auto"/>
        <w:jc w:val="both"/>
      </w:pPr>
      <w:r>
        <w:t>place. Participating schools were kept anonymous and pupil questionnaires were assigned an</w:t>
      </w:r>
      <w:r w:rsidR="0025086A">
        <w:t xml:space="preserve"> </w:t>
      </w:r>
      <w:r>
        <w:t>alphanumeric ID code to ensure confidentiality. All participants were informed that no individual pupils’ scores could be identified. A list of support services (including school contacts and local child mental health services) was given to each pupil in a separate information leaflet.</w:t>
      </w:r>
    </w:p>
    <w:p w:rsidR="00F540F4" w:rsidRDefault="00F540F4" w:rsidP="0025086A">
      <w:pPr>
        <w:autoSpaceDE w:val="0"/>
        <w:autoSpaceDN w:val="0"/>
        <w:adjustRightInd w:val="0"/>
        <w:spacing w:line="276" w:lineRule="auto"/>
        <w:jc w:val="both"/>
      </w:pPr>
    </w:p>
    <w:p w:rsidR="00F540F4" w:rsidRDefault="00F540F4" w:rsidP="0025086A">
      <w:pPr>
        <w:autoSpaceDE w:val="0"/>
        <w:autoSpaceDN w:val="0"/>
        <w:adjustRightInd w:val="0"/>
        <w:spacing w:line="276" w:lineRule="auto"/>
        <w:jc w:val="both"/>
      </w:pPr>
      <w:r>
        <w:t xml:space="preserve">In total, 6328 questionnaires were returned from 21 schools from a total cohort of approximately 9896 eligible pupils, achieving a response rate of 64%. The raw scores from questionnaires were entered onto a secure database. To ensure data entry reliability, 5% of the whole data set (N = 332) were randomly selected and cross checked by a research assistant. </w:t>
      </w:r>
      <w:r w:rsidR="0025086A">
        <w:t xml:space="preserve"> N</w:t>
      </w:r>
      <w:r>
        <w:t>o systematic errors were found. For any school that had more than one error, 10% of the questionnaires from the whole school were checked. If further errors were then found,</w:t>
      </w:r>
      <w:r w:rsidR="0025086A">
        <w:t xml:space="preserve"> </w:t>
      </w:r>
      <w:r>
        <w:t>all questionnaires from this school were re-entered.</w:t>
      </w:r>
    </w:p>
    <w:p w:rsidR="00F540F4" w:rsidRDefault="00F540F4" w:rsidP="00F540F4">
      <w:pPr>
        <w:autoSpaceDE w:val="0"/>
        <w:autoSpaceDN w:val="0"/>
        <w:adjustRightInd w:val="0"/>
      </w:pPr>
    </w:p>
    <w:p w:rsidR="00F540F4" w:rsidRDefault="00F540F4" w:rsidP="0025086A">
      <w:pPr>
        <w:autoSpaceDE w:val="0"/>
        <w:autoSpaceDN w:val="0"/>
        <w:adjustRightInd w:val="0"/>
        <w:spacing w:line="276" w:lineRule="auto"/>
        <w:jc w:val="both"/>
        <w:rPr>
          <w:b/>
        </w:rPr>
      </w:pPr>
      <w:r w:rsidRPr="00044D29">
        <w:rPr>
          <w:b/>
        </w:rPr>
        <w:t>Analysis</w:t>
      </w:r>
    </w:p>
    <w:p w:rsidR="0025086A" w:rsidRPr="00044D29" w:rsidRDefault="0025086A" w:rsidP="0025086A">
      <w:pPr>
        <w:autoSpaceDE w:val="0"/>
        <w:autoSpaceDN w:val="0"/>
        <w:adjustRightInd w:val="0"/>
        <w:spacing w:line="276" w:lineRule="auto"/>
        <w:jc w:val="both"/>
        <w:rPr>
          <w:b/>
        </w:rPr>
      </w:pPr>
    </w:p>
    <w:p w:rsidR="00F540F4" w:rsidRDefault="00F540F4" w:rsidP="0025086A">
      <w:pPr>
        <w:autoSpaceDE w:val="0"/>
        <w:autoSpaceDN w:val="0"/>
        <w:adjustRightInd w:val="0"/>
        <w:spacing w:line="276" w:lineRule="auto"/>
        <w:jc w:val="both"/>
      </w:pPr>
      <w:r>
        <w:t>Summary statistics are presented as M (SD), median (IQR) and n (%). To compare scores by gender, a Mann–Whitney test was used and a Kruskal–Wallis test was used to compare age groups. Chi-square tests were used to compare the categories of SDQ by gender and year group. A p-value of &lt;.05 was considered to indicate statistical significance. All analyses were undertaken on SPSS (IBM Corp.; Released 2017. IBM SPSS Statistics for Windows, Version 25.0. Armonk, NY, USA).</w:t>
      </w:r>
    </w:p>
    <w:p w:rsidR="00F540F4" w:rsidRDefault="00F540F4" w:rsidP="00F540F4">
      <w:pPr>
        <w:autoSpaceDE w:val="0"/>
        <w:autoSpaceDN w:val="0"/>
        <w:adjustRightInd w:val="0"/>
      </w:pPr>
    </w:p>
    <w:p w:rsidR="0025086A" w:rsidRDefault="0025086A" w:rsidP="00F540F4">
      <w:pPr>
        <w:autoSpaceDE w:val="0"/>
        <w:autoSpaceDN w:val="0"/>
        <w:adjustRightInd w:val="0"/>
        <w:rPr>
          <w:b/>
        </w:rPr>
      </w:pPr>
    </w:p>
    <w:p w:rsidR="00F540F4" w:rsidRDefault="00F540F4" w:rsidP="00F540F4">
      <w:pPr>
        <w:autoSpaceDE w:val="0"/>
        <w:autoSpaceDN w:val="0"/>
        <w:adjustRightInd w:val="0"/>
        <w:rPr>
          <w:b/>
        </w:rPr>
      </w:pPr>
      <w:r w:rsidRPr="00044D29">
        <w:rPr>
          <w:b/>
        </w:rPr>
        <w:t>Results</w:t>
      </w:r>
    </w:p>
    <w:p w:rsidR="00044D29" w:rsidRPr="00044D29" w:rsidRDefault="00044D29" w:rsidP="00F540F4">
      <w:pPr>
        <w:autoSpaceDE w:val="0"/>
        <w:autoSpaceDN w:val="0"/>
        <w:adjustRightInd w:val="0"/>
        <w:rPr>
          <w:b/>
        </w:rPr>
      </w:pPr>
    </w:p>
    <w:p w:rsidR="00F540F4" w:rsidRPr="00044D29" w:rsidRDefault="00F540F4" w:rsidP="0025086A">
      <w:pPr>
        <w:autoSpaceDE w:val="0"/>
        <w:autoSpaceDN w:val="0"/>
        <w:adjustRightInd w:val="0"/>
        <w:spacing w:line="276" w:lineRule="auto"/>
        <w:jc w:val="both"/>
        <w:rPr>
          <w:b/>
        </w:rPr>
      </w:pPr>
      <w:r w:rsidRPr="00044D29">
        <w:rPr>
          <w:b/>
        </w:rPr>
        <w:t>SDQ</w:t>
      </w:r>
    </w:p>
    <w:p w:rsidR="00F540F4" w:rsidRDefault="00F540F4" w:rsidP="0025086A">
      <w:pPr>
        <w:autoSpaceDE w:val="0"/>
        <w:autoSpaceDN w:val="0"/>
        <w:adjustRightInd w:val="0"/>
        <w:spacing w:line="276" w:lineRule="auto"/>
        <w:jc w:val="both"/>
      </w:pPr>
      <w:r>
        <w:t>The self-report SDQ with impact supplement (for ages 11–17 years) was completed by 6328 secondary school pupils. Table 1 shows the sample demographic characteristics.</w:t>
      </w:r>
    </w:p>
    <w:p w:rsidR="00F540F4" w:rsidRDefault="00F540F4" w:rsidP="0025086A">
      <w:pPr>
        <w:autoSpaceDE w:val="0"/>
        <w:autoSpaceDN w:val="0"/>
        <w:adjustRightInd w:val="0"/>
        <w:spacing w:line="276" w:lineRule="auto"/>
        <w:jc w:val="both"/>
      </w:pPr>
    </w:p>
    <w:p w:rsidR="0025086A" w:rsidRDefault="0025086A" w:rsidP="0025086A">
      <w:pPr>
        <w:autoSpaceDE w:val="0"/>
        <w:autoSpaceDN w:val="0"/>
        <w:adjustRightInd w:val="0"/>
        <w:spacing w:line="276" w:lineRule="auto"/>
        <w:jc w:val="both"/>
      </w:pPr>
    </w:p>
    <w:p w:rsidR="0025086A" w:rsidRDefault="0025086A" w:rsidP="00F540F4">
      <w:pPr>
        <w:pStyle w:val="Caption"/>
        <w:rPr>
          <w:iCs w:val="0"/>
          <w:color w:val="auto"/>
          <w:sz w:val="22"/>
        </w:rPr>
      </w:pPr>
    </w:p>
    <w:p w:rsidR="00F540F4" w:rsidRPr="00BB30A9" w:rsidRDefault="00F540F4" w:rsidP="00F540F4">
      <w:pPr>
        <w:pStyle w:val="Caption"/>
        <w:rPr>
          <w:iCs w:val="0"/>
          <w:color w:val="auto"/>
          <w:sz w:val="22"/>
        </w:rPr>
      </w:pPr>
      <w:r w:rsidRPr="00BB30A9">
        <w:rPr>
          <w:iCs w:val="0"/>
          <w:color w:val="auto"/>
          <w:sz w:val="22"/>
        </w:rPr>
        <w:t xml:space="preserve">Table </w:t>
      </w:r>
      <w:r w:rsidRPr="00BB30A9">
        <w:rPr>
          <w:iCs w:val="0"/>
          <w:color w:val="auto"/>
          <w:sz w:val="22"/>
        </w:rPr>
        <w:fldChar w:fldCharType="begin"/>
      </w:r>
      <w:r w:rsidRPr="00BB30A9">
        <w:rPr>
          <w:iCs w:val="0"/>
          <w:color w:val="auto"/>
          <w:sz w:val="22"/>
        </w:rPr>
        <w:instrText xml:space="preserve"> SEQ Table \* ARABIC </w:instrText>
      </w:r>
      <w:r w:rsidRPr="00BB30A9">
        <w:rPr>
          <w:iCs w:val="0"/>
          <w:color w:val="auto"/>
          <w:sz w:val="22"/>
        </w:rPr>
        <w:fldChar w:fldCharType="separate"/>
      </w:r>
      <w:r>
        <w:rPr>
          <w:iCs w:val="0"/>
          <w:noProof/>
          <w:color w:val="auto"/>
          <w:sz w:val="22"/>
        </w:rPr>
        <w:t>2</w:t>
      </w:r>
      <w:r w:rsidRPr="00BB30A9">
        <w:rPr>
          <w:iCs w:val="0"/>
          <w:color w:val="auto"/>
          <w:sz w:val="22"/>
        </w:rPr>
        <w:fldChar w:fldCharType="end"/>
      </w:r>
      <w:r w:rsidRPr="00BB30A9">
        <w:rPr>
          <w:iCs w:val="0"/>
          <w:color w:val="auto"/>
          <w:sz w:val="22"/>
        </w:rPr>
        <w:t>: Summary scores</w:t>
      </w:r>
    </w:p>
    <w:tbl>
      <w:tblPr>
        <w:tblStyle w:val="TableGridLight1"/>
        <w:tblW w:w="10348" w:type="dxa"/>
        <w:tblInd w:w="-45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881"/>
        <w:gridCol w:w="1160"/>
        <w:gridCol w:w="1212"/>
        <w:gridCol w:w="1418"/>
        <w:gridCol w:w="1276"/>
        <w:gridCol w:w="1275"/>
        <w:gridCol w:w="1276"/>
        <w:gridCol w:w="850"/>
      </w:tblGrid>
      <w:tr w:rsidR="00F540F4" w:rsidRPr="00F852DD" w:rsidTr="00F540F4">
        <w:tc>
          <w:tcPr>
            <w:tcW w:w="1881" w:type="dxa"/>
            <w:tcBorders>
              <w:top w:val="single" w:sz="4" w:space="0" w:color="auto"/>
              <w:bottom w:val="single" w:sz="4" w:space="0" w:color="auto"/>
            </w:tcBorders>
            <w:shd w:val="clear" w:color="auto" w:fill="auto"/>
          </w:tcPr>
          <w:p w:rsidR="00F540F4" w:rsidRPr="00F852DD" w:rsidRDefault="00F540F4" w:rsidP="00F540F4">
            <w:pPr>
              <w:autoSpaceDE w:val="0"/>
              <w:autoSpaceDN w:val="0"/>
              <w:adjustRightInd w:val="0"/>
              <w:rPr>
                <w:sz w:val="20"/>
                <w:szCs w:val="20"/>
              </w:rPr>
            </w:pPr>
          </w:p>
        </w:tc>
        <w:tc>
          <w:tcPr>
            <w:tcW w:w="1160" w:type="dxa"/>
            <w:tcBorders>
              <w:top w:val="single" w:sz="4" w:space="0" w:color="auto"/>
              <w:bottom w:val="single" w:sz="4" w:space="0" w:color="auto"/>
            </w:tcBorders>
          </w:tcPr>
          <w:p w:rsidR="00F540F4" w:rsidRPr="00F852DD" w:rsidRDefault="00F540F4" w:rsidP="00F540F4">
            <w:pPr>
              <w:autoSpaceDE w:val="0"/>
              <w:autoSpaceDN w:val="0"/>
              <w:adjustRightInd w:val="0"/>
              <w:spacing w:line="320" w:lineRule="atLeast"/>
              <w:ind w:left="60" w:right="60"/>
              <w:jc w:val="center"/>
              <w:rPr>
                <w:b/>
                <w:color w:val="000000"/>
                <w:sz w:val="20"/>
                <w:szCs w:val="20"/>
              </w:rPr>
            </w:pPr>
            <w:r w:rsidRPr="00F852DD">
              <w:rPr>
                <w:b/>
                <w:color w:val="000000"/>
                <w:sz w:val="20"/>
                <w:szCs w:val="20"/>
              </w:rPr>
              <w:t>Mean (SD)</w:t>
            </w:r>
          </w:p>
        </w:tc>
        <w:tc>
          <w:tcPr>
            <w:tcW w:w="1212" w:type="dxa"/>
            <w:tcBorders>
              <w:top w:val="single" w:sz="4" w:space="0" w:color="auto"/>
              <w:bottom w:val="single" w:sz="4" w:space="0" w:color="auto"/>
            </w:tcBorders>
          </w:tcPr>
          <w:p w:rsidR="00F540F4" w:rsidRPr="00F852DD" w:rsidRDefault="00F540F4" w:rsidP="00F540F4">
            <w:pPr>
              <w:autoSpaceDE w:val="0"/>
              <w:autoSpaceDN w:val="0"/>
              <w:adjustRightInd w:val="0"/>
              <w:spacing w:line="320" w:lineRule="atLeast"/>
              <w:ind w:left="60" w:right="60"/>
              <w:jc w:val="center"/>
              <w:rPr>
                <w:b/>
                <w:color w:val="000000"/>
                <w:sz w:val="20"/>
                <w:szCs w:val="20"/>
              </w:rPr>
            </w:pPr>
            <w:r w:rsidRPr="00F852DD">
              <w:rPr>
                <w:b/>
                <w:color w:val="000000"/>
                <w:sz w:val="20"/>
                <w:szCs w:val="20"/>
              </w:rPr>
              <w:t>Median (IQR)</w:t>
            </w:r>
          </w:p>
        </w:tc>
        <w:tc>
          <w:tcPr>
            <w:tcW w:w="1418" w:type="dxa"/>
            <w:tcBorders>
              <w:top w:val="single" w:sz="4" w:space="0" w:color="auto"/>
              <w:bottom w:val="single" w:sz="4" w:space="0" w:color="auto"/>
            </w:tcBorders>
          </w:tcPr>
          <w:p w:rsidR="00F540F4" w:rsidRPr="00F852DD" w:rsidRDefault="00F540F4" w:rsidP="00F540F4">
            <w:pPr>
              <w:autoSpaceDE w:val="0"/>
              <w:autoSpaceDN w:val="0"/>
              <w:adjustRightInd w:val="0"/>
              <w:spacing w:line="320" w:lineRule="atLeast"/>
              <w:ind w:left="60" w:right="60"/>
              <w:jc w:val="center"/>
              <w:rPr>
                <w:b/>
                <w:sz w:val="20"/>
                <w:szCs w:val="20"/>
              </w:rPr>
            </w:pPr>
            <w:r w:rsidRPr="00F852DD">
              <w:rPr>
                <w:b/>
                <w:color w:val="000000"/>
                <w:sz w:val="20"/>
                <w:szCs w:val="20"/>
              </w:rPr>
              <w:t>Average</w:t>
            </w:r>
          </w:p>
        </w:tc>
        <w:tc>
          <w:tcPr>
            <w:tcW w:w="1276" w:type="dxa"/>
            <w:tcBorders>
              <w:top w:val="single" w:sz="4" w:space="0" w:color="auto"/>
              <w:bottom w:val="single" w:sz="4" w:space="0" w:color="auto"/>
            </w:tcBorders>
          </w:tcPr>
          <w:p w:rsidR="00F540F4" w:rsidRPr="00F852DD" w:rsidRDefault="00F540F4" w:rsidP="00F540F4">
            <w:pPr>
              <w:autoSpaceDE w:val="0"/>
              <w:autoSpaceDN w:val="0"/>
              <w:adjustRightInd w:val="0"/>
              <w:spacing w:line="320" w:lineRule="atLeast"/>
              <w:ind w:left="60" w:right="60"/>
              <w:jc w:val="center"/>
              <w:rPr>
                <w:b/>
                <w:sz w:val="20"/>
                <w:szCs w:val="20"/>
              </w:rPr>
            </w:pPr>
            <w:r w:rsidRPr="00F852DD">
              <w:rPr>
                <w:b/>
                <w:color w:val="000000"/>
                <w:sz w:val="20"/>
                <w:szCs w:val="20"/>
              </w:rPr>
              <w:t xml:space="preserve">Slightly raised </w:t>
            </w:r>
          </w:p>
        </w:tc>
        <w:tc>
          <w:tcPr>
            <w:tcW w:w="1275" w:type="dxa"/>
            <w:tcBorders>
              <w:top w:val="single" w:sz="4" w:space="0" w:color="auto"/>
              <w:bottom w:val="single" w:sz="4" w:space="0" w:color="auto"/>
            </w:tcBorders>
          </w:tcPr>
          <w:p w:rsidR="00F540F4" w:rsidRPr="00F852DD" w:rsidRDefault="00F540F4" w:rsidP="00F540F4">
            <w:pPr>
              <w:autoSpaceDE w:val="0"/>
              <w:autoSpaceDN w:val="0"/>
              <w:adjustRightInd w:val="0"/>
              <w:spacing w:line="320" w:lineRule="atLeast"/>
              <w:ind w:left="60" w:right="60"/>
              <w:jc w:val="center"/>
              <w:rPr>
                <w:b/>
                <w:sz w:val="20"/>
                <w:szCs w:val="20"/>
              </w:rPr>
            </w:pPr>
            <w:r w:rsidRPr="00F852DD">
              <w:rPr>
                <w:b/>
                <w:color w:val="000000"/>
                <w:sz w:val="20"/>
                <w:szCs w:val="20"/>
              </w:rPr>
              <w:t xml:space="preserve">High </w:t>
            </w:r>
          </w:p>
        </w:tc>
        <w:tc>
          <w:tcPr>
            <w:tcW w:w="1276" w:type="dxa"/>
            <w:tcBorders>
              <w:top w:val="single" w:sz="4" w:space="0" w:color="auto"/>
              <w:bottom w:val="single" w:sz="4" w:space="0" w:color="auto"/>
            </w:tcBorders>
          </w:tcPr>
          <w:p w:rsidR="00F540F4" w:rsidRPr="00F852DD" w:rsidRDefault="00F540F4" w:rsidP="00F540F4">
            <w:pPr>
              <w:autoSpaceDE w:val="0"/>
              <w:autoSpaceDN w:val="0"/>
              <w:adjustRightInd w:val="0"/>
              <w:spacing w:line="320" w:lineRule="atLeast"/>
              <w:ind w:left="60" w:right="60"/>
              <w:jc w:val="center"/>
              <w:rPr>
                <w:b/>
                <w:sz w:val="20"/>
                <w:szCs w:val="20"/>
              </w:rPr>
            </w:pPr>
            <w:r w:rsidRPr="00F852DD">
              <w:rPr>
                <w:b/>
                <w:color w:val="000000"/>
                <w:sz w:val="20"/>
                <w:szCs w:val="20"/>
              </w:rPr>
              <w:t xml:space="preserve">Very high </w:t>
            </w:r>
          </w:p>
        </w:tc>
        <w:tc>
          <w:tcPr>
            <w:tcW w:w="850" w:type="dxa"/>
            <w:tcBorders>
              <w:top w:val="single" w:sz="4" w:space="0" w:color="auto"/>
              <w:bottom w:val="single" w:sz="4" w:space="0" w:color="auto"/>
            </w:tcBorders>
          </w:tcPr>
          <w:p w:rsidR="00F540F4" w:rsidRPr="00F852DD" w:rsidRDefault="00F540F4" w:rsidP="00F540F4">
            <w:pPr>
              <w:autoSpaceDE w:val="0"/>
              <w:autoSpaceDN w:val="0"/>
              <w:adjustRightInd w:val="0"/>
              <w:spacing w:line="320" w:lineRule="atLeast"/>
              <w:ind w:left="60" w:right="60"/>
              <w:jc w:val="center"/>
              <w:rPr>
                <w:b/>
                <w:sz w:val="20"/>
                <w:szCs w:val="20"/>
              </w:rPr>
            </w:pPr>
            <w:r w:rsidRPr="00F852DD">
              <w:rPr>
                <w:b/>
                <w:sz w:val="20"/>
                <w:szCs w:val="20"/>
              </w:rPr>
              <w:t>n</w:t>
            </w:r>
          </w:p>
        </w:tc>
      </w:tr>
      <w:tr w:rsidR="00F540F4" w:rsidRPr="00F852DD" w:rsidTr="00F540F4">
        <w:tc>
          <w:tcPr>
            <w:tcW w:w="1881" w:type="dxa"/>
            <w:tcBorders>
              <w:top w:val="single" w:sz="4" w:space="0" w:color="auto"/>
            </w:tcBorders>
          </w:tcPr>
          <w:p w:rsidR="00F540F4" w:rsidRPr="00F852DD" w:rsidRDefault="00F540F4" w:rsidP="00F540F4">
            <w:pPr>
              <w:autoSpaceDE w:val="0"/>
              <w:autoSpaceDN w:val="0"/>
              <w:adjustRightInd w:val="0"/>
              <w:spacing w:line="320" w:lineRule="atLeast"/>
              <w:ind w:left="60" w:right="60"/>
              <w:rPr>
                <w:b/>
                <w:sz w:val="20"/>
                <w:szCs w:val="20"/>
              </w:rPr>
            </w:pPr>
            <w:r w:rsidRPr="00F852DD">
              <w:rPr>
                <w:b/>
                <w:sz w:val="20"/>
                <w:szCs w:val="20"/>
              </w:rPr>
              <w:t>Total Difficulties</w:t>
            </w:r>
          </w:p>
        </w:tc>
        <w:tc>
          <w:tcPr>
            <w:tcW w:w="1160" w:type="dxa"/>
            <w:tcBorders>
              <w:top w:val="single" w:sz="4" w:space="0" w:color="auto"/>
            </w:tcBorders>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11.3 (5.9)</w:t>
            </w:r>
          </w:p>
        </w:tc>
        <w:tc>
          <w:tcPr>
            <w:tcW w:w="1212" w:type="dxa"/>
            <w:tcBorders>
              <w:top w:val="single" w:sz="4" w:space="0" w:color="auto"/>
            </w:tcBorders>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11 (7-15)</w:t>
            </w:r>
          </w:p>
        </w:tc>
        <w:tc>
          <w:tcPr>
            <w:tcW w:w="1418" w:type="dxa"/>
            <w:tcBorders>
              <w:top w:val="single" w:sz="4" w:space="0" w:color="auto"/>
            </w:tcBorders>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4571 (72%)</w:t>
            </w:r>
          </w:p>
        </w:tc>
        <w:tc>
          <w:tcPr>
            <w:tcW w:w="1276" w:type="dxa"/>
            <w:tcBorders>
              <w:top w:val="single" w:sz="4" w:space="0" w:color="auto"/>
            </w:tcBorders>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762 (12%)</w:t>
            </w:r>
          </w:p>
        </w:tc>
        <w:tc>
          <w:tcPr>
            <w:tcW w:w="1275" w:type="dxa"/>
            <w:tcBorders>
              <w:top w:val="single" w:sz="4" w:space="0" w:color="auto"/>
            </w:tcBorders>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379 (6%)</w:t>
            </w:r>
          </w:p>
        </w:tc>
        <w:tc>
          <w:tcPr>
            <w:tcW w:w="1276" w:type="dxa"/>
            <w:tcBorders>
              <w:top w:val="single" w:sz="4" w:space="0" w:color="auto"/>
            </w:tcBorders>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593 (9%)</w:t>
            </w:r>
          </w:p>
        </w:tc>
        <w:tc>
          <w:tcPr>
            <w:tcW w:w="850" w:type="dxa"/>
            <w:tcBorders>
              <w:top w:val="single" w:sz="4" w:space="0" w:color="auto"/>
            </w:tcBorders>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sz w:val="20"/>
                <w:szCs w:val="20"/>
              </w:rPr>
              <w:t>6305</w:t>
            </w:r>
          </w:p>
        </w:tc>
      </w:tr>
      <w:tr w:rsidR="00F540F4" w:rsidRPr="00F852DD" w:rsidTr="00F540F4">
        <w:tc>
          <w:tcPr>
            <w:tcW w:w="1881" w:type="dxa"/>
          </w:tcPr>
          <w:p w:rsidR="00F540F4" w:rsidRPr="00F852DD" w:rsidRDefault="00F540F4" w:rsidP="00F540F4">
            <w:pPr>
              <w:autoSpaceDE w:val="0"/>
              <w:autoSpaceDN w:val="0"/>
              <w:adjustRightInd w:val="0"/>
              <w:spacing w:line="320" w:lineRule="atLeast"/>
              <w:ind w:left="60" w:right="60"/>
              <w:rPr>
                <w:b/>
                <w:sz w:val="20"/>
                <w:szCs w:val="20"/>
              </w:rPr>
            </w:pPr>
            <w:r w:rsidRPr="00F852DD">
              <w:rPr>
                <w:b/>
                <w:sz w:val="20"/>
                <w:szCs w:val="20"/>
              </w:rPr>
              <w:t>Emotion</w:t>
            </w:r>
          </w:p>
        </w:tc>
        <w:tc>
          <w:tcPr>
            <w:tcW w:w="1160" w:type="dxa"/>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3.4 (2.5)</w:t>
            </w:r>
          </w:p>
        </w:tc>
        <w:tc>
          <w:tcPr>
            <w:tcW w:w="1212" w:type="dxa"/>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3 (1-5)</w:t>
            </w:r>
          </w:p>
        </w:tc>
        <w:tc>
          <w:tcPr>
            <w:tcW w:w="1418"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4310 (68%)</w:t>
            </w:r>
          </w:p>
        </w:tc>
        <w:tc>
          <w:tcPr>
            <w:tcW w:w="1276"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629 (10%)</w:t>
            </w:r>
          </w:p>
        </w:tc>
        <w:tc>
          <w:tcPr>
            <w:tcW w:w="1275"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510 (8%)</w:t>
            </w:r>
          </w:p>
        </w:tc>
        <w:tc>
          <w:tcPr>
            <w:tcW w:w="1276"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866 (14%)</w:t>
            </w:r>
          </w:p>
        </w:tc>
        <w:tc>
          <w:tcPr>
            <w:tcW w:w="850"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sz w:val="20"/>
                <w:szCs w:val="20"/>
              </w:rPr>
              <w:t>6315</w:t>
            </w:r>
          </w:p>
        </w:tc>
      </w:tr>
      <w:tr w:rsidR="00F540F4" w:rsidRPr="00F852DD" w:rsidTr="00F540F4">
        <w:tc>
          <w:tcPr>
            <w:tcW w:w="1881" w:type="dxa"/>
          </w:tcPr>
          <w:p w:rsidR="00F540F4" w:rsidRPr="00F852DD" w:rsidRDefault="00F540F4" w:rsidP="00F540F4">
            <w:pPr>
              <w:autoSpaceDE w:val="0"/>
              <w:autoSpaceDN w:val="0"/>
              <w:adjustRightInd w:val="0"/>
              <w:spacing w:line="320" w:lineRule="atLeast"/>
              <w:ind w:left="60" w:right="60"/>
              <w:rPr>
                <w:b/>
                <w:sz w:val="20"/>
                <w:szCs w:val="20"/>
              </w:rPr>
            </w:pPr>
            <w:r w:rsidRPr="00F852DD">
              <w:rPr>
                <w:b/>
                <w:sz w:val="20"/>
                <w:szCs w:val="20"/>
              </w:rPr>
              <w:t>Conduct</w:t>
            </w:r>
          </w:p>
        </w:tc>
        <w:tc>
          <w:tcPr>
            <w:tcW w:w="1160" w:type="dxa"/>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1.8 (1.8)</w:t>
            </w:r>
          </w:p>
        </w:tc>
        <w:tc>
          <w:tcPr>
            <w:tcW w:w="1212" w:type="dxa"/>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1 (0-3)</w:t>
            </w:r>
          </w:p>
        </w:tc>
        <w:tc>
          <w:tcPr>
            <w:tcW w:w="1418"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5270 (84%)</w:t>
            </w:r>
          </w:p>
        </w:tc>
        <w:tc>
          <w:tcPr>
            <w:tcW w:w="1276"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474 (8%)</w:t>
            </w:r>
          </w:p>
        </w:tc>
        <w:tc>
          <w:tcPr>
            <w:tcW w:w="1275"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302 (5%)</w:t>
            </w:r>
          </w:p>
        </w:tc>
        <w:tc>
          <w:tcPr>
            <w:tcW w:w="1276"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267 (4%)</w:t>
            </w:r>
          </w:p>
        </w:tc>
        <w:tc>
          <w:tcPr>
            <w:tcW w:w="850"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sz w:val="20"/>
                <w:szCs w:val="20"/>
              </w:rPr>
              <w:t>6313</w:t>
            </w:r>
          </w:p>
        </w:tc>
      </w:tr>
      <w:tr w:rsidR="00F540F4" w:rsidRPr="00F852DD" w:rsidTr="00F540F4">
        <w:tc>
          <w:tcPr>
            <w:tcW w:w="1881" w:type="dxa"/>
          </w:tcPr>
          <w:p w:rsidR="00F540F4" w:rsidRPr="00F852DD" w:rsidRDefault="00F540F4" w:rsidP="00F540F4">
            <w:pPr>
              <w:autoSpaceDE w:val="0"/>
              <w:autoSpaceDN w:val="0"/>
              <w:adjustRightInd w:val="0"/>
              <w:spacing w:line="320" w:lineRule="atLeast"/>
              <w:ind w:left="60" w:right="60"/>
              <w:rPr>
                <w:b/>
                <w:sz w:val="20"/>
                <w:szCs w:val="20"/>
              </w:rPr>
            </w:pPr>
            <w:r w:rsidRPr="00F852DD">
              <w:rPr>
                <w:b/>
                <w:sz w:val="20"/>
                <w:szCs w:val="20"/>
              </w:rPr>
              <w:t>Hyperactivity</w:t>
            </w:r>
          </w:p>
        </w:tc>
        <w:tc>
          <w:tcPr>
            <w:tcW w:w="1160" w:type="dxa"/>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4.1 (2.5)</w:t>
            </w:r>
          </w:p>
        </w:tc>
        <w:tc>
          <w:tcPr>
            <w:tcW w:w="1212" w:type="dxa"/>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4 (2-6)</w:t>
            </w:r>
          </w:p>
        </w:tc>
        <w:tc>
          <w:tcPr>
            <w:tcW w:w="1418"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4561 (72%)</w:t>
            </w:r>
          </w:p>
        </w:tc>
        <w:tc>
          <w:tcPr>
            <w:tcW w:w="1276"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620 (10%)</w:t>
            </w:r>
          </w:p>
        </w:tc>
        <w:tc>
          <w:tcPr>
            <w:tcW w:w="1275"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455 (7%)</w:t>
            </w:r>
          </w:p>
        </w:tc>
        <w:tc>
          <w:tcPr>
            <w:tcW w:w="1276"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674 (11%)</w:t>
            </w:r>
          </w:p>
        </w:tc>
        <w:tc>
          <w:tcPr>
            <w:tcW w:w="850"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sz w:val="20"/>
                <w:szCs w:val="20"/>
              </w:rPr>
              <w:t>6310</w:t>
            </w:r>
          </w:p>
        </w:tc>
      </w:tr>
      <w:tr w:rsidR="00F540F4" w:rsidRPr="00F852DD" w:rsidTr="00F540F4">
        <w:tc>
          <w:tcPr>
            <w:tcW w:w="1881" w:type="dxa"/>
          </w:tcPr>
          <w:p w:rsidR="00F540F4" w:rsidRPr="00F852DD" w:rsidRDefault="00F540F4" w:rsidP="00F540F4">
            <w:pPr>
              <w:autoSpaceDE w:val="0"/>
              <w:autoSpaceDN w:val="0"/>
              <w:adjustRightInd w:val="0"/>
              <w:spacing w:line="320" w:lineRule="atLeast"/>
              <w:ind w:left="60" w:right="60"/>
              <w:rPr>
                <w:b/>
                <w:sz w:val="20"/>
                <w:szCs w:val="20"/>
              </w:rPr>
            </w:pPr>
            <w:r w:rsidRPr="00F852DD">
              <w:rPr>
                <w:b/>
                <w:sz w:val="20"/>
                <w:szCs w:val="20"/>
              </w:rPr>
              <w:t>Peer Problems</w:t>
            </w:r>
          </w:p>
        </w:tc>
        <w:tc>
          <w:tcPr>
            <w:tcW w:w="1160" w:type="dxa"/>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1.9 (1.7)</w:t>
            </w:r>
          </w:p>
        </w:tc>
        <w:tc>
          <w:tcPr>
            <w:tcW w:w="1212" w:type="dxa"/>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1 (1-3)</w:t>
            </w:r>
          </w:p>
        </w:tc>
        <w:tc>
          <w:tcPr>
            <w:tcW w:w="1418"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4554 (72%)</w:t>
            </w:r>
          </w:p>
        </w:tc>
        <w:tc>
          <w:tcPr>
            <w:tcW w:w="1276"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788 (13%)</w:t>
            </w:r>
          </w:p>
        </w:tc>
        <w:tc>
          <w:tcPr>
            <w:tcW w:w="1275"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457 (7%)</w:t>
            </w:r>
          </w:p>
        </w:tc>
        <w:tc>
          <w:tcPr>
            <w:tcW w:w="1276"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511 (8%)</w:t>
            </w:r>
          </w:p>
        </w:tc>
        <w:tc>
          <w:tcPr>
            <w:tcW w:w="850"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sz w:val="20"/>
                <w:szCs w:val="20"/>
              </w:rPr>
              <w:t>6310</w:t>
            </w:r>
          </w:p>
        </w:tc>
      </w:tr>
      <w:tr w:rsidR="00F540F4" w:rsidRPr="00F852DD" w:rsidTr="00F540F4">
        <w:tc>
          <w:tcPr>
            <w:tcW w:w="1881" w:type="dxa"/>
          </w:tcPr>
          <w:p w:rsidR="00F540F4" w:rsidRPr="00F852DD" w:rsidRDefault="00F540F4" w:rsidP="00F540F4">
            <w:pPr>
              <w:autoSpaceDE w:val="0"/>
              <w:autoSpaceDN w:val="0"/>
              <w:adjustRightInd w:val="0"/>
              <w:spacing w:line="320" w:lineRule="atLeast"/>
              <w:ind w:left="60" w:right="60"/>
              <w:rPr>
                <w:b/>
                <w:sz w:val="20"/>
                <w:szCs w:val="20"/>
              </w:rPr>
            </w:pPr>
            <w:r w:rsidRPr="00F852DD">
              <w:rPr>
                <w:b/>
                <w:sz w:val="20"/>
                <w:szCs w:val="20"/>
              </w:rPr>
              <w:t>Prosocial</w:t>
            </w:r>
          </w:p>
        </w:tc>
        <w:tc>
          <w:tcPr>
            <w:tcW w:w="1160" w:type="dxa"/>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7.0 (2.0)</w:t>
            </w:r>
          </w:p>
        </w:tc>
        <w:tc>
          <w:tcPr>
            <w:tcW w:w="1212" w:type="dxa"/>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7 (6-8)</w:t>
            </w:r>
          </w:p>
        </w:tc>
        <w:tc>
          <w:tcPr>
            <w:tcW w:w="1418"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3909 (62%)</w:t>
            </w:r>
          </w:p>
        </w:tc>
        <w:tc>
          <w:tcPr>
            <w:tcW w:w="1276"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950 (15%)</w:t>
            </w:r>
          </w:p>
        </w:tc>
        <w:tc>
          <w:tcPr>
            <w:tcW w:w="1275"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757 (12%)</w:t>
            </w:r>
          </w:p>
        </w:tc>
        <w:tc>
          <w:tcPr>
            <w:tcW w:w="1276"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707 (11%)</w:t>
            </w:r>
          </w:p>
        </w:tc>
        <w:tc>
          <w:tcPr>
            <w:tcW w:w="850"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sz w:val="20"/>
                <w:szCs w:val="20"/>
              </w:rPr>
              <w:t>6323</w:t>
            </w:r>
          </w:p>
        </w:tc>
      </w:tr>
      <w:tr w:rsidR="00F540F4" w:rsidRPr="00F852DD" w:rsidTr="00F540F4">
        <w:tc>
          <w:tcPr>
            <w:tcW w:w="1881" w:type="dxa"/>
          </w:tcPr>
          <w:p w:rsidR="00F540F4" w:rsidRPr="00F852DD" w:rsidRDefault="00F540F4" w:rsidP="00F540F4">
            <w:pPr>
              <w:autoSpaceDE w:val="0"/>
              <w:autoSpaceDN w:val="0"/>
              <w:adjustRightInd w:val="0"/>
              <w:spacing w:line="320" w:lineRule="atLeast"/>
              <w:ind w:left="60" w:right="60"/>
              <w:rPr>
                <w:b/>
                <w:sz w:val="20"/>
                <w:szCs w:val="20"/>
              </w:rPr>
            </w:pPr>
            <w:r w:rsidRPr="00F852DD">
              <w:rPr>
                <w:b/>
                <w:sz w:val="20"/>
                <w:szCs w:val="20"/>
              </w:rPr>
              <w:t>Impact</w:t>
            </w:r>
          </w:p>
        </w:tc>
        <w:tc>
          <w:tcPr>
            <w:tcW w:w="1160" w:type="dxa"/>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0.7 (1.5)</w:t>
            </w:r>
          </w:p>
        </w:tc>
        <w:tc>
          <w:tcPr>
            <w:tcW w:w="1212" w:type="dxa"/>
          </w:tcPr>
          <w:p w:rsidR="00F540F4" w:rsidRPr="00F852DD" w:rsidRDefault="00F540F4" w:rsidP="00F540F4">
            <w:pPr>
              <w:autoSpaceDE w:val="0"/>
              <w:autoSpaceDN w:val="0"/>
              <w:adjustRightInd w:val="0"/>
              <w:spacing w:line="320" w:lineRule="atLeast"/>
              <w:ind w:left="60" w:right="60"/>
              <w:jc w:val="center"/>
              <w:rPr>
                <w:color w:val="000000"/>
                <w:sz w:val="20"/>
                <w:szCs w:val="20"/>
              </w:rPr>
            </w:pPr>
            <w:r w:rsidRPr="00F852DD">
              <w:rPr>
                <w:color w:val="000000"/>
                <w:sz w:val="20"/>
                <w:szCs w:val="20"/>
              </w:rPr>
              <w:t>0 (0-1)</w:t>
            </w:r>
          </w:p>
        </w:tc>
        <w:tc>
          <w:tcPr>
            <w:tcW w:w="1418"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4351 (70%)</w:t>
            </w:r>
          </w:p>
        </w:tc>
        <w:tc>
          <w:tcPr>
            <w:tcW w:w="1276"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723 (11%)</w:t>
            </w:r>
          </w:p>
        </w:tc>
        <w:tc>
          <w:tcPr>
            <w:tcW w:w="1275"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448 (7%)</w:t>
            </w:r>
          </w:p>
        </w:tc>
        <w:tc>
          <w:tcPr>
            <w:tcW w:w="1276"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color w:val="000000"/>
                <w:sz w:val="20"/>
                <w:szCs w:val="20"/>
              </w:rPr>
              <w:t>687 (11%)</w:t>
            </w:r>
          </w:p>
        </w:tc>
        <w:tc>
          <w:tcPr>
            <w:tcW w:w="850" w:type="dxa"/>
          </w:tcPr>
          <w:p w:rsidR="00F540F4" w:rsidRPr="00F852DD" w:rsidRDefault="00F540F4" w:rsidP="00F540F4">
            <w:pPr>
              <w:autoSpaceDE w:val="0"/>
              <w:autoSpaceDN w:val="0"/>
              <w:adjustRightInd w:val="0"/>
              <w:spacing w:line="320" w:lineRule="atLeast"/>
              <w:ind w:left="60" w:right="60"/>
              <w:jc w:val="center"/>
              <w:rPr>
                <w:sz w:val="20"/>
                <w:szCs w:val="20"/>
              </w:rPr>
            </w:pPr>
            <w:r w:rsidRPr="00F852DD">
              <w:rPr>
                <w:sz w:val="20"/>
                <w:szCs w:val="20"/>
              </w:rPr>
              <w:t>6209</w:t>
            </w:r>
          </w:p>
        </w:tc>
      </w:tr>
    </w:tbl>
    <w:p w:rsidR="00F540F4" w:rsidRDefault="00F540F4" w:rsidP="00F540F4">
      <w:pPr>
        <w:autoSpaceDE w:val="0"/>
        <w:autoSpaceDN w:val="0"/>
        <w:adjustRightInd w:val="0"/>
      </w:pPr>
    </w:p>
    <w:p w:rsidR="00F540F4" w:rsidRDefault="00F540F4" w:rsidP="00F540F4">
      <w:pPr>
        <w:autoSpaceDE w:val="0"/>
        <w:autoSpaceDN w:val="0"/>
        <w:adjustRightInd w:val="0"/>
      </w:pPr>
    </w:p>
    <w:p w:rsidR="0025086A" w:rsidRDefault="0025086A" w:rsidP="00F540F4">
      <w:pPr>
        <w:pStyle w:val="Caption"/>
        <w:rPr>
          <w:iCs w:val="0"/>
          <w:color w:val="auto"/>
          <w:sz w:val="22"/>
        </w:rPr>
      </w:pPr>
      <w:bookmarkStart w:id="1" w:name="_Ref2758790"/>
    </w:p>
    <w:p w:rsidR="00F540F4" w:rsidRPr="00FF6E1C" w:rsidRDefault="00F540F4" w:rsidP="00F540F4">
      <w:pPr>
        <w:pStyle w:val="Caption"/>
        <w:rPr>
          <w:iCs w:val="0"/>
          <w:color w:val="auto"/>
          <w:sz w:val="22"/>
        </w:rPr>
      </w:pPr>
      <w:r w:rsidRPr="00FF6E1C">
        <w:rPr>
          <w:iCs w:val="0"/>
          <w:color w:val="auto"/>
          <w:sz w:val="22"/>
        </w:rPr>
        <w:t xml:space="preserve">Table </w:t>
      </w:r>
      <w:r w:rsidRPr="00FF6E1C">
        <w:rPr>
          <w:iCs w:val="0"/>
          <w:color w:val="auto"/>
          <w:sz w:val="22"/>
        </w:rPr>
        <w:fldChar w:fldCharType="begin"/>
      </w:r>
      <w:r w:rsidRPr="00FF6E1C">
        <w:rPr>
          <w:iCs w:val="0"/>
          <w:color w:val="auto"/>
          <w:sz w:val="22"/>
        </w:rPr>
        <w:instrText xml:space="preserve"> SEQ Table \* ARABIC </w:instrText>
      </w:r>
      <w:r w:rsidRPr="00FF6E1C">
        <w:rPr>
          <w:iCs w:val="0"/>
          <w:color w:val="auto"/>
          <w:sz w:val="22"/>
        </w:rPr>
        <w:fldChar w:fldCharType="separate"/>
      </w:r>
      <w:r>
        <w:rPr>
          <w:iCs w:val="0"/>
          <w:noProof/>
          <w:color w:val="auto"/>
          <w:sz w:val="22"/>
        </w:rPr>
        <w:t>3</w:t>
      </w:r>
      <w:r w:rsidRPr="00FF6E1C">
        <w:rPr>
          <w:iCs w:val="0"/>
          <w:color w:val="auto"/>
          <w:sz w:val="22"/>
        </w:rPr>
        <w:fldChar w:fldCharType="end"/>
      </w:r>
      <w:bookmarkEnd w:id="1"/>
      <w:r w:rsidRPr="00FF6E1C">
        <w:rPr>
          <w:iCs w:val="0"/>
          <w:color w:val="auto"/>
          <w:sz w:val="22"/>
        </w:rPr>
        <w:t>: Scores by gender</w:t>
      </w:r>
    </w:p>
    <w:tbl>
      <w:tblPr>
        <w:tblStyle w:val="TableGridLight1"/>
        <w:tblW w:w="10343" w:type="dxa"/>
        <w:tblInd w:w="-45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791"/>
        <w:gridCol w:w="1153"/>
        <w:gridCol w:w="1400"/>
        <w:gridCol w:w="1153"/>
        <w:gridCol w:w="1152"/>
        <w:gridCol w:w="1386"/>
        <w:gridCol w:w="1154"/>
        <w:gridCol w:w="1154"/>
      </w:tblGrid>
      <w:tr w:rsidR="00F540F4" w:rsidRPr="00A32601" w:rsidTr="00F540F4">
        <w:tc>
          <w:tcPr>
            <w:tcW w:w="1791" w:type="dxa"/>
            <w:tcBorders>
              <w:bottom w:val="single" w:sz="4" w:space="0" w:color="auto"/>
            </w:tcBorders>
          </w:tcPr>
          <w:p w:rsidR="00F540F4" w:rsidRPr="001E36F7" w:rsidRDefault="00F540F4" w:rsidP="00F540F4">
            <w:pPr>
              <w:autoSpaceDE w:val="0"/>
              <w:autoSpaceDN w:val="0"/>
              <w:adjustRightInd w:val="0"/>
              <w:spacing w:line="276" w:lineRule="auto"/>
              <w:ind w:left="60" w:right="60"/>
              <w:rPr>
                <w:rFonts w:cs="Arial"/>
                <w:sz w:val="20"/>
                <w:szCs w:val="20"/>
              </w:rPr>
            </w:pPr>
          </w:p>
        </w:tc>
        <w:tc>
          <w:tcPr>
            <w:tcW w:w="3706" w:type="dxa"/>
            <w:gridSpan w:val="3"/>
            <w:tcBorders>
              <w:top w:val="single" w:sz="4" w:space="0" w:color="auto"/>
              <w:bottom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b/>
                <w:sz w:val="19"/>
                <w:szCs w:val="19"/>
              </w:rPr>
            </w:pPr>
            <w:r w:rsidRPr="001E36F7">
              <w:rPr>
                <w:rFonts w:cs="Arial"/>
                <w:b/>
                <w:sz w:val="19"/>
                <w:szCs w:val="19"/>
              </w:rPr>
              <w:t>Male</w:t>
            </w:r>
          </w:p>
        </w:tc>
        <w:tc>
          <w:tcPr>
            <w:tcW w:w="3692" w:type="dxa"/>
            <w:gridSpan w:val="3"/>
            <w:tcBorders>
              <w:left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b/>
                <w:sz w:val="19"/>
                <w:szCs w:val="19"/>
              </w:rPr>
            </w:pPr>
            <w:r w:rsidRPr="001E36F7">
              <w:rPr>
                <w:rFonts w:cs="Arial"/>
                <w:b/>
                <w:sz w:val="19"/>
                <w:szCs w:val="19"/>
              </w:rPr>
              <w:t>Female</w:t>
            </w:r>
          </w:p>
        </w:tc>
        <w:tc>
          <w:tcPr>
            <w:tcW w:w="1154" w:type="dxa"/>
            <w:tcBorders>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b/>
                <w:sz w:val="19"/>
                <w:szCs w:val="19"/>
              </w:rPr>
            </w:pPr>
          </w:p>
        </w:tc>
      </w:tr>
      <w:tr w:rsidR="00F540F4" w:rsidRPr="00A32601" w:rsidTr="00F540F4">
        <w:tc>
          <w:tcPr>
            <w:tcW w:w="1791" w:type="dxa"/>
            <w:tcBorders>
              <w:top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rPr>
                <w:rFonts w:cs="Arial"/>
                <w:sz w:val="19"/>
                <w:szCs w:val="19"/>
              </w:rPr>
            </w:pPr>
          </w:p>
        </w:tc>
        <w:tc>
          <w:tcPr>
            <w:tcW w:w="1153" w:type="dxa"/>
            <w:tcBorders>
              <w:top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b/>
                <w:sz w:val="19"/>
                <w:szCs w:val="19"/>
              </w:rPr>
            </w:pPr>
            <w:r w:rsidRPr="001E36F7">
              <w:rPr>
                <w:rFonts w:cs="Arial"/>
                <w:b/>
                <w:sz w:val="19"/>
                <w:szCs w:val="19"/>
              </w:rPr>
              <w:t>Mean (SD)</w:t>
            </w:r>
          </w:p>
        </w:tc>
        <w:tc>
          <w:tcPr>
            <w:tcW w:w="1400" w:type="dxa"/>
            <w:tcBorders>
              <w:top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b/>
                <w:sz w:val="19"/>
                <w:szCs w:val="19"/>
              </w:rPr>
            </w:pPr>
            <w:r w:rsidRPr="001E36F7">
              <w:rPr>
                <w:rFonts w:cs="Arial"/>
                <w:b/>
                <w:sz w:val="19"/>
                <w:szCs w:val="19"/>
              </w:rPr>
              <w:t>Median (IQR)</w:t>
            </w:r>
          </w:p>
        </w:tc>
        <w:tc>
          <w:tcPr>
            <w:tcW w:w="1153" w:type="dxa"/>
            <w:tcBorders>
              <w:top w:val="single" w:sz="4" w:space="0" w:color="auto"/>
              <w:bottom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b/>
                <w:sz w:val="19"/>
                <w:szCs w:val="19"/>
              </w:rPr>
            </w:pPr>
            <w:r w:rsidRPr="001E36F7">
              <w:rPr>
                <w:rFonts w:cs="Arial"/>
                <w:b/>
                <w:sz w:val="19"/>
                <w:szCs w:val="19"/>
              </w:rPr>
              <w:t>n</w:t>
            </w:r>
          </w:p>
        </w:tc>
        <w:tc>
          <w:tcPr>
            <w:tcW w:w="1152" w:type="dxa"/>
            <w:tcBorders>
              <w:top w:val="single" w:sz="4" w:space="0" w:color="auto"/>
              <w:left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b/>
                <w:sz w:val="19"/>
                <w:szCs w:val="19"/>
              </w:rPr>
            </w:pPr>
            <w:r w:rsidRPr="001E36F7">
              <w:rPr>
                <w:rFonts w:cs="Arial"/>
                <w:b/>
                <w:sz w:val="19"/>
                <w:szCs w:val="19"/>
              </w:rPr>
              <w:t>Mean</w:t>
            </w:r>
          </w:p>
        </w:tc>
        <w:tc>
          <w:tcPr>
            <w:tcW w:w="1386" w:type="dxa"/>
            <w:tcBorders>
              <w:top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b/>
                <w:sz w:val="19"/>
                <w:szCs w:val="19"/>
              </w:rPr>
            </w:pPr>
            <w:r w:rsidRPr="001E36F7">
              <w:rPr>
                <w:rFonts w:cs="Arial"/>
                <w:b/>
                <w:sz w:val="19"/>
                <w:szCs w:val="19"/>
              </w:rPr>
              <w:t>Median (IQR)</w:t>
            </w:r>
          </w:p>
        </w:tc>
        <w:tc>
          <w:tcPr>
            <w:tcW w:w="1154" w:type="dxa"/>
            <w:tcBorders>
              <w:top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b/>
                <w:sz w:val="19"/>
                <w:szCs w:val="19"/>
              </w:rPr>
            </w:pPr>
            <w:r w:rsidRPr="001E36F7">
              <w:rPr>
                <w:rFonts w:cs="Arial"/>
                <w:b/>
                <w:sz w:val="19"/>
                <w:szCs w:val="19"/>
              </w:rPr>
              <w:t>n</w:t>
            </w:r>
          </w:p>
        </w:tc>
        <w:tc>
          <w:tcPr>
            <w:tcW w:w="1154" w:type="dxa"/>
            <w:tcBorders>
              <w:top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b/>
                <w:sz w:val="19"/>
                <w:szCs w:val="19"/>
              </w:rPr>
            </w:pPr>
            <w:r w:rsidRPr="001E36F7">
              <w:rPr>
                <w:rFonts w:cs="Arial"/>
                <w:b/>
                <w:sz w:val="19"/>
                <w:szCs w:val="19"/>
              </w:rPr>
              <w:t>p-value</w:t>
            </w:r>
          </w:p>
        </w:tc>
      </w:tr>
      <w:tr w:rsidR="00F540F4" w:rsidRPr="00A32601" w:rsidTr="00F540F4">
        <w:tc>
          <w:tcPr>
            <w:tcW w:w="1791" w:type="dxa"/>
            <w:tcBorders>
              <w:top w:val="single" w:sz="4" w:space="0" w:color="auto"/>
            </w:tcBorders>
          </w:tcPr>
          <w:p w:rsidR="00F540F4" w:rsidRPr="001E36F7" w:rsidRDefault="00F540F4" w:rsidP="00F540F4">
            <w:pPr>
              <w:autoSpaceDE w:val="0"/>
              <w:autoSpaceDN w:val="0"/>
              <w:adjustRightInd w:val="0"/>
              <w:spacing w:line="276" w:lineRule="auto"/>
              <w:ind w:left="60" w:right="60"/>
              <w:rPr>
                <w:rFonts w:cs="Arial"/>
                <w:b/>
                <w:sz w:val="19"/>
                <w:szCs w:val="19"/>
              </w:rPr>
            </w:pPr>
            <w:r w:rsidRPr="001E36F7">
              <w:rPr>
                <w:rFonts w:cs="Arial"/>
                <w:b/>
                <w:sz w:val="19"/>
                <w:szCs w:val="19"/>
              </w:rPr>
              <w:t>Total Difficulties</w:t>
            </w:r>
          </w:p>
        </w:tc>
        <w:tc>
          <w:tcPr>
            <w:tcW w:w="1153" w:type="dxa"/>
            <w:tcBorders>
              <w:top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10.5 (5.7)</w:t>
            </w:r>
          </w:p>
        </w:tc>
        <w:tc>
          <w:tcPr>
            <w:tcW w:w="1400" w:type="dxa"/>
            <w:tcBorders>
              <w:top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10 (6-14)</w:t>
            </w:r>
          </w:p>
        </w:tc>
        <w:tc>
          <w:tcPr>
            <w:tcW w:w="1153" w:type="dxa"/>
            <w:tcBorders>
              <w:top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2436</w:t>
            </w:r>
          </w:p>
        </w:tc>
        <w:tc>
          <w:tcPr>
            <w:tcW w:w="1152" w:type="dxa"/>
            <w:tcBorders>
              <w:top w:val="single" w:sz="4" w:space="0" w:color="auto"/>
              <w:lef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11.6 (5.9)</w:t>
            </w:r>
          </w:p>
        </w:tc>
        <w:tc>
          <w:tcPr>
            <w:tcW w:w="1386" w:type="dxa"/>
            <w:tcBorders>
              <w:top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11 (7-15)</w:t>
            </w:r>
          </w:p>
        </w:tc>
        <w:tc>
          <w:tcPr>
            <w:tcW w:w="1154" w:type="dxa"/>
            <w:tcBorders>
              <w:top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2820</w:t>
            </w:r>
          </w:p>
        </w:tc>
        <w:tc>
          <w:tcPr>
            <w:tcW w:w="1154" w:type="dxa"/>
            <w:tcBorders>
              <w:top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&lt;0.001</w:t>
            </w:r>
          </w:p>
        </w:tc>
      </w:tr>
      <w:tr w:rsidR="00F540F4" w:rsidRPr="00A32601" w:rsidTr="00F540F4">
        <w:tc>
          <w:tcPr>
            <w:tcW w:w="1791" w:type="dxa"/>
          </w:tcPr>
          <w:p w:rsidR="00F540F4" w:rsidRPr="001E36F7" w:rsidRDefault="00F540F4" w:rsidP="00F540F4">
            <w:pPr>
              <w:autoSpaceDE w:val="0"/>
              <w:autoSpaceDN w:val="0"/>
              <w:adjustRightInd w:val="0"/>
              <w:spacing w:line="276" w:lineRule="auto"/>
              <w:ind w:left="60" w:right="60"/>
              <w:rPr>
                <w:rFonts w:cs="Arial"/>
                <w:b/>
                <w:sz w:val="19"/>
                <w:szCs w:val="19"/>
              </w:rPr>
            </w:pPr>
            <w:r w:rsidRPr="001E36F7">
              <w:rPr>
                <w:rFonts w:cs="Arial"/>
                <w:b/>
                <w:sz w:val="19"/>
                <w:szCs w:val="19"/>
              </w:rPr>
              <w:t>Emotion</w:t>
            </w:r>
          </w:p>
        </w:tc>
        <w:tc>
          <w:tcPr>
            <w:tcW w:w="1153"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2.5 (2.1)</w:t>
            </w:r>
          </w:p>
        </w:tc>
        <w:tc>
          <w:tcPr>
            <w:tcW w:w="1400"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 (1-4)</w:t>
            </w:r>
          </w:p>
        </w:tc>
        <w:tc>
          <w:tcPr>
            <w:tcW w:w="1153"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2438</w:t>
            </w:r>
          </w:p>
        </w:tc>
        <w:tc>
          <w:tcPr>
            <w:tcW w:w="115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4.3 (2.5)</w:t>
            </w:r>
          </w:p>
        </w:tc>
        <w:tc>
          <w:tcPr>
            <w:tcW w:w="1386"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4 (2-6)</w:t>
            </w:r>
          </w:p>
        </w:tc>
        <w:tc>
          <w:tcPr>
            <w:tcW w:w="1154"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2824</w:t>
            </w:r>
          </w:p>
        </w:tc>
        <w:tc>
          <w:tcPr>
            <w:tcW w:w="1154"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&lt;0.001</w:t>
            </w:r>
          </w:p>
        </w:tc>
      </w:tr>
      <w:tr w:rsidR="00F540F4" w:rsidRPr="00A32601" w:rsidTr="00F540F4">
        <w:tc>
          <w:tcPr>
            <w:tcW w:w="1791" w:type="dxa"/>
          </w:tcPr>
          <w:p w:rsidR="00F540F4" w:rsidRPr="001E36F7" w:rsidRDefault="00F540F4" w:rsidP="00F540F4">
            <w:pPr>
              <w:autoSpaceDE w:val="0"/>
              <w:autoSpaceDN w:val="0"/>
              <w:adjustRightInd w:val="0"/>
              <w:spacing w:line="276" w:lineRule="auto"/>
              <w:ind w:left="60" w:right="60"/>
              <w:rPr>
                <w:rFonts w:cs="Arial"/>
                <w:b/>
                <w:sz w:val="19"/>
                <w:szCs w:val="19"/>
              </w:rPr>
            </w:pPr>
            <w:r w:rsidRPr="001E36F7">
              <w:rPr>
                <w:rFonts w:cs="Arial"/>
                <w:b/>
                <w:sz w:val="19"/>
                <w:szCs w:val="19"/>
              </w:rPr>
              <w:t>Conduct</w:t>
            </w:r>
          </w:p>
        </w:tc>
        <w:tc>
          <w:tcPr>
            <w:tcW w:w="1153"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2.0 (1.8)</w:t>
            </w:r>
          </w:p>
        </w:tc>
        <w:tc>
          <w:tcPr>
            <w:tcW w:w="1400"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 (1-3)</w:t>
            </w:r>
          </w:p>
        </w:tc>
        <w:tc>
          <w:tcPr>
            <w:tcW w:w="1153"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2437</w:t>
            </w:r>
          </w:p>
        </w:tc>
        <w:tc>
          <w:tcPr>
            <w:tcW w:w="115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1.5 (1.6)</w:t>
            </w:r>
          </w:p>
        </w:tc>
        <w:tc>
          <w:tcPr>
            <w:tcW w:w="1386"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1 (0-2)</w:t>
            </w:r>
          </w:p>
        </w:tc>
        <w:tc>
          <w:tcPr>
            <w:tcW w:w="1154"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2823</w:t>
            </w:r>
          </w:p>
        </w:tc>
        <w:tc>
          <w:tcPr>
            <w:tcW w:w="1154"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color w:val="010205"/>
                <w:sz w:val="19"/>
                <w:szCs w:val="19"/>
              </w:rPr>
              <w:t>&lt;0.001</w:t>
            </w:r>
          </w:p>
        </w:tc>
      </w:tr>
      <w:tr w:rsidR="00F540F4" w:rsidRPr="00A32601" w:rsidTr="00F540F4">
        <w:tc>
          <w:tcPr>
            <w:tcW w:w="1791" w:type="dxa"/>
          </w:tcPr>
          <w:p w:rsidR="00F540F4" w:rsidRPr="001E36F7" w:rsidRDefault="00F540F4" w:rsidP="00F540F4">
            <w:pPr>
              <w:autoSpaceDE w:val="0"/>
              <w:autoSpaceDN w:val="0"/>
              <w:adjustRightInd w:val="0"/>
              <w:spacing w:line="276" w:lineRule="auto"/>
              <w:ind w:left="60" w:right="60"/>
              <w:rPr>
                <w:rFonts w:cs="Arial"/>
                <w:b/>
                <w:sz w:val="19"/>
                <w:szCs w:val="19"/>
              </w:rPr>
            </w:pPr>
            <w:r w:rsidRPr="001E36F7">
              <w:rPr>
                <w:rFonts w:cs="Arial"/>
                <w:b/>
                <w:sz w:val="19"/>
                <w:szCs w:val="19"/>
              </w:rPr>
              <w:t>Hyperactivity</w:t>
            </w:r>
          </w:p>
        </w:tc>
        <w:tc>
          <w:tcPr>
            <w:tcW w:w="1153"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4.2 (2.5)</w:t>
            </w:r>
          </w:p>
        </w:tc>
        <w:tc>
          <w:tcPr>
            <w:tcW w:w="1400"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4 (2-6)</w:t>
            </w:r>
          </w:p>
        </w:tc>
        <w:tc>
          <w:tcPr>
            <w:tcW w:w="1153"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2437</w:t>
            </w:r>
          </w:p>
        </w:tc>
        <w:tc>
          <w:tcPr>
            <w:tcW w:w="115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3.9 (2.5)</w:t>
            </w:r>
          </w:p>
        </w:tc>
        <w:tc>
          <w:tcPr>
            <w:tcW w:w="1386"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4 (2-5)</w:t>
            </w:r>
          </w:p>
        </w:tc>
        <w:tc>
          <w:tcPr>
            <w:tcW w:w="1154"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2823</w:t>
            </w:r>
          </w:p>
        </w:tc>
        <w:tc>
          <w:tcPr>
            <w:tcW w:w="1154"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0.004</w:t>
            </w:r>
          </w:p>
        </w:tc>
      </w:tr>
      <w:tr w:rsidR="00F540F4" w:rsidRPr="00A32601" w:rsidTr="00F540F4">
        <w:tc>
          <w:tcPr>
            <w:tcW w:w="1791" w:type="dxa"/>
          </w:tcPr>
          <w:p w:rsidR="00F540F4" w:rsidRPr="001E36F7" w:rsidRDefault="00F540F4" w:rsidP="00F540F4">
            <w:pPr>
              <w:autoSpaceDE w:val="0"/>
              <w:autoSpaceDN w:val="0"/>
              <w:adjustRightInd w:val="0"/>
              <w:spacing w:line="276" w:lineRule="auto"/>
              <w:ind w:left="60" w:right="60"/>
              <w:rPr>
                <w:rFonts w:cs="Arial"/>
                <w:b/>
                <w:sz w:val="19"/>
                <w:szCs w:val="19"/>
              </w:rPr>
            </w:pPr>
            <w:r w:rsidRPr="001E36F7">
              <w:rPr>
                <w:rFonts w:cs="Arial"/>
                <w:b/>
                <w:sz w:val="19"/>
                <w:szCs w:val="19"/>
              </w:rPr>
              <w:t>Peer Problems</w:t>
            </w:r>
          </w:p>
        </w:tc>
        <w:tc>
          <w:tcPr>
            <w:tcW w:w="1153"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1.8 (1.6)</w:t>
            </w:r>
          </w:p>
        </w:tc>
        <w:tc>
          <w:tcPr>
            <w:tcW w:w="1400"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1 (1-3)</w:t>
            </w:r>
          </w:p>
        </w:tc>
        <w:tc>
          <w:tcPr>
            <w:tcW w:w="1153"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2438</w:t>
            </w:r>
          </w:p>
        </w:tc>
        <w:tc>
          <w:tcPr>
            <w:tcW w:w="115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1.8 (1.7)</w:t>
            </w:r>
          </w:p>
        </w:tc>
        <w:tc>
          <w:tcPr>
            <w:tcW w:w="1386"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1 (1-3)</w:t>
            </w:r>
          </w:p>
        </w:tc>
        <w:tc>
          <w:tcPr>
            <w:tcW w:w="1154"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2821</w:t>
            </w:r>
          </w:p>
        </w:tc>
        <w:tc>
          <w:tcPr>
            <w:tcW w:w="1154"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0.976</w:t>
            </w:r>
          </w:p>
        </w:tc>
      </w:tr>
      <w:tr w:rsidR="00F540F4" w:rsidRPr="00A32601" w:rsidTr="00F540F4">
        <w:tc>
          <w:tcPr>
            <w:tcW w:w="1791" w:type="dxa"/>
          </w:tcPr>
          <w:p w:rsidR="00F540F4" w:rsidRPr="001E36F7" w:rsidRDefault="00F540F4" w:rsidP="00F540F4">
            <w:pPr>
              <w:autoSpaceDE w:val="0"/>
              <w:autoSpaceDN w:val="0"/>
              <w:adjustRightInd w:val="0"/>
              <w:spacing w:line="276" w:lineRule="auto"/>
              <w:ind w:left="60" w:right="60"/>
              <w:rPr>
                <w:rFonts w:cs="Arial"/>
                <w:b/>
                <w:sz w:val="19"/>
                <w:szCs w:val="19"/>
              </w:rPr>
            </w:pPr>
            <w:r w:rsidRPr="001E36F7">
              <w:rPr>
                <w:rFonts w:cs="Arial"/>
                <w:b/>
                <w:sz w:val="19"/>
                <w:szCs w:val="19"/>
              </w:rPr>
              <w:t>Prosocial</w:t>
            </w:r>
          </w:p>
        </w:tc>
        <w:tc>
          <w:tcPr>
            <w:tcW w:w="1153"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6.4 (2.0)</w:t>
            </w:r>
          </w:p>
        </w:tc>
        <w:tc>
          <w:tcPr>
            <w:tcW w:w="1400"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6 (5-8)</w:t>
            </w:r>
          </w:p>
        </w:tc>
        <w:tc>
          <w:tcPr>
            <w:tcW w:w="1153"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2439</w:t>
            </w:r>
          </w:p>
        </w:tc>
        <w:tc>
          <w:tcPr>
            <w:tcW w:w="115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7.6 (1.7)</w:t>
            </w:r>
          </w:p>
        </w:tc>
        <w:tc>
          <w:tcPr>
            <w:tcW w:w="1386"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8 (7-9)</w:t>
            </w:r>
          </w:p>
        </w:tc>
        <w:tc>
          <w:tcPr>
            <w:tcW w:w="1154"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2827</w:t>
            </w:r>
          </w:p>
        </w:tc>
        <w:tc>
          <w:tcPr>
            <w:tcW w:w="1154"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&lt;0.001</w:t>
            </w:r>
          </w:p>
        </w:tc>
      </w:tr>
      <w:tr w:rsidR="00F540F4" w:rsidRPr="00A32601" w:rsidTr="00F540F4">
        <w:tc>
          <w:tcPr>
            <w:tcW w:w="1791" w:type="dxa"/>
          </w:tcPr>
          <w:p w:rsidR="00F540F4" w:rsidRPr="001E36F7" w:rsidRDefault="00F540F4" w:rsidP="00F540F4">
            <w:pPr>
              <w:autoSpaceDE w:val="0"/>
              <w:autoSpaceDN w:val="0"/>
              <w:adjustRightInd w:val="0"/>
              <w:spacing w:line="276" w:lineRule="auto"/>
              <w:ind w:left="60" w:right="60"/>
              <w:rPr>
                <w:rFonts w:cs="Arial"/>
                <w:b/>
                <w:sz w:val="19"/>
                <w:szCs w:val="19"/>
              </w:rPr>
            </w:pPr>
            <w:r w:rsidRPr="001E36F7">
              <w:rPr>
                <w:rFonts w:cs="Arial"/>
                <w:b/>
                <w:sz w:val="19"/>
                <w:szCs w:val="19"/>
              </w:rPr>
              <w:t>Impact</w:t>
            </w:r>
          </w:p>
        </w:tc>
        <w:tc>
          <w:tcPr>
            <w:tcW w:w="1153"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0.5 (1.2)</w:t>
            </w:r>
          </w:p>
        </w:tc>
        <w:tc>
          <w:tcPr>
            <w:tcW w:w="1400"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0 (0-0)</w:t>
            </w:r>
          </w:p>
        </w:tc>
        <w:tc>
          <w:tcPr>
            <w:tcW w:w="1153" w:type="dxa"/>
            <w:tcBorders>
              <w:bottom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2397</w:t>
            </w:r>
          </w:p>
        </w:tc>
        <w:tc>
          <w:tcPr>
            <w:tcW w:w="115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1.0 (1.7)</w:t>
            </w:r>
          </w:p>
        </w:tc>
        <w:tc>
          <w:tcPr>
            <w:tcW w:w="1386"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0 (0-1)</w:t>
            </w:r>
          </w:p>
        </w:tc>
        <w:tc>
          <w:tcPr>
            <w:tcW w:w="1154"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2793</w:t>
            </w:r>
          </w:p>
        </w:tc>
        <w:tc>
          <w:tcPr>
            <w:tcW w:w="1154" w:type="dxa"/>
          </w:tcPr>
          <w:p w:rsidR="00F540F4" w:rsidRPr="001E36F7" w:rsidRDefault="00F540F4" w:rsidP="00F540F4">
            <w:pPr>
              <w:autoSpaceDE w:val="0"/>
              <w:autoSpaceDN w:val="0"/>
              <w:adjustRightInd w:val="0"/>
              <w:spacing w:line="276" w:lineRule="auto"/>
              <w:ind w:left="60" w:right="60"/>
              <w:jc w:val="center"/>
              <w:rPr>
                <w:rFonts w:cs="Arial"/>
                <w:sz w:val="19"/>
                <w:szCs w:val="19"/>
              </w:rPr>
            </w:pPr>
            <w:r w:rsidRPr="001E36F7">
              <w:rPr>
                <w:rFonts w:cs="Arial"/>
                <w:sz w:val="19"/>
                <w:szCs w:val="19"/>
              </w:rPr>
              <w:t>&lt;0.001</w:t>
            </w:r>
          </w:p>
        </w:tc>
      </w:tr>
    </w:tbl>
    <w:p w:rsidR="00F540F4" w:rsidRDefault="00F540F4" w:rsidP="00F540F4">
      <w:pPr>
        <w:autoSpaceDE w:val="0"/>
        <w:autoSpaceDN w:val="0"/>
        <w:adjustRightInd w:val="0"/>
      </w:pPr>
    </w:p>
    <w:p w:rsidR="00F540F4" w:rsidRDefault="00F540F4" w:rsidP="00F540F4">
      <w:pPr>
        <w:autoSpaceDE w:val="0"/>
        <w:autoSpaceDN w:val="0"/>
        <w:adjustRightInd w:val="0"/>
      </w:pPr>
    </w:p>
    <w:p w:rsidR="0025086A" w:rsidRDefault="0025086A" w:rsidP="00F540F4">
      <w:pPr>
        <w:autoSpaceDE w:val="0"/>
        <w:autoSpaceDN w:val="0"/>
        <w:adjustRightInd w:val="0"/>
        <w:rPr>
          <w:b/>
        </w:rPr>
      </w:pPr>
    </w:p>
    <w:p w:rsidR="00F540F4" w:rsidRDefault="00F540F4" w:rsidP="00F540F4">
      <w:pPr>
        <w:autoSpaceDE w:val="0"/>
        <w:autoSpaceDN w:val="0"/>
        <w:adjustRightInd w:val="0"/>
        <w:rPr>
          <w:b/>
        </w:rPr>
      </w:pPr>
      <w:r w:rsidRPr="00044D29">
        <w:rPr>
          <w:b/>
        </w:rPr>
        <w:t>Overall scores</w:t>
      </w:r>
    </w:p>
    <w:p w:rsidR="0025086A" w:rsidRPr="00044D29" w:rsidRDefault="0025086A" w:rsidP="00F540F4">
      <w:pPr>
        <w:autoSpaceDE w:val="0"/>
        <w:autoSpaceDN w:val="0"/>
        <w:adjustRightInd w:val="0"/>
        <w:rPr>
          <w:b/>
        </w:rPr>
      </w:pPr>
    </w:p>
    <w:p w:rsidR="00F540F4" w:rsidRDefault="00F540F4" w:rsidP="0025086A">
      <w:pPr>
        <w:autoSpaceDE w:val="0"/>
        <w:autoSpaceDN w:val="0"/>
        <w:adjustRightInd w:val="0"/>
        <w:spacing w:line="276" w:lineRule="auto"/>
        <w:jc w:val="both"/>
      </w:pPr>
      <w:r>
        <w:t>Table 2 shows the summary of the pupil scores for the self-completed SDQ (Goodman et al., 2000). Overall, 9.4% (95% confidence interval [CI] = [8.7%, 10.1%]) scored ‘very high’ on total difficulties. This score combines responses on each of the difficulty subscales (emotional, conduct, hyperactivity and peer problems). This shows that 1 in 10 pupils score ‘very high’ for total difficulties on the SDQ, which could suggest they are at a higher risk for developing a mental disorder. 15% of all pupils scored within the ‘very high’ and ‘high’ ranges for total difficulties on the SDQ.</w:t>
      </w:r>
    </w:p>
    <w:p w:rsidR="00F540F4" w:rsidRDefault="00F540F4" w:rsidP="0025086A">
      <w:pPr>
        <w:autoSpaceDE w:val="0"/>
        <w:autoSpaceDN w:val="0"/>
        <w:adjustRightInd w:val="0"/>
        <w:spacing w:line="276" w:lineRule="auto"/>
        <w:jc w:val="both"/>
      </w:pPr>
    </w:p>
    <w:p w:rsidR="00F540F4" w:rsidRDefault="00F540F4" w:rsidP="0025086A">
      <w:pPr>
        <w:autoSpaceDE w:val="0"/>
        <w:autoSpaceDN w:val="0"/>
        <w:adjustRightInd w:val="0"/>
        <w:spacing w:line="276" w:lineRule="auto"/>
        <w:jc w:val="both"/>
      </w:pPr>
      <w:r>
        <w:t>There was a high percentage of pupils scoring ‘very high’ on the emotional subscale (14%).</w:t>
      </w:r>
      <w:r w:rsidR="0025086A">
        <w:t xml:space="preserve"> </w:t>
      </w:r>
      <w:r>
        <w:t>There was a low percentage of pupils scoring within the ‘very high’ range on the conduct subscale (4%), with a higher proportion of pupils scoring within the ‘average’ range for this subscale (84%).</w:t>
      </w:r>
    </w:p>
    <w:p w:rsidR="00F540F4" w:rsidRDefault="00F540F4" w:rsidP="00F540F4">
      <w:pPr>
        <w:autoSpaceDE w:val="0"/>
        <w:autoSpaceDN w:val="0"/>
        <w:adjustRightInd w:val="0"/>
      </w:pPr>
    </w:p>
    <w:p w:rsidR="0025086A" w:rsidRDefault="0025086A" w:rsidP="00F540F4">
      <w:pPr>
        <w:autoSpaceDE w:val="0"/>
        <w:autoSpaceDN w:val="0"/>
        <w:adjustRightInd w:val="0"/>
        <w:rPr>
          <w:b/>
        </w:rPr>
      </w:pPr>
    </w:p>
    <w:p w:rsidR="0025086A" w:rsidRDefault="0025086A" w:rsidP="00F540F4">
      <w:pPr>
        <w:autoSpaceDE w:val="0"/>
        <w:autoSpaceDN w:val="0"/>
        <w:adjustRightInd w:val="0"/>
        <w:rPr>
          <w:b/>
        </w:rPr>
      </w:pPr>
    </w:p>
    <w:p w:rsidR="0025086A" w:rsidRDefault="0025086A" w:rsidP="00F540F4">
      <w:pPr>
        <w:autoSpaceDE w:val="0"/>
        <w:autoSpaceDN w:val="0"/>
        <w:adjustRightInd w:val="0"/>
        <w:rPr>
          <w:b/>
        </w:rPr>
      </w:pPr>
    </w:p>
    <w:p w:rsidR="00F540F4" w:rsidRDefault="00F540F4" w:rsidP="00F540F4">
      <w:pPr>
        <w:autoSpaceDE w:val="0"/>
        <w:autoSpaceDN w:val="0"/>
        <w:adjustRightInd w:val="0"/>
        <w:rPr>
          <w:b/>
        </w:rPr>
      </w:pPr>
      <w:r w:rsidRPr="00044D29">
        <w:rPr>
          <w:b/>
        </w:rPr>
        <w:t>Gender</w:t>
      </w:r>
    </w:p>
    <w:p w:rsidR="0025086A" w:rsidRPr="00044D29" w:rsidRDefault="0025086A" w:rsidP="00F540F4">
      <w:pPr>
        <w:autoSpaceDE w:val="0"/>
        <w:autoSpaceDN w:val="0"/>
        <w:adjustRightInd w:val="0"/>
        <w:rPr>
          <w:b/>
        </w:rPr>
      </w:pPr>
    </w:p>
    <w:p w:rsidR="00F540F4" w:rsidRDefault="00F540F4" w:rsidP="0025086A">
      <w:pPr>
        <w:autoSpaceDE w:val="0"/>
        <w:autoSpaceDN w:val="0"/>
        <w:adjustRightInd w:val="0"/>
        <w:spacing w:line="276" w:lineRule="auto"/>
        <w:jc w:val="both"/>
      </w:pPr>
      <w:r>
        <w:t>Results from a Mann–Whitney test are presented in Table 3. These results show that there were statistically significant differences between males and females for all subscales except peer problems.</w:t>
      </w:r>
    </w:p>
    <w:p w:rsidR="00F540F4" w:rsidRDefault="00F540F4" w:rsidP="0025086A">
      <w:pPr>
        <w:autoSpaceDE w:val="0"/>
        <w:autoSpaceDN w:val="0"/>
        <w:adjustRightInd w:val="0"/>
        <w:spacing w:line="276" w:lineRule="auto"/>
        <w:jc w:val="both"/>
      </w:pPr>
    </w:p>
    <w:p w:rsidR="00F540F4" w:rsidRDefault="00F540F4" w:rsidP="0025086A">
      <w:pPr>
        <w:autoSpaceDE w:val="0"/>
        <w:autoSpaceDN w:val="0"/>
        <w:adjustRightInd w:val="0"/>
        <w:spacing w:line="276" w:lineRule="auto"/>
        <w:jc w:val="both"/>
      </w:pPr>
      <w:r>
        <w:t xml:space="preserve">Table 4 shows that females were more likely to have very high scores than males for total difficulties (10% vs 7%), emotional difficulties (21% vs 6%) and impact scores (15% vs 7%). </w:t>
      </w:r>
    </w:p>
    <w:p w:rsidR="00F540F4" w:rsidRDefault="00F540F4" w:rsidP="00F540F4">
      <w:pPr>
        <w:autoSpaceDE w:val="0"/>
        <w:autoSpaceDN w:val="0"/>
        <w:adjustRightInd w:val="0"/>
      </w:pPr>
    </w:p>
    <w:p w:rsidR="0025086A" w:rsidRDefault="0025086A" w:rsidP="00F540F4">
      <w:pPr>
        <w:pStyle w:val="Caption"/>
        <w:rPr>
          <w:iCs w:val="0"/>
          <w:color w:val="auto"/>
          <w:sz w:val="22"/>
        </w:rPr>
      </w:pPr>
    </w:p>
    <w:p w:rsidR="00F540F4" w:rsidRPr="00FF6E1C" w:rsidRDefault="00F540F4" w:rsidP="00F540F4">
      <w:pPr>
        <w:pStyle w:val="Caption"/>
        <w:rPr>
          <w:iCs w:val="0"/>
          <w:color w:val="auto"/>
          <w:sz w:val="22"/>
        </w:rPr>
      </w:pPr>
      <w:r w:rsidRPr="00FF6E1C">
        <w:rPr>
          <w:iCs w:val="0"/>
          <w:color w:val="auto"/>
          <w:sz w:val="22"/>
        </w:rPr>
        <w:t xml:space="preserve">Table </w:t>
      </w:r>
      <w:r w:rsidRPr="00FF6E1C">
        <w:rPr>
          <w:iCs w:val="0"/>
          <w:color w:val="auto"/>
          <w:sz w:val="22"/>
        </w:rPr>
        <w:fldChar w:fldCharType="begin"/>
      </w:r>
      <w:r w:rsidRPr="00FF6E1C">
        <w:rPr>
          <w:iCs w:val="0"/>
          <w:color w:val="auto"/>
          <w:sz w:val="22"/>
        </w:rPr>
        <w:instrText xml:space="preserve"> SEQ Table \* ARABIC </w:instrText>
      </w:r>
      <w:r w:rsidRPr="00FF6E1C">
        <w:rPr>
          <w:iCs w:val="0"/>
          <w:color w:val="auto"/>
          <w:sz w:val="22"/>
        </w:rPr>
        <w:fldChar w:fldCharType="separate"/>
      </w:r>
      <w:r>
        <w:rPr>
          <w:iCs w:val="0"/>
          <w:noProof/>
          <w:color w:val="auto"/>
          <w:sz w:val="22"/>
        </w:rPr>
        <w:t>4</w:t>
      </w:r>
      <w:r w:rsidRPr="00FF6E1C">
        <w:rPr>
          <w:iCs w:val="0"/>
          <w:color w:val="auto"/>
          <w:sz w:val="22"/>
        </w:rPr>
        <w:fldChar w:fldCharType="end"/>
      </w:r>
      <w:r w:rsidRPr="00FF6E1C">
        <w:rPr>
          <w:iCs w:val="0"/>
          <w:color w:val="auto"/>
          <w:sz w:val="22"/>
        </w:rPr>
        <w:t>: Categories by gender</w:t>
      </w:r>
    </w:p>
    <w:tbl>
      <w:tblPr>
        <w:tblW w:w="9615" w:type="dxa"/>
        <w:tblInd w:w="-176" w:type="dxa"/>
        <w:tblBorders>
          <w:top w:val="single" w:sz="4" w:space="0" w:color="auto"/>
          <w:bottom w:val="single" w:sz="4" w:space="0" w:color="auto"/>
        </w:tblBorders>
        <w:tblLook w:val="04A0" w:firstRow="1" w:lastRow="0" w:firstColumn="1" w:lastColumn="0" w:noHBand="0" w:noVBand="1"/>
      </w:tblPr>
      <w:tblGrid>
        <w:gridCol w:w="1605"/>
        <w:gridCol w:w="1195"/>
        <w:gridCol w:w="1415"/>
        <w:gridCol w:w="1622"/>
        <w:gridCol w:w="1348"/>
        <w:gridCol w:w="1350"/>
        <w:gridCol w:w="1080"/>
      </w:tblGrid>
      <w:tr w:rsidR="00F540F4" w:rsidRPr="001E36F7" w:rsidTr="00F540F4">
        <w:trPr>
          <w:trHeight w:val="255"/>
        </w:trPr>
        <w:tc>
          <w:tcPr>
            <w:tcW w:w="1605" w:type="dxa"/>
            <w:tcBorders>
              <w:top w:val="single" w:sz="4" w:space="0" w:color="auto"/>
              <w:bottom w:val="single" w:sz="4" w:space="0" w:color="auto"/>
            </w:tcBorders>
            <w:shd w:val="clear" w:color="auto" w:fill="auto"/>
            <w:noWrap/>
            <w:vAlign w:val="bottom"/>
            <w:hideMark/>
          </w:tcPr>
          <w:p w:rsidR="00F540F4" w:rsidRPr="001E36F7" w:rsidRDefault="00F540F4" w:rsidP="00F540F4">
            <w:pPr>
              <w:rPr>
                <w:sz w:val="20"/>
                <w:szCs w:val="20"/>
              </w:rPr>
            </w:pPr>
          </w:p>
        </w:tc>
        <w:tc>
          <w:tcPr>
            <w:tcW w:w="1195" w:type="dxa"/>
            <w:tcBorders>
              <w:top w:val="single" w:sz="4" w:space="0" w:color="auto"/>
              <w:bottom w:val="single" w:sz="4" w:space="0" w:color="auto"/>
            </w:tcBorders>
            <w:shd w:val="clear" w:color="auto" w:fill="auto"/>
            <w:noWrap/>
            <w:vAlign w:val="bottom"/>
            <w:hideMark/>
          </w:tcPr>
          <w:p w:rsidR="00F540F4" w:rsidRPr="001E36F7" w:rsidRDefault="00F540F4" w:rsidP="00F540F4">
            <w:pPr>
              <w:rPr>
                <w:b/>
                <w:color w:val="000000"/>
                <w:sz w:val="20"/>
                <w:szCs w:val="20"/>
              </w:rPr>
            </w:pPr>
            <w:r w:rsidRPr="001E36F7">
              <w:rPr>
                <w:b/>
                <w:color w:val="000000"/>
                <w:sz w:val="20"/>
                <w:szCs w:val="20"/>
              </w:rPr>
              <w:t>Gender</w:t>
            </w:r>
          </w:p>
        </w:tc>
        <w:tc>
          <w:tcPr>
            <w:tcW w:w="1415" w:type="dxa"/>
            <w:tcBorders>
              <w:top w:val="single" w:sz="4" w:space="0" w:color="auto"/>
              <w:bottom w:val="single" w:sz="4" w:space="0" w:color="auto"/>
            </w:tcBorders>
            <w:shd w:val="clear" w:color="auto" w:fill="auto"/>
            <w:noWrap/>
            <w:vAlign w:val="bottom"/>
            <w:hideMark/>
          </w:tcPr>
          <w:p w:rsidR="00F540F4" w:rsidRPr="001E36F7" w:rsidRDefault="00F540F4" w:rsidP="00F540F4">
            <w:pPr>
              <w:jc w:val="center"/>
              <w:rPr>
                <w:b/>
                <w:color w:val="000000"/>
                <w:sz w:val="20"/>
                <w:szCs w:val="20"/>
              </w:rPr>
            </w:pPr>
            <w:r w:rsidRPr="001E36F7">
              <w:rPr>
                <w:b/>
                <w:color w:val="000000"/>
                <w:sz w:val="20"/>
                <w:szCs w:val="20"/>
              </w:rPr>
              <w:t>Average</w:t>
            </w:r>
          </w:p>
        </w:tc>
        <w:tc>
          <w:tcPr>
            <w:tcW w:w="1622" w:type="dxa"/>
            <w:tcBorders>
              <w:top w:val="single" w:sz="4" w:space="0" w:color="auto"/>
              <w:bottom w:val="single" w:sz="4" w:space="0" w:color="auto"/>
            </w:tcBorders>
            <w:shd w:val="clear" w:color="auto" w:fill="auto"/>
            <w:noWrap/>
            <w:vAlign w:val="bottom"/>
            <w:hideMark/>
          </w:tcPr>
          <w:p w:rsidR="00F540F4" w:rsidRPr="001E36F7" w:rsidRDefault="00F540F4" w:rsidP="00F540F4">
            <w:pPr>
              <w:jc w:val="center"/>
              <w:rPr>
                <w:b/>
                <w:color w:val="000000"/>
                <w:sz w:val="20"/>
                <w:szCs w:val="20"/>
              </w:rPr>
            </w:pPr>
            <w:r w:rsidRPr="001E36F7">
              <w:rPr>
                <w:b/>
                <w:color w:val="000000"/>
                <w:sz w:val="20"/>
                <w:szCs w:val="20"/>
              </w:rPr>
              <w:t>Slightly raised</w:t>
            </w:r>
          </w:p>
        </w:tc>
        <w:tc>
          <w:tcPr>
            <w:tcW w:w="1348" w:type="dxa"/>
            <w:tcBorders>
              <w:top w:val="single" w:sz="4" w:space="0" w:color="auto"/>
              <w:bottom w:val="single" w:sz="4" w:space="0" w:color="auto"/>
            </w:tcBorders>
            <w:shd w:val="clear" w:color="auto" w:fill="auto"/>
            <w:noWrap/>
            <w:vAlign w:val="bottom"/>
            <w:hideMark/>
          </w:tcPr>
          <w:p w:rsidR="00F540F4" w:rsidRPr="001E36F7" w:rsidRDefault="00F540F4" w:rsidP="00F540F4">
            <w:pPr>
              <w:jc w:val="center"/>
              <w:rPr>
                <w:b/>
                <w:color w:val="000000"/>
                <w:sz w:val="20"/>
                <w:szCs w:val="20"/>
              </w:rPr>
            </w:pPr>
            <w:r w:rsidRPr="001E36F7">
              <w:rPr>
                <w:b/>
                <w:color w:val="000000"/>
                <w:sz w:val="20"/>
                <w:szCs w:val="20"/>
              </w:rPr>
              <w:t>High</w:t>
            </w:r>
          </w:p>
        </w:tc>
        <w:tc>
          <w:tcPr>
            <w:tcW w:w="1350" w:type="dxa"/>
            <w:tcBorders>
              <w:top w:val="single" w:sz="4" w:space="0" w:color="auto"/>
              <w:bottom w:val="single" w:sz="4" w:space="0" w:color="auto"/>
            </w:tcBorders>
            <w:shd w:val="clear" w:color="auto" w:fill="auto"/>
            <w:noWrap/>
            <w:vAlign w:val="bottom"/>
            <w:hideMark/>
          </w:tcPr>
          <w:p w:rsidR="00F540F4" w:rsidRPr="001E36F7" w:rsidRDefault="00F540F4" w:rsidP="00F540F4">
            <w:pPr>
              <w:jc w:val="center"/>
              <w:rPr>
                <w:b/>
                <w:color w:val="000000"/>
                <w:sz w:val="20"/>
                <w:szCs w:val="20"/>
              </w:rPr>
            </w:pPr>
            <w:r w:rsidRPr="001E36F7">
              <w:rPr>
                <w:b/>
                <w:color w:val="000000"/>
                <w:sz w:val="20"/>
                <w:szCs w:val="20"/>
              </w:rPr>
              <w:t>Very high</w:t>
            </w:r>
          </w:p>
        </w:tc>
        <w:tc>
          <w:tcPr>
            <w:tcW w:w="1080" w:type="dxa"/>
            <w:tcBorders>
              <w:top w:val="single" w:sz="4" w:space="0" w:color="auto"/>
              <w:bottom w:val="single" w:sz="4" w:space="0" w:color="auto"/>
            </w:tcBorders>
            <w:vAlign w:val="bottom"/>
          </w:tcPr>
          <w:p w:rsidR="00F540F4" w:rsidRPr="001E36F7" w:rsidRDefault="00F540F4" w:rsidP="00F540F4">
            <w:pPr>
              <w:jc w:val="center"/>
              <w:rPr>
                <w:b/>
                <w:color w:val="000000"/>
                <w:sz w:val="20"/>
                <w:szCs w:val="20"/>
              </w:rPr>
            </w:pPr>
            <w:r w:rsidRPr="001E36F7">
              <w:rPr>
                <w:b/>
                <w:color w:val="000000"/>
                <w:sz w:val="20"/>
                <w:szCs w:val="20"/>
              </w:rPr>
              <w:t>P-value</w:t>
            </w:r>
          </w:p>
        </w:tc>
      </w:tr>
      <w:tr w:rsidR="00F540F4" w:rsidRPr="001E36F7" w:rsidTr="00F540F4">
        <w:trPr>
          <w:trHeight w:val="255"/>
        </w:trPr>
        <w:tc>
          <w:tcPr>
            <w:tcW w:w="1605" w:type="dxa"/>
            <w:vMerge w:val="restart"/>
            <w:tcBorders>
              <w:top w:val="single" w:sz="4" w:space="0" w:color="auto"/>
              <w:bottom w:val="nil"/>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t>Total Difficulties </w:t>
            </w:r>
          </w:p>
        </w:tc>
        <w:tc>
          <w:tcPr>
            <w:tcW w:w="1195" w:type="dxa"/>
            <w:tcBorders>
              <w:top w:val="single" w:sz="4" w:space="0" w:color="auto"/>
              <w:bottom w:val="nil"/>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Male</w:t>
            </w:r>
          </w:p>
        </w:tc>
        <w:tc>
          <w:tcPr>
            <w:tcW w:w="1415"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1875 (77%)</w:t>
            </w:r>
          </w:p>
        </w:tc>
        <w:tc>
          <w:tcPr>
            <w:tcW w:w="1622"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259 (11%)</w:t>
            </w:r>
          </w:p>
        </w:tc>
        <w:tc>
          <w:tcPr>
            <w:tcW w:w="1348"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120 (5%)</w:t>
            </w:r>
          </w:p>
        </w:tc>
        <w:tc>
          <w:tcPr>
            <w:tcW w:w="1350"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182 (7%)</w:t>
            </w:r>
          </w:p>
        </w:tc>
        <w:tc>
          <w:tcPr>
            <w:tcW w:w="1080" w:type="dxa"/>
            <w:vMerge w:val="restart"/>
            <w:tcBorders>
              <w:top w:val="single" w:sz="4" w:space="0" w:color="auto"/>
              <w:bottom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&lt;0.001</w:t>
            </w:r>
          </w:p>
        </w:tc>
      </w:tr>
      <w:tr w:rsidR="00F540F4" w:rsidRPr="001E36F7" w:rsidTr="00F540F4">
        <w:trPr>
          <w:trHeight w:val="255"/>
        </w:trPr>
        <w:tc>
          <w:tcPr>
            <w:tcW w:w="1605" w:type="dxa"/>
            <w:vMerge/>
            <w:tcBorders>
              <w:top w:val="nil"/>
              <w:bottom w:val="single" w:sz="4" w:space="0" w:color="auto"/>
            </w:tcBorders>
            <w:shd w:val="clear" w:color="auto" w:fill="auto"/>
            <w:noWrap/>
            <w:vAlign w:val="bottom"/>
            <w:hideMark/>
          </w:tcPr>
          <w:p w:rsidR="00F540F4" w:rsidRPr="001E36F7" w:rsidRDefault="00F540F4" w:rsidP="00F540F4">
            <w:pPr>
              <w:rPr>
                <w:b/>
                <w:color w:val="000000"/>
                <w:sz w:val="20"/>
                <w:szCs w:val="20"/>
              </w:rPr>
            </w:pPr>
          </w:p>
        </w:tc>
        <w:tc>
          <w:tcPr>
            <w:tcW w:w="1195" w:type="dxa"/>
            <w:tcBorders>
              <w:top w:val="nil"/>
              <w:bottom w:val="single" w:sz="4" w:space="0" w:color="auto"/>
            </w:tcBorders>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Female</w:t>
            </w:r>
          </w:p>
        </w:tc>
        <w:tc>
          <w:tcPr>
            <w:tcW w:w="1415"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1968 (70%)</w:t>
            </w:r>
          </w:p>
        </w:tc>
        <w:tc>
          <w:tcPr>
            <w:tcW w:w="1622"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380 (13%)</w:t>
            </w:r>
          </w:p>
        </w:tc>
        <w:tc>
          <w:tcPr>
            <w:tcW w:w="1348"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188 (7%)</w:t>
            </w:r>
          </w:p>
        </w:tc>
        <w:tc>
          <w:tcPr>
            <w:tcW w:w="1350"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284 (10%)</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605" w:type="dxa"/>
            <w:vMerge w:val="restart"/>
            <w:tcBorders>
              <w:top w:val="single" w:sz="4" w:space="0" w:color="auto"/>
              <w:bottom w:val="nil"/>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t>Emotion</w:t>
            </w:r>
          </w:p>
        </w:tc>
        <w:tc>
          <w:tcPr>
            <w:tcW w:w="1195" w:type="dxa"/>
            <w:tcBorders>
              <w:top w:val="single" w:sz="4" w:space="0" w:color="auto"/>
              <w:bottom w:val="nil"/>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Male</w:t>
            </w:r>
          </w:p>
        </w:tc>
        <w:tc>
          <w:tcPr>
            <w:tcW w:w="1415"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2009 (82%)</w:t>
            </w:r>
          </w:p>
        </w:tc>
        <w:tc>
          <w:tcPr>
            <w:tcW w:w="1622"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172 (7%)</w:t>
            </w:r>
          </w:p>
        </w:tc>
        <w:tc>
          <w:tcPr>
            <w:tcW w:w="1348"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122 (5%)</w:t>
            </w:r>
          </w:p>
        </w:tc>
        <w:tc>
          <w:tcPr>
            <w:tcW w:w="1350"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135 (6%)</w:t>
            </w:r>
          </w:p>
        </w:tc>
        <w:tc>
          <w:tcPr>
            <w:tcW w:w="1080" w:type="dxa"/>
            <w:vMerge w:val="restart"/>
            <w:tcBorders>
              <w:top w:val="single" w:sz="4" w:space="0" w:color="auto"/>
              <w:bottom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&lt;0.001</w:t>
            </w:r>
          </w:p>
        </w:tc>
      </w:tr>
      <w:tr w:rsidR="00F540F4" w:rsidRPr="001E36F7" w:rsidTr="00F540F4">
        <w:trPr>
          <w:trHeight w:val="255"/>
        </w:trPr>
        <w:tc>
          <w:tcPr>
            <w:tcW w:w="1605" w:type="dxa"/>
            <w:vMerge/>
            <w:tcBorders>
              <w:top w:val="nil"/>
              <w:bottom w:val="single" w:sz="4" w:space="0" w:color="auto"/>
            </w:tcBorders>
            <w:shd w:val="clear" w:color="auto" w:fill="auto"/>
            <w:noWrap/>
            <w:vAlign w:val="bottom"/>
            <w:hideMark/>
          </w:tcPr>
          <w:p w:rsidR="00F540F4" w:rsidRPr="001E36F7" w:rsidRDefault="00F540F4" w:rsidP="00F540F4">
            <w:pPr>
              <w:rPr>
                <w:b/>
                <w:color w:val="000000"/>
                <w:sz w:val="20"/>
                <w:szCs w:val="20"/>
              </w:rPr>
            </w:pPr>
          </w:p>
        </w:tc>
        <w:tc>
          <w:tcPr>
            <w:tcW w:w="1195" w:type="dxa"/>
            <w:tcBorders>
              <w:top w:val="nil"/>
              <w:bottom w:val="single" w:sz="4" w:space="0" w:color="auto"/>
            </w:tcBorders>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Female</w:t>
            </w:r>
          </w:p>
        </w:tc>
        <w:tc>
          <w:tcPr>
            <w:tcW w:w="1415"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1573 (56%)</w:t>
            </w:r>
          </w:p>
        </w:tc>
        <w:tc>
          <w:tcPr>
            <w:tcW w:w="1622"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338 (12%)</w:t>
            </w:r>
          </w:p>
        </w:tc>
        <w:tc>
          <w:tcPr>
            <w:tcW w:w="1348"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308 (11%)</w:t>
            </w:r>
          </w:p>
        </w:tc>
        <w:tc>
          <w:tcPr>
            <w:tcW w:w="1350"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605 (21%)</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605" w:type="dxa"/>
            <w:vMerge w:val="restart"/>
            <w:tcBorders>
              <w:top w:val="single" w:sz="4" w:space="0" w:color="auto"/>
              <w:bottom w:val="nil"/>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t>Conduct</w:t>
            </w:r>
          </w:p>
        </w:tc>
        <w:tc>
          <w:tcPr>
            <w:tcW w:w="1195" w:type="dxa"/>
            <w:tcBorders>
              <w:top w:val="single" w:sz="4" w:space="0" w:color="auto"/>
              <w:bottom w:val="nil"/>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Male</w:t>
            </w:r>
          </w:p>
        </w:tc>
        <w:tc>
          <w:tcPr>
            <w:tcW w:w="1415"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1988 (82%)</w:t>
            </w:r>
          </w:p>
        </w:tc>
        <w:tc>
          <w:tcPr>
            <w:tcW w:w="1622"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208 (9%)</w:t>
            </w:r>
          </w:p>
        </w:tc>
        <w:tc>
          <w:tcPr>
            <w:tcW w:w="1348"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121 (5%)</w:t>
            </w:r>
          </w:p>
        </w:tc>
        <w:tc>
          <w:tcPr>
            <w:tcW w:w="1350"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120 (5%)</w:t>
            </w:r>
          </w:p>
        </w:tc>
        <w:tc>
          <w:tcPr>
            <w:tcW w:w="1080" w:type="dxa"/>
            <w:vMerge w:val="restart"/>
            <w:tcBorders>
              <w:top w:val="single" w:sz="4" w:space="0" w:color="auto"/>
              <w:bottom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&lt;0.001</w:t>
            </w:r>
          </w:p>
        </w:tc>
      </w:tr>
      <w:tr w:rsidR="00F540F4" w:rsidRPr="001E36F7" w:rsidTr="00F540F4">
        <w:trPr>
          <w:trHeight w:val="255"/>
        </w:trPr>
        <w:tc>
          <w:tcPr>
            <w:tcW w:w="1605" w:type="dxa"/>
            <w:vMerge/>
            <w:tcBorders>
              <w:top w:val="nil"/>
              <w:bottom w:val="single" w:sz="4" w:space="0" w:color="auto"/>
            </w:tcBorders>
            <w:shd w:val="clear" w:color="auto" w:fill="auto"/>
            <w:noWrap/>
            <w:vAlign w:val="bottom"/>
            <w:hideMark/>
          </w:tcPr>
          <w:p w:rsidR="00F540F4" w:rsidRPr="001E36F7" w:rsidRDefault="00F540F4" w:rsidP="00F540F4">
            <w:pPr>
              <w:rPr>
                <w:b/>
                <w:color w:val="000000"/>
                <w:sz w:val="20"/>
                <w:szCs w:val="20"/>
              </w:rPr>
            </w:pPr>
          </w:p>
        </w:tc>
        <w:tc>
          <w:tcPr>
            <w:tcW w:w="1195" w:type="dxa"/>
            <w:tcBorders>
              <w:top w:val="nil"/>
              <w:bottom w:val="single" w:sz="4" w:space="0" w:color="auto"/>
            </w:tcBorders>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Female</w:t>
            </w:r>
          </w:p>
        </w:tc>
        <w:tc>
          <w:tcPr>
            <w:tcW w:w="1415"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2465 (87%)</w:t>
            </w:r>
          </w:p>
        </w:tc>
        <w:tc>
          <w:tcPr>
            <w:tcW w:w="1622"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181 (6%)</w:t>
            </w:r>
          </w:p>
        </w:tc>
        <w:tc>
          <w:tcPr>
            <w:tcW w:w="1348"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103 (4%)</w:t>
            </w:r>
          </w:p>
        </w:tc>
        <w:tc>
          <w:tcPr>
            <w:tcW w:w="1350"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74 (3%)</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605" w:type="dxa"/>
            <w:vMerge w:val="restart"/>
            <w:tcBorders>
              <w:top w:val="single" w:sz="4" w:space="0" w:color="auto"/>
              <w:bottom w:val="nil"/>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t>Hyperactivity</w:t>
            </w:r>
          </w:p>
        </w:tc>
        <w:tc>
          <w:tcPr>
            <w:tcW w:w="1195" w:type="dxa"/>
            <w:tcBorders>
              <w:top w:val="single" w:sz="4" w:space="0" w:color="auto"/>
              <w:bottom w:val="nil"/>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Male</w:t>
            </w:r>
          </w:p>
        </w:tc>
        <w:tc>
          <w:tcPr>
            <w:tcW w:w="1415"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1739 (71%)</w:t>
            </w:r>
          </w:p>
        </w:tc>
        <w:tc>
          <w:tcPr>
            <w:tcW w:w="1622"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246 (10%)</w:t>
            </w:r>
          </w:p>
        </w:tc>
        <w:tc>
          <w:tcPr>
            <w:tcW w:w="1348"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186 (8%)</w:t>
            </w:r>
          </w:p>
        </w:tc>
        <w:tc>
          <w:tcPr>
            <w:tcW w:w="1350"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266 (11%)</w:t>
            </w:r>
          </w:p>
        </w:tc>
        <w:tc>
          <w:tcPr>
            <w:tcW w:w="1080" w:type="dxa"/>
            <w:vMerge w:val="restart"/>
            <w:tcBorders>
              <w:top w:val="single" w:sz="4" w:space="0" w:color="auto"/>
              <w:bottom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0.019</w:t>
            </w:r>
          </w:p>
        </w:tc>
      </w:tr>
      <w:tr w:rsidR="00F540F4" w:rsidRPr="001E36F7" w:rsidTr="00F540F4">
        <w:trPr>
          <w:trHeight w:val="255"/>
        </w:trPr>
        <w:tc>
          <w:tcPr>
            <w:tcW w:w="1605" w:type="dxa"/>
            <w:vMerge/>
            <w:tcBorders>
              <w:top w:val="nil"/>
              <w:bottom w:val="single" w:sz="4" w:space="0" w:color="auto"/>
            </w:tcBorders>
            <w:shd w:val="clear" w:color="auto" w:fill="auto"/>
            <w:noWrap/>
            <w:vAlign w:val="bottom"/>
            <w:hideMark/>
          </w:tcPr>
          <w:p w:rsidR="00F540F4" w:rsidRPr="001E36F7" w:rsidRDefault="00F540F4" w:rsidP="00F540F4">
            <w:pPr>
              <w:rPr>
                <w:b/>
                <w:color w:val="000000"/>
                <w:sz w:val="20"/>
                <w:szCs w:val="20"/>
              </w:rPr>
            </w:pPr>
          </w:p>
        </w:tc>
        <w:tc>
          <w:tcPr>
            <w:tcW w:w="1195" w:type="dxa"/>
            <w:tcBorders>
              <w:top w:val="nil"/>
              <w:bottom w:val="single" w:sz="4" w:space="0" w:color="auto"/>
            </w:tcBorders>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Female</w:t>
            </w:r>
          </w:p>
        </w:tc>
        <w:tc>
          <w:tcPr>
            <w:tcW w:w="1415"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2123 (75%)</w:t>
            </w:r>
          </w:p>
        </w:tc>
        <w:tc>
          <w:tcPr>
            <w:tcW w:w="1622"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246 (9%)</w:t>
            </w:r>
          </w:p>
        </w:tc>
        <w:tc>
          <w:tcPr>
            <w:tcW w:w="1348"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186 (7%)</w:t>
            </w:r>
          </w:p>
        </w:tc>
        <w:tc>
          <w:tcPr>
            <w:tcW w:w="1350"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268 (9%)</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605" w:type="dxa"/>
            <w:vMerge w:val="restart"/>
            <w:tcBorders>
              <w:top w:val="single" w:sz="4" w:space="0" w:color="auto"/>
              <w:bottom w:val="nil"/>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t>Peer Problems</w:t>
            </w:r>
          </w:p>
        </w:tc>
        <w:tc>
          <w:tcPr>
            <w:tcW w:w="1195" w:type="dxa"/>
            <w:tcBorders>
              <w:top w:val="single" w:sz="4" w:space="0" w:color="auto"/>
              <w:bottom w:val="nil"/>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Male</w:t>
            </w:r>
          </w:p>
        </w:tc>
        <w:tc>
          <w:tcPr>
            <w:tcW w:w="1415"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1755 (72%)</w:t>
            </w:r>
          </w:p>
        </w:tc>
        <w:tc>
          <w:tcPr>
            <w:tcW w:w="1622"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312 (13%)</w:t>
            </w:r>
          </w:p>
        </w:tc>
        <w:tc>
          <w:tcPr>
            <w:tcW w:w="1348"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188 (8%)</w:t>
            </w:r>
          </w:p>
        </w:tc>
        <w:tc>
          <w:tcPr>
            <w:tcW w:w="1350"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183 (8%)</w:t>
            </w:r>
          </w:p>
        </w:tc>
        <w:tc>
          <w:tcPr>
            <w:tcW w:w="1080" w:type="dxa"/>
            <w:vMerge w:val="restart"/>
            <w:tcBorders>
              <w:top w:val="single" w:sz="4" w:space="0" w:color="auto"/>
              <w:bottom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0.516</w:t>
            </w:r>
          </w:p>
        </w:tc>
      </w:tr>
      <w:tr w:rsidR="00F540F4" w:rsidRPr="001E36F7" w:rsidTr="00F540F4">
        <w:trPr>
          <w:trHeight w:val="255"/>
        </w:trPr>
        <w:tc>
          <w:tcPr>
            <w:tcW w:w="1605" w:type="dxa"/>
            <w:vMerge/>
            <w:tcBorders>
              <w:top w:val="nil"/>
              <w:bottom w:val="single" w:sz="4" w:space="0" w:color="auto"/>
            </w:tcBorders>
            <w:shd w:val="clear" w:color="auto" w:fill="auto"/>
            <w:noWrap/>
            <w:vAlign w:val="bottom"/>
            <w:hideMark/>
          </w:tcPr>
          <w:p w:rsidR="00F540F4" w:rsidRPr="001E36F7" w:rsidRDefault="00F540F4" w:rsidP="00F540F4">
            <w:pPr>
              <w:rPr>
                <w:b/>
                <w:color w:val="000000"/>
                <w:sz w:val="20"/>
                <w:szCs w:val="20"/>
              </w:rPr>
            </w:pPr>
          </w:p>
        </w:tc>
        <w:tc>
          <w:tcPr>
            <w:tcW w:w="1195" w:type="dxa"/>
            <w:tcBorders>
              <w:top w:val="nil"/>
              <w:bottom w:val="single" w:sz="4" w:space="0" w:color="auto"/>
            </w:tcBorders>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Female</w:t>
            </w:r>
          </w:p>
        </w:tc>
        <w:tc>
          <w:tcPr>
            <w:tcW w:w="1415"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2070 (73%)</w:t>
            </w:r>
          </w:p>
        </w:tc>
        <w:tc>
          <w:tcPr>
            <w:tcW w:w="1622"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333 (12%)</w:t>
            </w:r>
          </w:p>
        </w:tc>
        <w:tc>
          <w:tcPr>
            <w:tcW w:w="1348"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199 (7%)</w:t>
            </w:r>
          </w:p>
        </w:tc>
        <w:tc>
          <w:tcPr>
            <w:tcW w:w="1350"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219 (8%)</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605" w:type="dxa"/>
            <w:vMerge w:val="restart"/>
            <w:tcBorders>
              <w:top w:val="single" w:sz="4" w:space="0" w:color="auto"/>
              <w:bottom w:val="nil"/>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t>Prosocial</w:t>
            </w:r>
          </w:p>
        </w:tc>
        <w:tc>
          <w:tcPr>
            <w:tcW w:w="1195" w:type="dxa"/>
            <w:tcBorders>
              <w:top w:val="single" w:sz="4" w:space="0" w:color="auto"/>
              <w:bottom w:val="nil"/>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Male</w:t>
            </w:r>
          </w:p>
        </w:tc>
        <w:tc>
          <w:tcPr>
            <w:tcW w:w="1415"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1186 (49%)</w:t>
            </w:r>
          </w:p>
        </w:tc>
        <w:tc>
          <w:tcPr>
            <w:tcW w:w="1622"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447 (18%)</w:t>
            </w:r>
          </w:p>
        </w:tc>
        <w:tc>
          <w:tcPr>
            <w:tcW w:w="1348"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399 (16%)</w:t>
            </w:r>
          </w:p>
        </w:tc>
        <w:tc>
          <w:tcPr>
            <w:tcW w:w="1350" w:type="dxa"/>
            <w:tcBorders>
              <w:top w:val="single" w:sz="4" w:space="0" w:color="auto"/>
              <w:bottom w:val="nil"/>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407 (17%)</w:t>
            </w:r>
          </w:p>
        </w:tc>
        <w:tc>
          <w:tcPr>
            <w:tcW w:w="1080" w:type="dxa"/>
            <w:vMerge w:val="restart"/>
            <w:tcBorders>
              <w:top w:val="single" w:sz="4" w:space="0" w:color="auto"/>
              <w:bottom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&lt;0.001</w:t>
            </w:r>
          </w:p>
        </w:tc>
      </w:tr>
      <w:tr w:rsidR="00F540F4" w:rsidRPr="001E36F7" w:rsidTr="00F540F4">
        <w:trPr>
          <w:trHeight w:val="255"/>
        </w:trPr>
        <w:tc>
          <w:tcPr>
            <w:tcW w:w="1605" w:type="dxa"/>
            <w:vMerge/>
            <w:tcBorders>
              <w:top w:val="nil"/>
              <w:bottom w:val="single" w:sz="4" w:space="0" w:color="auto"/>
            </w:tcBorders>
            <w:shd w:val="clear" w:color="auto" w:fill="auto"/>
            <w:noWrap/>
            <w:vAlign w:val="bottom"/>
            <w:hideMark/>
          </w:tcPr>
          <w:p w:rsidR="00F540F4" w:rsidRPr="001E36F7" w:rsidRDefault="00F540F4" w:rsidP="00F540F4">
            <w:pPr>
              <w:rPr>
                <w:b/>
                <w:color w:val="000000"/>
                <w:sz w:val="20"/>
                <w:szCs w:val="20"/>
              </w:rPr>
            </w:pPr>
          </w:p>
        </w:tc>
        <w:tc>
          <w:tcPr>
            <w:tcW w:w="1195" w:type="dxa"/>
            <w:tcBorders>
              <w:top w:val="nil"/>
              <w:bottom w:val="single" w:sz="4" w:space="0" w:color="auto"/>
            </w:tcBorders>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Female</w:t>
            </w:r>
          </w:p>
        </w:tc>
        <w:tc>
          <w:tcPr>
            <w:tcW w:w="1415"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2142 (76%)</w:t>
            </w:r>
          </w:p>
        </w:tc>
        <w:tc>
          <w:tcPr>
            <w:tcW w:w="1622"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331 (12%)</w:t>
            </w:r>
          </w:p>
        </w:tc>
        <w:tc>
          <w:tcPr>
            <w:tcW w:w="1348"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204 (7%)</w:t>
            </w:r>
          </w:p>
        </w:tc>
        <w:tc>
          <w:tcPr>
            <w:tcW w:w="1350" w:type="dxa"/>
            <w:tcBorders>
              <w:top w:val="nil"/>
              <w:bottom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150 (5%)</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605" w:type="dxa"/>
            <w:vMerge w:val="restart"/>
            <w:tcBorders>
              <w:top w:val="single" w:sz="4" w:space="0" w:color="auto"/>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t>Impact</w:t>
            </w:r>
          </w:p>
        </w:tc>
        <w:tc>
          <w:tcPr>
            <w:tcW w:w="1195" w:type="dxa"/>
            <w:tcBorders>
              <w:top w:val="single" w:sz="4" w:space="0" w:color="auto"/>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Male</w:t>
            </w:r>
          </w:p>
        </w:tc>
        <w:tc>
          <w:tcPr>
            <w:tcW w:w="1415" w:type="dxa"/>
            <w:tcBorders>
              <w:top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1865 (78%)</w:t>
            </w:r>
          </w:p>
        </w:tc>
        <w:tc>
          <w:tcPr>
            <w:tcW w:w="1622" w:type="dxa"/>
            <w:tcBorders>
              <w:top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244 (10%)</w:t>
            </w:r>
          </w:p>
        </w:tc>
        <w:tc>
          <w:tcPr>
            <w:tcW w:w="1348" w:type="dxa"/>
            <w:tcBorders>
              <w:top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131 (5%)</w:t>
            </w:r>
          </w:p>
        </w:tc>
        <w:tc>
          <w:tcPr>
            <w:tcW w:w="1350" w:type="dxa"/>
            <w:tcBorders>
              <w:top w:val="single" w:sz="4" w:space="0" w:color="auto"/>
            </w:tcBorders>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157 (7%)</w:t>
            </w:r>
          </w:p>
        </w:tc>
        <w:tc>
          <w:tcPr>
            <w:tcW w:w="1080" w:type="dxa"/>
            <w:vMerge w:val="restart"/>
            <w:tcBorders>
              <w:top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&lt;0.001</w:t>
            </w:r>
          </w:p>
        </w:tc>
      </w:tr>
      <w:tr w:rsidR="00F540F4" w:rsidRPr="001E36F7" w:rsidTr="00F540F4">
        <w:trPr>
          <w:trHeight w:val="255"/>
        </w:trPr>
        <w:tc>
          <w:tcPr>
            <w:tcW w:w="1605" w:type="dxa"/>
            <w:vMerge/>
            <w:shd w:val="clear" w:color="auto" w:fill="auto"/>
            <w:noWrap/>
            <w:vAlign w:val="bottom"/>
            <w:hideMark/>
          </w:tcPr>
          <w:p w:rsidR="00F540F4" w:rsidRPr="001E36F7" w:rsidRDefault="00F540F4" w:rsidP="00F540F4">
            <w:pPr>
              <w:rPr>
                <w:color w:val="000000"/>
                <w:sz w:val="20"/>
                <w:szCs w:val="20"/>
              </w:rPr>
            </w:pPr>
          </w:p>
        </w:tc>
        <w:tc>
          <w:tcPr>
            <w:tcW w:w="1195" w:type="dxa"/>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Female</w:t>
            </w:r>
          </w:p>
        </w:tc>
        <w:tc>
          <w:tcPr>
            <w:tcW w:w="1415" w:type="dxa"/>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1783 (64%)</w:t>
            </w:r>
          </w:p>
        </w:tc>
        <w:tc>
          <w:tcPr>
            <w:tcW w:w="1622" w:type="dxa"/>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365 (13%)</w:t>
            </w:r>
          </w:p>
        </w:tc>
        <w:tc>
          <w:tcPr>
            <w:tcW w:w="1348" w:type="dxa"/>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231 (8%)</w:t>
            </w:r>
          </w:p>
        </w:tc>
        <w:tc>
          <w:tcPr>
            <w:tcW w:w="1350" w:type="dxa"/>
            <w:shd w:val="clear" w:color="auto" w:fill="auto"/>
            <w:noWrap/>
            <w:vAlign w:val="bottom"/>
            <w:hideMark/>
          </w:tcPr>
          <w:p w:rsidR="00F540F4" w:rsidRPr="001E36F7" w:rsidRDefault="00F540F4" w:rsidP="00F540F4">
            <w:pPr>
              <w:jc w:val="center"/>
              <w:rPr>
                <w:color w:val="000000"/>
                <w:sz w:val="20"/>
                <w:szCs w:val="20"/>
              </w:rPr>
            </w:pPr>
            <w:r w:rsidRPr="001E36F7">
              <w:rPr>
                <w:color w:val="000000"/>
                <w:sz w:val="20"/>
                <w:szCs w:val="20"/>
              </w:rPr>
              <w:t>414 (15%)</w:t>
            </w:r>
          </w:p>
        </w:tc>
        <w:tc>
          <w:tcPr>
            <w:tcW w:w="1080" w:type="dxa"/>
            <w:vMerge/>
          </w:tcPr>
          <w:p w:rsidR="00F540F4" w:rsidRPr="001E36F7" w:rsidRDefault="00F540F4" w:rsidP="00F540F4">
            <w:pPr>
              <w:jc w:val="center"/>
              <w:rPr>
                <w:color w:val="000000"/>
                <w:sz w:val="20"/>
                <w:szCs w:val="20"/>
              </w:rPr>
            </w:pPr>
          </w:p>
        </w:tc>
      </w:tr>
    </w:tbl>
    <w:p w:rsidR="00F540F4" w:rsidRPr="001E36F7" w:rsidRDefault="00F540F4" w:rsidP="00F540F4">
      <w:pPr>
        <w:spacing w:line="480" w:lineRule="auto"/>
        <w:rPr>
          <w:sz w:val="20"/>
          <w:szCs w:val="20"/>
        </w:rPr>
      </w:pPr>
    </w:p>
    <w:p w:rsidR="00F540F4" w:rsidRDefault="00F540F4" w:rsidP="0025086A">
      <w:pPr>
        <w:autoSpaceDE w:val="0"/>
        <w:autoSpaceDN w:val="0"/>
        <w:adjustRightInd w:val="0"/>
        <w:spacing w:line="276" w:lineRule="auto"/>
        <w:jc w:val="both"/>
      </w:pPr>
      <w:r w:rsidRPr="00F540F4">
        <w:t>Male pupils were more likely to have very high scores than female pupils for conduct problems (5% vs</w:t>
      </w:r>
      <w:r>
        <w:t xml:space="preserve"> </w:t>
      </w:r>
      <w:r w:rsidRPr="00F540F4">
        <w:t>3%), hyperactivity (11% vs 9%) and prosocial difficulties (17% vs 5%).</w:t>
      </w:r>
    </w:p>
    <w:p w:rsidR="00F540F4" w:rsidRDefault="00F540F4" w:rsidP="0025086A">
      <w:pPr>
        <w:autoSpaceDE w:val="0"/>
        <w:autoSpaceDN w:val="0"/>
        <w:adjustRightInd w:val="0"/>
        <w:spacing w:line="276" w:lineRule="auto"/>
        <w:jc w:val="both"/>
      </w:pPr>
    </w:p>
    <w:p w:rsidR="0025086A" w:rsidRDefault="0025086A" w:rsidP="0025086A">
      <w:pPr>
        <w:autoSpaceDE w:val="0"/>
        <w:autoSpaceDN w:val="0"/>
        <w:adjustRightInd w:val="0"/>
        <w:spacing w:line="276" w:lineRule="auto"/>
        <w:jc w:val="both"/>
        <w:rPr>
          <w:b/>
        </w:rPr>
      </w:pPr>
    </w:p>
    <w:p w:rsidR="00F540F4" w:rsidRDefault="00F540F4" w:rsidP="0025086A">
      <w:pPr>
        <w:autoSpaceDE w:val="0"/>
        <w:autoSpaceDN w:val="0"/>
        <w:adjustRightInd w:val="0"/>
        <w:spacing w:line="276" w:lineRule="auto"/>
        <w:jc w:val="both"/>
        <w:rPr>
          <w:b/>
        </w:rPr>
      </w:pPr>
      <w:r w:rsidRPr="00044D29">
        <w:rPr>
          <w:b/>
        </w:rPr>
        <w:t>Year group</w:t>
      </w:r>
    </w:p>
    <w:p w:rsidR="0025086A" w:rsidRPr="00044D29" w:rsidRDefault="0025086A" w:rsidP="0025086A">
      <w:pPr>
        <w:autoSpaceDE w:val="0"/>
        <w:autoSpaceDN w:val="0"/>
        <w:adjustRightInd w:val="0"/>
        <w:spacing w:line="276" w:lineRule="auto"/>
        <w:jc w:val="both"/>
        <w:rPr>
          <w:b/>
        </w:rPr>
      </w:pPr>
    </w:p>
    <w:p w:rsidR="00F540F4" w:rsidRDefault="00F540F4" w:rsidP="0025086A">
      <w:pPr>
        <w:autoSpaceDE w:val="0"/>
        <w:autoSpaceDN w:val="0"/>
        <w:adjustRightInd w:val="0"/>
        <w:spacing w:line="276" w:lineRule="auto"/>
        <w:jc w:val="both"/>
      </w:pPr>
      <w:r>
        <w:t>The results of a Kruskal–Wallis test are presented in Table 5. This shows a significant difference between year groups on each of the SDQ subscales, except for the conduct subscale. Table 6 shows year 11 pupils were more likely to score within the ‘very high’ range than year 8 and year 9 pupils on the emotional problems subscale (18% vs 12% vs 13%) and on the peer problems subscale (14% vs 10% vs 11%).</w:t>
      </w:r>
    </w:p>
    <w:p w:rsidR="0025086A" w:rsidRDefault="0025086A" w:rsidP="0025086A">
      <w:pPr>
        <w:autoSpaceDE w:val="0"/>
        <w:autoSpaceDN w:val="0"/>
        <w:adjustRightInd w:val="0"/>
        <w:spacing w:line="276" w:lineRule="auto"/>
        <w:jc w:val="both"/>
      </w:pPr>
    </w:p>
    <w:p w:rsidR="00F540F4" w:rsidRPr="00044D29" w:rsidRDefault="00F540F4" w:rsidP="0025086A">
      <w:pPr>
        <w:autoSpaceDE w:val="0"/>
        <w:autoSpaceDN w:val="0"/>
        <w:adjustRightInd w:val="0"/>
        <w:spacing w:line="276" w:lineRule="auto"/>
        <w:jc w:val="both"/>
        <w:rPr>
          <w:b/>
        </w:rPr>
      </w:pPr>
    </w:p>
    <w:p w:rsidR="00F540F4" w:rsidRDefault="00F540F4" w:rsidP="0025086A">
      <w:pPr>
        <w:autoSpaceDE w:val="0"/>
        <w:autoSpaceDN w:val="0"/>
        <w:adjustRightInd w:val="0"/>
        <w:spacing w:line="276" w:lineRule="auto"/>
        <w:jc w:val="both"/>
        <w:rPr>
          <w:b/>
        </w:rPr>
      </w:pPr>
      <w:r w:rsidRPr="00044D29">
        <w:rPr>
          <w:b/>
        </w:rPr>
        <w:t>EQ-5D-Y</w:t>
      </w:r>
    </w:p>
    <w:p w:rsidR="0025086A" w:rsidRPr="00044D29" w:rsidRDefault="0025086A" w:rsidP="0025086A">
      <w:pPr>
        <w:autoSpaceDE w:val="0"/>
        <w:autoSpaceDN w:val="0"/>
        <w:adjustRightInd w:val="0"/>
        <w:spacing w:line="276" w:lineRule="auto"/>
        <w:jc w:val="both"/>
        <w:rPr>
          <w:b/>
        </w:rPr>
      </w:pPr>
    </w:p>
    <w:p w:rsidR="00F540F4" w:rsidRDefault="00F540F4" w:rsidP="0025086A">
      <w:pPr>
        <w:autoSpaceDE w:val="0"/>
        <w:autoSpaceDN w:val="0"/>
        <w:adjustRightInd w:val="0"/>
        <w:spacing w:line="276" w:lineRule="auto"/>
        <w:jc w:val="both"/>
      </w:pPr>
      <w:r>
        <w:t xml:space="preserve">The EQ-5D-Y measures pupils’ responses on five dimensions. The response options range from ‘no problems’ (which was coded as 1 for scoring), to ‘some problems’ (coded as 2) and </w:t>
      </w:r>
      <w:r>
        <w:lastRenderedPageBreak/>
        <w:t>‘a lot of problems’ (coded as 3) for the first four questions. For the final question, the response options range from ‘not worried, sad or unhappy’ (coded as 1), to ‘a bit worried, sad or unhappy’ (coded as 2) and ‘very worried, sad or unhappy’ (coded as 3). The percentage of pupils responding as having either ‘a lot of problems’ or feeling ‘very worried, sad or unhappy’ were calculated for each dimension (Table 7).</w:t>
      </w:r>
    </w:p>
    <w:p w:rsidR="00F540F4" w:rsidRDefault="00F540F4" w:rsidP="0025086A">
      <w:pPr>
        <w:autoSpaceDE w:val="0"/>
        <w:autoSpaceDN w:val="0"/>
        <w:adjustRightInd w:val="0"/>
        <w:spacing w:line="276" w:lineRule="auto"/>
        <w:jc w:val="both"/>
      </w:pPr>
    </w:p>
    <w:p w:rsidR="00F540F4" w:rsidRDefault="00F540F4" w:rsidP="0025086A">
      <w:pPr>
        <w:autoSpaceDE w:val="0"/>
        <w:autoSpaceDN w:val="0"/>
        <w:adjustRightInd w:val="0"/>
        <w:spacing w:line="276" w:lineRule="auto"/>
        <w:jc w:val="both"/>
      </w:pPr>
      <w:r>
        <w:t>In comparison to the first four questions which focus on physical health, the final question around ‘feeling worried, sad or unhappy’ had a higher percentage of pupils responding as having a high level of difficulties (1–3% for the first four questions vs 7% for the emotional question) (Table 7). When results were split by gender and by year group, both male and female pupils across all year groups scored in the higher difficulties range for the emotion related question.</w:t>
      </w:r>
    </w:p>
    <w:p w:rsidR="00F540F4" w:rsidRDefault="00F540F4" w:rsidP="0025086A">
      <w:pPr>
        <w:autoSpaceDE w:val="0"/>
        <w:autoSpaceDN w:val="0"/>
        <w:adjustRightInd w:val="0"/>
        <w:spacing w:line="276" w:lineRule="auto"/>
        <w:jc w:val="both"/>
      </w:pPr>
    </w:p>
    <w:p w:rsidR="00F540F4" w:rsidRDefault="00F540F4" w:rsidP="0025086A">
      <w:pPr>
        <w:autoSpaceDE w:val="0"/>
        <w:autoSpaceDN w:val="0"/>
        <w:adjustRightInd w:val="0"/>
        <w:spacing w:line="276" w:lineRule="auto"/>
        <w:jc w:val="both"/>
      </w:pPr>
      <w:r>
        <w:t>There was a higher percentage of female pupils responding as feeling ‘very worried, sad or</w:t>
      </w:r>
      <w:r w:rsidR="0025086A">
        <w:t xml:space="preserve"> </w:t>
      </w:r>
      <w:r>
        <w:t>unhappy’ compared to male pupils (10% vs 3%). There was a higher percentage of Year 11 pupils responding as feeling ‘very worried, sad or unhappy’ compared to Year 8 and Year 9 pupils (10% vs 6% vs 5%).</w:t>
      </w:r>
    </w:p>
    <w:p w:rsidR="00F540F4" w:rsidRDefault="00F540F4" w:rsidP="00F540F4">
      <w:pPr>
        <w:autoSpaceDE w:val="0"/>
        <w:autoSpaceDN w:val="0"/>
        <w:adjustRightInd w:val="0"/>
      </w:pPr>
    </w:p>
    <w:p w:rsidR="0025086A" w:rsidRDefault="0025086A" w:rsidP="00F540F4">
      <w:pPr>
        <w:autoSpaceDE w:val="0"/>
        <w:autoSpaceDN w:val="0"/>
        <w:adjustRightInd w:val="0"/>
      </w:pPr>
    </w:p>
    <w:p w:rsidR="00F540F4" w:rsidRPr="00915092" w:rsidRDefault="00F540F4" w:rsidP="00F540F4">
      <w:pPr>
        <w:spacing w:line="480" w:lineRule="auto"/>
        <w:rPr>
          <w:rFonts w:eastAsiaTheme="minorHAnsi"/>
        </w:rPr>
      </w:pPr>
      <w:r>
        <w:rPr>
          <w:b/>
          <w:sz w:val="22"/>
        </w:rPr>
        <w:t>Table 5: Scores by year group</w:t>
      </w:r>
    </w:p>
    <w:tbl>
      <w:tblPr>
        <w:tblStyle w:val="TableGridLight1"/>
        <w:tblW w:w="10490" w:type="dxa"/>
        <w:tblInd w:w="-60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04"/>
        <w:gridCol w:w="1065"/>
        <w:gridCol w:w="992"/>
        <w:gridCol w:w="709"/>
        <w:gridCol w:w="992"/>
        <w:gridCol w:w="1134"/>
        <w:gridCol w:w="709"/>
        <w:gridCol w:w="992"/>
        <w:gridCol w:w="1134"/>
        <w:gridCol w:w="709"/>
        <w:gridCol w:w="850"/>
      </w:tblGrid>
      <w:tr w:rsidR="00F540F4" w:rsidRPr="001E36F7" w:rsidTr="00F540F4">
        <w:tc>
          <w:tcPr>
            <w:tcW w:w="1204" w:type="dxa"/>
            <w:tcBorders>
              <w:top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rPr>
                <w:rFonts w:eastAsiaTheme="minorHAnsi"/>
                <w:sz w:val="18"/>
                <w:szCs w:val="18"/>
              </w:rPr>
            </w:pPr>
          </w:p>
        </w:tc>
        <w:tc>
          <w:tcPr>
            <w:tcW w:w="2766" w:type="dxa"/>
            <w:gridSpan w:val="3"/>
            <w:tcBorders>
              <w:top w:val="single" w:sz="4" w:space="0" w:color="auto"/>
              <w:bottom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r w:rsidRPr="001E36F7">
              <w:rPr>
                <w:rFonts w:eastAsiaTheme="minorHAnsi"/>
                <w:b/>
                <w:sz w:val="18"/>
                <w:szCs w:val="18"/>
              </w:rPr>
              <w:t>Year 8</w:t>
            </w:r>
          </w:p>
        </w:tc>
        <w:tc>
          <w:tcPr>
            <w:tcW w:w="2835" w:type="dxa"/>
            <w:gridSpan w:val="3"/>
            <w:tcBorders>
              <w:top w:val="single" w:sz="4" w:space="0" w:color="auto"/>
              <w:left w:val="single" w:sz="4" w:space="0" w:color="auto"/>
              <w:bottom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r w:rsidRPr="001E36F7">
              <w:rPr>
                <w:rFonts w:eastAsiaTheme="minorHAnsi"/>
                <w:b/>
                <w:sz w:val="18"/>
                <w:szCs w:val="18"/>
              </w:rPr>
              <w:t>Year 9</w:t>
            </w:r>
          </w:p>
        </w:tc>
        <w:tc>
          <w:tcPr>
            <w:tcW w:w="2835" w:type="dxa"/>
            <w:gridSpan w:val="3"/>
            <w:tcBorders>
              <w:top w:val="single" w:sz="4" w:space="0" w:color="auto"/>
              <w:left w:val="single" w:sz="4" w:space="0" w:color="auto"/>
              <w:bottom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r w:rsidRPr="001E36F7">
              <w:rPr>
                <w:rFonts w:eastAsiaTheme="minorHAnsi"/>
                <w:b/>
                <w:sz w:val="18"/>
                <w:szCs w:val="18"/>
              </w:rPr>
              <w:t>Year 11</w:t>
            </w:r>
          </w:p>
        </w:tc>
        <w:tc>
          <w:tcPr>
            <w:tcW w:w="850" w:type="dxa"/>
            <w:tcBorders>
              <w:top w:val="single" w:sz="4" w:space="0" w:color="auto"/>
              <w:left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p>
        </w:tc>
      </w:tr>
      <w:tr w:rsidR="00F540F4" w:rsidRPr="001E36F7" w:rsidTr="00F540F4">
        <w:tc>
          <w:tcPr>
            <w:tcW w:w="1204" w:type="dxa"/>
            <w:tcBorders>
              <w:top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rPr>
                <w:rFonts w:eastAsiaTheme="minorHAnsi"/>
                <w:sz w:val="18"/>
                <w:szCs w:val="18"/>
              </w:rPr>
            </w:pPr>
          </w:p>
        </w:tc>
        <w:tc>
          <w:tcPr>
            <w:tcW w:w="1065" w:type="dxa"/>
            <w:tcBorders>
              <w:top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r w:rsidRPr="001E36F7">
              <w:rPr>
                <w:rFonts w:eastAsiaTheme="minorHAnsi"/>
                <w:b/>
                <w:sz w:val="18"/>
                <w:szCs w:val="18"/>
              </w:rPr>
              <w:t>Mean (SD)</w:t>
            </w:r>
          </w:p>
        </w:tc>
        <w:tc>
          <w:tcPr>
            <w:tcW w:w="992" w:type="dxa"/>
            <w:tcBorders>
              <w:top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r w:rsidRPr="001E36F7">
              <w:rPr>
                <w:rFonts w:eastAsiaTheme="minorHAnsi"/>
                <w:b/>
                <w:sz w:val="18"/>
                <w:szCs w:val="18"/>
              </w:rPr>
              <w:t>Median (IQR)</w:t>
            </w:r>
          </w:p>
        </w:tc>
        <w:tc>
          <w:tcPr>
            <w:tcW w:w="709" w:type="dxa"/>
            <w:tcBorders>
              <w:top w:val="single" w:sz="4" w:space="0" w:color="auto"/>
              <w:bottom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r w:rsidRPr="001E36F7">
              <w:rPr>
                <w:rFonts w:eastAsiaTheme="minorHAnsi"/>
                <w:b/>
                <w:sz w:val="18"/>
                <w:szCs w:val="18"/>
              </w:rPr>
              <w:t>n</w:t>
            </w:r>
          </w:p>
        </w:tc>
        <w:tc>
          <w:tcPr>
            <w:tcW w:w="992" w:type="dxa"/>
            <w:tcBorders>
              <w:top w:val="single" w:sz="4" w:space="0" w:color="auto"/>
              <w:left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r w:rsidRPr="001E36F7">
              <w:rPr>
                <w:rFonts w:eastAsiaTheme="minorHAnsi"/>
                <w:b/>
                <w:sz w:val="18"/>
                <w:szCs w:val="18"/>
              </w:rPr>
              <w:t>Mean (SD)</w:t>
            </w:r>
          </w:p>
        </w:tc>
        <w:tc>
          <w:tcPr>
            <w:tcW w:w="1134" w:type="dxa"/>
            <w:tcBorders>
              <w:top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r w:rsidRPr="001E36F7">
              <w:rPr>
                <w:rFonts w:eastAsiaTheme="minorHAnsi"/>
                <w:b/>
                <w:sz w:val="18"/>
                <w:szCs w:val="18"/>
              </w:rPr>
              <w:t>Median (IQR)</w:t>
            </w:r>
          </w:p>
        </w:tc>
        <w:tc>
          <w:tcPr>
            <w:tcW w:w="709" w:type="dxa"/>
            <w:tcBorders>
              <w:top w:val="single" w:sz="4" w:space="0" w:color="auto"/>
              <w:bottom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r w:rsidRPr="001E36F7">
              <w:rPr>
                <w:rFonts w:eastAsiaTheme="minorHAnsi"/>
                <w:b/>
                <w:sz w:val="18"/>
                <w:szCs w:val="18"/>
              </w:rPr>
              <w:t>n</w:t>
            </w:r>
          </w:p>
        </w:tc>
        <w:tc>
          <w:tcPr>
            <w:tcW w:w="992" w:type="dxa"/>
            <w:tcBorders>
              <w:top w:val="single" w:sz="4" w:space="0" w:color="auto"/>
              <w:left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r w:rsidRPr="001E36F7">
              <w:rPr>
                <w:rFonts w:eastAsiaTheme="minorHAnsi"/>
                <w:b/>
                <w:sz w:val="18"/>
                <w:szCs w:val="18"/>
              </w:rPr>
              <w:t>Mean (SD)</w:t>
            </w:r>
          </w:p>
        </w:tc>
        <w:tc>
          <w:tcPr>
            <w:tcW w:w="1134" w:type="dxa"/>
            <w:tcBorders>
              <w:top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r w:rsidRPr="001E36F7">
              <w:rPr>
                <w:rFonts w:eastAsiaTheme="minorHAnsi"/>
                <w:b/>
                <w:sz w:val="18"/>
                <w:szCs w:val="18"/>
              </w:rPr>
              <w:t>Median (IQR)</w:t>
            </w:r>
          </w:p>
        </w:tc>
        <w:tc>
          <w:tcPr>
            <w:tcW w:w="709" w:type="dxa"/>
            <w:tcBorders>
              <w:top w:val="single" w:sz="4" w:space="0" w:color="auto"/>
              <w:bottom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r w:rsidRPr="001E36F7">
              <w:rPr>
                <w:rFonts w:eastAsiaTheme="minorHAnsi"/>
                <w:b/>
                <w:sz w:val="18"/>
                <w:szCs w:val="18"/>
              </w:rPr>
              <w:t>n</w:t>
            </w:r>
          </w:p>
        </w:tc>
        <w:tc>
          <w:tcPr>
            <w:tcW w:w="850" w:type="dxa"/>
            <w:tcBorders>
              <w:top w:val="single" w:sz="4" w:space="0" w:color="auto"/>
              <w:left w:val="single" w:sz="4" w:space="0" w:color="auto"/>
              <w:bottom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b/>
                <w:sz w:val="18"/>
                <w:szCs w:val="18"/>
              </w:rPr>
            </w:pPr>
            <w:r w:rsidRPr="001E36F7">
              <w:rPr>
                <w:rFonts w:eastAsiaTheme="minorHAnsi"/>
                <w:b/>
                <w:sz w:val="18"/>
                <w:szCs w:val="18"/>
              </w:rPr>
              <w:t>p-value</w:t>
            </w:r>
          </w:p>
        </w:tc>
      </w:tr>
      <w:tr w:rsidR="00F540F4" w:rsidRPr="001E36F7" w:rsidTr="00F540F4">
        <w:tc>
          <w:tcPr>
            <w:tcW w:w="1204" w:type="dxa"/>
            <w:tcBorders>
              <w:top w:val="single" w:sz="4" w:space="0" w:color="auto"/>
            </w:tcBorders>
          </w:tcPr>
          <w:p w:rsidR="00F540F4" w:rsidRPr="001E36F7" w:rsidRDefault="00F540F4" w:rsidP="00F540F4">
            <w:pPr>
              <w:autoSpaceDE w:val="0"/>
              <w:autoSpaceDN w:val="0"/>
              <w:adjustRightInd w:val="0"/>
              <w:spacing w:line="276" w:lineRule="auto"/>
              <w:ind w:left="60" w:right="60"/>
              <w:rPr>
                <w:rFonts w:eastAsiaTheme="minorHAnsi"/>
                <w:b/>
                <w:sz w:val="18"/>
                <w:szCs w:val="18"/>
              </w:rPr>
            </w:pPr>
            <w:r w:rsidRPr="001E36F7">
              <w:rPr>
                <w:b/>
                <w:sz w:val="18"/>
                <w:szCs w:val="18"/>
              </w:rPr>
              <w:t>Total Difficulties</w:t>
            </w:r>
          </w:p>
        </w:tc>
        <w:tc>
          <w:tcPr>
            <w:tcW w:w="1065" w:type="dxa"/>
            <w:tcBorders>
              <w:top w:val="single" w:sz="4" w:space="0" w:color="auto"/>
            </w:tcBorders>
          </w:tcPr>
          <w:p w:rsidR="00F540F4"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 xml:space="preserve">11.1 </w:t>
            </w:r>
          </w:p>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(6.0)</w:t>
            </w:r>
          </w:p>
        </w:tc>
        <w:tc>
          <w:tcPr>
            <w:tcW w:w="992" w:type="dxa"/>
            <w:tcBorders>
              <w:top w:val="single" w:sz="4" w:space="0" w:color="auto"/>
            </w:tcBorders>
          </w:tcPr>
          <w:p w:rsidR="00F540F4" w:rsidRDefault="00F540F4" w:rsidP="00F540F4">
            <w:pPr>
              <w:autoSpaceDE w:val="0"/>
              <w:autoSpaceDN w:val="0"/>
              <w:adjustRightInd w:val="0"/>
              <w:spacing w:line="276" w:lineRule="auto"/>
              <w:ind w:left="60" w:right="60"/>
              <w:jc w:val="center"/>
              <w:rPr>
                <w:rFonts w:eastAsiaTheme="minorHAnsi"/>
                <w:sz w:val="18"/>
                <w:szCs w:val="18"/>
              </w:rPr>
            </w:pPr>
            <w:r>
              <w:rPr>
                <w:rFonts w:eastAsiaTheme="minorHAnsi"/>
                <w:sz w:val="18"/>
                <w:szCs w:val="18"/>
              </w:rPr>
              <w:t xml:space="preserve">10 </w:t>
            </w:r>
          </w:p>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(7-15)</w:t>
            </w:r>
          </w:p>
        </w:tc>
        <w:tc>
          <w:tcPr>
            <w:tcW w:w="709" w:type="dxa"/>
            <w:tcBorders>
              <w:top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2898</w:t>
            </w:r>
          </w:p>
        </w:tc>
        <w:tc>
          <w:tcPr>
            <w:tcW w:w="992" w:type="dxa"/>
            <w:tcBorders>
              <w:top w:val="single" w:sz="4" w:space="0" w:color="auto"/>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10.8 (5.8)</w:t>
            </w:r>
          </w:p>
        </w:tc>
        <w:tc>
          <w:tcPr>
            <w:tcW w:w="1134" w:type="dxa"/>
            <w:tcBorders>
              <w:top w:val="single" w:sz="4" w:space="0" w:color="auto"/>
            </w:tcBorders>
          </w:tcPr>
          <w:p w:rsidR="00F540F4"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 xml:space="preserve">10 </w:t>
            </w:r>
          </w:p>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(6-15)</w:t>
            </w:r>
          </w:p>
        </w:tc>
        <w:tc>
          <w:tcPr>
            <w:tcW w:w="709" w:type="dxa"/>
            <w:tcBorders>
              <w:top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1708</w:t>
            </w:r>
          </w:p>
        </w:tc>
        <w:tc>
          <w:tcPr>
            <w:tcW w:w="992" w:type="dxa"/>
            <w:tcBorders>
              <w:top w:val="single" w:sz="4" w:space="0" w:color="auto"/>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12.0 (5.7)</w:t>
            </w:r>
          </w:p>
        </w:tc>
        <w:tc>
          <w:tcPr>
            <w:tcW w:w="1134" w:type="dxa"/>
            <w:tcBorders>
              <w:top w:val="single" w:sz="4" w:space="0" w:color="auto"/>
            </w:tcBorders>
          </w:tcPr>
          <w:p w:rsidR="00F540F4"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 xml:space="preserve">11 </w:t>
            </w:r>
          </w:p>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(8-16)</w:t>
            </w:r>
          </w:p>
        </w:tc>
        <w:tc>
          <w:tcPr>
            <w:tcW w:w="709" w:type="dxa"/>
            <w:tcBorders>
              <w:top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1594</w:t>
            </w:r>
          </w:p>
        </w:tc>
        <w:tc>
          <w:tcPr>
            <w:tcW w:w="850" w:type="dxa"/>
            <w:tcBorders>
              <w:top w:val="single" w:sz="4" w:space="0" w:color="auto"/>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&lt;0.001</w:t>
            </w:r>
          </w:p>
        </w:tc>
      </w:tr>
      <w:tr w:rsidR="00F540F4" w:rsidRPr="001E36F7" w:rsidTr="00F540F4">
        <w:tc>
          <w:tcPr>
            <w:tcW w:w="1204" w:type="dxa"/>
          </w:tcPr>
          <w:p w:rsidR="00F540F4" w:rsidRPr="001E36F7" w:rsidRDefault="00F540F4" w:rsidP="00F540F4">
            <w:pPr>
              <w:autoSpaceDE w:val="0"/>
              <w:autoSpaceDN w:val="0"/>
              <w:adjustRightInd w:val="0"/>
              <w:spacing w:line="276" w:lineRule="auto"/>
              <w:ind w:left="60" w:right="60"/>
              <w:rPr>
                <w:rFonts w:eastAsiaTheme="minorHAnsi"/>
                <w:b/>
                <w:sz w:val="18"/>
                <w:szCs w:val="18"/>
              </w:rPr>
            </w:pPr>
            <w:r w:rsidRPr="001E36F7">
              <w:rPr>
                <w:b/>
                <w:sz w:val="18"/>
                <w:szCs w:val="18"/>
              </w:rPr>
              <w:t>Emotion</w:t>
            </w:r>
          </w:p>
        </w:tc>
        <w:tc>
          <w:tcPr>
            <w:tcW w:w="1065"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3.3 (2.4)</w:t>
            </w:r>
          </w:p>
        </w:tc>
        <w:tc>
          <w:tcPr>
            <w:tcW w:w="992"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3 (1-5)</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2902</w:t>
            </w:r>
          </w:p>
        </w:tc>
        <w:tc>
          <w:tcPr>
            <w:tcW w:w="99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3.3 (2.5)</w:t>
            </w:r>
          </w:p>
        </w:tc>
        <w:tc>
          <w:tcPr>
            <w:tcW w:w="1134"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3 (1-5)</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1710</w:t>
            </w:r>
          </w:p>
        </w:tc>
        <w:tc>
          <w:tcPr>
            <w:tcW w:w="99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3.8 (2.6)</w:t>
            </w:r>
          </w:p>
        </w:tc>
        <w:tc>
          <w:tcPr>
            <w:tcW w:w="1134"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4 (2-6)</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1597</w:t>
            </w:r>
          </w:p>
        </w:tc>
        <w:tc>
          <w:tcPr>
            <w:tcW w:w="850"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&lt;0.001</w:t>
            </w:r>
          </w:p>
        </w:tc>
      </w:tr>
      <w:tr w:rsidR="00F540F4" w:rsidRPr="001E36F7" w:rsidTr="00F540F4">
        <w:tc>
          <w:tcPr>
            <w:tcW w:w="1204" w:type="dxa"/>
          </w:tcPr>
          <w:p w:rsidR="00F540F4" w:rsidRPr="001E36F7" w:rsidRDefault="00F540F4" w:rsidP="00F540F4">
            <w:pPr>
              <w:autoSpaceDE w:val="0"/>
              <w:autoSpaceDN w:val="0"/>
              <w:adjustRightInd w:val="0"/>
              <w:spacing w:line="276" w:lineRule="auto"/>
              <w:ind w:left="60" w:right="60"/>
              <w:rPr>
                <w:rFonts w:eastAsiaTheme="minorHAnsi"/>
                <w:b/>
                <w:sz w:val="18"/>
                <w:szCs w:val="18"/>
              </w:rPr>
            </w:pPr>
            <w:r w:rsidRPr="001E36F7">
              <w:rPr>
                <w:b/>
                <w:sz w:val="18"/>
                <w:szCs w:val="18"/>
              </w:rPr>
              <w:t>Conduct</w:t>
            </w:r>
          </w:p>
        </w:tc>
        <w:tc>
          <w:tcPr>
            <w:tcW w:w="1065"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1.9 (1.8)</w:t>
            </w:r>
          </w:p>
        </w:tc>
        <w:tc>
          <w:tcPr>
            <w:tcW w:w="992"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 (0-3)</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2902</w:t>
            </w:r>
          </w:p>
        </w:tc>
        <w:tc>
          <w:tcPr>
            <w:tcW w:w="99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1.8 (1.7)</w:t>
            </w:r>
          </w:p>
        </w:tc>
        <w:tc>
          <w:tcPr>
            <w:tcW w:w="1134"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 (0-3)</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1709</w:t>
            </w:r>
          </w:p>
        </w:tc>
        <w:tc>
          <w:tcPr>
            <w:tcW w:w="99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1.8 (1.7)</w:t>
            </w:r>
          </w:p>
        </w:tc>
        <w:tc>
          <w:tcPr>
            <w:tcW w:w="1134"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 (0-3)</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1596</w:t>
            </w:r>
          </w:p>
        </w:tc>
        <w:tc>
          <w:tcPr>
            <w:tcW w:w="850"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0.232</w:t>
            </w:r>
          </w:p>
        </w:tc>
      </w:tr>
      <w:tr w:rsidR="00F540F4" w:rsidRPr="001E36F7" w:rsidTr="00F540F4">
        <w:tc>
          <w:tcPr>
            <w:tcW w:w="1204" w:type="dxa"/>
          </w:tcPr>
          <w:p w:rsidR="00F540F4" w:rsidRPr="001E36F7" w:rsidRDefault="00F540F4" w:rsidP="00F540F4">
            <w:pPr>
              <w:autoSpaceDE w:val="0"/>
              <w:autoSpaceDN w:val="0"/>
              <w:adjustRightInd w:val="0"/>
              <w:spacing w:line="276" w:lineRule="auto"/>
              <w:ind w:left="60" w:right="60"/>
              <w:rPr>
                <w:rFonts w:eastAsiaTheme="minorHAnsi"/>
                <w:b/>
                <w:sz w:val="18"/>
                <w:szCs w:val="18"/>
              </w:rPr>
            </w:pPr>
            <w:r w:rsidRPr="001E36F7">
              <w:rPr>
                <w:b/>
                <w:sz w:val="18"/>
                <w:szCs w:val="18"/>
              </w:rPr>
              <w:t>Hyper</w:t>
            </w:r>
            <w:r>
              <w:rPr>
                <w:b/>
                <w:sz w:val="18"/>
                <w:szCs w:val="18"/>
              </w:rPr>
              <w:t>-</w:t>
            </w:r>
            <w:r w:rsidRPr="001E36F7">
              <w:rPr>
                <w:b/>
                <w:sz w:val="18"/>
                <w:szCs w:val="18"/>
              </w:rPr>
              <w:t>activity</w:t>
            </w:r>
          </w:p>
        </w:tc>
        <w:tc>
          <w:tcPr>
            <w:tcW w:w="1065"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4.1 (2.5)</w:t>
            </w:r>
          </w:p>
        </w:tc>
        <w:tc>
          <w:tcPr>
            <w:tcW w:w="992"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4 (2-6)</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2901</w:t>
            </w:r>
          </w:p>
        </w:tc>
        <w:tc>
          <w:tcPr>
            <w:tcW w:w="99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4.1 (2.5)</w:t>
            </w:r>
          </w:p>
        </w:tc>
        <w:tc>
          <w:tcPr>
            <w:tcW w:w="1134"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4 (2-6)</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1709</w:t>
            </w:r>
          </w:p>
        </w:tc>
        <w:tc>
          <w:tcPr>
            <w:tcW w:w="99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4.3 (2.4)</w:t>
            </w:r>
          </w:p>
        </w:tc>
        <w:tc>
          <w:tcPr>
            <w:tcW w:w="1134"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4 (2-6)</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1594</w:t>
            </w:r>
          </w:p>
        </w:tc>
        <w:tc>
          <w:tcPr>
            <w:tcW w:w="850"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0.001</w:t>
            </w:r>
          </w:p>
        </w:tc>
      </w:tr>
      <w:tr w:rsidR="00F540F4" w:rsidRPr="001E36F7" w:rsidTr="00F540F4">
        <w:tc>
          <w:tcPr>
            <w:tcW w:w="1204" w:type="dxa"/>
          </w:tcPr>
          <w:p w:rsidR="00F540F4" w:rsidRPr="001E36F7" w:rsidRDefault="00F540F4" w:rsidP="00F540F4">
            <w:pPr>
              <w:autoSpaceDE w:val="0"/>
              <w:autoSpaceDN w:val="0"/>
              <w:adjustRightInd w:val="0"/>
              <w:spacing w:line="276" w:lineRule="auto"/>
              <w:ind w:left="60" w:right="60"/>
              <w:rPr>
                <w:rFonts w:eastAsiaTheme="minorHAnsi"/>
                <w:b/>
                <w:sz w:val="18"/>
                <w:szCs w:val="18"/>
              </w:rPr>
            </w:pPr>
            <w:r w:rsidRPr="001E36F7">
              <w:rPr>
                <w:b/>
                <w:sz w:val="18"/>
                <w:szCs w:val="18"/>
              </w:rPr>
              <w:t>Peer Problems</w:t>
            </w:r>
          </w:p>
        </w:tc>
        <w:tc>
          <w:tcPr>
            <w:tcW w:w="1065"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1.8 (1.7)</w:t>
            </w:r>
          </w:p>
        </w:tc>
        <w:tc>
          <w:tcPr>
            <w:tcW w:w="992"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 (1-3)</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2900</w:t>
            </w:r>
          </w:p>
        </w:tc>
        <w:tc>
          <w:tcPr>
            <w:tcW w:w="99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1.7 (1.6)</w:t>
            </w:r>
          </w:p>
        </w:tc>
        <w:tc>
          <w:tcPr>
            <w:tcW w:w="1134"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 (1-3)</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1709</w:t>
            </w:r>
          </w:p>
        </w:tc>
        <w:tc>
          <w:tcPr>
            <w:tcW w:w="99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2.0 (1.7)</w:t>
            </w:r>
          </w:p>
        </w:tc>
        <w:tc>
          <w:tcPr>
            <w:tcW w:w="1134"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2 (1-3)</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1596</w:t>
            </w:r>
          </w:p>
        </w:tc>
        <w:tc>
          <w:tcPr>
            <w:tcW w:w="850"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&lt;0.001</w:t>
            </w:r>
          </w:p>
        </w:tc>
      </w:tr>
      <w:tr w:rsidR="00F540F4" w:rsidRPr="001E36F7" w:rsidTr="00F540F4">
        <w:tc>
          <w:tcPr>
            <w:tcW w:w="1204" w:type="dxa"/>
          </w:tcPr>
          <w:p w:rsidR="00F540F4" w:rsidRPr="001E36F7" w:rsidRDefault="00F540F4" w:rsidP="00F540F4">
            <w:pPr>
              <w:autoSpaceDE w:val="0"/>
              <w:autoSpaceDN w:val="0"/>
              <w:adjustRightInd w:val="0"/>
              <w:spacing w:line="276" w:lineRule="auto"/>
              <w:ind w:left="60" w:right="60"/>
              <w:rPr>
                <w:rFonts w:eastAsiaTheme="minorHAnsi"/>
                <w:b/>
                <w:sz w:val="18"/>
                <w:szCs w:val="18"/>
              </w:rPr>
            </w:pPr>
            <w:r w:rsidRPr="001E36F7">
              <w:rPr>
                <w:b/>
                <w:sz w:val="18"/>
                <w:szCs w:val="18"/>
              </w:rPr>
              <w:t>Prosocial</w:t>
            </w:r>
          </w:p>
        </w:tc>
        <w:tc>
          <w:tcPr>
            <w:tcW w:w="1065"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7.1 (1.9)</w:t>
            </w:r>
          </w:p>
        </w:tc>
        <w:tc>
          <w:tcPr>
            <w:tcW w:w="992"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7 (6-9)</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2905</w:t>
            </w:r>
          </w:p>
        </w:tc>
        <w:tc>
          <w:tcPr>
            <w:tcW w:w="99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6.9 (1.9)</w:t>
            </w:r>
          </w:p>
        </w:tc>
        <w:tc>
          <w:tcPr>
            <w:tcW w:w="1134"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7 (6-8)</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1710</w:t>
            </w:r>
          </w:p>
        </w:tc>
        <w:tc>
          <w:tcPr>
            <w:tcW w:w="99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6.8 (2.0)</w:t>
            </w:r>
          </w:p>
        </w:tc>
        <w:tc>
          <w:tcPr>
            <w:tcW w:w="1134"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7 (5-8)</w:t>
            </w:r>
          </w:p>
        </w:tc>
        <w:tc>
          <w:tcPr>
            <w:tcW w:w="709" w:type="dxa"/>
            <w:tcBorders>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1601</w:t>
            </w:r>
          </w:p>
        </w:tc>
        <w:tc>
          <w:tcPr>
            <w:tcW w:w="850"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&lt;0.001</w:t>
            </w:r>
          </w:p>
        </w:tc>
      </w:tr>
      <w:tr w:rsidR="00F540F4" w:rsidRPr="001E36F7" w:rsidTr="00F540F4">
        <w:tc>
          <w:tcPr>
            <w:tcW w:w="1204" w:type="dxa"/>
          </w:tcPr>
          <w:p w:rsidR="00F540F4" w:rsidRPr="001E36F7" w:rsidRDefault="00F540F4" w:rsidP="00F540F4">
            <w:pPr>
              <w:autoSpaceDE w:val="0"/>
              <w:autoSpaceDN w:val="0"/>
              <w:adjustRightInd w:val="0"/>
              <w:spacing w:line="276" w:lineRule="auto"/>
              <w:ind w:left="60" w:right="60"/>
              <w:rPr>
                <w:rFonts w:eastAsiaTheme="minorHAnsi"/>
                <w:b/>
                <w:sz w:val="18"/>
                <w:szCs w:val="18"/>
              </w:rPr>
            </w:pPr>
            <w:r w:rsidRPr="001E36F7">
              <w:rPr>
                <w:b/>
                <w:sz w:val="18"/>
                <w:szCs w:val="18"/>
              </w:rPr>
              <w:t>Impact</w:t>
            </w:r>
          </w:p>
        </w:tc>
        <w:tc>
          <w:tcPr>
            <w:tcW w:w="1065"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0.7 (1.5)</w:t>
            </w:r>
          </w:p>
        </w:tc>
        <w:tc>
          <w:tcPr>
            <w:tcW w:w="992"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0 (0-1)</w:t>
            </w:r>
          </w:p>
        </w:tc>
        <w:tc>
          <w:tcPr>
            <w:tcW w:w="709" w:type="dxa"/>
            <w:tcBorders>
              <w:bottom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2845</w:t>
            </w:r>
          </w:p>
        </w:tc>
        <w:tc>
          <w:tcPr>
            <w:tcW w:w="99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0.7 (1.4)</w:t>
            </w:r>
          </w:p>
        </w:tc>
        <w:tc>
          <w:tcPr>
            <w:tcW w:w="1134"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0 (0-1)</w:t>
            </w:r>
          </w:p>
        </w:tc>
        <w:tc>
          <w:tcPr>
            <w:tcW w:w="709" w:type="dxa"/>
            <w:tcBorders>
              <w:bottom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1692</w:t>
            </w:r>
          </w:p>
        </w:tc>
        <w:tc>
          <w:tcPr>
            <w:tcW w:w="992"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0.9 (1.7)</w:t>
            </w:r>
          </w:p>
        </w:tc>
        <w:tc>
          <w:tcPr>
            <w:tcW w:w="1134" w:type="dxa"/>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0 (0-1)</w:t>
            </w:r>
          </w:p>
        </w:tc>
        <w:tc>
          <w:tcPr>
            <w:tcW w:w="709" w:type="dxa"/>
            <w:tcBorders>
              <w:bottom w:val="single" w:sz="4" w:space="0" w:color="auto"/>
              <w:righ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1575</w:t>
            </w:r>
          </w:p>
        </w:tc>
        <w:tc>
          <w:tcPr>
            <w:tcW w:w="850" w:type="dxa"/>
            <w:tcBorders>
              <w:left w:val="single" w:sz="4" w:space="0" w:color="auto"/>
            </w:tcBorders>
          </w:tcPr>
          <w:p w:rsidR="00F540F4" w:rsidRPr="001E36F7" w:rsidRDefault="00F540F4" w:rsidP="00F540F4">
            <w:pPr>
              <w:autoSpaceDE w:val="0"/>
              <w:autoSpaceDN w:val="0"/>
              <w:adjustRightInd w:val="0"/>
              <w:spacing w:line="276" w:lineRule="auto"/>
              <w:ind w:left="60" w:right="60"/>
              <w:jc w:val="center"/>
              <w:rPr>
                <w:rFonts w:eastAsiaTheme="minorHAnsi"/>
                <w:sz w:val="18"/>
                <w:szCs w:val="18"/>
              </w:rPr>
            </w:pPr>
            <w:r w:rsidRPr="001E36F7">
              <w:rPr>
                <w:rFonts w:eastAsiaTheme="minorHAnsi"/>
                <w:sz w:val="18"/>
                <w:szCs w:val="18"/>
              </w:rPr>
              <w:t>&lt;0.001</w:t>
            </w:r>
          </w:p>
        </w:tc>
      </w:tr>
    </w:tbl>
    <w:p w:rsidR="00F540F4" w:rsidRDefault="00F540F4" w:rsidP="00F540F4">
      <w:pPr>
        <w:spacing w:line="480" w:lineRule="auto"/>
        <w:rPr>
          <w:b/>
          <w:sz w:val="22"/>
        </w:rPr>
      </w:pPr>
    </w:p>
    <w:p w:rsidR="0025086A" w:rsidRDefault="0025086A" w:rsidP="00F540F4">
      <w:pPr>
        <w:spacing w:line="480" w:lineRule="auto"/>
        <w:rPr>
          <w:b/>
          <w:sz w:val="22"/>
        </w:rPr>
      </w:pPr>
    </w:p>
    <w:p w:rsidR="00F540F4" w:rsidRPr="00FF6E1C" w:rsidRDefault="00F540F4" w:rsidP="00F540F4">
      <w:pPr>
        <w:spacing w:line="480" w:lineRule="auto"/>
        <w:rPr>
          <w:b/>
          <w:sz w:val="22"/>
        </w:rPr>
      </w:pPr>
      <w:r w:rsidRPr="00FF6E1C">
        <w:rPr>
          <w:b/>
          <w:sz w:val="22"/>
        </w:rPr>
        <w:t xml:space="preserve">Table </w:t>
      </w:r>
      <w:r>
        <w:rPr>
          <w:b/>
          <w:sz w:val="22"/>
        </w:rPr>
        <w:t>6</w:t>
      </w:r>
      <w:r w:rsidRPr="00FF6E1C">
        <w:rPr>
          <w:b/>
          <w:sz w:val="22"/>
        </w:rPr>
        <w:t xml:space="preserve">: Categories by year group </w:t>
      </w:r>
    </w:p>
    <w:tbl>
      <w:tblPr>
        <w:tblW w:w="9536" w:type="dxa"/>
        <w:tblBorders>
          <w:top w:val="single" w:sz="4" w:space="0" w:color="auto"/>
          <w:bottom w:val="single" w:sz="4" w:space="0" w:color="auto"/>
        </w:tblBorders>
        <w:tblLook w:val="04A0" w:firstRow="1" w:lastRow="0" w:firstColumn="1" w:lastColumn="0" w:noHBand="0" w:noVBand="1"/>
      </w:tblPr>
      <w:tblGrid>
        <w:gridCol w:w="1526"/>
        <w:gridCol w:w="1195"/>
        <w:gridCol w:w="1415"/>
        <w:gridCol w:w="1622"/>
        <w:gridCol w:w="1348"/>
        <w:gridCol w:w="1350"/>
        <w:gridCol w:w="1080"/>
      </w:tblGrid>
      <w:tr w:rsidR="00F540F4" w:rsidRPr="001E36F7" w:rsidTr="00F540F4">
        <w:trPr>
          <w:trHeight w:val="255"/>
        </w:trPr>
        <w:tc>
          <w:tcPr>
            <w:tcW w:w="1526" w:type="dxa"/>
            <w:tcBorders>
              <w:top w:val="single" w:sz="4" w:space="0" w:color="auto"/>
              <w:bottom w:val="single" w:sz="4" w:space="0" w:color="auto"/>
            </w:tcBorders>
            <w:shd w:val="clear" w:color="auto" w:fill="auto"/>
            <w:noWrap/>
            <w:vAlign w:val="bottom"/>
            <w:hideMark/>
          </w:tcPr>
          <w:p w:rsidR="00F540F4" w:rsidRPr="001E36F7" w:rsidRDefault="00F540F4" w:rsidP="00F540F4">
            <w:pPr>
              <w:rPr>
                <w:color w:val="000000"/>
                <w:sz w:val="20"/>
                <w:szCs w:val="20"/>
              </w:rPr>
            </w:pPr>
          </w:p>
        </w:tc>
        <w:tc>
          <w:tcPr>
            <w:tcW w:w="1195" w:type="dxa"/>
            <w:tcBorders>
              <w:top w:val="single" w:sz="4" w:space="0" w:color="auto"/>
              <w:bottom w:val="single" w:sz="4" w:space="0" w:color="auto"/>
            </w:tcBorders>
            <w:shd w:val="clear" w:color="auto" w:fill="auto"/>
            <w:noWrap/>
            <w:vAlign w:val="bottom"/>
            <w:hideMark/>
          </w:tcPr>
          <w:p w:rsidR="00F540F4" w:rsidRPr="001E36F7" w:rsidRDefault="00F540F4" w:rsidP="00F540F4">
            <w:pPr>
              <w:rPr>
                <w:b/>
                <w:color w:val="000000"/>
                <w:sz w:val="20"/>
                <w:szCs w:val="20"/>
              </w:rPr>
            </w:pPr>
            <w:r>
              <w:rPr>
                <w:b/>
                <w:color w:val="000000"/>
                <w:sz w:val="20"/>
                <w:szCs w:val="20"/>
              </w:rPr>
              <w:t>Year Group</w:t>
            </w:r>
          </w:p>
        </w:tc>
        <w:tc>
          <w:tcPr>
            <w:tcW w:w="1415" w:type="dxa"/>
            <w:tcBorders>
              <w:top w:val="single" w:sz="4" w:space="0" w:color="auto"/>
              <w:bottom w:val="single" w:sz="4" w:space="0" w:color="auto"/>
            </w:tcBorders>
            <w:shd w:val="clear" w:color="auto" w:fill="auto"/>
            <w:noWrap/>
            <w:vAlign w:val="bottom"/>
            <w:hideMark/>
          </w:tcPr>
          <w:p w:rsidR="00F540F4" w:rsidRPr="001E36F7" w:rsidRDefault="00F540F4" w:rsidP="00F540F4">
            <w:pPr>
              <w:jc w:val="center"/>
              <w:rPr>
                <w:b/>
                <w:color w:val="000000"/>
                <w:sz w:val="20"/>
                <w:szCs w:val="20"/>
              </w:rPr>
            </w:pPr>
            <w:r w:rsidRPr="001E36F7">
              <w:rPr>
                <w:b/>
                <w:color w:val="000000"/>
                <w:sz w:val="20"/>
                <w:szCs w:val="20"/>
              </w:rPr>
              <w:t>Average</w:t>
            </w:r>
          </w:p>
        </w:tc>
        <w:tc>
          <w:tcPr>
            <w:tcW w:w="1622" w:type="dxa"/>
            <w:tcBorders>
              <w:top w:val="single" w:sz="4" w:space="0" w:color="auto"/>
              <w:bottom w:val="single" w:sz="4" w:space="0" w:color="auto"/>
            </w:tcBorders>
            <w:shd w:val="clear" w:color="auto" w:fill="auto"/>
            <w:noWrap/>
            <w:vAlign w:val="bottom"/>
            <w:hideMark/>
          </w:tcPr>
          <w:p w:rsidR="00F540F4" w:rsidRPr="001E36F7" w:rsidRDefault="00F540F4" w:rsidP="00F540F4">
            <w:pPr>
              <w:jc w:val="center"/>
              <w:rPr>
                <w:b/>
                <w:color w:val="000000"/>
                <w:sz w:val="20"/>
                <w:szCs w:val="20"/>
              </w:rPr>
            </w:pPr>
            <w:r w:rsidRPr="001E36F7">
              <w:rPr>
                <w:b/>
                <w:color w:val="000000"/>
                <w:sz w:val="20"/>
                <w:szCs w:val="20"/>
              </w:rPr>
              <w:t>Slightly raised</w:t>
            </w:r>
          </w:p>
        </w:tc>
        <w:tc>
          <w:tcPr>
            <w:tcW w:w="1348" w:type="dxa"/>
            <w:tcBorders>
              <w:top w:val="single" w:sz="4" w:space="0" w:color="auto"/>
              <w:bottom w:val="single" w:sz="4" w:space="0" w:color="auto"/>
            </w:tcBorders>
            <w:shd w:val="clear" w:color="auto" w:fill="auto"/>
            <w:noWrap/>
            <w:vAlign w:val="bottom"/>
            <w:hideMark/>
          </w:tcPr>
          <w:p w:rsidR="00F540F4" w:rsidRPr="001E36F7" w:rsidRDefault="00F540F4" w:rsidP="00F540F4">
            <w:pPr>
              <w:jc w:val="center"/>
              <w:rPr>
                <w:b/>
                <w:color w:val="000000"/>
                <w:sz w:val="20"/>
                <w:szCs w:val="20"/>
              </w:rPr>
            </w:pPr>
            <w:r w:rsidRPr="001E36F7">
              <w:rPr>
                <w:b/>
                <w:color w:val="000000"/>
                <w:sz w:val="20"/>
                <w:szCs w:val="20"/>
              </w:rPr>
              <w:t>High</w:t>
            </w:r>
          </w:p>
        </w:tc>
        <w:tc>
          <w:tcPr>
            <w:tcW w:w="1350" w:type="dxa"/>
            <w:tcBorders>
              <w:top w:val="single" w:sz="4" w:space="0" w:color="auto"/>
              <w:bottom w:val="single" w:sz="4" w:space="0" w:color="auto"/>
            </w:tcBorders>
            <w:shd w:val="clear" w:color="auto" w:fill="auto"/>
            <w:noWrap/>
            <w:vAlign w:val="bottom"/>
            <w:hideMark/>
          </w:tcPr>
          <w:p w:rsidR="00F540F4" w:rsidRPr="001E36F7" w:rsidRDefault="00F540F4" w:rsidP="00F540F4">
            <w:pPr>
              <w:jc w:val="center"/>
              <w:rPr>
                <w:b/>
                <w:color w:val="000000"/>
                <w:sz w:val="20"/>
                <w:szCs w:val="20"/>
              </w:rPr>
            </w:pPr>
            <w:r w:rsidRPr="001E36F7">
              <w:rPr>
                <w:b/>
                <w:color w:val="000000"/>
                <w:sz w:val="20"/>
                <w:szCs w:val="20"/>
              </w:rPr>
              <w:t>Very high</w:t>
            </w:r>
          </w:p>
        </w:tc>
        <w:tc>
          <w:tcPr>
            <w:tcW w:w="1080" w:type="dxa"/>
            <w:tcBorders>
              <w:top w:val="single" w:sz="4" w:space="0" w:color="auto"/>
              <w:bottom w:val="single" w:sz="4" w:space="0" w:color="auto"/>
            </w:tcBorders>
            <w:vAlign w:val="bottom"/>
          </w:tcPr>
          <w:p w:rsidR="00F540F4" w:rsidRPr="001E36F7" w:rsidRDefault="00F540F4" w:rsidP="00F540F4">
            <w:pPr>
              <w:jc w:val="center"/>
              <w:rPr>
                <w:b/>
                <w:color w:val="000000"/>
                <w:sz w:val="20"/>
                <w:szCs w:val="20"/>
              </w:rPr>
            </w:pPr>
            <w:r w:rsidRPr="001E36F7">
              <w:rPr>
                <w:b/>
                <w:color w:val="000000"/>
                <w:sz w:val="20"/>
                <w:szCs w:val="20"/>
              </w:rPr>
              <w:t>P-value</w:t>
            </w:r>
          </w:p>
        </w:tc>
      </w:tr>
      <w:tr w:rsidR="00F540F4" w:rsidRPr="001E36F7" w:rsidTr="00F540F4">
        <w:trPr>
          <w:trHeight w:val="87"/>
        </w:trPr>
        <w:tc>
          <w:tcPr>
            <w:tcW w:w="1526" w:type="dxa"/>
            <w:vMerge w:val="restart"/>
            <w:tcBorders>
              <w:top w:val="single" w:sz="4" w:space="0" w:color="auto"/>
              <w:bottom w:val="nil"/>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t>Total Difficulties </w:t>
            </w:r>
          </w:p>
        </w:tc>
        <w:tc>
          <w:tcPr>
            <w:tcW w:w="1195" w:type="dxa"/>
            <w:tcBorders>
              <w:top w:val="single" w:sz="4" w:space="0" w:color="auto"/>
              <w:bottom w:val="nil"/>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Year 8</w:t>
            </w:r>
          </w:p>
        </w:tc>
        <w:tc>
          <w:tcPr>
            <w:tcW w:w="1415"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2121 (73%)</w:t>
            </w:r>
          </w:p>
        </w:tc>
        <w:tc>
          <w:tcPr>
            <w:tcW w:w="1622"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352 (12%)</w:t>
            </w:r>
          </w:p>
        </w:tc>
        <w:tc>
          <w:tcPr>
            <w:tcW w:w="1348"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151 (5%)</w:t>
            </w:r>
          </w:p>
        </w:tc>
        <w:tc>
          <w:tcPr>
            <w:tcW w:w="1350"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274 (9%)</w:t>
            </w:r>
          </w:p>
        </w:tc>
        <w:tc>
          <w:tcPr>
            <w:tcW w:w="1080" w:type="dxa"/>
            <w:vMerge w:val="restart"/>
            <w:tcBorders>
              <w:top w:val="single" w:sz="4" w:space="0" w:color="auto"/>
              <w:bottom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0.001</w:t>
            </w:r>
          </w:p>
        </w:tc>
      </w:tr>
      <w:tr w:rsidR="00F540F4" w:rsidRPr="001E36F7" w:rsidTr="00F540F4">
        <w:trPr>
          <w:trHeight w:val="255"/>
        </w:trPr>
        <w:tc>
          <w:tcPr>
            <w:tcW w:w="1526" w:type="dxa"/>
            <w:vMerge/>
            <w:tcBorders>
              <w:top w:val="nil"/>
              <w:bottom w:val="nil"/>
            </w:tcBorders>
            <w:shd w:val="clear" w:color="auto" w:fill="auto"/>
            <w:noWrap/>
            <w:vAlign w:val="bottom"/>
            <w:hideMark/>
          </w:tcPr>
          <w:p w:rsidR="00F540F4" w:rsidRPr="001E36F7" w:rsidRDefault="00F540F4" w:rsidP="00F540F4">
            <w:pPr>
              <w:rPr>
                <w:b/>
                <w:color w:val="000000"/>
                <w:sz w:val="20"/>
                <w:szCs w:val="20"/>
              </w:rPr>
            </w:pPr>
          </w:p>
        </w:tc>
        <w:tc>
          <w:tcPr>
            <w:tcW w:w="1195" w:type="dxa"/>
            <w:tcBorders>
              <w:top w:val="nil"/>
              <w:bottom w:val="nil"/>
            </w:tcBorders>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Year 9</w:t>
            </w:r>
          </w:p>
        </w:tc>
        <w:tc>
          <w:tcPr>
            <w:tcW w:w="1415"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1280 (75%)</w:t>
            </w:r>
          </w:p>
        </w:tc>
        <w:tc>
          <w:tcPr>
            <w:tcW w:w="1622"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177 (10%)</w:t>
            </w:r>
          </w:p>
        </w:tc>
        <w:tc>
          <w:tcPr>
            <w:tcW w:w="1348"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100 (6%)</w:t>
            </w:r>
          </w:p>
        </w:tc>
        <w:tc>
          <w:tcPr>
            <w:tcW w:w="1350"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151 (9%)</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526" w:type="dxa"/>
            <w:vMerge/>
            <w:tcBorders>
              <w:top w:val="nil"/>
              <w:bottom w:val="single" w:sz="4" w:space="0" w:color="auto"/>
            </w:tcBorders>
            <w:shd w:val="clear" w:color="auto" w:fill="auto"/>
            <w:noWrap/>
            <w:vAlign w:val="bottom"/>
          </w:tcPr>
          <w:p w:rsidR="00F540F4" w:rsidRPr="001E36F7" w:rsidRDefault="00F540F4" w:rsidP="00F540F4">
            <w:pPr>
              <w:rPr>
                <w:b/>
                <w:color w:val="000000"/>
                <w:sz w:val="20"/>
                <w:szCs w:val="20"/>
              </w:rPr>
            </w:pPr>
          </w:p>
        </w:tc>
        <w:tc>
          <w:tcPr>
            <w:tcW w:w="1195" w:type="dxa"/>
            <w:tcBorders>
              <w:top w:val="nil"/>
              <w:bottom w:val="single" w:sz="4" w:space="0" w:color="auto"/>
            </w:tcBorders>
            <w:shd w:val="clear" w:color="auto" w:fill="auto"/>
            <w:noWrap/>
            <w:vAlign w:val="bottom"/>
          </w:tcPr>
          <w:p w:rsidR="00F540F4" w:rsidRPr="001E36F7" w:rsidRDefault="00F540F4" w:rsidP="00F540F4">
            <w:pPr>
              <w:rPr>
                <w:color w:val="000000"/>
                <w:sz w:val="20"/>
                <w:szCs w:val="20"/>
              </w:rPr>
            </w:pPr>
            <w:r w:rsidRPr="001E36F7">
              <w:rPr>
                <w:color w:val="000000"/>
                <w:sz w:val="20"/>
                <w:szCs w:val="20"/>
              </w:rPr>
              <w:t>Year 11</w:t>
            </w:r>
          </w:p>
        </w:tc>
        <w:tc>
          <w:tcPr>
            <w:tcW w:w="1415"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1097 (69%)</w:t>
            </w:r>
          </w:p>
        </w:tc>
        <w:tc>
          <w:tcPr>
            <w:tcW w:w="1622"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219 (14%)</w:t>
            </w:r>
          </w:p>
        </w:tc>
        <w:tc>
          <w:tcPr>
            <w:tcW w:w="1348"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119 (7%)</w:t>
            </w:r>
          </w:p>
        </w:tc>
        <w:tc>
          <w:tcPr>
            <w:tcW w:w="1350"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159 (10%)</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526" w:type="dxa"/>
            <w:vMerge w:val="restart"/>
            <w:tcBorders>
              <w:top w:val="single" w:sz="4" w:space="0" w:color="auto"/>
              <w:bottom w:val="nil"/>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t>Emotion</w:t>
            </w:r>
          </w:p>
        </w:tc>
        <w:tc>
          <w:tcPr>
            <w:tcW w:w="1195" w:type="dxa"/>
            <w:tcBorders>
              <w:top w:val="single" w:sz="4" w:space="0" w:color="auto"/>
              <w:bottom w:val="nil"/>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Year 8</w:t>
            </w:r>
          </w:p>
        </w:tc>
        <w:tc>
          <w:tcPr>
            <w:tcW w:w="1415"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2032 (70%)</w:t>
            </w:r>
          </w:p>
        </w:tc>
        <w:tc>
          <w:tcPr>
            <w:tcW w:w="1622"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294 (10%)</w:t>
            </w:r>
          </w:p>
        </w:tc>
        <w:tc>
          <w:tcPr>
            <w:tcW w:w="1348"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226 (8%)</w:t>
            </w:r>
          </w:p>
        </w:tc>
        <w:tc>
          <w:tcPr>
            <w:tcW w:w="1350"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350 (12%)</w:t>
            </w:r>
          </w:p>
        </w:tc>
        <w:tc>
          <w:tcPr>
            <w:tcW w:w="1080" w:type="dxa"/>
            <w:vMerge w:val="restart"/>
            <w:tcBorders>
              <w:top w:val="single" w:sz="4" w:space="0" w:color="auto"/>
              <w:bottom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&lt;0.001</w:t>
            </w:r>
          </w:p>
        </w:tc>
      </w:tr>
      <w:tr w:rsidR="00F540F4" w:rsidRPr="001E36F7" w:rsidTr="00F540F4">
        <w:trPr>
          <w:trHeight w:val="255"/>
        </w:trPr>
        <w:tc>
          <w:tcPr>
            <w:tcW w:w="1526" w:type="dxa"/>
            <w:vMerge/>
            <w:tcBorders>
              <w:top w:val="nil"/>
              <w:bottom w:val="nil"/>
            </w:tcBorders>
            <w:shd w:val="clear" w:color="auto" w:fill="auto"/>
            <w:noWrap/>
            <w:vAlign w:val="bottom"/>
            <w:hideMark/>
          </w:tcPr>
          <w:p w:rsidR="00F540F4" w:rsidRPr="001E36F7" w:rsidRDefault="00F540F4" w:rsidP="00F540F4">
            <w:pPr>
              <w:rPr>
                <w:b/>
                <w:color w:val="000000"/>
                <w:sz w:val="20"/>
                <w:szCs w:val="20"/>
              </w:rPr>
            </w:pPr>
          </w:p>
        </w:tc>
        <w:tc>
          <w:tcPr>
            <w:tcW w:w="1195" w:type="dxa"/>
            <w:tcBorders>
              <w:top w:val="nil"/>
              <w:bottom w:val="nil"/>
            </w:tcBorders>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Year 9</w:t>
            </w:r>
          </w:p>
        </w:tc>
        <w:tc>
          <w:tcPr>
            <w:tcW w:w="1415"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1203 (70%)</w:t>
            </w:r>
          </w:p>
        </w:tc>
        <w:tc>
          <w:tcPr>
            <w:tcW w:w="1622"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169 (10%)</w:t>
            </w:r>
          </w:p>
        </w:tc>
        <w:tc>
          <w:tcPr>
            <w:tcW w:w="1348"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113 (7%)</w:t>
            </w:r>
          </w:p>
        </w:tc>
        <w:tc>
          <w:tcPr>
            <w:tcW w:w="1350"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225 (13%)</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526" w:type="dxa"/>
            <w:vMerge/>
            <w:tcBorders>
              <w:top w:val="nil"/>
              <w:bottom w:val="single" w:sz="4" w:space="0" w:color="auto"/>
            </w:tcBorders>
            <w:shd w:val="clear" w:color="auto" w:fill="auto"/>
            <w:noWrap/>
            <w:vAlign w:val="bottom"/>
          </w:tcPr>
          <w:p w:rsidR="00F540F4" w:rsidRPr="001E36F7" w:rsidRDefault="00F540F4" w:rsidP="00F540F4">
            <w:pPr>
              <w:rPr>
                <w:b/>
                <w:color w:val="000000"/>
                <w:sz w:val="20"/>
                <w:szCs w:val="20"/>
              </w:rPr>
            </w:pPr>
          </w:p>
        </w:tc>
        <w:tc>
          <w:tcPr>
            <w:tcW w:w="1195" w:type="dxa"/>
            <w:tcBorders>
              <w:top w:val="nil"/>
              <w:bottom w:val="single" w:sz="4" w:space="0" w:color="auto"/>
            </w:tcBorders>
            <w:shd w:val="clear" w:color="auto" w:fill="auto"/>
            <w:noWrap/>
            <w:vAlign w:val="bottom"/>
          </w:tcPr>
          <w:p w:rsidR="00F540F4" w:rsidRPr="001E36F7" w:rsidRDefault="00F540F4" w:rsidP="00F540F4">
            <w:pPr>
              <w:rPr>
                <w:color w:val="000000"/>
                <w:sz w:val="20"/>
                <w:szCs w:val="20"/>
              </w:rPr>
            </w:pPr>
            <w:r w:rsidRPr="001E36F7">
              <w:rPr>
                <w:color w:val="000000"/>
                <w:sz w:val="20"/>
                <w:szCs w:val="20"/>
              </w:rPr>
              <w:t>Year 11</w:t>
            </w:r>
          </w:p>
        </w:tc>
        <w:tc>
          <w:tcPr>
            <w:tcW w:w="1415"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998 (62%)</w:t>
            </w:r>
          </w:p>
        </w:tc>
        <w:tc>
          <w:tcPr>
            <w:tcW w:w="1622"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156 (10%)</w:t>
            </w:r>
          </w:p>
        </w:tc>
        <w:tc>
          <w:tcPr>
            <w:tcW w:w="1348"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162 (10%)</w:t>
            </w:r>
          </w:p>
        </w:tc>
        <w:tc>
          <w:tcPr>
            <w:tcW w:w="1350"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281 (18%)</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526" w:type="dxa"/>
            <w:vMerge w:val="restart"/>
            <w:tcBorders>
              <w:top w:val="single" w:sz="4" w:space="0" w:color="auto"/>
              <w:bottom w:val="nil"/>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t>Conduct</w:t>
            </w:r>
          </w:p>
        </w:tc>
        <w:tc>
          <w:tcPr>
            <w:tcW w:w="1195" w:type="dxa"/>
            <w:tcBorders>
              <w:top w:val="single" w:sz="4" w:space="0" w:color="auto"/>
              <w:bottom w:val="nil"/>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Year 8</w:t>
            </w:r>
          </w:p>
        </w:tc>
        <w:tc>
          <w:tcPr>
            <w:tcW w:w="1415"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2387 (82%)</w:t>
            </w:r>
          </w:p>
        </w:tc>
        <w:tc>
          <w:tcPr>
            <w:tcW w:w="1622"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231 (8%)</w:t>
            </w:r>
          </w:p>
        </w:tc>
        <w:tc>
          <w:tcPr>
            <w:tcW w:w="1348"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145 (5%)</w:t>
            </w:r>
          </w:p>
        </w:tc>
        <w:tc>
          <w:tcPr>
            <w:tcW w:w="1350"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139 (5%)</w:t>
            </w:r>
          </w:p>
        </w:tc>
        <w:tc>
          <w:tcPr>
            <w:tcW w:w="1080" w:type="dxa"/>
            <w:vMerge w:val="restart"/>
            <w:tcBorders>
              <w:top w:val="single" w:sz="4" w:space="0" w:color="auto"/>
              <w:bottom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0.163</w:t>
            </w:r>
          </w:p>
        </w:tc>
      </w:tr>
      <w:tr w:rsidR="00F540F4" w:rsidRPr="001E36F7" w:rsidTr="00F540F4">
        <w:trPr>
          <w:trHeight w:val="255"/>
        </w:trPr>
        <w:tc>
          <w:tcPr>
            <w:tcW w:w="1526" w:type="dxa"/>
            <w:vMerge/>
            <w:tcBorders>
              <w:top w:val="nil"/>
              <w:bottom w:val="nil"/>
            </w:tcBorders>
            <w:shd w:val="clear" w:color="auto" w:fill="auto"/>
            <w:noWrap/>
            <w:vAlign w:val="bottom"/>
            <w:hideMark/>
          </w:tcPr>
          <w:p w:rsidR="00F540F4" w:rsidRPr="001E36F7" w:rsidRDefault="00F540F4" w:rsidP="00F540F4">
            <w:pPr>
              <w:rPr>
                <w:b/>
                <w:color w:val="000000"/>
                <w:sz w:val="20"/>
                <w:szCs w:val="20"/>
              </w:rPr>
            </w:pPr>
          </w:p>
        </w:tc>
        <w:tc>
          <w:tcPr>
            <w:tcW w:w="1195" w:type="dxa"/>
            <w:tcBorders>
              <w:top w:val="nil"/>
              <w:bottom w:val="nil"/>
            </w:tcBorders>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Year 9</w:t>
            </w:r>
          </w:p>
        </w:tc>
        <w:tc>
          <w:tcPr>
            <w:tcW w:w="1415"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1450 (85%)</w:t>
            </w:r>
          </w:p>
        </w:tc>
        <w:tc>
          <w:tcPr>
            <w:tcW w:w="1622"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116 (7%)</w:t>
            </w:r>
          </w:p>
        </w:tc>
        <w:tc>
          <w:tcPr>
            <w:tcW w:w="1348"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80 (5%)</w:t>
            </w:r>
          </w:p>
        </w:tc>
        <w:tc>
          <w:tcPr>
            <w:tcW w:w="1350"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63 (4%)</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526" w:type="dxa"/>
            <w:vMerge/>
            <w:tcBorders>
              <w:top w:val="nil"/>
              <w:bottom w:val="single" w:sz="4" w:space="0" w:color="auto"/>
            </w:tcBorders>
            <w:shd w:val="clear" w:color="auto" w:fill="auto"/>
            <w:noWrap/>
            <w:vAlign w:val="bottom"/>
          </w:tcPr>
          <w:p w:rsidR="00F540F4" w:rsidRPr="001E36F7" w:rsidRDefault="00F540F4" w:rsidP="00F540F4">
            <w:pPr>
              <w:rPr>
                <w:b/>
                <w:color w:val="000000"/>
                <w:sz w:val="20"/>
                <w:szCs w:val="20"/>
              </w:rPr>
            </w:pPr>
          </w:p>
        </w:tc>
        <w:tc>
          <w:tcPr>
            <w:tcW w:w="1195" w:type="dxa"/>
            <w:tcBorders>
              <w:top w:val="nil"/>
              <w:bottom w:val="single" w:sz="4" w:space="0" w:color="auto"/>
            </w:tcBorders>
            <w:shd w:val="clear" w:color="auto" w:fill="auto"/>
            <w:noWrap/>
            <w:vAlign w:val="bottom"/>
          </w:tcPr>
          <w:p w:rsidR="00F540F4" w:rsidRPr="001E36F7" w:rsidRDefault="00F540F4" w:rsidP="00F540F4">
            <w:pPr>
              <w:rPr>
                <w:color w:val="000000"/>
                <w:sz w:val="20"/>
                <w:szCs w:val="20"/>
              </w:rPr>
            </w:pPr>
            <w:r w:rsidRPr="001E36F7">
              <w:rPr>
                <w:color w:val="000000"/>
                <w:sz w:val="20"/>
                <w:szCs w:val="20"/>
              </w:rPr>
              <w:t>Year 11</w:t>
            </w:r>
          </w:p>
        </w:tc>
        <w:tc>
          <w:tcPr>
            <w:tcW w:w="1415"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1355 (85%)</w:t>
            </w:r>
          </w:p>
        </w:tc>
        <w:tc>
          <w:tcPr>
            <w:tcW w:w="1622"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114 (7%)</w:t>
            </w:r>
          </w:p>
        </w:tc>
        <w:tc>
          <w:tcPr>
            <w:tcW w:w="1348"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69 (4%)</w:t>
            </w:r>
          </w:p>
        </w:tc>
        <w:tc>
          <w:tcPr>
            <w:tcW w:w="1350"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58 (4%)</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526" w:type="dxa"/>
            <w:vMerge w:val="restart"/>
            <w:tcBorders>
              <w:top w:val="single" w:sz="4" w:space="0" w:color="auto"/>
              <w:bottom w:val="nil"/>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lastRenderedPageBreak/>
              <w:t>Hyperactivity</w:t>
            </w:r>
          </w:p>
        </w:tc>
        <w:tc>
          <w:tcPr>
            <w:tcW w:w="1195" w:type="dxa"/>
            <w:tcBorders>
              <w:top w:val="single" w:sz="4" w:space="0" w:color="auto"/>
              <w:bottom w:val="nil"/>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Year 8</w:t>
            </w:r>
          </w:p>
        </w:tc>
        <w:tc>
          <w:tcPr>
            <w:tcW w:w="1415"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2121 (73%)</w:t>
            </w:r>
          </w:p>
        </w:tc>
        <w:tc>
          <w:tcPr>
            <w:tcW w:w="1622"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283 (10%)</w:t>
            </w:r>
          </w:p>
        </w:tc>
        <w:tc>
          <w:tcPr>
            <w:tcW w:w="1348"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196 (7%)</w:t>
            </w:r>
          </w:p>
        </w:tc>
        <w:tc>
          <w:tcPr>
            <w:tcW w:w="1350"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301 (10%)</w:t>
            </w:r>
          </w:p>
        </w:tc>
        <w:tc>
          <w:tcPr>
            <w:tcW w:w="1080" w:type="dxa"/>
            <w:vMerge w:val="restart"/>
            <w:tcBorders>
              <w:top w:val="single" w:sz="4" w:space="0" w:color="auto"/>
              <w:bottom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0.402</w:t>
            </w:r>
          </w:p>
        </w:tc>
      </w:tr>
      <w:tr w:rsidR="00F540F4" w:rsidRPr="001E36F7" w:rsidTr="00F540F4">
        <w:trPr>
          <w:trHeight w:val="255"/>
        </w:trPr>
        <w:tc>
          <w:tcPr>
            <w:tcW w:w="1526" w:type="dxa"/>
            <w:vMerge/>
            <w:tcBorders>
              <w:top w:val="nil"/>
              <w:bottom w:val="nil"/>
            </w:tcBorders>
            <w:shd w:val="clear" w:color="auto" w:fill="auto"/>
            <w:noWrap/>
            <w:vAlign w:val="bottom"/>
            <w:hideMark/>
          </w:tcPr>
          <w:p w:rsidR="00F540F4" w:rsidRPr="001E36F7" w:rsidRDefault="00F540F4" w:rsidP="00F540F4">
            <w:pPr>
              <w:rPr>
                <w:b/>
                <w:color w:val="000000"/>
                <w:sz w:val="20"/>
                <w:szCs w:val="20"/>
              </w:rPr>
            </w:pPr>
          </w:p>
        </w:tc>
        <w:tc>
          <w:tcPr>
            <w:tcW w:w="1195" w:type="dxa"/>
            <w:tcBorders>
              <w:top w:val="nil"/>
              <w:bottom w:val="nil"/>
            </w:tcBorders>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Year 9</w:t>
            </w:r>
          </w:p>
        </w:tc>
        <w:tc>
          <w:tcPr>
            <w:tcW w:w="1415"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1249 (73%)</w:t>
            </w:r>
          </w:p>
        </w:tc>
        <w:tc>
          <w:tcPr>
            <w:tcW w:w="1622"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154 (9%)</w:t>
            </w:r>
          </w:p>
        </w:tc>
        <w:tc>
          <w:tcPr>
            <w:tcW w:w="1348"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123 (7%)</w:t>
            </w:r>
          </w:p>
        </w:tc>
        <w:tc>
          <w:tcPr>
            <w:tcW w:w="1350"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183 (11%)</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526" w:type="dxa"/>
            <w:vMerge/>
            <w:tcBorders>
              <w:top w:val="nil"/>
              <w:bottom w:val="single" w:sz="4" w:space="0" w:color="auto"/>
            </w:tcBorders>
            <w:shd w:val="clear" w:color="auto" w:fill="auto"/>
            <w:noWrap/>
            <w:vAlign w:val="bottom"/>
          </w:tcPr>
          <w:p w:rsidR="00F540F4" w:rsidRPr="001E36F7" w:rsidRDefault="00F540F4" w:rsidP="00F540F4">
            <w:pPr>
              <w:rPr>
                <w:b/>
                <w:color w:val="000000"/>
                <w:sz w:val="20"/>
                <w:szCs w:val="20"/>
              </w:rPr>
            </w:pPr>
          </w:p>
        </w:tc>
        <w:tc>
          <w:tcPr>
            <w:tcW w:w="1195" w:type="dxa"/>
            <w:tcBorders>
              <w:top w:val="nil"/>
              <w:bottom w:val="single" w:sz="4" w:space="0" w:color="auto"/>
            </w:tcBorders>
            <w:shd w:val="clear" w:color="auto" w:fill="auto"/>
            <w:noWrap/>
            <w:vAlign w:val="bottom"/>
          </w:tcPr>
          <w:p w:rsidR="00F540F4" w:rsidRPr="001E36F7" w:rsidRDefault="00F540F4" w:rsidP="00F540F4">
            <w:pPr>
              <w:rPr>
                <w:color w:val="000000"/>
                <w:sz w:val="20"/>
                <w:szCs w:val="20"/>
              </w:rPr>
            </w:pPr>
            <w:r w:rsidRPr="001E36F7">
              <w:rPr>
                <w:color w:val="000000"/>
                <w:sz w:val="20"/>
                <w:szCs w:val="20"/>
              </w:rPr>
              <w:t>Year 11</w:t>
            </w:r>
          </w:p>
        </w:tc>
        <w:tc>
          <w:tcPr>
            <w:tcW w:w="1415"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1119 (70%)</w:t>
            </w:r>
          </w:p>
        </w:tc>
        <w:tc>
          <w:tcPr>
            <w:tcW w:w="1622"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171 (11%)</w:t>
            </w:r>
          </w:p>
        </w:tc>
        <w:tc>
          <w:tcPr>
            <w:tcW w:w="1348"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124 (8%)</w:t>
            </w:r>
          </w:p>
        </w:tc>
        <w:tc>
          <w:tcPr>
            <w:tcW w:w="1350"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180 (11%)</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526" w:type="dxa"/>
            <w:vMerge w:val="restart"/>
            <w:tcBorders>
              <w:top w:val="single" w:sz="4" w:space="0" w:color="auto"/>
              <w:bottom w:val="nil"/>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t>Peer Problems</w:t>
            </w:r>
          </w:p>
        </w:tc>
        <w:tc>
          <w:tcPr>
            <w:tcW w:w="1195" w:type="dxa"/>
            <w:tcBorders>
              <w:top w:val="single" w:sz="4" w:space="0" w:color="auto"/>
              <w:bottom w:val="nil"/>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Year 8</w:t>
            </w:r>
          </w:p>
        </w:tc>
        <w:tc>
          <w:tcPr>
            <w:tcW w:w="1415"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2103 (73%)</w:t>
            </w:r>
          </w:p>
        </w:tc>
        <w:tc>
          <w:tcPr>
            <w:tcW w:w="1622"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346 (12%)</w:t>
            </w:r>
          </w:p>
        </w:tc>
        <w:tc>
          <w:tcPr>
            <w:tcW w:w="1348"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212 (7%)</w:t>
            </w:r>
          </w:p>
        </w:tc>
        <w:tc>
          <w:tcPr>
            <w:tcW w:w="1350"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239 (8%)</w:t>
            </w:r>
          </w:p>
        </w:tc>
        <w:tc>
          <w:tcPr>
            <w:tcW w:w="1080" w:type="dxa"/>
            <w:vMerge w:val="restart"/>
            <w:tcBorders>
              <w:top w:val="single" w:sz="4" w:space="0" w:color="auto"/>
              <w:bottom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0.022</w:t>
            </w:r>
          </w:p>
        </w:tc>
      </w:tr>
      <w:tr w:rsidR="00F540F4" w:rsidRPr="001E36F7" w:rsidTr="00F540F4">
        <w:trPr>
          <w:trHeight w:val="255"/>
        </w:trPr>
        <w:tc>
          <w:tcPr>
            <w:tcW w:w="1526" w:type="dxa"/>
            <w:vMerge/>
            <w:tcBorders>
              <w:top w:val="nil"/>
              <w:bottom w:val="nil"/>
            </w:tcBorders>
            <w:shd w:val="clear" w:color="auto" w:fill="auto"/>
            <w:noWrap/>
            <w:vAlign w:val="bottom"/>
            <w:hideMark/>
          </w:tcPr>
          <w:p w:rsidR="00F540F4" w:rsidRPr="001E36F7" w:rsidRDefault="00F540F4" w:rsidP="00F540F4">
            <w:pPr>
              <w:rPr>
                <w:b/>
                <w:color w:val="000000"/>
                <w:sz w:val="20"/>
                <w:szCs w:val="20"/>
              </w:rPr>
            </w:pPr>
          </w:p>
        </w:tc>
        <w:tc>
          <w:tcPr>
            <w:tcW w:w="1195" w:type="dxa"/>
            <w:tcBorders>
              <w:top w:val="nil"/>
              <w:bottom w:val="nil"/>
            </w:tcBorders>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Year 9</w:t>
            </w:r>
          </w:p>
        </w:tc>
        <w:tc>
          <w:tcPr>
            <w:tcW w:w="1415"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1276 (75%)</w:t>
            </w:r>
          </w:p>
        </w:tc>
        <w:tc>
          <w:tcPr>
            <w:tcW w:w="1622"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205 (12%)</w:t>
            </w:r>
          </w:p>
        </w:tc>
        <w:tc>
          <w:tcPr>
            <w:tcW w:w="1348"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110 (6%)</w:t>
            </w:r>
          </w:p>
        </w:tc>
        <w:tc>
          <w:tcPr>
            <w:tcW w:w="1350"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118 (7%)</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526" w:type="dxa"/>
            <w:vMerge/>
            <w:tcBorders>
              <w:top w:val="nil"/>
              <w:bottom w:val="single" w:sz="4" w:space="0" w:color="auto"/>
            </w:tcBorders>
            <w:shd w:val="clear" w:color="auto" w:fill="auto"/>
            <w:noWrap/>
            <w:vAlign w:val="bottom"/>
          </w:tcPr>
          <w:p w:rsidR="00F540F4" w:rsidRPr="001E36F7" w:rsidRDefault="00F540F4" w:rsidP="00F540F4">
            <w:pPr>
              <w:rPr>
                <w:b/>
                <w:color w:val="000000"/>
                <w:sz w:val="20"/>
                <w:szCs w:val="20"/>
              </w:rPr>
            </w:pPr>
          </w:p>
        </w:tc>
        <w:tc>
          <w:tcPr>
            <w:tcW w:w="1195" w:type="dxa"/>
            <w:tcBorders>
              <w:top w:val="nil"/>
              <w:bottom w:val="single" w:sz="4" w:space="0" w:color="auto"/>
            </w:tcBorders>
            <w:shd w:val="clear" w:color="auto" w:fill="auto"/>
            <w:noWrap/>
            <w:vAlign w:val="bottom"/>
          </w:tcPr>
          <w:p w:rsidR="00F540F4" w:rsidRPr="001E36F7" w:rsidRDefault="00F540F4" w:rsidP="00F540F4">
            <w:pPr>
              <w:rPr>
                <w:color w:val="000000"/>
                <w:sz w:val="20"/>
                <w:szCs w:val="20"/>
              </w:rPr>
            </w:pPr>
            <w:r w:rsidRPr="001E36F7">
              <w:rPr>
                <w:color w:val="000000"/>
                <w:sz w:val="20"/>
                <w:szCs w:val="20"/>
              </w:rPr>
              <w:t>Year 11</w:t>
            </w:r>
          </w:p>
        </w:tc>
        <w:tc>
          <w:tcPr>
            <w:tcW w:w="1415"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1103 (69%)</w:t>
            </w:r>
          </w:p>
        </w:tc>
        <w:tc>
          <w:tcPr>
            <w:tcW w:w="1622"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224 (14%)</w:t>
            </w:r>
          </w:p>
        </w:tc>
        <w:tc>
          <w:tcPr>
            <w:tcW w:w="1348"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125 (8%)</w:t>
            </w:r>
          </w:p>
        </w:tc>
        <w:tc>
          <w:tcPr>
            <w:tcW w:w="1350"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144 (9%)</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526" w:type="dxa"/>
            <w:vMerge w:val="restart"/>
            <w:tcBorders>
              <w:top w:val="single" w:sz="4" w:space="0" w:color="auto"/>
              <w:bottom w:val="nil"/>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t>Prosocial</w:t>
            </w:r>
          </w:p>
        </w:tc>
        <w:tc>
          <w:tcPr>
            <w:tcW w:w="1195" w:type="dxa"/>
            <w:tcBorders>
              <w:top w:val="single" w:sz="4" w:space="0" w:color="auto"/>
              <w:bottom w:val="nil"/>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Year 8</w:t>
            </w:r>
          </w:p>
        </w:tc>
        <w:tc>
          <w:tcPr>
            <w:tcW w:w="1415"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1881 (65%)</w:t>
            </w:r>
          </w:p>
        </w:tc>
        <w:tc>
          <w:tcPr>
            <w:tcW w:w="1622"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427 (15%)</w:t>
            </w:r>
          </w:p>
        </w:tc>
        <w:tc>
          <w:tcPr>
            <w:tcW w:w="1348"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317 (11%)</w:t>
            </w:r>
          </w:p>
        </w:tc>
        <w:tc>
          <w:tcPr>
            <w:tcW w:w="1350" w:type="dxa"/>
            <w:tcBorders>
              <w:top w:val="single" w:sz="4" w:space="0" w:color="auto"/>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280 (10%)</w:t>
            </w:r>
          </w:p>
        </w:tc>
        <w:tc>
          <w:tcPr>
            <w:tcW w:w="1080" w:type="dxa"/>
            <w:vMerge w:val="restart"/>
            <w:tcBorders>
              <w:top w:val="single" w:sz="4" w:space="0" w:color="auto"/>
              <w:bottom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&lt;0.001</w:t>
            </w:r>
          </w:p>
        </w:tc>
      </w:tr>
      <w:tr w:rsidR="00F540F4" w:rsidRPr="001E36F7" w:rsidTr="00F540F4">
        <w:trPr>
          <w:trHeight w:val="255"/>
        </w:trPr>
        <w:tc>
          <w:tcPr>
            <w:tcW w:w="1526" w:type="dxa"/>
            <w:vMerge/>
            <w:tcBorders>
              <w:top w:val="nil"/>
              <w:bottom w:val="nil"/>
            </w:tcBorders>
            <w:shd w:val="clear" w:color="auto" w:fill="auto"/>
            <w:noWrap/>
            <w:vAlign w:val="bottom"/>
            <w:hideMark/>
          </w:tcPr>
          <w:p w:rsidR="00F540F4" w:rsidRPr="001E36F7" w:rsidRDefault="00F540F4" w:rsidP="00F540F4">
            <w:pPr>
              <w:rPr>
                <w:b/>
                <w:color w:val="000000"/>
                <w:sz w:val="20"/>
                <w:szCs w:val="20"/>
              </w:rPr>
            </w:pPr>
          </w:p>
        </w:tc>
        <w:tc>
          <w:tcPr>
            <w:tcW w:w="1195" w:type="dxa"/>
            <w:tcBorders>
              <w:top w:val="nil"/>
              <w:bottom w:val="nil"/>
            </w:tcBorders>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Year 9</w:t>
            </w:r>
          </w:p>
        </w:tc>
        <w:tc>
          <w:tcPr>
            <w:tcW w:w="1415"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1043 (61%)</w:t>
            </w:r>
          </w:p>
        </w:tc>
        <w:tc>
          <w:tcPr>
            <w:tcW w:w="1622"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266 (16%)</w:t>
            </w:r>
          </w:p>
        </w:tc>
        <w:tc>
          <w:tcPr>
            <w:tcW w:w="1348"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206 (12%)</w:t>
            </w:r>
          </w:p>
        </w:tc>
        <w:tc>
          <w:tcPr>
            <w:tcW w:w="1350" w:type="dxa"/>
            <w:tcBorders>
              <w:top w:val="nil"/>
              <w:bottom w:val="nil"/>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195 (11%)</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526" w:type="dxa"/>
            <w:vMerge/>
            <w:tcBorders>
              <w:top w:val="nil"/>
              <w:bottom w:val="single" w:sz="4" w:space="0" w:color="auto"/>
            </w:tcBorders>
            <w:shd w:val="clear" w:color="auto" w:fill="auto"/>
            <w:noWrap/>
            <w:vAlign w:val="bottom"/>
          </w:tcPr>
          <w:p w:rsidR="00F540F4" w:rsidRPr="001E36F7" w:rsidRDefault="00F540F4" w:rsidP="00F540F4">
            <w:pPr>
              <w:rPr>
                <w:b/>
                <w:color w:val="000000"/>
                <w:sz w:val="20"/>
                <w:szCs w:val="20"/>
              </w:rPr>
            </w:pPr>
          </w:p>
        </w:tc>
        <w:tc>
          <w:tcPr>
            <w:tcW w:w="1195" w:type="dxa"/>
            <w:tcBorders>
              <w:top w:val="nil"/>
              <w:bottom w:val="single" w:sz="4" w:space="0" w:color="auto"/>
            </w:tcBorders>
            <w:shd w:val="clear" w:color="auto" w:fill="auto"/>
            <w:noWrap/>
            <w:vAlign w:val="bottom"/>
          </w:tcPr>
          <w:p w:rsidR="00F540F4" w:rsidRPr="001E36F7" w:rsidRDefault="00F540F4" w:rsidP="00F540F4">
            <w:pPr>
              <w:rPr>
                <w:color w:val="000000"/>
                <w:sz w:val="20"/>
                <w:szCs w:val="20"/>
              </w:rPr>
            </w:pPr>
            <w:r w:rsidRPr="001E36F7">
              <w:rPr>
                <w:color w:val="000000"/>
                <w:sz w:val="20"/>
                <w:szCs w:val="20"/>
              </w:rPr>
              <w:t>Year 11</w:t>
            </w:r>
          </w:p>
        </w:tc>
        <w:tc>
          <w:tcPr>
            <w:tcW w:w="1415"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926 (58%)</w:t>
            </w:r>
          </w:p>
        </w:tc>
        <w:tc>
          <w:tcPr>
            <w:tcW w:w="1622"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238 (15%)</w:t>
            </w:r>
          </w:p>
        </w:tc>
        <w:tc>
          <w:tcPr>
            <w:tcW w:w="1348"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219 (14%)</w:t>
            </w:r>
          </w:p>
        </w:tc>
        <w:tc>
          <w:tcPr>
            <w:tcW w:w="1350" w:type="dxa"/>
            <w:tcBorders>
              <w:top w:val="nil"/>
              <w:bottom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218 (14%)</w:t>
            </w:r>
          </w:p>
        </w:tc>
        <w:tc>
          <w:tcPr>
            <w:tcW w:w="1080" w:type="dxa"/>
            <w:vMerge/>
            <w:tcBorders>
              <w:top w:val="nil"/>
              <w:bottom w:val="single" w:sz="4" w:space="0" w:color="auto"/>
            </w:tcBorders>
            <w:vAlign w:val="center"/>
          </w:tcPr>
          <w:p w:rsidR="00F540F4" w:rsidRPr="001E36F7" w:rsidRDefault="00F540F4" w:rsidP="00F540F4">
            <w:pPr>
              <w:jc w:val="center"/>
              <w:rPr>
                <w:color w:val="000000"/>
                <w:sz w:val="20"/>
                <w:szCs w:val="20"/>
              </w:rPr>
            </w:pPr>
          </w:p>
        </w:tc>
      </w:tr>
      <w:tr w:rsidR="00F540F4" w:rsidRPr="001E36F7" w:rsidTr="00F540F4">
        <w:trPr>
          <w:trHeight w:val="255"/>
        </w:trPr>
        <w:tc>
          <w:tcPr>
            <w:tcW w:w="1526" w:type="dxa"/>
            <w:vMerge w:val="restart"/>
            <w:tcBorders>
              <w:top w:val="single" w:sz="4" w:space="0" w:color="auto"/>
            </w:tcBorders>
            <w:shd w:val="clear" w:color="auto" w:fill="auto"/>
            <w:vAlign w:val="center"/>
            <w:hideMark/>
          </w:tcPr>
          <w:p w:rsidR="00F540F4" w:rsidRPr="001E36F7" w:rsidRDefault="00F540F4" w:rsidP="00F540F4">
            <w:pPr>
              <w:rPr>
                <w:b/>
                <w:color w:val="000000"/>
                <w:sz w:val="20"/>
                <w:szCs w:val="20"/>
              </w:rPr>
            </w:pPr>
            <w:r w:rsidRPr="001E36F7">
              <w:rPr>
                <w:b/>
                <w:color w:val="000000"/>
                <w:sz w:val="20"/>
                <w:szCs w:val="20"/>
              </w:rPr>
              <w:t>Impact</w:t>
            </w:r>
          </w:p>
        </w:tc>
        <w:tc>
          <w:tcPr>
            <w:tcW w:w="1195" w:type="dxa"/>
            <w:tcBorders>
              <w:top w:val="single" w:sz="4" w:space="0" w:color="auto"/>
            </w:tcBorders>
            <w:shd w:val="clear" w:color="auto" w:fill="auto"/>
            <w:vAlign w:val="center"/>
            <w:hideMark/>
          </w:tcPr>
          <w:p w:rsidR="00F540F4" w:rsidRPr="001E36F7" w:rsidRDefault="00F540F4" w:rsidP="00F540F4">
            <w:pPr>
              <w:rPr>
                <w:color w:val="000000"/>
                <w:sz w:val="20"/>
                <w:szCs w:val="20"/>
              </w:rPr>
            </w:pPr>
            <w:r w:rsidRPr="001E36F7">
              <w:rPr>
                <w:color w:val="000000"/>
                <w:sz w:val="20"/>
                <w:szCs w:val="20"/>
              </w:rPr>
              <w:t>Year 8</w:t>
            </w:r>
          </w:p>
        </w:tc>
        <w:tc>
          <w:tcPr>
            <w:tcW w:w="1415" w:type="dxa"/>
            <w:tcBorders>
              <w:top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2019 (71%)</w:t>
            </w:r>
          </w:p>
        </w:tc>
        <w:tc>
          <w:tcPr>
            <w:tcW w:w="1622" w:type="dxa"/>
            <w:tcBorders>
              <w:top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306 (11%)</w:t>
            </w:r>
          </w:p>
        </w:tc>
        <w:tc>
          <w:tcPr>
            <w:tcW w:w="1348" w:type="dxa"/>
            <w:tcBorders>
              <w:top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211 (7%)</w:t>
            </w:r>
          </w:p>
        </w:tc>
        <w:tc>
          <w:tcPr>
            <w:tcW w:w="1350" w:type="dxa"/>
            <w:tcBorders>
              <w:top w:val="single" w:sz="4" w:space="0" w:color="auto"/>
            </w:tcBorders>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309 (11%)</w:t>
            </w:r>
          </w:p>
        </w:tc>
        <w:tc>
          <w:tcPr>
            <w:tcW w:w="1080" w:type="dxa"/>
            <w:vMerge w:val="restart"/>
            <w:tcBorders>
              <w:top w:val="single" w:sz="4" w:space="0" w:color="auto"/>
            </w:tcBorders>
            <w:vAlign w:val="center"/>
          </w:tcPr>
          <w:p w:rsidR="00F540F4" w:rsidRPr="001E36F7" w:rsidRDefault="00F540F4" w:rsidP="00F540F4">
            <w:pPr>
              <w:jc w:val="center"/>
              <w:rPr>
                <w:color w:val="000000"/>
                <w:sz w:val="20"/>
                <w:szCs w:val="20"/>
              </w:rPr>
            </w:pPr>
            <w:r w:rsidRPr="001E36F7">
              <w:rPr>
                <w:color w:val="000000"/>
                <w:sz w:val="20"/>
                <w:szCs w:val="20"/>
              </w:rPr>
              <w:t>0.004</w:t>
            </w:r>
          </w:p>
        </w:tc>
      </w:tr>
      <w:tr w:rsidR="00F540F4" w:rsidRPr="001E36F7" w:rsidTr="00F540F4">
        <w:trPr>
          <w:trHeight w:val="255"/>
        </w:trPr>
        <w:tc>
          <w:tcPr>
            <w:tcW w:w="1526" w:type="dxa"/>
            <w:vMerge/>
            <w:shd w:val="clear" w:color="auto" w:fill="auto"/>
            <w:noWrap/>
            <w:vAlign w:val="bottom"/>
            <w:hideMark/>
          </w:tcPr>
          <w:p w:rsidR="00F540F4" w:rsidRPr="001E36F7" w:rsidRDefault="00F540F4" w:rsidP="00F540F4">
            <w:pPr>
              <w:rPr>
                <w:color w:val="000000"/>
                <w:sz w:val="20"/>
                <w:szCs w:val="20"/>
              </w:rPr>
            </w:pPr>
          </w:p>
        </w:tc>
        <w:tc>
          <w:tcPr>
            <w:tcW w:w="1195" w:type="dxa"/>
            <w:shd w:val="clear" w:color="auto" w:fill="auto"/>
            <w:noWrap/>
            <w:vAlign w:val="bottom"/>
            <w:hideMark/>
          </w:tcPr>
          <w:p w:rsidR="00F540F4" w:rsidRPr="001E36F7" w:rsidRDefault="00F540F4" w:rsidP="00F540F4">
            <w:pPr>
              <w:rPr>
                <w:color w:val="000000"/>
                <w:sz w:val="20"/>
                <w:szCs w:val="20"/>
              </w:rPr>
            </w:pPr>
            <w:r w:rsidRPr="001E36F7">
              <w:rPr>
                <w:color w:val="000000"/>
                <w:sz w:val="20"/>
                <w:szCs w:val="20"/>
              </w:rPr>
              <w:t>Year 9</w:t>
            </w:r>
          </w:p>
        </w:tc>
        <w:tc>
          <w:tcPr>
            <w:tcW w:w="1415" w:type="dxa"/>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1220 (72%)</w:t>
            </w:r>
          </w:p>
        </w:tc>
        <w:tc>
          <w:tcPr>
            <w:tcW w:w="1622" w:type="dxa"/>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202 (12%)</w:t>
            </w:r>
          </w:p>
        </w:tc>
        <w:tc>
          <w:tcPr>
            <w:tcW w:w="1348" w:type="dxa"/>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108 (6%)</w:t>
            </w:r>
          </w:p>
        </w:tc>
        <w:tc>
          <w:tcPr>
            <w:tcW w:w="1350" w:type="dxa"/>
            <w:shd w:val="clear" w:color="auto" w:fill="auto"/>
            <w:noWrap/>
            <w:vAlign w:val="bottom"/>
          </w:tcPr>
          <w:p w:rsidR="00F540F4" w:rsidRPr="001E36F7" w:rsidRDefault="00F540F4" w:rsidP="00F540F4">
            <w:pPr>
              <w:jc w:val="center"/>
              <w:rPr>
                <w:color w:val="000000"/>
                <w:sz w:val="20"/>
                <w:szCs w:val="20"/>
              </w:rPr>
            </w:pPr>
            <w:r w:rsidRPr="001E36F7">
              <w:rPr>
                <w:color w:val="000000"/>
                <w:sz w:val="20"/>
                <w:szCs w:val="20"/>
              </w:rPr>
              <w:t>162 (10%)</w:t>
            </w:r>
          </w:p>
        </w:tc>
        <w:tc>
          <w:tcPr>
            <w:tcW w:w="1080" w:type="dxa"/>
            <w:vMerge/>
          </w:tcPr>
          <w:p w:rsidR="00F540F4" w:rsidRPr="001E36F7" w:rsidRDefault="00F540F4" w:rsidP="00F540F4">
            <w:pPr>
              <w:jc w:val="center"/>
              <w:rPr>
                <w:color w:val="000000"/>
                <w:sz w:val="20"/>
                <w:szCs w:val="20"/>
              </w:rPr>
            </w:pPr>
          </w:p>
        </w:tc>
      </w:tr>
      <w:tr w:rsidR="00F540F4" w:rsidRPr="00FF6E1C" w:rsidTr="00F540F4">
        <w:trPr>
          <w:trHeight w:val="255"/>
        </w:trPr>
        <w:tc>
          <w:tcPr>
            <w:tcW w:w="1526" w:type="dxa"/>
            <w:vMerge/>
            <w:shd w:val="clear" w:color="auto" w:fill="auto"/>
            <w:noWrap/>
            <w:vAlign w:val="bottom"/>
          </w:tcPr>
          <w:p w:rsidR="00F540F4" w:rsidRPr="00FF6E1C" w:rsidRDefault="00F540F4" w:rsidP="00F540F4">
            <w:pPr>
              <w:rPr>
                <w:color w:val="000000"/>
                <w:sz w:val="18"/>
                <w:szCs w:val="18"/>
              </w:rPr>
            </w:pPr>
          </w:p>
        </w:tc>
        <w:tc>
          <w:tcPr>
            <w:tcW w:w="1195" w:type="dxa"/>
            <w:shd w:val="clear" w:color="auto" w:fill="auto"/>
            <w:noWrap/>
            <w:vAlign w:val="bottom"/>
          </w:tcPr>
          <w:p w:rsidR="00F540F4" w:rsidRPr="00FF6E1C" w:rsidRDefault="00F540F4" w:rsidP="00F540F4">
            <w:pPr>
              <w:rPr>
                <w:color w:val="000000"/>
                <w:sz w:val="18"/>
                <w:szCs w:val="18"/>
              </w:rPr>
            </w:pPr>
            <w:r w:rsidRPr="00FF6E1C">
              <w:rPr>
                <w:color w:val="000000"/>
                <w:sz w:val="18"/>
                <w:szCs w:val="18"/>
              </w:rPr>
              <w:t>Year 11</w:t>
            </w:r>
          </w:p>
        </w:tc>
        <w:tc>
          <w:tcPr>
            <w:tcW w:w="1415" w:type="dxa"/>
            <w:shd w:val="clear" w:color="auto" w:fill="auto"/>
            <w:noWrap/>
            <w:vAlign w:val="bottom"/>
          </w:tcPr>
          <w:p w:rsidR="00F540F4" w:rsidRPr="00FF6E1C" w:rsidRDefault="00F540F4" w:rsidP="00F540F4">
            <w:pPr>
              <w:jc w:val="center"/>
              <w:rPr>
                <w:color w:val="000000"/>
                <w:sz w:val="18"/>
                <w:szCs w:val="18"/>
              </w:rPr>
            </w:pPr>
            <w:r w:rsidRPr="00FF6E1C">
              <w:rPr>
                <w:color w:val="000000"/>
                <w:sz w:val="18"/>
                <w:szCs w:val="18"/>
              </w:rPr>
              <w:t>1048 (67%)</w:t>
            </w:r>
          </w:p>
        </w:tc>
        <w:tc>
          <w:tcPr>
            <w:tcW w:w="1622" w:type="dxa"/>
            <w:shd w:val="clear" w:color="auto" w:fill="auto"/>
            <w:noWrap/>
            <w:vAlign w:val="bottom"/>
          </w:tcPr>
          <w:p w:rsidR="00F540F4" w:rsidRPr="00FF6E1C" w:rsidRDefault="00F540F4" w:rsidP="00F540F4">
            <w:pPr>
              <w:jc w:val="center"/>
              <w:rPr>
                <w:color w:val="000000"/>
                <w:sz w:val="18"/>
                <w:szCs w:val="18"/>
              </w:rPr>
            </w:pPr>
            <w:r w:rsidRPr="00FF6E1C">
              <w:rPr>
                <w:color w:val="000000"/>
                <w:sz w:val="18"/>
                <w:szCs w:val="18"/>
              </w:rPr>
              <w:t>197 (13%)</w:t>
            </w:r>
          </w:p>
        </w:tc>
        <w:tc>
          <w:tcPr>
            <w:tcW w:w="1348" w:type="dxa"/>
            <w:shd w:val="clear" w:color="auto" w:fill="auto"/>
            <w:noWrap/>
            <w:vAlign w:val="bottom"/>
          </w:tcPr>
          <w:p w:rsidR="00F540F4" w:rsidRPr="00FF6E1C" w:rsidRDefault="00F540F4" w:rsidP="00F540F4">
            <w:pPr>
              <w:jc w:val="center"/>
              <w:rPr>
                <w:color w:val="000000"/>
                <w:sz w:val="18"/>
                <w:szCs w:val="18"/>
              </w:rPr>
            </w:pPr>
            <w:r w:rsidRPr="00FF6E1C">
              <w:rPr>
                <w:color w:val="000000"/>
                <w:sz w:val="18"/>
                <w:szCs w:val="18"/>
              </w:rPr>
              <w:t>123 (8%)</w:t>
            </w:r>
          </w:p>
        </w:tc>
        <w:tc>
          <w:tcPr>
            <w:tcW w:w="1350" w:type="dxa"/>
            <w:shd w:val="clear" w:color="auto" w:fill="auto"/>
            <w:noWrap/>
            <w:vAlign w:val="bottom"/>
          </w:tcPr>
          <w:p w:rsidR="00F540F4" w:rsidRPr="00FF6E1C" w:rsidRDefault="00F540F4" w:rsidP="00F540F4">
            <w:pPr>
              <w:jc w:val="center"/>
              <w:rPr>
                <w:color w:val="000000"/>
                <w:sz w:val="18"/>
                <w:szCs w:val="18"/>
              </w:rPr>
            </w:pPr>
            <w:r w:rsidRPr="00FF6E1C">
              <w:rPr>
                <w:color w:val="000000"/>
                <w:sz w:val="18"/>
                <w:szCs w:val="18"/>
              </w:rPr>
              <w:t>207 (13%)</w:t>
            </w:r>
          </w:p>
        </w:tc>
        <w:tc>
          <w:tcPr>
            <w:tcW w:w="1080" w:type="dxa"/>
            <w:vMerge/>
          </w:tcPr>
          <w:p w:rsidR="00F540F4" w:rsidRPr="00FF6E1C" w:rsidRDefault="00F540F4" w:rsidP="00F540F4">
            <w:pPr>
              <w:jc w:val="center"/>
              <w:rPr>
                <w:color w:val="000000"/>
                <w:sz w:val="18"/>
                <w:szCs w:val="18"/>
              </w:rPr>
            </w:pPr>
          </w:p>
        </w:tc>
      </w:tr>
    </w:tbl>
    <w:p w:rsidR="00F540F4" w:rsidRDefault="00F540F4" w:rsidP="00F540F4">
      <w:pPr>
        <w:autoSpaceDE w:val="0"/>
        <w:autoSpaceDN w:val="0"/>
        <w:adjustRightInd w:val="0"/>
      </w:pPr>
    </w:p>
    <w:p w:rsidR="00F540F4" w:rsidRDefault="00F540F4" w:rsidP="00F540F4">
      <w:pPr>
        <w:autoSpaceDE w:val="0"/>
        <w:autoSpaceDN w:val="0"/>
        <w:adjustRightInd w:val="0"/>
      </w:pPr>
    </w:p>
    <w:p w:rsidR="0025086A" w:rsidRDefault="0025086A" w:rsidP="00F540F4">
      <w:pPr>
        <w:autoSpaceDE w:val="0"/>
        <w:autoSpaceDN w:val="0"/>
        <w:adjustRightInd w:val="0"/>
        <w:rPr>
          <w:b/>
        </w:rPr>
      </w:pPr>
    </w:p>
    <w:p w:rsidR="00F540F4" w:rsidRDefault="00F540F4" w:rsidP="0025086A">
      <w:pPr>
        <w:autoSpaceDE w:val="0"/>
        <w:autoSpaceDN w:val="0"/>
        <w:adjustRightInd w:val="0"/>
        <w:spacing w:line="276" w:lineRule="auto"/>
        <w:jc w:val="both"/>
        <w:rPr>
          <w:b/>
        </w:rPr>
      </w:pPr>
      <w:r w:rsidRPr="00044D29">
        <w:rPr>
          <w:b/>
        </w:rPr>
        <w:t>Social media</w:t>
      </w:r>
    </w:p>
    <w:p w:rsidR="0025086A" w:rsidRPr="00044D29" w:rsidRDefault="0025086A" w:rsidP="0025086A">
      <w:pPr>
        <w:autoSpaceDE w:val="0"/>
        <w:autoSpaceDN w:val="0"/>
        <w:adjustRightInd w:val="0"/>
        <w:spacing w:line="276" w:lineRule="auto"/>
        <w:jc w:val="both"/>
        <w:rPr>
          <w:b/>
        </w:rPr>
      </w:pPr>
    </w:p>
    <w:p w:rsidR="00F540F4" w:rsidRDefault="00F540F4" w:rsidP="0025086A">
      <w:pPr>
        <w:autoSpaceDE w:val="0"/>
        <w:autoSpaceDN w:val="0"/>
        <w:adjustRightInd w:val="0"/>
        <w:spacing w:line="276" w:lineRule="auto"/>
        <w:jc w:val="both"/>
      </w:pPr>
      <w:r>
        <w:t>46% of pupils thought that social media had a positive effect on their overall mood, compared to only 6% who thought social media had a negative effect on their overall mood. 41% responded as social media having neither a positive or negative overall effect, and the remaining 7% did not complete this question.</w:t>
      </w:r>
    </w:p>
    <w:p w:rsidR="00F540F4" w:rsidRDefault="00F540F4" w:rsidP="0025086A">
      <w:pPr>
        <w:autoSpaceDE w:val="0"/>
        <w:autoSpaceDN w:val="0"/>
        <w:adjustRightInd w:val="0"/>
        <w:spacing w:line="276" w:lineRule="auto"/>
        <w:jc w:val="both"/>
      </w:pPr>
    </w:p>
    <w:p w:rsidR="00F540F4" w:rsidRDefault="00F540F4" w:rsidP="0025086A">
      <w:pPr>
        <w:autoSpaceDE w:val="0"/>
        <w:autoSpaceDN w:val="0"/>
        <w:adjustRightInd w:val="0"/>
        <w:spacing w:line="276" w:lineRule="auto"/>
        <w:jc w:val="both"/>
      </w:pPr>
      <w:r>
        <w:t>Of those 46% of pupils who thought that social media had a positive impact on their mood, 5% reported they were feeling ‘very worried, sad or unhappy’ on the final well-being question on the EQ-5D-Y. In comparison, of the 6% of pupils who felt that social media had a negative impact on their mood, 20% reported they were feeling ‘very worried, sad or unhappy’.</w:t>
      </w:r>
    </w:p>
    <w:p w:rsidR="00F540F4" w:rsidRDefault="00F540F4" w:rsidP="0025086A">
      <w:pPr>
        <w:autoSpaceDE w:val="0"/>
        <w:autoSpaceDN w:val="0"/>
        <w:adjustRightInd w:val="0"/>
        <w:spacing w:line="276" w:lineRule="auto"/>
        <w:jc w:val="both"/>
      </w:pPr>
    </w:p>
    <w:p w:rsidR="00F540F4" w:rsidRDefault="00F540F4" w:rsidP="0025086A">
      <w:pPr>
        <w:autoSpaceDE w:val="0"/>
        <w:autoSpaceDN w:val="0"/>
        <w:adjustRightInd w:val="0"/>
        <w:spacing w:line="276" w:lineRule="auto"/>
        <w:jc w:val="both"/>
      </w:pPr>
      <w:r>
        <w:t>The second question asked pupils to rate how much they felt using social media had impacted</w:t>
      </w:r>
    </w:p>
    <w:p w:rsidR="00F540F4" w:rsidRDefault="00F540F4" w:rsidP="0025086A">
      <w:pPr>
        <w:autoSpaceDE w:val="0"/>
        <w:autoSpaceDN w:val="0"/>
        <w:adjustRightInd w:val="0"/>
        <w:spacing w:line="276" w:lineRule="auto"/>
        <w:jc w:val="both"/>
      </w:pPr>
      <w:r>
        <w:t>their mood over the past week. Overall, 44% of pupils responded as ‘not at all’, 38% responded with ‘some of the time’, 11% responded with ‘more than half the time’ and 4% responded with ‘all of the time’. The remaining 4% did not complete this question. When scores were split according to whether the pupils reported social media as having either a positive or negative effect on their mood for the first question, the impact scores remained similar (Table 8).</w:t>
      </w:r>
    </w:p>
    <w:p w:rsidR="00F540F4" w:rsidRPr="00044D29" w:rsidRDefault="00F540F4" w:rsidP="00F540F4">
      <w:pPr>
        <w:autoSpaceDE w:val="0"/>
        <w:autoSpaceDN w:val="0"/>
        <w:adjustRightInd w:val="0"/>
        <w:rPr>
          <w:b/>
        </w:rPr>
      </w:pPr>
    </w:p>
    <w:p w:rsidR="00F540F4" w:rsidRDefault="00F540F4" w:rsidP="0025086A">
      <w:pPr>
        <w:autoSpaceDE w:val="0"/>
        <w:autoSpaceDN w:val="0"/>
        <w:adjustRightInd w:val="0"/>
        <w:spacing w:line="276" w:lineRule="auto"/>
        <w:jc w:val="both"/>
        <w:rPr>
          <w:b/>
        </w:rPr>
      </w:pPr>
      <w:r w:rsidRPr="00044D29">
        <w:rPr>
          <w:b/>
        </w:rPr>
        <w:t>Resource use</w:t>
      </w:r>
    </w:p>
    <w:p w:rsidR="0025086A" w:rsidRPr="00044D29" w:rsidRDefault="0025086A" w:rsidP="0025086A">
      <w:pPr>
        <w:autoSpaceDE w:val="0"/>
        <w:autoSpaceDN w:val="0"/>
        <w:adjustRightInd w:val="0"/>
        <w:spacing w:line="276" w:lineRule="auto"/>
        <w:jc w:val="both"/>
        <w:rPr>
          <w:b/>
        </w:rPr>
      </w:pPr>
    </w:p>
    <w:p w:rsidR="00044D29" w:rsidRDefault="00F540F4" w:rsidP="0025086A">
      <w:pPr>
        <w:autoSpaceDE w:val="0"/>
        <w:autoSpaceDN w:val="0"/>
        <w:adjustRightInd w:val="0"/>
        <w:spacing w:line="276" w:lineRule="auto"/>
        <w:jc w:val="both"/>
      </w:pPr>
      <w:r>
        <w:t>A bespoke resource use questionnaire was completed by the pupils. This asked them to record the number and type of services they had accessed in the past 12 months. General health services were the most commonly accessed, with over 57% of pupils having accessed at least one service in the past 12 months. 26% of pupils recorded having accessed a school-based service (e.g. school nurse,</w:t>
      </w:r>
      <w:r w:rsidR="00044D29" w:rsidRPr="00044D29">
        <w:t xml:space="preserve"> </w:t>
      </w:r>
      <w:r w:rsidR="00044D29">
        <w:t>school well-being worker or school counsellor), and 6% had accessed specific mental health services.</w:t>
      </w:r>
    </w:p>
    <w:p w:rsidR="0025086A" w:rsidRDefault="0025086A" w:rsidP="0025086A">
      <w:pPr>
        <w:autoSpaceDE w:val="0"/>
        <w:autoSpaceDN w:val="0"/>
        <w:adjustRightInd w:val="0"/>
        <w:spacing w:line="276" w:lineRule="auto"/>
        <w:jc w:val="both"/>
      </w:pPr>
    </w:p>
    <w:p w:rsidR="00044D29" w:rsidRDefault="00044D29" w:rsidP="00F540F4">
      <w:pPr>
        <w:autoSpaceDE w:val="0"/>
        <w:autoSpaceDN w:val="0"/>
        <w:adjustRightInd w:val="0"/>
      </w:pPr>
    </w:p>
    <w:p w:rsidR="00044D29" w:rsidRPr="0007507E" w:rsidRDefault="00044D29" w:rsidP="00044D29">
      <w:pPr>
        <w:spacing w:line="480" w:lineRule="auto"/>
        <w:rPr>
          <w:b/>
          <w:sz w:val="22"/>
          <w:szCs w:val="22"/>
        </w:rPr>
      </w:pPr>
      <w:r w:rsidRPr="0007507E">
        <w:rPr>
          <w:b/>
          <w:sz w:val="22"/>
          <w:szCs w:val="22"/>
        </w:rPr>
        <w:lastRenderedPageBreak/>
        <w:t>Table 7: EQ5D</w:t>
      </w:r>
    </w:p>
    <w:tbl>
      <w:tblPr>
        <w:tblStyle w:val="TableGridLight1"/>
        <w:tblW w:w="10924" w:type="dxa"/>
        <w:tblInd w:w="-88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4"/>
        <w:gridCol w:w="708"/>
        <w:gridCol w:w="1276"/>
        <w:gridCol w:w="1279"/>
        <w:gridCol w:w="1166"/>
        <w:gridCol w:w="788"/>
        <w:gridCol w:w="1303"/>
        <w:gridCol w:w="1276"/>
        <w:gridCol w:w="1276"/>
        <w:gridCol w:w="708"/>
      </w:tblGrid>
      <w:tr w:rsidR="00044D29" w:rsidRPr="0050533C" w:rsidTr="001D2685">
        <w:trPr>
          <w:trHeight w:val="300"/>
        </w:trPr>
        <w:tc>
          <w:tcPr>
            <w:tcW w:w="1144" w:type="dxa"/>
            <w:tcBorders>
              <w:top w:val="single" w:sz="4" w:space="0" w:color="auto"/>
              <w:bottom w:val="single" w:sz="4" w:space="0" w:color="auto"/>
            </w:tcBorders>
            <w:noWrap/>
            <w:hideMark/>
          </w:tcPr>
          <w:p w:rsidR="00044D29" w:rsidRPr="0050533C" w:rsidRDefault="00044D29" w:rsidP="001D2685">
            <w:pPr>
              <w:rPr>
                <w:sz w:val="20"/>
                <w:szCs w:val="20"/>
              </w:rPr>
            </w:pPr>
          </w:p>
        </w:tc>
        <w:tc>
          <w:tcPr>
            <w:tcW w:w="708" w:type="dxa"/>
            <w:tcBorders>
              <w:top w:val="single" w:sz="4" w:space="0" w:color="auto"/>
              <w:bottom w:val="single" w:sz="4" w:space="0" w:color="auto"/>
            </w:tcBorders>
          </w:tcPr>
          <w:p w:rsidR="00044D29" w:rsidRPr="0079593D" w:rsidRDefault="00044D29" w:rsidP="001D2685">
            <w:pPr>
              <w:jc w:val="center"/>
              <w:rPr>
                <w:b/>
                <w:sz w:val="20"/>
                <w:szCs w:val="20"/>
              </w:rPr>
            </w:pPr>
            <w:r w:rsidRPr="0079593D">
              <w:rPr>
                <w:b/>
                <w:sz w:val="20"/>
                <w:szCs w:val="20"/>
              </w:rPr>
              <w:t>Score</w:t>
            </w:r>
          </w:p>
        </w:tc>
        <w:tc>
          <w:tcPr>
            <w:tcW w:w="1276" w:type="dxa"/>
            <w:tcBorders>
              <w:top w:val="single" w:sz="4" w:space="0" w:color="auto"/>
              <w:bottom w:val="single" w:sz="4" w:space="0" w:color="auto"/>
            </w:tcBorders>
            <w:noWrap/>
            <w:hideMark/>
          </w:tcPr>
          <w:p w:rsidR="00044D29" w:rsidRPr="0079593D" w:rsidRDefault="00044D29" w:rsidP="001D2685">
            <w:pPr>
              <w:jc w:val="center"/>
              <w:rPr>
                <w:b/>
                <w:sz w:val="20"/>
                <w:szCs w:val="20"/>
              </w:rPr>
            </w:pPr>
            <w:r w:rsidRPr="0079593D">
              <w:rPr>
                <w:b/>
                <w:sz w:val="20"/>
                <w:szCs w:val="20"/>
              </w:rPr>
              <w:t>Total</w:t>
            </w:r>
          </w:p>
        </w:tc>
        <w:tc>
          <w:tcPr>
            <w:tcW w:w="1279" w:type="dxa"/>
            <w:tcBorders>
              <w:top w:val="single" w:sz="4" w:space="0" w:color="auto"/>
              <w:bottom w:val="single" w:sz="4" w:space="0" w:color="auto"/>
            </w:tcBorders>
            <w:noWrap/>
            <w:hideMark/>
          </w:tcPr>
          <w:p w:rsidR="00044D29" w:rsidRPr="0079593D" w:rsidRDefault="00044D29" w:rsidP="001D2685">
            <w:pPr>
              <w:jc w:val="center"/>
              <w:rPr>
                <w:b/>
                <w:sz w:val="20"/>
                <w:szCs w:val="20"/>
              </w:rPr>
            </w:pPr>
            <w:r w:rsidRPr="0079593D">
              <w:rPr>
                <w:b/>
                <w:sz w:val="20"/>
                <w:szCs w:val="20"/>
              </w:rPr>
              <w:t>Males</w:t>
            </w:r>
          </w:p>
        </w:tc>
        <w:tc>
          <w:tcPr>
            <w:tcW w:w="1166" w:type="dxa"/>
            <w:tcBorders>
              <w:top w:val="single" w:sz="4" w:space="0" w:color="auto"/>
              <w:bottom w:val="single" w:sz="4" w:space="0" w:color="auto"/>
            </w:tcBorders>
            <w:noWrap/>
            <w:hideMark/>
          </w:tcPr>
          <w:p w:rsidR="00044D29" w:rsidRPr="0079593D" w:rsidRDefault="00044D29" w:rsidP="001D2685">
            <w:pPr>
              <w:jc w:val="center"/>
              <w:rPr>
                <w:b/>
                <w:sz w:val="20"/>
                <w:szCs w:val="20"/>
              </w:rPr>
            </w:pPr>
            <w:r w:rsidRPr="0079593D">
              <w:rPr>
                <w:b/>
                <w:sz w:val="20"/>
                <w:szCs w:val="20"/>
              </w:rPr>
              <w:t>Female</w:t>
            </w:r>
          </w:p>
        </w:tc>
        <w:tc>
          <w:tcPr>
            <w:tcW w:w="788" w:type="dxa"/>
            <w:tcBorders>
              <w:top w:val="single" w:sz="4" w:space="0" w:color="auto"/>
              <w:bottom w:val="nil"/>
              <w:right w:val="single" w:sz="4" w:space="0" w:color="auto"/>
            </w:tcBorders>
          </w:tcPr>
          <w:p w:rsidR="00044D29" w:rsidRPr="0079593D" w:rsidRDefault="00044D29" w:rsidP="001D2685">
            <w:pPr>
              <w:jc w:val="center"/>
              <w:rPr>
                <w:b/>
                <w:sz w:val="20"/>
                <w:szCs w:val="20"/>
              </w:rPr>
            </w:pPr>
            <w:r w:rsidRPr="0079593D">
              <w:rPr>
                <w:b/>
                <w:sz w:val="20"/>
                <w:szCs w:val="20"/>
              </w:rPr>
              <w:t>p-value</w:t>
            </w:r>
          </w:p>
        </w:tc>
        <w:tc>
          <w:tcPr>
            <w:tcW w:w="1303" w:type="dxa"/>
            <w:tcBorders>
              <w:top w:val="single" w:sz="4" w:space="0" w:color="auto"/>
              <w:left w:val="single" w:sz="4" w:space="0" w:color="auto"/>
              <w:bottom w:val="single" w:sz="4" w:space="0" w:color="auto"/>
            </w:tcBorders>
          </w:tcPr>
          <w:p w:rsidR="00044D29" w:rsidRPr="0079593D" w:rsidRDefault="00044D29" w:rsidP="001D2685">
            <w:pPr>
              <w:jc w:val="center"/>
              <w:rPr>
                <w:b/>
                <w:sz w:val="20"/>
                <w:szCs w:val="20"/>
              </w:rPr>
            </w:pPr>
            <w:r w:rsidRPr="0079593D">
              <w:rPr>
                <w:b/>
                <w:sz w:val="20"/>
                <w:szCs w:val="20"/>
              </w:rPr>
              <w:t>Year 8</w:t>
            </w:r>
          </w:p>
        </w:tc>
        <w:tc>
          <w:tcPr>
            <w:tcW w:w="1276" w:type="dxa"/>
            <w:tcBorders>
              <w:top w:val="single" w:sz="4" w:space="0" w:color="auto"/>
              <w:bottom w:val="single" w:sz="4" w:space="0" w:color="auto"/>
            </w:tcBorders>
            <w:noWrap/>
            <w:hideMark/>
          </w:tcPr>
          <w:p w:rsidR="00044D29" w:rsidRPr="0079593D" w:rsidRDefault="00044D29" w:rsidP="001D2685">
            <w:pPr>
              <w:jc w:val="center"/>
              <w:rPr>
                <w:b/>
                <w:sz w:val="20"/>
                <w:szCs w:val="20"/>
              </w:rPr>
            </w:pPr>
            <w:r w:rsidRPr="0079593D">
              <w:rPr>
                <w:b/>
                <w:sz w:val="20"/>
                <w:szCs w:val="20"/>
              </w:rPr>
              <w:t>Year 9</w:t>
            </w:r>
          </w:p>
        </w:tc>
        <w:tc>
          <w:tcPr>
            <w:tcW w:w="1276" w:type="dxa"/>
            <w:tcBorders>
              <w:top w:val="single" w:sz="4" w:space="0" w:color="auto"/>
              <w:bottom w:val="single" w:sz="4" w:space="0" w:color="auto"/>
            </w:tcBorders>
            <w:noWrap/>
            <w:hideMark/>
          </w:tcPr>
          <w:p w:rsidR="00044D29" w:rsidRPr="0079593D" w:rsidRDefault="00044D29" w:rsidP="001D2685">
            <w:pPr>
              <w:jc w:val="center"/>
              <w:rPr>
                <w:b/>
                <w:sz w:val="20"/>
                <w:szCs w:val="20"/>
              </w:rPr>
            </w:pPr>
            <w:r w:rsidRPr="0079593D">
              <w:rPr>
                <w:b/>
                <w:sz w:val="20"/>
                <w:szCs w:val="20"/>
              </w:rPr>
              <w:t>Year 11</w:t>
            </w:r>
          </w:p>
        </w:tc>
        <w:tc>
          <w:tcPr>
            <w:tcW w:w="708" w:type="dxa"/>
            <w:tcBorders>
              <w:top w:val="single" w:sz="4" w:space="0" w:color="auto"/>
              <w:bottom w:val="single" w:sz="4" w:space="0" w:color="auto"/>
            </w:tcBorders>
          </w:tcPr>
          <w:p w:rsidR="00044D29" w:rsidRPr="0079593D" w:rsidRDefault="00044D29" w:rsidP="001D2685">
            <w:pPr>
              <w:jc w:val="center"/>
              <w:rPr>
                <w:b/>
                <w:sz w:val="20"/>
                <w:szCs w:val="20"/>
              </w:rPr>
            </w:pPr>
            <w:r w:rsidRPr="0079593D">
              <w:rPr>
                <w:b/>
                <w:sz w:val="20"/>
                <w:szCs w:val="20"/>
              </w:rPr>
              <w:t>p-value</w:t>
            </w:r>
          </w:p>
        </w:tc>
      </w:tr>
      <w:tr w:rsidR="00044D29" w:rsidRPr="0050533C" w:rsidTr="001D2685">
        <w:trPr>
          <w:trHeight w:val="300"/>
        </w:trPr>
        <w:tc>
          <w:tcPr>
            <w:tcW w:w="1144" w:type="dxa"/>
            <w:vMerge w:val="restart"/>
            <w:tcBorders>
              <w:top w:val="single" w:sz="4" w:space="0" w:color="auto"/>
            </w:tcBorders>
            <w:hideMark/>
          </w:tcPr>
          <w:p w:rsidR="00044D29" w:rsidRPr="0079593D" w:rsidRDefault="00044D29" w:rsidP="001D2685">
            <w:pPr>
              <w:rPr>
                <w:b/>
                <w:sz w:val="20"/>
                <w:szCs w:val="20"/>
              </w:rPr>
            </w:pPr>
            <w:r w:rsidRPr="0079593D">
              <w:rPr>
                <w:b/>
                <w:sz w:val="20"/>
                <w:szCs w:val="20"/>
              </w:rPr>
              <w:t>Mobility</w:t>
            </w:r>
          </w:p>
        </w:tc>
        <w:tc>
          <w:tcPr>
            <w:tcW w:w="708" w:type="dxa"/>
            <w:tcBorders>
              <w:top w:val="single" w:sz="4" w:space="0" w:color="auto"/>
            </w:tcBorders>
          </w:tcPr>
          <w:p w:rsidR="00044D29" w:rsidRPr="0050533C" w:rsidRDefault="00044D29" w:rsidP="001D2685">
            <w:pPr>
              <w:jc w:val="center"/>
              <w:rPr>
                <w:sz w:val="20"/>
                <w:szCs w:val="20"/>
              </w:rPr>
            </w:pPr>
            <w:r>
              <w:rPr>
                <w:sz w:val="20"/>
                <w:szCs w:val="20"/>
              </w:rPr>
              <w:t>1</w:t>
            </w:r>
          </w:p>
        </w:tc>
        <w:tc>
          <w:tcPr>
            <w:tcW w:w="1276" w:type="dxa"/>
            <w:tcBorders>
              <w:top w:val="single" w:sz="4" w:space="0" w:color="auto"/>
            </w:tcBorders>
            <w:noWrap/>
            <w:hideMark/>
          </w:tcPr>
          <w:p w:rsidR="00044D29" w:rsidRPr="0050533C" w:rsidRDefault="00044D29" w:rsidP="001D2685">
            <w:pPr>
              <w:jc w:val="center"/>
              <w:rPr>
                <w:sz w:val="20"/>
                <w:szCs w:val="20"/>
              </w:rPr>
            </w:pPr>
            <w:r w:rsidRPr="0050533C">
              <w:rPr>
                <w:sz w:val="20"/>
                <w:szCs w:val="20"/>
              </w:rPr>
              <w:t>5633 (91%)</w:t>
            </w:r>
          </w:p>
        </w:tc>
        <w:tc>
          <w:tcPr>
            <w:tcW w:w="1279" w:type="dxa"/>
            <w:tcBorders>
              <w:top w:val="single" w:sz="4" w:space="0" w:color="auto"/>
            </w:tcBorders>
            <w:noWrap/>
            <w:hideMark/>
          </w:tcPr>
          <w:p w:rsidR="00044D29" w:rsidRPr="0050533C" w:rsidRDefault="00044D29" w:rsidP="001D2685">
            <w:pPr>
              <w:jc w:val="center"/>
              <w:rPr>
                <w:sz w:val="20"/>
                <w:szCs w:val="20"/>
              </w:rPr>
            </w:pPr>
            <w:r w:rsidRPr="0050533C">
              <w:rPr>
                <w:sz w:val="20"/>
                <w:szCs w:val="20"/>
              </w:rPr>
              <w:t>2204 (92%)</w:t>
            </w:r>
          </w:p>
        </w:tc>
        <w:tc>
          <w:tcPr>
            <w:tcW w:w="1166" w:type="dxa"/>
            <w:tcBorders>
              <w:top w:val="single" w:sz="4" w:space="0" w:color="auto"/>
            </w:tcBorders>
            <w:noWrap/>
            <w:hideMark/>
          </w:tcPr>
          <w:p w:rsidR="00044D29" w:rsidRPr="0050533C" w:rsidRDefault="00044D29" w:rsidP="001D2685">
            <w:pPr>
              <w:jc w:val="center"/>
              <w:rPr>
                <w:sz w:val="20"/>
                <w:szCs w:val="20"/>
              </w:rPr>
            </w:pPr>
            <w:r w:rsidRPr="0050533C">
              <w:rPr>
                <w:sz w:val="20"/>
                <w:szCs w:val="20"/>
              </w:rPr>
              <w:t>2550 (91%)</w:t>
            </w:r>
          </w:p>
        </w:tc>
        <w:tc>
          <w:tcPr>
            <w:tcW w:w="788" w:type="dxa"/>
            <w:vMerge w:val="restart"/>
            <w:tcBorders>
              <w:top w:val="single" w:sz="4" w:space="0" w:color="auto"/>
              <w:bottom w:val="nil"/>
              <w:right w:val="single" w:sz="4" w:space="0" w:color="auto"/>
            </w:tcBorders>
          </w:tcPr>
          <w:p w:rsidR="00044D29" w:rsidRPr="0050533C" w:rsidRDefault="00044D29" w:rsidP="001D2685">
            <w:pPr>
              <w:jc w:val="center"/>
              <w:rPr>
                <w:sz w:val="20"/>
                <w:szCs w:val="20"/>
              </w:rPr>
            </w:pPr>
            <w:r>
              <w:rPr>
                <w:sz w:val="20"/>
                <w:szCs w:val="20"/>
              </w:rPr>
              <w:t>0.156</w:t>
            </w:r>
          </w:p>
        </w:tc>
        <w:tc>
          <w:tcPr>
            <w:tcW w:w="1303" w:type="dxa"/>
            <w:tcBorders>
              <w:top w:val="single" w:sz="4" w:space="0" w:color="auto"/>
              <w:left w:val="single" w:sz="4" w:space="0" w:color="auto"/>
            </w:tcBorders>
          </w:tcPr>
          <w:p w:rsidR="00044D29" w:rsidRPr="0050533C" w:rsidRDefault="00044D29" w:rsidP="001D2685">
            <w:pPr>
              <w:jc w:val="center"/>
              <w:rPr>
                <w:sz w:val="20"/>
                <w:szCs w:val="20"/>
              </w:rPr>
            </w:pPr>
            <w:r w:rsidRPr="0050533C">
              <w:rPr>
                <w:sz w:val="20"/>
                <w:szCs w:val="20"/>
              </w:rPr>
              <w:t>2547 (90%)</w:t>
            </w:r>
          </w:p>
        </w:tc>
        <w:tc>
          <w:tcPr>
            <w:tcW w:w="1276" w:type="dxa"/>
            <w:tcBorders>
              <w:top w:val="single" w:sz="4" w:space="0" w:color="auto"/>
            </w:tcBorders>
            <w:noWrap/>
            <w:hideMark/>
          </w:tcPr>
          <w:p w:rsidR="00044D29" w:rsidRPr="0050533C" w:rsidRDefault="00044D29" w:rsidP="001D2685">
            <w:pPr>
              <w:jc w:val="center"/>
              <w:rPr>
                <w:sz w:val="20"/>
                <w:szCs w:val="20"/>
              </w:rPr>
            </w:pPr>
            <w:r w:rsidRPr="0050533C">
              <w:rPr>
                <w:sz w:val="20"/>
                <w:szCs w:val="20"/>
              </w:rPr>
              <w:t>1539 (91%)</w:t>
            </w:r>
          </w:p>
        </w:tc>
        <w:tc>
          <w:tcPr>
            <w:tcW w:w="1276" w:type="dxa"/>
            <w:tcBorders>
              <w:top w:val="single" w:sz="4" w:space="0" w:color="auto"/>
            </w:tcBorders>
            <w:noWrap/>
            <w:hideMark/>
          </w:tcPr>
          <w:p w:rsidR="00044D29" w:rsidRPr="0050533C" w:rsidRDefault="00044D29" w:rsidP="001D2685">
            <w:pPr>
              <w:jc w:val="center"/>
              <w:rPr>
                <w:sz w:val="20"/>
                <w:szCs w:val="20"/>
              </w:rPr>
            </w:pPr>
            <w:r w:rsidRPr="0050533C">
              <w:rPr>
                <w:sz w:val="20"/>
                <w:szCs w:val="20"/>
              </w:rPr>
              <w:t>1464 (93%)</w:t>
            </w:r>
          </w:p>
        </w:tc>
        <w:tc>
          <w:tcPr>
            <w:tcW w:w="708" w:type="dxa"/>
            <w:vMerge w:val="restart"/>
            <w:tcBorders>
              <w:top w:val="single" w:sz="4" w:space="0" w:color="auto"/>
            </w:tcBorders>
          </w:tcPr>
          <w:p w:rsidR="00044D29" w:rsidRPr="0050533C" w:rsidRDefault="00044D29" w:rsidP="001D2685">
            <w:pPr>
              <w:jc w:val="center"/>
              <w:rPr>
                <w:sz w:val="20"/>
                <w:szCs w:val="20"/>
              </w:rPr>
            </w:pPr>
            <w:r>
              <w:rPr>
                <w:sz w:val="20"/>
                <w:szCs w:val="20"/>
              </w:rPr>
              <w:t>0.008</w:t>
            </w:r>
          </w:p>
        </w:tc>
      </w:tr>
      <w:tr w:rsidR="00044D29" w:rsidRPr="0050533C" w:rsidTr="001D2685">
        <w:trPr>
          <w:trHeight w:val="300"/>
        </w:trPr>
        <w:tc>
          <w:tcPr>
            <w:tcW w:w="1144" w:type="dxa"/>
            <w:vMerge/>
            <w:hideMark/>
          </w:tcPr>
          <w:p w:rsidR="00044D29" w:rsidRPr="0079593D" w:rsidRDefault="00044D29" w:rsidP="001D2685">
            <w:pPr>
              <w:rPr>
                <w:b/>
                <w:sz w:val="20"/>
                <w:szCs w:val="20"/>
              </w:rPr>
            </w:pPr>
          </w:p>
        </w:tc>
        <w:tc>
          <w:tcPr>
            <w:tcW w:w="708" w:type="dxa"/>
          </w:tcPr>
          <w:p w:rsidR="00044D29" w:rsidRPr="0050533C" w:rsidRDefault="00044D29" w:rsidP="001D2685">
            <w:pPr>
              <w:jc w:val="center"/>
              <w:rPr>
                <w:sz w:val="20"/>
                <w:szCs w:val="20"/>
              </w:rPr>
            </w:pPr>
            <w:r>
              <w:rPr>
                <w:sz w:val="20"/>
                <w:szCs w:val="20"/>
              </w:rPr>
              <w:t>2</w:t>
            </w:r>
          </w:p>
        </w:tc>
        <w:tc>
          <w:tcPr>
            <w:tcW w:w="1276" w:type="dxa"/>
            <w:noWrap/>
            <w:hideMark/>
          </w:tcPr>
          <w:p w:rsidR="00044D29" w:rsidRPr="0050533C" w:rsidRDefault="00044D29" w:rsidP="001D2685">
            <w:pPr>
              <w:jc w:val="center"/>
              <w:rPr>
                <w:sz w:val="20"/>
                <w:szCs w:val="20"/>
              </w:rPr>
            </w:pPr>
            <w:r w:rsidRPr="0050533C">
              <w:rPr>
                <w:sz w:val="20"/>
                <w:szCs w:val="20"/>
              </w:rPr>
              <w:t>526 (8%)</w:t>
            </w:r>
          </w:p>
        </w:tc>
        <w:tc>
          <w:tcPr>
            <w:tcW w:w="1279" w:type="dxa"/>
            <w:noWrap/>
            <w:hideMark/>
          </w:tcPr>
          <w:p w:rsidR="00044D29" w:rsidRPr="0050533C" w:rsidRDefault="00044D29" w:rsidP="001D2685">
            <w:pPr>
              <w:jc w:val="center"/>
              <w:rPr>
                <w:sz w:val="20"/>
                <w:szCs w:val="20"/>
              </w:rPr>
            </w:pPr>
            <w:r w:rsidRPr="0050533C">
              <w:rPr>
                <w:sz w:val="20"/>
                <w:szCs w:val="20"/>
              </w:rPr>
              <w:t>189 (8%)</w:t>
            </w:r>
          </w:p>
        </w:tc>
        <w:tc>
          <w:tcPr>
            <w:tcW w:w="1166" w:type="dxa"/>
            <w:noWrap/>
            <w:hideMark/>
          </w:tcPr>
          <w:p w:rsidR="00044D29" w:rsidRPr="0050533C" w:rsidRDefault="00044D29" w:rsidP="001D2685">
            <w:pPr>
              <w:jc w:val="center"/>
              <w:rPr>
                <w:sz w:val="20"/>
                <w:szCs w:val="20"/>
              </w:rPr>
            </w:pPr>
            <w:r w:rsidRPr="0050533C">
              <w:rPr>
                <w:sz w:val="20"/>
                <w:szCs w:val="20"/>
              </w:rPr>
              <w:t>233 (8%)</w:t>
            </w:r>
          </w:p>
        </w:tc>
        <w:tc>
          <w:tcPr>
            <w:tcW w:w="788" w:type="dxa"/>
            <w:vMerge/>
            <w:tcBorders>
              <w:bottom w:val="nil"/>
              <w:right w:val="single" w:sz="4" w:space="0" w:color="auto"/>
            </w:tcBorders>
          </w:tcPr>
          <w:p w:rsidR="00044D29" w:rsidRPr="0050533C" w:rsidRDefault="00044D29" w:rsidP="001D2685">
            <w:pPr>
              <w:jc w:val="center"/>
              <w:rPr>
                <w:sz w:val="20"/>
                <w:szCs w:val="20"/>
              </w:rPr>
            </w:pP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274 (10%)</w:t>
            </w:r>
          </w:p>
        </w:tc>
        <w:tc>
          <w:tcPr>
            <w:tcW w:w="1276" w:type="dxa"/>
            <w:noWrap/>
            <w:hideMark/>
          </w:tcPr>
          <w:p w:rsidR="00044D29" w:rsidRPr="0050533C" w:rsidRDefault="00044D29" w:rsidP="001D2685">
            <w:pPr>
              <w:jc w:val="center"/>
              <w:rPr>
                <w:sz w:val="20"/>
                <w:szCs w:val="20"/>
              </w:rPr>
            </w:pPr>
            <w:r w:rsidRPr="0050533C">
              <w:rPr>
                <w:sz w:val="20"/>
                <w:szCs w:val="20"/>
              </w:rPr>
              <w:t>145 (9%)</w:t>
            </w:r>
          </w:p>
        </w:tc>
        <w:tc>
          <w:tcPr>
            <w:tcW w:w="1276" w:type="dxa"/>
            <w:noWrap/>
            <w:hideMark/>
          </w:tcPr>
          <w:p w:rsidR="00044D29" w:rsidRPr="0050533C" w:rsidRDefault="00044D29" w:rsidP="001D2685">
            <w:pPr>
              <w:jc w:val="center"/>
              <w:rPr>
                <w:sz w:val="20"/>
                <w:szCs w:val="20"/>
              </w:rPr>
            </w:pPr>
            <w:r w:rsidRPr="0050533C">
              <w:rPr>
                <w:sz w:val="20"/>
                <w:szCs w:val="20"/>
              </w:rPr>
              <w:t>101 (6%)</w:t>
            </w:r>
          </w:p>
        </w:tc>
        <w:tc>
          <w:tcPr>
            <w:tcW w:w="708" w:type="dxa"/>
            <w:vMerge/>
          </w:tcPr>
          <w:p w:rsidR="00044D29" w:rsidRPr="0050533C" w:rsidRDefault="00044D29" w:rsidP="001D2685">
            <w:pPr>
              <w:jc w:val="center"/>
              <w:rPr>
                <w:sz w:val="20"/>
                <w:szCs w:val="20"/>
              </w:rPr>
            </w:pPr>
          </w:p>
        </w:tc>
      </w:tr>
      <w:tr w:rsidR="00044D29" w:rsidRPr="0050533C" w:rsidTr="001D2685">
        <w:trPr>
          <w:trHeight w:val="300"/>
        </w:trPr>
        <w:tc>
          <w:tcPr>
            <w:tcW w:w="1144" w:type="dxa"/>
            <w:vMerge/>
            <w:hideMark/>
          </w:tcPr>
          <w:p w:rsidR="00044D29" w:rsidRPr="0079593D" w:rsidRDefault="00044D29" w:rsidP="001D2685">
            <w:pPr>
              <w:rPr>
                <w:b/>
                <w:sz w:val="20"/>
                <w:szCs w:val="20"/>
              </w:rPr>
            </w:pPr>
          </w:p>
        </w:tc>
        <w:tc>
          <w:tcPr>
            <w:tcW w:w="708" w:type="dxa"/>
          </w:tcPr>
          <w:p w:rsidR="00044D29" w:rsidRPr="0050533C" w:rsidRDefault="00044D29" w:rsidP="001D2685">
            <w:pPr>
              <w:jc w:val="center"/>
              <w:rPr>
                <w:sz w:val="20"/>
                <w:szCs w:val="20"/>
              </w:rPr>
            </w:pPr>
            <w:r>
              <w:rPr>
                <w:sz w:val="20"/>
                <w:szCs w:val="20"/>
              </w:rPr>
              <w:t>3</w:t>
            </w:r>
          </w:p>
        </w:tc>
        <w:tc>
          <w:tcPr>
            <w:tcW w:w="1276" w:type="dxa"/>
            <w:noWrap/>
            <w:hideMark/>
          </w:tcPr>
          <w:p w:rsidR="00044D29" w:rsidRPr="0050533C" w:rsidRDefault="00044D29" w:rsidP="001D2685">
            <w:pPr>
              <w:jc w:val="center"/>
              <w:rPr>
                <w:sz w:val="20"/>
                <w:szCs w:val="20"/>
              </w:rPr>
            </w:pPr>
            <w:r w:rsidRPr="0050533C">
              <w:rPr>
                <w:sz w:val="20"/>
                <w:szCs w:val="20"/>
              </w:rPr>
              <w:t>39 (1%)</w:t>
            </w:r>
          </w:p>
        </w:tc>
        <w:tc>
          <w:tcPr>
            <w:tcW w:w="1279" w:type="dxa"/>
            <w:noWrap/>
            <w:hideMark/>
          </w:tcPr>
          <w:p w:rsidR="00044D29" w:rsidRPr="0050533C" w:rsidRDefault="00044D29" w:rsidP="001D2685">
            <w:pPr>
              <w:jc w:val="center"/>
              <w:rPr>
                <w:sz w:val="20"/>
                <w:szCs w:val="20"/>
              </w:rPr>
            </w:pPr>
            <w:r w:rsidRPr="0050533C">
              <w:rPr>
                <w:sz w:val="20"/>
                <w:szCs w:val="20"/>
              </w:rPr>
              <w:t>7 (&lt;1%)</w:t>
            </w:r>
          </w:p>
        </w:tc>
        <w:tc>
          <w:tcPr>
            <w:tcW w:w="1166" w:type="dxa"/>
            <w:noWrap/>
            <w:hideMark/>
          </w:tcPr>
          <w:p w:rsidR="00044D29" w:rsidRPr="0050533C" w:rsidRDefault="00044D29" w:rsidP="001D2685">
            <w:pPr>
              <w:jc w:val="center"/>
              <w:rPr>
                <w:sz w:val="20"/>
                <w:szCs w:val="20"/>
              </w:rPr>
            </w:pPr>
            <w:r w:rsidRPr="0050533C">
              <w:rPr>
                <w:sz w:val="20"/>
                <w:szCs w:val="20"/>
              </w:rPr>
              <w:t>18 (1%)</w:t>
            </w:r>
          </w:p>
        </w:tc>
        <w:tc>
          <w:tcPr>
            <w:tcW w:w="788" w:type="dxa"/>
            <w:vMerge/>
            <w:tcBorders>
              <w:bottom w:val="nil"/>
              <w:right w:val="single" w:sz="4" w:space="0" w:color="auto"/>
            </w:tcBorders>
          </w:tcPr>
          <w:p w:rsidR="00044D29" w:rsidRPr="0050533C" w:rsidRDefault="00044D29" w:rsidP="001D2685">
            <w:pPr>
              <w:jc w:val="center"/>
              <w:rPr>
                <w:sz w:val="20"/>
                <w:szCs w:val="20"/>
              </w:rPr>
            </w:pP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17 (&lt;1%)</w:t>
            </w:r>
          </w:p>
        </w:tc>
        <w:tc>
          <w:tcPr>
            <w:tcW w:w="1276" w:type="dxa"/>
            <w:noWrap/>
            <w:hideMark/>
          </w:tcPr>
          <w:p w:rsidR="00044D29" w:rsidRPr="0050533C" w:rsidRDefault="00044D29" w:rsidP="001D2685">
            <w:pPr>
              <w:jc w:val="center"/>
              <w:rPr>
                <w:sz w:val="20"/>
                <w:szCs w:val="20"/>
              </w:rPr>
            </w:pPr>
            <w:r w:rsidRPr="0050533C">
              <w:rPr>
                <w:sz w:val="20"/>
                <w:szCs w:val="20"/>
              </w:rPr>
              <w:t>10 (&lt;1%)</w:t>
            </w:r>
          </w:p>
        </w:tc>
        <w:tc>
          <w:tcPr>
            <w:tcW w:w="1276" w:type="dxa"/>
            <w:noWrap/>
            <w:hideMark/>
          </w:tcPr>
          <w:p w:rsidR="00044D29" w:rsidRPr="0050533C" w:rsidRDefault="00044D29" w:rsidP="001D2685">
            <w:pPr>
              <w:jc w:val="center"/>
              <w:rPr>
                <w:sz w:val="20"/>
                <w:szCs w:val="20"/>
              </w:rPr>
            </w:pPr>
            <w:r w:rsidRPr="0050533C">
              <w:rPr>
                <w:sz w:val="20"/>
                <w:szCs w:val="20"/>
              </w:rPr>
              <w:t>11 (1%)</w:t>
            </w:r>
          </w:p>
        </w:tc>
        <w:tc>
          <w:tcPr>
            <w:tcW w:w="708" w:type="dxa"/>
            <w:vMerge/>
          </w:tcPr>
          <w:p w:rsidR="00044D29" w:rsidRPr="0050533C" w:rsidRDefault="00044D29" w:rsidP="001D2685">
            <w:pPr>
              <w:jc w:val="center"/>
              <w:rPr>
                <w:sz w:val="20"/>
                <w:szCs w:val="20"/>
              </w:rPr>
            </w:pPr>
          </w:p>
        </w:tc>
      </w:tr>
      <w:tr w:rsidR="00044D29" w:rsidRPr="0050533C" w:rsidTr="001D2685">
        <w:trPr>
          <w:trHeight w:val="300"/>
        </w:trPr>
        <w:tc>
          <w:tcPr>
            <w:tcW w:w="1144" w:type="dxa"/>
            <w:vMerge w:val="restart"/>
            <w:hideMark/>
          </w:tcPr>
          <w:p w:rsidR="00044D29" w:rsidRPr="0079593D" w:rsidRDefault="00044D29" w:rsidP="001D2685">
            <w:pPr>
              <w:rPr>
                <w:b/>
                <w:sz w:val="20"/>
                <w:szCs w:val="20"/>
              </w:rPr>
            </w:pPr>
            <w:r w:rsidRPr="0079593D">
              <w:rPr>
                <w:b/>
                <w:sz w:val="20"/>
                <w:szCs w:val="20"/>
              </w:rPr>
              <w:t>Looking after myself</w:t>
            </w:r>
          </w:p>
        </w:tc>
        <w:tc>
          <w:tcPr>
            <w:tcW w:w="708" w:type="dxa"/>
          </w:tcPr>
          <w:p w:rsidR="00044D29" w:rsidRPr="0050533C" w:rsidRDefault="00044D29" w:rsidP="001D2685">
            <w:pPr>
              <w:jc w:val="center"/>
              <w:rPr>
                <w:sz w:val="20"/>
                <w:szCs w:val="20"/>
              </w:rPr>
            </w:pPr>
            <w:r>
              <w:rPr>
                <w:sz w:val="20"/>
                <w:szCs w:val="20"/>
              </w:rPr>
              <w:t>1</w:t>
            </w:r>
          </w:p>
        </w:tc>
        <w:tc>
          <w:tcPr>
            <w:tcW w:w="1276" w:type="dxa"/>
            <w:noWrap/>
            <w:hideMark/>
          </w:tcPr>
          <w:p w:rsidR="00044D29" w:rsidRPr="0050533C" w:rsidRDefault="00044D29" w:rsidP="001D2685">
            <w:pPr>
              <w:jc w:val="center"/>
              <w:rPr>
                <w:sz w:val="20"/>
                <w:szCs w:val="20"/>
              </w:rPr>
            </w:pPr>
            <w:r w:rsidRPr="0050533C">
              <w:rPr>
                <w:sz w:val="20"/>
                <w:szCs w:val="20"/>
              </w:rPr>
              <w:t>6085 (98%)</w:t>
            </w:r>
          </w:p>
        </w:tc>
        <w:tc>
          <w:tcPr>
            <w:tcW w:w="1279" w:type="dxa"/>
            <w:noWrap/>
            <w:hideMark/>
          </w:tcPr>
          <w:p w:rsidR="00044D29" w:rsidRPr="0050533C" w:rsidRDefault="00044D29" w:rsidP="001D2685">
            <w:pPr>
              <w:jc w:val="center"/>
              <w:rPr>
                <w:sz w:val="20"/>
                <w:szCs w:val="20"/>
              </w:rPr>
            </w:pPr>
            <w:r w:rsidRPr="0050533C">
              <w:rPr>
                <w:sz w:val="20"/>
                <w:szCs w:val="20"/>
              </w:rPr>
              <w:t>2354 (98%)</w:t>
            </w:r>
          </w:p>
        </w:tc>
        <w:tc>
          <w:tcPr>
            <w:tcW w:w="1166" w:type="dxa"/>
            <w:noWrap/>
            <w:hideMark/>
          </w:tcPr>
          <w:p w:rsidR="00044D29" w:rsidRPr="0050533C" w:rsidRDefault="00044D29" w:rsidP="001D2685">
            <w:pPr>
              <w:jc w:val="center"/>
              <w:rPr>
                <w:sz w:val="20"/>
                <w:szCs w:val="20"/>
              </w:rPr>
            </w:pPr>
            <w:r w:rsidRPr="0050533C">
              <w:rPr>
                <w:sz w:val="20"/>
                <w:szCs w:val="20"/>
              </w:rPr>
              <w:t>2768 (99%)</w:t>
            </w:r>
          </w:p>
        </w:tc>
        <w:tc>
          <w:tcPr>
            <w:tcW w:w="788" w:type="dxa"/>
            <w:vMerge w:val="restart"/>
            <w:tcBorders>
              <w:bottom w:val="nil"/>
              <w:right w:val="single" w:sz="4" w:space="0" w:color="auto"/>
            </w:tcBorders>
          </w:tcPr>
          <w:p w:rsidR="00044D29" w:rsidRPr="0050533C" w:rsidRDefault="00044D29" w:rsidP="001D2685">
            <w:pPr>
              <w:jc w:val="center"/>
              <w:rPr>
                <w:sz w:val="20"/>
                <w:szCs w:val="20"/>
              </w:rPr>
            </w:pPr>
            <w:r>
              <w:rPr>
                <w:sz w:val="20"/>
                <w:szCs w:val="20"/>
              </w:rPr>
              <w:t>0.047</w:t>
            </w: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2790 (98%)</w:t>
            </w:r>
          </w:p>
        </w:tc>
        <w:tc>
          <w:tcPr>
            <w:tcW w:w="1276" w:type="dxa"/>
            <w:noWrap/>
            <w:hideMark/>
          </w:tcPr>
          <w:p w:rsidR="00044D29" w:rsidRPr="0050533C" w:rsidRDefault="00044D29" w:rsidP="001D2685">
            <w:pPr>
              <w:jc w:val="center"/>
              <w:rPr>
                <w:sz w:val="20"/>
                <w:szCs w:val="20"/>
              </w:rPr>
            </w:pPr>
            <w:r w:rsidRPr="0050533C">
              <w:rPr>
                <w:sz w:val="20"/>
                <w:szCs w:val="20"/>
              </w:rPr>
              <w:t>1671 (99%)</w:t>
            </w:r>
          </w:p>
        </w:tc>
        <w:tc>
          <w:tcPr>
            <w:tcW w:w="1276" w:type="dxa"/>
            <w:noWrap/>
            <w:hideMark/>
          </w:tcPr>
          <w:p w:rsidR="00044D29" w:rsidRPr="0050533C" w:rsidRDefault="00044D29" w:rsidP="001D2685">
            <w:pPr>
              <w:jc w:val="center"/>
              <w:rPr>
                <w:sz w:val="20"/>
                <w:szCs w:val="20"/>
              </w:rPr>
            </w:pPr>
            <w:r w:rsidRPr="0050533C">
              <w:rPr>
                <w:sz w:val="20"/>
                <w:szCs w:val="20"/>
              </w:rPr>
              <w:t>1535 (98%)</w:t>
            </w:r>
          </w:p>
        </w:tc>
        <w:tc>
          <w:tcPr>
            <w:tcW w:w="708" w:type="dxa"/>
            <w:vMerge w:val="restart"/>
          </w:tcPr>
          <w:p w:rsidR="00044D29" w:rsidRPr="0050533C" w:rsidRDefault="00044D29" w:rsidP="001D2685">
            <w:pPr>
              <w:jc w:val="center"/>
              <w:rPr>
                <w:sz w:val="20"/>
                <w:szCs w:val="20"/>
              </w:rPr>
            </w:pPr>
            <w:r>
              <w:rPr>
                <w:sz w:val="20"/>
                <w:szCs w:val="20"/>
              </w:rPr>
              <w:t>0.039</w:t>
            </w:r>
          </w:p>
        </w:tc>
      </w:tr>
      <w:tr w:rsidR="00044D29" w:rsidRPr="0050533C" w:rsidTr="001D2685">
        <w:trPr>
          <w:trHeight w:val="300"/>
        </w:trPr>
        <w:tc>
          <w:tcPr>
            <w:tcW w:w="1144" w:type="dxa"/>
            <w:vMerge/>
            <w:hideMark/>
          </w:tcPr>
          <w:p w:rsidR="00044D29" w:rsidRPr="0079593D" w:rsidRDefault="00044D29" w:rsidP="001D2685">
            <w:pPr>
              <w:rPr>
                <w:b/>
                <w:sz w:val="20"/>
                <w:szCs w:val="20"/>
              </w:rPr>
            </w:pPr>
          </w:p>
        </w:tc>
        <w:tc>
          <w:tcPr>
            <w:tcW w:w="708" w:type="dxa"/>
          </w:tcPr>
          <w:p w:rsidR="00044D29" w:rsidRPr="0050533C" w:rsidRDefault="00044D29" w:rsidP="001D2685">
            <w:pPr>
              <w:jc w:val="center"/>
              <w:rPr>
                <w:sz w:val="20"/>
                <w:szCs w:val="20"/>
              </w:rPr>
            </w:pPr>
            <w:r>
              <w:rPr>
                <w:sz w:val="20"/>
                <w:szCs w:val="20"/>
              </w:rPr>
              <w:t>2</w:t>
            </w:r>
          </w:p>
        </w:tc>
        <w:tc>
          <w:tcPr>
            <w:tcW w:w="1276" w:type="dxa"/>
            <w:noWrap/>
            <w:hideMark/>
          </w:tcPr>
          <w:p w:rsidR="00044D29" w:rsidRPr="0050533C" w:rsidRDefault="00044D29" w:rsidP="001D2685">
            <w:pPr>
              <w:jc w:val="center"/>
              <w:rPr>
                <w:sz w:val="20"/>
                <w:szCs w:val="20"/>
              </w:rPr>
            </w:pPr>
            <w:r w:rsidRPr="0050533C">
              <w:rPr>
                <w:sz w:val="20"/>
                <w:szCs w:val="20"/>
              </w:rPr>
              <w:t>94 (2%)</w:t>
            </w:r>
          </w:p>
        </w:tc>
        <w:tc>
          <w:tcPr>
            <w:tcW w:w="1279" w:type="dxa"/>
            <w:noWrap/>
            <w:hideMark/>
          </w:tcPr>
          <w:p w:rsidR="00044D29" w:rsidRPr="0050533C" w:rsidRDefault="00044D29" w:rsidP="001D2685">
            <w:pPr>
              <w:jc w:val="center"/>
              <w:rPr>
                <w:sz w:val="20"/>
                <w:szCs w:val="20"/>
              </w:rPr>
            </w:pPr>
            <w:r w:rsidRPr="0050533C">
              <w:rPr>
                <w:sz w:val="20"/>
                <w:szCs w:val="20"/>
              </w:rPr>
              <w:t>42 (2%)</w:t>
            </w:r>
          </w:p>
        </w:tc>
        <w:tc>
          <w:tcPr>
            <w:tcW w:w="1166" w:type="dxa"/>
            <w:noWrap/>
            <w:hideMark/>
          </w:tcPr>
          <w:p w:rsidR="00044D29" w:rsidRPr="0050533C" w:rsidRDefault="00044D29" w:rsidP="001D2685">
            <w:pPr>
              <w:jc w:val="center"/>
              <w:rPr>
                <w:sz w:val="20"/>
                <w:szCs w:val="20"/>
              </w:rPr>
            </w:pPr>
            <w:r w:rsidRPr="0050533C">
              <w:rPr>
                <w:sz w:val="20"/>
                <w:szCs w:val="20"/>
              </w:rPr>
              <w:t>27 (1%)</w:t>
            </w:r>
          </w:p>
        </w:tc>
        <w:tc>
          <w:tcPr>
            <w:tcW w:w="788" w:type="dxa"/>
            <w:vMerge/>
            <w:tcBorders>
              <w:bottom w:val="nil"/>
              <w:right w:val="single" w:sz="4" w:space="0" w:color="auto"/>
            </w:tcBorders>
          </w:tcPr>
          <w:p w:rsidR="00044D29" w:rsidRPr="0050533C" w:rsidRDefault="00044D29" w:rsidP="001D2685">
            <w:pPr>
              <w:jc w:val="center"/>
              <w:rPr>
                <w:sz w:val="20"/>
                <w:szCs w:val="20"/>
              </w:rPr>
            </w:pP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41 (2%)</w:t>
            </w:r>
          </w:p>
        </w:tc>
        <w:tc>
          <w:tcPr>
            <w:tcW w:w="1276" w:type="dxa"/>
            <w:noWrap/>
            <w:hideMark/>
          </w:tcPr>
          <w:p w:rsidR="00044D29" w:rsidRPr="0050533C" w:rsidRDefault="00044D29" w:rsidP="001D2685">
            <w:pPr>
              <w:jc w:val="center"/>
              <w:rPr>
                <w:sz w:val="20"/>
                <w:szCs w:val="20"/>
              </w:rPr>
            </w:pPr>
            <w:r w:rsidRPr="0050533C">
              <w:rPr>
                <w:sz w:val="20"/>
                <w:szCs w:val="20"/>
              </w:rPr>
              <w:t>22 (1%)</w:t>
            </w:r>
          </w:p>
        </w:tc>
        <w:tc>
          <w:tcPr>
            <w:tcW w:w="1276" w:type="dxa"/>
            <w:noWrap/>
            <w:hideMark/>
          </w:tcPr>
          <w:p w:rsidR="00044D29" w:rsidRPr="0050533C" w:rsidRDefault="00044D29" w:rsidP="001D2685">
            <w:pPr>
              <w:jc w:val="center"/>
              <w:rPr>
                <w:sz w:val="20"/>
                <w:szCs w:val="20"/>
              </w:rPr>
            </w:pPr>
            <w:r w:rsidRPr="0050533C">
              <w:rPr>
                <w:sz w:val="20"/>
                <w:szCs w:val="20"/>
              </w:rPr>
              <w:t>30 (2%)</w:t>
            </w:r>
          </w:p>
        </w:tc>
        <w:tc>
          <w:tcPr>
            <w:tcW w:w="708" w:type="dxa"/>
            <w:vMerge/>
          </w:tcPr>
          <w:p w:rsidR="00044D29" w:rsidRPr="0050533C" w:rsidRDefault="00044D29" w:rsidP="001D2685">
            <w:pPr>
              <w:jc w:val="center"/>
              <w:rPr>
                <w:sz w:val="20"/>
                <w:szCs w:val="20"/>
              </w:rPr>
            </w:pPr>
          </w:p>
        </w:tc>
      </w:tr>
      <w:tr w:rsidR="00044D29" w:rsidRPr="0050533C" w:rsidTr="001D2685">
        <w:trPr>
          <w:trHeight w:val="300"/>
        </w:trPr>
        <w:tc>
          <w:tcPr>
            <w:tcW w:w="1144" w:type="dxa"/>
            <w:vMerge/>
            <w:hideMark/>
          </w:tcPr>
          <w:p w:rsidR="00044D29" w:rsidRPr="0079593D" w:rsidRDefault="00044D29" w:rsidP="001D2685">
            <w:pPr>
              <w:rPr>
                <w:b/>
                <w:sz w:val="20"/>
                <w:szCs w:val="20"/>
              </w:rPr>
            </w:pPr>
          </w:p>
        </w:tc>
        <w:tc>
          <w:tcPr>
            <w:tcW w:w="708" w:type="dxa"/>
          </w:tcPr>
          <w:p w:rsidR="00044D29" w:rsidRPr="0050533C" w:rsidRDefault="00044D29" w:rsidP="001D2685">
            <w:pPr>
              <w:jc w:val="center"/>
              <w:rPr>
                <w:sz w:val="20"/>
                <w:szCs w:val="20"/>
              </w:rPr>
            </w:pPr>
            <w:r>
              <w:rPr>
                <w:sz w:val="20"/>
                <w:szCs w:val="20"/>
              </w:rPr>
              <w:t>3</w:t>
            </w:r>
          </w:p>
        </w:tc>
        <w:tc>
          <w:tcPr>
            <w:tcW w:w="1276" w:type="dxa"/>
            <w:noWrap/>
            <w:hideMark/>
          </w:tcPr>
          <w:p w:rsidR="00044D29" w:rsidRPr="0050533C" w:rsidRDefault="00044D29" w:rsidP="001D2685">
            <w:pPr>
              <w:jc w:val="center"/>
              <w:rPr>
                <w:sz w:val="20"/>
                <w:szCs w:val="20"/>
              </w:rPr>
            </w:pPr>
            <w:r w:rsidRPr="0050533C">
              <w:rPr>
                <w:sz w:val="20"/>
                <w:szCs w:val="20"/>
              </w:rPr>
              <w:t>17 (1%)</w:t>
            </w:r>
          </w:p>
        </w:tc>
        <w:tc>
          <w:tcPr>
            <w:tcW w:w="1279" w:type="dxa"/>
            <w:noWrap/>
            <w:hideMark/>
          </w:tcPr>
          <w:p w:rsidR="00044D29" w:rsidRPr="0050533C" w:rsidRDefault="00044D29" w:rsidP="001D2685">
            <w:pPr>
              <w:jc w:val="center"/>
              <w:rPr>
                <w:sz w:val="20"/>
                <w:szCs w:val="20"/>
              </w:rPr>
            </w:pPr>
            <w:r w:rsidRPr="0050533C">
              <w:rPr>
                <w:sz w:val="20"/>
                <w:szCs w:val="20"/>
              </w:rPr>
              <w:t>3 (&lt;1%)</w:t>
            </w:r>
          </w:p>
        </w:tc>
        <w:tc>
          <w:tcPr>
            <w:tcW w:w="1166" w:type="dxa"/>
            <w:noWrap/>
            <w:hideMark/>
          </w:tcPr>
          <w:p w:rsidR="00044D29" w:rsidRPr="0050533C" w:rsidRDefault="00044D29" w:rsidP="001D2685">
            <w:pPr>
              <w:jc w:val="center"/>
              <w:rPr>
                <w:sz w:val="20"/>
                <w:szCs w:val="20"/>
              </w:rPr>
            </w:pPr>
            <w:r w:rsidRPr="0050533C">
              <w:rPr>
                <w:sz w:val="20"/>
                <w:szCs w:val="20"/>
              </w:rPr>
              <w:t>4 (&lt;1%)</w:t>
            </w:r>
          </w:p>
        </w:tc>
        <w:tc>
          <w:tcPr>
            <w:tcW w:w="788" w:type="dxa"/>
            <w:vMerge/>
            <w:tcBorders>
              <w:bottom w:val="nil"/>
              <w:right w:val="single" w:sz="4" w:space="0" w:color="auto"/>
            </w:tcBorders>
          </w:tcPr>
          <w:p w:rsidR="00044D29" w:rsidRPr="0050533C" w:rsidRDefault="00044D29" w:rsidP="001D2685">
            <w:pPr>
              <w:jc w:val="center"/>
              <w:rPr>
                <w:sz w:val="20"/>
                <w:szCs w:val="20"/>
              </w:rPr>
            </w:pP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4 (&lt;1%)</w:t>
            </w:r>
          </w:p>
        </w:tc>
        <w:tc>
          <w:tcPr>
            <w:tcW w:w="1276" w:type="dxa"/>
            <w:noWrap/>
            <w:hideMark/>
          </w:tcPr>
          <w:p w:rsidR="00044D29" w:rsidRPr="0050533C" w:rsidRDefault="00044D29" w:rsidP="001D2685">
            <w:pPr>
              <w:jc w:val="center"/>
              <w:rPr>
                <w:sz w:val="20"/>
                <w:szCs w:val="20"/>
              </w:rPr>
            </w:pPr>
            <w:r w:rsidRPr="0050533C">
              <w:rPr>
                <w:sz w:val="20"/>
                <w:szCs w:val="20"/>
              </w:rPr>
              <w:t>3 (&lt;1%)</w:t>
            </w:r>
          </w:p>
        </w:tc>
        <w:tc>
          <w:tcPr>
            <w:tcW w:w="1276" w:type="dxa"/>
            <w:noWrap/>
            <w:hideMark/>
          </w:tcPr>
          <w:p w:rsidR="00044D29" w:rsidRPr="0050533C" w:rsidRDefault="00044D29" w:rsidP="001D2685">
            <w:pPr>
              <w:jc w:val="center"/>
              <w:rPr>
                <w:sz w:val="20"/>
                <w:szCs w:val="20"/>
              </w:rPr>
            </w:pPr>
            <w:r w:rsidRPr="0050533C">
              <w:rPr>
                <w:sz w:val="20"/>
                <w:szCs w:val="20"/>
              </w:rPr>
              <w:t>9 (&lt;1%)</w:t>
            </w:r>
          </w:p>
        </w:tc>
        <w:tc>
          <w:tcPr>
            <w:tcW w:w="708" w:type="dxa"/>
            <w:vMerge/>
          </w:tcPr>
          <w:p w:rsidR="00044D29" w:rsidRPr="0050533C" w:rsidRDefault="00044D29" w:rsidP="001D2685">
            <w:pPr>
              <w:jc w:val="center"/>
              <w:rPr>
                <w:sz w:val="20"/>
                <w:szCs w:val="20"/>
              </w:rPr>
            </w:pPr>
          </w:p>
        </w:tc>
      </w:tr>
      <w:tr w:rsidR="00044D29" w:rsidRPr="0050533C" w:rsidTr="001D2685">
        <w:trPr>
          <w:trHeight w:val="300"/>
        </w:trPr>
        <w:tc>
          <w:tcPr>
            <w:tcW w:w="1144" w:type="dxa"/>
            <w:vMerge w:val="restart"/>
            <w:hideMark/>
          </w:tcPr>
          <w:p w:rsidR="00044D29" w:rsidRPr="0079593D" w:rsidRDefault="00044D29" w:rsidP="001D2685">
            <w:pPr>
              <w:rPr>
                <w:b/>
                <w:sz w:val="20"/>
                <w:szCs w:val="20"/>
              </w:rPr>
            </w:pPr>
            <w:r w:rsidRPr="0079593D">
              <w:rPr>
                <w:b/>
                <w:sz w:val="20"/>
                <w:szCs w:val="20"/>
              </w:rPr>
              <w:t>Doing usual activities</w:t>
            </w:r>
          </w:p>
        </w:tc>
        <w:tc>
          <w:tcPr>
            <w:tcW w:w="708" w:type="dxa"/>
          </w:tcPr>
          <w:p w:rsidR="00044D29" w:rsidRPr="0050533C" w:rsidRDefault="00044D29" w:rsidP="001D2685">
            <w:pPr>
              <w:jc w:val="center"/>
              <w:rPr>
                <w:sz w:val="20"/>
                <w:szCs w:val="20"/>
              </w:rPr>
            </w:pPr>
            <w:r>
              <w:rPr>
                <w:sz w:val="20"/>
                <w:szCs w:val="20"/>
              </w:rPr>
              <w:t>1</w:t>
            </w:r>
          </w:p>
        </w:tc>
        <w:tc>
          <w:tcPr>
            <w:tcW w:w="1276" w:type="dxa"/>
            <w:noWrap/>
            <w:hideMark/>
          </w:tcPr>
          <w:p w:rsidR="00044D29" w:rsidRPr="0050533C" w:rsidRDefault="00044D29" w:rsidP="001D2685">
            <w:pPr>
              <w:jc w:val="center"/>
              <w:rPr>
                <w:sz w:val="20"/>
                <w:szCs w:val="20"/>
              </w:rPr>
            </w:pPr>
            <w:r w:rsidRPr="0050533C">
              <w:rPr>
                <w:sz w:val="20"/>
                <w:szCs w:val="20"/>
              </w:rPr>
              <w:t>5497 (89%)</w:t>
            </w:r>
          </w:p>
        </w:tc>
        <w:tc>
          <w:tcPr>
            <w:tcW w:w="1279" w:type="dxa"/>
            <w:noWrap/>
            <w:hideMark/>
          </w:tcPr>
          <w:p w:rsidR="00044D29" w:rsidRPr="0050533C" w:rsidRDefault="00044D29" w:rsidP="001D2685">
            <w:pPr>
              <w:jc w:val="center"/>
              <w:rPr>
                <w:sz w:val="20"/>
                <w:szCs w:val="20"/>
              </w:rPr>
            </w:pPr>
            <w:r w:rsidRPr="0050533C">
              <w:rPr>
                <w:sz w:val="20"/>
                <w:szCs w:val="20"/>
              </w:rPr>
              <w:t>2192 (92%)</w:t>
            </w:r>
          </w:p>
        </w:tc>
        <w:tc>
          <w:tcPr>
            <w:tcW w:w="1166" w:type="dxa"/>
            <w:noWrap/>
            <w:hideMark/>
          </w:tcPr>
          <w:p w:rsidR="00044D29" w:rsidRPr="0050533C" w:rsidRDefault="00044D29" w:rsidP="001D2685">
            <w:pPr>
              <w:jc w:val="center"/>
              <w:rPr>
                <w:sz w:val="20"/>
                <w:szCs w:val="20"/>
              </w:rPr>
            </w:pPr>
            <w:r w:rsidRPr="0050533C">
              <w:rPr>
                <w:sz w:val="20"/>
                <w:szCs w:val="20"/>
              </w:rPr>
              <w:t>2440 (88%)</w:t>
            </w:r>
          </w:p>
        </w:tc>
        <w:tc>
          <w:tcPr>
            <w:tcW w:w="788" w:type="dxa"/>
            <w:vMerge w:val="restart"/>
            <w:tcBorders>
              <w:bottom w:val="nil"/>
              <w:right w:val="single" w:sz="4" w:space="0" w:color="auto"/>
            </w:tcBorders>
          </w:tcPr>
          <w:p w:rsidR="00044D29" w:rsidRPr="0050533C" w:rsidRDefault="00044D29" w:rsidP="001D2685">
            <w:pPr>
              <w:jc w:val="center"/>
              <w:rPr>
                <w:sz w:val="20"/>
                <w:szCs w:val="20"/>
              </w:rPr>
            </w:pPr>
            <w:r>
              <w:rPr>
                <w:sz w:val="20"/>
                <w:szCs w:val="20"/>
              </w:rPr>
              <w:t>&lt;0.001</w:t>
            </w: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2481 (88%)</w:t>
            </w:r>
          </w:p>
        </w:tc>
        <w:tc>
          <w:tcPr>
            <w:tcW w:w="1276" w:type="dxa"/>
            <w:noWrap/>
            <w:hideMark/>
          </w:tcPr>
          <w:p w:rsidR="00044D29" w:rsidRPr="0050533C" w:rsidRDefault="00044D29" w:rsidP="001D2685">
            <w:pPr>
              <w:jc w:val="center"/>
              <w:rPr>
                <w:sz w:val="20"/>
                <w:szCs w:val="20"/>
              </w:rPr>
            </w:pPr>
            <w:r w:rsidRPr="0050533C">
              <w:rPr>
                <w:sz w:val="20"/>
                <w:szCs w:val="20"/>
              </w:rPr>
              <w:t>1535 (91%)</w:t>
            </w:r>
          </w:p>
        </w:tc>
        <w:tc>
          <w:tcPr>
            <w:tcW w:w="1276" w:type="dxa"/>
            <w:noWrap/>
            <w:hideMark/>
          </w:tcPr>
          <w:p w:rsidR="00044D29" w:rsidRPr="0050533C" w:rsidRDefault="00044D29" w:rsidP="001D2685">
            <w:pPr>
              <w:jc w:val="center"/>
              <w:rPr>
                <w:sz w:val="20"/>
                <w:szCs w:val="20"/>
              </w:rPr>
            </w:pPr>
            <w:r w:rsidRPr="0050533C">
              <w:rPr>
                <w:sz w:val="20"/>
                <w:szCs w:val="20"/>
              </w:rPr>
              <w:t>1393 (89%)</w:t>
            </w:r>
          </w:p>
        </w:tc>
        <w:tc>
          <w:tcPr>
            <w:tcW w:w="708" w:type="dxa"/>
            <w:vMerge w:val="restart"/>
          </w:tcPr>
          <w:p w:rsidR="00044D29" w:rsidRPr="0050533C" w:rsidRDefault="00044D29" w:rsidP="001D2685">
            <w:pPr>
              <w:jc w:val="center"/>
              <w:rPr>
                <w:sz w:val="20"/>
                <w:szCs w:val="20"/>
              </w:rPr>
            </w:pPr>
            <w:r>
              <w:rPr>
                <w:sz w:val="20"/>
                <w:szCs w:val="20"/>
              </w:rPr>
              <w:t>0.020</w:t>
            </w:r>
          </w:p>
        </w:tc>
      </w:tr>
      <w:tr w:rsidR="00044D29" w:rsidRPr="0050533C" w:rsidTr="001D2685">
        <w:trPr>
          <w:trHeight w:val="300"/>
        </w:trPr>
        <w:tc>
          <w:tcPr>
            <w:tcW w:w="1144" w:type="dxa"/>
            <w:vMerge/>
            <w:hideMark/>
          </w:tcPr>
          <w:p w:rsidR="00044D29" w:rsidRPr="0079593D" w:rsidRDefault="00044D29" w:rsidP="001D2685">
            <w:pPr>
              <w:rPr>
                <w:b/>
                <w:sz w:val="20"/>
                <w:szCs w:val="20"/>
              </w:rPr>
            </w:pPr>
          </w:p>
        </w:tc>
        <w:tc>
          <w:tcPr>
            <w:tcW w:w="708" w:type="dxa"/>
          </w:tcPr>
          <w:p w:rsidR="00044D29" w:rsidRPr="0050533C" w:rsidRDefault="00044D29" w:rsidP="001D2685">
            <w:pPr>
              <w:jc w:val="center"/>
              <w:rPr>
                <w:sz w:val="20"/>
                <w:szCs w:val="20"/>
              </w:rPr>
            </w:pPr>
            <w:r>
              <w:rPr>
                <w:sz w:val="20"/>
                <w:szCs w:val="20"/>
              </w:rPr>
              <w:t>2</w:t>
            </w:r>
          </w:p>
        </w:tc>
        <w:tc>
          <w:tcPr>
            <w:tcW w:w="1276" w:type="dxa"/>
            <w:noWrap/>
            <w:hideMark/>
          </w:tcPr>
          <w:p w:rsidR="00044D29" w:rsidRPr="0050533C" w:rsidRDefault="00044D29" w:rsidP="001D2685">
            <w:pPr>
              <w:jc w:val="center"/>
              <w:rPr>
                <w:sz w:val="20"/>
                <w:szCs w:val="20"/>
              </w:rPr>
            </w:pPr>
            <w:r w:rsidRPr="0050533C">
              <w:rPr>
                <w:sz w:val="20"/>
                <w:szCs w:val="20"/>
              </w:rPr>
              <w:t>602 (10%)</w:t>
            </w:r>
          </w:p>
        </w:tc>
        <w:tc>
          <w:tcPr>
            <w:tcW w:w="1279" w:type="dxa"/>
            <w:noWrap/>
            <w:hideMark/>
          </w:tcPr>
          <w:p w:rsidR="00044D29" w:rsidRPr="0050533C" w:rsidRDefault="00044D29" w:rsidP="001D2685">
            <w:pPr>
              <w:jc w:val="center"/>
              <w:rPr>
                <w:sz w:val="20"/>
                <w:szCs w:val="20"/>
              </w:rPr>
            </w:pPr>
            <w:r w:rsidRPr="0050533C">
              <w:rPr>
                <w:sz w:val="20"/>
                <w:szCs w:val="20"/>
              </w:rPr>
              <w:t>181 (8%)</w:t>
            </w:r>
          </w:p>
        </w:tc>
        <w:tc>
          <w:tcPr>
            <w:tcW w:w="1166" w:type="dxa"/>
            <w:noWrap/>
            <w:hideMark/>
          </w:tcPr>
          <w:p w:rsidR="00044D29" w:rsidRPr="0050533C" w:rsidRDefault="00044D29" w:rsidP="001D2685">
            <w:pPr>
              <w:jc w:val="center"/>
              <w:rPr>
                <w:sz w:val="20"/>
                <w:szCs w:val="20"/>
              </w:rPr>
            </w:pPr>
            <w:r w:rsidRPr="0050533C">
              <w:rPr>
                <w:sz w:val="20"/>
                <w:szCs w:val="20"/>
              </w:rPr>
              <w:t>311 (11%)</w:t>
            </w:r>
          </w:p>
        </w:tc>
        <w:tc>
          <w:tcPr>
            <w:tcW w:w="788" w:type="dxa"/>
            <w:vMerge/>
            <w:tcBorders>
              <w:bottom w:val="nil"/>
              <w:right w:val="single" w:sz="4" w:space="0" w:color="auto"/>
            </w:tcBorders>
          </w:tcPr>
          <w:p w:rsidR="00044D29" w:rsidRPr="0050533C" w:rsidRDefault="00044D29" w:rsidP="001D2685">
            <w:pPr>
              <w:jc w:val="center"/>
              <w:rPr>
                <w:sz w:val="20"/>
                <w:szCs w:val="20"/>
              </w:rPr>
            </w:pP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309 (11%)</w:t>
            </w:r>
          </w:p>
        </w:tc>
        <w:tc>
          <w:tcPr>
            <w:tcW w:w="1276" w:type="dxa"/>
            <w:noWrap/>
            <w:hideMark/>
          </w:tcPr>
          <w:p w:rsidR="00044D29" w:rsidRPr="0050533C" w:rsidRDefault="00044D29" w:rsidP="001D2685">
            <w:pPr>
              <w:jc w:val="center"/>
              <w:rPr>
                <w:sz w:val="20"/>
                <w:szCs w:val="20"/>
              </w:rPr>
            </w:pPr>
            <w:r w:rsidRPr="0050533C">
              <w:rPr>
                <w:sz w:val="20"/>
                <w:szCs w:val="20"/>
              </w:rPr>
              <w:t>140 (8%)</w:t>
            </w:r>
          </w:p>
        </w:tc>
        <w:tc>
          <w:tcPr>
            <w:tcW w:w="1276" w:type="dxa"/>
            <w:noWrap/>
            <w:hideMark/>
          </w:tcPr>
          <w:p w:rsidR="00044D29" w:rsidRPr="0050533C" w:rsidRDefault="00044D29" w:rsidP="001D2685">
            <w:pPr>
              <w:jc w:val="center"/>
              <w:rPr>
                <w:sz w:val="20"/>
                <w:szCs w:val="20"/>
              </w:rPr>
            </w:pPr>
            <w:r w:rsidRPr="0050533C">
              <w:rPr>
                <w:sz w:val="20"/>
                <w:szCs w:val="20"/>
              </w:rPr>
              <w:t>150 (10%)</w:t>
            </w:r>
          </w:p>
        </w:tc>
        <w:tc>
          <w:tcPr>
            <w:tcW w:w="708" w:type="dxa"/>
            <w:vMerge/>
          </w:tcPr>
          <w:p w:rsidR="00044D29" w:rsidRPr="0050533C" w:rsidRDefault="00044D29" w:rsidP="001D2685">
            <w:pPr>
              <w:jc w:val="center"/>
              <w:rPr>
                <w:sz w:val="20"/>
                <w:szCs w:val="20"/>
              </w:rPr>
            </w:pPr>
          </w:p>
        </w:tc>
      </w:tr>
      <w:tr w:rsidR="00044D29" w:rsidRPr="0050533C" w:rsidTr="001D2685">
        <w:trPr>
          <w:trHeight w:val="300"/>
        </w:trPr>
        <w:tc>
          <w:tcPr>
            <w:tcW w:w="1144" w:type="dxa"/>
            <w:vMerge/>
            <w:hideMark/>
          </w:tcPr>
          <w:p w:rsidR="00044D29" w:rsidRPr="0079593D" w:rsidRDefault="00044D29" w:rsidP="001D2685">
            <w:pPr>
              <w:rPr>
                <w:b/>
                <w:sz w:val="20"/>
                <w:szCs w:val="20"/>
              </w:rPr>
            </w:pPr>
          </w:p>
        </w:tc>
        <w:tc>
          <w:tcPr>
            <w:tcW w:w="708" w:type="dxa"/>
          </w:tcPr>
          <w:p w:rsidR="00044D29" w:rsidRPr="0050533C" w:rsidRDefault="00044D29" w:rsidP="001D2685">
            <w:pPr>
              <w:jc w:val="center"/>
              <w:rPr>
                <w:sz w:val="20"/>
                <w:szCs w:val="20"/>
              </w:rPr>
            </w:pPr>
            <w:r>
              <w:rPr>
                <w:sz w:val="20"/>
                <w:szCs w:val="20"/>
              </w:rPr>
              <w:t>3</w:t>
            </w:r>
          </w:p>
        </w:tc>
        <w:tc>
          <w:tcPr>
            <w:tcW w:w="1276" w:type="dxa"/>
            <w:noWrap/>
            <w:hideMark/>
          </w:tcPr>
          <w:p w:rsidR="00044D29" w:rsidRPr="0050533C" w:rsidRDefault="00044D29" w:rsidP="001D2685">
            <w:pPr>
              <w:jc w:val="center"/>
              <w:rPr>
                <w:sz w:val="20"/>
                <w:szCs w:val="20"/>
              </w:rPr>
            </w:pPr>
            <w:r w:rsidRPr="0050533C">
              <w:rPr>
                <w:sz w:val="20"/>
                <w:szCs w:val="20"/>
              </w:rPr>
              <w:t>81 (1%)</w:t>
            </w:r>
          </w:p>
        </w:tc>
        <w:tc>
          <w:tcPr>
            <w:tcW w:w="1279" w:type="dxa"/>
            <w:noWrap/>
            <w:hideMark/>
          </w:tcPr>
          <w:p w:rsidR="00044D29" w:rsidRPr="0050533C" w:rsidRDefault="00044D29" w:rsidP="001D2685">
            <w:pPr>
              <w:jc w:val="center"/>
              <w:rPr>
                <w:sz w:val="20"/>
                <w:szCs w:val="20"/>
              </w:rPr>
            </w:pPr>
            <w:r w:rsidRPr="0050533C">
              <w:rPr>
                <w:sz w:val="20"/>
                <w:szCs w:val="20"/>
              </w:rPr>
              <w:t>19 (&lt;1%)</w:t>
            </w:r>
          </w:p>
        </w:tc>
        <w:tc>
          <w:tcPr>
            <w:tcW w:w="1166" w:type="dxa"/>
            <w:noWrap/>
            <w:hideMark/>
          </w:tcPr>
          <w:p w:rsidR="00044D29" w:rsidRPr="0050533C" w:rsidRDefault="00044D29" w:rsidP="001D2685">
            <w:pPr>
              <w:jc w:val="center"/>
              <w:rPr>
                <w:sz w:val="20"/>
                <w:szCs w:val="20"/>
              </w:rPr>
            </w:pPr>
            <w:r w:rsidRPr="0050533C">
              <w:rPr>
                <w:sz w:val="20"/>
                <w:szCs w:val="20"/>
              </w:rPr>
              <w:t>39 (1%)</w:t>
            </w:r>
          </w:p>
        </w:tc>
        <w:tc>
          <w:tcPr>
            <w:tcW w:w="788" w:type="dxa"/>
            <w:vMerge/>
            <w:tcBorders>
              <w:bottom w:val="nil"/>
              <w:right w:val="single" w:sz="4" w:space="0" w:color="auto"/>
            </w:tcBorders>
          </w:tcPr>
          <w:p w:rsidR="00044D29" w:rsidRPr="0050533C" w:rsidRDefault="00044D29" w:rsidP="001D2685">
            <w:pPr>
              <w:jc w:val="center"/>
              <w:rPr>
                <w:sz w:val="20"/>
                <w:szCs w:val="20"/>
              </w:rPr>
            </w:pP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40 (1%)</w:t>
            </w:r>
          </w:p>
        </w:tc>
        <w:tc>
          <w:tcPr>
            <w:tcW w:w="1276" w:type="dxa"/>
            <w:noWrap/>
            <w:hideMark/>
          </w:tcPr>
          <w:p w:rsidR="00044D29" w:rsidRPr="0050533C" w:rsidRDefault="00044D29" w:rsidP="001D2685">
            <w:pPr>
              <w:jc w:val="center"/>
              <w:rPr>
                <w:sz w:val="20"/>
                <w:szCs w:val="20"/>
              </w:rPr>
            </w:pPr>
            <w:r w:rsidRPr="0050533C">
              <w:rPr>
                <w:sz w:val="20"/>
                <w:szCs w:val="20"/>
              </w:rPr>
              <w:t>16 (1%)</w:t>
            </w:r>
          </w:p>
        </w:tc>
        <w:tc>
          <w:tcPr>
            <w:tcW w:w="1276" w:type="dxa"/>
            <w:noWrap/>
            <w:hideMark/>
          </w:tcPr>
          <w:p w:rsidR="00044D29" w:rsidRPr="0050533C" w:rsidRDefault="00044D29" w:rsidP="001D2685">
            <w:pPr>
              <w:jc w:val="center"/>
              <w:rPr>
                <w:sz w:val="20"/>
                <w:szCs w:val="20"/>
              </w:rPr>
            </w:pPr>
            <w:r w:rsidRPr="0050533C">
              <w:rPr>
                <w:sz w:val="20"/>
                <w:szCs w:val="20"/>
              </w:rPr>
              <w:t>25 (1%)</w:t>
            </w:r>
          </w:p>
        </w:tc>
        <w:tc>
          <w:tcPr>
            <w:tcW w:w="708" w:type="dxa"/>
            <w:vMerge/>
          </w:tcPr>
          <w:p w:rsidR="00044D29" w:rsidRPr="0050533C" w:rsidRDefault="00044D29" w:rsidP="001D2685">
            <w:pPr>
              <w:jc w:val="center"/>
              <w:rPr>
                <w:sz w:val="20"/>
                <w:szCs w:val="20"/>
              </w:rPr>
            </w:pPr>
          </w:p>
        </w:tc>
      </w:tr>
      <w:tr w:rsidR="00044D29" w:rsidRPr="0050533C" w:rsidTr="001D2685">
        <w:trPr>
          <w:trHeight w:val="300"/>
        </w:trPr>
        <w:tc>
          <w:tcPr>
            <w:tcW w:w="1144" w:type="dxa"/>
            <w:vMerge w:val="restart"/>
            <w:hideMark/>
          </w:tcPr>
          <w:p w:rsidR="00044D29" w:rsidRPr="0079593D" w:rsidRDefault="00044D29" w:rsidP="001D2685">
            <w:pPr>
              <w:rPr>
                <w:b/>
                <w:sz w:val="20"/>
                <w:szCs w:val="20"/>
              </w:rPr>
            </w:pPr>
            <w:r w:rsidRPr="0079593D">
              <w:rPr>
                <w:b/>
                <w:sz w:val="20"/>
                <w:szCs w:val="20"/>
              </w:rPr>
              <w:t>Having pain or discomfort</w:t>
            </w:r>
          </w:p>
        </w:tc>
        <w:tc>
          <w:tcPr>
            <w:tcW w:w="708" w:type="dxa"/>
          </w:tcPr>
          <w:p w:rsidR="00044D29" w:rsidRPr="0050533C" w:rsidRDefault="00044D29" w:rsidP="001D2685">
            <w:pPr>
              <w:jc w:val="center"/>
              <w:rPr>
                <w:sz w:val="20"/>
                <w:szCs w:val="20"/>
              </w:rPr>
            </w:pPr>
            <w:r>
              <w:rPr>
                <w:sz w:val="20"/>
                <w:szCs w:val="20"/>
              </w:rPr>
              <w:t>1</w:t>
            </w:r>
          </w:p>
        </w:tc>
        <w:tc>
          <w:tcPr>
            <w:tcW w:w="1276" w:type="dxa"/>
            <w:noWrap/>
            <w:hideMark/>
          </w:tcPr>
          <w:p w:rsidR="00044D29" w:rsidRPr="0050533C" w:rsidRDefault="00044D29" w:rsidP="001D2685">
            <w:pPr>
              <w:jc w:val="center"/>
              <w:rPr>
                <w:sz w:val="20"/>
                <w:szCs w:val="20"/>
              </w:rPr>
            </w:pPr>
            <w:r w:rsidRPr="0050533C">
              <w:rPr>
                <w:sz w:val="20"/>
                <w:szCs w:val="20"/>
              </w:rPr>
              <w:t>4339 (70%)</w:t>
            </w:r>
          </w:p>
        </w:tc>
        <w:tc>
          <w:tcPr>
            <w:tcW w:w="1279" w:type="dxa"/>
            <w:noWrap/>
            <w:hideMark/>
          </w:tcPr>
          <w:p w:rsidR="00044D29" w:rsidRPr="0050533C" w:rsidRDefault="00044D29" w:rsidP="001D2685">
            <w:pPr>
              <w:jc w:val="center"/>
              <w:rPr>
                <w:sz w:val="20"/>
                <w:szCs w:val="20"/>
              </w:rPr>
            </w:pPr>
            <w:r w:rsidRPr="0050533C">
              <w:rPr>
                <w:sz w:val="20"/>
                <w:szCs w:val="20"/>
              </w:rPr>
              <w:t>1769 (74%)</w:t>
            </w:r>
          </w:p>
        </w:tc>
        <w:tc>
          <w:tcPr>
            <w:tcW w:w="1166" w:type="dxa"/>
            <w:noWrap/>
            <w:hideMark/>
          </w:tcPr>
          <w:p w:rsidR="00044D29" w:rsidRPr="0050533C" w:rsidRDefault="00044D29" w:rsidP="001D2685">
            <w:pPr>
              <w:jc w:val="center"/>
              <w:rPr>
                <w:sz w:val="20"/>
                <w:szCs w:val="20"/>
              </w:rPr>
            </w:pPr>
            <w:r w:rsidRPr="0050533C">
              <w:rPr>
                <w:sz w:val="20"/>
                <w:szCs w:val="20"/>
              </w:rPr>
              <w:t>1902 (68%)</w:t>
            </w:r>
          </w:p>
        </w:tc>
        <w:tc>
          <w:tcPr>
            <w:tcW w:w="788" w:type="dxa"/>
            <w:vMerge w:val="restart"/>
            <w:tcBorders>
              <w:bottom w:val="nil"/>
              <w:right w:val="single" w:sz="4" w:space="0" w:color="auto"/>
            </w:tcBorders>
          </w:tcPr>
          <w:p w:rsidR="00044D29" w:rsidRPr="0050533C" w:rsidRDefault="00044D29" w:rsidP="001D2685">
            <w:pPr>
              <w:jc w:val="center"/>
              <w:rPr>
                <w:sz w:val="20"/>
                <w:szCs w:val="20"/>
              </w:rPr>
            </w:pPr>
            <w:r>
              <w:rPr>
                <w:sz w:val="20"/>
                <w:szCs w:val="20"/>
              </w:rPr>
              <w:t>&lt;0.001</w:t>
            </w: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1942 (69%)</w:t>
            </w:r>
          </w:p>
        </w:tc>
        <w:tc>
          <w:tcPr>
            <w:tcW w:w="1276" w:type="dxa"/>
            <w:noWrap/>
            <w:hideMark/>
          </w:tcPr>
          <w:p w:rsidR="00044D29" w:rsidRPr="0050533C" w:rsidRDefault="00044D29" w:rsidP="001D2685">
            <w:pPr>
              <w:jc w:val="center"/>
              <w:rPr>
                <w:sz w:val="20"/>
                <w:szCs w:val="20"/>
              </w:rPr>
            </w:pPr>
            <w:r w:rsidRPr="0050533C">
              <w:rPr>
                <w:sz w:val="20"/>
                <w:szCs w:val="20"/>
              </w:rPr>
              <w:t>1182 (70%)</w:t>
            </w:r>
          </w:p>
        </w:tc>
        <w:tc>
          <w:tcPr>
            <w:tcW w:w="1276" w:type="dxa"/>
            <w:noWrap/>
            <w:hideMark/>
          </w:tcPr>
          <w:p w:rsidR="00044D29" w:rsidRPr="0050533C" w:rsidRDefault="00044D29" w:rsidP="001D2685">
            <w:pPr>
              <w:jc w:val="center"/>
              <w:rPr>
                <w:sz w:val="20"/>
                <w:szCs w:val="20"/>
              </w:rPr>
            </w:pPr>
            <w:r w:rsidRPr="0050533C">
              <w:rPr>
                <w:sz w:val="20"/>
                <w:szCs w:val="20"/>
              </w:rPr>
              <w:t>1148 (73%)</w:t>
            </w:r>
          </w:p>
        </w:tc>
        <w:tc>
          <w:tcPr>
            <w:tcW w:w="708" w:type="dxa"/>
            <w:vMerge w:val="restart"/>
          </w:tcPr>
          <w:p w:rsidR="00044D29" w:rsidRPr="0050533C" w:rsidRDefault="00044D29" w:rsidP="001D2685">
            <w:pPr>
              <w:jc w:val="center"/>
              <w:rPr>
                <w:sz w:val="20"/>
                <w:szCs w:val="20"/>
              </w:rPr>
            </w:pPr>
            <w:r>
              <w:rPr>
                <w:sz w:val="20"/>
                <w:szCs w:val="20"/>
              </w:rPr>
              <w:t>0.044</w:t>
            </w:r>
          </w:p>
        </w:tc>
      </w:tr>
      <w:tr w:rsidR="00044D29" w:rsidRPr="0050533C" w:rsidTr="001D2685">
        <w:trPr>
          <w:trHeight w:val="300"/>
        </w:trPr>
        <w:tc>
          <w:tcPr>
            <w:tcW w:w="1144" w:type="dxa"/>
            <w:vMerge/>
            <w:hideMark/>
          </w:tcPr>
          <w:p w:rsidR="00044D29" w:rsidRPr="0079593D" w:rsidRDefault="00044D29" w:rsidP="001D2685">
            <w:pPr>
              <w:rPr>
                <w:b/>
                <w:sz w:val="20"/>
                <w:szCs w:val="20"/>
              </w:rPr>
            </w:pPr>
          </w:p>
        </w:tc>
        <w:tc>
          <w:tcPr>
            <w:tcW w:w="708" w:type="dxa"/>
          </w:tcPr>
          <w:p w:rsidR="00044D29" w:rsidRPr="0050533C" w:rsidRDefault="00044D29" w:rsidP="001D2685">
            <w:pPr>
              <w:jc w:val="center"/>
              <w:rPr>
                <w:sz w:val="20"/>
                <w:szCs w:val="20"/>
              </w:rPr>
            </w:pPr>
            <w:r>
              <w:rPr>
                <w:sz w:val="20"/>
                <w:szCs w:val="20"/>
              </w:rPr>
              <w:t>2</w:t>
            </w:r>
          </w:p>
        </w:tc>
        <w:tc>
          <w:tcPr>
            <w:tcW w:w="1276" w:type="dxa"/>
            <w:noWrap/>
            <w:hideMark/>
          </w:tcPr>
          <w:p w:rsidR="00044D29" w:rsidRPr="0050533C" w:rsidRDefault="00044D29" w:rsidP="001D2685">
            <w:pPr>
              <w:jc w:val="center"/>
              <w:rPr>
                <w:sz w:val="20"/>
                <w:szCs w:val="20"/>
              </w:rPr>
            </w:pPr>
            <w:r w:rsidRPr="0050533C">
              <w:rPr>
                <w:sz w:val="20"/>
                <w:szCs w:val="20"/>
              </w:rPr>
              <w:t>1671 (27%)</w:t>
            </w:r>
          </w:p>
        </w:tc>
        <w:tc>
          <w:tcPr>
            <w:tcW w:w="1279" w:type="dxa"/>
            <w:noWrap/>
            <w:hideMark/>
          </w:tcPr>
          <w:p w:rsidR="00044D29" w:rsidRPr="0050533C" w:rsidRDefault="00044D29" w:rsidP="001D2685">
            <w:pPr>
              <w:jc w:val="center"/>
              <w:rPr>
                <w:sz w:val="20"/>
                <w:szCs w:val="20"/>
              </w:rPr>
            </w:pPr>
            <w:r w:rsidRPr="0050533C">
              <w:rPr>
                <w:sz w:val="20"/>
                <w:szCs w:val="20"/>
              </w:rPr>
              <w:t>580 (24%)</w:t>
            </w:r>
          </w:p>
        </w:tc>
        <w:tc>
          <w:tcPr>
            <w:tcW w:w="1166" w:type="dxa"/>
            <w:noWrap/>
            <w:hideMark/>
          </w:tcPr>
          <w:p w:rsidR="00044D29" w:rsidRPr="0050533C" w:rsidRDefault="00044D29" w:rsidP="001D2685">
            <w:pPr>
              <w:jc w:val="center"/>
              <w:rPr>
                <w:sz w:val="20"/>
                <w:szCs w:val="20"/>
              </w:rPr>
            </w:pPr>
            <w:r w:rsidRPr="0050533C">
              <w:rPr>
                <w:sz w:val="20"/>
                <w:szCs w:val="20"/>
              </w:rPr>
              <w:t>803 (29%)</w:t>
            </w:r>
          </w:p>
        </w:tc>
        <w:tc>
          <w:tcPr>
            <w:tcW w:w="788" w:type="dxa"/>
            <w:vMerge/>
            <w:tcBorders>
              <w:bottom w:val="nil"/>
              <w:right w:val="single" w:sz="4" w:space="0" w:color="auto"/>
            </w:tcBorders>
          </w:tcPr>
          <w:p w:rsidR="00044D29" w:rsidRPr="0050533C" w:rsidRDefault="00044D29" w:rsidP="001D2685">
            <w:pPr>
              <w:jc w:val="center"/>
              <w:rPr>
                <w:sz w:val="20"/>
                <w:szCs w:val="20"/>
              </w:rPr>
            </w:pP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805 (28%)</w:t>
            </w:r>
          </w:p>
        </w:tc>
        <w:tc>
          <w:tcPr>
            <w:tcW w:w="1276" w:type="dxa"/>
            <w:noWrap/>
            <w:hideMark/>
          </w:tcPr>
          <w:p w:rsidR="00044D29" w:rsidRPr="0050533C" w:rsidRDefault="00044D29" w:rsidP="001D2685">
            <w:pPr>
              <w:jc w:val="center"/>
              <w:rPr>
                <w:sz w:val="20"/>
                <w:szCs w:val="20"/>
              </w:rPr>
            </w:pPr>
            <w:r w:rsidRPr="0050533C">
              <w:rPr>
                <w:sz w:val="20"/>
                <w:szCs w:val="20"/>
              </w:rPr>
              <w:t>464 (27%)</w:t>
            </w:r>
          </w:p>
        </w:tc>
        <w:tc>
          <w:tcPr>
            <w:tcW w:w="1276" w:type="dxa"/>
            <w:noWrap/>
            <w:hideMark/>
          </w:tcPr>
          <w:p w:rsidR="00044D29" w:rsidRPr="0050533C" w:rsidRDefault="00044D29" w:rsidP="001D2685">
            <w:pPr>
              <w:jc w:val="center"/>
              <w:rPr>
                <w:sz w:val="20"/>
                <w:szCs w:val="20"/>
              </w:rPr>
            </w:pPr>
            <w:r w:rsidRPr="0050533C">
              <w:rPr>
                <w:sz w:val="20"/>
                <w:szCs w:val="20"/>
              </w:rPr>
              <w:t>382 (24%)</w:t>
            </w:r>
          </w:p>
        </w:tc>
        <w:tc>
          <w:tcPr>
            <w:tcW w:w="708" w:type="dxa"/>
            <w:vMerge/>
          </w:tcPr>
          <w:p w:rsidR="00044D29" w:rsidRPr="0050533C" w:rsidRDefault="00044D29" w:rsidP="001D2685">
            <w:pPr>
              <w:jc w:val="center"/>
              <w:rPr>
                <w:sz w:val="20"/>
                <w:szCs w:val="20"/>
              </w:rPr>
            </w:pPr>
          </w:p>
        </w:tc>
      </w:tr>
      <w:tr w:rsidR="00044D29" w:rsidRPr="0050533C" w:rsidTr="001D2685">
        <w:trPr>
          <w:trHeight w:val="300"/>
        </w:trPr>
        <w:tc>
          <w:tcPr>
            <w:tcW w:w="1144" w:type="dxa"/>
            <w:vMerge/>
            <w:hideMark/>
          </w:tcPr>
          <w:p w:rsidR="00044D29" w:rsidRPr="0079593D" w:rsidRDefault="00044D29" w:rsidP="001D2685">
            <w:pPr>
              <w:rPr>
                <w:b/>
                <w:sz w:val="20"/>
                <w:szCs w:val="20"/>
              </w:rPr>
            </w:pPr>
          </w:p>
        </w:tc>
        <w:tc>
          <w:tcPr>
            <w:tcW w:w="708" w:type="dxa"/>
          </w:tcPr>
          <w:p w:rsidR="00044D29" w:rsidRPr="0050533C" w:rsidRDefault="00044D29" w:rsidP="001D2685">
            <w:pPr>
              <w:jc w:val="center"/>
              <w:rPr>
                <w:sz w:val="20"/>
                <w:szCs w:val="20"/>
              </w:rPr>
            </w:pPr>
            <w:r>
              <w:rPr>
                <w:sz w:val="20"/>
                <w:szCs w:val="20"/>
              </w:rPr>
              <w:t>3</w:t>
            </w:r>
          </w:p>
        </w:tc>
        <w:tc>
          <w:tcPr>
            <w:tcW w:w="1276" w:type="dxa"/>
            <w:noWrap/>
            <w:hideMark/>
          </w:tcPr>
          <w:p w:rsidR="00044D29" w:rsidRPr="0050533C" w:rsidRDefault="00044D29" w:rsidP="001D2685">
            <w:pPr>
              <w:jc w:val="center"/>
              <w:rPr>
                <w:sz w:val="20"/>
                <w:szCs w:val="20"/>
              </w:rPr>
            </w:pPr>
            <w:r w:rsidRPr="0050533C">
              <w:rPr>
                <w:sz w:val="20"/>
                <w:szCs w:val="20"/>
              </w:rPr>
              <w:t>170 (3%)</w:t>
            </w:r>
          </w:p>
        </w:tc>
        <w:tc>
          <w:tcPr>
            <w:tcW w:w="1279" w:type="dxa"/>
            <w:noWrap/>
            <w:hideMark/>
          </w:tcPr>
          <w:p w:rsidR="00044D29" w:rsidRPr="0050533C" w:rsidRDefault="00044D29" w:rsidP="001D2685">
            <w:pPr>
              <w:jc w:val="center"/>
              <w:rPr>
                <w:sz w:val="20"/>
                <w:szCs w:val="20"/>
              </w:rPr>
            </w:pPr>
            <w:r w:rsidRPr="0050533C">
              <w:rPr>
                <w:sz w:val="20"/>
                <w:szCs w:val="20"/>
              </w:rPr>
              <w:t>44 (2%)</w:t>
            </w:r>
          </w:p>
        </w:tc>
        <w:tc>
          <w:tcPr>
            <w:tcW w:w="1166" w:type="dxa"/>
            <w:noWrap/>
            <w:hideMark/>
          </w:tcPr>
          <w:p w:rsidR="00044D29" w:rsidRPr="0050533C" w:rsidRDefault="00044D29" w:rsidP="001D2685">
            <w:pPr>
              <w:jc w:val="center"/>
              <w:rPr>
                <w:sz w:val="20"/>
                <w:szCs w:val="20"/>
              </w:rPr>
            </w:pPr>
            <w:r w:rsidRPr="0050533C">
              <w:rPr>
                <w:sz w:val="20"/>
                <w:szCs w:val="20"/>
              </w:rPr>
              <w:t>89 (3%)</w:t>
            </w:r>
          </w:p>
        </w:tc>
        <w:tc>
          <w:tcPr>
            <w:tcW w:w="788" w:type="dxa"/>
            <w:vMerge/>
            <w:tcBorders>
              <w:bottom w:val="nil"/>
              <w:right w:val="single" w:sz="4" w:space="0" w:color="auto"/>
            </w:tcBorders>
          </w:tcPr>
          <w:p w:rsidR="00044D29" w:rsidRPr="0050533C" w:rsidRDefault="00044D29" w:rsidP="001D2685">
            <w:pPr>
              <w:jc w:val="center"/>
              <w:rPr>
                <w:sz w:val="20"/>
                <w:szCs w:val="20"/>
              </w:rPr>
            </w:pP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82 (3%)</w:t>
            </w:r>
          </w:p>
        </w:tc>
        <w:tc>
          <w:tcPr>
            <w:tcW w:w="1276" w:type="dxa"/>
            <w:noWrap/>
            <w:hideMark/>
          </w:tcPr>
          <w:p w:rsidR="00044D29" w:rsidRPr="0050533C" w:rsidRDefault="00044D29" w:rsidP="001D2685">
            <w:pPr>
              <w:jc w:val="center"/>
              <w:rPr>
                <w:sz w:val="20"/>
                <w:szCs w:val="20"/>
              </w:rPr>
            </w:pPr>
            <w:r w:rsidRPr="0050533C">
              <w:rPr>
                <w:sz w:val="20"/>
                <w:szCs w:val="20"/>
              </w:rPr>
              <w:t>44 (3%)</w:t>
            </w:r>
          </w:p>
        </w:tc>
        <w:tc>
          <w:tcPr>
            <w:tcW w:w="1276" w:type="dxa"/>
            <w:noWrap/>
            <w:hideMark/>
          </w:tcPr>
          <w:p w:rsidR="00044D29" w:rsidRPr="0050533C" w:rsidRDefault="00044D29" w:rsidP="001D2685">
            <w:pPr>
              <w:jc w:val="center"/>
              <w:rPr>
                <w:sz w:val="20"/>
                <w:szCs w:val="20"/>
              </w:rPr>
            </w:pPr>
            <w:r w:rsidRPr="0050533C">
              <w:rPr>
                <w:sz w:val="20"/>
                <w:szCs w:val="20"/>
              </w:rPr>
              <w:t>41 (3%)</w:t>
            </w:r>
          </w:p>
        </w:tc>
        <w:tc>
          <w:tcPr>
            <w:tcW w:w="708" w:type="dxa"/>
            <w:vMerge/>
          </w:tcPr>
          <w:p w:rsidR="00044D29" w:rsidRPr="0050533C" w:rsidRDefault="00044D29" w:rsidP="001D2685">
            <w:pPr>
              <w:jc w:val="center"/>
              <w:rPr>
                <w:sz w:val="20"/>
                <w:szCs w:val="20"/>
              </w:rPr>
            </w:pPr>
          </w:p>
        </w:tc>
      </w:tr>
      <w:tr w:rsidR="00044D29" w:rsidRPr="0050533C" w:rsidTr="001D2685">
        <w:trPr>
          <w:trHeight w:val="300"/>
        </w:trPr>
        <w:tc>
          <w:tcPr>
            <w:tcW w:w="1144" w:type="dxa"/>
            <w:vMerge w:val="restart"/>
            <w:hideMark/>
          </w:tcPr>
          <w:p w:rsidR="00044D29" w:rsidRPr="0079593D" w:rsidRDefault="00044D29" w:rsidP="001D2685">
            <w:pPr>
              <w:rPr>
                <w:b/>
                <w:sz w:val="20"/>
                <w:szCs w:val="20"/>
              </w:rPr>
            </w:pPr>
            <w:r w:rsidRPr="0079593D">
              <w:rPr>
                <w:b/>
                <w:sz w:val="20"/>
                <w:szCs w:val="20"/>
              </w:rPr>
              <w:t>Feeling worried, sad or unhappy</w:t>
            </w:r>
          </w:p>
        </w:tc>
        <w:tc>
          <w:tcPr>
            <w:tcW w:w="708" w:type="dxa"/>
          </w:tcPr>
          <w:p w:rsidR="00044D29" w:rsidRPr="0050533C" w:rsidRDefault="00044D29" w:rsidP="001D2685">
            <w:pPr>
              <w:jc w:val="center"/>
              <w:rPr>
                <w:sz w:val="20"/>
                <w:szCs w:val="20"/>
              </w:rPr>
            </w:pPr>
            <w:r>
              <w:rPr>
                <w:sz w:val="20"/>
                <w:szCs w:val="20"/>
              </w:rPr>
              <w:t>1</w:t>
            </w:r>
          </w:p>
        </w:tc>
        <w:tc>
          <w:tcPr>
            <w:tcW w:w="1276" w:type="dxa"/>
            <w:noWrap/>
            <w:hideMark/>
          </w:tcPr>
          <w:p w:rsidR="00044D29" w:rsidRPr="0050533C" w:rsidRDefault="00044D29" w:rsidP="001D2685">
            <w:pPr>
              <w:jc w:val="center"/>
              <w:rPr>
                <w:sz w:val="20"/>
                <w:szCs w:val="20"/>
              </w:rPr>
            </w:pPr>
            <w:r w:rsidRPr="0050533C">
              <w:rPr>
                <w:sz w:val="20"/>
                <w:szCs w:val="20"/>
              </w:rPr>
              <w:t>3717 (60%)</w:t>
            </w:r>
          </w:p>
        </w:tc>
        <w:tc>
          <w:tcPr>
            <w:tcW w:w="1279" w:type="dxa"/>
            <w:noWrap/>
            <w:hideMark/>
          </w:tcPr>
          <w:p w:rsidR="00044D29" w:rsidRPr="0050533C" w:rsidRDefault="00044D29" w:rsidP="001D2685">
            <w:pPr>
              <w:jc w:val="center"/>
              <w:rPr>
                <w:sz w:val="20"/>
                <w:szCs w:val="20"/>
              </w:rPr>
            </w:pPr>
            <w:r w:rsidRPr="0050533C">
              <w:rPr>
                <w:sz w:val="20"/>
                <w:szCs w:val="20"/>
              </w:rPr>
              <w:t>1752 (74%)</w:t>
            </w:r>
          </w:p>
        </w:tc>
        <w:tc>
          <w:tcPr>
            <w:tcW w:w="1166" w:type="dxa"/>
            <w:noWrap/>
            <w:hideMark/>
          </w:tcPr>
          <w:p w:rsidR="00044D29" w:rsidRPr="0050533C" w:rsidRDefault="00044D29" w:rsidP="001D2685">
            <w:pPr>
              <w:jc w:val="center"/>
              <w:rPr>
                <w:sz w:val="20"/>
                <w:szCs w:val="20"/>
              </w:rPr>
            </w:pPr>
            <w:r w:rsidRPr="0050533C">
              <w:rPr>
                <w:sz w:val="20"/>
                <w:szCs w:val="20"/>
              </w:rPr>
              <w:t>1338 (48%)</w:t>
            </w:r>
          </w:p>
        </w:tc>
        <w:tc>
          <w:tcPr>
            <w:tcW w:w="788" w:type="dxa"/>
            <w:vMerge w:val="restart"/>
            <w:tcBorders>
              <w:top w:val="nil"/>
              <w:bottom w:val="single" w:sz="4" w:space="0" w:color="auto"/>
              <w:right w:val="single" w:sz="4" w:space="0" w:color="auto"/>
            </w:tcBorders>
          </w:tcPr>
          <w:p w:rsidR="00044D29" w:rsidRPr="0050533C" w:rsidRDefault="00044D29" w:rsidP="001D2685">
            <w:pPr>
              <w:jc w:val="center"/>
              <w:rPr>
                <w:sz w:val="20"/>
                <w:szCs w:val="20"/>
              </w:rPr>
            </w:pPr>
            <w:r>
              <w:rPr>
                <w:sz w:val="20"/>
                <w:szCs w:val="20"/>
              </w:rPr>
              <w:t>&lt;0.001</w:t>
            </w: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1810 (64%)</w:t>
            </w:r>
          </w:p>
        </w:tc>
        <w:tc>
          <w:tcPr>
            <w:tcW w:w="1276" w:type="dxa"/>
            <w:noWrap/>
            <w:hideMark/>
          </w:tcPr>
          <w:p w:rsidR="00044D29" w:rsidRPr="0050533C" w:rsidRDefault="00044D29" w:rsidP="001D2685">
            <w:pPr>
              <w:jc w:val="center"/>
              <w:rPr>
                <w:sz w:val="20"/>
                <w:szCs w:val="20"/>
              </w:rPr>
            </w:pPr>
            <w:r w:rsidRPr="0050533C">
              <w:rPr>
                <w:sz w:val="20"/>
                <w:szCs w:val="20"/>
              </w:rPr>
              <w:t>1097 (65%)</w:t>
            </w:r>
          </w:p>
        </w:tc>
        <w:tc>
          <w:tcPr>
            <w:tcW w:w="1276" w:type="dxa"/>
            <w:noWrap/>
            <w:hideMark/>
          </w:tcPr>
          <w:p w:rsidR="00044D29" w:rsidRPr="0050533C" w:rsidRDefault="00044D29" w:rsidP="001D2685">
            <w:pPr>
              <w:jc w:val="center"/>
              <w:rPr>
                <w:sz w:val="20"/>
                <w:szCs w:val="20"/>
              </w:rPr>
            </w:pPr>
            <w:r w:rsidRPr="0050533C">
              <w:rPr>
                <w:sz w:val="20"/>
                <w:szCs w:val="20"/>
              </w:rPr>
              <w:t>750 (48%)</w:t>
            </w:r>
          </w:p>
        </w:tc>
        <w:tc>
          <w:tcPr>
            <w:tcW w:w="708" w:type="dxa"/>
            <w:vMerge w:val="restart"/>
          </w:tcPr>
          <w:p w:rsidR="00044D29" w:rsidRPr="0050533C" w:rsidRDefault="00044D29" w:rsidP="001D2685">
            <w:pPr>
              <w:jc w:val="center"/>
              <w:rPr>
                <w:sz w:val="20"/>
                <w:szCs w:val="20"/>
              </w:rPr>
            </w:pPr>
            <w:r>
              <w:rPr>
                <w:sz w:val="20"/>
                <w:szCs w:val="20"/>
              </w:rPr>
              <w:t>&lt;0.001</w:t>
            </w:r>
          </w:p>
        </w:tc>
      </w:tr>
      <w:tr w:rsidR="00044D29" w:rsidRPr="0050533C" w:rsidTr="001D2685">
        <w:trPr>
          <w:trHeight w:val="300"/>
        </w:trPr>
        <w:tc>
          <w:tcPr>
            <w:tcW w:w="1144" w:type="dxa"/>
            <w:vMerge/>
            <w:hideMark/>
          </w:tcPr>
          <w:p w:rsidR="00044D29" w:rsidRPr="0050533C" w:rsidRDefault="00044D29" w:rsidP="001D2685">
            <w:pPr>
              <w:rPr>
                <w:sz w:val="20"/>
                <w:szCs w:val="20"/>
              </w:rPr>
            </w:pPr>
          </w:p>
        </w:tc>
        <w:tc>
          <w:tcPr>
            <w:tcW w:w="708" w:type="dxa"/>
          </w:tcPr>
          <w:p w:rsidR="00044D29" w:rsidRPr="0050533C" w:rsidRDefault="00044D29" w:rsidP="001D2685">
            <w:pPr>
              <w:jc w:val="center"/>
              <w:rPr>
                <w:sz w:val="20"/>
                <w:szCs w:val="20"/>
              </w:rPr>
            </w:pPr>
            <w:r>
              <w:rPr>
                <w:sz w:val="20"/>
                <w:szCs w:val="20"/>
              </w:rPr>
              <w:t>2</w:t>
            </w:r>
          </w:p>
        </w:tc>
        <w:tc>
          <w:tcPr>
            <w:tcW w:w="1276" w:type="dxa"/>
            <w:noWrap/>
            <w:hideMark/>
          </w:tcPr>
          <w:p w:rsidR="00044D29" w:rsidRPr="0050533C" w:rsidRDefault="00044D29" w:rsidP="001D2685">
            <w:pPr>
              <w:jc w:val="center"/>
              <w:rPr>
                <w:sz w:val="20"/>
                <w:szCs w:val="20"/>
              </w:rPr>
            </w:pPr>
            <w:r w:rsidRPr="0050533C">
              <w:rPr>
                <w:sz w:val="20"/>
                <w:szCs w:val="20"/>
              </w:rPr>
              <w:t>2027 (33%)</w:t>
            </w:r>
          </w:p>
        </w:tc>
        <w:tc>
          <w:tcPr>
            <w:tcW w:w="1279" w:type="dxa"/>
            <w:noWrap/>
            <w:hideMark/>
          </w:tcPr>
          <w:p w:rsidR="00044D29" w:rsidRPr="0050533C" w:rsidRDefault="00044D29" w:rsidP="001D2685">
            <w:pPr>
              <w:jc w:val="center"/>
              <w:rPr>
                <w:sz w:val="20"/>
                <w:szCs w:val="20"/>
              </w:rPr>
            </w:pPr>
            <w:r w:rsidRPr="0050533C">
              <w:rPr>
                <w:sz w:val="20"/>
                <w:szCs w:val="20"/>
              </w:rPr>
              <w:t>560 (23%)</w:t>
            </w:r>
          </w:p>
        </w:tc>
        <w:tc>
          <w:tcPr>
            <w:tcW w:w="1166" w:type="dxa"/>
            <w:noWrap/>
            <w:hideMark/>
          </w:tcPr>
          <w:p w:rsidR="00044D29" w:rsidRPr="0050533C" w:rsidRDefault="00044D29" w:rsidP="001D2685">
            <w:pPr>
              <w:jc w:val="center"/>
              <w:rPr>
                <w:sz w:val="20"/>
                <w:szCs w:val="20"/>
              </w:rPr>
            </w:pPr>
            <w:r w:rsidRPr="0050533C">
              <w:rPr>
                <w:sz w:val="20"/>
                <w:szCs w:val="20"/>
              </w:rPr>
              <w:t>1169 (42%)</w:t>
            </w:r>
          </w:p>
        </w:tc>
        <w:tc>
          <w:tcPr>
            <w:tcW w:w="788" w:type="dxa"/>
            <w:vMerge/>
            <w:tcBorders>
              <w:top w:val="nil"/>
              <w:bottom w:val="single" w:sz="4" w:space="0" w:color="auto"/>
              <w:right w:val="single" w:sz="4" w:space="0" w:color="auto"/>
            </w:tcBorders>
          </w:tcPr>
          <w:p w:rsidR="00044D29" w:rsidRPr="0050533C" w:rsidRDefault="00044D29" w:rsidP="001D2685">
            <w:pPr>
              <w:jc w:val="center"/>
              <w:rPr>
                <w:sz w:val="20"/>
                <w:szCs w:val="20"/>
              </w:rPr>
            </w:pP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832 (30%)</w:t>
            </w:r>
          </w:p>
        </w:tc>
        <w:tc>
          <w:tcPr>
            <w:tcW w:w="1276" w:type="dxa"/>
            <w:noWrap/>
            <w:hideMark/>
          </w:tcPr>
          <w:p w:rsidR="00044D29" w:rsidRPr="0050533C" w:rsidRDefault="00044D29" w:rsidP="001D2685">
            <w:pPr>
              <w:jc w:val="center"/>
              <w:rPr>
                <w:sz w:val="20"/>
                <w:szCs w:val="20"/>
              </w:rPr>
            </w:pPr>
            <w:r w:rsidRPr="0050533C">
              <w:rPr>
                <w:sz w:val="20"/>
                <w:szCs w:val="20"/>
              </w:rPr>
              <w:t>505 (30%)</w:t>
            </w:r>
          </w:p>
        </w:tc>
        <w:tc>
          <w:tcPr>
            <w:tcW w:w="1276" w:type="dxa"/>
            <w:noWrap/>
            <w:hideMark/>
          </w:tcPr>
          <w:p w:rsidR="00044D29" w:rsidRPr="0050533C" w:rsidRDefault="00044D29" w:rsidP="001D2685">
            <w:pPr>
              <w:jc w:val="center"/>
              <w:rPr>
                <w:sz w:val="20"/>
                <w:szCs w:val="20"/>
              </w:rPr>
            </w:pPr>
            <w:r w:rsidRPr="0050533C">
              <w:rPr>
                <w:sz w:val="20"/>
                <w:szCs w:val="20"/>
              </w:rPr>
              <w:t>666 (42%)</w:t>
            </w:r>
          </w:p>
        </w:tc>
        <w:tc>
          <w:tcPr>
            <w:tcW w:w="708" w:type="dxa"/>
            <w:vMerge/>
          </w:tcPr>
          <w:p w:rsidR="00044D29" w:rsidRPr="0050533C" w:rsidRDefault="00044D29" w:rsidP="001D2685">
            <w:pPr>
              <w:jc w:val="center"/>
              <w:rPr>
                <w:sz w:val="20"/>
                <w:szCs w:val="20"/>
              </w:rPr>
            </w:pPr>
          </w:p>
        </w:tc>
      </w:tr>
      <w:tr w:rsidR="00044D29" w:rsidRPr="0050533C" w:rsidTr="001D2685">
        <w:trPr>
          <w:trHeight w:val="300"/>
        </w:trPr>
        <w:tc>
          <w:tcPr>
            <w:tcW w:w="1144" w:type="dxa"/>
            <w:vMerge/>
            <w:hideMark/>
          </w:tcPr>
          <w:p w:rsidR="00044D29" w:rsidRPr="0050533C" w:rsidRDefault="00044D29" w:rsidP="001D2685">
            <w:pPr>
              <w:rPr>
                <w:sz w:val="20"/>
                <w:szCs w:val="20"/>
              </w:rPr>
            </w:pPr>
          </w:p>
        </w:tc>
        <w:tc>
          <w:tcPr>
            <w:tcW w:w="708" w:type="dxa"/>
          </w:tcPr>
          <w:p w:rsidR="00044D29" w:rsidRPr="0050533C" w:rsidRDefault="00044D29" w:rsidP="001D2685">
            <w:pPr>
              <w:jc w:val="center"/>
              <w:rPr>
                <w:sz w:val="20"/>
                <w:szCs w:val="20"/>
              </w:rPr>
            </w:pPr>
            <w:r>
              <w:rPr>
                <w:sz w:val="20"/>
                <w:szCs w:val="20"/>
              </w:rPr>
              <w:t>3</w:t>
            </w:r>
          </w:p>
        </w:tc>
        <w:tc>
          <w:tcPr>
            <w:tcW w:w="1276" w:type="dxa"/>
            <w:noWrap/>
            <w:hideMark/>
          </w:tcPr>
          <w:p w:rsidR="00044D29" w:rsidRPr="0050533C" w:rsidRDefault="00044D29" w:rsidP="001D2685">
            <w:pPr>
              <w:jc w:val="center"/>
              <w:rPr>
                <w:sz w:val="20"/>
                <w:szCs w:val="20"/>
              </w:rPr>
            </w:pPr>
            <w:r w:rsidRPr="0050533C">
              <w:rPr>
                <w:sz w:val="20"/>
                <w:szCs w:val="20"/>
              </w:rPr>
              <w:t>422 (7%)</w:t>
            </w:r>
          </w:p>
        </w:tc>
        <w:tc>
          <w:tcPr>
            <w:tcW w:w="1279" w:type="dxa"/>
            <w:noWrap/>
            <w:hideMark/>
          </w:tcPr>
          <w:p w:rsidR="00044D29" w:rsidRPr="0050533C" w:rsidRDefault="00044D29" w:rsidP="001D2685">
            <w:pPr>
              <w:jc w:val="center"/>
              <w:rPr>
                <w:sz w:val="20"/>
                <w:szCs w:val="20"/>
              </w:rPr>
            </w:pPr>
            <w:r w:rsidRPr="0050533C">
              <w:rPr>
                <w:sz w:val="20"/>
                <w:szCs w:val="20"/>
              </w:rPr>
              <w:t>76 (3%)</w:t>
            </w:r>
          </w:p>
        </w:tc>
        <w:tc>
          <w:tcPr>
            <w:tcW w:w="1166" w:type="dxa"/>
            <w:noWrap/>
            <w:hideMark/>
          </w:tcPr>
          <w:p w:rsidR="00044D29" w:rsidRPr="0050533C" w:rsidRDefault="00044D29" w:rsidP="001D2685">
            <w:pPr>
              <w:jc w:val="center"/>
              <w:rPr>
                <w:sz w:val="20"/>
                <w:szCs w:val="20"/>
              </w:rPr>
            </w:pPr>
            <w:r w:rsidRPr="0050533C">
              <w:rPr>
                <w:sz w:val="20"/>
                <w:szCs w:val="20"/>
              </w:rPr>
              <w:t>280 (10%)</w:t>
            </w:r>
          </w:p>
        </w:tc>
        <w:tc>
          <w:tcPr>
            <w:tcW w:w="788" w:type="dxa"/>
            <w:vMerge/>
            <w:tcBorders>
              <w:top w:val="nil"/>
              <w:bottom w:val="single" w:sz="4" w:space="0" w:color="auto"/>
              <w:right w:val="single" w:sz="4" w:space="0" w:color="auto"/>
            </w:tcBorders>
          </w:tcPr>
          <w:p w:rsidR="00044D29" w:rsidRPr="0050533C" w:rsidRDefault="00044D29" w:rsidP="001D2685">
            <w:pPr>
              <w:jc w:val="center"/>
              <w:rPr>
                <w:sz w:val="20"/>
                <w:szCs w:val="20"/>
              </w:rPr>
            </w:pPr>
          </w:p>
        </w:tc>
        <w:tc>
          <w:tcPr>
            <w:tcW w:w="1303" w:type="dxa"/>
            <w:tcBorders>
              <w:left w:val="single" w:sz="4" w:space="0" w:color="auto"/>
            </w:tcBorders>
          </w:tcPr>
          <w:p w:rsidR="00044D29" w:rsidRPr="0050533C" w:rsidRDefault="00044D29" w:rsidP="001D2685">
            <w:pPr>
              <w:jc w:val="center"/>
              <w:rPr>
                <w:sz w:val="20"/>
                <w:szCs w:val="20"/>
              </w:rPr>
            </w:pPr>
            <w:r w:rsidRPr="0050533C">
              <w:rPr>
                <w:sz w:val="20"/>
                <w:szCs w:val="20"/>
              </w:rPr>
              <w:t>174 (6%)</w:t>
            </w:r>
          </w:p>
        </w:tc>
        <w:tc>
          <w:tcPr>
            <w:tcW w:w="1276" w:type="dxa"/>
            <w:noWrap/>
            <w:hideMark/>
          </w:tcPr>
          <w:p w:rsidR="00044D29" w:rsidRPr="0050533C" w:rsidRDefault="00044D29" w:rsidP="001D2685">
            <w:pPr>
              <w:jc w:val="center"/>
              <w:rPr>
                <w:sz w:val="20"/>
                <w:szCs w:val="20"/>
              </w:rPr>
            </w:pPr>
            <w:r w:rsidRPr="0050533C">
              <w:rPr>
                <w:sz w:val="20"/>
                <w:szCs w:val="20"/>
              </w:rPr>
              <w:t>89 (5%)</w:t>
            </w:r>
          </w:p>
        </w:tc>
        <w:tc>
          <w:tcPr>
            <w:tcW w:w="1276" w:type="dxa"/>
            <w:noWrap/>
            <w:hideMark/>
          </w:tcPr>
          <w:p w:rsidR="00044D29" w:rsidRPr="0050533C" w:rsidRDefault="00044D29" w:rsidP="001D2685">
            <w:pPr>
              <w:jc w:val="center"/>
              <w:rPr>
                <w:sz w:val="20"/>
                <w:szCs w:val="20"/>
              </w:rPr>
            </w:pPr>
            <w:r w:rsidRPr="0050533C">
              <w:rPr>
                <w:sz w:val="20"/>
                <w:szCs w:val="20"/>
              </w:rPr>
              <w:t>153 (10%)</w:t>
            </w:r>
          </w:p>
        </w:tc>
        <w:tc>
          <w:tcPr>
            <w:tcW w:w="708" w:type="dxa"/>
            <w:vMerge/>
          </w:tcPr>
          <w:p w:rsidR="00044D29" w:rsidRPr="0050533C" w:rsidRDefault="00044D29" w:rsidP="001D2685">
            <w:pPr>
              <w:jc w:val="center"/>
              <w:rPr>
                <w:sz w:val="20"/>
                <w:szCs w:val="20"/>
              </w:rPr>
            </w:pPr>
          </w:p>
        </w:tc>
      </w:tr>
    </w:tbl>
    <w:p w:rsidR="00044D29" w:rsidRDefault="00044D29" w:rsidP="00F540F4">
      <w:pPr>
        <w:autoSpaceDE w:val="0"/>
        <w:autoSpaceDN w:val="0"/>
        <w:adjustRightInd w:val="0"/>
      </w:pPr>
    </w:p>
    <w:p w:rsidR="00044D29" w:rsidRDefault="00044D29" w:rsidP="00F540F4">
      <w:pPr>
        <w:autoSpaceDE w:val="0"/>
        <w:autoSpaceDN w:val="0"/>
        <w:adjustRightInd w:val="0"/>
      </w:pPr>
    </w:p>
    <w:p w:rsidR="0025086A" w:rsidRDefault="0025086A" w:rsidP="00044D29">
      <w:pPr>
        <w:rPr>
          <w:b/>
          <w:sz w:val="22"/>
        </w:rPr>
      </w:pPr>
    </w:p>
    <w:p w:rsidR="00044D29" w:rsidRDefault="00044D29" w:rsidP="00044D29">
      <w:pPr>
        <w:rPr>
          <w:b/>
          <w:sz w:val="22"/>
        </w:rPr>
      </w:pPr>
      <w:r w:rsidRPr="00700C54">
        <w:rPr>
          <w:b/>
          <w:sz w:val="22"/>
        </w:rPr>
        <w:t xml:space="preserve">Table </w:t>
      </w:r>
      <w:r>
        <w:rPr>
          <w:b/>
          <w:sz w:val="22"/>
        </w:rPr>
        <w:t>8</w:t>
      </w:r>
      <w:r w:rsidRPr="00700C54">
        <w:rPr>
          <w:b/>
          <w:sz w:val="22"/>
        </w:rPr>
        <w:t xml:space="preserve">. </w:t>
      </w:r>
      <w:r>
        <w:rPr>
          <w:b/>
          <w:sz w:val="22"/>
        </w:rPr>
        <w:t>Social Media impact</w:t>
      </w:r>
    </w:p>
    <w:p w:rsidR="00044D29" w:rsidRPr="00700C54" w:rsidRDefault="00044D29" w:rsidP="00044D29">
      <w:pPr>
        <w:rPr>
          <w:b/>
          <w:sz w:val="22"/>
        </w:rPr>
      </w:pP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081"/>
        <w:gridCol w:w="3079"/>
      </w:tblGrid>
      <w:tr w:rsidR="00044D29" w:rsidTr="001D2685">
        <w:tc>
          <w:tcPr>
            <w:tcW w:w="1667" w:type="pct"/>
            <w:tcBorders>
              <w:top w:val="single" w:sz="4" w:space="0" w:color="auto"/>
              <w:bottom w:val="single" w:sz="4" w:space="0" w:color="auto"/>
            </w:tcBorders>
            <w:shd w:val="clear" w:color="auto" w:fill="auto"/>
          </w:tcPr>
          <w:p w:rsidR="00044D29" w:rsidRPr="0079593D" w:rsidRDefault="00044D29" w:rsidP="001D2685">
            <w:pPr>
              <w:rPr>
                <w:sz w:val="22"/>
              </w:rPr>
            </w:pPr>
            <w:r w:rsidRPr="0079593D">
              <w:rPr>
                <w:sz w:val="22"/>
              </w:rPr>
              <w:t xml:space="preserve">Over the past week, how much has social media affected your mood? </w:t>
            </w:r>
          </w:p>
        </w:tc>
        <w:tc>
          <w:tcPr>
            <w:tcW w:w="1667" w:type="pct"/>
            <w:tcBorders>
              <w:top w:val="single" w:sz="4" w:space="0" w:color="auto"/>
              <w:bottom w:val="single" w:sz="4" w:space="0" w:color="auto"/>
            </w:tcBorders>
            <w:shd w:val="clear" w:color="auto" w:fill="auto"/>
          </w:tcPr>
          <w:p w:rsidR="00044D29" w:rsidRPr="0079593D" w:rsidRDefault="00044D29" w:rsidP="001D2685">
            <w:pPr>
              <w:rPr>
                <w:sz w:val="22"/>
              </w:rPr>
            </w:pPr>
            <w:r w:rsidRPr="0079593D">
              <w:rPr>
                <w:sz w:val="22"/>
              </w:rPr>
              <w:t xml:space="preserve">Social media has an overall </w:t>
            </w:r>
            <w:r w:rsidRPr="00287492">
              <w:rPr>
                <w:b/>
                <w:sz w:val="22"/>
              </w:rPr>
              <w:t>positive</w:t>
            </w:r>
            <w:r w:rsidRPr="0079593D">
              <w:rPr>
                <w:sz w:val="22"/>
              </w:rPr>
              <w:t xml:space="preserve"> effect on mood</w:t>
            </w:r>
            <w:r>
              <w:rPr>
                <w:sz w:val="22"/>
              </w:rPr>
              <w:t xml:space="preserve"> </w:t>
            </w:r>
            <w:r w:rsidRPr="0079593D">
              <w:rPr>
                <w:sz w:val="22"/>
              </w:rPr>
              <w:t>(%)</w:t>
            </w:r>
          </w:p>
        </w:tc>
        <w:tc>
          <w:tcPr>
            <w:tcW w:w="1666" w:type="pct"/>
            <w:tcBorders>
              <w:top w:val="single" w:sz="4" w:space="0" w:color="auto"/>
              <w:bottom w:val="single" w:sz="4" w:space="0" w:color="auto"/>
            </w:tcBorders>
            <w:shd w:val="clear" w:color="auto" w:fill="auto"/>
          </w:tcPr>
          <w:p w:rsidR="00044D29" w:rsidRPr="0079593D" w:rsidRDefault="00044D29" w:rsidP="001D2685">
            <w:pPr>
              <w:rPr>
                <w:sz w:val="22"/>
              </w:rPr>
            </w:pPr>
            <w:r w:rsidRPr="0079593D">
              <w:rPr>
                <w:sz w:val="22"/>
              </w:rPr>
              <w:t xml:space="preserve">Social media has an overall </w:t>
            </w:r>
            <w:r w:rsidRPr="00287492">
              <w:rPr>
                <w:b/>
                <w:sz w:val="22"/>
              </w:rPr>
              <w:t>negative</w:t>
            </w:r>
            <w:r w:rsidRPr="0079593D">
              <w:rPr>
                <w:sz w:val="22"/>
              </w:rPr>
              <w:t xml:space="preserve"> effect on mood</w:t>
            </w:r>
            <w:r>
              <w:rPr>
                <w:sz w:val="22"/>
              </w:rPr>
              <w:t xml:space="preserve"> </w:t>
            </w:r>
            <w:r w:rsidRPr="0079593D">
              <w:rPr>
                <w:sz w:val="22"/>
              </w:rPr>
              <w:t>(%)</w:t>
            </w:r>
          </w:p>
        </w:tc>
      </w:tr>
      <w:tr w:rsidR="00044D29" w:rsidTr="001D2685">
        <w:tc>
          <w:tcPr>
            <w:tcW w:w="1667" w:type="pct"/>
            <w:tcBorders>
              <w:top w:val="single" w:sz="4" w:space="0" w:color="auto"/>
            </w:tcBorders>
          </w:tcPr>
          <w:p w:rsidR="00044D29" w:rsidRPr="0079593D" w:rsidRDefault="00044D29" w:rsidP="001D2685">
            <w:pPr>
              <w:rPr>
                <w:sz w:val="22"/>
              </w:rPr>
            </w:pPr>
            <w:r w:rsidRPr="0079593D">
              <w:rPr>
                <w:sz w:val="22"/>
              </w:rPr>
              <w:t>Not at all</w:t>
            </w:r>
          </w:p>
        </w:tc>
        <w:tc>
          <w:tcPr>
            <w:tcW w:w="1667" w:type="pct"/>
            <w:tcBorders>
              <w:top w:val="single" w:sz="4" w:space="0" w:color="auto"/>
            </w:tcBorders>
          </w:tcPr>
          <w:p w:rsidR="00044D29" w:rsidRDefault="00044D29" w:rsidP="001D2685">
            <w:pPr>
              <w:jc w:val="center"/>
              <w:rPr>
                <w:sz w:val="22"/>
              </w:rPr>
            </w:pPr>
            <w:r>
              <w:rPr>
                <w:sz w:val="22"/>
              </w:rPr>
              <w:t>36%</w:t>
            </w:r>
          </w:p>
        </w:tc>
        <w:tc>
          <w:tcPr>
            <w:tcW w:w="1666" w:type="pct"/>
            <w:tcBorders>
              <w:top w:val="single" w:sz="4" w:space="0" w:color="auto"/>
            </w:tcBorders>
          </w:tcPr>
          <w:p w:rsidR="00044D29" w:rsidRDefault="00044D29" w:rsidP="001D2685">
            <w:pPr>
              <w:jc w:val="center"/>
              <w:rPr>
                <w:sz w:val="22"/>
              </w:rPr>
            </w:pPr>
            <w:r>
              <w:rPr>
                <w:sz w:val="22"/>
              </w:rPr>
              <w:t>27%</w:t>
            </w:r>
          </w:p>
        </w:tc>
      </w:tr>
      <w:tr w:rsidR="00044D29" w:rsidTr="001D2685">
        <w:tc>
          <w:tcPr>
            <w:tcW w:w="1667" w:type="pct"/>
          </w:tcPr>
          <w:p w:rsidR="00044D29" w:rsidRPr="0079593D" w:rsidRDefault="00044D29" w:rsidP="001D2685">
            <w:pPr>
              <w:rPr>
                <w:sz w:val="22"/>
              </w:rPr>
            </w:pPr>
            <w:r w:rsidRPr="0079593D">
              <w:rPr>
                <w:sz w:val="22"/>
              </w:rPr>
              <w:t>Some of the time</w:t>
            </w:r>
          </w:p>
        </w:tc>
        <w:tc>
          <w:tcPr>
            <w:tcW w:w="1667" w:type="pct"/>
          </w:tcPr>
          <w:p w:rsidR="00044D29" w:rsidRDefault="00044D29" w:rsidP="001D2685">
            <w:pPr>
              <w:jc w:val="center"/>
              <w:rPr>
                <w:sz w:val="22"/>
              </w:rPr>
            </w:pPr>
            <w:r>
              <w:rPr>
                <w:sz w:val="22"/>
              </w:rPr>
              <w:t>42%</w:t>
            </w:r>
          </w:p>
        </w:tc>
        <w:tc>
          <w:tcPr>
            <w:tcW w:w="1666" w:type="pct"/>
          </w:tcPr>
          <w:p w:rsidR="00044D29" w:rsidRDefault="00044D29" w:rsidP="001D2685">
            <w:pPr>
              <w:jc w:val="center"/>
              <w:rPr>
                <w:sz w:val="22"/>
              </w:rPr>
            </w:pPr>
            <w:r>
              <w:rPr>
                <w:sz w:val="22"/>
              </w:rPr>
              <w:t>47%</w:t>
            </w:r>
          </w:p>
        </w:tc>
      </w:tr>
      <w:tr w:rsidR="00044D29" w:rsidTr="001D2685">
        <w:tc>
          <w:tcPr>
            <w:tcW w:w="1667" w:type="pct"/>
          </w:tcPr>
          <w:p w:rsidR="00044D29" w:rsidRPr="0079593D" w:rsidRDefault="00044D29" w:rsidP="001D2685">
            <w:pPr>
              <w:rPr>
                <w:sz w:val="22"/>
              </w:rPr>
            </w:pPr>
            <w:r w:rsidRPr="0079593D">
              <w:rPr>
                <w:sz w:val="22"/>
              </w:rPr>
              <w:t>More than half the time</w:t>
            </w:r>
          </w:p>
        </w:tc>
        <w:tc>
          <w:tcPr>
            <w:tcW w:w="1667" w:type="pct"/>
          </w:tcPr>
          <w:p w:rsidR="00044D29" w:rsidRDefault="00044D29" w:rsidP="001D2685">
            <w:pPr>
              <w:jc w:val="center"/>
              <w:rPr>
                <w:sz w:val="22"/>
              </w:rPr>
            </w:pPr>
            <w:r>
              <w:rPr>
                <w:sz w:val="22"/>
              </w:rPr>
              <w:t>15%</w:t>
            </w:r>
          </w:p>
        </w:tc>
        <w:tc>
          <w:tcPr>
            <w:tcW w:w="1666" w:type="pct"/>
          </w:tcPr>
          <w:p w:rsidR="00044D29" w:rsidRDefault="00044D29" w:rsidP="001D2685">
            <w:pPr>
              <w:jc w:val="center"/>
              <w:rPr>
                <w:sz w:val="22"/>
              </w:rPr>
            </w:pPr>
            <w:r>
              <w:rPr>
                <w:sz w:val="22"/>
              </w:rPr>
              <w:t>19%</w:t>
            </w:r>
          </w:p>
        </w:tc>
      </w:tr>
      <w:tr w:rsidR="00044D29" w:rsidTr="001D2685">
        <w:tc>
          <w:tcPr>
            <w:tcW w:w="1667" w:type="pct"/>
          </w:tcPr>
          <w:p w:rsidR="00044D29" w:rsidRPr="0079593D" w:rsidRDefault="00044D29" w:rsidP="001D2685">
            <w:pPr>
              <w:rPr>
                <w:sz w:val="22"/>
              </w:rPr>
            </w:pPr>
            <w:r w:rsidRPr="0079593D">
              <w:rPr>
                <w:sz w:val="22"/>
              </w:rPr>
              <w:t>All of the time</w:t>
            </w:r>
          </w:p>
        </w:tc>
        <w:tc>
          <w:tcPr>
            <w:tcW w:w="1667" w:type="pct"/>
          </w:tcPr>
          <w:p w:rsidR="00044D29" w:rsidRDefault="00044D29" w:rsidP="001D2685">
            <w:pPr>
              <w:jc w:val="center"/>
              <w:rPr>
                <w:sz w:val="22"/>
              </w:rPr>
            </w:pPr>
            <w:r>
              <w:rPr>
                <w:sz w:val="22"/>
              </w:rPr>
              <w:t>6%</w:t>
            </w:r>
          </w:p>
        </w:tc>
        <w:tc>
          <w:tcPr>
            <w:tcW w:w="1666" w:type="pct"/>
          </w:tcPr>
          <w:p w:rsidR="00044D29" w:rsidRDefault="00044D29" w:rsidP="001D2685">
            <w:pPr>
              <w:jc w:val="center"/>
              <w:rPr>
                <w:sz w:val="22"/>
              </w:rPr>
            </w:pPr>
            <w:r>
              <w:rPr>
                <w:sz w:val="22"/>
              </w:rPr>
              <w:t>5%</w:t>
            </w:r>
          </w:p>
        </w:tc>
      </w:tr>
      <w:tr w:rsidR="00044D29" w:rsidTr="001D2685">
        <w:tc>
          <w:tcPr>
            <w:tcW w:w="1667" w:type="pct"/>
          </w:tcPr>
          <w:p w:rsidR="00044D29" w:rsidRPr="0079593D" w:rsidRDefault="00044D29" w:rsidP="001D2685">
            <w:pPr>
              <w:rPr>
                <w:sz w:val="22"/>
              </w:rPr>
            </w:pPr>
            <w:r w:rsidRPr="0079593D">
              <w:rPr>
                <w:sz w:val="22"/>
              </w:rPr>
              <w:t>Not completed</w:t>
            </w:r>
          </w:p>
        </w:tc>
        <w:tc>
          <w:tcPr>
            <w:tcW w:w="1667" w:type="pct"/>
          </w:tcPr>
          <w:p w:rsidR="00044D29" w:rsidRDefault="00044D29" w:rsidP="001D2685">
            <w:pPr>
              <w:jc w:val="center"/>
              <w:rPr>
                <w:sz w:val="22"/>
              </w:rPr>
            </w:pPr>
            <w:r>
              <w:rPr>
                <w:sz w:val="22"/>
              </w:rPr>
              <w:t>1%</w:t>
            </w:r>
          </w:p>
        </w:tc>
        <w:tc>
          <w:tcPr>
            <w:tcW w:w="1666" w:type="pct"/>
          </w:tcPr>
          <w:p w:rsidR="00044D29" w:rsidRDefault="00044D29" w:rsidP="001D2685">
            <w:pPr>
              <w:jc w:val="center"/>
              <w:rPr>
                <w:sz w:val="22"/>
              </w:rPr>
            </w:pPr>
            <w:r>
              <w:rPr>
                <w:sz w:val="22"/>
              </w:rPr>
              <w:t>1%</w:t>
            </w:r>
          </w:p>
        </w:tc>
      </w:tr>
    </w:tbl>
    <w:p w:rsidR="00044D29" w:rsidRDefault="00044D29" w:rsidP="00044D29">
      <w:pPr>
        <w:spacing w:line="480" w:lineRule="auto"/>
        <w:rPr>
          <w:sz w:val="22"/>
        </w:rPr>
      </w:pPr>
    </w:p>
    <w:p w:rsidR="00044D29" w:rsidRDefault="00044D29" w:rsidP="0025086A">
      <w:pPr>
        <w:autoSpaceDE w:val="0"/>
        <w:autoSpaceDN w:val="0"/>
        <w:adjustRightInd w:val="0"/>
        <w:spacing w:line="276" w:lineRule="auto"/>
        <w:jc w:val="both"/>
      </w:pPr>
      <w:r>
        <w:t>There were some inconsistencies in the way the forms were completed. For example, although the form asked them to record the number of appointments, approximately 2464 pupils (39%) ticked. Where a pupil had ticked a resource instead of recording a number, this was given a value of 1 appointment. Therefore, although the resource use analysis can be used to give an overview of overall patterns, results should be interpreted with caution.</w:t>
      </w:r>
    </w:p>
    <w:p w:rsidR="00044D29" w:rsidRDefault="00044D29" w:rsidP="0025086A">
      <w:pPr>
        <w:autoSpaceDE w:val="0"/>
        <w:autoSpaceDN w:val="0"/>
        <w:adjustRightInd w:val="0"/>
        <w:spacing w:line="276" w:lineRule="auto"/>
        <w:jc w:val="both"/>
      </w:pPr>
    </w:p>
    <w:p w:rsidR="00044D29" w:rsidRDefault="00044D29" w:rsidP="0025086A">
      <w:pPr>
        <w:autoSpaceDE w:val="0"/>
        <w:autoSpaceDN w:val="0"/>
        <w:adjustRightInd w:val="0"/>
        <w:spacing w:line="276" w:lineRule="auto"/>
        <w:jc w:val="both"/>
      </w:pPr>
      <w:r>
        <w:t>179 (2.8%) pupils recorded that they used a helpline over the past 12 months. The number of</w:t>
      </w:r>
      <w:r w:rsidR="0025086A">
        <w:t xml:space="preserve"> </w:t>
      </w:r>
      <w:r>
        <w:t>recorded calls for each pupil ranged from 1 to 12, with a total number of approximately 269 calls recorded overall. 230 (3.6%) pupils recorded visiting either a Psychiatrist or a Clinical Psychologist within the past 12 months. There were 415 recorded visits to a Mental Health Nurse, from 197 (3.1%) pupils. 474 (7.5%) pupils reported accessing either a CAMHS therapist, a family therapist or a primary mental health worker (PMHW).</w:t>
      </w:r>
    </w:p>
    <w:p w:rsidR="00044D29" w:rsidRDefault="00044D29" w:rsidP="0025086A">
      <w:pPr>
        <w:autoSpaceDE w:val="0"/>
        <w:autoSpaceDN w:val="0"/>
        <w:adjustRightInd w:val="0"/>
        <w:spacing w:line="276" w:lineRule="auto"/>
        <w:jc w:val="both"/>
      </w:pPr>
    </w:p>
    <w:p w:rsidR="00044D29" w:rsidRDefault="00044D29" w:rsidP="0025086A">
      <w:pPr>
        <w:autoSpaceDE w:val="0"/>
        <w:autoSpaceDN w:val="0"/>
        <w:adjustRightInd w:val="0"/>
        <w:spacing w:line="276" w:lineRule="auto"/>
        <w:jc w:val="both"/>
      </w:pPr>
      <w:r>
        <w:lastRenderedPageBreak/>
        <w:t>In terms of school-based services, after appointments with a school nurse, the most commonly used services were well-being workers (education-based mental health workers) (6.5% of pupils had accessed) and school counsellors (6.2% of pupils had accessed). Pupils were given space to record any other support they had used through school. These commonly included teachers, teaching assistants and heads of year or heads of house.</w:t>
      </w:r>
    </w:p>
    <w:p w:rsidR="00044D29" w:rsidRDefault="00044D29" w:rsidP="0025086A">
      <w:pPr>
        <w:autoSpaceDE w:val="0"/>
        <w:autoSpaceDN w:val="0"/>
        <w:adjustRightInd w:val="0"/>
        <w:spacing w:line="276" w:lineRule="auto"/>
        <w:jc w:val="both"/>
      </w:pPr>
    </w:p>
    <w:p w:rsidR="00044D29" w:rsidRDefault="00044D29" w:rsidP="0025086A">
      <w:pPr>
        <w:autoSpaceDE w:val="0"/>
        <w:autoSpaceDN w:val="0"/>
        <w:adjustRightInd w:val="0"/>
        <w:spacing w:line="276" w:lineRule="auto"/>
        <w:jc w:val="both"/>
      </w:pPr>
      <w:r>
        <w:t>In terms of mental health service use in the past year, of those pupils that scored ‘very high’ on the SDQ total difficulties scale, 24% had accessed one of these services at least once. This suggests that almost three quarters of pupils who are identified as in need of extra mental health support have not accessed these services. School based service use was high for this group, with 42% having accessed this.</w:t>
      </w:r>
    </w:p>
    <w:p w:rsidR="00044D29" w:rsidRDefault="00044D29" w:rsidP="00044D29">
      <w:pPr>
        <w:autoSpaceDE w:val="0"/>
        <w:autoSpaceDN w:val="0"/>
        <w:adjustRightInd w:val="0"/>
      </w:pPr>
    </w:p>
    <w:p w:rsidR="0025086A" w:rsidRDefault="0025086A" w:rsidP="00044D29">
      <w:pPr>
        <w:autoSpaceDE w:val="0"/>
        <w:autoSpaceDN w:val="0"/>
        <w:adjustRightInd w:val="0"/>
        <w:rPr>
          <w:b/>
        </w:rPr>
      </w:pPr>
    </w:p>
    <w:p w:rsidR="00044D29" w:rsidRDefault="00044D29" w:rsidP="00044D29">
      <w:pPr>
        <w:autoSpaceDE w:val="0"/>
        <w:autoSpaceDN w:val="0"/>
        <w:adjustRightInd w:val="0"/>
        <w:rPr>
          <w:b/>
        </w:rPr>
      </w:pPr>
      <w:r w:rsidRPr="00044D29">
        <w:rPr>
          <w:b/>
        </w:rPr>
        <w:t>Discussion</w:t>
      </w:r>
    </w:p>
    <w:p w:rsidR="0025086A" w:rsidRPr="00044D29" w:rsidRDefault="0025086A" w:rsidP="00044D29">
      <w:pPr>
        <w:autoSpaceDE w:val="0"/>
        <w:autoSpaceDN w:val="0"/>
        <w:adjustRightInd w:val="0"/>
        <w:rPr>
          <w:b/>
        </w:rPr>
      </w:pPr>
    </w:p>
    <w:p w:rsidR="00044D29" w:rsidRDefault="00044D29" w:rsidP="0025086A">
      <w:pPr>
        <w:autoSpaceDE w:val="0"/>
        <w:autoSpaceDN w:val="0"/>
        <w:adjustRightInd w:val="0"/>
        <w:spacing w:line="276" w:lineRule="auto"/>
        <w:jc w:val="both"/>
      </w:pPr>
      <w:r>
        <w:t>This study provides an overview of the mental health and well-being scores collected from over 6000 pupils at secondary schools in the North of England. Previous population-based studies exploring mental health in the United Kingdom have had the following approximate numbers in the same age group; Meltzer and colleagues (2000) completed 4525 interviews with 11–15 year olds, McGinnity and colleagues (2005) had 3344 completed interviews with 11–16 year olds and the most recent report had 2609 completed interviews with 11–16 year olds (Sadler et al., 2018). This is therefore one of the largest UK studies of this kind over the last 20 years in terms of young people self-report measures.</w:t>
      </w:r>
    </w:p>
    <w:p w:rsidR="00044D29" w:rsidRDefault="00044D29" w:rsidP="0025086A">
      <w:pPr>
        <w:autoSpaceDE w:val="0"/>
        <w:autoSpaceDN w:val="0"/>
        <w:adjustRightInd w:val="0"/>
        <w:spacing w:line="276" w:lineRule="auto"/>
        <w:jc w:val="both"/>
      </w:pPr>
    </w:p>
    <w:p w:rsidR="00044D29" w:rsidRDefault="00044D29" w:rsidP="0025086A">
      <w:pPr>
        <w:autoSpaceDE w:val="0"/>
        <w:autoSpaceDN w:val="0"/>
        <w:adjustRightInd w:val="0"/>
        <w:spacing w:line="276" w:lineRule="auto"/>
        <w:jc w:val="both"/>
      </w:pPr>
      <w:r>
        <w:t>The findings show that overall there are large numbers of pupils scoring highly on difficulties</w:t>
      </w:r>
    </w:p>
    <w:p w:rsidR="00044D29" w:rsidRDefault="00044D29" w:rsidP="0025086A">
      <w:pPr>
        <w:autoSpaceDE w:val="0"/>
        <w:autoSpaceDN w:val="0"/>
        <w:adjustRightInd w:val="0"/>
        <w:spacing w:line="276" w:lineRule="auto"/>
        <w:jc w:val="both"/>
      </w:pPr>
      <w:r>
        <w:t>measures, particularly for emotional problems. Female pupils scored higher than male pupils on emotional difficulties measures and male pupils scored higher than females on conduct and hyperactivity measures. When split by year group, older pupils in year 11 scored higher than year 8 and 9 pupils for emotional difficulties and prosocial problems.</w:t>
      </w:r>
    </w:p>
    <w:p w:rsidR="00044D29" w:rsidRDefault="00044D29" w:rsidP="0025086A">
      <w:pPr>
        <w:autoSpaceDE w:val="0"/>
        <w:autoSpaceDN w:val="0"/>
        <w:adjustRightInd w:val="0"/>
        <w:spacing w:line="276" w:lineRule="auto"/>
        <w:jc w:val="both"/>
      </w:pPr>
    </w:p>
    <w:p w:rsidR="00044D29" w:rsidRDefault="00044D29" w:rsidP="0025086A">
      <w:pPr>
        <w:autoSpaceDE w:val="0"/>
        <w:autoSpaceDN w:val="0"/>
        <w:adjustRightInd w:val="0"/>
        <w:spacing w:line="276" w:lineRule="auto"/>
        <w:jc w:val="both"/>
      </w:pPr>
      <w:r>
        <w:t>The recent results for NHS Digital (Sadler et al., 2018) report that one in seven (14.4%) of 11– 16 year olds in 2017 had a mental disorder, and that girls and boys were equally likely to experience a disorder. Emotional disorders were the most common, with 9% of 11–16 year olds experiencing this and higher rates for girls than boys. 6.2% of young people had a behavioural disorder, with boys scoring higher than girls. 2.0% of 11–16 year olds experienced a hyperactivity disorder, with boys scoring higher than girls. Similar results were found in our survey, with 15% of pupils scoring within a ‘high’ or ‘very high’ range for total difficulties on the self-report SDQ, and higher scores on emotional subscales for girls and higher rates on behavioural subscales for boys.</w:t>
      </w:r>
    </w:p>
    <w:p w:rsidR="00044D29" w:rsidRDefault="00044D29" w:rsidP="0025086A">
      <w:pPr>
        <w:autoSpaceDE w:val="0"/>
        <w:autoSpaceDN w:val="0"/>
        <w:adjustRightInd w:val="0"/>
        <w:spacing w:line="276" w:lineRule="auto"/>
        <w:jc w:val="both"/>
      </w:pPr>
    </w:p>
    <w:p w:rsidR="00044D29" w:rsidRDefault="00044D29" w:rsidP="0025086A">
      <w:pPr>
        <w:autoSpaceDE w:val="0"/>
        <w:autoSpaceDN w:val="0"/>
        <w:adjustRightInd w:val="0"/>
        <w:spacing w:line="276" w:lineRule="auto"/>
        <w:jc w:val="both"/>
      </w:pPr>
      <w:r>
        <w:t xml:space="preserve">Previous to this 2018 report, the most up-to-date official figures were collected in 2004 (McGinnity et al., 2005) comparing figures from 1999 to 2004. In 1999 and in 2004 for the 11- to 15-year-old age range, there was a higher percentage of girls with an emotional disorder compared to boys and a higher percentage of boys with conduct disorders. This </w:t>
      </w:r>
      <w:r>
        <w:lastRenderedPageBreak/>
        <w:t>shows the gender split in terms of type of disorders and problems faced by young people has remained consistent over time.</w:t>
      </w:r>
    </w:p>
    <w:p w:rsidR="00044D29" w:rsidRDefault="00044D29" w:rsidP="00044D29">
      <w:pPr>
        <w:autoSpaceDE w:val="0"/>
        <w:autoSpaceDN w:val="0"/>
        <w:adjustRightInd w:val="0"/>
      </w:pPr>
    </w:p>
    <w:p w:rsidR="00044D29" w:rsidRDefault="00044D29" w:rsidP="0025086A">
      <w:pPr>
        <w:autoSpaceDE w:val="0"/>
        <w:autoSpaceDN w:val="0"/>
        <w:adjustRightInd w:val="0"/>
        <w:spacing w:line="276" w:lineRule="auto"/>
        <w:jc w:val="both"/>
      </w:pPr>
      <w:r>
        <w:t>Over time, the results from these surveys suggest an increase in mental health problems in this age group, with a prevalence rate of any disorder in 11–15 year olds reported as 11.2% in 1999 (Meltzer et al., 2000), to 11.7% in 2004 (McGinnity et al., 2005) and 14.4% of 11–16 year olds having a mental disorder in 2017 (Sadler et al., 2018). Our study, conducted in 2018, although it does not present numbers of children with diagnosed disorders, shows a similar trend with approximately 15% of pupils aged 12–16 years old scoring ‘high’ or ‘very high’ on measures of overall difficulties. Our study does not have the information to understand the specific reasons for this increase. Deighton and colleagues (2019) highlight factors that are associated with differences in young people’s mental health such as sex, age, ethnicity, deprivation and children in need status. Research has shown that a range of other factors should be considered including academic pressures, family relationships, environment and lifestyle (Evans &amp; Hurrell, 2016; Sweeting et al., 2010). Our study shows 76% of young people with apparent significant mental health problems appear to receive no</w:t>
      </w:r>
      <w:r w:rsidR="00717F30">
        <w:t xml:space="preserve"> external</w:t>
      </w:r>
      <w:r>
        <w:t xml:space="preserve"> mental health service support at all. This needs to be treated with caution given that this figure does not include school-based services and general health services which may have been accessed for</w:t>
      </w:r>
      <w:r w:rsidR="00717F30">
        <w:t xml:space="preserve"> </w:t>
      </w:r>
      <w:r>
        <w:t>mental health support in this group.</w:t>
      </w:r>
    </w:p>
    <w:p w:rsidR="00044D29" w:rsidRDefault="00044D29" w:rsidP="00044D29">
      <w:pPr>
        <w:autoSpaceDE w:val="0"/>
        <w:autoSpaceDN w:val="0"/>
        <w:adjustRightInd w:val="0"/>
      </w:pPr>
    </w:p>
    <w:p w:rsidR="00044D29" w:rsidRDefault="00044D29" w:rsidP="0025086A">
      <w:pPr>
        <w:autoSpaceDE w:val="0"/>
        <w:autoSpaceDN w:val="0"/>
        <w:adjustRightInd w:val="0"/>
        <w:spacing w:line="276" w:lineRule="auto"/>
        <w:jc w:val="both"/>
      </w:pPr>
      <w:r>
        <w:t>The results from the current survey suggest that more targeted work is necessary. For example, EQ-5D-Y results highlight the gender difference between pupils, with 10% of girls reporting as feeling ‘worried, sad or unhappy’, compared to 3% of boys. This is at odds with the Sadler and colleagues (2018) study which suggests that male and female pupils were equally likely to have a disorder (14.3% for males and 14.4% for females). However, Sadler suggests that there is a gender difference in terms of type of disorder, with girls more likely to experience emotional disorders and boys more likely to experience behavioural disorders. The EQ-5D-Y results reflect emotional disorders more than conduct disorders. The EQ-5D-Y also shows a much higher percentage of year 11 pupils reporting feeling ‘worried, sad or unhappy’ compared to year 8 and year 9 pupils. There were similar findings for the SDQ scales, with results suggesting that older children (specifically year 11 pupils) were more likely to score highly on difficulty measures compared to younger children. Pupils face a range of challenges throughout year 11 including examinations, school pressures and making decisions around their future after leaving school. We did not directly test these hypotheses through our survey and so future work should consider investigating the factors which contribute to the higher levels of difficulties for these pupils allowing more targeted support to be offered.</w:t>
      </w:r>
    </w:p>
    <w:p w:rsidR="00044D29" w:rsidRDefault="00044D29" w:rsidP="0025086A">
      <w:pPr>
        <w:autoSpaceDE w:val="0"/>
        <w:autoSpaceDN w:val="0"/>
        <w:adjustRightInd w:val="0"/>
        <w:spacing w:line="276" w:lineRule="auto"/>
        <w:jc w:val="both"/>
      </w:pPr>
    </w:p>
    <w:p w:rsidR="00044D29" w:rsidRDefault="00044D29" w:rsidP="0025086A">
      <w:pPr>
        <w:autoSpaceDE w:val="0"/>
        <w:autoSpaceDN w:val="0"/>
        <w:adjustRightInd w:val="0"/>
        <w:spacing w:line="276" w:lineRule="auto"/>
        <w:jc w:val="both"/>
      </w:pPr>
      <w:r>
        <w:t>This survey provides initial findings showing how young people mainly view the use of social media as having a positive impact on their mood. Recent studies have linked high social media use to online harassment, poor sleep and self-esteem problems (Booker et al., 2018). It is important to recognise and explore how social media can be used in both positive and negative ways for this age group, as well as identifying the role of schools in helping young people use social media safely (Daine et al., 2013; Marchant et al., 2017).</w:t>
      </w:r>
    </w:p>
    <w:p w:rsidR="00044D29" w:rsidRDefault="00044D29" w:rsidP="00044D29">
      <w:pPr>
        <w:autoSpaceDE w:val="0"/>
        <w:autoSpaceDN w:val="0"/>
        <w:adjustRightInd w:val="0"/>
      </w:pPr>
    </w:p>
    <w:p w:rsidR="00044D29" w:rsidRDefault="00044D29" w:rsidP="0025086A">
      <w:pPr>
        <w:autoSpaceDE w:val="0"/>
        <w:autoSpaceDN w:val="0"/>
        <w:adjustRightInd w:val="0"/>
        <w:spacing w:line="276" w:lineRule="auto"/>
        <w:jc w:val="both"/>
      </w:pPr>
      <w:r>
        <w:t>The resource use data collected in this survey between the academic year 2017 and 2018 shows that a high proportion of pupils are accessing mental health support through schools, with one quarter of pupils who completed questionnaires reporting having used at least one school-based service. Increasingly, schools are becoming a place where children and young people feel they are able to access mental health support, highlighting the importance of the Government’s Mental Health green paper (Department of Health and Social Care &amp; Department for Education, 2017) plans to focus on and improve service provision in school settings. Further research in this area evaluating the roll out of new school-based services will be key to test effectiveness.</w:t>
      </w:r>
    </w:p>
    <w:p w:rsidR="00044D29" w:rsidRDefault="00044D29" w:rsidP="0025086A">
      <w:pPr>
        <w:autoSpaceDE w:val="0"/>
        <w:autoSpaceDN w:val="0"/>
        <w:adjustRightInd w:val="0"/>
        <w:spacing w:line="276" w:lineRule="auto"/>
        <w:jc w:val="both"/>
      </w:pPr>
    </w:p>
    <w:p w:rsidR="00044D29" w:rsidRDefault="00044D29" w:rsidP="0025086A">
      <w:pPr>
        <w:autoSpaceDE w:val="0"/>
        <w:autoSpaceDN w:val="0"/>
        <w:adjustRightInd w:val="0"/>
        <w:spacing w:line="276" w:lineRule="auto"/>
        <w:jc w:val="both"/>
      </w:pPr>
      <w:r>
        <w:t>As this study was conducted with limited resources, there were some limitations faced. Only</w:t>
      </w:r>
    </w:p>
    <w:p w:rsidR="00044D29" w:rsidRDefault="00044D29" w:rsidP="0025086A">
      <w:pPr>
        <w:autoSpaceDE w:val="0"/>
        <w:autoSpaceDN w:val="0"/>
        <w:adjustRightInd w:val="0"/>
        <w:spacing w:line="276" w:lineRule="auto"/>
        <w:jc w:val="both"/>
      </w:pPr>
      <w:r>
        <w:t>pupil self-report SDQs were completed. Multi-informant SDQs allow more comprehensive results to be collected. Another potential limitation is that it is possible that as schools chose whether to participate, the final sample may not be fully representative. Despite this, our sample of participating schools was diverse in terms of socioeconomic and geographical factors. Further research could address these limitations; by collecting multi-informant SDQs and details around why some schools choose not to participate.</w:t>
      </w:r>
    </w:p>
    <w:p w:rsidR="00044D29" w:rsidRDefault="00044D29" w:rsidP="0025086A">
      <w:pPr>
        <w:autoSpaceDE w:val="0"/>
        <w:autoSpaceDN w:val="0"/>
        <w:adjustRightInd w:val="0"/>
        <w:spacing w:line="276" w:lineRule="auto"/>
        <w:jc w:val="both"/>
      </w:pPr>
    </w:p>
    <w:p w:rsidR="00044D29" w:rsidRDefault="00044D29" w:rsidP="0025086A">
      <w:pPr>
        <w:autoSpaceDE w:val="0"/>
        <w:autoSpaceDN w:val="0"/>
        <w:adjustRightInd w:val="0"/>
        <w:spacing w:line="276" w:lineRule="auto"/>
        <w:jc w:val="both"/>
      </w:pPr>
      <w:r>
        <w:t>Results from our survey show that relatively high numbers of young people are facing mental</w:t>
      </w:r>
    </w:p>
    <w:p w:rsidR="00044D29" w:rsidRDefault="00044D29" w:rsidP="0025086A">
      <w:pPr>
        <w:autoSpaceDE w:val="0"/>
        <w:autoSpaceDN w:val="0"/>
        <w:adjustRightInd w:val="0"/>
        <w:spacing w:line="276" w:lineRule="auto"/>
        <w:jc w:val="both"/>
      </w:pPr>
      <w:r>
        <w:t>health problems, and these have possibly been increasing over time. In the North of England,</w:t>
      </w:r>
    </w:p>
    <w:p w:rsidR="00044D29" w:rsidRDefault="00044D29" w:rsidP="0025086A">
      <w:pPr>
        <w:autoSpaceDE w:val="0"/>
        <w:autoSpaceDN w:val="0"/>
        <w:adjustRightInd w:val="0"/>
        <w:spacing w:line="276" w:lineRule="auto"/>
        <w:jc w:val="both"/>
      </w:pPr>
      <w:r>
        <w:t>it is a current issue, faced particularly by female pupils and older pupils in year 11. There is a</w:t>
      </w:r>
    </w:p>
    <w:p w:rsidR="00044D29" w:rsidRDefault="00044D29" w:rsidP="0025086A">
      <w:pPr>
        <w:autoSpaceDE w:val="0"/>
        <w:autoSpaceDN w:val="0"/>
        <w:adjustRightInd w:val="0"/>
        <w:spacing w:line="276" w:lineRule="auto"/>
        <w:jc w:val="both"/>
      </w:pPr>
      <w:r>
        <w:t>need for early, targeted interventions, which can be delivered and accessed by pupils in schools. It is important that up-to-date measures are collected around the mental health and well-being of this group, to allow for planning of services and earlier intervention to support those facing difficulties.</w:t>
      </w:r>
    </w:p>
    <w:p w:rsidR="00044D29" w:rsidRDefault="00044D29" w:rsidP="00044D29">
      <w:pPr>
        <w:autoSpaceDE w:val="0"/>
        <w:autoSpaceDN w:val="0"/>
        <w:adjustRightInd w:val="0"/>
      </w:pPr>
    </w:p>
    <w:p w:rsidR="0025086A" w:rsidRDefault="0025086A" w:rsidP="00044D29">
      <w:pPr>
        <w:autoSpaceDE w:val="0"/>
        <w:autoSpaceDN w:val="0"/>
        <w:adjustRightInd w:val="0"/>
        <w:rPr>
          <w:b/>
        </w:rPr>
      </w:pPr>
    </w:p>
    <w:p w:rsidR="00044D29" w:rsidRDefault="00044D29" w:rsidP="00044D29">
      <w:pPr>
        <w:autoSpaceDE w:val="0"/>
        <w:autoSpaceDN w:val="0"/>
        <w:adjustRightInd w:val="0"/>
        <w:rPr>
          <w:b/>
        </w:rPr>
      </w:pPr>
      <w:r w:rsidRPr="00044D29">
        <w:rPr>
          <w:b/>
        </w:rPr>
        <w:t>Funding</w:t>
      </w:r>
    </w:p>
    <w:p w:rsidR="0025086A" w:rsidRPr="00044D29" w:rsidRDefault="0025086A" w:rsidP="00044D29">
      <w:pPr>
        <w:autoSpaceDE w:val="0"/>
        <w:autoSpaceDN w:val="0"/>
        <w:adjustRightInd w:val="0"/>
        <w:rPr>
          <w:b/>
        </w:rPr>
      </w:pPr>
    </w:p>
    <w:p w:rsidR="00044D29" w:rsidRDefault="00044D29" w:rsidP="0025086A">
      <w:pPr>
        <w:autoSpaceDE w:val="0"/>
        <w:autoSpaceDN w:val="0"/>
        <w:adjustRightInd w:val="0"/>
        <w:spacing w:line="276" w:lineRule="auto"/>
        <w:jc w:val="both"/>
      </w:pPr>
      <w:r>
        <w:t>The author(s) received no financial support for the research, authorship and/or publication of this article.</w:t>
      </w:r>
    </w:p>
    <w:p w:rsidR="0025086A" w:rsidRDefault="0025086A" w:rsidP="0025086A">
      <w:pPr>
        <w:autoSpaceDE w:val="0"/>
        <w:autoSpaceDN w:val="0"/>
        <w:adjustRightInd w:val="0"/>
        <w:spacing w:line="276" w:lineRule="auto"/>
        <w:jc w:val="both"/>
      </w:pPr>
    </w:p>
    <w:p w:rsidR="0025086A" w:rsidRDefault="0025086A" w:rsidP="0025086A">
      <w:pPr>
        <w:spacing w:line="276" w:lineRule="auto"/>
        <w:jc w:val="both"/>
        <w:rPr>
          <w:b/>
          <w:sz w:val="22"/>
          <w:szCs w:val="22"/>
        </w:rPr>
      </w:pPr>
    </w:p>
    <w:p w:rsidR="0025086A" w:rsidRDefault="0025086A" w:rsidP="0025086A">
      <w:pPr>
        <w:spacing w:line="276" w:lineRule="auto"/>
        <w:jc w:val="both"/>
        <w:rPr>
          <w:b/>
          <w:sz w:val="22"/>
          <w:szCs w:val="22"/>
        </w:rPr>
      </w:pPr>
      <w:r>
        <w:rPr>
          <w:b/>
          <w:sz w:val="22"/>
          <w:szCs w:val="22"/>
        </w:rPr>
        <w:t>Author Biographies</w:t>
      </w:r>
    </w:p>
    <w:p w:rsidR="0025086A" w:rsidRDefault="0025086A" w:rsidP="0025086A">
      <w:pPr>
        <w:spacing w:line="276" w:lineRule="auto"/>
        <w:jc w:val="both"/>
        <w:rPr>
          <w:b/>
          <w:sz w:val="22"/>
          <w:szCs w:val="22"/>
        </w:rPr>
      </w:pPr>
    </w:p>
    <w:p w:rsidR="0025086A" w:rsidRDefault="0025086A" w:rsidP="0025086A">
      <w:pPr>
        <w:spacing w:line="276" w:lineRule="auto"/>
        <w:jc w:val="both"/>
      </w:pPr>
      <w:r w:rsidRPr="000250DB">
        <w:t>Prof</w:t>
      </w:r>
      <w:r>
        <w:t>essor</w:t>
      </w:r>
      <w:r w:rsidRPr="000250DB">
        <w:t xml:space="preserve"> Barry Wright is Chair of Child Mental Health at the University of York (Hull York Medical School) and Director of the Child Oriented Mental health Intervention Centre (COMIC), which is a collaborative venture between the University </w:t>
      </w:r>
      <w:r>
        <w:t xml:space="preserve">of York </w:t>
      </w:r>
      <w:r w:rsidRPr="000250DB">
        <w:t>and Leeds and York Partnership Foundation Trust.</w:t>
      </w:r>
    </w:p>
    <w:p w:rsidR="0025086A" w:rsidRPr="000250DB" w:rsidRDefault="0025086A" w:rsidP="0025086A">
      <w:pPr>
        <w:spacing w:line="276" w:lineRule="auto"/>
        <w:jc w:val="both"/>
      </w:pPr>
    </w:p>
    <w:p w:rsidR="0025086A" w:rsidRDefault="0025086A" w:rsidP="0025086A">
      <w:pPr>
        <w:spacing w:line="276" w:lineRule="auto"/>
        <w:jc w:val="both"/>
      </w:pPr>
      <w:r w:rsidRPr="000250DB">
        <w:t>Megan Garside is a research assistant at Leeds and York Partnership Foundation Trust</w:t>
      </w:r>
      <w:r>
        <w:t>.</w:t>
      </w:r>
    </w:p>
    <w:p w:rsidR="0025086A" w:rsidRPr="000250DB" w:rsidRDefault="0025086A" w:rsidP="0025086A">
      <w:pPr>
        <w:spacing w:line="276" w:lineRule="auto"/>
        <w:jc w:val="both"/>
      </w:pPr>
    </w:p>
    <w:p w:rsidR="0025086A" w:rsidRDefault="0025086A" w:rsidP="0025086A">
      <w:pPr>
        <w:spacing w:line="276" w:lineRule="auto"/>
        <w:jc w:val="both"/>
      </w:pPr>
      <w:r>
        <w:t xml:space="preserve">Dr </w:t>
      </w:r>
      <w:r w:rsidRPr="000250DB">
        <w:t>Victoria Allgar is a senior statistician at Hull York Medical School, and in the Department of Health Sciences at the University of York</w:t>
      </w:r>
      <w:r>
        <w:t>.</w:t>
      </w:r>
    </w:p>
    <w:p w:rsidR="0025086A" w:rsidRPr="000250DB" w:rsidRDefault="0025086A" w:rsidP="0025086A">
      <w:pPr>
        <w:spacing w:line="276" w:lineRule="auto"/>
        <w:jc w:val="both"/>
      </w:pPr>
    </w:p>
    <w:p w:rsidR="0025086A" w:rsidRDefault="0025086A" w:rsidP="0025086A">
      <w:pPr>
        <w:spacing w:line="276" w:lineRule="auto"/>
        <w:jc w:val="both"/>
      </w:pPr>
      <w:r w:rsidRPr="000250DB">
        <w:t>Rachel Hodkinson is a research assistant at Leeds and York Partnership Foundation Trust</w:t>
      </w:r>
      <w:r>
        <w:t>.</w:t>
      </w:r>
    </w:p>
    <w:p w:rsidR="0025086A" w:rsidRPr="000250DB" w:rsidRDefault="0025086A" w:rsidP="0025086A">
      <w:pPr>
        <w:spacing w:line="276" w:lineRule="auto"/>
        <w:jc w:val="both"/>
      </w:pPr>
    </w:p>
    <w:p w:rsidR="0025086A" w:rsidRPr="00E424E8" w:rsidRDefault="0025086A" w:rsidP="0025086A">
      <w:pPr>
        <w:spacing w:line="276" w:lineRule="auto"/>
        <w:jc w:val="both"/>
        <w:rPr>
          <w:b/>
          <w:sz w:val="22"/>
          <w:szCs w:val="22"/>
        </w:rPr>
      </w:pPr>
      <w:r w:rsidRPr="000250DB">
        <w:t>Helen Thorpe is a research assistant at Rotherham, Doncaster and South Humber NHS Foundation Trust</w:t>
      </w:r>
      <w:r>
        <w:t>.</w:t>
      </w:r>
    </w:p>
    <w:p w:rsidR="0025086A" w:rsidRDefault="0025086A" w:rsidP="0025086A">
      <w:pPr>
        <w:autoSpaceDE w:val="0"/>
        <w:autoSpaceDN w:val="0"/>
        <w:adjustRightInd w:val="0"/>
      </w:pPr>
    </w:p>
    <w:p w:rsidR="0025086A" w:rsidRDefault="0025086A" w:rsidP="0025086A">
      <w:pPr>
        <w:autoSpaceDE w:val="0"/>
        <w:autoSpaceDN w:val="0"/>
        <w:adjustRightInd w:val="0"/>
        <w:spacing w:line="276" w:lineRule="auto"/>
        <w:jc w:val="both"/>
      </w:pPr>
    </w:p>
    <w:p w:rsidR="00044D29" w:rsidRDefault="00044D29" w:rsidP="00044D29">
      <w:pPr>
        <w:autoSpaceDE w:val="0"/>
        <w:autoSpaceDN w:val="0"/>
        <w:adjustRightInd w:val="0"/>
      </w:pPr>
    </w:p>
    <w:p w:rsidR="0025086A" w:rsidRDefault="0025086A">
      <w:pPr>
        <w:spacing w:after="200" w:line="276" w:lineRule="auto"/>
        <w:rPr>
          <w:b/>
        </w:rPr>
      </w:pPr>
      <w:r>
        <w:rPr>
          <w:b/>
        </w:rPr>
        <w:br w:type="page"/>
      </w:r>
    </w:p>
    <w:p w:rsidR="00044D29" w:rsidRDefault="00044D29" w:rsidP="0025086A">
      <w:pPr>
        <w:spacing w:after="200" w:line="276" w:lineRule="auto"/>
        <w:jc w:val="both"/>
        <w:rPr>
          <w:b/>
          <w:sz w:val="22"/>
        </w:rPr>
      </w:pPr>
      <w:r w:rsidRPr="0025086A">
        <w:rPr>
          <w:b/>
        </w:rPr>
        <w:lastRenderedPageBreak/>
        <w:t>References</w:t>
      </w:r>
    </w:p>
    <w:p w:rsidR="00044D29" w:rsidRPr="0006351E" w:rsidRDefault="00044D29" w:rsidP="0025086A">
      <w:pPr>
        <w:spacing w:line="276" w:lineRule="auto"/>
        <w:jc w:val="both"/>
        <w:rPr>
          <w:color w:val="222222"/>
          <w:sz w:val="22"/>
          <w:lang w:val="en-GB"/>
        </w:rPr>
      </w:pPr>
      <w:r w:rsidRPr="0006351E">
        <w:rPr>
          <w:color w:val="222222"/>
          <w:sz w:val="22"/>
          <w:lang w:val="en-GB"/>
        </w:rPr>
        <w:t xml:space="preserve">Booker, C. L., Kelly, Y. J., &amp; Sacker, A. (2018). Gender differences in the associations between age trends of social media interaction and well-being among 10-15 year olds in the UK. </w:t>
      </w:r>
      <w:r w:rsidRPr="0006351E">
        <w:rPr>
          <w:i/>
          <w:color w:val="222222"/>
          <w:sz w:val="22"/>
          <w:lang w:val="en-GB"/>
        </w:rPr>
        <w:t>BMC public health</w:t>
      </w:r>
      <w:r w:rsidRPr="0006351E">
        <w:rPr>
          <w:color w:val="222222"/>
          <w:sz w:val="22"/>
          <w:lang w:val="en-GB"/>
        </w:rPr>
        <w:t xml:space="preserve">, </w:t>
      </w:r>
      <w:r w:rsidRPr="0006351E">
        <w:rPr>
          <w:i/>
          <w:color w:val="222222"/>
          <w:sz w:val="22"/>
          <w:lang w:val="en-GB"/>
        </w:rPr>
        <w:t>18</w:t>
      </w:r>
      <w:r w:rsidRPr="0006351E">
        <w:rPr>
          <w:color w:val="222222"/>
          <w:sz w:val="22"/>
          <w:lang w:val="en-GB"/>
        </w:rPr>
        <w:t>(1), 321.</w:t>
      </w:r>
    </w:p>
    <w:p w:rsidR="00044D29" w:rsidRPr="00E424E8" w:rsidRDefault="00044D29" w:rsidP="0025086A">
      <w:pPr>
        <w:pStyle w:val="Default"/>
        <w:spacing w:line="276" w:lineRule="auto"/>
        <w:jc w:val="both"/>
        <w:rPr>
          <w:rFonts w:ascii="Times New Roman" w:hAnsi="Times New Roman" w:cs="Times New Roman"/>
          <w:sz w:val="22"/>
          <w:szCs w:val="22"/>
        </w:rPr>
      </w:pPr>
    </w:p>
    <w:p w:rsidR="00044D29" w:rsidRPr="00E424E8" w:rsidRDefault="00044D29" w:rsidP="0025086A">
      <w:pPr>
        <w:pStyle w:val="Default"/>
        <w:spacing w:line="276" w:lineRule="auto"/>
        <w:jc w:val="both"/>
        <w:rPr>
          <w:rFonts w:ascii="Times New Roman" w:hAnsi="Times New Roman" w:cs="Times New Roman"/>
          <w:sz w:val="22"/>
          <w:szCs w:val="22"/>
        </w:rPr>
      </w:pPr>
      <w:r w:rsidRPr="00E424E8">
        <w:rPr>
          <w:rFonts w:ascii="Times New Roman" w:hAnsi="Times New Roman" w:cs="Times New Roman"/>
          <w:sz w:val="22"/>
          <w:szCs w:val="22"/>
        </w:rPr>
        <w:t xml:space="preserve">Burt, A. (2016) Future in Mind: 1year on. </w:t>
      </w:r>
      <w:r w:rsidRPr="00E424E8">
        <w:rPr>
          <w:rFonts w:ascii="Times New Roman" w:hAnsi="Times New Roman" w:cs="Times New Roman"/>
          <w:i/>
          <w:sz w:val="22"/>
          <w:szCs w:val="22"/>
        </w:rPr>
        <w:t>Retrieved from www.gov.uk/government/speeches/future-in-mind-1-year-on</w:t>
      </w:r>
      <w:r w:rsidRPr="00E424E8">
        <w:rPr>
          <w:rFonts w:ascii="Times New Roman" w:hAnsi="Times New Roman" w:cs="Times New Roman"/>
          <w:sz w:val="22"/>
          <w:szCs w:val="22"/>
        </w:rPr>
        <w:br/>
      </w:r>
    </w:p>
    <w:p w:rsidR="00044D29" w:rsidRPr="00CA1EB4" w:rsidRDefault="00044D29" w:rsidP="0025086A">
      <w:pPr>
        <w:spacing w:line="276" w:lineRule="auto"/>
        <w:jc w:val="both"/>
        <w:rPr>
          <w:sz w:val="22"/>
          <w:szCs w:val="22"/>
        </w:rPr>
      </w:pPr>
      <w:r w:rsidRPr="003F31CF">
        <w:rPr>
          <w:sz w:val="22"/>
          <w:szCs w:val="22"/>
        </w:rPr>
        <w:t>Children’s Commissioner (2018, November) Children’s Mental Health Briefing: A briefing by the Office of the Children’s Commissi</w:t>
      </w:r>
      <w:r w:rsidRPr="00CA1EB4">
        <w:rPr>
          <w:sz w:val="22"/>
          <w:szCs w:val="22"/>
        </w:rPr>
        <w:t xml:space="preserve">oner for England </w:t>
      </w:r>
    </w:p>
    <w:p w:rsidR="00044D29" w:rsidRPr="00CA1EB4" w:rsidRDefault="00044D29" w:rsidP="0025086A">
      <w:pPr>
        <w:spacing w:line="276" w:lineRule="auto"/>
        <w:jc w:val="both"/>
        <w:rPr>
          <w:sz w:val="22"/>
          <w:szCs w:val="22"/>
        </w:rPr>
      </w:pPr>
    </w:p>
    <w:p w:rsidR="00044D29" w:rsidRPr="00FE73F0" w:rsidRDefault="00044D29" w:rsidP="0025086A">
      <w:pPr>
        <w:spacing w:line="276" w:lineRule="auto"/>
        <w:jc w:val="both"/>
        <w:rPr>
          <w:sz w:val="22"/>
          <w:szCs w:val="22"/>
        </w:rPr>
      </w:pPr>
      <w:r w:rsidRPr="00FE73F0">
        <w:rPr>
          <w:sz w:val="22"/>
          <w:szCs w:val="22"/>
        </w:rPr>
        <w:t>Children’s Commissioner (2019, April) Early access to mental health support; Technical Report</w:t>
      </w:r>
    </w:p>
    <w:p w:rsidR="00044D29" w:rsidRPr="00FE73F0" w:rsidRDefault="00044D29" w:rsidP="0025086A">
      <w:pPr>
        <w:spacing w:line="276" w:lineRule="auto"/>
        <w:jc w:val="both"/>
        <w:rPr>
          <w:sz w:val="22"/>
          <w:szCs w:val="22"/>
        </w:rPr>
      </w:pPr>
    </w:p>
    <w:p w:rsidR="00044D29" w:rsidRPr="00E424E8" w:rsidRDefault="00044D29" w:rsidP="0025086A">
      <w:pPr>
        <w:spacing w:line="276" w:lineRule="auto"/>
        <w:jc w:val="both"/>
        <w:rPr>
          <w:color w:val="222222"/>
          <w:sz w:val="22"/>
          <w:szCs w:val="22"/>
        </w:rPr>
      </w:pPr>
      <w:r w:rsidRPr="00E424E8">
        <w:rPr>
          <w:color w:val="222222"/>
          <w:sz w:val="22"/>
          <w:szCs w:val="22"/>
        </w:rPr>
        <w:t xml:space="preserve">Daine, K., Hawton, K., Singaravelu, V., Stewart, A., Simkin, S., &amp; Montgomery, P. (2013). The power of the web: a systematic review of studies of the influence of the internet on self-harm and suicide in young people. </w:t>
      </w:r>
      <w:r w:rsidRPr="00E424E8">
        <w:rPr>
          <w:i/>
          <w:iCs/>
          <w:color w:val="222222"/>
          <w:sz w:val="22"/>
          <w:szCs w:val="22"/>
        </w:rPr>
        <w:t>PloS one</w:t>
      </w:r>
      <w:r w:rsidRPr="00E424E8">
        <w:rPr>
          <w:color w:val="222222"/>
          <w:sz w:val="22"/>
          <w:szCs w:val="22"/>
        </w:rPr>
        <w:t xml:space="preserve">, </w:t>
      </w:r>
      <w:r w:rsidRPr="00E424E8">
        <w:rPr>
          <w:i/>
          <w:iCs/>
          <w:color w:val="222222"/>
          <w:sz w:val="22"/>
          <w:szCs w:val="22"/>
        </w:rPr>
        <w:t>8</w:t>
      </w:r>
      <w:r w:rsidRPr="00E424E8">
        <w:rPr>
          <w:color w:val="222222"/>
          <w:sz w:val="22"/>
          <w:szCs w:val="22"/>
        </w:rPr>
        <w:t>(10).</w:t>
      </w:r>
    </w:p>
    <w:p w:rsidR="00044D29" w:rsidRPr="00E424E8" w:rsidRDefault="00044D29" w:rsidP="0025086A">
      <w:pPr>
        <w:spacing w:line="276" w:lineRule="auto"/>
        <w:jc w:val="both"/>
        <w:rPr>
          <w:color w:val="222222"/>
          <w:sz w:val="22"/>
          <w:szCs w:val="22"/>
        </w:rPr>
      </w:pPr>
    </w:p>
    <w:p w:rsidR="00044D29" w:rsidRPr="00E424E8" w:rsidRDefault="00044D29" w:rsidP="0025086A">
      <w:pPr>
        <w:spacing w:line="276" w:lineRule="auto"/>
        <w:jc w:val="both"/>
        <w:rPr>
          <w:color w:val="222222"/>
          <w:sz w:val="22"/>
          <w:szCs w:val="22"/>
        </w:rPr>
      </w:pPr>
      <w:r w:rsidRPr="00E424E8">
        <w:rPr>
          <w:color w:val="222222"/>
          <w:sz w:val="22"/>
          <w:szCs w:val="22"/>
        </w:rPr>
        <w:t xml:space="preserve">Deighton, J., Lereya, S. T., Casey, P., Patalay, P., Humphrey, N., &amp; Wolpert, M. (2019). Prevalence of mental health problems in schools: poverty and other risk factors among 28 000 adolescents in England. </w:t>
      </w:r>
      <w:r w:rsidRPr="00E424E8">
        <w:rPr>
          <w:i/>
          <w:iCs/>
          <w:color w:val="222222"/>
          <w:sz w:val="22"/>
          <w:szCs w:val="22"/>
        </w:rPr>
        <w:t>The British Journal of Psychiatry</w:t>
      </w:r>
      <w:r w:rsidRPr="00E424E8">
        <w:rPr>
          <w:color w:val="222222"/>
          <w:sz w:val="22"/>
          <w:szCs w:val="22"/>
        </w:rPr>
        <w:t xml:space="preserve">, </w:t>
      </w:r>
      <w:r w:rsidRPr="00E424E8">
        <w:rPr>
          <w:i/>
          <w:iCs/>
          <w:color w:val="222222"/>
          <w:sz w:val="22"/>
          <w:szCs w:val="22"/>
        </w:rPr>
        <w:t>215</w:t>
      </w:r>
      <w:r w:rsidRPr="00E424E8">
        <w:rPr>
          <w:color w:val="222222"/>
          <w:sz w:val="22"/>
          <w:szCs w:val="22"/>
        </w:rPr>
        <w:t>(3), 565-567.</w:t>
      </w:r>
    </w:p>
    <w:p w:rsidR="00044D29" w:rsidRPr="00E424E8" w:rsidRDefault="00044D29" w:rsidP="0025086A">
      <w:pPr>
        <w:spacing w:line="276" w:lineRule="auto"/>
        <w:jc w:val="both"/>
        <w:rPr>
          <w:sz w:val="22"/>
          <w:szCs w:val="22"/>
        </w:rPr>
      </w:pPr>
    </w:p>
    <w:p w:rsidR="00044D29" w:rsidRPr="0006351E" w:rsidRDefault="00044D29" w:rsidP="0025086A">
      <w:pPr>
        <w:spacing w:line="276" w:lineRule="auto"/>
        <w:jc w:val="both"/>
        <w:rPr>
          <w:color w:val="222222"/>
          <w:sz w:val="22"/>
          <w:lang w:val="en-GB"/>
        </w:rPr>
      </w:pPr>
      <w:r w:rsidRPr="0006351E">
        <w:rPr>
          <w:color w:val="222222"/>
          <w:sz w:val="22"/>
          <w:lang w:val="en-GB"/>
        </w:rPr>
        <w:t xml:space="preserve">England, N. H. S. Department of Health (2015) Future in Mind: Promoting, protecting and improving our children and young people’s mental health and wellbeing. </w:t>
      </w:r>
      <w:r w:rsidRPr="0006351E">
        <w:rPr>
          <w:i/>
          <w:color w:val="222222"/>
          <w:sz w:val="22"/>
          <w:lang w:val="en-GB"/>
        </w:rPr>
        <w:t xml:space="preserve">London: Department of Health. </w:t>
      </w:r>
    </w:p>
    <w:p w:rsidR="00044D29" w:rsidRPr="00E424E8" w:rsidRDefault="00044D29" w:rsidP="0025086A">
      <w:pPr>
        <w:spacing w:line="276" w:lineRule="auto"/>
        <w:jc w:val="both"/>
        <w:rPr>
          <w:sz w:val="22"/>
          <w:szCs w:val="22"/>
        </w:rPr>
      </w:pPr>
    </w:p>
    <w:p w:rsidR="00044D29" w:rsidRPr="00E424E8" w:rsidRDefault="00044D29" w:rsidP="0025086A">
      <w:pPr>
        <w:spacing w:line="276" w:lineRule="auto"/>
        <w:jc w:val="both"/>
        <w:rPr>
          <w:color w:val="222222"/>
          <w:sz w:val="22"/>
          <w:szCs w:val="22"/>
        </w:rPr>
      </w:pPr>
      <w:r w:rsidRPr="00E424E8">
        <w:rPr>
          <w:color w:val="222222"/>
          <w:sz w:val="22"/>
          <w:szCs w:val="22"/>
        </w:rPr>
        <w:t xml:space="preserve">Evans, R., &amp; Hurrell, C. (2016). The role of schools in children and young people’s self-harm and suicide: systematic review and meta-ethnography of qualitative research. </w:t>
      </w:r>
      <w:r w:rsidRPr="00E424E8">
        <w:rPr>
          <w:i/>
          <w:iCs/>
          <w:color w:val="222222"/>
          <w:sz w:val="22"/>
          <w:szCs w:val="22"/>
        </w:rPr>
        <w:t>BMC public health</w:t>
      </w:r>
      <w:r w:rsidRPr="00E424E8">
        <w:rPr>
          <w:color w:val="222222"/>
          <w:sz w:val="22"/>
          <w:szCs w:val="22"/>
        </w:rPr>
        <w:t xml:space="preserve">, </w:t>
      </w:r>
      <w:r w:rsidRPr="00E424E8">
        <w:rPr>
          <w:i/>
          <w:iCs/>
          <w:color w:val="222222"/>
          <w:sz w:val="22"/>
          <w:szCs w:val="22"/>
        </w:rPr>
        <w:t>16</w:t>
      </w:r>
      <w:r w:rsidRPr="00E424E8">
        <w:rPr>
          <w:color w:val="222222"/>
          <w:sz w:val="22"/>
          <w:szCs w:val="22"/>
        </w:rPr>
        <w:t>(1), 401.</w:t>
      </w:r>
    </w:p>
    <w:p w:rsidR="00044D29" w:rsidRPr="00E424E8" w:rsidRDefault="00044D29" w:rsidP="0025086A">
      <w:pPr>
        <w:spacing w:line="276" w:lineRule="auto"/>
        <w:jc w:val="both"/>
        <w:rPr>
          <w:color w:val="222222"/>
          <w:sz w:val="22"/>
          <w:szCs w:val="22"/>
          <w:lang w:val="en-GB" w:eastAsia="en-GB"/>
        </w:rPr>
      </w:pPr>
    </w:p>
    <w:p w:rsidR="00044D29" w:rsidRPr="0006351E" w:rsidRDefault="00044D29" w:rsidP="0025086A">
      <w:pPr>
        <w:spacing w:line="276" w:lineRule="auto"/>
        <w:jc w:val="both"/>
        <w:rPr>
          <w:color w:val="222222"/>
          <w:sz w:val="22"/>
          <w:lang w:val="en-GB"/>
        </w:rPr>
      </w:pPr>
      <w:r w:rsidRPr="0006351E">
        <w:rPr>
          <w:color w:val="222222"/>
          <w:sz w:val="22"/>
          <w:lang w:val="en-GB"/>
        </w:rPr>
        <w:t xml:space="preserve">Fink, E., Patalay, P., Sharpe, H., Holley, S., Deighton, J., &amp; Wolpert, M. (2015). Mental health difficulties in early adolescence: a comparison of two cross-sectional studies in England from 2009 to 2014. </w:t>
      </w:r>
      <w:r w:rsidRPr="0006351E">
        <w:rPr>
          <w:i/>
          <w:color w:val="222222"/>
          <w:sz w:val="22"/>
          <w:lang w:val="en-GB"/>
        </w:rPr>
        <w:t>Journal of Adolescent Health</w:t>
      </w:r>
      <w:r w:rsidRPr="0006351E">
        <w:rPr>
          <w:color w:val="222222"/>
          <w:sz w:val="22"/>
          <w:lang w:val="en-GB"/>
        </w:rPr>
        <w:t xml:space="preserve">, </w:t>
      </w:r>
      <w:r w:rsidRPr="0006351E">
        <w:rPr>
          <w:i/>
          <w:color w:val="222222"/>
          <w:sz w:val="22"/>
          <w:lang w:val="en-GB"/>
        </w:rPr>
        <w:t>56</w:t>
      </w:r>
      <w:r w:rsidRPr="0006351E">
        <w:rPr>
          <w:color w:val="222222"/>
          <w:sz w:val="22"/>
          <w:lang w:val="en-GB"/>
        </w:rPr>
        <w:t>(5), 502-507.</w:t>
      </w:r>
    </w:p>
    <w:p w:rsidR="00044D29" w:rsidRPr="00E424E8" w:rsidRDefault="00044D29" w:rsidP="0025086A">
      <w:pPr>
        <w:pStyle w:val="Default"/>
        <w:spacing w:line="276" w:lineRule="auto"/>
        <w:jc w:val="both"/>
        <w:rPr>
          <w:rFonts w:ascii="Times New Roman" w:hAnsi="Times New Roman" w:cs="Times New Roman"/>
          <w:sz w:val="22"/>
          <w:szCs w:val="22"/>
        </w:rPr>
      </w:pPr>
    </w:p>
    <w:p w:rsidR="00044D29" w:rsidRPr="0006351E" w:rsidRDefault="00044D29" w:rsidP="0025086A">
      <w:pPr>
        <w:spacing w:line="276" w:lineRule="auto"/>
        <w:jc w:val="both"/>
        <w:rPr>
          <w:color w:val="222222"/>
          <w:sz w:val="22"/>
          <w:lang w:val="en-GB"/>
        </w:rPr>
      </w:pPr>
      <w:r w:rsidRPr="0006351E">
        <w:rPr>
          <w:color w:val="222222"/>
          <w:sz w:val="22"/>
          <w:lang w:val="en-GB"/>
        </w:rPr>
        <w:t>Frith, E. (2016). Children and Young People’s Mental Health: State of the Nation.</w:t>
      </w:r>
    </w:p>
    <w:p w:rsidR="00044D29" w:rsidRPr="0006351E" w:rsidRDefault="00044D29" w:rsidP="0025086A">
      <w:pPr>
        <w:spacing w:line="276" w:lineRule="auto"/>
        <w:jc w:val="both"/>
        <w:rPr>
          <w:color w:val="222222"/>
          <w:sz w:val="22"/>
          <w:lang w:val="en-GB"/>
        </w:rPr>
      </w:pPr>
      <w:r w:rsidRPr="00E424E8">
        <w:rPr>
          <w:sz w:val="22"/>
          <w:szCs w:val="22"/>
        </w:rPr>
        <w:br/>
      </w:r>
      <w:r w:rsidRPr="0006351E">
        <w:rPr>
          <w:color w:val="222222"/>
          <w:sz w:val="22"/>
          <w:lang w:val="en-GB"/>
        </w:rPr>
        <w:t xml:space="preserve">Goodman, R. (1997). The Strengths and Difficulties Questionnaire: a research note. </w:t>
      </w:r>
      <w:r w:rsidRPr="0006351E">
        <w:rPr>
          <w:i/>
          <w:color w:val="222222"/>
          <w:sz w:val="22"/>
          <w:lang w:val="en-GB"/>
        </w:rPr>
        <w:t>Journal of child psychology and psychiatry</w:t>
      </w:r>
      <w:r w:rsidRPr="0006351E">
        <w:rPr>
          <w:color w:val="222222"/>
          <w:sz w:val="22"/>
          <w:lang w:val="en-GB"/>
        </w:rPr>
        <w:t xml:space="preserve">, </w:t>
      </w:r>
      <w:r w:rsidRPr="0006351E">
        <w:rPr>
          <w:i/>
          <w:color w:val="222222"/>
          <w:sz w:val="22"/>
          <w:lang w:val="en-GB"/>
        </w:rPr>
        <w:t>38</w:t>
      </w:r>
      <w:r w:rsidRPr="0006351E">
        <w:rPr>
          <w:color w:val="222222"/>
          <w:sz w:val="22"/>
          <w:lang w:val="en-GB"/>
        </w:rPr>
        <w:t>(5), 581-586.</w:t>
      </w:r>
    </w:p>
    <w:p w:rsidR="00044D29" w:rsidRPr="00E424E8" w:rsidRDefault="00044D29" w:rsidP="0025086A">
      <w:pPr>
        <w:spacing w:line="276" w:lineRule="auto"/>
        <w:jc w:val="both"/>
        <w:rPr>
          <w:sz w:val="22"/>
          <w:szCs w:val="22"/>
        </w:rPr>
      </w:pPr>
    </w:p>
    <w:p w:rsidR="00044D29" w:rsidRPr="0006351E" w:rsidRDefault="00044D29" w:rsidP="0025086A">
      <w:pPr>
        <w:spacing w:line="276" w:lineRule="auto"/>
        <w:jc w:val="both"/>
        <w:rPr>
          <w:color w:val="222222"/>
          <w:sz w:val="22"/>
          <w:lang w:val="en-GB"/>
        </w:rPr>
      </w:pPr>
      <w:r w:rsidRPr="0006351E">
        <w:rPr>
          <w:color w:val="222222"/>
          <w:sz w:val="22"/>
          <w:lang w:val="en-GB"/>
        </w:rPr>
        <w:t xml:space="preserve">Goodman, R., Ford, T., Simmons, H., Gatward, R., &amp; Meltzer, H. (2000). Using the Strengths and Difficulties Questionnaire (SDQ) to screen for child psychiatric disorders in a community sample. </w:t>
      </w:r>
      <w:r w:rsidRPr="0006351E">
        <w:rPr>
          <w:i/>
          <w:color w:val="222222"/>
          <w:sz w:val="22"/>
          <w:lang w:val="en-GB"/>
        </w:rPr>
        <w:t>The British journal of psychiatry</w:t>
      </w:r>
      <w:r w:rsidRPr="0006351E">
        <w:rPr>
          <w:color w:val="222222"/>
          <w:sz w:val="22"/>
          <w:lang w:val="en-GB"/>
        </w:rPr>
        <w:t xml:space="preserve">, </w:t>
      </w:r>
      <w:r w:rsidRPr="0006351E">
        <w:rPr>
          <w:i/>
          <w:color w:val="222222"/>
          <w:sz w:val="22"/>
          <w:lang w:val="en-GB"/>
        </w:rPr>
        <w:t>177</w:t>
      </w:r>
      <w:r w:rsidRPr="0006351E">
        <w:rPr>
          <w:color w:val="222222"/>
          <w:sz w:val="22"/>
          <w:lang w:val="en-GB"/>
        </w:rPr>
        <w:t>(6), 534-539.</w:t>
      </w:r>
    </w:p>
    <w:p w:rsidR="00044D29" w:rsidRPr="0006351E" w:rsidRDefault="00044D29" w:rsidP="0025086A">
      <w:pPr>
        <w:spacing w:line="276" w:lineRule="auto"/>
        <w:jc w:val="both"/>
        <w:rPr>
          <w:color w:val="222222"/>
          <w:sz w:val="22"/>
          <w:lang w:val="en-GB"/>
        </w:rPr>
      </w:pPr>
      <w:r w:rsidRPr="00E424E8">
        <w:rPr>
          <w:color w:val="000000"/>
          <w:sz w:val="22"/>
          <w:szCs w:val="22"/>
        </w:rPr>
        <w:br/>
      </w:r>
      <w:r w:rsidRPr="0006351E">
        <w:rPr>
          <w:color w:val="222222"/>
          <w:sz w:val="22"/>
          <w:lang w:val="en-GB"/>
        </w:rPr>
        <w:t xml:space="preserve">McGinnity, Á., Meltzer, H., Ford, T., &amp; Goodman, R. (2005). Mental health of children and young people in Great Britain, 2004. H. Green (Ed.). </w:t>
      </w:r>
      <w:r w:rsidRPr="0006351E">
        <w:rPr>
          <w:i/>
          <w:color w:val="222222"/>
          <w:sz w:val="22"/>
          <w:lang w:val="en-GB"/>
        </w:rPr>
        <w:t>Basingstoke: Palgrave Macmillan.</w:t>
      </w:r>
    </w:p>
    <w:p w:rsidR="00044D29" w:rsidRPr="00E424E8" w:rsidRDefault="00044D29" w:rsidP="0025086A">
      <w:pPr>
        <w:spacing w:line="276" w:lineRule="auto"/>
        <w:jc w:val="both"/>
        <w:rPr>
          <w:color w:val="222222"/>
          <w:sz w:val="22"/>
          <w:szCs w:val="22"/>
          <w:lang w:eastAsia="en-GB"/>
        </w:rPr>
      </w:pPr>
    </w:p>
    <w:p w:rsidR="00044D29" w:rsidRPr="0006351E" w:rsidRDefault="00044D29" w:rsidP="0025086A">
      <w:pPr>
        <w:spacing w:line="276" w:lineRule="auto"/>
        <w:jc w:val="both"/>
        <w:rPr>
          <w:color w:val="222222"/>
          <w:sz w:val="22"/>
          <w:lang w:val="en-GB"/>
        </w:rPr>
      </w:pPr>
      <w:r w:rsidRPr="0006351E">
        <w:rPr>
          <w:color w:val="222222"/>
          <w:sz w:val="22"/>
          <w:lang w:val="en-GB"/>
        </w:rPr>
        <w:t xml:space="preserve">Hood, A., &amp; Waters, T. (2017). </w:t>
      </w:r>
      <w:r w:rsidRPr="0006351E">
        <w:rPr>
          <w:i/>
          <w:color w:val="222222"/>
          <w:sz w:val="22"/>
          <w:lang w:val="en-GB"/>
        </w:rPr>
        <w:t>Living standards, poverty and inequality in the UK: 2016-2017 to 2021-2022</w:t>
      </w:r>
      <w:r w:rsidRPr="0006351E">
        <w:rPr>
          <w:color w:val="222222"/>
          <w:sz w:val="22"/>
          <w:lang w:val="en-GB"/>
        </w:rPr>
        <w:t xml:space="preserve"> (No. R127). IFS Report.</w:t>
      </w:r>
    </w:p>
    <w:p w:rsidR="00044D29" w:rsidRPr="00E424E8" w:rsidRDefault="00044D29" w:rsidP="0025086A">
      <w:pPr>
        <w:pStyle w:val="Default"/>
        <w:spacing w:line="276" w:lineRule="auto"/>
        <w:jc w:val="both"/>
        <w:rPr>
          <w:rFonts w:ascii="Times New Roman" w:hAnsi="Times New Roman" w:cs="Times New Roman"/>
          <w:sz w:val="22"/>
          <w:szCs w:val="22"/>
        </w:rPr>
      </w:pPr>
    </w:p>
    <w:p w:rsidR="00044D29" w:rsidRPr="0006351E" w:rsidRDefault="00044D29" w:rsidP="0025086A">
      <w:pPr>
        <w:spacing w:line="276" w:lineRule="auto"/>
        <w:jc w:val="both"/>
        <w:rPr>
          <w:color w:val="222222"/>
          <w:sz w:val="22"/>
          <w:lang w:val="en-GB"/>
        </w:rPr>
      </w:pPr>
      <w:r w:rsidRPr="0006351E">
        <w:rPr>
          <w:color w:val="222222"/>
          <w:sz w:val="22"/>
          <w:lang w:val="en-GB"/>
        </w:rPr>
        <w:lastRenderedPageBreak/>
        <w:t xml:space="preserve">Kessler, R. C., Berglund, P., Demler, O., Jin, R., Merikangas, K. R., &amp; Walters, E. E. (2005). Lifetime prevalence and age-of-onset distributions of DSM-IV disorders in the National Comorbidity Survey Replication. </w:t>
      </w:r>
      <w:r w:rsidRPr="0006351E">
        <w:rPr>
          <w:i/>
          <w:color w:val="222222"/>
          <w:sz w:val="22"/>
          <w:lang w:val="en-GB"/>
        </w:rPr>
        <w:t>Archives of general psychiatry</w:t>
      </w:r>
      <w:r w:rsidRPr="0006351E">
        <w:rPr>
          <w:color w:val="222222"/>
          <w:sz w:val="22"/>
          <w:lang w:val="en-GB"/>
        </w:rPr>
        <w:t xml:space="preserve">, </w:t>
      </w:r>
      <w:r w:rsidRPr="0006351E">
        <w:rPr>
          <w:i/>
          <w:color w:val="222222"/>
          <w:sz w:val="22"/>
          <w:lang w:val="en-GB"/>
        </w:rPr>
        <w:t>62</w:t>
      </w:r>
      <w:r w:rsidRPr="0006351E">
        <w:rPr>
          <w:color w:val="222222"/>
          <w:sz w:val="22"/>
          <w:lang w:val="en-GB"/>
        </w:rPr>
        <w:t>(6), 593-602.</w:t>
      </w:r>
    </w:p>
    <w:p w:rsidR="00044D29" w:rsidRPr="00E424E8" w:rsidRDefault="00044D29" w:rsidP="0025086A">
      <w:pPr>
        <w:spacing w:line="276" w:lineRule="auto"/>
        <w:jc w:val="both"/>
        <w:rPr>
          <w:sz w:val="22"/>
          <w:szCs w:val="22"/>
        </w:rPr>
      </w:pPr>
    </w:p>
    <w:p w:rsidR="00044D29" w:rsidRPr="00E424E8" w:rsidRDefault="00044D29" w:rsidP="0025086A">
      <w:pPr>
        <w:spacing w:line="276" w:lineRule="auto"/>
        <w:jc w:val="both"/>
        <w:rPr>
          <w:color w:val="222222"/>
          <w:sz w:val="22"/>
          <w:szCs w:val="22"/>
        </w:rPr>
      </w:pPr>
      <w:r w:rsidRPr="00E424E8">
        <w:rPr>
          <w:color w:val="222222"/>
          <w:sz w:val="22"/>
          <w:szCs w:val="22"/>
        </w:rPr>
        <w:t xml:space="preserve">Marchant, A., Hawton, K., Stewart, A., Montgomery, P., Singaravelu, V., Lloyd, K., ... &amp; John, A. (2017). A systematic review of the relationship between internet use, self-harm and suicidal behaviour in young people: The good, the bad and the unknown. </w:t>
      </w:r>
      <w:r w:rsidRPr="00E424E8">
        <w:rPr>
          <w:i/>
          <w:iCs/>
          <w:color w:val="222222"/>
          <w:sz w:val="22"/>
          <w:szCs w:val="22"/>
        </w:rPr>
        <w:t>PLoS One</w:t>
      </w:r>
      <w:r w:rsidRPr="00E424E8">
        <w:rPr>
          <w:color w:val="222222"/>
          <w:sz w:val="22"/>
          <w:szCs w:val="22"/>
        </w:rPr>
        <w:t xml:space="preserve">, </w:t>
      </w:r>
      <w:r w:rsidRPr="00E424E8">
        <w:rPr>
          <w:i/>
          <w:iCs/>
          <w:color w:val="222222"/>
          <w:sz w:val="22"/>
          <w:szCs w:val="22"/>
        </w:rPr>
        <w:t>12</w:t>
      </w:r>
      <w:r w:rsidRPr="00E424E8">
        <w:rPr>
          <w:color w:val="222222"/>
          <w:sz w:val="22"/>
          <w:szCs w:val="22"/>
        </w:rPr>
        <w:t>(8).</w:t>
      </w:r>
    </w:p>
    <w:p w:rsidR="00044D29" w:rsidRPr="00E424E8" w:rsidRDefault="00044D29" w:rsidP="0025086A">
      <w:pPr>
        <w:spacing w:line="276" w:lineRule="auto"/>
        <w:jc w:val="both"/>
        <w:rPr>
          <w:color w:val="222222"/>
          <w:sz w:val="22"/>
          <w:szCs w:val="22"/>
          <w:lang w:val="en-GB" w:eastAsia="en-GB"/>
        </w:rPr>
      </w:pPr>
    </w:p>
    <w:p w:rsidR="00044D29" w:rsidRPr="0006351E" w:rsidRDefault="00044D29" w:rsidP="0025086A">
      <w:pPr>
        <w:spacing w:line="276" w:lineRule="auto"/>
        <w:jc w:val="both"/>
        <w:rPr>
          <w:i/>
          <w:color w:val="222222"/>
          <w:sz w:val="22"/>
          <w:lang w:val="en-GB"/>
        </w:rPr>
      </w:pPr>
      <w:r w:rsidRPr="0006351E">
        <w:rPr>
          <w:color w:val="222222"/>
          <w:sz w:val="22"/>
          <w:lang w:val="en-GB"/>
        </w:rPr>
        <w:t xml:space="preserve">Meltzer, H., Gatward, R., Goodman, R., &amp; Ford, T. (2000). The mental health of children and adolescents in Great Britain. </w:t>
      </w:r>
      <w:r w:rsidRPr="0006351E">
        <w:rPr>
          <w:i/>
          <w:color w:val="222222"/>
          <w:sz w:val="22"/>
          <w:lang w:val="en-GB"/>
        </w:rPr>
        <w:t>London: HM Stationery Office.</w:t>
      </w:r>
    </w:p>
    <w:p w:rsidR="00044D29" w:rsidRPr="00914430" w:rsidRDefault="00044D29" w:rsidP="0025086A">
      <w:pPr>
        <w:spacing w:line="276" w:lineRule="auto"/>
        <w:jc w:val="both"/>
        <w:rPr>
          <w:sz w:val="22"/>
          <w:szCs w:val="22"/>
        </w:rPr>
      </w:pPr>
    </w:p>
    <w:p w:rsidR="00044D29" w:rsidRPr="0006351E" w:rsidRDefault="00044D29" w:rsidP="0025086A">
      <w:pPr>
        <w:spacing w:line="276" w:lineRule="auto"/>
        <w:jc w:val="both"/>
        <w:rPr>
          <w:color w:val="222222"/>
          <w:sz w:val="22"/>
          <w:lang w:val="en-GB"/>
        </w:rPr>
      </w:pPr>
      <w:r w:rsidRPr="0006351E">
        <w:rPr>
          <w:color w:val="222222"/>
          <w:sz w:val="22"/>
          <w:lang w:val="en-GB"/>
        </w:rPr>
        <w:t xml:space="preserve">Murphy, M., &amp; Fonagy, P. (2012). Mental health problems in children and young people. </w:t>
      </w:r>
      <w:r w:rsidRPr="0006351E">
        <w:rPr>
          <w:i/>
          <w:color w:val="222222"/>
          <w:sz w:val="22"/>
          <w:lang w:val="en-GB"/>
        </w:rPr>
        <w:t>Annual report of the chief medical officer</w:t>
      </w:r>
      <w:r w:rsidRPr="0006351E">
        <w:rPr>
          <w:color w:val="222222"/>
          <w:sz w:val="22"/>
          <w:lang w:val="en-GB"/>
        </w:rPr>
        <w:t>, 1-13.</w:t>
      </w:r>
    </w:p>
    <w:p w:rsidR="00044D29" w:rsidRPr="0006351E" w:rsidRDefault="00044D29" w:rsidP="0025086A">
      <w:pPr>
        <w:spacing w:line="276" w:lineRule="auto"/>
        <w:jc w:val="both"/>
        <w:rPr>
          <w:color w:val="222222"/>
          <w:sz w:val="22"/>
          <w:lang w:val="en-GB"/>
        </w:rPr>
      </w:pPr>
    </w:p>
    <w:p w:rsidR="00044D29" w:rsidRPr="0006351E" w:rsidRDefault="00044D29" w:rsidP="0025086A">
      <w:pPr>
        <w:spacing w:line="276" w:lineRule="auto"/>
        <w:jc w:val="both"/>
        <w:rPr>
          <w:color w:val="222222"/>
          <w:sz w:val="22"/>
          <w:lang w:val="en-GB"/>
        </w:rPr>
      </w:pPr>
      <w:r w:rsidRPr="0006351E">
        <w:rPr>
          <w:color w:val="222222"/>
          <w:sz w:val="22"/>
          <w:lang w:val="en-GB"/>
        </w:rPr>
        <w:t xml:space="preserve">Naylor, C., Das, P., Ross, S., Honeyman, M., Thompson, J., &amp; Gilburt, H. (2016). Bringing together physical and mental health. </w:t>
      </w:r>
      <w:r w:rsidRPr="0006351E">
        <w:rPr>
          <w:i/>
          <w:color w:val="222222"/>
          <w:sz w:val="22"/>
          <w:lang w:val="en-GB"/>
        </w:rPr>
        <w:t>King's Fund</w:t>
      </w:r>
      <w:r w:rsidRPr="0006351E">
        <w:rPr>
          <w:color w:val="222222"/>
          <w:sz w:val="22"/>
          <w:lang w:val="en-GB"/>
        </w:rPr>
        <w:t>.</w:t>
      </w:r>
    </w:p>
    <w:p w:rsidR="00044D29" w:rsidRPr="00E424E8" w:rsidRDefault="00044D29" w:rsidP="0025086A">
      <w:pPr>
        <w:spacing w:line="276" w:lineRule="auto"/>
        <w:jc w:val="both"/>
        <w:rPr>
          <w:sz w:val="22"/>
          <w:szCs w:val="22"/>
        </w:rPr>
      </w:pPr>
    </w:p>
    <w:p w:rsidR="00044D29" w:rsidRPr="00914430" w:rsidRDefault="00044D29" w:rsidP="0025086A">
      <w:pPr>
        <w:spacing w:line="276" w:lineRule="auto"/>
        <w:jc w:val="both"/>
        <w:rPr>
          <w:sz w:val="22"/>
          <w:szCs w:val="22"/>
        </w:rPr>
      </w:pPr>
      <w:r w:rsidRPr="00914430">
        <w:rPr>
          <w:sz w:val="22"/>
          <w:szCs w:val="22"/>
        </w:rPr>
        <w:t xml:space="preserve">NHS Benchmarking Network (2016) CAMHS Benchmarking 2016. </w:t>
      </w:r>
      <w:r w:rsidRPr="00914430">
        <w:rPr>
          <w:i/>
          <w:sz w:val="22"/>
          <w:szCs w:val="22"/>
        </w:rPr>
        <w:t>Retrieved from https://www.nhsbenchmarking.nhs.uk/news/camhs-benchmarking-2016-findings-published</w:t>
      </w:r>
      <w:r w:rsidRPr="00914430">
        <w:rPr>
          <w:sz w:val="22"/>
          <w:szCs w:val="22"/>
        </w:rPr>
        <w:t xml:space="preserve"> </w:t>
      </w:r>
    </w:p>
    <w:p w:rsidR="00044D29" w:rsidRPr="003F31CF" w:rsidRDefault="00044D29" w:rsidP="0025086A">
      <w:pPr>
        <w:spacing w:line="276" w:lineRule="auto"/>
        <w:jc w:val="both"/>
        <w:rPr>
          <w:sz w:val="22"/>
          <w:szCs w:val="22"/>
        </w:rPr>
      </w:pPr>
    </w:p>
    <w:p w:rsidR="00044D29" w:rsidRPr="00FE73F0" w:rsidRDefault="00044D29" w:rsidP="0025086A">
      <w:pPr>
        <w:spacing w:line="276" w:lineRule="auto"/>
        <w:jc w:val="both"/>
        <w:rPr>
          <w:i/>
          <w:sz w:val="22"/>
          <w:szCs w:val="22"/>
        </w:rPr>
      </w:pPr>
      <w:r w:rsidRPr="00CA1EB4">
        <w:rPr>
          <w:sz w:val="22"/>
          <w:szCs w:val="22"/>
        </w:rPr>
        <w:t>NSPCC (2018a) The courage to talk: Childline annual review 2017/18</w:t>
      </w:r>
      <w:r w:rsidRPr="00CA1EB4">
        <w:rPr>
          <w:i/>
          <w:sz w:val="22"/>
          <w:szCs w:val="22"/>
        </w:rPr>
        <w:t>.</w:t>
      </w:r>
      <w:r w:rsidRPr="00FE73F0">
        <w:rPr>
          <w:sz w:val="22"/>
          <w:szCs w:val="22"/>
        </w:rPr>
        <w:t xml:space="preserve"> </w:t>
      </w:r>
      <w:r w:rsidRPr="00FE73F0">
        <w:rPr>
          <w:i/>
          <w:sz w:val="22"/>
          <w:szCs w:val="22"/>
        </w:rPr>
        <w:t>London: NSPCC.</w:t>
      </w:r>
    </w:p>
    <w:p w:rsidR="00044D29" w:rsidRPr="00734D58" w:rsidRDefault="00044D29" w:rsidP="0025086A">
      <w:pPr>
        <w:spacing w:line="276" w:lineRule="auto"/>
        <w:jc w:val="both"/>
        <w:rPr>
          <w:i/>
          <w:sz w:val="22"/>
          <w:szCs w:val="22"/>
        </w:rPr>
      </w:pPr>
    </w:p>
    <w:p w:rsidR="00044D29" w:rsidRPr="00061B95" w:rsidRDefault="00044D29" w:rsidP="0025086A">
      <w:pPr>
        <w:spacing w:line="276" w:lineRule="auto"/>
        <w:jc w:val="both"/>
        <w:rPr>
          <w:i/>
          <w:sz w:val="22"/>
          <w:szCs w:val="22"/>
        </w:rPr>
      </w:pPr>
      <w:r w:rsidRPr="000452BA">
        <w:rPr>
          <w:sz w:val="22"/>
          <w:szCs w:val="22"/>
        </w:rPr>
        <w:t>NSPCC, (2018b) School referrals for mental health treatment rise by over a third.</w:t>
      </w:r>
      <w:r w:rsidRPr="00A17B0D">
        <w:rPr>
          <w:i/>
          <w:sz w:val="22"/>
          <w:szCs w:val="22"/>
        </w:rPr>
        <w:t xml:space="preserve"> Retrieved from </w:t>
      </w:r>
      <w:r w:rsidRPr="00061B95">
        <w:rPr>
          <w:i/>
          <w:sz w:val="22"/>
          <w:szCs w:val="22"/>
        </w:rPr>
        <w:t xml:space="preserve">https://www.nspcc.org.uk/what-we-do/news-opinion/one-third-increase-in-school-referrals-for-mental-health-treatment/ </w:t>
      </w:r>
    </w:p>
    <w:p w:rsidR="00044D29" w:rsidRPr="0006351E" w:rsidRDefault="00044D29" w:rsidP="0025086A">
      <w:pPr>
        <w:spacing w:line="276" w:lineRule="auto"/>
        <w:jc w:val="both"/>
        <w:rPr>
          <w:color w:val="222222"/>
          <w:sz w:val="22"/>
        </w:rPr>
      </w:pPr>
      <w:r w:rsidRPr="00061B95">
        <w:rPr>
          <w:sz w:val="22"/>
          <w:szCs w:val="22"/>
        </w:rPr>
        <w:br/>
      </w:r>
      <w:r w:rsidRPr="0006351E">
        <w:rPr>
          <w:color w:val="222222"/>
          <w:sz w:val="22"/>
        </w:rPr>
        <w:t xml:space="preserve">Pitchforth, J., Fahy, K., Ford, T., Wolpert, M., Viner, R. M., &amp; Hargreaves, D. S. (2018). Mental health and well-being trends among children and young people in the UK, 1995–2014: analysis of repeated cross-sectional national health surveys. </w:t>
      </w:r>
      <w:r w:rsidRPr="0006351E">
        <w:rPr>
          <w:i/>
          <w:color w:val="222222"/>
          <w:sz w:val="22"/>
        </w:rPr>
        <w:t>Psychological medicine</w:t>
      </w:r>
      <w:r w:rsidRPr="0006351E">
        <w:rPr>
          <w:color w:val="222222"/>
          <w:sz w:val="22"/>
        </w:rPr>
        <w:t>, 1-11.</w:t>
      </w:r>
    </w:p>
    <w:p w:rsidR="00044D29" w:rsidRPr="00E424E8" w:rsidRDefault="00044D29" w:rsidP="0025086A">
      <w:pPr>
        <w:spacing w:line="276" w:lineRule="auto"/>
        <w:jc w:val="both"/>
        <w:rPr>
          <w:sz w:val="22"/>
          <w:szCs w:val="22"/>
        </w:rPr>
      </w:pPr>
    </w:p>
    <w:p w:rsidR="00044D29" w:rsidRPr="0006351E" w:rsidRDefault="00044D29" w:rsidP="0025086A">
      <w:pPr>
        <w:spacing w:line="276" w:lineRule="auto"/>
        <w:jc w:val="both"/>
        <w:rPr>
          <w:color w:val="222222"/>
          <w:sz w:val="22"/>
        </w:rPr>
      </w:pPr>
      <w:r w:rsidRPr="0006351E">
        <w:rPr>
          <w:color w:val="222222"/>
          <w:sz w:val="22"/>
        </w:rPr>
        <w:t xml:space="preserve">Prince, M., Patel, V., Saxena, S., Maj, M., Maselko, J., Phillips, M. R., &amp; Rahman, A. (2007). No health without mental health. </w:t>
      </w:r>
      <w:r w:rsidRPr="0006351E">
        <w:rPr>
          <w:i/>
          <w:color w:val="222222"/>
          <w:sz w:val="22"/>
        </w:rPr>
        <w:t>The lancet</w:t>
      </w:r>
      <w:r w:rsidRPr="0006351E">
        <w:rPr>
          <w:color w:val="222222"/>
          <w:sz w:val="22"/>
        </w:rPr>
        <w:t xml:space="preserve">, </w:t>
      </w:r>
      <w:r w:rsidRPr="0006351E">
        <w:rPr>
          <w:i/>
          <w:color w:val="222222"/>
          <w:sz w:val="22"/>
        </w:rPr>
        <w:t>370</w:t>
      </w:r>
      <w:r w:rsidRPr="0006351E">
        <w:rPr>
          <w:color w:val="222222"/>
          <w:sz w:val="22"/>
        </w:rPr>
        <w:t>(9590), 859-877.</w:t>
      </w:r>
    </w:p>
    <w:p w:rsidR="00044D29" w:rsidRPr="00E424E8" w:rsidRDefault="00044D29" w:rsidP="0025086A">
      <w:pPr>
        <w:pStyle w:val="Default"/>
        <w:spacing w:line="276" w:lineRule="auto"/>
        <w:jc w:val="both"/>
        <w:rPr>
          <w:rFonts w:ascii="Times New Roman" w:hAnsi="Times New Roman" w:cs="Times New Roman"/>
          <w:sz w:val="22"/>
          <w:szCs w:val="22"/>
        </w:rPr>
      </w:pPr>
    </w:p>
    <w:p w:rsidR="00044D29" w:rsidRPr="00E424E8" w:rsidRDefault="00044D29" w:rsidP="0025086A">
      <w:pPr>
        <w:spacing w:line="276" w:lineRule="auto"/>
        <w:jc w:val="both"/>
        <w:rPr>
          <w:color w:val="222222"/>
          <w:sz w:val="22"/>
          <w:szCs w:val="22"/>
        </w:rPr>
      </w:pPr>
      <w:r w:rsidRPr="00E424E8">
        <w:rPr>
          <w:color w:val="222222"/>
          <w:sz w:val="22"/>
          <w:szCs w:val="22"/>
        </w:rPr>
        <w:t>Rutter, M., 1989. Isle of Wight revisited: Twenty-five years of child psychiatric epidemiology. </w:t>
      </w:r>
      <w:r w:rsidRPr="00E424E8">
        <w:rPr>
          <w:i/>
          <w:color w:val="222222"/>
          <w:sz w:val="22"/>
          <w:szCs w:val="22"/>
        </w:rPr>
        <w:t>Journal of the American Academy of Child &amp; Adolescent Psychiatry,</w:t>
      </w:r>
      <w:r w:rsidRPr="00E424E8">
        <w:rPr>
          <w:color w:val="222222"/>
          <w:sz w:val="22"/>
          <w:szCs w:val="22"/>
        </w:rPr>
        <w:t> 28(5), pp.633-653.</w:t>
      </w:r>
    </w:p>
    <w:p w:rsidR="00044D29" w:rsidRPr="00E424E8" w:rsidRDefault="00044D29" w:rsidP="0025086A">
      <w:pPr>
        <w:spacing w:line="276" w:lineRule="auto"/>
        <w:jc w:val="both"/>
        <w:rPr>
          <w:color w:val="222222"/>
          <w:sz w:val="22"/>
          <w:szCs w:val="22"/>
        </w:rPr>
      </w:pPr>
    </w:p>
    <w:p w:rsidR="00044D29" w:rsidRPr="0006351E" w:rsidRDefault="00044D29" w:rsidP="0025086A">
      <w:pPr>
        <w:spacing w:line="276" w:lineRule="auto"/>
        <w:jc w:val="both"/>
        <w:rPr>
          <w:color w:val="222222"/>
          <w:sz w:val="22"/>
        </w:rPr>
      </w:pPr>
      <w:r w:rsidRPr="0006351E">
        <w:rPr>
          <w:color w:val="222222"/>
          <w:sz w:val="22"/>
        </w:rPr>
        <w:t>Sadler, K., Vizard, T., Ford, T., Marchesell, F., Pearce, N., Mandalia, D., ... &amp; Goodman, R. (2018). Mental Health of Children and Young People in England, 2017.</w:t>
      </w:r>
    </w:p>
    <w:p w:rsidR="00044D29" w:rsidRPr="00E424E8" w:rsidRDefault="00044D29" w:rsidP="0025086A">
      <w:pPr>
        <w:pStyle w:val="Default"/>
        <w:spacing w:line="276" w:lineRule="auto"/>
        <w:jc w:val="both"/>
        <w:rPr>
          <w:rFonts w:ascii="Times New Roman" w:hAnsi="Times New Roman" w:cs="Times New Roman"/>
          <w:sz w:val="22"/>
          <w:szCs w:val="22"/>
        </w:rPr>
      </w:pPr>
    </w:p>
    <w:p w:rsidR="00044D29" w:rsidRDefault="00044D29" w:rsidP="0025086A">
      <w:pPr>
        <w:spacing w:line="276" w:lineRule="auto"/>
        <w:jc w:val="both"/>
        <w:rPr>
          <w:color w:val="222222"/>
          <w:sz w:val="22"/>
          <w:szCs w:val="22"/>
        </w:rPr>
      </w:pPr>
      <w:r w:rsidRPr="00E424E8">
        <w:rPr>
          <w:color w:val="222222"/>
          <w:sz w:val="22"/>
          <w:szCs w:val="22"/>
        </w:rPr>
        <w:t xml:space="preserve">Sweeting, H., West, P., Young, R., &amp; Der, G. (2010). Can we explain increases in young people’s psychological distress over time?. </w:t>
      </w:r>
      <w:r w:rsidRPr="00E424E8">
        <w:rPr>
          <w:i/>
          <w:iCs/>
          <w:color w:val="222222"/>
          <w:sz w:val="22"/>
          <w:szCs w:val="22"/>
        </w:rPr>
        <w:t>Social science &amp; medicine</w:t>
      </w:r>
      <w:r w:rsidRPr="00E424E8">
        <w:rPr>
          <w:color w:val="222222"/>
          <w:sz w:val="22"/>
          <w:szCs w:val="22"/>
        </w:rPr>
        <w:t xml:space="preserve">, </w:t>
      </w:r>
      <w:r w:rsidRPr="00E424E8">
        <w:rPr>
          <w:i/>
          <w:iCs/>
          <w:color w:val="222222"/>
          <w:sz w:val="22"/>
          <w:szCs w:val="22"/>
        </w:rPr>
        <w:t>71</w:t>
      </w:r>
      <w:r w:rsidRPr="00E424E8">
        <w:rPr>
          <w:color w:val="222222"/>
          <w:sz w:val="22"/>
          <w:szCs w:val="22"/>
        </w:rPr>
        <w:t>(10), 1819-1830.</w:t>
      </w:r>
    </w:p>
    <w:p w:rsidR="00044D29" w:rsidRPr="00E424E8" w:rsidRDefault="00044D29" w:rsidP="0025086A">
      <w:pPr>
        <w:spacing w:line="276" w:lineRule="auto"/>
        <w:jc w:val="both"/>
        <w:rPr>
          <w:color w:val="222222"/>
          <w:sz w:val="22"/>
          <w:szCs w:val="22"/>
        </w:rPr>
      </w:pPr>
    </w:p>
    <w:p w:rsidR="00044D29" w:rsidRPr="0006351E" w:rsidRDefault="00044D29" w:rsidP="0025086A">
      <w:pPr>
        <w:spacing w:line="276" w:lineRule="auto"/>
        <w:jc w:val="both"/>
        <w:rPr>
          <w:color w:val="222222"/>
          <w:sz w:val="22"/>
        </w:rPr>
      </w:pPr>
      <w:r w:rsidRPr="0006351E">
        <w:rPr>
          <w:color w:val="222222"/>
          <w:sz w:val="22"/>
        </w:rPr>
        <w:t>Department of Health and Social Care and Department for Education. (2017). Transforming children and young people’s mental health provision: A green paper.</w:t>
      </w:r>
    </w:p>
    <w:p w:rsidR="00044D29" w:rsidRPr="00E424E8" w:rsidRDefault="00044D29" w:rsidP="0025086A">
      <w:pPr>
        <w:pStyle w:val="Default"/>
        <w:spacing w:line="276" w:lineRule="auto"/>
        <w:jc w:val="both"/>
        <w:rPr>
          <w:rFonts w:ascii="Times New Roman" w:hAnsi="Times New Roman" w:cs="Times New Roman"/>
          <w:sz w:val="22"/>
          <w:szCs w:val="22"/>
        </w:rPr>
      </w:pPr>
    </w:p>
    <w:p w:rsidR="00044D29" w:rsidRPr="0006351E" w:rsidRDefault="00044D29" w:rsidP="0025086A">
      <w:pPr>
        <w:spacing w:line="276" w:lineRule="auto"/>
        <w:jc w:val="both"/>
        <w:rPr>
          <w:color w:val="222222"/>
          <w:sz w:val="22"/>
        </w:rPr>
      </w:pPr>
      <w:r w:rsidRPr="0006351E">
        <w:rPr>
          <w:color w:val="222222"/>
          <w:sz w:val="22"/>
        </w:rPr>
        <w:lastRenderedPageBreak/>
        <w:t xml:space="preserve">Wellander, L., Wells, M. B., &amp; Feldman, I. (2016). Does prevention pay? Costs and potential cost-savings of school interventions targeting children with mental health problems. </w:t>
      </w:r>
      <w:r w:rsidRPr="0006351E">
        <w:rPr>
          <w:i/>
          <w:color w:val="222222"/>
          <w:sz w:val="22"/>
        </w:rPr>
        <w:t>J Ment Health Policy Econ</w:t>
      </w:r>
      <w:r w:rsidRPr="0006351E">
        <w:rPr>
          <w:color w:val="222222"/>
          <w:sz w:val="22"/>
        </w:rPr>
        <w:t xml:space="preserve">, </w:t>
      </w:r>
      <w:r w:rsidRPr="0006351E">
        <w:rPr>
          <w:i/>
          <w:color w:val="222222"/>
          <w:sz w:val="22"/>
        </w:rPr>
        <w:t>19</w:t>
      </w:r>
      <w:r w:rsidRPr="0006351E">
        <w:rPr>
          <w:color w:val="222222"/>
          <w:sz w:val="22"/>
        </w:rPr>
        <w:t>, 91-101.</w:t>
      </w:r>
    </w:p>
    <w:p w:rsidR="00044D29" w:rsidRPr="00E424E8" w:rsidRDefault="00044D29" w:rsidP="0025086A">
      <w:pPr>
        <w:spacing w:line="276" w:lineRule="auto"/>
        <w:jc w:val="both"/>
        <w:rPr>
          <w:sz w:val="22"/>
          <w:szCs w:val="22"/>
        </w:rPr>
      </w:pPr>
    </w:p>
    <w:p w:rsidR="00044D29" w:rsidRPr="0006351E" w:rsidRDefault="00044D29" w:rsidP="0025086A">
      <w:pPr>
        <w:spacing w:line="276" w:lineRule="auto"/>
        <w:jc w:val="both"/>
        <w:rPr>
          <w:color w:val="222222"/>
          <w:sz w:val="22"/>
        </w:rPr>
      </w:pPr>
      <w:r w:rsidRPr="0006351E">
        <w:rPr>
          <w:color w:val="222222"/>
          <w:sz w:val="22"/>
        </w:rPr>
        <w:t xml:space="preserve">Wille, N., Badia, X., Bonsel, G., Burström, K., Cavrini, G., Devlin, N., ... &amp; Jelsma, J. (2010). Development of the EQ-5D-Y: a child-friendly version of the EQ-5D. </w:t>
      </w:r>
      <w:r w:rsidRPr="0006351E">
        <w:rPr>
          <w:i/>
          <w:color w:val="222222"/>
          <w:sz w:val="22"/>
        </w:rPr>
        <w:t>Quality of life research</w:t>
      </w:r>
      <w:r w:rsidRPr="0006351E">
        <w:rPr>
          <w:color w:val="222222"/>
          <w:sz w:val="22"/>
        </w:rPr>
        <w:t xml:space="preserve">, </w:t>
      </w:r>
      <w:r w:rsidRPr="0006351E">
        <w:rPr>
          <w:i/>
          <w:color w:val="222222"/>
          <w:sz w:val="22"/>
        </w:rPr>
        <w:t>19</w:t>
      </w:r>
      <w:r w:rsidRPr="0006351E">
        <w:rPr>
          <w:color w:val="222222"/>
          <w:sz w:val="22"/>
        </w:rPr>
        <w:t>(6), 875-886.</w:t>
      </w:r>
    </w:p>
    <w:p w:rsidR="00044D29" w:rsidRPr="00E424E8" w:rsidRDefault="00044D29" w:rsidP="0025086A">
      <w:pPr>
        <w:spacing w:line="276" w:lineRule="auto"/>
        <w:jc w:val="both"/>
        <w:rPr>
          <w:sz w:val="22"/>
          <w:szCs w:val="22"/>
        </w:rPr>
      </w:pPr>
    </w:p>
    <w:p w:rsidR="00044D29" w:rsidRPr="00E424E8" w:rsidRDefault="00044D29" w:rsidP="0025086A">
      <w:pPr>
        <w:pStyle w:val="Default"/>
        <w:spacing w:line="276" w:lineRule="auto"/>
        <w:jc w:val="both"/>
        <w:rPr>
          <w:rFonts w:ascii="Times New Roman" w:hAnsi="Times New Roman" w:cs="Times New Roman"/>
          <w:sz w:val="22"/>
          <w:szCs w:val="22"/>
        </w:rPr>
      </w:pPr>
      <w:r w:rsidRPr="00914430">
        <w:rPr>
          <w:rFonts w:ascii="Times New Roman" w:hAnsi="Times New Roman" w:cs="Times New Roman"/>
          <w:sz w:val="22"/>
          <w:szCs w:val="22"/>
        </w:rPr>
        <w:t>Young Minds. (2015).</w:t>
      </w:r>
      <w:r w:rsidRPr="00914430">
        <w:rPr>
          <w:rFonts w:ascii="Times New Roman" w:hAnsi="Times New Roman" w:cs="Times New Roman"/>
          <w:i/>
          <w:sz w:val="22"/>
          <w:szCs w:val="22"/>
        </w:rPr>
        <w:t xml:space="preserve"> </w:t>
      </w:r>
      <w:r w:rsidRPr="00914430">
        <w:rPr>
          <w:rFonts w:ascii="Times New Roman" w:hAnsi="Times New Roman" w:cs="Times New Roman"/>
          <w:sz w:val="22"/>
          <w:szCs w:val="22"/>
        </w:rPr>
        <w:t xml:space="preserve">CAMHS </w:t>
      </w:r>
      <w:r w:rsidRPr="00914430">
        <w:rPr>
          <w:rFonts w:ascii="Times New Roman" w:hAnsi="Times New Roman" w:cs="Times New Roman"/>
          <w:iCs/>
          <w:sz w:val="22"/>
          <w:szCs w:val="22"/>
        </w:rPr>
        <w:t>Freedom of Information Press Release.</w:t>
      </w:r>
      <w:r w:rsidRPr="00914430">
        <w:rPr>
          <w:rFonts w:ascii="Times New Roman" w:hAnsi="Times New Roman" w:cs="Times New Roman"/>
          <w:i/>
          <w:iCs/>
          <w:sz w:val="22"/>
          <w:szCs w:val="22"/>
        </w:rPr>
        <w:t xml:space="preserve"> </w:t>
      </w:r>
      <w:r w:rsidRPr="00E424E8">
        <w:rPr>
          <w:rFonts w:ascii="Times New Roman" w:hAnsi="Times New Roman" w:cs="Times New Roman"/>
          <w:i/>
          <w:sz w:val="22"/>
          <w:szCs w:val="22"/>
        </w:rPr>
        <w:t>London: Young Minds.</w:t>
      </w:r>
      <w:r w:rsidRPr="00E424E8">
        <w:rPr>
          <w:rFonts w:ascii="Times New Roman" w:hAnsi="Times New Roman" w:cs="Times New Roman"/>
          <w:sz w:val="22"/>
          <w:szCs w:val="22"/>
        </w:rPr>
        <w:t xml:space="preserve"> </w:t>
      </w:r>
    </w:p>
    <w:p w:rsidR="00044D29" w:rsidRPr="0006351E" w:rsidRDefault="00044D29" w:rsidP="0025086A">
      <w:pPr>
        <w:pStyle w:val="Default"/>
        <w:spacing w:line="276" w:lineRule="auto"/>
        <w:jc w:val="both"/>
        <w:rPr>
          <w:sz w:val="22"/>
        </w:rPr>
      </w:pPr>
      <w:r w:rsidRPr="00E424E8">
        <w:rPr>
          <w:rFonts w:ascii="Times New Roman" w:hAnsi="Times New Roman" w:cs="Times New Roman"/>
          <w:sz w:val="22"/>
          <w:szCs w:val="22"/>
        </w:rPr>
        <w:br/>
      </w:r>
    </w:p>
    <w:p w:rsidR="00044D29" w:rsidRDefault="00044D29" w:rsidP="0025086A">
      <w:pPr>
        <w:spacing w:line="276" w:lineRule="auto"/>
        <w:jc w:val="both"/>
        <w:rPr>
          <w:b/>
          <w:sz w:val="22"/>
          <w:szCs w:val="22"/>
        </w:rPr>
      </w:pPr>
    </w:p>
    <w:sectPr w:rsidR="00044D2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230" w:rsidRDefault="00993230" w:rsidP="0025086A">
      <w:r>
        <w:separator/>
      </w:r>
    </w:p>
  </w:endnote>
  <w:endnote w:type="continuationSeparator" w:id="0">
    <w:p w:rsidR="00993230" w:rsidRDefault="00993230" w:rsidP="0025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400609"/>
      <w:docPartObj>
        <w:docPartGallery w:val="Page Numbers (Bottom of Page)"/>
        <w:docPartUnique/>
      </w:docPartObj>
    </w:sdtPr>
    <w:sdtEndPr>
      <w:rPr>
        <w:noProof/>
      </w:rPr>
    </w:sdtEndPr>
    <w:sdtContent>
      <w:p w:rsidR="0025086A" w:rsidRDefault="0025086A">
        <w:pPr>
          <w:pStyle w:val="Footer"/>
          <w:jc w:val="center"/>
        </w:pPr>
        <w:r>
          <w:fldChar w:fldCharType="begin"/>
        </w:r>
        <w:r>
          <w:instrText xml:space="preserve"> PAGE   \* MERGEFORMAT </w:instrText>
        </w:r>
        <w:r>
          <w:fldChar w:fldCharType="separate"/>
        </w:r>
        <w:r w:rsidR="00CC572D">
          <w:rPr>
            <w:noProof/>
          </w:rPr>
          <w:t>1</w:t>
        </w:r>
        <w:r>
          <w:rPr>
            <w:noProof/>
          </w:rPr>
          <w:fldChar w:fldCharType="end"/>
        </w:r>
      </w:p>
    </w:sdtContent>
  </w:sdt>
  <w:p w:rsidR="0025086A" w:rsidRDefault="00250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230" w:rsidRDefault="00993230" w:rsidP="0025086A">
      <w:r>
        <w:separator/>
      </w:r>
    </w:p>
  </w:footnote>
  <w:footnote w:type="continuationSeparator" w:id="0">
    <w:p w:rsidR="00993230" w:rsidRDefault="00993230" w:rsidP="00250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86A" w:rsidRDefault="0025086A">
    <w:pPr>
      <w:pStyle w:val="Header"/>
      <w:rPr>
        <w:lang w:val="en-GB"/>
      </w:rPr>
    </w:pPr>
    <w:r>
      <w:rPr>
        <w:lang w:val="en-GB"/>
      </w:rPr>
      <w:t xml:space="preserve">Cluster Overview Paper </w:t>
    </w:r>
  </w:p>
  <w:p w:rsidR="0025086A" w:rsidRPr="0025086A" w:rsidRDefault="0025086A">
    <w:pPr>
      <w:pStyle w:val="Header"/>
      <w:rPr>
        <w:lang w:val="en-GB"/>
      </w:rPr>
    </w:pPr>
    <w:r>
      <w:rPr>
        <w:lang w:val="en-GB"/>
      </w:rPr>
      <w:t>19/05/2020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12"/>
    <w:rsid w:val="00044D29"/>
    <w:rsid w:val="00180121"/>
    <w:rsid w:val="0025086A"/>
    <w:rsid w:val="0051797D"/>
    <w:rsid w:val="00717F30"/>
    <w:rsid w:val="00774112"/>
    <w:rsid w:val="00993230"/>
    <w:rsid w:val="00C96ABF"/>
    <w:rsid w:val="00CC572D"/>
    <w:rsid w:val="00F540F4"/>
    <w:rsid w:val="00FC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0445B-F9BA-449D-BCD1-FBDE8480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11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74112"/>
    <w:pPr>
      <w:keepNext/>
      <w:spacing w:after="200"/>
    </w:pPr>
    <w:rPr>
      <w:b/>
      <w:iCs/>
      <w:color w:val="1F497D" w:themeColor="text2"/>
    </w:rPr>
  </w:style>
  <w:style w:type="table" w:customStyle="1" w:styleId="TableGridLight1">
    <w:name w:val="Table Grid Light1"/>
    <w:basedOn w:val="TableNormal"/>
    <w:uiPriority w:val="40"/>
    <w:rsid w:val="00F540F4"/>
    <w:pPr>
      <w:spacing w:after="0" w:line="240" w:lineRule="auto"/>
    </w:pPr>
    <w:rPr>
      <w:rFonts w:ascii="Arial" w:hAnsi="Arial"/>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44D2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5086A"/>
    <w:pPr>
      <w:tabs>
        <w:tab w:val="center" w:pos="4513"/>
        <w:tab w:val="right" w:pos="9026"/>
      </w:tabs>
    </w:pPr>
  </w:style>
  <w:style w:type="character" w:customStyle="1" w:styleId="HeaderChar">
    <w:name w:val="Header Char"/>
    <w:basedOn w:val="DefaultParagraphFont"/>
    <w:link w:val="Header"/>
    <w:uiPriority w:val="99"/>
    <w:rsid w:val="0025086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086A"/>
    <w:pPr>
      <w:tabs>
        <w:tab w:val="center" w:pos="4513"/>
        <w:tab w:val="right" w:pos="9026"/>
      </w:tabs>
    </w:pPr>
  </w:style>
  <w:style w:type="character" w:customStyle="1" w:styleId="FooterChar">
    <w:name w:val="Footer Char"/>
    <w:basedOn w:val="DefaultParagraphFont"/>
    <w:link w:val="Footer"/>
    <w:uiPriority w:val="99"/>
    <w:rsid w:val="0025086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5453-60FF-4A84-8815-9519F32F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5754</Words>
  <Characters>32801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LYPFT</Company>
  <LinksUpToDate>false</LinksUpToDate>
  <CharactersWithSpaces>38479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Garside</dc:creator>
  <cp:lastModifiedBy>kc528</cp:lastModifiedBy>
  <cp:revision>2</cp:revision>
  <dcterms:created xsi:type="dcterms:W3CDTF">2020-05-20T14:06:00Z</dcterms:created>
  <dcterms:modified xsi:type="dcterms:W3CDTF">2020-05-20T14:06:00Z</dcterms:modified>
</cp:coreProperties>
</file>