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C72E7" w14:textId="690E3A69" w:rsidR="00F116E8" w:rsidRPr="00AF7942" w:rsidRDefault="00F116E8" w:rsidP="00FB35D3">
      <w:pPr>
        <w:jc w:val="center"/>
      </w:pPr>
    </w:p>
    <w:p w14:paraId="5981E628" w14:textId="384F9DF4" w:rsidR="009F5FFE" w:rsidRPr="00804121" w:rsidRDefault="00B60F28" w:rsidP="00F035DD">
      <w:pPr>
        <w:pStyle w:val="Articletitle"/>
      </w:pPr>
      <w:r w:rsidRPr="00804121">
        <w:t>The association between c</w:t>
      </w:r>
      <w:r w:rsidR="009F5FFE" w:rsidRPr="00804121">
        <w:t xml:space="preserve">ommunication impairments </w:t>
      </w:r>
      <w:r w:rsidR="00810E42" w:rsidRPr="00804121">
        <w:t>and</w:t>
      </w:r>
      <w:r w:rsidR="009F5FFE" w:rsidRPr="00804121">
        <w:t xml:space="preserve"> </w:t>
      </w:r>
      <w:r w:rsidR="00BD386C" w:rsidRPr="00804121">
        <w:t xml:space="preserve">acquired </w:t>
      </w:r>
      <w:r w:rsidR="009F5FFE" w:rsidRPr="00804121">
        <w:t xml:space="preserve">alexithymia in </w:t>
      </w:r>
      <w:r w:rsidR="00656A72" w:rsidRPr="00804121">
        <w:t xml:space="preserve">chronic </w:t>
      </w:r>
      <w:r w:rsidR="009F5FFE" w:rsidRPr="00804121">
        <w:t>stroke patients</w:t>
      </w:r>
    </w:p>
    <w:p w14:paraId="67676911" w14:textId="0E0253B2" w:rsidR="00EA4B2A" w:rsidRPr="00804121" w:rsidRDefault="00EA4B2A" w:rsidP="00F035DD">
      <w:pPr>
        <w:pStyle w:val="Authornames"/>
        <w:rPr>
          <w:vertAlign w:val="superscript"/>
        </w:rPr>
      </w:pPr>
      <w:r w:rsidRPr="00804121">
        <w:t>Authors:</w:t>
      </w:r>
      <w:r w:rsidR="00FA4165" w:rsidRPr="00804121">
        <w:t xml:space="preserve"> Hannah </w:t>
      </w:r>
      <w:proofErr w:type="spellStart"/>
      <w:r w:rsidR="00FA4165" w:rsidRPr="00804121">
        <w:t>Hobson</w:t>
      </w:r>
      <w:r w:rsidR="00FF00D9" w:rsidRPr="00804121">
        <w:rPr>
          <w:vertAlign w:val="superscript"/>
        </w:rPr>
        <w:t>a</w:t>
      </w:r>
      <w:proofErr w:type="spellEnd"/>
      <w:r w:rsidR="00CB1A09" w:rsidRPr="00804121">
        <w:rPr>
          <w:vertAlign w:val="superscript"/>
        </w:rPr>
        <w:t>, b</w:t>
      </w:r>
      <w:r w:rsidR="007F4E1A" w:rsidRPr="00804121">
        <w:rPr>
          <w:vertAlign w:val="superscript"/>
        </w:rPr>
        <w:t>*</w:t>
      </w:r>
      <w:r w:rsidR="00B60F28" w:rsidRPr="00804121">
        <w:t xml:space="preserve">, </w:t>
      </w:r>
      <w:r w:rsidR="005154B2" w:rsidRPr="00804121">
        <w:t xml:space="preserve">Evangeline </w:t>
      </w:r>
      <w:r w:rsidR="00B60F28" w:rsidRPr="00804121">
        <w:t xml:space="preserve">Grace </w:t>
      </w:r>
      <w:proofErr w:type="spellStart"/>
      <w:r w:rsidR="00B60F28" w:rsidRPr="00804121">
        <w:t>Chiu</w:t>
      </w:r>
      <w:r w:rsidR="00CB1A09" w:rsidRPr="00804121">
        <w:rPr>
          <w:vertAlign w:val="superscript"/>
        </w:rPr>
        <w:t>c</w:t>
      </w:r>
      <w:proofErr w:type="spellEnd"/>
      <w:r w:rsidR="00B60F28" w:rsidRPr="00804121">
        <w:t xml:space="preserve">, </w:t>
      </w:r>
      <w:r w:rsidR="00463C42" w:rsidRPr="00804121">
        <w:rPr>
          <w:color w:val="212121"/>
          <w:shd w:val="clear" w:color="auto" w:fill="FFFFFF"/>
        </w:rPr>
        <w:t xml:space="preserve">Chloe </w:t>
      </w:r>
      <w:proofErr w:type="spellStart"/>
      <w:r w:rsidR="00463C42" w:rsidRPr="00804121">
        <w:rPr>
          <w:color w:val="212121"/>
          <w:shd w:val="clear" w:color="auto" w:fill="FFFFFF"/>
        </w:rPr>
        <w:t>Ravenscroft</w:t>
      </w:r>
      <w:r w:rsidR="00CB1A09" w:rsidRPr="00804121">
        <w:rPr>
          <w:vertAlign w:val="superscript"/>
        </w:rPr>
        <w:t>c</w:t>
      </w:r>
      <w:proofErr w:type="spellEnd"/>
      <w:r w:rsidR="00463C42" w:rsidRPr="00804121">
        <w:t xml:space="preserve">, </w:t>
      </w:r>
      <w:r w:rsidR="00FF00D9" w:rsidRPr="00804121">
        <w:t xml:space="preserve">Kate </w:t>
      </w:r>
      <w:proofErr w:type="spellStart"/>
      <w:r w:rsidR="00A13E57" w:rsidRPr="00804121">
        <w:t>Partridge</w:t>
      </w:r>
      <w:r w:rsidR="00CB1A09" w:rsidRPr="00804121">
        <w:rPr>
          <w:vertAlign w:val="superscript"/>
        </w:rPr>
        <w:t>c</w:t>
      </w:r>
      <w:proofErr w:type="spellEnd"/>
      <w:r w:rsidR="00B60F28" w:rsidRPr="00804121">
        <w:t>, Geoff</w:t>
      </w:r>
      <w:r w:rsidR="00EE6C97" w:rsidRPr="00804121">
        <w:t>rey</w:t>
      </w:r>
      <w:r w:rsidR="00B60F28" w:rsidRPr="00804121">
        <w:t xml:space="preserve"> Bird</w:t>
      </w:r>
      <w:r w:rsidR="00FF00D9" w:rsidRPr="00804121">
        <w:t xml:space="preserve"> </w:t>
      </w:r>
      <w:r w:rsidR="00CB1A09" w:rsidRPr="00804121">
        <w:rPr>
          <w:vertAlign w:val="superscript"/>
        </w:rPr>
        <w:t>c</w:t>
      </w:r>
      <w:r w:rsidR="00C74630" w:rsidRPr="00804121">
        <w:rPr>
          <w:vertAlign w:val="superscript"/>
        </w:rPr>
        <w:t xml:space="preserve">, </w:t>
      </w:r>
      <w:r w:rsidR="00CB1A09" w:rsidRPr="00804121">
        <w:rPr>
          <w:vertAlign w:val="superscript"/>
        </w:rPr>
        <w:t>d</w:t>
      </w:r>
      <w:r w:rsidR="00B60F28" w:rsidRPr="00804121">
        <w:t xml:space="preserve">, </w:t>
      </w:r>
      <w:proofErr w:type="spellStart"/>
      <w:r w:rsidR="00B60F28" w:rsidRPr="00804121">
        <w:t>Nele</w:t>
      </w:r>
      <w:proofErr w:type="spellEnd"/>
      <w:r w:rsidR="00B60F28" w:rsidRPr="00804121">
        <w:t xml:space="preserve"> </w:t>
      </w:r>
      <w:proofErr w:type="spellStart"/>
      <w:r w:rsidR="00B60F28" w:rsidRPr="00804121">
        <w:t>Demeyere</w:t>
      </w:r>
      <w:r w:rsidR="00CB1A09" w:rsidRPr="00804121">
        <w:rPr>
          <w:vertAlign w:val="superscript"/>
        </w:rPr>
        <w:t>c</w:t>
      </w:r>
      <w:proofErr w:type="spellEnd"/>
    </w:p>
    <w:p w14:paraId="4CA2917F" w14:textId="6E3D1A19" w:rsidR="00FF00D9" w:rsidRPr="00804121" w:rsidRDefault="00FF00D9" w:rsidP="00F035DD">
      <w:pPr>
        <w:pStyle w:val="Affiliation"/>
      </w:pPr>
      <w:r w:rsidRPr="00804121">
        <w:rPr>
          <w:vertAlign w:val="superscript"/>
        </w:rPr>
        <w:t>a</w:t>
      </w:r>
      <w:r w:rsidRPr="00804121">
        <w:t xml:space="preserve"> </w:t>
      </w:r>
      <w:r w:rsidR="00EF4215" w:rsidRPr="00804121">
        <w:t xml:space="preserve">Department of </w:t>
      </w:r>
      <w:r w:rsidR="00CB1A09" w:rsidRPr="00804121">
        <w:t>Psychology, University of York, York, YO10 5DD</w:t>
      </w:r>
    </w:p>
    <w:p w14:paraId="21C8E60A" w14:textId="6B2461F6" w:rsidR="00CB1A09" w:rsidRPr="00804121" w:rsidRDefault="00CB1A09" w:rsidP="00F035DD">
      <w:pPr>
        <w:pStyle w:val="Affiliation"/>
      </w:pPr>
      <w:r w:rsidRPr="00804121">
        <w:rPr>
          <w:vertAlign w:val="superscript"/>
        </w:rPr>
        <w:t xml:space="preserve">b </w:t>
      </w:r>
      <w:r w:rsidRPr="00804121">
        <w:t>Department of Psychology Social Work &amp; Counselling, University of Greenwich, Old Royal Naval College, Park Row, Greenwich, London SE10 9LS</w:t>
      </w:r>
    </w:p>
    <w:p w14:paraId="08C3C1B1" w14:textId="485A9A49" w:rsidR="00FF00D9" w:rsidRPr="00804121" w:rsidRDefault="0067458C" w:rsidP="00F035DD">
      <w:pPr>
        <w:pStyle w:val="Affiliation"/>
      </w:pPr>
      <w:r w:rsidRPr="00804121">
        <w:rPr>
          <w:vertAlign w:val="superscript"/>
        </w:rPr>
        <w:t>c</w:t>
      </w:r>
      <w:r w:rsidR="00EF4215" w:rsidRPr="00804121">
        <w:t xml:space="preserve"> Department of Experimental Psychology, Anna Watts Building, Radcliffe Observatory Quarter, Woodstock Road, Oxford, OX2 6GG</w:t>
      </w:r>
    </w:p>
    <w:p w14:paraId="0DCE6A3F" w14:textId="147B9C7E" w:rsidR="00C74630" w:rsidRPr="00804121" w:rsidRDefault="0067458C" w:rsidP="00F035DD">
      <w:pPr>
        <w:pStyle w:val="Affiliation"/>
      </w:pPr>
      <w:r w:rsidRPr="00804121">
        <w:rPr>
          <w:vertAlign w:val="superscript"/>
        </w:rPr>
        <w:t>d</w:t>
      </w:r>
      <w:r w:rsidR="00C74630" w:rsidRPr="00804121">
        <w:t xml:space="preserve"> Social, Genetic and Developmental Psychiatry Centre, Institute of Psychiatry, Psychology and Neuroscience, De </w:t>
      </w:r>
      <w:proofErr w:type="spellStart"/>
      <w:r w:rsidR="00C74630" w:rsidRPr="00804121">
        <w:t>Crespigny</w:t>
      </w:r>
      <w:proofErr w:type="spellEnd"/>
      <w:r w:rsidR="00C74630" w:rsidRPr="00804121">
        <w:t xml:space="preserve"> Park, Denmark Hill, London, SE5 8AF</w:t>
      </w:r>
    </w:p>
    <w:p w14:paraId="327D590F" w14:textId="77777777" w:rsidR="00C74630" w:rsidRPr="00804121" w:rsidRDefault="00C74630" w:rsidP="00FF00D9"/>
    <w:p w14:paraId="326F00E0" w14:textId="5B8EF771" w:rsidR="00BC141B" w:rsidRPr="00804121" w:rsidRDefault="007F4E1A" w:rsidP="00F035DD">
      <w:pPr>
        <w:pStyle w:val="Correspondencedetails"/>
        <w:rPr>
          <w:bCs/>
        </w:rPr>
      </w:pPr>
      <w:r w:rsidRPr="00804121">
        <w:rPr>
          <w:b/>
        </w:rPr>
        <w:t>*Corresponding author</w:t>
      </w:r>
      <w:r w:rsidR="00351E10" w:rsidRPr="00804121">
        <w:rPr>
          <w:b/>
        </w:rPr>
        <w:t xml:space="preserve"> </w:t>
      </w:r>
      <w:r w:rsidR="00CB1A09" w:rsidRPr="00804121">
        <w:rPr>
          <w:b/>
        </w:rPr>
        <w:t xml:space="preserve">address, telephone and </w:t>
      </w:r>
      <w:r w:rsidR="00351E10" w:rsidRPr="00804121">
        <w:rPr>
          <w:b/>
        </w:rPr>
        <w:t>email:</w:t>
      </w:r>
      <w:r w:rsidR="00CB1A09" w:rsidRPr="00804121">
        <w:rPr>
          <w:b/>
        </w:rPr>
        <w:t xml:space="preserve"> </w:t>
      </w:r>
      <w:r w:rsidR="00CB1A09" w:rsidRPr="00804121">
        <w:t xml:space="preserve">Department of Psychology, University of York, York, YO10 5DD, Tel: 01904 323190, Email: </w:t>
      </w:r>
      <w:hyperlink r:id="rId11" w:history="1">
        <w:r w:rsidR="00CB1A09" w:rsidRPr="00804121">
          <w:rPr>
            <w:rStyle w:val="Hyperlink"/>
            <w:bCs/>
          </w:rPr>
          <w:t>hannah.hobson@york.ac.uk</w:t>
        </w:r>
      </w:hyperlink>
      <w:r w:rsidR="00CB1A09" w:rsidRPr="00804121">
        <w:rPr>
          <w:bCs/>
        </w:rPr>
        <w:t xml:space="preserve"> </w:t>
      </w:r>
      <w:r w:rsidR="00351E10" w:rsidRPr="00804121">
        <w:rPr>
          <w:bCs/>
        </w:rPr>
        <w:t xml:space="preserve"> </w:t>
      </w:r>
    </w:p>
    <w:p w14:paraId="0103E37D" w14:textId="58F98164" w:rsidR="00CB1A09" w:rsidRPr="00804121" w:rsidRDefault="00CB1A09" w:rsidP="007F4E1A">
      <w:pPr>
        <w:jc w:val="both"/>
        <w:rPr>
          <w:bCs/>
        </w:rPr>
      </w:pPr>
      <w:r w:rsidRPr="00804121">
        <w:rPr>
          <w:bCs/>
        </w:rPr>
        <w:t>Word count for abstract and manuscript text</w:t>
      </w:r>
      <w:r w:rsidR="001F1C69" w:rsidRPr="00804121">
        <w:rPr>
          <w:bCs/>
        </w:rPr>
        <w:t xml:space="preserve"> (excludes references and tables/figures)</w:t>
      </w:r>
      <w:r w:rsidRPr="00804121">
        <w:rPr>
          <w:bCs/>
        </w:rPr>
        <w:t xml:space="preserve">: </w:t>
      </w:r>
      <w:r w:rsidR="001F1C69" w:rsidRPr="00804121">
        <w:rPr>
          <w:bCs/>
        </w:rPr>
        <w:t>5</w:t>
      </w:r>
      <w:r w:rsidR="0077212A" w:rsidRPr="00804121">
        <w:rPr>
          <w:bCs/>
        </w:rPr>
        <w:t>160</w:t>
      </w:r>
    </w:p>
    <w:p w14:paraId="79D5C924" w14:textId="051A254E" w:rsidR="007F4E1A" w:rsidRPr="00804121" w:rsidRDefault="007F4E1A">
      <w:pPr>
        <w:rPr>
          <w:b/>
        </w:rPr>
      </w:pPr>
      <w:r w:rsidRPr="00804121">
        <w:rPr>
          <w:b/>
        </w:rPr>
        <w:br w:type="page"/>
      </w:r>
    </w:p>
    <w:p w14:paraId="5715C85F" w14:textId="77777777" w:rsidR="00CB1A09" w:rsidRPr="00804121" w:rsidRDefault="00CB1A09">
      <w:pPr>
        <w:rPr>
          <w:b/>
        </w:rPr>
      </w:pPr>
    </w:p>
    <w:p w14:paraId="1A5FF488" w14:textId="21DB6C48" w:rsidR="009F5FFE" w:rsidRPr="00804121" w:rsidRDefault="00FA4165" w:rsidP="00F035DD">
      <w:pPr>
        <w:pStyle w:val="Heading1"/>
      </w:pPr>
      <w:r w:rsidRPr="00804121">
        <w:t>Abstract</w:t>
      </w:r>
    </w:p>
    <w:p w14:paraId="55899801" w14:textId="366AAC98" w:rsidR="00FA4165" w:rsidRPr="00804121" w:rsidRDefault="00560E5C" w:rsidP="00A553A4">
      <w:pPr>
        <w:pStyle w:val="Abstract"/>
        <w:jc w:val="both"/>
      </w:pPr>
      <w:r w:rsidRPr="00804121">
        <w:t>Introduction</w:t>
      </w:r>
      <w:r w:rsidR="0067458C" w:rsidRPr="00804121">
        <w:t xml:space="preserve">: </w:t>
      </w:r>
      <w:r w:rsidR="00D72741" w:rsidRPr="00804121">
        <w:t xml:space="preserve">Language dysfunction has recently been suggested to be one route to alexithymia, an impairment in recognising and communicating one’s own emotions. Neuropsychological evidence is needed to investigate the possibility that acquired language problems could underlie acquired alexithymia. </w:t>
      </w:r>
      <w:r w:rsidR="00BD31E7" w:rsidRPr="00804121">
        <w:t xml:space="preserve">Method: </w:t>
      </w:r>
      <w:r w:rsidR="00D72741" w:rsidRPr="00804121">
        <w:t>This project examined data from</w:t>
      </w:r>
      <w:r w:rsidR="00656A72" w:rsidRPr="00804121">
        <w:t xml:space="preserve"> a large group of chronic</w:t>
      </w:r>
      <w:r w:rsidR="00D72741" w:rsidRPr="00804121">
        <w:t xml:space="preserve"> stroke patients (</w:t>
      </w:r>
      <w:r w:rsidR="00D72741" w:rsidRPr="00804121">
        <w:rPr>
          <w:i/>
        </w:rPr>
        <w:t>N</w:t>
      </w:r>
      <w:r w:rsidR="007C776E" w:rsidRPr="00804121">
        <w:rPr>
          <w:i/>
        </w:rPr>
        <w:t xml:space="preserve"> </w:t>
      </w:r>
      <w:r w:rsidR="00D72741" w:rsidRPr="00804121">
        <w:t>=</w:t>
      </w:r>
      <w:r w:rsidR="00F607EB" w:rsidRPr="00804121">
        <w:t>118</w:t>
      </w:r>
      <w:r w:rsidR="00D72741" w:rsidRPr="00804121">
        <w:t xml:space="preserve">) to test whether self-reported or behavioural measures of language and communication problems were associated with alexithymia. </w:t>
      </w:r>
      <w:r w:rsidR="00D60B1C" w:rsidRPr="00804121">
        <w:t xml:space="preserve">We also examined the impact of hemisphere of damage on alexithymia. </w:t>
      </w:r>
      <w:r w:rsidR="00BD31E7" w:rsidRPr="00804121">
        <w:t xml:space="preserve">Results: </w:t>
      </w:r>
      <w:r w:rsidR="00FB16A7" w:rsidRPr="00804121">
        <w:t>We found no differences in alexithymia levels for patients with observed language impairments on brief tests of picture naming</w:t>
      </w:r>
      <w:r w:rsidR="0043273B" w:rsidRPr="00804121">
        <w:t>, comprehension</w:t>
      </w:r>
      <w:r w:rsidR="00FB16A7" w:rsidRPr="00804121">
        <w:t xml:space="preserve"> and reading vs unimpaired patients. However, s</w:t>
      </w:r>
      <w:r w:rsidR="00D72741" w:rsidRPr="00804121">
        <w:t xml:space="preserve">elf-reported communication </w:t>
      </w:r>
      <w:r w:rsidR="00656A72" w:rsidRPr="00804121">
        <w:t xml:space="preserve">difficulties </w:t>
      </w:r>
      <w:r w:rsidR="00D72741" w:rsidRPr="00804121">
        <w:t>w</w:t>
      </w:r>
      <w:r w:rsidR="00FB16A7" w:rsidRPr="00804121">
        <w:t>ere</w:t>
      </w:r>
      <w:r w:rsidR="00656A72" w:rsidRPr="00804121">
        <w:t xml:space="preserve"> found to be</w:t>
      </w:r>
      <w:r w:rsidR="00D72741" w:rsidRPr="00804121">
        <w:t xml:space="preserve"> associated with </w:t>
      </w:r>
      <w:r w:rsidR="00FB16A7" w:rsidRPr="00804121">
        <w:t xml:space="preserve">higher scores of </w:t>
      </w:r>
      <w:r w:rsidR="00D72741" w:rsidRPr="00804121">
        <w:t>alexithymia</w:t>
      </w:r>
      <w:r w:rsidR="00991EF9" w:rsidRPr="00804121">
        <w:t>, even after controlling for depression and anxiety</w:t>
      </w:r>
      <w:r w:rsidR="00D72741" w:rsidRPr="00804121">
        <w:t xml:space="preserve">. </w:t>
      </w:r>
      <w:r w:rsidR="00D60B1C" w:rsidRPr="00804121">
        <w:t xml:space="preserve">Patients with left versus right hemisphere damage did not differ in their alexithymia scores. </w:t>
      </w:r>
      <w:r w:rsidR="00BD31E7" w:rsidRPr="00804121">
        <w:t xml:space="preserve">Conclusions: </w:t>
      </w:r>
      <w:r w:rsidR="00991EF9" w:rsidRPr="00804121">
        <w:t xml:space="preserve">We found partial support for the language hypothesis of alexithymia. </w:t>
      </w:r>
      <w:r w:rsidR="00D72741" w:rsidRPr="00804121">
        <w:t xml:space="preserve">We discuss potential reasons for the discrepant findings between the self-report and objective language </w:t>
      </w:r>
      <w:proofErr w:type="gramStart"/>
      <w:r w:rsidR="00D72741" w:rsidRPr="00804121">
        <w:t>measures, and</w:t>
      </w:r>
      <w:proofErr w:type="gramEnd"/>
      <w:r w:rsidR="00D72741" w:rsidRPr="00804121">
        <w:t xml:space="preserve"> suggest that self-report measures may be more sensitive to milder, more pragmatic</w:t>
      </w:r>
      <w:r w:rsidR="007C776E" w:rsidRPr="00804121">
        <w:t xml:space="preserve"> language</w:t>
      </w:r>
      <w:r w:rsidR="00D72741" w:rsidRPr="00804121">
        <w:t xml:space="preserve"> impairments</w:t>
      </w:r>
      <w:r w:rsidR="007C776E" w:rsidRPr="00804121">
        <w:t>,</w:t>
      </w:r>
      <w:r w:rsidR="00D72741" w:rsidRPr="00804121">
        <w:t xml:space="preserve"> as opposed to the </w:t>
      </w:r>
      <w:r w:rsidR="00AC0BC6" w:rsidRPr="00804121">
        <w:t xml:space="preserve">severe </w:t>
      </w:r>
      <w:r w:rsidR="00D72741" w:rsidRPr="00804121">
        <w:t xml:space="preserve">structural language </w:t>
      </w:r>
      <w:r w:rsidR="007C776E" w:rsidRPr="00804121">
        <w:t xml:space="preserve">impairments </w:t>
      </w:r>
      <w:r w:rsidR="005943AA" w:rsidRPr="00804121">
        <w:t xml:space="preserve">measured by the </w:t>
      </w:r>
      <w:r w:rsidR="00FB16A7" w:rsidRPr="00804121">
        <w:t xml:space="preserve">cognitive screening </w:t>
      </w:r>
      <w:r w:rsidR="005943AA" w:rsidRPr="00804121">
        <w:t xml:space="preserve">tests. </w:t>
      </w:r>
    </w:p>
    <w:p w14:paraId="268A3A08" w14:textId="7BB620C9" w:rsidR="00AB5C06" w:rsidRPr="00804121" w:rsidRDefault="00AB5C06" w:rsidP="00F035DD">
      <w:pPr>
        <w:pStyle w:val="Keywords"/>
      </w:pPr>
      <w:r w:rsidRPr="00804121">
        <w:rPr>
          <w:b/>
        </w:rPr>
        <w:t>Keywords:</w:t>
      </w:r>
      <w:r w:rsidR="000C5732" w:rsidRPr="00804121">
        <w:rPr>
          <w:b/>
        </w:rPr>
        <w:t xml:space="preserve"> </w:t>
      </w:r>
      <w:r w:rsidR="000C5732" w:rsidRPr="00804121">
        <w:t>Acquired brain injury; Language; Emotional awareness; Neuropsychology; Aphasia; Emotional impairments.</w:t>
      </w:r>
      <w:r w:rsidRPr="00804121">
        <w:br w:type="page"/>
      </w:r>
    </w:p>
    <w:p w14:paraId="53CE1196" w14:textId="23857CFD" w:rsidR="00F607EB" w:rsidRPr="00804121" w:rsidRDefault="00F607EB" w:rsidP="00F035DD">
      <w:pPr>
        <w:pStyle w:val="Articletitle"/>
      </w:pPr>
      <w:r w:rsidRPr="00804121">
        <w:t>The association between communication impairments and acquired alexithymia in chronic stroke patients</w:t>
      </w:r>
    </w:p>
    <w:p w14:paraId="77ED648A" w14:textId="28D73F41" w:rsidR="00D03DA6" w:rsidRPr="00804121" w:rsidRDefault="00D03DA6" w:rsidP="00F035DD">
      <w:pPr>
        <w:pStyle w:val="Paragraph"/>
      </w:pPr>
      <w:r w:rsidRPr="00804121">
        <w:t xml:space="preserve">Alexithymia </w:t>
      </w:r>
      <w:r w:rsidR="00233638" w:rsidRPr="00804121">
        <w:t xml:space="preserve">is </w:t>
      </w:r>
      <w:r w:rsidR="008A20DE" w:rsidRPr="00804121">
        <w:t xml:space="preserve">the term used to describe </w:t>
      </w:r>
      <w:r w:rsidR="00233638" w:rsidRPr="00804121">
        <w:t>difficult</w:t>
      </w:r>
      <w:r w:rsidR="008A20DE" w:rsidRPr="00804121">
        <w:t>ies</w:t>
      </w:r>
      <w:r w:rsidR="00233638" w:rsidRPr="00804121">
        <w:t xml:space="preserve"> identifying and communicating one’s own emotions</w:t>
      </w:r>
      <w:r w:rsidR="00262E8E" w:rsidRPr="00804121">
        <w:t xml:space="preserve"> </w:t>
      </w:r>
      <w:r w:rsidR="00262E8E" w:rsidRPr="00804121">
        <w:fldChar w:fldCharType="begin" w:fldLock="1"/>
      </w:r>
      <w:r w:rsidR="0012726A" w:rsidRPr="00804121">
        <w:instrText>ADDIN CSL_CITATION { "citationItems" : [ { "id" : "ITEM-1", "itemData" : { "DOI" : "10.1016/S0033-3182(91)72086-0", "ISBN" : "0033-3182", "ISSN" : "00333182", "PMID" : "2027937", "abstract" : "During the past decade, the alexithymia construct has undergone theoretical refinement and empirical testing and has evolved into a potential new paradigm for understanding the influence of emotions and personality on physical illness and health. Like the traditional psychosomatic medicine paradigm, the alexithymia construct links susceptibility to disease with prolonged states of emotional arousal. But whereas the traditional paradigm emphasizes intrapsychic conflicts that are presumed to generate such emotional states, the alexithymia construct focuses attention on deficits in the cognitive processing of emotions, which remain undifferentiated and poorly regulated. This paper reviews the development and validation of the construct and discusses its clinical implications for psychosomatic medicine.", "author" : [ { "dropping-particle" : "", "family" : "Taylor", "given" : "G J", "non-dropping-particle" : "", "parse-names" : false, "suffix" : "" }, { "dropping-particle" : "", "family" : "Bagby", "given" : "R M", "non-dropping-particle" : "", "parse-names" : false, "suffix" : "" }, { "dropping-particle" : "", "family" : "Parker", "given" : "J D", "non-dropping-particle" : "", "parse-names" : false, "suffix" : "" } ], "container-title" : "Psychosomatics", "id" : "ITEM-1", "issue" : "2", "issued" : { "date-parts" : [ [ "1991" ] ] }, "page" : "153-164", "title" : "The alexithymia construct. A potential paradigm for psychosomatic medicine.", "type" : "article-journal", "volume" : "32" }, "uris" : [ "http://www.mendeley.com/documents/?uuid=11123b0f-4c7a-4537-903e-8dde8eee28de" ] } ], "mendeley" : { "formattedCitation" : "(Taylor, Bagby, &amp; Parker, 1991)", "plainTextFormattedCitation" : "(Taylor, Bagby, &amp; Parker, 1991)", "previouslyFormattedCitation" : "(Taylor, Bagby, &amp; Parker, 1991)" }, "properties" : { "noteIndex" : 0 }, "schema" : "https://github.com/citation-style-language/schema/raw/master/csl-citation.json" }</w:instrText>
      </w:r>
      <w:r w:rsidR="00262E8E" w:rsidRPr="00804121">
        <w:fldChar w:fldCharType="separate"/>
      </w:r>
      <w:r w:rsidR="00262E8E" w:rsidRPr="00804121">
        <w:rPr>
          <w:noProof/>
        </w:rPr>
        <w:t>(Taylor, Bagby, &amp; Parker, 1991)</w:t>
      </w:r>
      <w:r w:rsidR="00262E8E" w:rsidRPr="00804121">
        <w:fldChar w:fldCharType="end"/>
      </w:r>
      <w:r w:rsidR="00233638" w:rsidRPr="00804121">
        <w:t>. It is best considered a</w:t>
      </w:r>
      <w:r w:rsidR="008E6F98" w:rsidRPr="00804121">
        <w:t xml:space="preserve"> sub-clinical</w:t>
      </w:r>
      <w:r w:rsidR="00233638" w:rsidRPr="00804121">
        <w:t xml:space="preserve"> trait</w:t>
      </w:r>
      <w:r w:rsidR="00AF482B" w:rsidRPr="00804121">
        <w:t xml:space="preserve"> (</w:t>
      </w:r>
      <w:r w:rsidR="00D60B1C" w:rsidRPr="00804121">
        <w:t xml:space="preserve">it is </w:t>
      </w:r>
      <w:r w:rsidR="00AF482B" w:rsidRPr="00804121">
        <w:t>not a clinical condition in its own right)</w:t>
      </w:r>
      <w:r w:rsidR="00233638" w:rsidRPr="00804121">
        <w:t>, and is elevated across a range of psychiatric populations</w:t>
      </w:r>
      <w:r w:rsidR="00961BBB" w:rsidRPr="00804121">
        <w:t xml:space="preserve">, </w:t>
      </w:r>
      <w:r w:rsidR="008A20DE" w:rsidRPr="00804121">
        <w:t>including</w:t>
      </w:r>
      <w:r w:rsidR="00961BBB" w:rsidRPr="00804121">
        <w:t xml:space="preserve"> autism, eating disorders and schizophrenia </w:t>
      </w:r>
      <w:r w:rsidR="000A79C1" w:rsidRPr="00804121">
        <w:fldChar w:fldCharType="begin" w:fldLock="1"/>
      </w:r>
      <w:r w:rsidR="0012726A" w:rsidRPr="00804121">
        <w:instrText>ADDIN CSL_CITATION { "citationItems" : [ { "id" : "ITEM-1", "itemData" : { "DOI" : "10.1016/j.comppsych.2006.07.003", "ISBN" : "0010-440X", "ISSN" : "0010440X", "PMID" : "17145278", "abstract" : "Objective: Alexithymia refers to difficulties in emotionalizing, fantasizing, verbalizing, identifying, and analyzing emotions. The goal of this study was to investigate features of alexithymia in patients with schizophrenia. In addition, we investigated if alexithymia would be associated with vulnerability to schizophrenia, by studying unaffected first-degree relatives of schizophrenia patients. Furthermore, sex differences were taken into account. Method: Forty-three patients with schizophrenia, 32 unaffected siblings, and 44 healthy control subjects were compared on the Bermond-Vorst Alexithymia Questionnaire. Results: Results showed that male patients with schizophrenia, in particular, demonstrated a specific pattern of alexithymia, that is, difficulty identifying and verbalizing emotions, in the face of a higher subjective emotional arousal. Moreover, male siblings showed comparable problems in verbalizing their emotions as male patients. Conclusions: We suggest that these difficulties in aspects underlying affect regulation could account for the deficits in social functioning observed in schizophrenia and could contribute to a greater vulnerability for schizophrenia, in particular, for males. \u00a9 2007 Elsevier Inc. All rights reserved.", "author" : [ { "dropping-particle" : "", "family" : "'t Wout", "given" : "Mascha", "non-dropping-particle" : "van", "parse-names" : false, "suffix" : "" }, { "dropping-particle" : "", "family" : "Aleman", "given" : "Andr\u00e9", "non-dropping-particle" : "", "parse-names" : false, "suffix" : "" }, { "dropping-particle" : "", "family" : "Bermond", "given" : "Bob", "non-dropping-particle" : "", "parse-names" : false, "suffix" : "" }, { "dropping-particle" : "", "family" : "Kahn", "given" : "Ren\u00e9 S.", "non-dropping-particle" : "", "parse-names" : false, "suffix" : "" } ], "container-title" : "Comprehensive Psychiatry", "id" : "ITEM-1", "issue" : "1", "issued" : { "date-parts" : [ [ "2007" ] ] }, "page" : "27-33", "title" : "No words for feelings: alexithymia in schizophrenia patients and first-degree relatives", "type" : "article-journal", "volume" : "48" }, "uris" : [ "http://www.mendeley.com/documents/?uuid=d0e3726d-62af-4edd-8e85-2afc77b49e2e" ] }, { "id" : "ITEM-2", "itemData" : { "DOI" : "10.1016/0010-440X(93)90036-4", "ISBN" : "0010-440X", "ISSN" : "0010440X", "PMID" : "8425393", "abstract" : "The aims of the study were (1) to establish whether alexithymia is present in patients with bulimia nervosa (BN), (2) to compare bulimic patients with restricting anorexics (AN/R), bulimic anorexics (AN/R), and normal controls with regard to alexithymia, (3) to determine whether in BN patients alexithymia is a state or a trait, and (4) to see whether alexithymia predicts short-term treatment outcome in BN. Study 1 included 173 eating disorder patients (BN: n=93, AN/R: n=55, AN/R: n=25) who were compared with 95 controls on the Toronto Alexithymia Scale (TAS). Study 2 included 41 BN patients who were assessed prospectively with the TAS before and after a 10-week drug treatment. AN/R patients in study 1 had significantly higher alexithymia scores than BN patients. All three eating disorder groups had significantly higher alexithymia scores than controls. For BN patients in study 2, TAS scores before and after drug treatment were stable, despite significant symptomatic improvement. We conclude the following: (1) eating disorder patients are considerably more alexithymic than normal controls; and (2) in BN, alexithymia may be a trait, unaffected by clinical improvement unless psychological treatment, encouraging the expression of emotions is offered. ?? 1993.", "author" : [ { "dropping-particle" : "", "family" : "Schmidt", "given" : "Ulrike", "non-dropping-particle" : "", "parse-names" : false, "suffix" : "" }, { "dropping-particle" : "", "family" : "Jiwany", "given" : "Arif", "non-dropping-particle" : "", "parse-names" : false, "suffix" : "" }, { "dropping-particle" : "", "family" : "Treasure", "given" : "Janet", "non-dropping-particle" : "", "parse-names" : false, "suffix" : "" } ], "container-title" : "Comprehensive Psychiatry", "id" : "ITEM-2", "issue" : "1", "issued" : { "date-parts" : [ [ "1993" ] ] }, "page" : "54-58", "title" : "A controlled study of alexithymia in eating disorders", "type" : "article-journal", "volume" : "34" }, "uris" : [ "http://www.mendeley.com/documents/?uuid=06bccdd0-3842-48cc-a1e8-333be06e980f" ] }, { "id" : "ITEM-3", "itemData" : { "DOI" : "10.1023/B:JADD.0000022613.41399.14", "ISBN" : "0802713653", "ISSN" : "01623257", "PMID" : "15162941", "abstract" : "Difficulties in the cognitive processing of emotions--including difficulties identifying and describing feelings--are assumed to be an integral part of autism. We studied such difficulties via self-report in 27 high-functioning adults with autistic spectrum disorders, their biological relatives (n = 49), and normal adult controls (n = 35), using the 20-item Toronto Alexithymia Scale and the Beck Depression Inventory. The individuals with autism spectrum disorders were significantly more impaired in their emotion processing and were more depressed than those in the control and relative groups.", "author" : [ { "dropping-particle" : "", "family" : "Hill", "given" : "Elisabeth", "non-dropping-particle" : "", "parse-names" : false, "suffix" : "" }, { "dropping-particle" : "", "family" : "Berthoz", "given" : "Sylvie", "non-dropping-particle" : "", "parse-names" : false, "suffix" : "" }, { "dropping-particle" : "", "family" : "Frith", "given" : "Uta", "non-dropping-particle" : "", "parse-names" : false, "suffix" : "" } ], "container-title" : "Journal of Autism and Developmental Disorders", "id" : "ITEM-3", "issue" : "2", "issued" : { "date-parts" : [ [ "2004" ] ] }, "page" : "229-235", "title" : "Brief report: Cognitive processing of own emotions in individuals with autistic spectrum disorder and in their relatives", "type" : "article-journal", "volume" : "34" }, "uris" : [ "http://www.mendeley.com/documents/?uuid=e7d7de8b-88ad-4fc8-a6ce-e7740d5a1d27" ] } ], "mendeley" : { "formattedCitation" : "(Hill, Berthoz, &amp; Frith, 2004; Schmidt, Jiwany, &amp; Treasure, 1993; van \u2019t Wout, Aleman, Bermond, &amp; Kahn, 2007)", "plainTextFormattedCitation" : "(Hill, Berthoz, &amp; Frith, 2004; Schmidt, Jiwany, &amp; Treasure, 1993; van \u2019t Wout, Aleman, Bermond, &amp; Kahn, 2007)", "previouslyFormattedCitation" : "(Hill, Berthoz, &amp; Frith, 2004; Schmidt, Jiwany, &amp; Treasure, 1993; van \u2019t Wout, Aleman, Bermond, &amp; Kahn, 2007)" }, "properties" : { "noteIndex" : 0 }, "schema" : "https://github.com/citation-style-language/schema/raw/master/csl-citation.json" }</w:instrText>
      </w:r>
      <w:r w:rsidR="000A79C1" w:rsidRPr="00804121">
        <w:fldChar w:fldCharType="separate"/>
      </w:r>
      <w:r w:rsidR="000A79C1" w:rsidRPr="00804121">
        <w:rPr>
          <w:noProof/>
        </w:rPr>
        <w:t>(Hill, Berthoz, &amp; Frith, 2004; Schmidt, Jiwany, &amp; Treasure, 1993; van ’t Wout, Aleman, Bermond, &amp; Kahn, 2007)</w:t>
      </w:r>
      <w:r w:rsidR="000A79C1" w:rsidRPr="00804121">
        <w:fldChar w:fldCharType="end"/>
      </w:r>
      <w:r w:rsidR="00961BBB" w:rsidRPr="00804121">
        <w:t xml:space="preserve">. </w:t>
      </w:r>
      <w:r w:rsidR="00851506" w:rsidRPr="00804121">
        <w:t>In addition to</w:t>
      </w:r>
      <w:r w:rsidR="007D588A" w:rsidRPr="00804121">
        <w:t xml:space="preserve"> </w:t>
      </w:r>
      <w:r w:rsidR="008A20DE" w:rsidRPr="00804121">
        <w:t xml:space="preserve">a </w:t>
      </w:r>
      <w:r w:rsidR="00E52B99" w:rsidRPr="00804121">
        <w:t xml:space="preserve">higher prevalence </w:t>
      </w:r>
      <w:r w:rsidR="008A20DE" w:rsidRPr="00804121">
        <w:t xml:space="preserve">of alexithymia </w:t>
      </w:r>
      <w:r w:rsidR="00E52B99" w:rsidRPr="00804121">
        <w:t xml:space="preserve">in these and other </w:t>
      </w:r>
      <w:r w:rsidR="00C54C0B" w:rsidRPr="00804121">
        <w:t xml:space="preserve">clinical </w:t>
      </w:r>
      <w:r w:rsidR="00E52B99" w:rsidRPr="00804121">
        <w:t xml:space="preserve">groups, </w:t>
      </w:r>
      <w:r w:rsidR="008A20DE" w:rsidRPr="00804121">
        <w:t>alexithymia has also been linked</w:t>
      </w:r>
      <w:r w:rsidR="00E52B99" w:rsidRPr="00804121">
        <w:t xml:space="preserve"> to well-being and emotion regulation</w:t>
      </w:r>
      <w:r w:rsidR="00851506" w:rsidRPr="00804121">
        <w:t xml:space="preserve"> in the general population</w:t>
      </w:r>
      <w:r w:rsidR="00810E42" w:rsidRPr="00804121">
        <w:t xml:space="preserve"> </w:t>
      </w:r>
      <w:r w:rsidR="003D641D" w:rsidRPr="00804121">
        <w:fldChar w:fldCharType="begin" w:fldLock="1"/>
      </w:r>
      <w:r w:rsidR="0012726A" w:rsidRPr="00804121">
        <w:instrText>ADDIN CSL_CITATION { "citationItems" : [ { "id" : "ITEM-1", "itemData" : { "DOI" : "10.1016/S0022-3999(99)00083-5", "ISSN" : "0022-3999", "abstract" : "Objective: This study examines how alexithymia and depression are related to each other in men and women in a sample of Finnish general population n = 2018. Methods: Alexithymia was screened using the 20-item version of the Toronto Alexithymia Scale. Llevel of depression was assessed using the 21-item Beck Depression Inventory (BDI). Life satisfaction was estimated with a structured scale. Results: The prevalence of alexithymia was 12.8% in men and 8.2% in women. However, the prevalence of alexithymia was 32.1% among those having BDI scores of \u2a7e 9, but only 4.3% among the nondepressed subjects (p &lt; 0.001). The BDI scores explained 29.2% of the variation in TAS-20 scores. Alexithymia was associated with several sociodemographic factors if depression was not taken into account. However, after including depression in the logistic regression models, only depression and low life satisfaction were associated with alexithymia, both in men and women. Conclusion: These results suggest that alexithymia has a close relationship to depression in the general population. The impact of social factors on alexithymia may be primarily explained by depression. Depression must be taken into account as a confounding factor when studying alexithymia in general populations due to the strong association between alexithymia and depression.", "author" : [ { "dropping-particle" : "", "family" : "Honkalampi", "given" : "Kirsi", "non-dropping-particle" : "", "parse-names" : false, "suffix" : "" }, { "dropping-particle" : "", "family" : "Hintikka", "given" : "Jukka", "non-dropping-particle" : "", "parse-names" : false, "suffix" : "" }, { "dropping-particle" : "", "family" : "Tanskanen", "given" : "Antti", "non-dropping-particle" : "", "parse-names" : false, "suffix" : "" }, { "dropping-particle" : "", "family" : "Lehtonen", "given" : "Johannes", "non-dropping-particle" : "", "parse-names" : false, "suffix" : "" }, { "dropping-particle" : "", "family" : "Viinam\u00e4ki", "given" : "Heimo", "non-dropping-particle" : "", "parse-names" : false, "suffix" : "" } ], "container-title" : "Journal of Psychosomatic Research", "id" : "ITEM-1", "issue" : "1", "issued" : { "date-parts" : [ [ "2000", "1", "1" ] ] }, "page" : "99-104", "publisher" : "Elsevier", "title" : "Depression is strongly associated with alexithymia in the general population", "type" : "article-journal", "volume" : "48" }, "uris" : [ "http://www.mendeley.com/documents/?uuid=01680d27-733f-3e0a-9988-43883830919c" ] }, { "id" : "ITEM-2", "itemData" : { "ISBN" : "9109334386", "author" : [ { "dropping-particle" : "", "family" : "Saxena", "given" : "Prachi", "non-dropping-particle" : "", "parse-names" : false, "suffix" : "" }, { "dropping-particle" : "", "family" : "Dubey", "given" : "Akanksha", "non-dropping-particle" : "", "parse-names" : false, "suffix" : "" }, { "dropping-particle" : "", "family" : "Pandey", "given" : "Rakesh", "non-dropping-particle" : "", "parse-names" : false, "suffix" : "" } ], "container-title" : "Journal of Projective Psychology &amp; Mental Health", "id" : "ITEM-2", "issued" : { "date-parts" : [ [ "2011" ] ] }, "page" : "147-155", "title" : "Role of Emotion Regulation Difficulties in Predicting Mental Health and Well-being", "type" : "article-journal", "volume" : "18" }, "uris" : [ "http://www.mendeley.com/documents/?uuid=1b1ceb38-8a06-4542-bae6-d8a021f9f2c1" ] }, { "id" : "ITEM-3", "itemData" : { "DOI" : "10.1037/e617512012-003", "ISSN" : "18410413", "author" : [ { "dropping-particle" : "", "family" : "Pandey", "given" : "Rakesh", "non-dropping-particle" : "", "parse-names" : false, "suffix" : "" }, { "dropping-particle" : "", "family" : "Saxena", "given" : "Prachi", "non-dropping-particle" : "", "parse-names" : false, "suffix" : "" }, { "dropping-particle" : "", "family" : "Dubey", "given" : "Akanksha", "non-dropping-particle" : "", "parse-names" : false, "suffix" : "" } ], "container-title" : "Europe's Journal of Psychology", "id" : "ITEM-3", "issue" : "4", "issued" : { "date-parts" : [ [ "2011" ] ] }, "page" : "604-623", "title" : "Emotion regulation difficulties in alexithymia and mental health", "type" : "article-journal", "volume" : "7" }, "uris" : [ "http://www.mendeley.com/documents/?uuid=da1d1f34-a46f-4ce2-b0af-ff9b646c2893" ] } ], "mendeley" : { "formattedCitation" : "(Honkalampi, Hintikka, Tanskanen, Lehtonen, &amp; Viinam\u00e4ki, 2000; Pandey, Saxena, &amp; Dubey, 2011; Saxena, Dubey, &amp; Pandey, 2011)", "plainTextFormattedCitation" : "(Honkalampi, Hintikka, Tanskanen, Lehtonen, &amp; Viinam\u00e4ki, 2000; Pandey, Saxena, &amp; Dubey, 2011; Saxena, Dubey, &amp; Pandey, 2011)", "previouslyFormattedCitation" : "(Honkalampi, Hintikka, Tanskanen, Lehtonen, &amp; Viinam\u00e4ki, 2000; Pandey, Saxena, &amp; Dubey, 2011; Saxena, Dubey, &amp; Pandey, 2011)" }, "properties" : { "noteIndex" : 0 }, "schema" : "https://github.com/citation-style-language/schema/raw/master/csl-citation.json" }</w:instrText>
      </w:r>
      <w:r w:rsidR="003D641D" w:rsidRPr="00804121">
        <w:fldChar w:fldCharType="separate"/>
      </w:r>
      <w:r w:rsidR="003D641D" w:rsidRPr="00804121">
        <w:rPr>
          <w:noProof/>
        </w:rPr>
        <w:t>(Honkalampi, Hintikka, Tanskanen, Lehtonen, &amp; Viinamäki, 2000; Pandey, Saxena, &amp; Dubey, 2011; Saxena, Dubey, &amp; Pandey, 2011)</w:t>
      </w:r>
      <w:r w:rsidR="003D641D" w:rsidRPr="00804121">
        <w:fldChar w:fldCharType="end"/>
      </w:r>
      <w:r w:rsidR="003D641D" w:rsidRPr="00804121">
        <w:t xml:space="preserve">. </w:t>
      </w:r>
      <w:r w:rsidR="007A1660" w:rsidRPr="00804121">
        <w:t>Alexithymia</w:t>
      </w:r>
      <w:r w:rsidR="003D641D" w:rsidRPr="00804121">
        <w:t xml:space="preserve"> has </w:t>
      </w:r>
      <w:r w:rsidR="007A1660" w:rsidRPr="00804121">
        <w:t xml:space="preserve">thus </w:t>
      </w:r>
      <w:r w:rsidR="007D588A" w:rsidRPr="00804121">
        <w:t xml:space="preserve">been considered a trans-diagnostic risk factor for </w:t>
      </w:r>
      <w:r w:rsidR="00F607EB" w:rsidRPr="00804121">
        <w:t>poor</w:t>
      </w:r>
      <w:r w:rsidR="007D588A" w:rsidRPr="00804121">
        <w:t xml:space="preserve"> </w:t>
      </w:r>
      <w:r w:rsidR="00C54C0B" w:rsidRPr="00804121">
        <w:t>emotional functioning</w:t>
      </w:r>
      <w:r w:rsidR="007D588A" w:rsidRPr="00804121">
        <w:t xml:space="preserve"> </w:t>
      </w:r>
      <w:r w:rsidR="00851506" w:rsidRPr="00804121">
        <w:fldChar w:fldCharType="begin" w:fldLock="1"/>
      </w:r>
      <w:r w:rsidR="0012726A" w:rsidRPr="00804121">
        <w:instrText>ADDIN CSL_CITATION { "citationItems" : [ { "id" : "ITEM-1", "itemData" : { "DOI" : "10.3389/fpsyg.2017.02234", "ISSN" : "16641078", "abstract" : "\u00a9 2017 Valdespino, Antezana, Ghane and Richey. Distorted empathic processing has been observed across multiple psychiatric disorders. Simulation theory provides a theoretical framework that proposes a mechanism through which empathy difficulties may arise. Specifically, introspection-centric simulation theory (IST) predicts that an inability to accurately interpret and describe internal affective states may lead to empathy difficulties. The purpose of this review is to synthesize and summarize an empirical literature suggesting that simulation theory provides insights into a cognitive and neurobiological mechanism (i.e., alexithymia and insula pathology) that negatively impacts empathic processing, in addition to how disruptions in these processes manifest across psychiatric disorders. Specifically, we review an emerging non-clinical literature suggesting that consistent with IST, alexithymia and associated insula pathology leads to empathy deficits. Subsequently, we highlight clinical research suggesting that a large number of disorders characterized by empathy pathology also feature alexithymia. Collectively, these findings motivate the importance for future work to establish the role of alexithymia in contributing to empathy deficits across clinical symptoms and disorders. The current review suggests that simulation theory provides a tractable conceptual platform for identifying a potential common cognitive and neural marker that is associated with empathy deficits across a wide array of diagnostic classes.", "author" : [ { "dropping-particle" : "", "family" : "Valdespino", "given" : "Andrew", "non-dropping-particle" : "", "parse-names" : false, "suffix" : "" }, { "dropping-particle" : "", "family" : "Antezana", "given" : "Ligia", "non-dropping-particle" : "", "parse-names" : false, "suffix" : "" }, { "dropping-particle" : "", "family" : "Ghane", "given" : "Merage", "non-dropping-particle" : "", "parse-names" : false, "suffix" : "" }, { "dropping-particle" : "", "family" : "Richey", "given" : "John A.", "non-dropping-particle" : "", "parse-names" : false, "suffix" : "" } ], "container-title" : "Frontiers in Psychology", "id" : "ITEM-1", "issue" : "DEC", "issued" : { "date-parts" : [ [ "2017" ] ] }, "page" : "1-7", "title" : "Alexithymia as a transdiagnostic precursor to empathy abnormalities: The functional role of the insula", "type" : "article-journal", "volume" : "8" }, "uris" : [ "http://www.mendeley.com/documents/?uuid=9afe862e-2922-4bef-9656-1a684c94b592" ] } ], "mendeley" : { "formattedCitation" : "(Valdespino, Antezana, Ghane, &amp; Richey, 2017)", "plainTextFormattedCitation" : "(Valdespino, Antezana, Ghane, &amp; Richey, 2017)", "previouslyFormattedCitation" : "(Valdespino, Antezana, Ghane, &amp; Richey, 2017)" }, "properties" : { "noteIndex" : 0 }, "schema" : "https://github.com/citation-style-language/schema/raw/master/csl-citation.json" }</w:instrText>
      </w:r>
      <w:r w:rsidR="00851506" w:rsidRPr="00804121">
        <w:fldChar w:fldCharType="separate"/>
      </w:r>
      <w:r w:rsidR="00851506" w:rsidRPr="00804121">
        <w:rPr>
          <w:noProof/>
        </w:rPr>
        <w:t>(Valdespino, Antezana, Ghane, &amp; Richey, 2017)</w:t>
      </w:r>
      <w:r w:rsidR="00851506" w:rsidRPr="00804121">
        <w:fldChar w:fldCharType="end"/>
      </w:r>
      <w:r w:rsidR="007D588A" w:rsidRPr="00804121">
        <w:t xml:space="preserve">. </w:t>
      </w:r>
    </w:p>
    <w:p w14:paraId="6E9F6C4F" w14:textId="526A1A82" w:rsidR="00E06943" w:rsidRPr="00804121" w:rsidRDefault="00D60B1C" w:rsidP="00F035DD">
      <w:pPr>
        <w:pStyle w:val="Newparagraph"/>
      </w:pPr>
      <w:r w:rsidRPr="00804121">
        <w:t xml:space="preserve">Given its predictive power for these outcomes, researchers have sought to understand the aetiology of alexithymia. </w:t>
      </w:r>
      <w:r w:rsidR="00F94AA5" w:rsidRPr="00804121">
        <w:t xml:space="preserve">The precise cognitive factors giving rise to alexithymia are a topic of intense </w:t>
      </w:r>
      <w:r w:rsidR="004C76F5" w:rsidRPr="00804121">
        <w:t xml:space="preserve">scrutiny </w:t>
      </w:r>
      <w:r w:rsidR="0000002E" w:rsidRPr="00804121">
        <w:fldChar w:fldCharType="begin" w:fldLock="1"/>
      </w:r>
      <w:r w:rsidR="0012726A" w:rsidRPr="00804121">
        <w:instrText>ADDIN CSL_CITATION { "citationItems" : [ { "id" : "ITEM-1", "itemData" : { "DOI" : "10.1177/1754073919838528", "author" : [ { "dropping-particle" : "", "family" : "Hannah Hobson", "given" : "", "non-dropping-particle" : "", "parse-names" : false, "suffix" : "" }, { "dropping-particle" : "", "family" : "Brewer", "given" : "Rebecca", "non-dropping-particle" : "", "parse-names" : false, "suffix" : "" }, { "dropping-particle" : "", "family" : "Catmur", "given" : "Caroline", "non-dropping-particle" : "", "parse-names" : false, "suffix" : "" }, { "dropping-particle" : "", "family" : "Bird", "given" : "Geoffrey", "non-dropping-particle" : "", "parse-names" : false, "suffix" : "" } ], "container-title" : "Emotion Review", "id" : "ITEM-1", "issue" : "February", "issued" : { "date-parts" : [ [ "2019" ] ] }, "title" : "The role of language in alexithymia: moving towards a multi-route model of alexithymia", "type" : "article-journal", "volume" : "X" }, "uris" : [ "http://www.mendeley.com/documents/?uuid=82d449fa-a965-49d6-b462-52d31920c76e" ] }, { "id" : "ITEM-2", "itemData" : { "author" : [ { "dropping-particle" : "", "family" : "Brewer", "given" : "Rebecca", "non-dropping-particle" : "", "parse-names" : false, "suffix" : "" }, { "dropping-particle" : "", "family" : "Cook", "given" : "Richard", "non-dropping-particle" : "", "parse-names" : false, "suffix" : "" }, { "dropping-particle" : "", "family" : "Bird", "given" : "Geoffrey", "non-dropping-particle" : "", "parse-names" : false, "suffix" : "" } ], "container-title" : "Royal Society Open Science", "id" : "ITEM-2", "issue" : "150664", "issued" : { "date-parts" : [ [ "2016" ] ] }, "title" : "Alexithymia: A general deficit of interoception", "type" : "article-journal", "volume" : "3" }, "uris" : [ "http://www.mendeley.com/documents/?uuid=0206c854-1361-4242-bb3b-32d6edb341b5" ] } ], "mendeley" : { "formattedCitation" : "(Brewer, Cook, &amp; Bird, 2016; Hannah Hobson, Brewer, Catmur, &amp; Bird, 2019)", "manualFormatting" : "(Brewer, Cook, &amp; Bird, 2016; Hobson, Brewer, Catmur, &amp; Bird, 2019)", "plainTextFormattedCitation" : "(Brewer, Cook, &amp; Bird, 2016; Hannah Hobson, Brewer, Catmur, &amp; Bird, 2019)", "previouslyFormattedCitation" : "(Brewer, Cook, &amp; Bird, 2016; Hannah Hobson, Brewer, Catmur, &amp; Bird, 2019)" }, "properties" : { "noteIndex" : 0 }, "schema" : "https://github.com/citation-style-language/schema/raw/master/csl-citation.json" }</w:instrText>
      </w:r>
      <w:r w:rsidR="0000002E" w:rsidRPr="00804121">
        <w:fldChar w:fldCharType="separate"/>
      </w:r>
      <w:r w:rsidR="0000002E" w:rsidRPr="00804121">
        <w:rPr>
          <w:noProof/>
        </w:rPr>
        <w:t>(Brewer, Cook, &amp; Bird, 2016; Hobson, Brewer, Catmur, &amp; Bird, 2019)</w:t>
      </w:r>
      <w:r w:rsidR="0000002E" w:rsidRPr="00804121">
        <w:fldChar w:fldCharType="end"/>
      </w:r>
      <w:r w:rsidR="00DC5621" w:rsidRPr="00804121">
        <w:t xml:space="preserve">. </w:t>
      </w:r>
      <w:r w:rsidRPr="00804121">
        <w:t xml:space="preserve">However, alexithymia represents dysfunction in what might be considered </w:t>
      </w:r>
      <w:r w:rsidR="00CB0A9B" w:rsidRPr="00804121">
        <w:t xml:space="preserve">a set of </w:t>
      </w:r>
      <w:r w:rsidRPr="00804121">
        <w:t xml:space="preserve">higher-level skills; the abilities to recognise, discriminate, label and communicate one’s emotional states. These skills would presumably rely on a </w:t>
      </w:r>
      <w:r w:rsidR="00CB0A9B" w:rsidRPr="00804121">
        <w:t>variety</w:t>
      </w:r>
      <w:r w:rsidRPr="00804121">
        <w:t xml:space="preserve"> of perceptual, cognitive and affective processes, and we might expect there to be different cognitive routes to alexithymia, whereby different deficits in processes required for effective emotional processing manifest in a similar alexithymic phenotype. Thus,</w:t>
      </w:r>
      <w:r w:rsidR="00233638" w:rsidRPr="00804121">
        <w:t xml:space="preserve"> </w:t>
      </w:r>
      <w:r w:rsidR="00C62F0A" w:rsidRPr="00804121">
        <w:t xml:space="preserve">impairments in any one of </w:t>
      </w:r>
      <w:proofErr w:type="gramStart"/>
      <w:r w:rsidR="00C62F0A" w:rsidRPr="00804121">
        <w:t>a number of</w:t>
      </w:r>
      <w:proofErr w:type="gramEnd"/>
      <w:r w:rsidR="00C62F0A" w:rsidRPr="00804121">
        <w:t xml:space="preserve"> </w:t>
      </w:r>
      <w:r w:rsidR="00233638" w:rsidRPr="00804121">
        <w:t xml:space="preserve">cognitive </w:t>
      </w:r>
      <w:r w:rsidR="00C62F0A" w:rsidRPr="00804121">
        <w:t xml:space="preserve">processes may </w:t>
      </w:r>
      <w:r w:rsidR="00233638" w:rsidRPr="00804121">
        <w:t>underlie alexithymia</w:t>
      </w:r>
      <w:r w:rsidR="005C0F3B" w:rsidRPr="00804121">
        <w:t>.</w:t>
      </w:r>
      <w:r w:rsidR="00233638" w:rsidRPr="00804121">
        <w:t xml:space="preserve"> </w:t>
      </w:r>
      <w:r w:rsidR="00A75EDF" w:rsidRPr="00804121">
        <w:t>It has been proposed that o</w:t>
      </w:r>
      <w:r w:rsidR="00233638" w:rsidRPr="00804121">
        <w:t xml:space="preserve">ne such </w:t>
      </w:r>
      <w:r w:rsidR="00A75EDF" w:rsidRPr="00804121">
        <w:t xml:space="preserve">cognitive </w:t>
      </w:r>
      <w:r w:rsidR="00233638" w:rsidRPr="00804121">
        <w:t xml:space="preserve">deficit </w:t>
      </w:r>
      <w:r w:rsidR="00810E42" w:rsidRPr="00804121">
        <w:t xml:space="preserve">that could </w:t>
      </w:r>
      <w:r w:rsidR="00A75EDF" w:rsidRPr="00804121">
        <w:t xml:space="preserve">result in </w:t>
      </w:r>
      <w:r w:rsidR="00810E42" w:rsidRPr="00804121">
        <w:t xml:space="preserve">alexithymia </w:t>
      </w:r>
      <w:r w:rsidR="00A75EDF" w:rsidRPr="00804121">
        <w:t>is</w:t>
      </w:r>
      <w:r w:rsidR="00233638" w:rsidRPr="00804121">
        <w:t xml:space="preserve"> language</w:t>
      </w:r>
      <w:r w:rsidR="00EA4B2A" w:rsidRPr="00804121">
        <w:t xml:space="preserve"> </w:t>
      </w:r>
      <w:r w:rsidR="00CC69E5" w:rsidRPr="00804121">
        <w:t xml:space="preserve">impairment </w:t>
      </w:r>
      <w:r w:rsidR="0000002E" w:rsidRPr="00804121">
        <w:fldChar w:fldCharType="begin" w:fldLock="1"/>
      </w:r>
      <w:r w:rsidR="0012726A" w:rsidRPr="00804121">
        <w:instrText>ADDIN CSL_CITATION { "citationItems" : [ { "id" : "ITEM-1", "itemData" : { "DOI" : "10.1016/j.neuropsychologia.2017.12.037", "ISSN" : "18733514", "abstract" : "The clinical relevance of alexithymia, a condition associated with difficulties identifying and describing one's own emotion, is becoming ever more apparent. Increased rates of alexithymia are observed in multiple psychiatric conditions, and also in neurological conditions resulting from both organic and traumatic brain injury. The presence of alexithymia in these conditions predicts poorer regulation of one's emotions, decreased treatment response, and increased burden on carers. While clinically important, the aetiology of alexithymia is still a matter of debate, with several authors arguing for multiple \u2018routes\u2019 to impaired understanding of one's own emotions, which may or may not result in distinct subtypes of alexithymia. While previous studies support the role of impaired interoception (perceiving bodily states) in the development of alexithymia, the current study assessed whether acquired language impairment following traumatic brain injury, and damage to language regions, may also be associated with an increased risk of alexithymia. Within a sample of 129 participants with penetrating brain injury and 33 healthy controls, neuropsychological testing revealed that deficits in a non-emotional language task, object naming, were associated with alexithymia, specifically with difficulty identifying one's own emotions. Both region-of-interest and whole-brain lesion analyses revealed that damage to language regions in the inferior frontal gyrus was associated with the presence of both this language impairment and alexithymia. These results are consistent with a framework for acquired alexithymia that incorporates both interoceptive and language processes, and support the idea that brain injury may result in alexithymia via impairment in any one of a number of more basic processes.", "author" : [ { "dropping-particle" : "", "family" : "Hobson", "given" : "Hannah", "non-dropping-particle" : "", "parse-names" : false, "suffix" : "" }, { "dropping-particle" : "", "family" : "Hogeveen", "given" : "Jeremy", "non-dropping-particle" : "", "parse-names" : false, "suffix" : "" }, { "dropping-particle" : "", "family" : "Brewer", "given" : "Rebecca", "non-dropping-particle" : "", "parse-names" : false, "suffix" : "" }, { "dropping-particle" : "", "family" : "Catmur", "given" : "Caroline", "non-dropping-particle" : "", "parse-names" : false, "suffix" : "" }, { "dropping-particle" : "", "family" : "Gordon", "given" : "Barry", "non-dropping-particle" : "", "parse-names" : false, "suffix" : "" }, { "dropping-particle" : "", "family" : "Krueger", "given" : "Frank", "non-dropping-particle" : "", "parse-names" : false, "suffix" : "" }, { "dropping-particle" : "", "family" : "Chau", "given" : "Aileen", "non-dropping-particle" : "", "parse-names" : false, "suffix" : "" }, { "dropping-particle" : "", "family" : "Bird", "given" : "Geoffrey", "non-dropping-particle" : "", "parse-names" : false, "suffix" : "" }, { "dropping-particle" : "", "family" : "Grafman", "given" : "Jordan", "non-dropping-particle" : "", "parse-names" : false, "suffix" : "" } ], "container-title" : "Neuropsychologia", "id" : "ITEM-1", "issue" : "December 2017", "issued" : { "date-parts" : [ [ "2018" ] ] }, "page" : "229-240", "title" : "Language and alexithymia: Evidence for the role of the inferior frontal gyrus in acquired alexithymia", "type" : "article-journal", "volume" : "111" }, "uris" : [ "http://www.mendeley.com/documents/?uuid=342b180c-8d73-4d88-a742-a89eca12cb59" ] }, { "id" : "ITEM-2", "itemData" : { "DOI" : "10.1177/1754073919838528", "author" : [ { "dropping-particle" : "", "family" : "Hannah Hobson", "given" : "", "non-dropping-particle" : "", "parse-names" : false, "suffix" : "" }, { "dropping-particle" : "", "family" : "Brewer", "given" : "Rebecca", "non-dropping-particle" : "", "parse-names" : false, "suffix" : "" }, { "dropping-particle" : "", "family" : "Catmur", "given" : "Caroline", "non-dropping-particle" : "", "parse-names" : false, "suffix" : "" }, { "dropping-particle" : "", "family" : "Bird", "given" : "Geoffrey", "non-dropping-particle" : "", "parse-names" : false, "suffix" : "" } ], "container-title" : "Emotion Review", "id" : "ITEM-2", "issue" : "February", "issued" : { "date-parts" : [ [ "2019" ] ] }, "title" : "The role of language in alexithymia: moving towards a multi-route model of alexithymia", "type" : "article-journal", "volume" : "X" }, "uris" : [ "http://www.mendeley.com/documents/?uuid=82d449fa-a965-49d6-b462-52d31920c76e" ] } ], "mendeley" : { "formattedCitation" : "(Hannah Hobson et al., 2019; Hobson et al., 2018)", "manualFormatting" : "(Hobson et al., 2019; Hobson et al., 2018)", "plainTextFormattedCitation" : "(Hannah Hobson et al., 2019; Hobson et al., 2018)", "previouslyFormattedCitation" : "(Hannah Hobson et al., 2019; Hobson et al., 2018)" }, "properties" : { "noteIndex" : 0 }, "schema" : "https://github.com/citation-style-language/schema/raw/master/csl-citation.json" }</w:instrText>
      </w:r>
      <w:r w:rsidR="0000002E" w:rsidRPr="00804121">
        <w:fldChar w:fldCharType="separate"/>
      </w:r>
      <w:r w:rsidR="0000002E" w:rsidRPr="00804121">
        <w:rPr>
          <w:noProof/>
        </w:rPr>
        <w:t>(Hobson et al., 2019; Hobson et al., 2018)</w:t>
      </w:r>
      <w:r w:rsidR="0000002E" w:rsidRPr="00804121">
        <w:fldChar w:fldCharType="end"/>
      </w:r>
      <w:r w:rsidR="0000002E" w:rsidRPr="00804121">
        <w:t>.</w:t>
      </w:r>
      <w:r w:rsidR="00846488" w:rsidRPr="00804121">
        <w:t xml:space="preserve"> </w:t>
      </w:r>
    </w:p>
    <w:p w14:paraId="232F6DAF" w14:textId="412FAD14" w:rsidR="001172AB" w:rsidRPr="00804121" w:rsidRDefault="00C5372E" w:rsidP="00F035DD">
      <w:pPr>
        <w:pStyle w:val="Newparagraph"/>
      </w:pPr>
      <w:r w:rsidRPr="00804121">
        <w:t xml:space="preserve">As </w:t>
      </w:r>
      <w:r w:rsidR="006068A9" w:rsidRPr="00804121">
        <w:t xml:space="preserve">described </w:t>
      </w:r>
      <w:r w:rsidRPr="00804121">
        <w:t xml:space="preserve">in Hobson et al (2019), </w:t>
      </w:r>
      <w:r w:rsidR="007C776E" w:rsidRPr="00804121">
        <w:t>one</w:t>
      </w:r>
      <w:r w:rsidR="00810E42" w:rsidRPr="00804121">
        <w:t xml:space="preserve"> framework </w:t>
      </w:r>
      <w:r w:rsidR="0074056D" w:rsidRPr="00804121">
        <w:t>for</w:t>
      </w:r>
      <w:r w:rsidR="00810E42" w:rsidRPr="00804121">
        <w:t xml:space="preserve"> </w:t>
      </w:r>
      <w:r w:rsidR="0074056D" w:rsidRPr="00804121">
        <w:t>investigating</w:t>
      </w:r>
      <w:r w:rsidR="00E170E1" w:rsidRPr="00804121">
        <w:t xml:space="preserve"> the nature of </w:t>
      </w:r>
      <w:r w:rsidR="00C30F3C" w:rsidRPr="00804121">
        <w:t xml:space="preserve">the </w:t>
      </w:r>
      <w:r w:rsidR="00E170E1" w:rsidRPr="00804121">
        <w:t>association between language and alexithymia</w:t>
      </w:r>
      <w:r w:rsidR="00810E42" w:rsidRPr="00804121">
        <w:t xml:space="preserve"> is to seek </w:t>
      </w:r>
      <w:r w:rsidR="00C16F2E" w:rsidRPr="00804121">
        <w:t xml:space="preserve">evidence from both developmental groups </w:t>
      </w:r>
      <w:r w:rsidR="007C776E" w:rsidRPr="00804121">
        <w:t xml:space="preserve">(such as </w:t>
      </w:r>
      <w:r w:rsidR="00F607EB" w:rsidRPr="00804121">
        <w:t>d</w:t>
      </w:r>
      <w:r w:rsidR="007C776E" w:rsidRPr="00804121">
        <w:t xml:space="preserve">evelopmental </w:t>
      </w:r>
      <w:r w:rsidR="00F607EB" w:rsidRPr="00804121">
        <w:t>l</w:t>
      </w:r>
      <w:r w:rsidR="007C776E" w:rsidRPr="00804121">
        <w:t xml:space="preserve">anguage </w:t>
      </w:r>
      <w:r w:rsidR="00F607EB" w:rsidRPr="00804121">
        <w:t>d</w:t>
      </w:r>
      <w:r w:rsidR="007C776E" w:rsidRPr="00804121">
        <w:t xml:space="preserve">isorder, or children born with hearing impairments) </w:t>
      </w:r>
      <w:r w:rsidR="00C16F2E" w:rsidRPr="00804121">
        <w:t>and populations with late-acquired difficulties</w:t>
      </w:r>
      <w:r w:rsidR="007C776E" w:rsidRPr="00804121">
        <w:t xml:space="preserve"> (for example</w:t>
      </w:r>
      <w:r w:rsidR="000A7F7C" w:rsidRPr="00804121">
        <w:t>,</w:t>
      </w:r>
      <w:r w:rsidR="007C776E" w:rsidRPr="00804121">
        <w:t xml:space="preserve"> patients who have developed aphasia following a </w:t>
      </w:r>
      <w:r w:rsidR="000A7F7C" w:rsidRPr="00804121">
        <w:t>traumatic brain injury</w:t>
      </w:r>
      <w:r w:rsidR="007C776E" w:rsidRPr="00804121">
        <w:t xml:space="preserve"> or stroke</w:t>
      </w:r>
      <w:r w:rsidR="000A7F7C" w:rsidRPr="00804121">
        <w:t>)</w:t>
      </w:r>
      <w:r w:rsidR="00C16F2E" w:rsidRPr="00804121">
        <w:t>.</w:t>
      </w:r>
      <w:r w:rsidR="000A3C33" w:rsidRPr="00804121">
        <w:t xml:space="preserve"> </w:t>
      </w:r>
      <w:r w:rsidR="0047387E" w:rsidRPr="00804121">
        <w:t xml:space="preserve">Bringing together </w:t>
      </w:r>
      <w:r w:rsidR="0074056D" w:rsidRPr="00804121">
        <w:t>findings</w:t>
      </w:r>
      <w:r w:rsidR="0047387E" w:rsidRPr="00804121">
        <w:t xml:space="preserve"> from these two separate groups has been fruitful </w:t>
      </w:r>
      <w:r w:rsidR="00817563" w:rsidRPr="00804121">
        <w:t>when attempting</w:t>
      </w:r>
      <w:r w:rsidR="0047387E" w:rsidRPr="00804121">
        <w:t xml:space="preserve"> </w:t>
      </w:r>
      <w:r w:rsidR="00817563" w:rsidRPr="00804121">
        <w:t xml:space="preserve">to </w:t>
      </w:r>
      <w:r w:rsidR="0047387E" w:rsidRPr="00804121">
        <w:t xml:space="preserve">understand </w:t>
      </w:r>
      <w:r w:rsidR="00817563" w:rsidRPr="00804121">
        <w:t xml:space="preserve">the </w:t>
      </w:r>
      <w:r w:rsidR="0047387E" w:rsidRPr="00804121">
        <w:t xml:space="preserve">cognitive and neurobiological systems </w:t>
      </w:r>
      <w:r w:rsidR="00817563" w:rsidRPr="00804121">
        <w:t>underpinning</w:t>
      </w:r>
      <w:r w:rsidR="0047387E" w:rsidRPr="00804121">
        <w:t xml:space="preserve"> language </w:t>
      </w:r>
      <w:r w:rsidR="0047387E" w:rsidRPr="00804121">
        <w:fldChar w:fldCharType="begin" w:fldLock="1"/>
      </w:r>
      <w:r w:rsidR="0012726A" w:rsidRPr="00804121">
        <w:instrText>ADDIN CSL_CITATION { "citationItems" : [ { "id" : "ITEM-1", "itemData" : { "DOI" : "10.1098/rstb.2012.0403", "ISSN" : "14712970", "abstract" : "Acquired disorders of language represent loss of previously acquired skills, usually with relatively specific impairments. In children with developmental disorders of language, we may also see selective impairment in some skills; but in this case, the acquisition of language or literacy is affected from the outset. Because systems for processing spoken and written language change as they develop, we should beware of drawing too close a parallel between developmental and acquired disorders. Nevertheless, comparisons between the two may yield new insights. A key feature of connectionist models simulating acquired disorders is the interaction of components of language processing with each other and with other cognitive domains. This kind of model might help make sense of patterns of comorbidity in developmental disorders. Meanwhile, the study of developmental disorders emphasizes learning and change in underlying representations, allowing us to study how heterogeneity in cognitive profile may relate not just to neurobiology but also to experience. Children with persistent language difficulties pose challenges both to our efforts at intervention and to theories of learning of written and spoken language. Future attention to learning in individuals with developmental and acquired disorders could be of both theoretical and applied value.", "author" : [ { "dropping-particle" : "", "family" : "Bishop", "given" : "Dorothy V.M.", "non-dropping-particle" : "", "parse-names" : false, "suffix" : "" }, { "dropping-particle" : "", "family" : "Nation", "given" : "Kate", "non-dropping-particle" : "", "parse-names" : false, "suffix" : "" }, { "dropping-particle" : "", "family" : "Patterson", "given" : "Karalyn", "non-dropping-particle" : "", "parse-names" : false, "suffix" : "" } ], "container-title" : "Philosophical Transactions of the Royal Society B: Biological Sciences", "id" : "ITEM-1", "issue" : "1634", "issued" : { "date-parts" : [ [ "2014" ] ] }, "title" : "When words fail us: Insights into language processing from developmental and acquired disorders", "type" : "article-journal", "volume" : "369" }, "uris" : [ "http://www.mendeley.com/documents/?uuid=e1923097-176e-4d5f-9b75-07c085b756f7" ] } ], "mendeley" : { "formattedCitation" : "(Bishop, Nation, &amp; Patterson, 2014)", "manualFormatting" : "(see Bishop, Nation, &amp; Patterson, 2014)", "plainTextFormattedCitation" : "(Bishop, Nation, &amp; Patterson, 2014)", "previouslyFormattedCitation" : "(Bishop, Nation, &amp; Patterson, 2014)" }, "properties" : { "noteIndex" : 0 }, "schema" : "https://github.com/citation-style-language/schema/raw/master/csl-citation.json" }</w:instrText>
      </w:r>
      <w:r w:rsidR="0047387E" w:rsidRPr="00804121">
        <w:fldChar w:fldCharType="separate"/>
      </w:r>
      <w:r w:rsidR="0047387E" w:rsidRPr="00804121">
        <w:rPr>
          <w:noProof/>
        </w:rPr>
        <w:t>(</w:t>
      </w:r>
      <w:r w:rsidR="0074056D" w:rsidRPr="00804121">
        <w:rPr>
          <w:noProof/>
        </w:rPr>
        <w:t xml:space="preserve">see </w:t>
      </w:r>
      <w:r w:rsidR="0047387E" w:rsidRPr="00804121">
        <w:rPr>
          <w:noProof/>
        </w:rPr>
        <w:t>Bishop, Nation, &amp; Patterson, 2014)</w:t>
      </w:r>
      <w:r w:rsidR="0047387E" w:rsidRPr="00804121">
        <w:fldChar w:fldCharType="end"/>
      </w:r>
      <w:r w:rsidR="0047387E" w:rsidRPr="00804121">
        <w:t>.</w:t>
      </w:r>
      <w:r w:rsidR="0074056D" w:rsidRPr="00804121">
        <w:t xml:space="preserve"> Indeed, c</w:t>
      </w:r>
      <w:r w:rsidR="000A3C33" w:rsidRPr="00804121">
        <w:t xml:space="preserve">ombining evidence from </w:t>
      </w:r>
      <w:r w:rsidR="00875FFB" w:rsidRPr="00804121">
        <w:t xml:space="preserve">groups with developmental language problems and </w:t>
      </w:r>
      <w:r w:rsidR="001172AB" w:rsidRPr="00804121">
        <w:t>groups with</w:t>
      </w:r>
      <w:r w:rsidR="00875FFB" w:rsidRPr="00804121">
        <w:t xml:space="preserve"> acquired language problems will shed </w:t>
      </w:r>
      <w:r w:rsidR="000A3C33" w:rsidRPr="00804121">
        <w:t xml:space="preserve">light on a) whether language processes play a developmental role in alexithymia, and b) whether language processes </w:t>
      </w:r>
      <w:r w:rsidR="00817563" w:rsidRPr="00804121">
        <w:t xml:space="preserve">are </w:t>
      </w:r>
      <w:r w:rsidR="00841D89" w:rsidRPr="00804121">
        <w:t xml:space="preserve">continuously required for </w:t>
      </w:r>
      <w:r w:rsidR="000A3C33" w:rsidRPr="00804121">
        <w:t xml:space="preserve">emotion processing. </w:t>
      </w:r>
    </w:p>
    <w:p w14:paraId="250DB086" w14:textId="3FC450FA" w:rsidR="00507959" w:rsidRPr="00804121" w:rsidRDefault="000A3C33" w:rsidP="00F035DD">
      <w:pPr>
        <w:pStyle w:val="Newparagraph"/>
      </w:pPr>
      <w:r w:rsidRPr="00804121">
        <w:t>I</w:t>
      </w:r>
      <w:r w:rsidR="00757CB8" w:rsidRPr="00804121">
        <w:t xml:space="preserve">f the role of language in emotion processing is </w:t>
      </w:r>
      <w:r w:rsidR="00A832AE" w:rsidRPr="00804121">
        <w:t xml:space="preserve">limited to </w:t>
      </w:r>
      <w:r w:rsidR="001172AB" w:rsidRPr="00804121">
        <w:t xml:space="preserve">a </w:t>
      </w:r>
      <w:r w:rsidR="00A832AE" w:rsidRPr="00804121">
        <w:t>developmental role, then late-acquired language problems – such as those acquired after brain injury – should leave emotion processes</w:t>
      </w:r>
      <w:r w:rsidR="00753C7A" w:rsidRPr="00804121">
        <w:t xml:space="preserve"> untouched. </w:t>
      </w:r>
      <w:r w:rsidR="0074056D" w:rsidRPr="00804121">
        <w:t>In this vein, s</w:t>
      </w:r>
      <w:r w:rsidR="00CF1413" w:rsidRPr="00804121">
        <w:t>tudies of patients with Traumatic Brain Injuries (TBI) have suggested a link between language processes and alexithymia</w:t>
      </w:r>
      <w:r w:rsidR="00CB0A9B" w:rsidRPr="00804121">
        <w:t xml:space="preserve"> that continues </w:t>
      </w:r>
      <w:proofErr w:type="spellStart"/>
      <w:r w:rsidR="00CB0A9B" w:rsidRPr="00804121">
        <w:t>aftr</w:t>
      </w:r>
      <w:proofErr w:type="spellEnd"/>
      <w:r w:rsidR="00CB0A9B" w:rsidRPr="00804121">
        <w:t xml:space="preserve"> development</w:t>
      </w:r>
      <w:r w:rsidR="00CF1413" w:rsidRPr="00804121">
        <w:t xml:space="preserve">. Verbal abilities </w:t>
      </w:r>
      <w:r w:rsidR="00784EF3" w:rsidRPr="00804121">
        <w:t>are</w:t>
      </w:r>
      <w:r w:rsidR="00CF1413" w:rsidRPr="00804121">
        <w:t xml:space="preserve"> correlated with alexithymia traits in TBI patients</w:t>
      </w:r>
      <w:r w:rsidR="001C487B" w:rsidRPr="00804121">
        <w:t xml:space="preserve"> </w:t>
      </w:r>
      <w:r w:rsidR="001C487B" w:rsidRPr="00804121">
        <w:fldChar w:fldCharType="begin" w:fldLock="1"/>
      </w:r>
      <w:r w:rsidR="0012726A" w:rsidRPr="00804121">
        <w:instrText>ADDIN CSL_CITATION { "citationItems" : [ { "id" : "ITEM-1", "itemData" : { "DOI" : "10.1016/j.neuropsychologia.2005.04.011", "ISBN" : "0028-3932", "ISSN" : "00283932", "PMID" : "15896816", "abstract" : "Changes in emotional and social behaviour are considered to be amongst the most common and debilitating consequences of traumatic brain injury (TBI). Little is known of the effects of TBI on alexithymia, which refers to impairment in aspects of understanding emotions. In the current study TBI patients (N = 28) were compared with demographically matched healthy controls (N = 31) on the Toronto Alexithymia Scale-20 (TAS-20), a measure that taps three distinct characteristics of the alexithymia concept; difficulty in identifying emotions, difficulty in describing emotions and externally oriented thinking. Patients and controls also completed measures of anxiety, depression, quality of life, and measures of fluency to assess executive function. Patients showed greater levels of alexithymia, in terms of difficulty identifying emotions and reduced introspection. Difficulty in identifying emotions was associated with poorer quality of life, even when depression and anxiety were controlled. Difficulty in identifying emotions was also uniquely associated with executive function deficits. Thus, although studies typically focus on aspects of cognitive change following head injury, these results lend support to Becerra et al.'s (Becerra, R., Amos, A., &amp; Jongenelis, S. (2002). Organic alexithymia: a study of acquired emotional blindness. Brain Injury, 16, 633-645.) notion of an 'organic alexithymia', and suggest that more attention should be focused upon assessment of emotional change post-head injury. ?? 2005 Elsevier Ltd. All rigths reserved.", "author" : [ { "dropping-particle" : "", "family" : "Henry", "given" : "Julie D.", "non-dropping-particle" : "", "parse-names" : false, "suffix" : "" }, { "dropping-particle" : "", "family" : "Phillips", "given" : "Louise H.", "non-dropping-particle" : "", "parse-names" : false, "suffix" : "" }, { "dropping-particle" : "", "family" : "Crawford", "given" : "John R.", "non-dropping-particle" : "", "parse-names" : false, "suffix" : "" }, { "dropping-particle" : "", "family" : "Theodorou", "given" : "Georgia", "non-dropping-particle" : "", "parse-names" : false, "suffix" : "" }, { "dropping-particle" : "", "family" : "Summers", "given" : "Fiona", "non-dropping-particle" : "", "parse-names" : false, "suffix" : "" } ], "container-title" : "Neuropsychologia", "id" : "ITEM-1", "issue" : "1", "issued" : { "date-parts" : [ [ "2006" ] ] }, "page" : "62-72", "title" : "Cognitive and psychosocial correlates of alexithymia following traumatic brain injury", "type" : "article-journal", "volume" : "44" }, "uris" : [ "http://www.mendeley.com/documents/?uuid=83392e2b-3010-4bf4-be74-142671c8615c" ] } ], "mendeley" : { "formattedCitation" : "(Henry, Phillips, Crawford, Theodorou, &amp; Summers, 2006)", "plainTextFormattedCitation" : "(Henry, Phillips, Crawford, Theodorou, &amp; Summers, 2006)", "previouslyFormattedCitation" : "(Henry, Phillips, Crawford, Theodorou, &amp; Summers, 2006)" }, "properties" : { "noteIndex" : 0 }, "schema" : "https://github.com/citation-style-language/schema/raw/master/csl-citation.json" }</w:instrText>
      </w:r>
      <w:r w:rsidR="001C487B" w:rsidRPr="00804121">
        <w:fldChar w:fldCharType="separate"/>
      </w:r>
      <w:r w:rsidR="00BE2EF2" w:rsidRPr="00804121">
        <w:rPr>
          <w:noProof/>
        </w:rPr>
        <w:t>(Henry, Phillips, Crawford, Theodorou, &amp; Summers, 2006)</w:t>
      </w:r>
      <w:r w:rsidR="001C487B" w:rsidRPr="00804121">
        <w:fldChar w:fldCharType="end"/>
      </w:r>
      <w:r w:rsidR="00CF1413" w:rsidRPr="00804121">
        <w:t>, and patients with and without alexithymia differ significantly in their verbal ability scores</w:t>
      </w:r>
      <w:r w:rsidR="001C487B" w:rsidRPr="00804121">
        <w:t xml:space="preserve"> </w:t>
      </w:r>
      <w:r w:rsidR="001C487B" w:rsidRPr="00804121">
        <w:fldChar w:fldCharType="begin" w:fldLock="1"/>
      </w:r>
      <w:r w:rsidR="0012726A" w:rsidRPr="00804121">
        <w:instrText>ADDIN CSL_CITATION { "citationItems" : [ { "id" : "ITEM-1", "itemData" : { "DOI" : "10.1017/S1355617707070518", "ISBN" : "1355617707", "ISSN" : "1355-6177", "PMID" : "17445296", "abstract" : "Deficits in emotional recognition and perception following traumatic brain injury (TBI) have been associated with alexithymia (Henry et al., 2006; Williams et al., 2001). This study examined the prevalence of alexithymia in a TBI population, and its relationship to injury severity, neuropsychological ability and affective disorder. A total of 121 patients completed the Toronto Alexithymia Scale-20 (TAS-20), a measure that addresses 3 distinct characteristics of the alexithymia concept; difficulty identifying feelings, difficulty describing feelings, and externally oriented thinking. Patients also completed a neuropsychological assessment and measures of depression and anxiety. Results confirm a high prevalence of alexithymia after TBI, relative to the general population and an orthopedic control group. There was no relationship between injury severity and the presence of alexithymia. A negative relationship was found between alexithymia and verbal and sequencing abilities, but there was no relationship with executive dysfunction or any other cognitive domain. Moderate correlations were obtained between alexithymia and affective disorder; regression analyses indicated that alexithymia, depression, and anxiety should be considered distinct, but overlapping constructs. The results of this study suggest that increased neuropsychological attention should be directed towards emotional change after head injury and its relationship with cognition and psychosocial outcome.", "author" : [ { "dropping-particle" : "", "family" : "Wood", "given" : "Rodger Ll", "non-dropping-particle" : "", "parse-names" : false, "suffix" : "" }, { "dropping-particle" : "", "family" : "Williams", "given" : "Claire", "non-dropping-particle" : "", "parse-names" : false, "suffix" : "" } ], "container-title" : "Journal of the International Neuropsychological Society : JINS", "id" : "ITEM-1", "issue" : "3", "issued" : { "date-parts" : [ [ "2007" ] ] }, "page" : "471-479", "title" : "Neuropsychological correlates of organic alexithymia.", "type" : "article-journal", "volume" : "13" }, "uris" : [ "http://www.mendeley.com/documents/?uuid=d2228eb2-547c-4082-a712-96fa9553c85b" ] } ], "mendeley" : { "formattedCitation" : "(Wood &amp; Williams, 2007)", "plainTextFormattedCitation" : "(Wood &amp; Williams, 2007)", "previouslyFormattedCitation" : "(Wood &amp; Williams, 2007)" }, "properties" : { "noteIndex" : 0 }, "schema" : "https://github.com/citation-style-language/schema/raw/master/csl-citation.json" }</w:instrText>
      </w:r>
      <w:r w:rsidR="001C487B" w:rsidRPr="00804121">
        <w:fldChar w:fldCharType="separate"/>
      </w:r>
      <w:r w:rsidR="001C487B" w:rsidRPr="00804121">
        <w:rPr>
          <w:noProof/>
        </w:rPr>
        <w:t>(Wood &amp; Williams, 2007)</w:t>
      </w:r>
      <w:r w:rsidR="001C487B" w:rsidRPr="00804121">
        <w:fldChar w:fldCharType="end"/>
      </w:r>
      <w:r w:rsidR="00442A93" w:rsidRPr="00804121">
        <w:t>. More recent investigations of TBI</w:t>
      </w:r>
      <w:r w:rsidR="00B625AA" w:rsidRPr="00804121">
        <w:t xml:space="preserve"> have found that acquired naming difficulties</w:t>
      </w:r>
      <w:r w:rsidR="00C54C0B" w:rsidRPr="00804121">
        <w:t>,</w:t>
      </w:r>
      <w:r w:rsidR="00B625AA" w:rsidRPr="00804121">
        <w:t xml:space="preserve"> and damage to regions of the inferior frontal gyrus</w:t>
      </w:r>
      <w:r w:rsidR="00C54C0B" w:rsidRPr="00804121">
        <w:t xml:space="preserve"> </w:t>
      </w:r>
      <w:r w:rsidR="002D1A05" w:rsidRPr="00804121">
        <w:t xml:space="preserve">considered to support </w:t>
      </w:r>
      <w:r w:rsidR="00C54C0B" w:rsidRPr="00804121">
        <w:t>language,</w:t>
      </w:r>
      <w:r w:rsidR="00B625AA" w:rsidRPr="00804121">
        <w:t xml:space="preserve"> are associated with alexithymia (Hobson et al., 2018). </w:t>
      </w:r>
    </w:p>
    <w:p w14:paraId="1296FDC2" w14:textId="49202B6E" w:rsidR="00610993" w:rsidRPr="00804121" w:rsidRDefault="001172AB" w:rsidP="00610993">
      <w:pPr>
        <w:pStyle w:val="Newparagraph"/>
      </w:pPr>
      <w:r w:rsidRPr="00804121">
        <w:t>Another</w:t>
      </w:r>
      <w:r w:rsidR="00FB35D3" w:rsidRPr="00804121">
        <w:t xml:space="preserve"> population that could provide useful insight </w:t>
      </w:r>
      <w:r w:rsidR="00CD2518" w:rsidRPr="00804121">
        <w:t xml:space="preserve">into </w:t>
      </w:r>
      <w:r w:rsidR="00FB35D3" w:rsidRPr="00804121">
        <w:t xml:space="preserve">the role of acquired language problems in alexithymia is stroke patients. </w:t>
      </w:r>
      <w:r w:rsidR="00D60B1C" w:rsidRPr="00804121">
        <w:t>S</w:t>
      </w:r>
      <w:r w:rsidR="00610993" w:rsidRPr="00804121">
        <w:t xml:space="preserve">tudying alexithymia in stroke could provide important insights into the neurobiological underpinnings of emotional deficits </w:t>
      </w:r>
      <w:r w:rsidR="00610993" w:rsidRPr="00804121">
        <w:fldChar w:fldCharType="begin" w:fldLock="1"/>
      </w:r>
      <w:r w:rsidR="0012726A" w:rsidRPr="00804121">
        <w:instrText>ADDIN CSL_CITATION { "citationItems" : [ { "id" : "ITEM-1", "itemData" : { "DOI" : "10.1176/appi.neuropsych.14070169", "ISBN" : "0895-0172", "ISSN" : "0895-0172", "abstract" : "Objective: Alexithymia has been considered a personality trait characterized by difficulties identifying and describing feelings and an externally oriented thinking style. A high rate of alexithymia is reported among patients with psychiatric and psy- chosomatic disorders. In this review, the authors examined the literature regarding the prevalence and importance of alex- ithymia in patients with neurological disorders. Methods: A systematic search of the computerized databases MEDLINE and PubMed was conducted in order to identify papers on alexithymia in neurological disease. Key search terms used included \u201ctraumatic brain injury,\u201d\u201chead trauma,\u201d\u201chead injury,\u201d\u201cstroke,\u201d\u201cepilepsy,\u201d\u201cbrain tumor,\u201d\u201cmultiple sclerosis,\u201d\u201cAlzheimer\u2019s disease,\u201d\u201cParkinson\u2019s disease,\u201d\u201cHuntington\u2019s disease,\u201d\u201cGilles de la Tourette syndrome,\u201d\u201cdystonia,\u201d\u201cpsychogenic movement disorders,\u201d\u201cfunctional movement disorders,\u201d \u201cnonepileptic attacks,\u201d and \u201cnonepileptic seizures.\u201d These search terms were paired with \u201calexithymia.\u201d Results: Alexithymia seems to be a common feature of neurological disease, with most evidence available for patients with traumatic brain injury, stroke, and epilepsy. However, it is not clear how independent it is from affective disorders such as depression and anxiety, which are themselves very common in neurological conditions. Conclusions: Identification of alexithymia could be relevant for prognosis and therapeutic decisions in patients with neu- rological disease and is certainly worthy of further study. Tools with which to measure alexithymia and delineation from affective disorders and apathy are important methodological issues for future work.", "author" : [ { "dropping-particle" : "", "family" : "Ricciardi", "given" : "Lucia", "non-dropping-particle" : "", "parse-names" : false, "suffix" : "" }, { "dropping-particle" : "", "family" : "Demartini", "given" : "Benedetta", "non-dropping-particle" : "", "parse-names" : false, "suffix" : "" }, { "dropping-particle" : "", "family" : "Fotopoulou", "given" : "Aikaterini", "non-dropping-particle" : "", "parse-names" : false, "suffix" : "" }, { "dropping-particle" : "", "family" : "Edwards", "given" : "Mark J.", "non-dropping-particle" : "", "parse-names" : false, "suffix" : "" } ], "container-title" : "The Journal of Neuropsychiatry &amp; Clinical Neurosciences", "id" : "ITEM-1", "issue" : "November", "issued" : { "date-parts" : [ [ "2015" ] ] }, "page" : "1-9", "title" : "Alexithymia in Neurological Disease : A Review", "type" : "article-journal" }, "uris" : [ "http://www.mendeley.com/documents/?uuid=70d2bbbb-dce3-4a4b-98ff-afab841e5de0" ] } ], "mendeley" : { "formattedCitation" : "(Ricciardi, Demartini, Fotopoulou, &amp; Edwards, 2015)", "manualFormatting" : "(see Ricciardi, Demartini, Fotopoulou, &amp; Edwards, 2015)", "plainTextFormattedCitation" : "(Ricciardi, Demartini, Fotopoulou, &amp; Edwards, 2015)", "previouslyFormattedCitation" : "(Ricciardi, Demartini, Fotopoulou, &amp; Edwards, 2015)" }, "properties" : { "noteIndex" : 0 }, "schema" : "https://github.com/citation-style-language/schema/raw/master/csl-citation.json" }</w:instrText>
      </w:r>
      <w:r w:rsidR="00610993" w:rsidRPr="00804121">
        <w:fldChar w:fldCharType="separate"/>
      </w:r>
      <w:r w:rsidR="00610993" w:rsidRPr="00804121">
        <w:rPr>
          <w:noProof/>
        </w:rPr>
        <w:t>(</w:t>
      </w:r>
      <w:r w:rsidR="00D60B1C" w:rsidRPr="00804121">
        <w:rPr>
          <w:noProof/>
        </w:rPr>
        <w:t xml:space="preserve">see </w:t>
      </w:r>
      <w:r w:rsidR="00610993" w:rsidRPr="00804121">
        <w:rPr>
          <w:noProof/>
        </w:rPr>
        <w:t>Ricciardi, Demartini, Fotopoulou, &amp; Edwards, 2015)</w:t>
      </w:r>
      <w:r w:rsidR="00610993" w:rsidRPr="00804121">
        <w:fldChar w:fldCharType="end"/>
      </w:r>
      <w:r w:rsidR="00610993" w:rsidRPr="00804121">
        <w:t xml:space="preserve">, but such research could also </w:t>
      </w:r>
      <w:r w:rsidR="00784EF3" w:rsidRPr="00804121">
        <w:t xml:space="preserve">be used to </w:t>
      </w:r>
      <w:r w:rsidR="00610993" w:rsidRPr="00804121">
        <w:t xml:space="preserve">support </w:t>
      </w:r>
      <w:r w:rsidR="00D60B1C" w:rsidRPr="00804121">
        <w:t xml:space="preserve">better </w:t>
      </w:r>
      <w:r w:rsidR="00610993" w:rsidRPr="00804121">
        <w:t xml:space="preserve">emotional outcomes in stroke survivors. Alexithymia has been suggested as an explanation for the socio-cognitive and socio-affective problems reported in stroke patients </w:t>
      </w:r>
      <w:r w:rsidR="00610993" w:rsidRPr="00804121">
        <w:fldChar w:fldCharType="begin" w:fldLock="1"/>
      </w:r>
      <w:r w:rsidR="0012726A" w:rsidRPr="00804121">
        <w:instrText>ADDIN CSL_CITATION { "citationItems" : [ { "id" : "ITEM-1", "itemData" : { "DOI" : "10.1016/j.apmr.2019.01.023", "ISBN" : "1111111111", "ISSN" : "1532821X", "abstract" : "Objective: To examine the presence of social cognition deficits and the relationship between social and general cognition (eg, attention, mental speed, verbal, visual, or memory abilities) in a large sample of chronic stroke patients and to identify stroke-related factors associated with social cognitive performance. Design: Inception cohort study in which social cognition was assessed at 3-4 years post stroke. Setting: Stroke units in 6 general hospitals. Participants: The data of 148 patients were available. Fifty controls without stroke (consisting of partners of patients and acquaintances of researchers) were recruited (N=198). Interventions: Not applicable. Main Outcome Measures: Patients underwent neuropsychological assessment by means of tests for social cognition (emotion recognition, theory of mind [ToM], empathy, and behavior regulation) and general cognition. Subgroup analysis was performed to compare right hemisphere stroke patients with left hemisphere stroke patients. Correlations between general and social cognition tests were assessed. Multiple regression analyses were performed to identify demographic and stroke-related predictors of social cognitive performance. Results: Patients performed significantly worse on emotion recognition (assessed with the Ekman 60-Faces test on total score as well as on the emotion anger), ToM (assessed with the Cartoon test), and behavior regulation (assessed with the Hayling test). Subgroup analysis revealed no differences between right and left hemisphere patients. Social cognition tests showed significant correlations with each other and with tests for visual perception, language, mental speed, cognitive flexibility, and memory. Older age, low level of education (and for ToM, also female sex) were predictors of worse performance on social cognition tests. Conclusion: Social cognition impairments are present in the long term post stroke, even in a group of mildly affected stroke patients, which may contribute to their long-term problems. Severity of impairments is determined mainly by demographic factors.", "author" : [ { "dropping-particle" : "", "family" : "Nijsse", "given" : "Britta", "non-dropping-particle" : "", "parse-names" : false, "suffix" : "" }, { "dropping-particle" : "", "family" : "Spikman", "given" : "Jacoba M.", "non-dropping-particle" : "", "parse-names" : false, "suffix" : "" }, { "dropping-particle" : "", "family" : "Visser-Meily", "given" : "Johanna M.", "non-dropping-particle" : "", "parse-names" : false, "suffix" : "" }, { "dropping-particle" : "", "family" : "Kort", "given" : "Paul L.", "non-dropping-particle" : "de", "parse-names" : false, "suffix" : "" }, { "dropping-particle" : "", "family" : "Heugten", "given" : "Caroline M.", "non-dropping-particle" : "van", "parse-names" : false, "suffix" : "" } ], "container-title" : "Archives of Physical Medicine and Rehabilitation", "id" : "ITEM-1", "issued" : { "date-parts" : [ [ "2019" ] ] }, "page" : "1-15", "title" : "Social Cognition Impairments in the Long Term Post Stroke", "type" : "article-journal" }, "uris" : [ "http://www.mendeley.com/documents/?uuid=87946997-9912-42ef-a3e9-a0423cb03980" ] } ], "mendeley" : { "formattedCitation" : "(Nijsse, Spikman, Visser-Meily, de Kort, &amp; van Heugten, 2019)", "plainTextFormattedCitation" : "(Nijsse, Spikman, Visser-Meily, de Kort, &amp; van Heugten, 2019)", "previouslyFormattedCitation" : "(Nijsse, Spikman, Visser-Meily, de Kort, &amp; van Heugten, 2019)" }, "properties" : { "noteIndex" : 0 }, "schema" : "https://github.com/citation-style-language/schema/raw/master/csl-citation.json" }</w:instrText>
      </w:r>
      <w:r w:rsidR="00610993" w:rsidRPr="00804121">
        <w:fldChar w:fldCharType="separate"/>
      </w:r>
      <w:r w:rsidR="00610993" w:rsidRPr="00804121">
        <w:rPr>
          <w:noProof/>
        </w:rPr>
        <w:t>(Nijsse, Spikman, Visser-Meily, de Kort, &amp; van Heugten, 2019)</w:t>
      </w:r>
      <w:r w:rsidR="00610993" w:rsidRPr="00804121">
        <w:fldChar w:fldCharType="end"/>
      </w:r>
      <w:r w:rsidR="00D60B1C" w:rsidRPr="00804121">
        <w:t>.</w:t>
      </w:r>
      <w:r w:rsidR="00610993" w:rsidRPr="00804121">
        <w:t xml:space="preserve"> </w:t>
      </w:r>
      <w:r w:rsidR="00D60B1C" w:rsidRPr="00804121">
        <w:t>A</w:t>
      </w:r>
      <w:r w:rsidR="00610993" w:rsidRPr="00804121">
        <w:t>lexithymia may also have a role in a range of different mental health problems that frequently onset after stroke</w:t>
      </w:r>
      <w:r w:rsidR="00340B42" w:rsidRPr="00804121">
        <w:t>:</w:t>
      </w:r>
      <w:r w:rsidR="00610993" w:rsidRPr="00804121">
        <w:t xml:space="preserve"> alexithymia is a risk factor for </w:t>
      </w:r>
      <w:r w:rsidR="00784EF3" w:rsidRPr="00804121">
        <w:t>post-</w:t>
      </w:r>
      <w:r w:rsidR="00610993" w:rsidRPr="00804121">
        <w:t>stroke</w:t>
      </w:r>
      <w:r w:rsidR="00784EF3" w:rsidRPr="00804121">
        <w:t xml:space="preserve"> depression</w:t>
      </w:r>
      <w:r w:rsidR="00610993" w:rsidRPr="00804121">
        <w:t xml:space="preserve"> </w:t>
      </w:r>
      <w:r w:rsidR="00610993" w:rsidRPr="00804121">
        <w:fldChar w:fldCharType="begin" w:fldLock="1"/>
      </w:r>
      <w:r w:rsidR="0012726A" w:rsidRPr="00804121">
        <w:instrText>ADDIN CSL_CITATION { "citationItems" : [ { "id" : "ITEM-1", "itemData" : { "DOI" : "10.1016/j.eurpsy.2016.01.1426", "ISSN" : "09249338", "author" : [ { "dropping-particle" : "", "family" : "Su", "given" : "J. A.", "non-dropping-particle" : "", "parse-names" : false, "suffix" : "" } ], "container-title" : "European Psychiatry", "id" : "ITEM-1", "issued" : { "date-parts" : [ [ "2016" ] ] }, "page" : "S397", "title" : "Alexithymia and the incidence of post-stroke depression", "type" : "article-journal", "volume" : "33" }, "uris" : [ "http://www.mendeley.com/documents/?uuid=d620e031-2b02-4fc3-b6c7-24e3f63d2d83" ] }, { "id" : "ITEM-2", "itemData" : { "DOI" : "10.1097/01.JGP.0000194647.72654.a1", "ISSN" : "10647481", "abstract" : "Objective: Unawareness of impairment (anosognosia) is a phenomenon associated with right hemisphere lesions. Unawareness of emotion has rarely been studied. Methods: Patients (N = 50) with poststroke major depression were administered the Toronto, Ontario, Canada, Alexithymia Scale to assess impairment in identifying feelings (F1), describing feelings (F2), and externally oriented thinking (F3), After eight weeks of treatment with sertraline or fluoxetine, patients were reassessed. Results: Alexithymia was significantly associated with right hemisphere lesions. Patients with alexithymia had a significant improvement in identifying and describing feelings, but not in externally oriented thinking. In addition, cognitive functions improved after antidepressant treatment in patients without alexithymia with left lesions only. On the contrary, functional activities of daily living and depressive symptoms improved both in patients with alexithymia and those without alexithymia. Conclusions: The Unawareness of emotions is a common impairment after right hemisphere stroke. This disorder may be significantly improved by antidepressant treatment. \u00a9 2006 American Association for Geriatric Psychiatry.", "author" : [ { "dropping-particle" : "", "family" : "Spalletta", "given" : "Gianfranco", "non-dropping-particle" : "", "parse-names" : false, "suffix" : "" }, { "dropping-particle" : "", "family" : "Ripa", "given" : "Alessandra", "non-dropping-particle" : "", "parse-names" : false, "suffix" : "" }, { "dropping-particle" : "", "family" : "Bria", "given" : "Pietro", "non-dropping-particle" : "", "parse-names" : false, "suffix" : "" }, { "dropping-particle" : "", "family" : "Caltagirone", "given" : "Carlo", "non-dropping-particle" : "", "parse-names" : false, "suffix" : "" }, { "dropping-particle" : "", "family" : "Robinson", "given" : "Robert G.", "non-dropping-particle" : "", "parse-names" : false, "suffix" : "" } ], "container-title" : "American Journal of Geriatric Psychiatry", "id" : "ITEM-2", "issue" : "3", "issued" : { "date-parts" : [ [ "2006" ] ] }, "page" : "220-227", "publisher" : "American Association for Geriatric Psychiatry", "title" : "Response of emotional unawareness after stroke to antidepressant treatment", "type" : "article-journal", "volume" : "14" }, "uris" : [ "http://www.mendeley.com/documents/?uuid=6bc9add8-c7c7-40e1-8dee-41493803839c" ] }, { "id" : "ITEM-3", "itemData" : { "ISBN" : "0033-3174 (Print)\\r0033-3174 (Linking)", "ISSN" : "0033-3174", "PMID" : "11719633", "abstract" : "OBJECTIVE: Stroke patients suffer from a high rate of behavioral disorders, and the laterality of the lesion may affect the expression of emotional disturbances. This study tested the hypothesis that stroke patients with a lesion in the right hemisphere are at high risk of developing alexithymic features. METHODS: Forty-eight patients were interviewed with the Structured Clinical Interview for DSM-IV (patient edition), the Mini-Mental State Examination, the State-Trait Anxiety Inventory (state form), the Beck Depression Inventory, and the Toronto Alexithymia Scale (20-item version). Alexithymic differences between stroke patients with a lesion in the right hemisphere and those with a lesion in the left hemisphere were computed by analysis of covariance, using scores on the Mini-Mental State Examination, Beck Depression Inventory (psychic subscore), and State-Trait Anxiety Inventory as covariates and the score on the Toronto Alexithymia Scale as the dependent variable. A multivariate analysis of covariance and a series of follow-up analyses of covariance with the same covariates were used to discriminate differences in subscores on the Toronto Alexithymia Scale. An exploratory analysis of covariance was also performed to determine the effect of gender on alexithymic features in both groups of stroke patients. RESULTS: The 21 stroke patients with a lesion in the right hemisphere were more alexithymic than the 27 patients with a lesion in the left hemisphere. This evidence was strengthened by the categorical analysis: 48% of the patients with a right-hemisphere lesion had alexithymia, compared with 22% of patients with a left-hemisphere lesion. Univariate analyses of covariance showed significant differences between the two groups in difficulty identifying feelings and difficulty describing feelings, but not in externally oriented thinking. The last exploratory analysis of covariance suggested that gender may influence alexithymic features. CONCLUSIONS: This study provides direct evidence that alexithymia, and more specifically difficulty identifying feelings and difficulty describing feelings, is more common in stroke patients with a right-hemisphere lesion than in those with a left-hemisphere lesion. It also provides preliminary evidence that gender may affect alexithymic expression.", "author" : [ { "dropping-particle" : "", "family" : "Spalletta", "given" : "Gianfranco", "non-dropping-particle" : "", "parse-names" : false, "suffix" : "" }, { "dropping-particle" : "", "family" : "Pasini", "given" : "A", "non-dropping-particle" : "", "parse-names" : false, "suffix" : "" }, { "dropping-particle" : "", "family" : "Costa", "given" : "A", "non-dropping-particle" : "", "parse-names" : false, "suffix" : "" }, { "dropping-particle" : "", "family" : "Angelis", "given" : "D", "non-dropping-particle" : "De", "parse-names" : false, "suffix" : "" }, { "dropping-particle" : "", "family" : "Ramundo", "given" : "N", "non-dropping-particle" : "", "parse-names" : false, "suffix" : "" }, { "dropping-particle" : "", "family" : "Paolucci", "given" : "S", "non-dropping-particle" : "", "parse-names" : false, "suffix" : "" }, { "dropping-particle" : "", "family" : "Caltagirone", "given" : "C", "non-dropping-particle" : "", "parse-names" : false, "suffix" : "" } ], "container-title" : "Psychosom Med", "id" : "ITEM-3", "issue" : "6", "issued" : { "date-parts" : [ [ "2001" ] ] }, "page" : "944-950", "title" : "Alexithymic features in stroke: effects of laterality and gender", "type" : "article-journal", "volume" : "63" }, "uris" : [ "http://www.mendeley.com/documents/?uuid=1ac372ef-a1eb-4954-9501-056815bf9bad" ] } ], "mendeley" : { "formattedCitation" : "(Spalletta et al., 2001; Spalletta, Ripa, Bria, Caltagirone, &amp; Robinson, 2006; Su, 2016)", "plainTextFormattedCitation" : "(Spalletta et al., 2001; Spalletta, Ripa, Bria, Caltagirone, &amp; Robinson, 2006; Su, 2016)", "previouslyFormattedCitation" : "(Spalletta et al., 2001; Spalletta, Ripa, Bria, Caltagirone, &amp; Robinson, 2006; Su, 2016)" }, "properties" : { "noteIndex" : 0 }, "schema" : "https://github.com/citation-style-language/schema/raw/master/csl-citation.json" }</w:instrText>
      </w:r>
      <w:r w:rsidR="00610993" w:rsidRPr="00804121">
        <w:fldChar w:fldCharType="separate"/>
      </w:r>
      <w:r w:rsidR="00340B42" w:rsidRPr="00804121">
        <w:rPr>
          <w:noProof/>
        </w:rPr>
        <w:t>(Spalletta et al., 2001; Spalletta, Ripa, Bria, Caltagirone, &amp; Robinson, 2006; Su, 2016)</w:t>
      </w:r>
      <w:r w:rsidR="00610993" w:rsidRPr="00804121">
        <w:fldChar w:fldCharType="end"/>
      </w:r>
      <w:r w:rsidR="00610993" w:rsidRPr="00804121">
        <w:t>, as also appears to be the case in short-term post-stroke PTSD</w:t>
      </w:r>
      <w:r w:rsidR="00340B42" w:rsidRPr="00804121">
        <w:t xml:space="preserve"> </w:t>
      </w:r>
      <w:r w:rsidR="00340B42" w:rsidRPr="00804121">
        <w:fldChar w:fldCharType="begin" w:fldLock="1"/>
      </w:r>
      <w:r w:rsidR="0012726A" w:rsidRPr="00804121">
        <w:instrText>ADDIN CSL_CITATION { "citationItems" : [ { "id" : "ITEM-1", "itemData" : { "DOI" : "10.1016/j.psychres.2010.10.002", "ISSN" : "01651781", "abstract" : "More research is needed to further our understanding of posttraumatic stress disorder symptoms (PTSD) and psychiatric co-morbidity following stroke, especially the trajectories of such symptoms over time. Previous studies suggest that exposure to a traumatic experience such as stroke is not sufficient to explain the etiology of PTSD. Alexithymia may be involved, but its relationships with PTSD and psychiatric co-morbidity following stroke remains unclear. This study aims to address these knowledge gaps. While in hospital, stroke patients (n = 90) completed questionnaires assessing PTSD symptoms, psychiatric co-morbidity, alexithymia and physical disability. PTSD symptoms and psychiatric co-morbidity were re-assessed approximately 3. months post-stroke (n = 78). The severity of post-stroke PTSD did not change significantly over time, while psychiatric co-morbidity reduced significantly. Alexithymia, in particular difficulty in identifying feelings, was associated with severity of post-stroke PTSD and psychiatric co-morbidity at baseline, but after adjusting for these, there was no significance 3. months post-stroke. We suggest that patients' difficulty in identifying feelings had a role to play in influencing relatively short-term rather than long-term PTSD and co-morbid psychiatric symptoms. Alternatively, PTSD could be interpreted as driving the alexithymic characteristics. \u00a9 2010 Elsevier Ltd.", "author" : [ { "dropping-particle" : "", "family" : "Wang", "given" : "Xu", "non-dropping-particle" : "", "parse-names" : false, "suffix" : "" }, { "dropping-particle" : "", "family" : "Chung", "given" : "Man Cheung", "non-dropping-particle" : "", "parse-names" : false, "suffix" : "" }, { "dropping-particle" : "", "family" : "Hyland", "given" : "Michael E.", "non-dropping-particle" : "", "parse-names" : false, "suffix" : "" }, { "dropping-particle" : "", "family" : "Bahkeit", "given" : "Magid", "non-dropping-particle" : "", "parse-names" : false, "suffix" : "" } ], "container-title" : "Psychiatry Research", "id" : "ITEM-1", "issue" : "1", "issued" : { "date-parts" : [ [ "2011" ] ] }, "page" : "51-57", "publisher" : "Elsevier Ltd", "title" : "Posttraumatic stress disorder and psychiatric co-morbidity following stroke: The role of alexithymia", "type" : "article-journal", "volume" : "188" }, "uris" : [ "http://www.mendeley.com/documents/?uuid=1a0963c4-73cd-4cb7-b88b-f414cceb8f56" ] } ], "mendeley" : { "formattedCitation" : "(Wang, Chung, Hyland, &amp; Bahkeit, 2011)", "plainTextFormattedCitation" : "(Wang, Chung, Hyland, &amp; Bahkeit, 2011)", "previouslyFormattedCitation" : "(Wang, Chung, Hyland, &amp; Bahkeit, 2011)" }, "properties" : { "noteIndex" : 0 }, "schema" : "https://github.com/citation-style-language/schema/raw/master/csl-citation.json" }</w:instrText>
      </w:r>
      <w:r w:rsidR="00340B42" w:rsidRPr="00804121">
        <w:fldChar w:fldCharType="separate"/>
      </w:r>
      <w:r w:rsidR="00340B42" w:rsidRPr="00804121">
        <w:rPr>
          <w:noProof/>
        </w:rPr>
        <w:t>(Wang, Chung, Hyland, &amp; Bahkeit, 2011)</w:t>
      </w:r>
      <w:r w:rsidR="00340B42" w:rsidRPr="00804121">
        <w:fldChar w:fldCharType="end"/>
      </w:r>
      <w:r w:rsidR="00610993" w:rsidRPr="00804121">
        <w:t xml:space="preserve">. </w:t>
      </w:r>
      <w:r w:rsidR="00D60B1C" w:rsidRPr="00804121">
        <w:t>A</w:t>
      </w:r>
      <w:r w:rsidR="00610993" w:rsidRPr="00804121">
        <w:t>nxiety is a common mental health problem following stroke (Barker-</w:t>
      </w:r>
      <w:proofErr w:type="spellStart"/>
      <w:r w:rsidR="00610993" w:rsidRPr="00804121">
        <w:t>Collo</w:t>
      </w:r>
      <w:proofErr w:type="spellEnd"/>
      <w:r w:rsidR="00610993" w:rsidRPr="00804121">
        <w:t>, 2007); as yet, it is unclear whether alexithymia predicts post-stroke anxiety as it does depression, but anxiety is predicted by alexithymia</w:t>
      </w:r>
      <w:r w:rsidR="00D5751E" w:rsidRPr="00804121">
        <w:t xml:space="preserve"> in other populations</w:t>
      </w:r>
      <w:r w:rsidR="00610993" w:rsidRPr="00804121">
        <w:t xml:space="preserve"> (e.g. </w:t>
      </w:r>
      <w:r w:rsidR="00610993" w:rsidRPr="00804121">
        <w:rPr>
          <w:noProof/>
        </w:rPr>
        <w:t>Eizaguirre, de Cabezon, de Alda, Olariaga, &amp; Juaniz, 2004</w:t>
      </w:r>
      <w:r w:rsidR="00610993" w:rsidRPr="00804121">
        <w:t xml:space="preserve">). </w:t>
      </w:r>
    </w:p>
    <w:p w14:paraId="08564069" w14:textId="0D1791DB" w:rsidR="00AE1D25" w:rsidRPr="00804121" w:rsidRDefault="00D5751E" w:rsidP="00D5751E">
      <w:pPr>
        <w:pStyle w:val="Newparagraph"/>
      </w:pPr>
      <w:r w:rsidRPr="00804121">
        <w:t xml:space="preserve">What factors appear to predict alexithymia in stroke survivors? </w:t>
      </w:r>
      <w:r w:rsidR="000A7F7C" w:rsidRPr="00804121">
        <w:t xml:space="preserve">Thus far, data </w:t>
      </w:r>
      <w:r w:rsidR="008114A1" w:rsidRPr="00804121">
        <w:t xml:space="preserve">have </w:t>
      </w:r>
      <w:r w:rsidR="000A7F7C" w:rsidRPr="00804121">
        <w:t xml:space="preserve">suggested that damage to the right hemisphere is more strongly associated with acquired alexithymia </w:t>
      </w:r>
      <w:r w:rsidR="00D60B1C" w:rsidRPr="00804121">
        <w:t xml:space="preserve">than left hemisphere damage </w:t>
      </w:r>
      <w:r w:rsidR="000A7F7C" w:rsidRPr="00804121">
        <w:fldChar w:fldCharType="begin" w:fldLock="1"/>
      </w:r>
      <w:r w:rsidR="0012726A" w:rsidRPr="00804121">
        <w:instrText>ADDIN CSL_CITATION { "citationItems" : [ { "id" : "ITEM-1", "itemData" : { "ISBN" : "0033-3174 (Print)\\r0033-3174 (Linking)", "ISSN" : "0033-3174", "PMID" : "11719633", "abstract" : "OBJECTIVE: Stroke patients suffer from a high rate of behavioral disorders, and the laterality of the lesion may affect the expression of emotional disturbances. This study tested the hypothesis that stroke patients with a lesion in the right hemisphere are at high risk of developing alexithymic features. METHODS: Forty-eight patients were interviewed with the Structured Clinical Interview for DSM-IV (patient edition), the Mini-Mental State Examination, the State-Trait Anxiety Inventory (state form), the Beck Depression Inventory, and the Toronto Alexithymia Scale (20-item version). Alexithymic differences between stroke patients with a lesion in the right hemisphere and those with a lesion in the left hemisphere were computed by analysis of covariance, using scores on the Mini-Mental State Examination, Beck Depression Inventory (psychic subscore), and State-Trait Anxiety Inventory as covariates and the score on the Toronto Alexithymia Scale as the dependent variable. A multivariate analysis of covariance and a series of follow-up analyses of covariance with the same covariates were used to discriminate differences in subscores on the Toronto Alexithymia Scale. An exploratory analysis of covariance was also performed to determine the effect of gender on alexithymic features in both groups of stroke patients. RESULTS: The 21 stroke patients with a lesion in the right hemisphere were more alexithymic than the 27 patients with a lesion in the left hemisphere. This evidence was strengthened by the categorical analysis: 48% of the patients with a right-hemisphere lesion had alexithymia, compared with 22% of patients with a left-hemisphere lesion. Univariate analyses of covariance showed significant differences between the two groups in difficulty identifying feelings and difficulty describing feelings, but not in externally oriented thinking. The last exploratory analysis of covariance suggested that gender may influence alexithymic features. CONCLUSIONS: This study provides direct evidence that alexithymia, and more specifically difficulty identifying feelings and difficulty describing feelings, is more common in stroke patients with a right-hemisphere lesion than in those with a left-hemisphere lesion. It also provides preliminary evidence that gender may affect alexithymic expression.", "author" : [ { "dropping-particle" : "", "family" : "Spalletta", "given" : "Gianfranco", "non-dropping-particle" : "", "parse-names" : false, "suffix" : "" }, { "dropping-particle" : "", "family" : "Pasini", "given" : "A", "non-dropping-particle" : "", "parse-names" : false, "suffix" : "" }, { "dropping-particle" : "", "family" : "Costa", "given" : "A", "non-dropping-particle" : "", "parse-names" : false, "suffix" : "" }, { "dropping-particle" : "", "family" : "Angelis", "given" : "D", "non-dropping-particle" : "De", "parse-names" : false, "suffix" : "" }, { "dropping-particle" : "", "family" : "Ramundo", "given" : "N", "non-dropping-particle" : "", "parse-names" : false, "suffix" : "" }, { "dropping-particle" : "", "family" : "Paolucci", "given" : "S", "non-dropping-particle" : "", "parse-names" : false, "suffix" : "" }, { "dropping-particle" : "", "family" : "Caltagirone", "given" : "C", "non-dropping-particle" : "", "parse-names" : false, "suffix" : "" } ], "container-title" : "Psychosom Med", "id" : "ITEM-1", "issue" : "6", "issued" : { "date-parts" : [ [ "2001" ] ] }, "page" : "944-950", "title" : "Alexithymic features in stroke: effects of laterality and gender", "type" : "article-journal", "volume" : "63" }, "uris" : [ "http://www.mendeley.com/documents/?uuid=1ac372ef-a1eb-4954-9501-056815bf9bad" ] }, { "id" : "ITEM-2", "itemData" : { "DOI" : "10.1097/01.JGP.0000194647.72654.a1", "ISSN" : "10647481", "abstract" : "Objective: Unawareness of impairment (anosognosia) is a phenomenon associated with right hemisphere lesions. Unawareness of emotion has rarely been studied. Methods: Patients (N = 50) with poststroke major depression were administered the Toronto, Ontario, Canada, Alexithymia Scale to assess impairment in identifying feelings (F1), describing feelings (F2), and externally oriented thinking (F3), After eight weeks of treatment with sertraline or fluoxetine, patients were reassessed. Results: Alexithymia was significantly associated with right hemisphere lesions. Patients with alexithymia had a significant improvement in identifying and describing feelings, but not in externally oriented thinking. In addition, cognitive functions improved after antidepressant treatment in patients without alexithymia with left lesions only. On the contrary, functional activities of daily living and depressive symptoms improved both in patients with alexithymia and those without alexithymia. Conclusions: The Unawareness of emotions is a common impairment after right hemisphere stroke. This disorder may be significantly improved by antidepressant treatment. \u00a9 2006 American Association for Geriatric Psychiatry.", "author" : [ { "dropping-particle" : "", "family" : "Spalletta", "given" : "Gianfranco", "non-dropping-particle" : "", "parse-names" : false, "suffix" : "" }, { "dropping-particle" : "", "family" : "Ripa", "given" : "Alessandra", "non-dropping-particle" : "", "parse-names" : false, "suffix" : "" }, { "dropping-particle" : "", "family" : "Bria", "given" : "Pietro", "non-dropping-particle" : "", "parse-names" : false, "suffix" : "" }, { "dropping-particle" : "", "family" : "Caltagirone", "given" : "Carlo", "non-dropping-particle" : "", "parse-names" : false, "suffix" : "" }, { "dropping-particle" : "", "family" : "Robinson", "given" : "Robert G.", "non-dropping-particle" : "", "parse-names" : false, "suffix" : "" } ], "container-title" : "American Journal of Geriatric Psychiatry", "id" : "ITEM-2", "issue" : "3", "issued" : { "date-parts" : [ [ "2006" ] ] }, "page" : "220-227", "publisher" : "American Association for Geriatric Psychiatry", "title" : "Response of emotional unawareness after stroke to antidepressant treatment", "type" : "article-journal", "volume" : "14" }, "uris" : [ "http://www.mendeley.com/documents/?uuid=6bc9add8-c7c7-40e1-8dee-41493803839c" ] } ], "mendeley" : { "formattedCitation" : "(Spalletta et al., 2001, 2006)", "plainTextFormattedCitation" : "(Spalletta et al., 2001, 2006)", "previouslyFormattedCitation" : "(Spalletta et al., 2001, 2006)" }, "properties" : { "noteIndex" : 0 }, "schema" : "https://github.com/citation-style-language/schema/raw/master/csl-citation.json" }</w:instrText>
      </w:r>
      <w:r w:rsidR="000A7F7C" w:rsidRPr="00804121">
        <w:fldChar w:fldCharType="separate"/>
      </w:r>
      <w:r w:rsidR="00340B42" w:rsidRPr="00804121">
        <w:rPr>
          <w:noProof/>
        </w:rPr>
        <w:t>(Spalletta et al., 2001, 2006)</w:t>
      </w:r>
      <w:r w:rsidR="000A7F7C" w:rsidRPr="00804121">
        <w:fldChar w:fldCharType="end"/>
      </w:r>
      <w:r w:rsidR="00CB604C" w:rsidRPr="00804121">
        <w:rPr>
          <w:rStyle w:val="CommentReference"/>
        </w:rPr>
        <w:t>.</w:t>
      </w:r>
      <w:r w:rsidR="009D73D7" w:rsidRPr="00804121">
        <w:t xml:space="preserve"> </w:t>
      </w:r>
      <w:proofErr w:type="spellStart"/>
      <w:r w:rsidR="00CB604C" w:rsidRPr="00804121">
        <w:t>Spalletta</w:t>
      </w:r>
      <w:proofErr w:type="spellEnd"/>
      <w:r w:rsidR="00CB604C" w:rsidRPr="00804121">
        <w:t xml:space="preserve"> et al (2006) compared alexithymic versus non-alexithymic stroke </w:t>
      </w:r>
      <w:proofErr w:type="gramStart"/>
      <w:r w:rsidR="00CB604C" w:rsidRPr="00804121">
        <w:t>patients, and</w:t>
      </w:r>
      <w:proofErr w:type="gramEnd"/>
      <w:r w:rsidR="00CB604C" w:rsidRPr="00804121">
        <w:t xml:space="preserve"> found that the alexithymic group were significantly more likely to have right hemisphere damage than the non-alexithymic group.</w:t>
      </w:r>
      <w:r w:rsidR="005A1091" w:rsidRPr="00804121">
        <w:t xml:space="preserve"> </w:t>
      </w:r>
      <w:r w:rsidR="00CB604C" w:rsidRPr="00804121">
        <w:t xml:space="preserve">An earlier paper </w:t>
      </w:r>
      <w:r w:rsidR="00CB604C" w:rsidRPr="00804121">
        <w:fldChar w:fldCharType="begin" w:fldLock="1"/>
      </w:r>
      <w:r w:rsidR="0012726A" w:rsidRPr="00804121">
        <w:instrText>ADDIN CSL_CITATION { "citationItems" : [ { "id" : "ITEM-1", "itemData" : { "ISBN" : "0033-3174 (Print)\\r0033-3174 (Linking)", "ISSN" : "0033-3174", "PMID" : "11719633", "abstract" : "OBJECTIVE: Stroke patients suffer from a high rate of behavioral disorders, and the laterality of the lesion may affect the expression of emotional disturbances. This study tested the hypothesis that stroke patients with a lesion in the right hemisphere are at high risk of developing alexithymic features. METHODS: Forty-eight patients were interviewed with the Structured Clinical Interview for DSM-IV (patient edition), the Mini-Mental State Examination, the State-Trait Anxiety Inventory (state form), the Beck Depression Inventory, and the Toronto Alexithymia Scale (20-item version). Alexithymic differences between stroke patients with a lesion in the right hemisphere and those with a lesion in the left hemisphere were computed by analysis of covariance, using scores on the Mini-Mental State Examination, Beck Depression Inventory (psychic subscore), and State-Trait Anxiety Inventory as covariates and the score on the Toronto Alexithymia Scale as the dependent variable. A multivariate analysis of covariance and a series of follow-up analyses of covariance with the same covariates were used to discriminate differences in subscores on the Toronto Alexithymia Scale. An exploratory analysis of covariance was also performed to determine the effect of gender on alexithymic features in both groups of stroke patients. RESULTS: The 21 stroke patients with a lesion in the right hemisphere were more alexithymic than the 27 patients with a lesion in the left hemisphere. This evidence was strengthened by the categorical analysis: 48% of the patients with a right-hemisphere lesion had alexithymia, compared with 22% of patients with a left-hemisphere lesion. Univariate analyses of covariance showed significant differences between the two groups in difficulty identifying feelings and difficulty describing feelings, but not in externally oriented thinking. The last exploratory analysis of covariance suggested that gender may influence alexithymic features. CONCLUSIONS: This study provides direct evidence that alexithymia, and more specifically difficulty identifying feelings and difficulty describing feelings, is more common in stroke patients with a right-hemisphere lesion than in those with a left-hemisphere lesion. It also provides preliminary evidence that gender may affect alexithymic expression.", "author" : [ { "dropping-particle" : "", "family" : "Spalletta", "given" : "Gianfranco", "non-dropping-particle" : "", "parse-names" : false, "suffix" : "" }, { "dropping-particle" : "", "family" : "Pasini", "given" : "A", "non-dropping-particle" : "", "parse-names" : false, "suffix" : "" }, { "dropping-particle" : "", "family" : "Costa", "given" : "A", "non-dropping-particle" : "", "parse-names" : false, "suffix" : "" }, { "dropping-particle" : "", "family" : "Angelis", "given" : "D", "non-dropping-particle" : "De", "parse-names" : false, "suffix" : "" }, { "dropping-particle" : "", "family" : "Ramundo", "given" : "N", "non-dropping-particle" : "", "parse-names" : false, "suffix" : "" }, { "dropping-particle" : "", "family" : "Paolucci", "given" : "S", "non-dropping-particle" : "", "parse-names" : false, "suffix" : "" }, { "dropping-particle" : "", "family" : "Caltagirone", "given" : "C", "non-dropping-particle" : "", "parse-names" : false, "suffix" : "" } ], "container-title" : "Psychosom Med", "id" : "ITEM-1", "issue" : "6", "issued" : { "date-parts" : [ [ "2001" ] ] }, "page" : "944-950", "title" : "Alexithymic features in stroke: effects of laterality and gender", "type" : "article-journal", "volume" : "63" }, "uris" : [ "http://www.mendeley.com/documents/?uuid=1ac372ef-a1eb-4954-9501-056815bf9bad" ] } ], "mendeley" : { "formattedCitation" : "(Spalletta et al., 2001)", "plainTextFormattedCitation" : "(Spalletta et al., 2001)", "previouslyFormattedCitation" : "(Spalletta et al., 2001)" }, "properties" : { "noteIndex" : 0 }, "schema" : "https://github.com/citation-style-language/schema/raw/master/csl-citation.json" }</w:instrText>
      </w:r>
      <w:r w:rsidR="00CB604C" w:rsidRPr="00804121">
        <w:fldChar w:fldCharType="separate"/>
      </w:r>
      <w:r w:rsidR="00CB604C" w:rsidRPr="00804121">
        <w:rPr>
          <w:noProof/>
        </w:rPr>
        <w:t>(Spalletta et al., 2001)</w:t>
      </w:r>
      <w:r w:rsidR="00CB604C" w:rsidRPr="00804121">
        <w:fldChar w:fldCharType="end"/>
      </w:r>
      <w:r w:rsidR="00CB604C" w:rsidRPr="00804121">
        <w:t xml:space="preserve"> </w:t>
      </w:r>
      <w:r w:rsidR="009D73D7" w:rsidRPr="00804121">
        <w:t>compared patients with right versus left hemisphere damage following stroke on their</w:t>
      </w:r>
      <w:r w:rsidR="00AE1D25" w:rsidRPr="00804121">
        <w:t xml:space="preserve"> average alexithymia score</w:t>
      </w:r>
      <w:r w:rsidR="009D73D7" w:rsidRPr="00804121">
        <w:t>,</w:t>
      </w:r>
      <w:r w:rsidR="00AE1D25" w:rsidRPr="00804121">
        <w:t xml:space="preserve"> and </w:t>
      </w:r>
      <w:r w:rsidR="00CB604C" w:rsidRPr="00804121">
        <w:t>categorization as</w:t>
      </w:r>
      <w:r w:rsidR="00AE1D25" w:rsidRPr="00804121">
        <w:t xml:space="preserve"> non-alexithymic, borderline alexithymic or alexithymi</w:t>
      </w:r>
      <w:r w:rsidR="00CB604C" w:rsidRPr="00804121">
        <w:t>c</w:t>
      </w:r>
      <w:r w:rsidR="00AE1D25" w:rsidRPr="00804121">
        <w:t xml:space="preserve"> (using conventional cut-offs)</w:t>
      </w:r>
      <w:r w:rsidR="009D73D7" w:rsidRPr="00804121">
        <w:t>.</w:t>
      </w:r>
      <w:r w:rsidR="00AE1D25" w:rsidRPr="00804121">
        <w:t xml:space="preserve"> They reported that while 48% of right hemisphere damage patients were alexithymic,</w:t>
      </w:r>
      <w:r w:rsidR="00F607EB" w:rsidRPr="00804121">
        <w:t xml:space="preserve"> only </w:t>
      </w:r>
      <w:r w:rsidR="00AE1D25" w:rsidRPr="00804121">
        <w:t>22% of patients with left hemisphere damage were alexithymic. However, these relative percentages reflect</w:t>
      </w:r>
      <w:r w:rsidR="009D73D7" w:rsidRPr="00804121">
        <w:t xml:space="preserve"> </w:t>
      </w:r>
      <w:r w:rsidR="00AE1D25" w:rsidRPr="00804121">
        <w:t xml:space="preserve">sample sizes of just 10 and 6 patients </w:t>
      </w:r>
      <w:r w:rsidR="00CE2A3E" w:rsidRPr="00804121">
        <w:t xml:space="preserve">(of their total sample of 48 patients) </w:t>
      </w:r>
      <w:r w:rsidR="00AE1D25" w:rsidRPr="00804121">
        <w:t>respectively. Notwithstanding this issue, average continuous alexithymia score was significantly higher in the right hemisphere damaged group.</w:t>
      </w:r>
    </w:p>
    <w:p w14:paraId="21492017" w14:textId="10485105" w:rsidR="00846488" w:rsidRPr="00804121" w:rsidRDefault="00D5751E" w:rsidP="00D5751E">
      <w:pPr>
        <w:pStyle w:val="Newparagraph"/>
      </w:pPr>
      <w:r w:rsidRPr="00804121">
        <w:t xml:space="preserve">Together, these findings have been interpreted as supporting the theory that the right hemisphere is dominant for emotional processes </w:t>
      </w:r>
      <w:r w:rsidRPr="00804121">
        <w:fldChar w:fldCharType="begin" w:fldLock="1"/>
      </w:r>
      <w:r w:rsidR="0012726A" w:rsidRPr="00804121">
        <w:instrText>ADDIN CSL_CITATION { "citationItems" : [ { "id" : "ITEM-1", "itemData" : { "DOI" : "10.1207/S15324826AN0901", "author" : [ { "dropping-particle" : "", "family" : "Borod", "given" : "Joan C", "non-dropping-particle" : "", "parse-names" : false, "suffix" : "" }, { "dropping-particle" : "", "family" : "Bloom", "given" : "Ronald L", "non-dropping-particle" : "", "parse-names" : false, "suffix" : "" }, { "dropping-particle" : "", "family" : "Brickman", "given" : "Adam M", "non-dropping-particle" : "", "parse-names" : false, "suffix" : "" }, { "dropping-particle" : "", "family" : "Nakhutina", "given" : "Luba", "non-dropping-particle" : "", "parse-names" : false, "suffix" : "" }, { "dropping-particle" : "", "family" : "Curko", "given" : "Elizabeth A", "non-dropping-particle" : "", "parse-names" : false, "suffix" : "" }, { "dropping-particle" : "", "family" : "Borod", "given" : "Joan C", "non-dropping-particle" : "", "parse-names" : false, "suffix" : "" }, { "dropping-particle" : "", "family" : "Bloom", "given" : "Ronald L", "non-dropping-particle" : "", "parse-names" : false, "suffix" : "" }, { "dropping-particle" : "", "family" : "Brickman", "given" : "Adam M", "non-dropping-particle" : "", "parse-names" : false, "suffix" : "" }, { "dropping-particle" : "", "family" : "Nakhutina", "given" : "Luba", "non-dropping-particle" : "", "parse-names" : false, "suffix" : "" }, { "dropping-particle" : "", "family" : "Curko", "given" : "Elizabeth A", "non-dropping-particle" : "", "parse-names" : false, "suffix" : "" } ], "id" : "ITEM-1", "issued" : { "date-parts" : [ [ "2010" ] ] }, "title" : "Emotional Processing Deficits in Individuals With Unilateral Brain Damage With Unilateral Brain Damage", "type" : "article-journal", "volume" : "4282" }, "uris" : [ "http://www.mendeley.com/documents/?uuid=06e13e76-8453-4b1c-907d-98e5a5d32d35" ] } ], "mendeley" : { "formattedCitation" : "(Borod et al., 2010)", "manualFormatting" : "(see Borod et al., 2010 for a review of evidence from patients with unilateral brain damage)", "plainTextFormattedCitation" : "(Borod et al., 2010)", "previouslyFormattedCitation" : "(Borod et al., 2010)" }, "properties" : { "noteIndex" : 0 }, "schema" : "https://github.com/citation-style-language/schema/raw/master/csl-citation.json" }</w:instrText>
      </w:r>
      <w:r w:rsidRPr="00804121">
        <w:fldChar w:fldCharType="separate"/>
      </w:r>
      <w:r w:rsidRPr="00804121">
        <w:rPr>
          <w:noProof/>
        </w:rPr>
        <w:t>(see Borod et al., 2010 for a review of evidence from patients with unilateral brain damage)</w:t>
      </w:r>
      <w:r w:rsidRPr="00804121">
        <w:fldChar w:fldCharType="end"/>
      </w:r>
      <w:r w:rsidRPr="00804121">
        <w:t xml:space="preserve">. </w:t>
      </w:r>
      <w:r w:rsidR="00A53CAD" w:rsidRPr="00804121">
        <w:t xml:space="preserve">Nonetheless, the left hemisphere appears to play </w:t>
      </w:r>
      <w:r w:rsidR="00784EF3" w:rsidRPr="00804121">
        <w:t xml:space="preserve">a </w:t>
      </w:r>
      <w:r w:rsidR="00A53CAD" w:rsidRPr="00804121">
        <w:t xml:space="preserve">role in </w:t>
      </w:r>
      <w:r w:rsidR="00BF04DC" w:rsidRPr="00804121">
        <w:t xml:space="preserve">at least some elements of </w:t>
      </w:r>
      <w:r w:rsidR="00A53CAD" w:rsidRPr="00804121">
        <w:t xml:space="preserve">emotion processing; a meta-analysis of fMRI studies examining processing of emotional faces concluded that both hemispheres are activated during these tasks </w:t>
      </w:r>
      <w:r w:rsidR="00A53CAD" w:rsidRPr="00804121">
        <w:fldChar w:fldCharType="begin" w:fldLock="1"/>
      </w:r>
      <w:r w:rsidR="0012726A" w:rsidRPr="00804121">
        <w:instrText>ADDIN CSL_CITATION { "citationItems" : [ { "id" : "ITEM-1", "itemData" : { "DOI" : "10.1016/j.neulet.2009.01.065", "ISSN" : "03043940", "abstract" : "Recognizing emotion from facial expressions draws on diverse psychological processes implemented in a large array of neural structures. Two major theories of cerebral lateralization of emotional perception have been proposed: (i) the Right-Hemisphere Hypothesis (RHH) and (ii) the Valence-Specific Hypothesis (VSH). To test these lateralization models we conducted a large voxel-based meta-analysis of current functional magnetic resonance imaging (fMRI) studies employing emotional faces paradigms in healthy volunteers. Two independent researchers conducted separate comprehensive PUBMED (1990-May 2008) searches to find all functional magnetic resonance imaging studies using a variant of the emotional faces paradigm in healthy subjects. Out of the 551 originally identified studies, 105 studies met inclusion criteria. The overall database consisted of 1785 brain coordinates which yield an overall sample of 1600 healthy subjects. We found no support for the hypothesis of overall right-lateralization of emotional processing. Conversely, across all emotional conditions the parahippocampal gyrus and amygdala, fusiform gyrus, lingual gyrus, precuneus, inferior and middle occipital gyrus, posterior cingulated, middle temporal gyrus, inferior frontal and superior frontal gyri were activated bilaterally (p = 0.001). There was a valence-specific lateralization of brain response during negative emotions processing in the left amygdala (p = 0.001). Significant interactions between the approach and avoidance dimensions and prefrontal response were observed (p = 0.001). \u00a9 2009 Elsevier Ireland Ltd. All rights reserved.", "author" : [ { "dropping-particle" : "", "family" : "Fusar-Poli", "given" : "P.", "non-dropping-particle" : "", "parse-names" : false, "suffix" : "" }, { "dropping-particle" : "", "family" : "Placentino", "given" : "A.", "non-dropping-particle" : "", "parse-names" : false, "suffix" : "" }, { "dropping-particle" : "", "family" : "Carletti", "given" : "F.", "non-dropping-particle" : "", "parse-names" : false, "suffix" : "" }, { "dropping-particle" : "", "family" : "Allen", "given" : "P.", "non-dropping-particle" : "", "parse-names" : false, "suffix" : "" }, { "dropping-particle" : "", "family" : "Landi", "given" : "P.", "non-dropping-particle" : "", "parse-names" : false, "suffix" : "" }, { "dropping-particle" : "", "family" : "Abbamonte", "given" : "M.", "non-dropping-particle" : "", "parse-names" : false, "suffix" : "" }, { "dropping-particle" : "", "family" : "Barale", "given" : "F.", "non-dropping-particle" : "", "parse-names" : false, "suffix" : "" }, { "dropping-particle" : "", "family" : "Perez", "given" : "J.", "non-dropping-particle" : "", "parse-names" : false, "suffix" : "" }, { "dropping-particle" : "", "family" : "McGuire", "given" : "P.", "non-dropping-particle" : "", "parse-names" : false, "suffix" : "" }, { "dropping-particle" : "", "family" : "Politi", "given" : "P. L.", "non-dropping-particle" : "", "parse-names" : false, "suffix" : "" } ], "container-title" : "Neuroscience Letters", "id" : "ITEM-1", "issue" : "3", "issued" : { "date-parts" : [ [ "2009" ] ] }, "page" : "262-267", "title" : "Laterality effect on emotional faces processing: ALE meta-analysis of evidence", "type" : "article-journal", "volume" : "452" }, "uris" : [ "http://www.mendeley.com/documents/?uuid=54c0c0fd-a8c9-470f-9344-6328f2bd4bbf" ] } ], "mendeley" : { "formattedCitation" : "(Fusar-Poli et al., 2009)", "plainTextFormattedCitation" : "(Fusar-Poli et al., 2009)", "previouslyFormattedCitation" : "(Fusar-Poli et al., 2009)" }, "properties" : { "noteIndex" : 0 }, "schema" : "https://github.com/citation-style-language/schema/raw/master/csl-citation.json" }</w:instrText>
      </w:r>
      <w:r w:rsidR="00A53CAD" w:rsidRPr="00804121">
        <w:fldChar w:fldCharType="separate"/>
      </w:r>
      <w:r w:rsidR="00A53CAD" w:rsidRPr="00804121">
        <w:rPr>
          <w:noProof/>
        </w:rPr>
        <w:t>(Fusar-Poli et al., 2009)</w:t>
      </w:r>
      <w:r w:rsidR="00A53CAD" w:rsidRPr="00804121">
        <w:fldChar w:fldCharType="end"/>
      </w:r>
      <w:r w:rsidR="00A53CAD" w:rsidRPr="00804121">
        <w:t xml:space="preserve">. </w:t>
      </w:r>
      <w:r w:rsidR="00D60B1C" w:rsidRPr="00804121">
        <w:t>Indeed, given that the left hemisphere is typically dominant for language processes, the language hypothesis of alexithymia put forward by Hobson et al (2018) would predict that left hemisphere damage, that disrupts language processes, should increase alexithymia.</w:t>
      </w:r>
    </w:p>
    <w:p w14:paraId="54BF49BD" w14:textId="5B6BC3AA" w:rsidR="000A7F7C" w:rsidRPr="00804121" w:rsidRDefault="00D60B1C" w:rsidP="00F035DD">
      <w:pPr>
        <w:pStyle w:val="Newparagraph"/>
      </w:pPr>
      <w:r w:rsidRPr="00804121">
        <w:t>In addition to region of damage</w:t>
      </w:r>
      <w:r w:rsidR="00784EF3" w:rsidRPr="00804121">
        <w:t>,</w:t>
      </w:r>
      <w:r w:rsidR="00522A66" w:rsidRPr="00804121">
        <w:t xml:space="preserve"> it is pertinent to consider how </w:t>
      </w:r>
      <w:r w:rsidRPr="00804121">
        <w:t xml:space="preserve">behavioural </w:t>
      </w:r>
      <w:r w:rsidR="00522A66" w:rsidRPr="00804121">
        <w:t>language problems pattern with alexithymia in stroke.</w:t>
      </w:r>
      <w:r w:rsidR="00846488" w:rsidRPr="00804121">
        <w:t xml:space="preserve"> </w:t>
      </w:r>
      <w:r w:rsidR="00D5751E" w:rsidRPr="00804121">
        <w:rPr>
          <w:color w:val="000000"/>
        </w:rPr>
        <w:t>Aphasia occurs in approximately one third of acute stroke cases (</w:t>
      </w:r>
      <w:proofErr w:type="spellStart"/>
      <w:r w:rsidR="00D5751E" w:rsidRPr="00804121">
        <w:rPr>
          <w:color w:val="000000"/>
        </w:rPr>
        <w:t>Engelter</w:t>
      </w:r>
      <w:proofErr w:type="spellEnd"/>
      <w:r w:rsidR="00D5751E" w:rsidRPr="00804121">
        <w:rPr>
          <w:color w:val="000000"/>
        </w:rPr>
        <w:t xml:space="preserve"> et al., 2006). </w:t>
      </w:r>
      <w:r w:rsidR="00A53CAD" w:rsidRPr="00804121">
        <w:t>I</w:t>
      </w:r>
      <w:r w:rsidR="000A7F7C" w:rsidRPr="00804121">
        <w:t xml:space="preserve">n </w:t>
      </w:r>
      <w:r w:rsidR="00CE2A3E" w:rsidRPr="00804121">
        <w:t xml:space="preserve">previous </w:t>
      </w:r>
      <w:r w:rsidR="000A7F7C" w:rsidRPr="00804121">
        <w:t xml:space="preserve">studies </w:t>
      </w:r>
      <w:r w:rsidR="00CE2A3E" w:rsidRPr="00804121">
        <w:fldChar w:fldCharType="begin" w:fldLock="1"/>
      </w:r>
      <w:r w:rsidR="0012726A" w:rsidRPr="00804121">
        <w:instrText>ADDIN CSL_CITATION { "citationItems" : [ { "id" : "ITEM-1", "itemData" : { "DOI" : "10.1097/01.JGP.0000194647.72654.a1", "ISSN" : "10647481", "abstract" : "Objective: Unawareness of impairment (anosognosia) is a phenomenon associated with right hemisphere lesions. Unawareness of emotion has rarely been studied. Methods: Patients (N = 50) with poststroke major depression were administered the Toronto, Ontario, Canada, Alexithymia Scale to assess impairment in identifying feelings (F1), describing feelings (F2), and externally oriented thinking (F3), After eight weeks of treatment with sertraline or fluoxetine, patients were reassessed. Results: Alexithymia was significantly associated with right hemisphere lesions. Patients with alexithymia had a significant improvement in identifying and describing feelings, but not in externally oriented thinking. In addition, cognitive functions improved after antidepressant treatment in patients without alexithymia with left lesions only. On the contrary, functional activities of daily living and depressive symptoms improved both in patients with alexithymia and those without alexithymia. Conclusions: The Unawareness of emotions is a common impairment after right hemisphere stroke. This disorder may be significantly improved by antidepressant treatment. \u00a9 2006 American Association for Geriatric Psychiatry.", "author" : [ { "dropping-particle" : "", "family" : "Spalletta", "given" : "Gianfranco", "non-dropping-particle" : "", "parse-names" : false, "suffix" : "" }, { "dropping-particle" : "", "family" : "Ripa", "given" : "Alessandra", "non-dropping-particle" : "", "parse-names" : false, "suffix" : "" }, { "dropping-particle" : "", "family" : "Bria", "given" : "Pietro", "non-dropping-particle" : "", "parse-names" : false, "suffix" : "" }, { "dropping-particle" : "", "family" : "Caltagirone", "given" : "Carlo", "non-dropping-particle" : "", "parse-names" : false, "suffix" : "" }, { "dropping-particle" : "", "family" : "Robinson", "given" : "Robert G.", "non-dropping-particle" : "", "parse-names" : false, "suffix" : "" } ], "container-title" : "American Journal of Geriatric Psychiatry", "id" : "ITEM-1", "issue" : "3", "issued" : { "date-parts" : [ [ "2006" ] ] }, "page" : "220-227", "publisher" : "American Association for Geriatric Psychiatry", "title" : "Response of emotional unawareness after stroke to antidepressant treatment", "type" : "article-journal", "volume" : "14" }, "uris" : [ "http://www.mendeley.com/documents/?uuid=6bc9add8-c7c7-40e1-8dee-41493803839c" ] }, { "id" : "ITEM-2", "itemData" : { "ISBN" : "0033-3174 (Print)\\r0033-3174 (Linking)", "ISSN" : "0033-3174", "PMID" : "11719633", "abstract" : "OBJECTIVE: Stroke patients suffer from a high rate of behavioral disorders, and the laterality of the lesion may affect the expression of emotional disturbances. This study tested the hypothesis that stroke patients with a lesion in the right hemisphere are at high risk of developing alexithymic features. METHODS: Forty-eight patients were interviewed with the Structured Clinical Interview for DSM-IV (patient edition), the Mini-Mental State Examination, the State-Trait Anxiety Inventory (state form), the Beck Depression Inventory, and the Toronto Alexithymia Scale (20-item version). Alexithymic differences between stroke patients with a lesion in the right hemisphere and those with a lesion in the left hemisphere were computed by analysis of covariance, using scores on the Mini-Mental State Examination, Beck Depression Inventory (psychic subscore), and State-Trait Anxiety Inventory as covariates and the score on the Toronto Alexithymia Scale as the dependent variable. A multivariate analysis of covariance and a series of follow-up analyses of covariance with the same covariates were used to discriminate differences in subscores on the Toronto Alexithymia Scale. An exploratory analysis of covariance was also performed to determine the effect of gender on alexithymic features in both groups of stroke patients. RESULTS: The 21 stroke patients with a lesion in the right hemisphere were more alexithymic than the 27 patients with a lesion in the left hemisphere. This evidence was strengthened by the categorical analysis: 48% of the patients with a right-hemisphere lesion had alexithymia, compared with 22% of patients with a left-hemisphere lesion. Univariate analyses of covariance showed significant differences between the two groups in difficulty identifying feelings and difficulty describing feelings, but not in externally oriented thinking. The last exploratory analysis of covariance suggested that gender may influence alexithymic features. CONCLUSIONS: This study provides direct evidence that alexithymia, and more specifically difficulty identifying feelings and difficulty describing feelings, is more common in stroke patients with a right-hemisphere lesion than in those with a left-hemisphere lesion. It also provides preliminary evidence that gender may affect alexithymic expression.", "author" : [ { "dropping-particle" : "", "family" : "Spalletta", "given" : "Gianfranco", "non-dropping-particle" : "", "parse-names" : false, "suffix" : "" }, { "dropping-particle" : "", "family" : "Pasini", "given" : "A", "non-dropping-particle" : "", "parse-names" : false, "suffix" : "" }, { "dropping-particle" : "", "family" : "Costa", "given" : "A", "non-dropping-particle" : "", "parse-names" : false, "suffix" : "" }, { "dropping-particle" : "", "family" : "Angelis", "given" : "D", "non-dropping-particle" : "De", "parse-names" : false, "suffix" : "" }, { "dropping-particle" : "", "family" : "Ramundo", "given" : "N", "non-dropping-particle" : "", "parse-names" : false, "suffix" : "" }, { "dropping-particle" : "", "family" : "Paolucci", "given" : "S", "non-dropping-particle" : "", "parse-names" : false, "suffix" : "" }, { "dropping-particle" : "", "family" : "Caltagirone", "given" : "C", "non-dropping-particle" : "", "parse-names" : false, "suffix" : "" } ], "container-title" : "Psychosom Med", "id" : "ITEM-2", "issue" : "6", "issued" : { "date-parts" : [ [ "2001" ] ] }, "page" : "944-950", "title" : "Alexithymic features in stroke: effects of laterality and gender", "type" : "article-journal", "volume" : "63" }, "uris" : [ "http://www.mendeley.com/documents/?uuid=1ac372ef-a1eb-4954-9501-056815bf9bad" ] } ], "mendeley" : { "formattedCitation" : "(Spalletta et al., 2001, 2006)", "manualFormatting" : "(e.g. Spalletta et al., 2001, 2006)", "plainTextFormattedCitation" : "(Spalletta et al., 2001, 2006)", "previouslyFormattedCitation" : "(Spalletta et al., 2001, 2006)" }, "properties" : { "noteIndex" : 0 }, "schema" : "https://github.com/citation-style-language/schema/raw/master/csl-citation.json" }</w:instrText>
      </w:r>
      <w:r w:rsidR="00CE2A3E" w:rsidRPr="00804121">
        <w:fldChar w:fldCharType="separate"/>
      </w:r>
      <w:r w:rsidR="00CE2A3E" w:rsidRPr="00804121">
        <w:rPr>
          <w:noProof/>
        </w:rPr>
        <w:t>(e.g. Spalletta et al., 2001, 2006)</w:t>
      </w:r>
      <w:r w:rsidR="00CE2A3E" w:rsidRPr="00804121">
        <w:fldChar w:fldCharType="end"/>
      </w:r>
      <w:r w:rsidR="00CE2A3E" w:rsidRPr="00804121">
        <w:t xml:space="preserve"> </w:t>
      </w:r>
      <w:r w:rsidR="000A7F7C" w:rsidRPr="00804121">
        <w:t>individuals with aphasia were excluded</w:t>
      </w:r>
      <w:r w:rsidR="005A1091" w:rsidRPr="00804121">
        <w:t xml:space="preserve">, </w:t>
      </w:r>
      <w:r w:rsidR="000A7F7C" w:rsidRPr="00804121">
        <w:t>a decision that may also have decreased evidence of an association between left hemisphere damage and alexithymia</w:t>
      </w:r>
      <w:r w:rsidR="00CE2A3E" w:rsidRPr="00804121">
        <w:t>, as patients with acquired language problems due to damage to left-hemisphere language areas would have been excluded</w:t>
      </w:r>
      <w:r w:rsidR="000A7F7C" w:rsidRPr="00804121">
        <w:t>.</w:t>
      </w:r>
      <w:r w:rsidR="005A1091" w:rsidRPr="00804121">
        <w:t xml:space="preserve"> </w:t>
      </w:r>
    </w:p>
    <w:p w14:paraId="385F49D0" w14:textId="34D827C0" w:rsidR="000A7F7C" w:rsidRPr="00804121" w:rsidRDefault="00A53CAD" w:rsidP="00F035DD">
      <w:pPr>
        <w:pStyle w:val="Newparagraph"/>
      </w:pPr>
      <w:r w:rsidRPr="00804121">
        <w:t xml:space="preserve">If communication problems were a contributing factor to alexithymia and therefore poorer </w:t>
      </w:r>
      <w:r w:rsidR="00CD7CA3" w:rsidRPr="00804121">
        <w:t xml:space="preserve">mental health outcomes, we would arguably expect an association between acquired communication problems and depression in stroke populations. It had previously been argued that stroke patients with left hemisphere damage were at greater risk of depression </w:t>
      </w:r>
      <w:r w:rsidR="00CD7CA3" w:rsidRPr="00804121">
        <w:fldChar w:fldCharType="begin" w:fldLock="1"/>
      </w:r>
      <w:r w:rsidR="0012726A" w:rsidRPr="00804121">
        <w:instrText>ADDIN CSL_CITATION { "citationItems" : [ { "id" : "ITEM-1", "itemData" : { "DOI" : "10.1161/01.STR.13.5.635", "ISSN" : "15244628", "abstract" : "One hundred three patients attending a stroke clinic were evaluated for post-stroke depressive disorders using repeated quantitative assessment of psychopathology during a 12 month period. Almost one-third of these patients were depressed at the time of the initial assessment and two-thirds of these depressed patients who were re-evaluated remained depressed for 7 to 8 months. The prevalence and severity of depressive disorders was significantly elevated in those patients who were between 6 months and 2 years post-stroke. Demographic variables however did not distinguish depressed and non-depressed patients, nor did type of neurological symptoms, degree of impairment in activities of daily living or global cognitive impairment. However, patients with left hemisphere brain injury were significantly more depressed than patients with right hemisphere or brain stem infarctions. Based on this work and previous studies, we have suggested a profile for patients who are at high risk for developing post stroke depressive disorders: patients with left hemisphere frontal lobe infarctions who are within 2 years of the stroke. In spite of the fact that these depressions were clinically significant, none of the patients were presently receiving treatment. Effective treatment methods for these patients need to be developed. \u00a9 1982 American Heart Association, Inc.", "author" : [ { "dropping-particle" : "", "family" : "Robinson", "given" : "R. G.", "non-dropping-particle" : "", "parse-names" : false, "suffix" : "" }, { "dropping-particle" : "", "family" : "Price", "given" : "T. R.", "non-dropping-particle" : "", "parse-names" : false, "suffix" : "" } ], "container-title" : "Stroke", "id" : "ITEM-1", "issue" : "5", "issued" : { "date-parts" : [ [ "1982" ] ] }, "page" : "635-641", "title" : "Post-stroke depressive disorders: A follow-up study of 103 patients", "type" : "article-journal", "volume" : "13" }, "uris" : [ "http://www.mendeley.com/documents/?uuid=090fac4d-6dde-44fa-8ba4-05ce896eaad1" ] } ], "mendeley" : { "formattedCitation" : "(Robinson &amp; Price, 1982)", "plainTextFormattedCitation" : "(Robinson &amp; Price, 1982)", "previouslyFormattedCitation" : "(Robinson &amp; Price, 1982)" }, "properties" : { "noteIndex" : 0 }, "schema" : "https://github.com/citation-style-language/schema/raw/master/csl-citation.json" }</w:instrText>
      </w:r>
      <w:r w:rsidR="00CD7CA3" w:rsidRPr="00804121">
        <w:fldChar w:fldCharType="separate"/>
      </w:r>
      <w:r w:rsidR="00CD7CA3" w:rsidRPr="00804121">
        <w:rPr>
          <w:noProof/>
        </w:rPr>
        <w:t>(Robinson &amp; Price, 1982)</w:t>
      </w:r>
      <w:r w:rsidR="00CD7CA3" w:rsidRPr="00804121">
        <w:fldChar w:fldCharType="end"/>
      </w:r>
      <w:r w:rsidR="00CD7CA3" w:rsidRPr="00804121">
        <w:t xml:space="preserve">, however a systematic review of depression in stroke patients did not find evidence of higher rates of depression in patients with left versus right lesions following stroke in hospital studies </w:t>
      </w:r>
      <w:r w:rsidR="00CD7CA3" w:rsidRPr="00804121">
        <w:fldChar w:fldCharType="begin" w:fldLock="1"/>
      </w:r>
      <w:r w:rsidR="0012726A" w:rsidRPr="00804121">
        <w:instrText>ADDIN CSL_CITATION { "citationItems" : [ { "id" : "ITEM-1", "itemData" : { "DOI" : "10.1016/j.jad.2011.06.014", "ISSN" : "01650327", "abstract" : "Background: Post-stroke depression (PSD) is a common consequence of stroke that negatively interferes with the rehabilitation outcome in patients. It remains unclear what relationship exists between the site and size of brain infarcts and the development of PSD and the risk factors for PSD. We conducted a MRI-based cohort study to examine the radiological correlations for PSD in Chinese patients with ischemic stroke. Methods: Our study included 163 patients with acute ischemic stroke. The diagnosis of PSD was made with World Health Organization Composite International Diagnostic Interview (WHO-CIDI), which is based on Diagnostic and Statistical Manual of Mental Disorders-Fourth Edition (DSM-IV) during a follow-up exam at 3-month post stroke. The demographic, clinical, and detailed radiological variables (e.g.; lesion location, and degree of white matter lesions) were also examined. Results: The univariate analyses suggested that the frequency of multiple acute infarcts, the total number and volume of acute infarcts were higher in the PSD group than those in the non-PSD group. In particular, PSD patients showed higher rates of infarcts in cortical-subcortical area of the frontal and temporal lobe as well as in internal capsule (including genu, anterior and posterior limb). The multivariate analysis suggested that independent radiological risk factors for PSD may include the presence of multiple acute infarcts, the infarct affecting either side of posterior limb of internal capsule, genu of internal capsule, and cortical-subcortical areas in the temporal lobe. Conclusion: Our study on ischemic stroke patients suggested that certain neuroanatomical factors (i.e.; lesions at posterior limb and genu of internal capsule and cortical-subcortical area of the temporal lobe, as well as the presence of multiple acute infarcts) may correlate with the PSD development. \u00a9 2011 Elsevier B.V.", "author" : [ { "dropping-particle" : "", "family" : "Carson", "given" : "Alan J", "non-dropping-particle" : "", "parse-names" : false, "suffix" : "" }, { "dropping-particle" : "", "family" : "MacHale", "given" : "Siobhan", "non-dropping-particle" : "", "parse-names" : false, "suffix" : "" }, { "dropping-particle" : "", "family" : "Allen", "given" : "Kathryn", "non-dropping-particle" : "", "parse-names" : false, "suffix" : "" }, { "dropping-particle" : "", "family" : "Lawrie", "given" : "Stephen M", "non-dropping-particle" : "", "parse-names" : false, "suffix" : "" }, { "dropping-particle" : "", "family" : "Dennis", "given" : "Martin", "non-dropping-particle" : "", "parse-names" : false, "suffix" : "" }, { "dropping-particle" : "", "family" : "House", "given" : "Allan", "non-dropping-particle" : "", "parse-names" : false, "suffix" : "" }, { "dropping-particle" : "", "family" : "Sharpe", "given" : "Michael", "non-dropping-particle" : "", "parse-names" : false, "suffix" : "" }, { "dropping-particle" : "", "family" : "Summary", "given" : "", "non-dropping-particle" : "", "parse-names" : false, "suffix" : "" } ], "container-title" : "The Lancet", "id" : "ITEM-1", "issued" : { "date-parts" : [ [ "2000" ] ] }, "page" : "122-126", "title" : "Depression after stroke and lesion location: a systematic review", "type" : "article-journal", "volume" : "356" }, "uris" : [ "http://www.mendeley.com/documents/?uuid=d693a28b-af97-4a4b-a193-c4db9f812810" ] } ], "mendeley" : { "formattedCitation" : "(Carson et al., 2000)", "plainTextFormattedCitation" : "(Carson et al., 2000)", "previouslyFormattedCitation" : "(Carson et al., 2000)" }, "properties" : { "noteIndex" : 0 }, "schema" : "https://github.com/citation-style-language/schema/raw/master/csl-citation.json" }</w:instrText>
      </w:r>
      <w:r w:rsidR="00CD7CA3" w:rsidRPr="00804121">
        <w:fldChar w:fldCharType="separate"/>
      </w:r>
      <w:r w:rsidR="00CD7CA3" w:rsidRPr="00804121">
        <w:rPr>
          <w:noProof/>
        </w:rPr>
        <w:t>(Carson et al., 2000)</w:t>
      </w:r>
      <w:r w:rsidR="00CD7CA3" w:rsidRPr="00804121">
        <w:fldChar w:fldCharType="end"/>
      </w:r>
      <w:r w:rsidR="00CD7CA3" w:rsidRPr="00804121">
        <w:t xml:space="preserve">. They did note a higher incidence in patients with right hemisphere lesions in community studies, but argued that such studies excluded aphasic patients, likely confounding the association between hemisphere of damage and depression. </w:t>
      </w:r>
    </w:p>
    <w:p w14:paraId="6BB9E5BB" w14:textId="272FEE11" w:rsidR="00E8214F" w:rsidRPr="00804121" w:rsidRDefault="00EE3662" w:rsidP="00F035DD">
      <w:pPr>
        <w:pStyle w:val="Newparagraph"/>
      </w:pPr>
      <w:r w:rsidRPr="00804121">
        <w:t xml:space="preserve">The present study seeks to </w:t>
      </w:r>
      <w:r w:rsidR="00081171" w:rsidRPr="00804121">
        <w:t>test</w:t>
      </w:r>
      <w:r w:rsidRPr="00804121">
        <w:t xml:space="preserve"> the hypothesis that acquired language problems are associated with alexithymia</w:t>
      </w:r>
      <w:r w:rsidR="0084358C" w:rsidRPr="00804121">
        <w:t xml:space="preserve">, extending previous </w:t>
      </w:r>
      <w:r w:rsidR="000A7F7C" w:rsidRPr="00804121">
        <w:t>neuropsychological evidence from</w:t>
      </w:r>
      <w:r w:rsidR="0084358C" w:rsidRPr="00804121">
        <w:t xml:space="preserve"> </w:t>
      </w:r>
      <w:r w:rsidR="00840506" w:rsidRPr="00804121">
        <w:t xml:space="preserve">patients with </w:t>
      </w:r>
      <w:r w:rsidR="00081171" w:rsidRPr="00804121">
        <w:t>TBI</w:t>
      </w:r>
      <w:r w:rsidR="0084358C" w:rsidRPr="00804121">
        <w:t xml:space="preserve"> to consider evidence from </w:t>
      </w:r>
      <w:r w:rsidRPr="00804121">
        <w:t>patients who have had a stroke.</w:t>
      </w:r>
      <w:r w:rsidR="00CF447E" w:rsidRPr="00804121">
        <w:t xml:space="preserve"> </w:t>
      </w:r>
      <w:r w:rsidR="00801E08" w:rsidRPr="00804121">
        <w:t xml:space="preserve">This project was also the first to examine alexithymia in stroke in a </w:t>
      </w:r>
      <w:r w:rsidR="00CB604C" w:rsidRPr="00804121">
        <w:t xml:space="preserve">representative </w:t>
      </w:r>
      <w:r w:rsidR="00801E08" w:rsidRPr="00804121">
        <w:t xml:space="preserve">sample of stroke patients, in which individuals </w:t>
      </w:r>
      <w:r w:rsidR="009E24A3" w:rsidRPr="00804121">
        <w:t xml:space="preserve">with acquired language problems </w:t>
      </w:r>
      <w:r w:rsidR="00801E08" w:rsidRPr="00804121">
        <w:t>were not excluded</w:t>
      </w:r>
      <w:r w:rsidR="000A7F7C" w:rsidRPr="00804121">
        <w:t>, and to include both behavioural and self-report measures of acquired language and communication problems in relation to alexithymia</w:t>
      </w:r>
      <w:r w:rsidR="00801E08" w:rsidRPr="00804121">
        <w:t xml:space="preserve">. </w:t>
      </w:r>
      <w:r w:rsidR="002C0A1D" w:rsidRPr="00804121">
        <w:t xml:space="preserve">We also examined whether we </w:t>
      </w:r>
      <w:r w:rsidR="001E02D2" w:rsidRPr="00804121">
        <w:t>c</w:t>
      </w:r>
      <w:r w:rsidR="002C0A1D" w:rsidRPr="00804121">
        <w:t xml:space="preserve">ould replicate previous reports of an association between alexithymia and right hemisphere damage, without the exclusion of </w:t>
      </w:r>
      <w:r w:rsidR="008114A1" w:rsidRPr="00804121">
        <w:t xml:space="preserve">patients with </w:t>
      </w:r>
      <w:r w:rsidR="002C0A1D" w:rsidRPr="00804121">
        <w:t>aphasi</w:t>
      </w:r>
      <w:r w:rsidR="008114A1" w:rsidRPr="00804121">
        <w:t>a</w:t>
      </w:r>
      <w:r w:rsidR="002C0A1D" w:rsidRPr="00804121">
        <w:t>.</w:t>
      </w:r>
    </w:p>
    <w:p w14:paraId="25880849" w14:textId="6EB295CF" w:rsidR="00591A9E" w:rsidRPr="00804121" w:rsidRDefault="00EA4B2A" w:rsidP="00F035DD">
      <w:pPr>
        <w:pStyle w:val="Heading1"/>
      </w:pPr>
      <w:r w:rsidRPr="00804121">
        <w:t>Method</w:t>
      </w:r>
    </w:p>
    <w:p w14:paraId="6DF783ED" w14:textId="4A9DDF30" w:rsidR="00591A9E" w:rsidRPr="00804121" w:rsidRDefault="00591A9E" w:rsidP="00F035DD">
      <w:pPr>
        <w:pStyle w:val="Heading2"/>
      </w:pPr>
      <w:r w:rsidRPr="00804121">
        <w:t>Participants</w:t>
      </w:r>
    </w:p>
    <w:p w14:paraId="046D904E" w14:textId="7E7A5436" w:rsidR="001F4F80" w:rsidRPr="00804121" w:rsidRDefault="00591A9E" w:rsidP="00F035DD">
      <w:pPr>
        <w:pStyle w:val="Paragraph"/>
      </w:pPr>
      <w:r w:rsidRPr="00804121">
        <w:t xml:space="preserve">125 participants were recruited from a cohort of chronic stroke research volunteers at the Translational Neuropsychology Group. Patients were originally recruited through the Oxford Cognitive Screening </w:t>
      </w:r>
      <w:r w:rsidR="001F4F80" w:rsidRPr="00804121">
        <w:t>p</w:t>
      </w:r>
      <w:r w:rsidRPr="00804121">
        <w:t>rogram</w:t>
      </w:r>
      <w:r w:rsidR="001F4F80" w:rsidRPr="00804121">
        <w:t xml:space="preserve">me, in which patients from an acute stroke unit are screened </w:t>
      </w:r>
      <w:r w:rsidR="00F21EC4" w:rsidRPr="00804121">
        <w:t xml:space="preserve">at presentation, </w:t>
      </w:r>
      <w:r w:rsidR="001F4F80" w:rsidRPr="00804121">
        <w:t>and followed up after 6 months with a home visit</w:t>
      </w:r>
      <w:r w:rsidRPr="00804121">
        <w:t xml:space="preserve"> </w:t>
      </w:r>
      <w:r w:rsidR="00C57F39" w:rsidRPr="00804121">
        <w:fldChar w:fldCharType="begin" w:fldLock="1"/>
      </w:r>
      <w:r w:rsidR="0012726A" w:rsidRPr="00804121">
        <w:instrText>ADDIN CSL_CITATION { "citationItems" : [ { "id" : "ITEM-1", "itemData" : { "DOI" : "10.1037/pas0000082", "ISSN" : "1939134X", "abstract" : "There is currently no existing freely available short screen for cognitive problems that targets stroke survivors specifically. We have developed a short cognitive screen, the Oxford Cognitive Screen (OCS), to be completed in 15\u201320 min, designed for use with stroke patients. To maximize inclusion, the test is aphasia- and neglect friendly and covers domains of cognition where deficits frequently occur after stroke, including apraxia and unilateral neglect as well as memory, language, executive function, and number abilities. Domain-specific scores are returned to help direct rehabilitation. This article presents the normative data in a large sample of 140 neurologically healthy participants, a report on incidences of impairments in a sample of 208 acute stroke patients (within 3 weeks of stroke onset), measures of test\u2013retest reliability on an alternate form and convergent and divergent validity. In addition, the full test materials are made freely available for clinical use. (PsycINFO Database Record (c) 2015 APA, all rights reserved)", "author" : [ { "dropping-particle" : "", "family" : "Demeyere", "given" : "Nele", "non-dropping-particle" : "", "parse-names" : false, "suffix" : "" }, { "dropping-particle" : "", "family" : "Riddoch", "given" : "M. Jane", "non-dropping-particle" : "", "parse-names" : false, "suffix" : "" }, { "dropping-particle" : "", "family" : "Slavkova", "given" : "Elitsa D.", "non-dropping-particle" : "", "parse-names" : false, "suffix" : "" }, { "dropping-particle" : "", "family" : "Bickerton", "given" : "Wai Ling", "non-dropping-particle" : "", "parse-names" : false, "suffix" : "" }, { "dropping-particle" : "", "family" : "Humphreys", "given" : "Glyn W.", "non-dropping-particle" : "", "parse-names" : false, "suffix" : "" } ], "container-title" : "Psychological Assessment", "id" : "ITEM-1", "issue" : "3", "issued" : { "date-parts" : [ [ "2015" ] ] }, "page" : "883-894", "title" : "The Oxford Cognitive Screen (OCS): Validation of a stroke-specific short cognitive screening tool", "type" : "article-journal", "volume" : "27" }, "uris" : [ "http://www.mendeley.com/documents/?uuid=6ab77d18-742a-4859-91b4-e940957523de" ] } ], "mendeley" : { "formattedCitation" : "(Demeyere, Riddoch, Slavkova, Bickerton, &amp; Humphreys, 2015)", "manualFormatting" : "(Demeyere, Riddoch, Slavkova, Bickerton, &amp; Humphreys, 2015", "plainTextFormattedCitation" : "(Demeyere, Riddoch, Slavkova, Bickerton, &amp; Humphreys, 2015)", "previouslyFormattedCitation" : "(Demeyere, Riddoch, Slavkova, Bickerton, &amp; Humphreys, 2015)" }, "properties" : { "noteIndex" : 0 }, "schema" : "https://github.com/citation-style-language/schema/raw/master/csl-citation.json" }</w:instrText>
      </w:r>
      <w:r w:rsidR="00C57F39" w:rsidRPr="00804121">
        <w:fldChar w:fldCharType="separate"/>
      </w:r>
      <w:r w:rsidR="00C57F39" w:rsidRPr="00804121">
        <w:rPr>
          <w:noProof/>
        </w:rPr>
        <w:t>(Demeyere, Riddoch, Slavkova, Bickerton, &amp; Humphreys, 2015</w:t>
      </w:r>
      <w:r w:rsidR="00C57F39" w:rsidRPr="00804121">
        <w:fldChar w:fldCharType="end"/>
      </w:r>
      <w:r w:rsidRPr="00804121">
        <w:t>; OCS-Tablet and OCS recovery studies, NHS REC reference 14/LO/0648 and 18/SC/0550 respectively)</w:t>
      </w:r>
      <w:r w:rsidR="001F4F80" w:rsidRPr="00804121">
        <w:t xml:space="preserve">. All patients were thus </w:t>
      </w:r>
      <w:r w:rsidRPr="00804121">
        <w:t>at least 6 months post-stroke</w:t>
      </w:r>
      <w:r w:rsidR="00F21EC4" w:rsidRPr="00804121">
        <w:t xml:space="preserve"> (see Table 1 for average time since stroke at the point at which self-report questionnaires were administered)</w:t>
      </w:r>
      <w:r w:rsidRPr="00804121">
        <w:t xml:space="preserve">. </w:t>
      </w:r>
      <w:r w:rsidR="001F4F80" w:rsidRPr="00804121">
        <w:t xml:space="preserve">These participants had provided consent to be contacted about </w:t>
      </w:r>
      <w:proofErr w:type="gramStart"/>
      <w:r w:rsidR="001F4F80" w:rsidRPr="00804121">
        <w:t>research, and</w:t>
      </w:r>
      <w:proofErr w:type="gramEnd"/>
      <w:r w:rsidR="001F4F80" w:rsidRPr="00804121">
        <w:t xml:space="preserve"> provided study specific informed consent to participate in this study (Medical Sciences Interdivisional Research Ethics Committee</w:t>
      </w:r>
      <w:r w:rsidR="007B704C" w:rsidRPr="00804121">
        <w:t xml:space="preserve">, </w:t>
      </w:r>
      <w:r w:rsidR="001F4F80" w:rsidRPr="00804121">
        <w:t xml:space="preserve">reference R59378/RE001). </w:t>
      </w:r>
    </w:p>
    <w:p w14:paraId="55AF199D" w14:textId="57F7ECBC" w:rsidR="00D05230" w:rsidRPr="00804121" w:rsidRDefault="00591A9E" w:rsidP="00F035DD">
      <w:pPr>
        <w:pStyle w:val="Newparagraph"/>
        <w:rPr>
          <w:noProof/>
        </w:rPr>
      </w:pPr>
      <w:r w:rsidRPr="00804121">
        <w:t>3 participants did not complete the alexithymia questionnaire (described below</w:t>
      </w:r>
      <w:proofErr w:type="gramStart"/>
      <w:r w:rsidRPr="00804121">
        <w:t>), and</w:t>
      </w:r>
      <w:proofErr w:type="gramEnd"/>
      <w:r w:rsidRPr="00804121">
        <w:t xml:space="preserve"> were thus excluded from the analyses. Furthermore, 4 participants were determined to have had a Transient Ischemic Attack, and were thus excluded, leaving a final sample of 118</w:t>
      </w:r>
      <w:r w:rsidR="00D405E8" w:rsidRPr="00804121">
        <w:t>, comprising of 55 females and 63 males</w:t>
      </w:r>
      <w:r w:rsidRPr="00804121">
        <w:t xml:space="preserve">. The mean age of patients was 73.14 </w:t>
      </w:r>
      <w:r w:rsidR="00541DC0" w:rsidRPr="00804121">
        <w:t xml:space="preserve">years </w:t>
      </w:r>
      <w:r w:rsidRPr="00804121">
        <w:t>(SD = 11.37). Information regarding type of stroke and lesion site were available from medical records and confirmed by clinical CT scan at acute stage. The type of stroke for the sample (</w:t>
      </w:r>
      <w:r w:rsidRPr="00804121">
        <w:rPr>
          <w:i/>
          <w:iCs/>
        </w:rPr>
        <w:t xml:space="preserve">N </w:t>
      </w:r>
      <w:r w:rsidRPr="00804121">
        <w:t xml:space="preserve">= 118) were: 95 Ischemia and 23 Haemorrhage; lesion lateralisation: 57 unilateral right hemisphere, 51 </w:t>
      </w:r>
      <w:bookmarkStart w:id="0" w:name="OLE_LINK2"/>
      <w:bookmarkStart w:id="1" w:name="OLE_LINK1"/>
      <w:r w:rsidRPr="00804121">
        <w:t>unilateral left hemisphere</w:t>
      </w:r>
      <w:bookmarkEnd w:id="0"/>
      <w:bookmarkEnd w:id="1"/>
      <w:r w:rsidRPr="00804121">
        <w:t xml:space="preserve">, and 10 bilateral. For the analysis of lesion laterality on alexithymia scores, participants with no clear lateralization of damage </w:t>
      </w:r>
      <w:r w:rsidR="002A4B89" w:rsidRPr="00804121">
        <w:t>[</w:t>
      </w:r>
      <w:r w:rsidRPr="00804121">
        <w:t>bilateral lesions, subcortical lesions (e.g. midbrain or cerebellar lesions)</w:t>
      </w:r>
      <w:r w:rsidR="002A4B89" w:rsidRPr="00804121">
        <w:t>,</w:t>
      </w:r>
      <w:r w:rsidRPr="00804121">
        <w:t xml:space="preserve"> or with no visible lesions on the CT scans</w:t>
      </w:r>
      <w:r w:rsidR="002A4B89" w:rsidRPr="00804121">
        <w:t>]</w:t>
      </w:r>
      <w:r w:rsidRPr="00804121">
        <w:t xml:space="preserve"> were excluded. </w:t>
      </w:r>
      <w:r w:rsidR="008F0FD9" w:rsidRPr="00804121">
        <w:t xml:space="preserve">Lesion analyses are the subject of a </w:t>
      </w:r>
      <w:r w:rsidR="000F76E3" w:rsidRPr="00804121">
        <w:t xml:space="preserve">separate </w:t>
      </w:r>
      <w:r w:rsidR="008F0FD9" w:rsidRPr="00804121">
        <w:t xml:space="preserve">investigation and will be reported separately. </w:t>
      </w:r>
      <w:r w:rsidRPr="00804121">
        <w:t>Table 1 summarises the characteristics of the reported sample.</w:t>
      </w:r>
      <w:r w:rsidR="001F4F80" w:rsidRPr="00804121">
        <w:t xml:space="preserve"> </w:t>
      </w:r>
    </w:p>
    <w:p w14:paraId="3A25224C" w14:textId="48D61471" w:rsidR="00AC635A" w:rsidRPr="00804121" w:rsidRDefault="00AC635A" w:rsidP="00AC635A">
      <w:pPr>
        <w:jc w:val="center"/>
        <w:rPr>
          <w:bCs/>
        </w:rPr>
      </w:pPr>
      <w:r w:rsidRPr="00804121">
        <w:rPr>
          <w:bCs/>
        </w:rPr>
        <w:t>[Table 1]</w:t>
      </w:r>
    </w:p>
    <w:p w14:paraId="5435A52D" w14:textId="4B814AF3" w:rsidR="00591A9E" w:rsidRPr="00804121" w:rsidRDefault="00591A9E" w:rsidP="00F035DD">
      <w:pPr>
        <w:pStyle w:val="Heading2"/>
      </w:pPr>
      <w:r w:rsidRPr="00804121">
        <w:t>Procedure</w:t>
      </w:r>
    </w:p>
    <w:p w14:paraId="290E8B70" w14:textId="04478E8E" w:rsidR="00591A9E" w:rsidRPr="00804121" w:rsidRDefault="00591A9E" w:rsidP="00F035DD">
      <w:pPr>
        <w:pStyle w:val="Paragraph"/>
      </w:pPr>
      <w:r w:rsidRPr="00804121">
        <w:t xml:space="preserve">Observed language and self-reported communication scores were collected during the 6-month post stroke follow up home visits, </w:t>
      </w:r>
      <w:r w:rsidR="001F4F80" w:rsidRPr="00804121">
        <w:t>as</w:t>
      </w:r>
      <w:r w:rsidRPr="00804121">
        <w:t xml:space="preserve"> part </w:t>
      </w:r>
      <w:r w:rsidR="001F4F80" w:rsidRPr="00804121">
        <w:t>of the standard</w:t>
      </w:r>
      <w:r w:rsidRPr="00804121">
        <w:t xml:space="preserve"> Oxford Cognitive Screening </w:t>
      </w:r>
      <w:r w:rsidR="001F4F80" w:rsidRPr="00804121">
        <w:t>p</w:t>
      </w:r>
      <w:r w:rsidRPr="00804121">
        <w:t>rogram</w:t>
      </w:r>
      <w:r w:rsidR="001F4F80" w:rsidRPr="00804121">
        <w:t>me</w:t>
      </w:r>
      <w:r w:rsidRPr="00804121">
        <w:t>.</w:t>
      </w:r>
      <w:r w:rsidR="001F4F80" w:rsidRPr="00804121">
        <w:t xml:space="preserve"> For this specific project,</w:t>
      </w:r>
      <w:r w:rsidRPr="00804121">
        <w:t xml:space="preserve"> </w:t>
      </w:r>
      <w:r w:rsidR="001F4F80" w:rsidRPr="00804121">
        <w:t>s</w:t>
      </w:r>
      <w:r w:rsidRPr="00804121">
        <w:t xml:space="preserve">elf-report questionnaires were </w:t>
      </w:r>
      <w:r w:rsidR="001F4F80" w:rsidRPr="00804121">
        <w:t xml:space="preserve">also </w:t>
      </w:r>
      <w:r w:rsidRPr="00804121">
        <w:t>collected for alexithymia, depression and anxiety. Patients were given the choice of completing these questionnaires via the telephone (N = 6</w:t>
      </w:r>
      <w:r w:rsidR="005154B2" w:rsidRPr="00804121">
        <w:t>2</w:t>
      </w:r>
      <w:r w:rsidRPr="00804121">
        <w:t>), during the OCS Recovery home visits (N = 5</w:t>
      </w:r>
      <w:r w:rsidR="005154B2" w:rsidRPr="00804121">
        <w:t>2</w:t>
      </w:r>
      <w:r w:rsidRPr="00804121">
        <w:t xml:space="preserve">) or questionnaires returned via the post (N = 4). </w:t>
      </w:r>
      <w:r w:rsidR="001F4F80" w:rsidRPr="00804121">
        <w:t>Collection of the self-report data was overseen by a trained speech and language therapist (EGC) to ensure patients could sufficiently comprehend the questions and that responses were reliable.</w:t>
      </w:r>
      <w:r w:rsidR="009E71D6" w:rsidRPr="00804121">
        <w:t xml:space="preserve"> </w:t>
      </w:r>
      <w:r w:rsidR="003E4C33" w:rsidRPr="00804121">
        <w:t>Reliability analyses were conducted for each self-report measure, both for the full sample and for those with language impairment only.</w:t>
      </w:r>
    </w:p>
    <w:p w14:paraId="04971C49" w14:textId="77777777" w:rsidR="00591A9E" w:rsidRPr="00804121" w:rsidRDefault="00591A9E" w:rsidP="00F035DD">
      <w:pPr>
        <w:pStyle w:val="Heading2"/>
      </w:pPr>
      <w:r w:rsidRPr="00804121">
        <w:t>Measures</w:t>
      </w:r>
    </w:p>
    <w:p w14:paraId="3424CF9F" w14:textId="23466924" w:rsidR="00591A9E" w:rsidRPr="00804121" w:rsidRDefault="006B22D8" w:rsidP="00F035DD">
      <w:pPr>
        <w:pStyle w:val="Paragraph"/>
      </w:pPr>
      <w:r w:rsidRPr="00804121">
        <w:t>Behavioural data on language impairment was collected via the OCS (Oxford Cognitive Screen</w:t>
      </w:r>
      <w:r w:rsidR="00F40B5B" w:rsidRPr="00804121">
        <w:t>;</w:t>
      </w:r>
      <w:r w:rsidR="00340B42" w:rsidRPr="00804121">
        <w:t xml:space="preserve"> </w:t>
      </w:r>
      <w:r w:rsidRPr="00804121">
        <w:fldChar w:fldCharType="begin" w:fldLock="1"/>
      </w:r>
      <w:r w:rsidR="0012726A" w:rsidRPr="00804121">
        <w:instrText>ADDIN CSL_CITATION { "citationItems" : [ { "id" : "ITEM-1", "itemData" : { "DOI" : "10.1037/pas0000082", "ISSN" : "1939134X", "abstract" : "There is currently no existing freely available short screen for cognitive problems that targets stroke survivors specifically. We have developed a short cognitive screen, the Oxford Cognitive Screen (OCS), to be completed in 15\u201320 min, designed for use with stroke patients. To maximize inclusion, the test is aphasia- and neglect friendly and covers domains of cognition where deficits frequently occur after stroke, including apraxia and unilateral neglect as well as memory, language, executive function, and number abilities. Domain-specific scores are returned to help direct rehabilitation. This article presents the normative data in a large sample of 140 neurologically healthy participants, a report on incidences of impairments in a sample of 208 acute stroke patients (within 3 weeks of stroke onset), measures of test\u2013retest reliability on an alternate form and convergent and divergent validity. In addition, the full test materials are made freely available for clinical use. (PsycINFO Database Record (c) 2015 APA, all rights reserved)", "author" : [ { "dropping-particle" : "", "family" : "Demeyere", "given" : "Nele", "non-dropping-particle" : "", "parse-names" : false, "suffix" : "" }, { "dropping-particle" : "", "family" : "Riddoch", "given" : "M. Jane", "non-dropping-particle" : "", "parse-names" : false, "suffix" : "" }, { "dropping-particle" : "", "family" : "Slavkova", "given" : "Elitsa D.", "non-dropping-particle" : "", "parse-names" : false, "suffix" : "" }, { "dropping-particle" : "", "family" : "Bickerton", "given" : "Wai Ling", "non-dropping-particle" : "", "parse-names" : false, "suffix" : "" }, { "dropping-particle" : "", "family" : "Humphreys", "given" : "Glyn W.", "non-dropping-particle" : "", "parse-names" : false, "suffix" : "" } ], "container-title" : "Psychological Assessment", "id" : "ITEM-1", "issue" : "3", "issued" : { "date-parts" : [ [ "2015" ] ] }, "page" : "883-894", "title" : "The Oxford Cognitive Screen (OCS): Validation of a stroke-specific short cognitive screening tool", "type" : "article-journal", "volume" : "27" }, "uris" : [ "http://www.mendeley.com/documents/?uuid=6ab77d18-742a-4859-91b4-e940957523de" ] }, { "id" : "ITEM-2", "itemData" : { "DOI" : "10.1007/s00415-015-7964-4", "ISSN" : "14321459", "abstract" : "\u00a9 2015, The Author(s). Cognitive assessments after stroke are typically short form tests developed for dementia that generates pass/fail classifications (e.g. the MoCA). The Oxford Cognitive Screen (OCS) provides a domain-specific cognitive profile designed for stroke survivors. This study compared the use of the MoCA and the OCS in acute stroke with respect to symptom specificity and aspects of clinical utility. A cross-sectional study with a consecutive sample of 200 stroke patients within 3\u00a0weeks of stroke completing MoCA and OCS. Demographic data, lesion side and Barthel scores were recorded. Inclusivity was assessed in terms of completion rates and reasons for non-completion were evaluated. The incidence of cognitive impairments on both the MoCA and OCS sub-domains was calculated and differences in stroke specificity, cognitive profiles and independence of the measures were addressed. The incidence of acute cognitive impairment was high: 76\u00a0% of patients were impaired on MoCA, and 86\u00a0% demonstrated at least one impairment on the cognitive domains assessed in the OCS. OCS was more sensitive than MoCA overall (87 vs 78\u00a0% sensitivity) and OCS alone provided domain-specific information on prevalent post-stroke cognitive impairments (neglect, apraxia and reading/writing ability). Unlike the MOCA, the OCS was not dominated by left hemisphere impairments but gave differentiated profiles across the contrasting domains. The OCS detects important cognitive deficits after stroke not assessed in the MoCA, it is inclusive for patients with aphasia and neglect and it is less confounded by co-occurring difficulties in these domains.", "author" : [ { "dropping-particle" : "", "family" : "Demeyere", "given" : "Nele", "non-dropping-particle" : "", "parse-names" : false, "suffix" : "" }, { "dropping-particle" : "", "family" : "Riddoch", "given" : "M. J.", "non-dropping-particle" : "", "parse-names" : false, "suffix" : "" }, { "dropping-particle" : "", "family" : "Slavkova", "given" : "E. D.", "non-dropping-particle" : "", "parse-names" : false, "suffix" : "" }, { "dropping-particle" : "", "family" : "Jones", "given" : "K.", "non-dropping-particle" : "", "parse-names" : false, "suffix" : "" }, { "dropping-particle" : "", "family" : "Reckless", "given" : "I.", "non-dropping-particle" : "", "parse-names" : false, "suffix" : "" }, { "dropping-particle" : "", "family" : "Mathieson", "given" : "P.", "non-dropping-particle" : "", "parse-names" : false, "suffix" : "" }, { "dropping-particle" : "", "family" : "Humphreys", "given" : "G. W.", "non-dropping-particle" : "", "parse-names" : false, "suffix" : "" } ], "container-title" : "Journal of Neurology", "id" : "ITEM-2", "issue" : "2", "issued" : { "date-parts" : [ [ "2016" ] ] }, "page" : "306-315", "publisher" : "Springer Berlin Heidelberg", "title" : "Domain-specific versus generalized cognitive screening in acute stroke", "type" : "article-journal", "volume" : "263" }, "uris" : [ "http://www.mendeley.com/documents/?uuid=f9cf6370-f607-4697-b278-9fa8edfc4d46" ] } ], "mendeley" : { "formattedCitation" : "(Demeyere et al., 2016, 2015)", "manualFormatting" : "Demeyere et al., 2015, 2016)", "plainTextFormattedCitation" : "(Demeyere et al., 2016, 2015)", "previouslyFormattedCitation" : "(Demeyere et al., 2016, 2015)" }, "properties" : { "noteIndex" : 0 }, "schema" : "https://github.com/citation-style-language/schema/raw/master/csl-citation.json" }</w:instrText>
      </w:r>
      <w:r w:rsidRPr="00804121">
        <w:fldChar w:fldCharType="separate"/>
      </w:r>
      <w:r w:rsidRPr="00804121">
        <w:rPr>
          <w:noProof/>
        </w:rPr>
        <w:t>Demeyere et al., 2015, 2016)</w:t>
      </w:r>
      <w:r w:rsidRPr="00804121">
        <w:fldChar w:fldCharType="end"/>
      </w:r>
      <w:r w:rsidRPr="00804121">
        <w:t xml:space="preserve"> or the </w:t>
      </w:r>
      <w:proofErr w:type="spellStart"/>
      <w:r w:rsidRPr="00804121">
        <w:t>BCoS</w:t>
      </w:r>
      <w:proofErr w:type="spellEnd"/>
      <w:r w:rsidRPr="00804121">
        <w:t xml:space="preserve"> (Birmingham Cognitive Screen</w:t>
      </w:r>
      <w:r w:rsidR="00F40B5B" w:rsidRPr="00804121">
        <w:t xml:space="preserve">; </w:t>
      </w:r>
      <w:r w:rsidRPr="00804121">
        <w:t xml:space="preserve">Humphreys et al 2012). </w:t>
      </w:r>
      <w:r w:rsidR="00591A9E" w:rsidRPr="00804121">
        <w:t xml:space="preserve">Depression and anxiety are typically highly correlated with alexithymia </w:t>
      </w:r>
      <w:r w:rsidR="00591A9E" w:rsidRPr="00804121">
        <w:fldChar w:fldCharType="begin" w:fldLock="1"/>
      </w:r>
      <w:r w:rsidR="0012726A" w:rsidRPr="00804121">
        <w:instrText>ADDIN CSL_CITATION { "citationItems" : [ { "id" : "ITEM-1", "itemData" : { "author" : [ { "dropping-particle" : "", "family" : "Eizaguirre", "given" : "A E", "non-dropping-particle" : "", "parse-names" : false, "suffix" : "" }, { "dropping-particle" : "", "family" : "Cabezon", "given" : "A O S", "non-dropping-particle" : "de", "parse-names" : false, "suffix" : "" }, { "dropping-particle" : "", "family" : "Alda", "given" : "I O", "non-dropping-particle" : "de", "parse-names" : false, "suffix" : "" }, { "dropping-particle" : "", "family" : "Olariaga", "given" : "L J", "non-dropping-particle" : "", "parse-names" : false, "suffix" : "" }, { "dropping-particle" : "", "family" : "Juaniz", "given" : "M", "non-dropping-particle" : "", "parse-names" : false, "suffix" : "" } ], "container-title" : "Personality and Individual Differences", "id" : "ITEM-1", "issued" : { "date-parts" : [ [ "2004" ] ] }, "page" : "321-331", "title" : "Alexithymia and its relationship with anxiety and depression in eating disorders", "type" : "article-journal", "volume" : "36" }, "uris" : [ "http://www.mendeley.com/documents/?uuid=c9b3bca7-8c2c-4936-bb86-75784059f62e" ] }, { "id" : "ITEM-2", "itemData" : { "DOI" : "10.1016/S0022-3999(00)00084-2", "ISBN" : "3905212595", "ISSN" : "00223999", "PMID" : "11053603", "abstract" : "Objective: the present study was undertaken to gain a better insight into the relationship between alexithymia, anxiety, and depression. Two hypotheses were tested: (1) whether a depressive or anxiety disorder is associated with an elevation of one or more dimensions of alexithymia; and (2) whether alexithymia is an independent construct from depression and anxiety in patients with depressive or anxiety disorders. Method: a total of 113 patients with depressive or anxiety disorders (DSM-IV) and 113 control subjects completed the 20-item version of the Toronto alexithymia scale (TAS-20) and the hospital anxiety and depression scale (HADS). Results: the TAS-20 total score was higher in depressed and anxious patients than in controls. This finding mainly depended on an increased score for 'difficulty identifying feelings' (DIF), and (only in depressed patients) on an increased score for 'difficulty communicating feelings' (DCF). The factor analysis of the TAS-20 and HADS items showed that depression is a construct different from alexithymia, whereas some overlap exists between anxiety and DIF dimension. Conclusion: our results suggest that in depressive and anxiety disorders, alexithymia and depression are separate constructs that may be closely related; in contrast, there are some overlaps between the DIF dimension and anxiety. (C) 2000 Elsevier Science Inc. All rights reserved.", "author" : [ { "dropping-particle" : "", "family" : "Marchesi", "given" : "C.", "non-dropping-particle" : "", "parse-names" : false, "suffix" : "" }, { "dropping-particle" : "", "family" : "Brusamonti", "given" : "E.", "non-dropping-particle" : "", "parse-names" : false, "suffix" : "" }, { "dropping-particle" : "", "family" : "Maggini", "given" : "C.", "non-dropping-particle" : "", "parse-names" : false, "suffix" : "" } ], "container-title" : "Journal of Psychosomatic Research", "id" : "ITEM-2", "issue" : "1", "issued" : { "date-parts" : [ [ "2000" ] ] }, "page" : "43-49", "title" : "Are alexithymia, depression, and anxiety distinct constructs in affective disorders?", "type" : "article-journal", "volume" : "49" }, "uris" : [ "http://www.mendeley.com/documents/?uuid=51ec4aef-9f87-48df-9591-d5fdc5a1b189" ] } ], "mendeley" : { "formattedCitation" : "(Eizaguirre, de Cabezon, de Alda, Olariaga, &amp; Juaniz, 2004; Marchesi, Brusamonti, &amp; Maggini, 2000)", "plainTextFormattedCitation" : "(Eizaguirre, de Cabezon, de Alda, Olariaga, &amp; Juaniz, 2004; Marchesi, Brusamonti, &amp; Maggini, 2000)", "previouslyFormattedCitation" : "(Eizaguirre, de Cabezon, de Alda, Olariaga, &amp; Juaniz, 2004; Marchesi, Brusamonti, &amp; Maggini, 2000)" }, "properties" : { "noteIndex" : 0 }, "schema" : "https://github.com/citation-style-language/schema/raw/master/csl-citation.json" }</w:instrText>
      </w:r>
      <w:r w:rsidR="00591A9E" w:rsidRPr="00804121">
        <w:fldChar w:fldCharType="separate"/>
      </w:r>
      <w:r w:rsidR="00591A9E" w:rsidRPr="00804121">
        <w:rPr>
          <w:noProof/>
        </w:rPr>
        <w:t>(Eizaguirre, de Cabezon, de Alda, Olariaga, &amp; Juaniz, 2004; Marchesi, Brusamonti, &amp; Maggini, 2000)</w:t>
      </w:r>
      <w:r w:rsidR="00591A9E" w:rsidRPr="00804121">
        <w:fldChar w:fldCharType="end"/>
      </w:r>
      <w:r w:rsidR="00591A9E" w:rsidRPr="00804121">
        <w:t>, and therefore including them is important to ensure that associations between language impairment and alexithymia are not the result of shared association with depression or anxiety</w:t>
      </w:r>
      <w:r w:rsidR="00966C73" w:rsidRPr="00804121">
        <w:t>; thus, in addition to questionnaire measures of alexithymia and communication problems, we also collected measures of depression and anxiety</w:t>
      </w:r>
      <w:r w:rsidR="00591A9E" w:rsidRPr="00804121">
        <w:t xml:space="preserve">. </w:t>
      </w:r>
      <w:r w:rsidR="00966C73" w:rsidRPr="00804121">
        <w:t xml:space="preserve">All measures are described below. </w:t>
      </w:r>
      <w:r w:rsidRPr="00804121">
        <w:t>Behavioural measures are described first, followed by questionnaire measures</w:t>
      </w:r>
      <w:r w:rsidR="00591A9E" w:rsidRPr="00804121">
        <w:t>.</w:t>
      </w:r>
    </w:p>
    <w:p w14:paraId="149C7736" w14:textId="77777777" w:rsidR="006B22D8" w:rsidRPr="00804121" w:rsidRDefault="006B22D8" w:rsidP="00F035DD">
      <w:pPr>
        <w:pStyle w:val="Heading3"/>
      </w:pPr>
      <w:r w:rsidRPr="00804121">
        <w:tab/>
        <w:t>Oxford Cognitive Screen/Birmingham Cognitive Screen</w:t>
      </w:r>
    </w:p>
    <w:p w14:paraId="51960412" w14:textId="78E10ED7" w:rsidR="006B22D8" w:rsidRPr="00804121" w:rsidRDefault="006B22D8" w:rsidP="002842B7">
      <w:pPr>
        <w:pStyle w:val="Paragraph"/>
        <w:rPr>
          <w:lang w:val="en-US"/>
        </w:rPr>
      </w:pPr>
      <w:r w:rsidRPr="00804121">
        <w:t>Patients were seen from 6-months post stroke, and assessed using either the Oxford Cognitive Screen (</w:t>
      </w:r>
      <w:r w:rsidR="0030642E" w:rsidRPr="00804121">
        <w:t xml:space="preserve">OCS: </w:t>
      </w:r>
      <w:proofErr w:type="spellStart"/>
      <w:r w:rsidRPr="00804121">
        <w:rPr>
          <w:lang w:val="en-US"/>
        </w:rPr>
        <w:t>Demeyere</w:t>
      </w:r>
      <w:proofErr w:type="spellEnd"/>
      <w:r w:rsidRPr="00804121">
        <w:rPr>
          <w:lang w:val="en-US"/>
        </w:rPr>
        <w:t xml:space="preserve"> et al, 2015) or the Birmingham Cognitive Screen </w:t>
      </w:r>
      <w:r w:rsidRPr="00804121">
        <w:rPr>
          <w:lang w:val="en-US"/>
        </w:rPr>
        <w:fldChar w:fldCharType="begin" w:fldLock="1"/>
      </w:r>
      <w:r w:rsidR="0012726A" w:rsidRPr="00804121">
        <w:rPr>
          <w:lang w:val="en-US"/>
        </w:rPr>
        <w:instrText>ADDIN CSL_CITATION { "citationItems" : [ { "id" : "ITEM-1", "itemData" : { "author" : [ { "dropping-particle" : "", "family" : "Humphreys", "given" : "Glyn W", "non-dropping-particle" : "", "parse-names" : false, "suffix" : "" }, { "dropping-particle" : "", "family" : "Bickerton", "given" : "W L", "non-dropping-particle" : "", "parse-names" : false, "suffix" : "" }, { "dropping-particle" : "", "family" : "Samson", "given" : "D", "non-dropping-particle" : "", "parse-names" : false, "suffix" : "" }, { "dropping-particle" : "", "family" : "Riddoch", "given" : "M J", "non-dropping-particle" : "", "parse-names" : false, "suffix" : "" } ], "id" : "ITEM-1", "issued" : { "date-parts" : [ [ "2012" ] ] }, "publisher" : "Psychology Press", "publisher-place" : "Hove", "title" : "BCoS cognitive screen", "type" : "book" }, "uris" : [ "http://www.mendeley.com/documents/?uuid=7c6db1f8-62f4-4d72-a056-9a9cd215d5a4" ] } ], "mendeley" : { "formattedCitation" : "(Humphreys, Bickerton, Samson, &amp; Riddoch, 2012)", "manualFormatting" : "(BCoS: Humphreys, Bickerton, Samson, &amp; Riddoch, 2012)", "plainTextFormattedCitation" : "(Humphreys, Bickerton, Samson, &amp; Riddoch, 2012)", "previouslyFormattedCitation" : "(Humphreys, Bickerton, Samson, &amp; Riddoch, 2012)" }, "properties" : { "noteIndex" : 0 }, "schema" : "https://github.com/citation-style-language/schema/raw/master/csl-citation.json" }</w:instrText>
      </w:r>
      <w:r w:rsidRPr="00804121">
        <w:rPr>
          <w:lang w:val="en-US"/>
        </w:rPr>
        <w:fldChar w:fldCharType="separate"/>
      </w:r>
      <w:r w:rsidRPr="00804121">
        <w:rPr>
          <w:noProof/>
          <w:lang w:val="en-US"/>
        </w:rPr>
        <w:t>(</w:t>
      </w:r>
      <w:r w:rsidR="0030642E" w:rsidRPr="00804121">
        <w:rPr>
          <w:noProof/>
          <w:lang w:val="en-US"/>
        </w:rPr>
        <w:t xml:space="preserve">BCoS: </w:t>
      </w:r>
      <w:r w:rsidRPr="00804121">
        <w:rPr>
          <w:noProof/>
          <w:lang w:val="en-US"/>
        </w:rPr>
        <w:t>Humphreys, Bickerton, Samson, &amp; Riddoch, 2012)</w:t>
      </w:r>
      <w:r w:rsidRPr="00804121">
        <w:rPr>
          <w:lang w:val="en-US"/>
        </w:rPr>
        <w:fldChar w:fldCharType="end"/>
      </w:r>
      <w:r w:rsidRPr="00804121">
        <w:rPr>
          <w:lang w:val="en-US"/>
        </w:rPr>
        <w:t xml:space="preserve">. In the present study, data from the picture naming, spoken word comprehension, and sentence reading tasks were examined. </w:t>
      </w:r>
      <w:r w:rsidR="0030642E" w:rsidRPr="00804121">
        <w:rPr>
          <w:lang w:val="en-US"/>
        </w:rPr>
        <w:t xml:space="preserve">For both the OCS and </w:t>
      </w:r>
      <w:proofErr w:type="spellStart"/>
      <w:r w:rsidR="0030642E" w:rsidRPr="00804121">
        <w:rPr>
          <w:lang w:val="en-US"/>
        </w:rPr>
        <w:t>BCoS</w:t>
      </w:r>
      <w:proofErr w:type="spellEnd"/>
      <w:r w:rsidR="0030642E" w:rsidRPr="00804121">
        <w:rPr>
          <w:lang w:val="en-US"/>
        </w:rPr>
        <w:t>, in the picture naming task, patients were presented with greyscale drawings and asked to name the object in the picture. For both batteries, the sentence reading task required patients to read a sentence aloud. In the OCS, in the comprehension task, patients are presented with simultaneous pictures a</w:t>
      </w:r>
      <w:r w:rsidR="002A4B89" w:rsidRPr="00804121">
        <w:rPr>
          <w:lang w:val="en-US"/>
        </w:rPr>
        <w:t>nd</w:t>
      </w:r>
      <w:r w:rsidR="0030642E" w:rsidRPr="00804121">
        <w:rPr>
          <w:lang w:val="en-US"/>
        </w:rPr>
        <w:t xml:space="preserve"> asked to point to an item (e.g. “Can you point to the fruit for me?”). In the BCOS, the comprehension measure is based on how many times instructions needed to be repeated for 4 target tasks</w:t>
      </w:r>
      <w:r w:rsidR="008263BF" w:rsidRPr="00804121">
        <w:rPr>
          <w:lang w:val="en-US"/>
        </w:rPr>
        <w:t xml:space="preserve"> (</w:t>
      </w:r>
      <w:r w:rsidR="00EE7A71" w:rsidRPr="00804121">
        <w:rPr>
          <w:lang w:val="en-US"/>
        </w:rPr>
        <w:t>p</w:t>
      </w:r>
      <w:r w:rsidR="008263BF" w:rsidRPr="00804121">
        <w:rPr>
          <w:lang w:val="en-US"/>
        </w:rPr>
        <w:t xml:space="preserve">ersonal </w:t>
      </w:r>
      <w:r w:rsidR="00EE7A71" w:rsidRPr="00804121">
        <w:rPr>
          <w:lang w:val="en-US"/>
        </w:rPr>
        <w:t>o</w:t>
      </w:r>
      <w:r w:rsidR="008263BF" w:rsidRPr="00804121">
        <w:rPr>
          <w:lang w:val="en-US"/>
        </w:rPr>
        <w:t xml:space="preserve">rientation, </w:t>
      </w:r>
      <w:r w:rsidR="00EE7A71" w:rsidRPr="00804121">
        <w:rPr>
          <w:lang w:val="en-US"/>
        </w:rPr>
        <w:t>o</w:t>
      </w:r>
      <w:r w:rsidR="008263BF" w:rsidRPr="00804121">
        <w:rPr>
          <w:lang w:val="en-US"/>
        </w:rPr>
        <w:t xml:space="preserve">rientation in </w:t>
      </w:r>
      <w:r w:rsidR="00EE7A71" w:rsidRPr="00804121">
        <w:rPr>
          <w:lang w:val="en-US"/>
        </w:rPr>
        <w:t>t</w:t>
      </w:r>
      <w:r w:rsidR="008263BF" w:rsidRPr="00804121">
        <w:rPr>
          <w:lang w:val="en-US"/>
        </w:rPr>
        <w:t xml:space="preserve">ime and </w:t>
      </w:r>
      <w:r w:rsidR="00EE7A71" w:rsidRPr="00804121">
        <w:rPr>
          <w:lang w:val="en-US"/>
        </w:rPr>
        <w:t>s</w:t>
      </w:r>
      <w:r w:rsidR="008263BF" w:rsidRPr="00804121">
        <w:rPr>
          <w:lang w:val="en-US"/>
        </w:rPr>
        <w:t xml:space="preserve">pace, </w:t>
      </w:r>
      <w:r w:rsidR="00EE7A71" w:rsidRPr="00804121">
        <w:rPr>
          <w:lang w:val="en-US"/>
        </w:rPr>
        <w:t>a</w:t>
      </w:r>
      <w:r w:rsidR="008263BF" w:rsidRPr="00804121">
        <w:rPr>
          <w:lang w:val="en-US"/>
        </w:rPr>
        <w:t xml:space="preserve">nosognosia and </w:t>
      </w:r>
      <w:r w:rsidR="00EE7A71" w:rsidRPr="00804121">
        <w:rPr>
          <w:lang w:val="en-US"/>
        </w:rPr>
        <w:t>r</w:t>
      </w:r>
      <w:r w:rsidR="008263BF" w:rsidRPr="00804121">
        <w:rPr>
          <w:lang w:val="en-US"/>
        </w:rPr>
        <w:t>ule</w:t>
      </w:r>
      <w:r w:rsidR="008B2F35" w:rsidRPr="00804121">
        <w:rPr>
          <w:lang w:val="en-US"/>
        </w:rPr>
        <w:t>-</w:t>
      </w:r>
      <w:r w:rsidR="008263BF" w:rsidRPr="00804121">
        <w:rPr>
          <w:lang w:val="en-US"/>
        </w:rPr>
        <w:t>finding)</w:t>
      </w:r>
      <w:r w:rsidR="00D57E68" w:rsidRPr="00804121">
        <w:rPr>
          <w:lang w:val="en-US"/>
        </w:rPr>
        <w:t>.</w:t>
      </w:r>
      <w:r w:rsidR="002842B7" w:rsidRPr="00804121">
        <w:rPr>
          <w:lang w:val="en-US"/>
        </w:rPr>
        <w:t xml:space="preserve"> The level of understanding was then judged as follows on a </w:t>
      </w:r>
      <w:proofErr w:type="gramStart"/>
      <w:r w:rsidR="002842B7" w:rsidRPr="00804121">
        <w:rPr>
          <w:lang w:val="en-US"/>
        </w:rPr>
        <w:t>3 point</w:t>
      </w:r>
      <w:proofErr w:type="gramEnd"/>
      <w:r w:rsidR="002842B7" w:rsidRPr="00804121">
        <w:rPr>
          <w:lang w:val="en-US"/>
        </w:rPr>
        <w:t xml:space="preserve"> scale as follows: 1=poor understanding even after repetition, 2=relatively good understanding but instructions need often to be repeated, 3=good understanding, almost no need to repeat the instructions. </w:t>
      </w:r>
    </w:p>
    <w:p w14:paraId="0326FBE3" w14:textId="42BFF027" w:rsidR="006B22D8" w:rsidRPr="00804121" w:rsidRDefault="006B22D8" w:rsidP="00F035DD">
      <w:pPr>
        <w:pStyle w:val="Newparagraph"/>
      </w:pPr>
      <w:r w:rsidRPr="00804121">
        <w:t>There was limited variability in the scores on the observed language assessments</w:t>
      </w:r>
      <w:r w:rsidR="00370194" w:rsidRPr="00804121">
        <w:t>,</w:t>
      </w:r>
      <w:r w:rsidR="0030642E" w:rsidRPr="00804121">
        <w:t xml:space="preserve"> given the</w:t>
      </w:r>
      <w:r w:rsidRPr="00804121">
        <w:t xml:space="preserve"> nature of the cognitive screening tools</w:t>
      </w:r>
      <w:r w:rsidR="002842B7" w:rsidRPr="00804121">
        <w:t xml:space="preserve"> </w:t>
      </w:r>
      <w:r w:rsidR="008F4511" w:rsidRPr="00804121">
        <w:t xml:space="preserve">with few items, </w:t>
      </w:r>
      <w:r w:rsidR="002842B7" w:rsidRPr="00804121">
        <w:t xml:space="preserve">the </w:t>
      </w:r>
      <w:r w:rsidR="0009330C" w:rsidRPr="00804121">
        <w:t>time of testing post stroke</w:t>
      </w:r>
      <w:r w:rsidR="00684ACF" w:rsidRPr="00804121">
        <w:t xml:space="preserve">, </w:t>
      </w:r>
      <w:r w:rsidR="00370194" w:rsidRPr="00804121">
        <w:t xml:space="preserve">and </w:t>
      </w:r>
      <w:r w:rsidR="00684ACF" w:rsidRPr="00804121">
        <w:t>high rates of recovery an</w:t>
      </w:r>
      <w:r w:rsidR="00370194" w:rsidRPr="00804121">
        <w:t>d</w:t>
      </w:r>
      <w:r w:rsidR="00684ACF" w:rsidRPr="00804121">
        <w:t xml:space="preserve"> improvement for all aphasia types within th</w:t>
      </w:r>
      <w:r w:rsidR="00370194" w:rsidRPr="00804121">
        <w:t>e</w:t>
      </w:r>
      <w:r w:rsidR="00684ACF" w:rsidRPr="00804121">
        <w:t xml:space="preserve"> period of 6 months </w:t>
      </w:r>
      <w:r w:rsidR="00370194" w:rsidRPr="00804121">
        <w:t xml:space="preserve">following stroke </w:t>
      </w:r>
      <w:r w:rsidR="002842B7" w:rsidRPr="00804121">
        <w:t>(</w:t>
      </w:r>
      <w:r w:rsidR="00684ACF" w:rsidRPr="00804121">
        <w:t xml:space="preserve">e.g. </w:t>
      </w:r>
      <w:r w:rsidR="000F76E3" w:rsidRPr="00804121">
        <w:fldChar w:fldCharType="begin" w:fldLock="1"/>
      </w:r>
      <w:r w:rsidR="000F76E3" w:rsidRPr="00804121">
        <w:instrText>ADDIN CSL_CITATION { "citationItems" : [ { "id" : "ITEM-1", "itemData" : { "DOI" : "10.1002/ana.410400125", "ISSN" : "03645134", "author" : [ { "dropping-particle" : "", "family" : "Pedersen", "given" : "P. M.", "non-dropping-particle" : "", "parse-names" : false, "suffix" : "" }, { "dropping-particle" : "", "family" : "Jorgensen", "given" : "H. S.", "non-dropping-particle" : "", "parse-names" : false, "suffix" : "" }, { "dropping-particle" : "", "family" : "Nakayama", "given" : "H.", "non-dropping-particle" : "", "parse-names" : false, "suffix" : "" }, { "dropping-particle" : "", "family" : "Raaschou", "given" : "H. O.", "non-dropping-particle" : "", "parse-names" : false, "suffix" : "" }, { "dropping-particle" : "", "family" : "Olsen", "given" : "T. S.", "non-dropping-particle" : "", "parse-names" : false, "suffix" : "" } ], "container-title" : "Annals of Neurology", "id" : "ITEM-1", "issue" : "4", "issued" : { "date-parts" : [ [ "1996" ] ] }, "page" : "659-666", "title" : "Aphasia in acute stroke: Incidence, determinants, and recovery", "type" : "article-journal", "volume" : "38" }, "uris" : [ "http://www.mendeley.com/documents/?uuid=36848214-88fe-4a43-ac58-578e942fa112" ] } ], "mendeley" : { "formattedCitation" : "(Pedersen, Jorgensen, Nakayama, Raaschou, &amp; Olsen, 1996)", "plainTextFormattedCitation" : "(Pedersen, Jorgensen, Nakayama, Raaschou, &amp; Olsen, 1996)", "previouslyFormattedCitation" : "(Pedersen, Jorgensen, Nakayama, Raaschou, &amp; Olsen, 1996)" }, "properties" : { "noteIndex" : 0 }, "schema" : "https://github.com/citation-style-language/schema/raw/master/csl-citation.json" }</w:instrText>
      </w:r>
      <w:r w:rsidR="000F76E3" w:rsidRPr="00804121">
        <w:fldChar w:fldCharType="separate"/>
      </w:r>
      <w:r w:rsidR="000F76E3" w:rsidRPr="00804121">
        <w:rPr>
          <w:noProof/>
        </w:rPr>
        <w:t>(Pedersen, Jorgensen, Nakayama, Raaschou, &amp; Olsen, 1996, or</w:t>
      </w:r>
      <w:r w:rsidR="000F76E3" w:rsidRPr="00804121">
        <w:fldChar w:fldCharType="end"/>
      </w:r>
      <w:r w:rsidR="000F76E3" w:rsidRPr="00804121">
        <w:t xml:space="preserve"> </w:t>
      </w:r>
      <w:r w:rsidR="0012726A" w:rsidRPr="00804121">
        <w:fldChar w:fldCharType="begin" w:fldLock="1"/>
      </w:r>
      <w:r w:rsidR="0012726A" w:rsidRPr="00804121">
        <w:instrText>ADDIN CSL_CITATION { "citationItems" : [ { "id" : "ITEM-1", "itemData" : { "DOI" : "10.1161/01.STR.11.5.455", "ISSN" : "15244628", "PMID" : "7423574", "abstract" : "The extent of recovery from aphasia following Ischemic stroke has been evaluated by a quantitative method. The greatest improvement was observed during the first 3 months following onset. The rate of recovery was similar for expression and for comprehension, but comprehension was usually less disturbed than expression. Final prognosis depends on the type of aphasia (the poorest prognosis was found for total or global aphasia) and on the severity of the initial insult. \u00a9 1980 American Heart Association, Inc.", "author" : [ { "dropping-particle" : "", "family" : "Demeurisse", "given" : "G", "non-dropping-particle" : "", "parse-names" : false, "suffix" : "" }, { "dropping-particle" : "", "family" : "Demol", "given" : "O", "non-dropping-particle" : "", "parse-names" : false, "suffix" : "" }, { "dropping-particle" : "", "family" : "Derouck", "given" : "M.", "non-dropping-particle" : "", "parse-names" : false, "suffix" : "" }, { "dropping-particle" : "", "family" : "Beuckelaer", "given" : "R.", "non-dropping-particle" : "De", "parse-names" : false, "suffix" : "" }, { "dropping-particle" : "", "family" : "Coekaerts", "given" : "M. J.", "non-dropping-particle" : "", "parse-names" : false, "suffix" : "" }, { "dropping-particle" : "", "family" : "Capon", "given" : "A.", "non-dropping-particle" : "", "parse-names" : false, "suffix" : "" } ], "container-title" : "Stroke", "id" : "ITEM-1", "issue" : "5", "issued" : { "date-parts" : [ [ "1980" ] ] }, "page" : "455-458", "title" : "Quantitative study of the rate of recovery from aphasia due to ischemic stroke", "type" : "article-journal", "volume" : "11" }, "uris" : [ "http://www.mendeley.com/documents/?uuid=3d8f0dfe-d0e2-46e3-9164-2bac736c82a0" ] } ], "mendeley" : { "formattedCitation" : "(Demeurisse et al., 1980)", "plainTextFormattedCitation" : "(Demeurisse et al., 1980)" }, "properties" : { "noteIndex" : 0 }, "schema" : "https://github.com/citation-style-language/schema/raw/master/csl-citation.json" }</w:instrText>
      </w:r>
      <w:r w:rsidR="0012726A" w:rsidRPr="00804121">
        <w:fldChar w:fldCharType="separate"/>
      </w:r>
      <w:r w:rsidR="0012726A" w:rsidRPr="00804121">
        <w:rPr>
          <w:noProof/>
        </w:rPr>
        <w:t>Demeurisse et al., 1980)</w:t>
      </w:r>
      <w:r w:rsidR="0012726A" w:rsidRPr="00804121">
        <w:fldChar w:fldCharType="end"/>
      </w:r>
      <w:r w:rsidRPr="00804121">
        <w:t xml:space="preserve">; indeed no more than 15% of the patients assessed showed impairments on any of the individual behavioural tasks, which is in keeping with the good recovery many patients show from initial language problems </w:t>
      </w:r>
      <w:r w:rsidRPr="00804121">
        <w:fldChar w:fldCharType="begin" w:fldLock="1"/>
      </w:r>
      <w:r w:rsidR="0012726A" w:rsidRPr="00804121">
        <w:instrText>ADDIN CSL_CITATION { "citationItems" : [ { "id" : "ITEM-1", "itemData" : { "DOI" : "10.1046/j.1365-2796.2001.00812.x", "ISSN" : "09546820", "abstract" : "Objectives. The natural course of aphasia in unselected, consecutive stroke patients is not well established. We investigated morbidity, mortality and recovery for different types of aphasia in consecutive unselected aphasic patients with acute stroke. Setting and subjects. In 119 aphasic patients, the type and degree of aphasia were assessed acutely and at 3, 6 and 18 months after stroke onset, using Reinvang's 'Grunntest for afasi' and Amsterdam-Nijmegen-Everyday-Language-Test. Results. About one-third of patients with acute stroke had presented with aphasia. Mortality among the aphasic patients during the 18-month follow-up was twice that in non-aphasics (36 vs. 16%). Presence of atrial fibrillation was associated with poorer prognosis. At 18 months, 24% of the 119 aphasic patients had recovered completely, 43% still had significant aphasia, and 21% had died. The proportion with global aphasia decreased from almost 25% acutely to a few per cent after 18 months, that with Wernicke's aphasia from 25% to less than 10%, whereas conduction aphasia increased from 13 to 23% during follow-up. Among those with initial mild aphasia, 70% recovered completely. Great improvement was observed in patients with initial low degree of speech function. Younger patients recovered to a greater extent than order patients. Conclusion. The high long-term mortality among aphasics may be seen as an indirect sign of advanced cardiovascular disease. A combination of different and adjusted aphasia tests provided the possibility to assess almost all acute aphasic patients. Irrespective of type and degree of aphasia, great improvements were seen in almost all aphasic patients. Even patients with severe speech impairment have a considerable potential for recovery, particularly in the first 3 months after stroke.", "author" : [ { "dropping-particle" : "", "family" : "Laska", "given" : "A. C.", "non-dropping-particle" : "", "parse-names" : false, "suffix" : "" }, { "dropping-particle" : "", "family" : "Hellblom", "given" : "A.", "non-dropping-particle" : "", "parse-names" : false, "suffix" : "" }, { "dropping-particle" : "", "family" : "Murray", "given" : "V.", "non-dropping-particle" : "", "parse-names" : false, "suffix" : "" }, { "dropping-particle" : "", "family" : "Kahan", "given" : "T.", "non-dropping-particle" : "", "parse-names" : false, "suffix" : "" }, { "dropping-particle" : "", "family" : "Arbin", "given" : "M.", "non-dropping-particle" : "Von", "parse-names" : false, "suffix" : "" } ], "container-title" : "Journal of Internal Medicine", "id" : "ITEM-1", "issue" : "5", "issued" : { "date-parts" : [ [ "2001" ] ] }, "page" : "413-422", "title" : "Aphasia in acute stroke and relation to outcome", "type" : "article-journal", "volume" : "249" }, "uris" : [ "http://www.mendeley.com/documents/?uuid=c5586c63-adf1-403d-b107-8f9ffffecdfa" ] } ], "mendeley" : { "formattedCitation" : "(Laska, Hellblom, Murray, Kahan, &amp; Von Arbin, 2001)", "plainTextFormattedCitation" : "(Laska, Hellblom, Murray, Kahan, &amp; Von Arbin, 2001)", "previouslyFormattedCitation" : "(Laska, Hellblom, Murray, Kahan, &amp; Von Arbin, 2001)" }, "properties" : { "noteIndex" : 0 }, "schema" : "https://github.com/citation-style-language/schema/raw/master/csl-citation.json" }</w:instrText>
      </w:r>
      <w:r w:rsidRPr="00804121">
        <w:fldChar w:fldCharType="separate"/>
      </w:r>
      <w:r w:rsidRPr="00804121">
        <w:rPr>
          <w:noProof/>
        </w:rPr>
        <w:t>(Laska, Hellblom, Murray, Kahan, &amp; Von Arbin, 2001)</w:t>
      </w:r>
      <w:r w:rsidRPr="00804121">
        <w:fldChar w:fldCharType="end"/>
      </w:r>
      <w:r w:rsidRPr="00804121">
        <w:t>. Participants were categorised into either impaired/not impaired on the language tasks</w:t>
      </w:r>
      <w:r w:rsidR="0030642E" w:rsidRPr="00804121">
        <w:t>, using the standard thresholds for the OCS/</w:t>
      </w:r>
      <w:proofErr w:type="spellStart"/>
      <w:r w:rsidR="0030642E" w:rsidRPr="00804121">
        <w:t>BCoS</w:t>
      </w:r>
      <w:proofErr w:type="spellEnd"/>
      <w:r w:rsidRPr="00804121">
        <w:t xml:space="preserve">. </w:t>
      </w:r>
      <w:r w:rsidR="007860AF" w:rsidRPr="00804121">
        <w:t xml:space="preserve">We opted to denote these patients’ problems as “language impaired” rather than “aphasia”, given that grouping was done </w:t>
      </w:r>
      <w:proofErr w:type="gramStart"/>
      <w:r w:rsidR="007860AF" w:rsidRPr="00804121">
        <w:t>on the basis of</w:t>
      </w:r>
      <w:proofErr w:type="gramEnd"/>
      <w:r w:rsidR="007860AF" w:rsidRPr="00804121">
        <w:t xml:space="preserve"> this cognitive screen rather than a full neuropsychological examination.</w:t>
      </w:r>
    </w:p>
    <w:p w14:paraId="0A81FCD1" w14:textId="32E2678C" w:rsidR="00290BD4" w:rsidRPr="00804121" w:rsidRDefault="00290BD4" w:rsidP="00F035DD">
      <w:pPr>
        <w:pStyle w:val="Heading3"/>
      </w:pPr>
      <w:r w:rsidRPr="00804121">
        <w:tab/>
      </w:r>
      <w:r w:rsidR="00AC754C" w:rsidRPr="00804121">
        <w:t xml:space="preserve">Toronto </w:t>
      </w:r>
      <w:r w:rsidRPr="00804121">
        <w:t>Alexithymia</w:t>
      </w:r>
      <w:r w:rsidR="00AC754C" w:rsidRPr="00804121">
        <w:t xml:space="preserve"> Scale</w:t>
      </w:r>
    </w:p>
    <w:p w14:paraId="7E9E06CC" w14:textId="437F0FB2" w:rsidR="00987700" w:rsidRPr="00804121" w:rsidRDefault="00AC754C" w:rsidP="00F035DD">
      <w:pPr>
        <w:pStyle w:val="Paragraph"/>
        <w:rPr>
          <w:noProof/>
        </w:rPr>
      </w:pPr>
      <w:r w:rsidRPr="00804121">
        <w:t xml:space="preserve">To measure alexithymia, the </w:t>
      </w:r>
      <w:r w:rsidR="0085302A" w:rsidRPr="00804121">
        <w:t>Toronto Alexithymia Scale (TAS-20)</w:t>
      </w:r>
      <w:r w:rsidR="00FE4F0B" w:rsidRPr="00804121">
        <w:t xml:space="preserve"> </w:t>
      </w:r>
      <w:r w:rsidR="00F533F5" w:rsidRPr="00804121">
        <w:fldChar w:fldCharType="begin" w:fldLock="1"/>
      </w:r>
      <w:r w:rsidR="0012726A" w:rsidRPr="00804121">
        <w:instrText>ADDIN CSL_CITATION { "citationItems" : [ { "id" : "ITEM-1", "itemData" : { "DOI" : "10.1002/per.2410070403", "ISBN" : "0890-2070", "ISSN" : "08902070", "abstract" : "The 20-item Toronto Alexithymia Scale (TAS-20) was developed in previous research to measure a general dimension of alexithymia with three intercorrelated factors. These three factors reflect distinct distinct facets of the alexithymia construct: (1) difficulty identifying feelings and distinguishing them from the bodily sensations of emotion, (2) difficulty describing feelings to others, and (3) an externally orientated style of thinking. This study tested the three-factor model for the TAS-20, using confirmatory factor analysis, in separate samples of young adults from Germany, Canada, and the United States. The previously established three-factor model was found to be replicable in all three samples. In addition, the full TAS-20 and its three factors demonstrated adequate internal reliability in all three samples. Although evaluation of the convergent, discriminant, and criterion validity of the TAS-20 is required in diverse cultural groups, the present results provide evidence for the factorial validity and internal reliability of the TAS-20. ABSTRACT FROM AUTHOR Copyright of European Journal of Personality is the property of John Wiley &amp; Sons Ltd. 1996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"Parker", "given" : "J D", "non-dropping-particle" : "", "parse-names" : false, "suffix" : "" }, { "dropping-particle" : "", "family" : "Bagby", "given" : "R Michael", "non-dropping-particle" : "", "parse-names" : false, "suffix" : "" }, { "dropping-particle" : "", "family" : "Taylor", "given" : "G J", "non-dropping-particle" : "", "parse-names" : false, "suffix" : "" }, { "dropping-particle" : "", "family" : "Endler", "given" : "N S", "non-dropping-particle" : "", "parse-names" : false, "suffix" : "" }, { "dropping-particle" : "", "family" : "Schmitz", "given" : "P", "non-dropping-particle" : "", "parse-names" : false, "suffix" : "" } ], "container-title" : "European Journal of Personality", "id" : "ITEM-1", "issue" : "4", "issued" : { "date-parts" : [ [ "1993" ] ] }, "page" : "221-232", "title" : "Factorial validity of the 20-item Toronto Alexithymia Scale", "type" : "article-journal", "volume" : "7" }, "uris" : [ "http://www.mendeley.com/documents/?uuid=70084754-035a-451f-960d-349d39003612" ] } ], "mendeley" : { "formattedCitation" : "(Parker, Bagby, Taylor, Endler, &amp; Schmitz, 1993)", "plainTextFormattedCitation" : "(Parker, Bagby, Taylor, Endler, &amp; Schmitz, 1993)", "previouslyFormattedCitation" : "(Parker, Bagby, Taylor, Endler, &amp; Schmitz, 1993)" }, "properties" : { "noteIndex" : 0 }, "schema" : "https://github.com/citation-style-language/schema/raw/master/csl-citation.json" }</w:instrText>
      </w:r>
      <w:r w:rsidR="00F533F5" w:rsidRPr="00804121">
        <w:fldChar w:fldCharType="separate"/>
      </w:r>
      <w:r w:rsidR="00F533F5" w:rsidRPr="00804121">
        <w:rPr>
          <w:noProof/>
        </w:rPr>
        <w:t>(Parker, Bagby, Taylor, Endler, &amp; Schmitz, 1993)</w:t>
      </w:r>
      <w:r w:rsidR="00F533F5" w:rsidRPr="00804121">
        <w:fldChar w:fldCharType="end"/>
      </w:r>
      <w:r w:rsidRPr="00804121">
        <w:t xml:space="preserve"> was used. This is a</w:t>
      </w:r>
      <w:r w:rsidR="00F8730F" w:rsidRPr="00804121">
        <w:t xml:space="preserve"> 20-item scale, </w:t>
      </w:r>
      <w:r w:rsidRPr="00804121">
        <w:t xml:space="preserve">including three sub-scales </w:t>
      </w:r>
      <w:r w:rsidR="00F8730F" w:rsidRPr="00804121">
        <w:t>examining difficulties identifying feeling</w:t>
      </w:r>
      <w:r w:rsidR="00370194" w:rsidRPr="00804121">
        <w:t>s</w:t>
      </w:r>
      <w:r w:rsidR="00F8730F" w:rsidRPr="00804121">
        <w:t xml:space="preserve">, expressing feelings and externally orientated </w:t>
      </w:r>
      <w:r w:rsidR="00E22701" w:rsidRPr="00804121">
        <w:t>thinking. Participants respond</w:t>
      </w:r>
      <w:r w:rsidR="00370194" w:rsidRPr="00804121">
        <w:t>ed</w:t>
      </w:r>
      <w:r w:rsidR="00E22701" w:rsidRPr="00804121">
        <w:rPr>
          <w:lang w:val="en-US"/>
        </w:rPr>
        <w:t xml:space="preserve"> using a 5-point Likert scale. </w:t>
      </w:r>
      <w:r w:rsidR="00AA0653" w:rsidRPr="00804121">
        <w:rPr>
          <w:lang w:val="en-US"/>
        </w:rPr>
        <w:t xml:space="preserve">Higher scores indicate greater alexithymia. </w:t>
      </w:r>
      <w:r w:rsidR="005C3915" w:rsidRPr="00804121">
        <w:t xml:space="preserve">Cronbach’s alpha for this measure for the current sample was .79, and thus this measure can be considered to have </w:t>
      </w:r>
      <w:r w:rsidR="003D01C0" w:rsidRPr="00804121">
        <w:t xml:space="preserve">fair </w:t>
      </w:r>
      <w:r w:rsidR="005C3915" w:rsidRPr="00804121">
        <w:t>internal reliability.</w:t>
      </w:r>
      <w:r w:rsidR="009E71D6" w:rsidRPr="00804121">
        <w:t xml:space="preserve"> Considering the reliability of responses for patients in our language-impaired group, Cronbach’s alpha was .77, and thus was still reliable for patients with communication difficulties.</w:t>
      </w:r>
      <w:r w:rsidR="00987700" w:rsidRPr="00804121">
        <w:t xml:space="preserve"> As per previous investigations </w:t>
      </w:r>
      <w:r w:rsidR="00987700" w:rsidRPr="00804121">
        <w:fldChar w:fldCharType="begin" w:fldLock="1"/>
      </w:r>
      <w:r w:rsidR="0012726A" w:rsidRPr="00804121">
        <w:instrText>ADDIN CSL_CITATION { "citationItems" : [ { "id" : "ITEM-1", "itemData" : { "ISBN" : "0033-3174 (Print)\\r0033-3174 (Linking)", "ISSN" : "0033-3174", "PMID" : "11719633", "abstract" : "OBJECTIVE: Stroke patients suffer from a high rate of behavioral disorders, and the laterality of the lesion may affect the expression of emotional disturbances. This study tested the hypothesis that stroke patients with a lesion in the right hemisphere are at high risk of developing alexithymic features. METHODS: Forty-eight patients were interviewed with the Structured Clinical Interview for DSM-IV (patient edition), the Mini-Mental State Examination, the State-Trait Anxiety Inventory (state form), the Beck Depression Inventory, and the Toronto Alexithymia Scale (20-item version). Alexithymic differences between stroke patients with a lesion in the right hemisphere and those with a lesion in the left hemisphere were computed by analysis of covariance, using scores on the Mini-Mental State Examination, Beck Depression Inventory (psychic subscore), and State-Trait Anxiety Inventory as covariates and the score on the Toronto Alexithymia Scale as the dependent variable. A multivariate analysis of covariance and a series of follow-up analyses of covariance with the same covariates were used to discriminate differences in subscores on the Toronto Alexithymia Scale. An exploratory analysis of covariance was also performed to determine the effect of gender on alexithymic features in both groups of stroke patients. RESULTS: The 21 stroke patients with a lesion in the right hemisphere were more alexithymic than the 27 patients with a lesion in the left hemisphere. This evidence was strengthened by the categorical analysis: 48% of the patients with a right-hemisphere lesion had alexithymia, compared with 22% of patients with a left-hemisphere lesion. Univariate analyses of covariance showed significant differences between the two groups in difficulty identifying feelings and difficulty describing feelings, but not in externally oriented thinking. The last exploratory analysis of covariance suggested that gender may influence alexithymic features. CONCLUSIONS: This study provides direct evidence that alexithymia, and more specifically difficulty identifying feelings and difficulty describing feelings, is more common in stroke patients with a right-hemisphere lesion than in those with a left-hemisphere lesion. It also provides preliminary evidence that gender may affect alexithymic expression.", "author" : [ { "dropping-particle" : "", "family" : "Spalletta", "given" : "Gianfranco", "non-dropping-particle" : "", "parse-names" : false, "suffix" : "" }, { "dropping-particle" : "", "family" : "Pasini", "given" : "A", "non-dropping-particle" : "", "parse-names" : false, "suffix" : "" }, { "dropping-particle" : "", "family" : "Costa", "given" : "A", "non-dropping-particle" : "", "parse-names" : false, "suffix" : "" }, { "dropping-particle" : "", "family" : "Angelis", "given" : "D", "non-dropping-particle" : "De", "parse-names" : false, "suffix" : "" }, { "dropping-particle" : "", "family" : "Ramundo", "given" : "N", "non-dropping-particle" : "", "parse-names" : false, "suffix" : "" }, { "dropping-particle" : "", "family" : "Paolucci", "given" : "S", "non-dropping-particle" : "", "parse-names" : false, "suffix" : "" }, { "dropping-particle" : "", "family" : "Caltagirone", "given" : "C", "non-dropping-particle" : "", "parse-names" : false, "suffix" : "" } ], "container-title" : "Psychosom Med", "id" : "ITEM-1", "issue" : "6", "issued" : { "date-parts" : [ [ "2001" ] ] }, "page" : "944-950", "title" : "Alexithymic features in stroke: effects of laterality and gender", "type" : "article-journal", "volume" : "63" }, "uris" : [ "http://www.mendeley.com/documents/?uuid=1ac372ef-a1eb-4954-9501-056815bf9bad" ] } ], "mendeley" : { "formattedCitation" : "(Spalletta et al., 2001)", "plainTextFormattedCitation" : "(Spalletta et al., 2001)", "previouslyFormattedCitation" : "(Spalletta et al., 2001)" }, "properties" : { "noteIndex" : 0 }, "schema" : "https://github.com/citation-style-language/schema/raw/master/csl-citation.json" }</w:instrText>
      </w:r>
      <w:r w:rsidR="00987700" w:rsidRPr="00804121">
        <w:fldChar w:fldCharType="separate"/>
      </w:r>
      <w:r w:rsidR="00987700" w:rsidRPr="00804121">
        <w:rPr>
          <w:noProof/>
        </w:rPr>
        <w:t>(Spalletta et al., 2001)</w:t>
      </w:r>
      <w:r w:rsidR="00987700" w:rsidRPr="00804121">
        <w:fldChar w:fldCharType="end"/>
      </w:r>
      <w:r w:rsidR="00987700" w:rsidRPr="00804121">
        <w:t>, the rate of patients surpassing the threshold for high alexithymic traits was elevated with respect to the general population;</w:t>
      </w:r>
      <w:r w:rsidR="009E71D6" w:rsidRPr="00804121">
        <w:t xml:space="preserve"> </w:t>
      </w:r>
      <w:r w:rsidR="00987700" w:rsidRPr="00804121">
        <w:t xml:space="preserve">22% of the whole sample were at or above the </w:t>
      </w:r>
      <w:r w:rsidR="003E4C33" w:rsidRPr="00804121">
        <w:t xml:space="preserve">criterion </w:t>
      </w:r>
      <w:r w:rsidR="00987700" w:rsidRPr="00804121">
        <w:t xml:space="preserve">for high alexithymia traits (10% of the general population are usually expected to meet this threshold; </w:t>
      </w:r>
      <w:r w:rsidR="00987700" w:rsidRPr="00804121">
        <w:fldChar w:fldCharType="begin" w:fldLock="1"/>
      </w:r>
      <w:r w:rsidR="0012726A" w:rsidRPr="00804121">
        <w:instrText>ADDIN CSL_CITATION { "citationItems" : [ { "id" : "ITEM-1", "itemData" : { "DOI" : "10.1007/s00127-007-0265-1", "ISBN" : "0933-7954 1433-9285", "ISSN" : "09337954", "PMID" : "17934682", "abstract" : "The Toronto-Alexithymia-Scale (TAS-20) is used worldwide as a valid measurement of alexithymia. Until now, population-based standardization and cut-off values of the German TAS-20 version have not been available. This study provides these by means of a representative German sample and by investigating the factorial structure of the TAS-20. Data were generated from a representative random sample of the German general population (1,859 subjects aged between 20 and 69). The TAS-20 sum score was normally distributed. The mean value was 49.5 (SD=9.3) in men and 48.2 (SD=9.2) in women. Divorce, single and low social status were associated with enhanced sum scores. Ten percent of the population exceeded the TAS-20 sum score threshold of &gt;or=61. The 66th percentile reached 53 for men and 52 for women. Factor analysis identified three factors that match the scales of the English original version. An additional fourth factor (\"importance of emotional introspection\") was extracted. Total explanation of variance by these four factors was 52.27%. The sum score of the German TAS-20 version is suited for the standardized measure of alexithymia. For selecting alexithymic individuals in experimental studies, the cut-off &gt;or=61 is possibly too restrictive. Therefore, we propose the 66th percentile for the identification of high alexithymics. The TAS-20 sum score is associated with important socio-demographic variables. The factorial structure is reliable; the fourth factor (\"importance of emotional introspection\") provides differentiation of content and allows for enhanced explanation of variance.", "author" : [ { "dropping-particle" : "", "family" : "Franz", "given" : "Matthias", "non-dropping-particle" : "", "parse-names" : false, "suffix" : "" }, { "dropping-particle" : "", "family" : "Popp", "given" : "Kerstin", "non-dropping-particle" : "", "parse-names" : false, "suffix" : "" }, { "dropping-particle" : "", "family" : "Schaefer", "given" : "Ralf", "non-dropping-particle" : "", "parse-names" : false, "suffix" : "" }, { "dropping-particle" : "", "family" : "Sitte", "given" : "Wolfgang", "non-dropping-particle" : "", "parse-names" : false, "suffix" : "" }, { "dropping-particle" : "", "family" : "Schneider", "given" : "Christine", "non-dropping-particle" : "", "parse-names" : false, "suffix" : "" }, { "dropping-particle" : "", "family" : "Hardt", "given" : "Jochen", "non-dropping-particle" : "", "parse-names" : false, "suffix" : "" }, { "dropping-particle" : "", "family" : "Decker", "given" : "Oliver", "non-dropping-particle" : "", "parse-names" : false, "suffix" : "" }, { "dropping-particle" : "", "family" : "Braehler", "given" : "Elmar", "non-dropping-particle" : "", "parse-names" : false, "suffix" : "" } ], "container-title" : "Social Psychiatry and Psychiatric Epidemiology", "id" : "ITEM-1", "issue" : "1", "issued" : { "date-parts" : [ [ "2008" ] ] }, "page" : "54-62", "title" : "Alexithymia in the German general population", "type" : "article-journal", "volume" : "43" }, "uris" : [ "http://www.mendeley.com/documents/?uuid=48c0eba7-940b-4c3a-b3db-945359ca7c95" ] } ], "mendeley" : { "formattedCitation" : "(Franz et al., 2008)", "manualFormatting" : "Franz et al., 2008).\r", "plainTextFormattedCitation" : "(Franz et al., 2008)", "previouslyFormattedCitation" : "(Franz et al., 2008)" }, "properties" : { "noteIndex" : 0 }, "schema" : "https://github.com/citation-style-language/schema/raw/master/csl-citation.json" }</w:instrText>
      </w:r>
      <w:r w:rsidR="00987700" w:rsidRPr="00804121">
        <w:fldChar w:fldCharType="separate"/>
      </w:r>
      <w:r w:rsidR="00987700" w:rsidRPr="00804121">
        <w:rPr>
          <w:noProof/>
        </w:rPr>
        <w:t>Franz et al., 2008).</w:t>
      </w:r>
    </w:p>
    <w:p w14:paraId="6254D4AA" w14:textId="6F2671FD" w:rsidR="00290BD4" w:rsidRPr="00804121" w:rsidRDefault="00987700" w:rsidP="00F035DD">
      <w:pPr>
        <w:pStyle w:val="Heading3"/>
      </w:pPr>
      <w:r w:rsidRPr="00804121">
        <w:fldChar w:fldCharType="end"/>
      </w:r>
      <w:r w:rsidR="00290BD4" w:rsidRPr="00804121">
        <w:tab/>
        <w:t>Stroke Impact Scale</w:t>
      </w:r>
    </w:p>
    <w:p w14:paraId="3E3C6340" w14:textId="2D2E45C0" w:rsidR="004A1B1F" w:rsidRPr="00804121" w:rsidRDefault="00F36A7B" w:rsidP="00F035DD">
      <w:pPr>
        <w:pStyle w:val="Paragraph"/>
      </w:pPr>
      <w:r w:rsidRPr="00804121">
        <w:t xml:space="preserve">The communication section of the </w:t>
      </w:r>
      <w:r w:rsidR="00AC754C" w:rsidRPr="00804121">
        <w:t xml:space="preserve">Stroke Impact Scale (Version 3.0) </w:t>
      </w:r>
      <w:r w:rsidR="00D24226" w:rsidRPr="00804121">
        <w:fldChar w:fldCharType="begin" w:fldLock="1"/>
      </w:r>
      <w:r w:rsidR="0012726A" w:rsidRPr="00804121">
        <w:instrText>ADDIN CSL_CITATION { "citationItems" : [ { "id" : "ITEM-1", "itemData" : { "DOI" : "10.1016/s0003-9993(03)00035-2", "ISSN" : "00039993", "abstract" : "OBJECTIVES:\\nTo assess multiple psychometric characteristics of a new stroke outcome measure, the Stroke Impact Scale (SIS), using Rasch analysis, and to identify and remove misfitting items from the 8 domains that comprise the SIS. \\n\\nDESIGN:\\nSecondary analysis of 3-month outcomes for the Glycine Antagonist in Neuroprotection (GAIN) Americas randomized stroke trial. \\n\\nSETTING:\\nA multicenter randomized trial performed in 132 centers in the United States and Canada. \\n\\nPARTICIPANTS:\\nA total of 696 individuals with stroke who were community-dwelling and independent prior to acute stroke. \\n\\nINTERVENTIONS:\\nNot applicable. \\n\\nMAIN OUTCOME MEASURES:\\nRasch analysis was performed using WINSTEPS, version 3.31, to evaluate 4 psychometric characteristics of the SIS: (1) unidimensionality or fit (the extent to which items measure a single construct), (2) targeting (the extent to which the items are of appropriate difficulty for the sample), (3) item difficulty (the ordering of items from least to most difficult to perform), and (4) separation (the extent to which the items distinguish distinct levels of functioning within the sample). \\n\\nRESULTS:\\n(1) Within each domain, most of the items measured a single construct. Only 3 items misfit the constructs and were deleted (\u201cadd and subtract numbers,\u201d \u201cget up from a chair,\u201d \u201cfeel emotionally connected\u201d) and 2 items (\u201chandle money,\u201d \u201cmanage money\u201d) misfit the combined physical domain. These items were deleted to create SIS, version 3.0. (2) Overall, the items are well targeted to the sample. The physical and participation domains have a wide range of items that capture difficulties that most individuals with stroke experience in physical and role functions, while the memory, emotion, and communication domains include items that capture limitations in the most impaired patients. (3) The order of items from less to more difficult was clinically meaningful. (4) The individual physical domains differentiated at least 3 (high, average, low) levels of functioning and the composite physical domain differentiated more than 4 levels of functioning. However, because difficulties with communication, memory, and emotion were not as frequently reported and difficulties with hand function were more frequently reported, these domains only differentiated 2 (high, low) to 3 (high, average, low) strata of patients. Time from stroke onset to administration of the SIS had little effect on item functioning. \\n\\nCONCLUSION:\\nRasc\u2026", "author" : [ { "dropping-particle" : "", "family" : "Duncan", "given" : "Pamela W", "non-dropping-particle" : "", "parse-names" : false, "suffix" : "" }, { "dropping-particle" : "", "family" : "Bode", "given" : "Rita K", "non-dropping-particle" : "", "parse-names" : false, "suffix" : "" }, { "dropping-particle" : "", "family" : "Min Lai", "given" : "Sue", "non-dropping-particle" : "", "parse-names" : false, "suffix" : "" }, { "dropping-particle" : "", "family" : "Perera", "given" : "Subashan", "non-dropping-particle" : "", "parse-names" : false, "suffix" : "" } ], "container-title" : "Archives of Physical Medicine and Rehabilitation", "id" : "ITEM-1", "issue" : "7", "issued" : { "date-parts" : [ [ "2003" ] ] }, "page" : "950-963", "title" : "Rasch analysis of a new stroke-specific outcome scale: the stroke impact scale", "type" : "article-journal", "volume" : "84" }, "uris" : [ "http://www.mendeley.com/documents/?uuid=5a81d4c5-f305-480e-b1d6-accbb65ca49d" ] } ], "mendeley" : { "formattedCitation" : "(Duncan, Bode, Min Lai, &amp; Perera, 2003)", "plainTextFormattedCitation" : "(Duncan, Bode, Min Lai, &amp; Perera, 2003)", "previouslyFormattedCitation" : "(Duncan, Bode, Min Lai, &amp; Perera, 2003)" }, "properties" : { "noteIndex" : 0 }, "schema" : "https://github.com/citation-style-language/schema/raw/master/csl-citation.json" }</w:instrText>
      </w:r>
      <w:r w:rsidR="00D24226" w:rsidRPr="00804121">
        <w:fldChar w:fldCharType="separate"/>
      </w:r>
      <w:r w:rsidR="00D24226" w:rsidRPr="00804121">
        <w:rPr>
          <w:noProof/>
        </w:rPr>
        <w:t>(Duncan, Bode, Min Lai, &amp; Perera, 2003)</w:t>
      </w:r>
      <w:r w:rsidR="00D24226" w:rsidRPr="00804121">
        <w:fldChar w:fldCharType="end"/>
      </w:r>
      <w:r w:rsidRPr="00804121">
        <w:t xml:space="preserve"> </w:t>
      </w:r>
      <w:r w:rsidR="003A6F2E" w:rsidRPr="00804121">
        <w:t xml:space="preserve">(SISCOM) </w:t>
      </w:r>
      <w:r w:rsidRPr="00804121">
        <w:t xml:space="preserve">was used </w:t>
      </w:r>
      <w:r w:rsidR="00472785" w:rsidRPr="00804121">
        <w:t xml:space="preserve">as </w:t>
      </w:r>
      <w:r w:rsidRPr="00804121">
        <w:t>a self-report measure of communication difficulty</w:t>
      </w:r>
      <w:r w:rsidR="00472785" w:rsidRPr="00804121">
        <w:t xml:space="preserve"> following stroke</w:t>
      </w:r>
      <w:r w:rsidRPr="00804121">
        <w:t xml:space="preserve">. </w:t>
      </w:r>
      <w:r w:rsidR="003A6F2E" w:rsidRPr="00804121">
        <w:t>The SISCOM includes 7 q</w:t>
      </w:r>
      <w:r w:rsidR="00AA0653" w:rsidRPr="00804121">
        <w:t xml:space="preserve">uestions </w:t>
      </w:r>
      <w:r w:rsidR="009B7FAC" w:rsidRPr="00804121">
        <w:t xml:space="preserve">requiring </w:t>
      </w:r>
      <w:r w:rsidR="00AA0653" w:rsidRPr="00804121">
        <w:t xml:space="preserve">participants to rate their difficulties in the last week on a 5-point scale. Higher scores indicate greater self-reported </w:t>
      </w:r>
      <w:r w:rsidR="008678D4" w:rsidRPr="00804121">
        <w:t>ability</w:t>
      </w:r>
      <w:r w:rsidR="00AA0653" w:rsidRPr="00804121">
        <w:t xml:space="preserve">. </w:t>
      </w:r>
      <w:r w:rsidR="00760541" w:rsidRPr="00804121">
        <w:t xml:space="preserve">Cronbach’s alpha for </w:t>
      </w:r>
      <w:r w:rsidR="00370194" w:rsidRPr="00804121">
        <w:t>the SISCOM</w:t>
      </w:r>
      <w:r w:rsidR="005C3915" w:rsidRPr="00804121">
        <w:t xml:space="preserve"> for the current sample</w:t>
      </w:r>
      <w:r w:rsidR="00760541" w:rsidRPr="00804121">
        <w:t xml:space="preserve"> was .84, and thus this measure can be considered to have good internal reliability.</w:t>
      </w:r>
      <w:r w:rsidR="009E71D6" w:rsidRPr="00804121">
        <w:t xml:space="preserve"> The reliability for </w:t>
      </w:r>
      <w:r w:rsidR="006B22D8" w:rsidRPr="00804121">
        <w:t xml:space="preserve">the patients with language difficulties on the SISCOM was .86; thus, reliability was still good for patients with communication problems. </w:t>
      </w:r>
    </w:p>
    <w:p w14:paraId="56264113" w14:textId="3FBED35A" w:rsidR="00F36A7B" w:rsidRPr="00804121" w:rsidRDefault="00AF19FD" w:rsidP="00F035DD">
      <w:pPr>
        <w:pStyle w:val="Newparagraph"/>
      </w:pPr>
      <w:r w:rsidRPr="00804121">
        <w:t xml:space="preserve">It was considered possible that a significant association between alexithymia and the SISCOM could simply be a reflection of </w:t>
      </w:r>
      <w:r w:rsidR="004A1B1F" w:rsidRPr="00804121">
        <w:t>general poor self-esteem/low belief in one’s abilities (</w:t>
      </w:r>
      <w:r w:rsidR="005C3915" w:rsidRPr="00804121">
        <w:t>i.e. there would be an</w:t>
      </w:r>
      <w:r w:rsidR="004A1B1F" w:rsidRPr="00804121">
        <w:t xml:space="preserve"> association between reporting one had poor emotional insight and poor communicative abilities</w:t>
      </w:r>
      <w:r w:rsidR="005C3915" w:rsidRPr="00804121">
        <w:t xml:space="preserve"> because of a belief that one was poor at everything</w:t>
      </w:r>
      <w:r w:rsidR="004A1B1F" w:rsidRPr="00804121">
        <w:t>). The mobility subscale (SISMOB) of the S</w:t>
      </w:r>
      <w:r w:rsidR="005C3915" w:rsidRPr="00804121">
        <w:t>troke Impact Scale</w:t>
      </w:r>
      <w:r w:rsidR="004A1B1F" w:rsidRPr="00804121">
        <w:t xml:space="preserve"> was thus also included in analyses to test this interpretation.</w:t>
      </w:r>
      <w:r w:rsidR="005D3337" w:rsidRPr="00804121">
        <w:t xml:space="preserve"> This subscale was deliberately selected as the construct of mobility problems seemed unlikely to overlap with communication or emotion, beyond poor self-esteem.</w:t>
      </w:r>
      <w:r w:rsidR="004A1B1F" w:rsidRPr="00804121">
        <w:t xml:space="preserve"> This subscale has 9 items, answered on a 5-point scale. </w:t>
      </w:r>
      <w:r w:rsidR="009B223D" w:rsidRPr="00804121">
        <w:t xml:space="preserve">For the current sample, Cronbach’s alpha for the SISMOB was .94, indicating high internal </w:t>
      </w:r>
      <w:r w:rsidR="003D01C0" w:rsidRPr="00804121">
        <w:t>reliability</w:t>
      </w:r>
      <w:r w:rsidR="009B223D" w:rsidRPr="00804121">
        <w:t>.</w:t>
      </w:r>
    </w:p>
    <w:p w14:paraId="25BECCE1" w14:textId="66B418C5" w:rsidR="00AC754C" w:rsidRPr="00804121" w:rsidRDefault="00AC754C" w:rsidP="00F035DD">
      <w:pPr>
        <w:pStyle w:val="Heading3"/>
        <w:rPr>
          <w:lang w:val="en-US"/>
        </w:rPr>
      </w:pPr>
      <w:r w:rsidRPr="00804121">
        <w:rPr>
          <w:lang w:val="en-US"/>
        </w:rPr>
        <w:tab/>
        <w:t>Hospital Anxiety and Depression Scale</w:t>
      </w:r>
    </w:p>
    <w:p w14:paraId="42460652" w14:textId="16BF0927" w:rsidR="00AA0653" w:rsidRPr="00804121" w:rsidRDefault="0085302A" w:rsidP="00F035DD">
      <w:pPr>
        <w:pStyle w:val="Paragraph"/>
        <w:rPr>
          <w:lang w:val="en-US"/>
        </w:rPr>
      </w:pPr>
      <w:r w:rsidRPr="00804121">
        <w:rPr>
          <w:lang w:val="en-US"/>
        </w:rPr>
        <w:t>Hospital Anxiety and Depression Scale</w:t>
      </w:r>
      <w:r w:rsidR="00FE4F0B" w:rsidRPr="00804121">
        <w:rPr>
          <w:lang w:val="en-US"/>
        </w:rPr>
        <w:t xml:space="preserve"> </w:t>
      </w:r>
      <w:r w:rsidR="00F533F5" w:rsidRPr="00804121">
        <w:rPr>
          <w:lang w:val="en-US"/>
        </w:rPr>
        <w:fldChar w:fldCharType="begin" w:fldLock="1"/>
      </w:r>
      <w:r w:rsidR="0012726A" w:rsidRPr="00804121">
        <w:rPr>
          <w:lang w:val="en-US"/>
        </w:rPr>
        <w:instrText>ADDIN CSL_CITATION { "citationItems" : [ { "id" : "ITEM-1", "itemData" : { "DOI" : "10.1111/j.1600-0447.1983.tb09716.x", "ISBN" : "1600-0447", "ISSN" : "16000447", "PMID" : "6880820", "abstract" : "A self-assessment scale has been developed and found to be a reliable instrument for detecting states of depression and anxiety in the setting of an hospital medical outpatient clinic. The anxiety and depressive subscales are also valid measures of severity of the emotional disorder. It is suggested that the introduction of the scales into general hospital practice would facilitate the large task of detection and management of emotional disorder in patients under investigation and treatment in medical and surgical departments.", "author" : [ { "dropping-particle" : "", "family" : "Zigmond", "given" : "A. S.", "non-dropping-particle" : "", "parse-names" : false, "suffix" : "" }, { "dropping-particle" : "", "family" : "Snaith", "given" : "R. P.", "non-dropping-particle" : "", "parse-names" : false, "suffix" : "" } ], "container-title" : "Acta Psychiatrica Scandinavica", "id" : "ITEM-1", "issue" : "6", "issued" : { "date-parts" : [ [ "1983" ] ] }, "page" : "361-370", "title" : "The Hospital Anxiety and Depression Scale", "type" : "article-journal", "volume" : "67" }, "uris" : [ "http://www.mendeley.com/documents/?uuid=a35a14b3-89b0-4751-83fa-518f53e9cbde" ] } ], "mendeley" : { "formattedCitation" : "(Zigmond &amp; Snaith, 1983)", "manualFormatting" : "(HADS: Zigmond &amp; Snaith, 1983)", "plainTextFormattedCitation" : "(Zigmond &amp; Snaith, 1983)", "previouslyFormattedCitation" : "(Zigmond &amp; Snaith, 1983)" }, "properties" : { "noteIndex" : 0 }, "schema" : "https://github.com/citation-style-language/schema/raw/master/csl-citation.json" }</w:instrText>
      </w:r>
      <w:r w:rsidR="00F533F5" w:rsidRPr="00804121">
        <w:rPr>
          <w:lang w:val="en-US"/>
        </w:rPr>
        <w:fldChar w:fldCharType="separate"/>
      </w:r>
      <w:r w:rsidR="00F533F5" w:rsidRPr="00804121">
        <w:rPr>
          <w:noProof/>
          <w:lang w:val="en-US"/>
        </w:rPr>
        <w:t>(</w:t>
      </w:r>
      <w:r w:rsidR="0077212E" w:rsidRPr="00804121">
        <w:rPr>
          <w:noProof/>
          <w:lang w:val="en-US"/>
        </w:rPr>
        <w:t xml:space="preserve">HADS: </w:t>
      </w:r>
      <w:r w:rsidR="00F533F5" w:rsidRPr="00804121">
        <w:rPr>
          <w:noProof/>
          <w:lang w:val="en-US"/>
        </w:rPr>
        <w:t>Zigmond &amp; Snaith, 1983)</w:t>
      </w:r>
      <w:r w:rsidR="00F533F5" w:rsidRPr="00804121">
        <w:rPr>
          <w:lang w:val="en-US"/>
        </w:rPr>
        <w:fldChar w:fldCharType="end"/>
      </w:r>
      <w:r w:rsidR="0077212E" w:rsidRPr="00804121">
        <w:rPr>
          <w:lang w:val="en-US"/>
        </w:rPr>
        <w:t xml:space="preserve"> </w:t>
      </w:r>
      <w:r w:rsidR="0074170D" w:rsidRPr="00804121">
        <w:rPr>
          <w:lang w:val="en-US"/>
        </w:rPr>
        <w:t xml:space="preserve">is a </w:t>
      </w:r>
      <w:r w:rsidR="00BF5EAC" w:rsidRPr="00804121">
        <w:rPr>
          <w:lang w:val="en-US"/>
        </w:rPr>
        <w:t>14-item</w:t>
      </w:r>
      <w:r w:rsidR="0074170D" w:rsidRPr="00804121">
        <w:rPr>
          <w:lang w:val="en-US"/>
        </w:rPr>
        <w:t xml:space="preserve"> questionnaire, with 7 items assessing anxiety symptoms, and 7 assessing depressive symptoms</w:t>
      </w:r>
      <w:r w:rsidR="00DF193A" w:rsidRPr="00804121">
        <w:rPr>
          <w:lang w:val="en-US"/>
        </w:rPr>
        <w:t>, on a 4 point scale.</w:t>
      </w:r>
      <w:r w:rsidR="00D405E8" w:rsidRPr="00804121">
        <w:rPr>
          <w:lang w:val="en-US"/>
        </w:rPr>
        <w:t xml:space="preserve"> Higher scores indicate greater anxiety/depression symptomatology. </w:t>
      </w:r>
      <w:r w:rsidR="00F533F5" w:rsidRPr="00804121">
        <w:rPr>
          <w:lang w:val="en-US"/>
        </w:rPr>
        <w:t xml:space="preserve">Previous research has shown these measures to be appropriate for use with stroke patients </w:t>
      </w:r>
      <w:r w:rsidR="00F533F5" w:rsidRPr="00804121">
        <w:rPr>
          <w:lang w:val="en-US"/>
        </w:rPr>
        <w:fldChar w:fldCharType="begin" w:fldLock="1"/>
      </w:r>
      <w:r w:rsidR="0012726A" w:rsidRPr="00804121">
        <w:rPr>
          <w:lang w:val="en-US"/>
        </w:rPr>
        <w:instrText>ADDIN CSL_CITATION { "citationItems" : [ { "id" : "ITEM-1", "itemData" : { "DOI" : "10.1016/j.jad.2017.11.037", "ISSN" : "15732517", "abstract" : "Background Variations have been reported in the number of underlying constructs and choice of thresholds that determine caseness of anxiety and /or depression using the Hospital Anxiety and Depression scale (HADS). This study examined the properties of each item of HADS as perceived by stroke patients, and assessed the information these items convey about anxiety and depression between 3 months to 5 years after stroke. Methods The study included 1443 stroke patients from the South London Stroke Register (SLSR). The dimensionality of HADS was examined using factor analysis methods, and items\u2019 properties up to 5 years after stroke were tested using Item Response Theory (IRT) methods, including graded response models (GRMs). Results The presence of two dimensions of HADS (anxiety and depression) for stroke patients was confirmed. Items that accurately inferred about the severity of anxiety and depression, and offered good discrimination of caseness were identified as \u201cI can laugh and see the funny side of things\u201d (Q4) and \u201cI get sudden feelings of panic\u201d (Q13), discrimination 2.44 (se = 0.26), and 3.34 (se = 0.35), respectively. Items that shared properties, hence replicate inference were: \u201cI get a sort of frightened feeling as if something awful is about to happen\u201d (Q3) and \u201cWorrying thoughts go through my mind\u201d (Q9). Item properties were maintained over time. Limitations Approximately 20% of patients were lost to follow up. Conclusion A more concise selection of items based on their properties, would provide a precise approach for screening patients and for an optimal allocation of patients into clinical trials.", "author" : [ { "dropping-particle" : "", "family" : "Ayis", "given" : "Salma A.", "non-dropping-particle" : "", "parse-names" : false, "suffix" : "" }, { "dropping-particle" : "", "family" : "Ayerbe", "given" : "Luis", "non-dropping-particle" : "", "parse-names" : false, "suffix" : "" }, { "dropping-particle" : "", "family" : "Ashworth", "given" : "Mark", "non-dropping-particle" : "", "parse-names" : false, "suffix" : "" }, { "dropping-particle" : "DA", "family" : "Wolfe", "given" : "Charles", "non-dropping-particle" : "", "parse-names" : false, "suffix" : "" } ], "container-title" : "Journal of Affective Disorders", "id" : "ITEM-1", "issue" : "June 2017", "issued" : { "date-parts" : [ [ "2018" ] ] }, "page" : "33-40", "publisher" : "Elsevier B.V.", "title" : "Evaluation of the Hospital Anxiety and Depression Scale (HADS) in screening stroke patients for symptoms: Item Response Theory (IRT) analysis", "type" : "article-journal", "volume" : "228" }, "uris" : [ "http://www.mendeley.com/documents/?uuid=4fe233ab-2866-45fd-93bc-a62000fcbec8" ] } ], "mendeley" : { "formattedCitation" : "(Ayis, Ayerbe, Ashworth, &amp; Wolfe, 2018)", "plainTextFormattedCitation" : "(Ayis, Ayerbe, Ashworth, &amp; Wolfe, 2018)", "previouslyFormattedCitation" : "(Ayis, Ayerbe, Ashworth, &amp; Wolfe, 2018)" }, "properties" : { "noteIndex" : 0 }, "schema" : "https://github.com/citation-style-language/schema/raw/master/csl-citation.json" }</w:instrText>
      </w:r>
      <w:r w:rsidR="00F533F5" w:rsidRPr="00804121">
        <w:rPr>
          <w:lang w:val="en-US"/>
        </w:rPr>
        <w:fldChar w:fldCharType="separate"/>
      </w:r>
      <w:r w:rsidR="00F533F5" w:rsidRPr="00804121">
        <w:rPr>
          <w:noProof/>
          <w:lang w:val="en-US"/>
        </w:rPr>
        <w:t>(Ayis, Ayerbe, Ashworth, &amp; Wolfe, 2018)</w:t>
      </w:r>
      <w:r w:rsidR="00F533F5" w:rsidRPr="00804121">
        <w:rPr>
          <w:lang w:val="en-US"/>
        </w:rPr>
        <w:fldChar w:fldCharType="end"/>
      </w:r>
      <w:r w:rsidR="00F533F5" w:rsidRPr="00804121">
        <w:rPr>
          <w:lang w:val="en-US"/>
        </w:rPr>
        <w:t>.</w:t>
      </w:r>
      <w:r w:rsidR="003D01C0" w:rsidRPr="00804121">
        <w:rPr>
          <w:lang w:val="en-US"/>
        </w:rPr>
        <w:t xml:space="preserve"> In the current sample, </w:t>
      </w:r>
      <w:r w:rsidR="003D01C0" w:rsidRPr="00804121">
        <w:t>Cronbach’s alpha was .7</w:t>
      </w:r>
      <w:r w:rsidR="000F2E24" w:rsidRPr="00804121">
        <w:t>4</w:t>
      </w:r>
      <w:r w:rsidR="003D01C0" w:rsidRPr="00804121">
        <w:t xml:space="preserve"> for the anxiety scale, and .77 for the depression scale. For the sample of patients with language problems, reliability was .75 and .75, for anxiety and depression respectively. Thus</w:t>
      </w:r>
      <w:r w:rsidR="007371B5" w:rsidRPr="00804121">
        <w:t>,</w:t>
      </w:r>
      <w:r w:rsidR="003D01C0" w:rsidRPr="00804121">
        <w:t xml:space="preserve"> across the whole sample and for those patients with language problems, the HADS subscales had fair internal reliability. </w:t>
      </w:r>
    </w:p>
    <w:p w14:paraId="57872477" w14:textId="01BAFF73" w:rsidR="00BD386C" w:rsidRPr="00804121" w:rsidRDefault="00AF0D81" w:rsidP="00F035DD">
      <w:pPr>
        <w:pStyle w:val="Heading1"/>
      </w:pPr>
      <w:r w:rsidRPr="00804121">
        <w:t>Results</w:t>
      </w:r>
    </w:p>
    <w:p w14:paraId="7DE69C11" w14:textId="1ADF0EE1" w:rsidR="003E7B10" w:rsidRPr="00804121" w:rsidRDefault="003E7B10" w:rsidP="00F035DD">
      <w:pPr>
        <w:pStyle w:val="Paragraph"/>
        <w:rPr>
          <w:b/>
        </w:rPr>
      </w:pPr>
      <w:r w:rsidRPr="00804121">
        <w:t xml:space="preserve">Analyses </w:t>
      </w:r>
      <w:r w:rsidR="00665612" w:rsidRPr="00804121">
        <w:t xml:space="preserve">of </w:t>
      </w:r>
      <w:r w:rsidRPr="00804121">
        <w:t xml:space="preserve">alexithymia and self-reported communication </w:t>
      </w:r>
      <w:r w:rsidR="0077212E" w:rsidRPr="00804121">
        <w:t>problems</w:t>
      </w:r>
      <w:r w:rsidRPr="00804121">
        <w:t xml:space="preserve"> via the SISCOM are </w:t>
      </w:r>
      <w:r w:rsidR="00665612" w:rsidRPr="00804121">
        <w:t xml:space="preserve">reported </w:t>
      </w:r>
      <w:r w:rsidRPr="00804121">
        <w:t>first. Alexithymia scores were then compared between the impaired/not impaired groups</w:t>
      </w:r>
      <w:r w:rsidR="0077212E" w:rsidRPr="00804121">
        <w:t>, as defined by patients’ performance on the behavioural OCS tasks</w:t>
      </w:r>
      <w:r w:rsidRPr="00804121">
        <w:t xml:space="preserve">. Because comparisons of raw alexithymia scores would leave the possibility that differences could be confounded by the effect of increased depression/anxiety in the language-impaired groups, these group comparisons were </w:t>
      </w:r>
      <w:r w:rsidR="00CF15AD" w:rsidRPr="00804121">
        <w:t xml:space="preserve">also </w:t>
      </w:r>
      <w:r w:rsidRPr="00804121">
        <w:t xml:space="preserve">run on alexithymia scores that had been corrected for depression and anxiety statistically; specifically analyses were conducted on residual scores from a regression predicting alexithymia scores from depression and anxiety (see </w:t>
      </w:r>
      <w:r w:rsidRPr="00804121">
        <w:fldChar w:fldCharType="begin" w:fldLock="1"/>
      </w:r>
      <w:r w:rsidR="0012726A" w:rsidRPr="00804121">
        <w:instrText>ADDIN CSL_CITATION { "citationItems" : [ { "id" : "ITEM-1", "itemData" : { "DOI" : "10.1016/j.neuropsychologia.2016.01.021", "ISSN" : "18733514", "PMID" : "26801227", "abstract" : "Alexithymia is a subclinical condition characterized by impaired awareness of one's emotional states, which has profound effects on mental health and social interaction. Despite the clinical significance of this condition, the neurocognitive impairment(s) that lead to alexithymia remain unclear. Recent theoretical models suggest that impaired anterior insula (AI) functioning might be involved in alexithymia, but conclusive evidence for this hypothesis is lacking. We measured alexithymia levels in a large sample of brain-injured patients (N=129) and non-brain-injured control participants (N=33), to determine whether alexithymia can be acquired after pronounced damage to the AI. Alexithymia levels were first analysed as a function of group, with patients separated into four groups based on AI damage: patients with &gt;15% damage to AI, patients with &lt;15% damage to AI, patients with no damage to AI, and healthy controls. An ANOVA revealed that alexithymia levels varied across groups (p=0.009), with &gt;15% AI damage causing higher alexithymia relative to all other groups (all p&lt;0.01). Next, a multiple linear regression model was fit with the degree of damage to AI, the degree of damage to a related region (the anterior cingulate cortex, ACC), and the degree of damage to the whole brain as predictor variables, and alexithymia as the dependent variable. Critically, increased AI damage predicted increased alexithymia after controlling for the other two regressors (ACC damage; total lesion volume). Collectively, our results suggest that pronounced AI damage causes increased levels of alexithymia, providing critical evidence that this region supports emotional awareness.", "author" : [ { "dropping-particle" : "", "family" : "Hogeveen", "given" : "J.", "non-dropping-particle" : "", "parse-names" : false, "suffix" : "" }, { "dropping-particle" : "", "family" : "Bird", "given" : "G.", "non-dropping-particle" : "", "parse-names" : false, "suffix" : "" }, { "dropping-particle" : "", "family" : "Chau", "given" : "A.", "non-dropping-particle" : "", "parse-names" : false, "suffix" : "" }, { "dropping-particle" : "", "family" : "Krueger", "given" : "F.", "non-dropping-particle" : "", "parse-names" : false, "suffix" : "" }, { "dropping-particle" : "", "family" : "Grafman", "given" : "J.", "non-dropping-particle" : "", "parse-names" : false, "suffix" : "" } ], "container-title" : "Neuropsychologia", "id" : "ITEM-1", "issued" : { "date-parts" : [ [ "2016" ] ] }, "page" : "142-148", "publisher" : "Elsevier", "title" : "Acquired alexithymia following damage to the anterior insula", "type" : "article-journal", "volume" : "82" }, "uris" : [ "http://www.mendeley.com/documents/?uuid=24cdc604-eea7-4ee8-8474-728822168f58" ] } ], "mendeley" : { "formattedCitation" : "(Hogeveen, Bird, Chau, Krueger, &amp; Grafman, 2016)", "manualFormatting" : "Hogeveen, Bird, Chau, Krueger, &amp; Grafman, 2016", "plainTextFormattedCitation" : "(Hogeveen, Bird, Chau, Krueger, &amp; Grafman, 2016)", "previouslyFormattedCitation" : "(Hogeveen, Bird, Chau, Krueger, &amp; Grafman, 2016)" }, "properties" : { "noteIndex" : 0 }, "schema" : "https://github.com/citation-style-language/schema/raw/master/csl-citation.json" }</w:instrText>
      </w:r>
      <w:r w:rsidRPr="00804121">
        <w:fldChar w:fldCharType="separate"/>
      </w:r>
      <w:r w:rsidRPr="00804121">
        <w:rPr>
          <w:noProof/>
        </w:rPr>
        <w:t>Hogeveen, Bird, Chau, Krueger, &amp; Grafman, 2016</w:t>
      </w:r>
      <w:r w:rsidRPr="00804121">
        <w:fldChar w:fldCharType="end"/>
      </w:r>
      <w:r w:rsidRPr="00804121">
        <w:t xml:space="preserve"> and Hobson et al., 2018). </w:t>
      </w:r>
      <w:r w:rsidR="00665612" w:rsidRPr="00804121">
        <w:t xml:space="preserve">As </w:t>
      </w:r>
      <w:r w:rsidR="00684063" w:rsidRPr="00804121">
        <w:t xml:space="preserve">reported below, the self-reported communication and behaviourally observed language problems showed discrepant relationships with alexithymia. </w:t>
      </w:r>
      <w:r w:rsidR="00665612" w:rsidRPr="00804121">
        <w:t xml:space="preserve">We </w:t>
      </w:r>
      <w:r w:rsidR="00684063" w:rsidRPr="00804121">
        <w:t xml:space="preserve">therefore </w:t>
      </w:r>
      <w:r w:rsidR="00665612" w:rsidRPr="00804121">
        <w:t xml:space="preserve">also compared the self-reported communication problems between the impaired/not impaired groups </w:t>
      </w:r>
      <w:r w:rsidR="00684063" w:rsidRPr="00804121">
        <w:t xml:space="preserve">to understand the relationship between these two modes of measurement of communication problems. Finally, we examined whether we replicated previously reported associations between alexithymia and lesions in the right </w:t>
      </w:r>
      <w:proofErr w:type="gramStart"/>
      <w:r w:rsidR="00684063" w:rsidRPr="00804121">
        <w:t>hemisphere</w:t>
      </w:r>
      <w:r w:rsidR="00CF15AD" w:rsidRPr="00804121">
        <w:t>, and</w:t>
      </w:r>
      <w:proofErr w:type="gramEnd"/>
      <w:r w:rsidR="00CF15AD" w:rsidRPr="00804121">
        <w:t xml:space="preserve"> considered potential interactions with stroke type.  </w:t>
      </w:r>
    </w:p>
    <w:p w14:paraId="6DE69D1B" w14:textId="26C05DC5" w:rsidR="00BF5EAC" w:rsidRPr="00804121" w:rsidRDefault="00332F0C" w:rsidP="00F035DD">
      <w:pPr>
        <w:pStyle w:val="Heading2"/>
      </w:pPr>
      <w:r w:rsidRPr="00804121">
        <w:t>Self-reported communication impairments</w:t>
      </w:r>
      <w:r w:rsidR="009A2F11" w:rsidRPr="00804121">
        <w:t xml:space="preserve"> and alexithymia</w:t>
      </w:r>
    </w:p>
    <w:p w14:paraId="5B2A2EE8" w14:textId="096710F6" w:rsidR="00332F0C" w:rsidRPr="00804121" w:rsidRDefault="00EF7562" w:rsidP="00F035DD">
      <w:pPr>
        <w:pStyle w:val="Paragraph"/>
      </w:pPr>
      <w:r w:rsidRPr="00804121">
        <w:t xml:space="preserve">The </w:t>
      </w:r>
      <w:r w:rsidR="00686005" w:rsidRPr="00804121">
        <w:t>degree to which</w:t>
      </w:r>
      <w:r w:rsidRPr="00804121">
        <w:t xml:space="preserve"> self-reported communication problems (measured via the SISCOM) predict alexithymia (measured by the TAS-20) was examined </w:t>
      </w:r>
      <w:r w:rsidR="006B40F7" w:rsidRPr="00804121">
        <w:t xml:space="preserve">using </w:t>
      </w:r>
      <w:r w:rsidR="00FF5426" w:rsidRPr="00804121">
        <w:t xml:space="preserve">standard </w:t>
      </w:r>
      <w:r w:rsidRPr="00804121">
        <w:t>multiple regression. Anxiety (HADS-A) and depression (HADS-D) symptoms were also entered as predictors, along with gender, age</w:t>
      </w:r>
      <w:r w:rsidR="00FC5FC8" w:rsidRPr="00804121">
        <w:t xml:space="preserve"> at stroke</w:t>
      </w:r>
      <w:r w:rsidRPr="00804121">
        <w:t xml:space="preserve">, years in education and time since stroke (in months). </w:t>
      </w:r>
      <w:r w:rsidR="00CB604C" w:rsidRPr="00804121">
        <w:t>While depression, anxiety and alexithymia are commonly highly correlated, all Variance Inflation Factors</w:t>
      </w:r>
      <w:r w:rsidR="006425B8" w:rsidRPr="00804121">
        <w:t xml:space="preserve"> (VIFs)</w:t>
      </w:r>
      <w:r w:rsidR="00CB604C" w:rsidRPr="00804121">
        <w:t xml:space="preserve"> were below 2, indicating minimal </w:t>
      </w:r>
      <w:r w:rsidR="005A5261" w:rsidRPr="00804121">
        <w:t xml:space="preserve">problems with multicollinearity. </w:t>
      </w:r>
    </w:p>
    <w:p w14:paraId="63046F59" w14:textId="64A8D024" w:rsidR="008405C1" w:rsidRPr="00804121" w:rsidRDefault="00EF7562" w:rsidP="00F035DD">
      <w:pPr>
        <w:pStyle w:val="Newparagraph"/>
      </w:pPr>
      <w:r w:rsidRPr="00804121">
        <w:t>Overall, the model was significant</w:t>
      </w:r>
      <w:r w:rsidR="00120B8D" w:rsidRPr="00804121">
        <w:t xml:space="preserve">: </w:t>
      </w:r>
      <w:r w:rsidR="00120B8D" w:rsidRPr="00804121">
        <w:rPr>
          <w:i/>
        </w:rPr>
        <w:t>F</w:t>
      </w:r>
      <w:r w:rsidR="00120B8D" w:rsidRPr="00804121">
        <w:t xml:space="preserve"> </w:t>
      </w:r>
      <w:r w:rsidR="001344E5" w:rsidRPr="00804121">
        <w:t xml:space="preserve">(7, </w:t>
      </w:r>
      <w:r w:rsidR="00591A9E" w:rsidRPr="00804121">
        <w:t>102</w:t>
      </w:r>
      <w:r w:rsidR="001344E5" w:rsidRPr="00804121">
        <w:t xml:space="preserve">) </w:t>
      </w:r>
      <w:r w:rsidR="00120B8D" w:rsidRPr="00804121">
        <w:t xml:space="preserve">= </w:t>
      </w:r>
      <w:r w:rsidR="00591A9E" w:rsidRPr="00804121">
        <w:t>8</w:t>
      </w:r>
      <w:r w:rsidR="00120B8D" w:rsidRPr="00804121">
        <w:t>.</w:t>
      </w:r>
      <w:r w:rsidR="00591A9E" w:rsidRPr="00804121">
        <w:t>78</w:t>
      </w:r>
      <w:r w:rsidR="00120B8D" w:rsidRPr="00804121">
        <w:t xml:space="preserve">, </w:t>
      </w:r>
      <w:r w:rsidR="00120B8D" w:rsidRPr="00804121">
        <w:rPr>
          <w:i/>
        </w:rPr>
        <w:t>p</w:t>
      </w:r>
      <w:r w:rsidR="00120B8D" w:rsidRPr="00804121">
        <w:t xml:space="preserve"> &lt;.001, </w:t>
      </w:r>
      <w:r w:rsidR="00120B8D" w:rsidRPr="00804121">
        <w:rPr>
          <w:i/>
        </w:rPr>
        <w:t>R</w:t>
      </w:r>
      <w:r w:rsidR="00120B8D" w:rsidRPr="00804121">
        <w:rPr>
          <w:vertAlign w:val="superscript"/>
        </w:rPr>
        <w:t>2</w:t>
      </w:r>
      <w:r w:rsidR="00120B8D" w:rsidRPr="00804121">
        <w:t xml:space="preserve"> = .3</w:t>
      </w:r>
      <w:r w:rsidR="00734CE3" w:rsidRPr="00804121">
        <w:t>8</w:t>
      </w:r>
      <w:r w:rsidR="002C1311" w:rsidRPr="00804121">
        <w:t>.</w:t>
      </w:r>
      <w:r w:rsidRPr="00804121">
        <w:t xml:space="preserve"> </w:t>
      </w:r>
      <w:r w:rsidR="002C1311" w:rsidRPr="00804121">
        <w:t xml:space="preserve">Table </w:t>
      </w:r>
      <w:r w:rsidR="00D35531" w:rsidRPr="00804121">
        <w:t>2</w:t>
      </w:r>
      <w:r w:rsidR="002C1311" w:rsidRPr="00804121">
        <w:t xml:space="preserve"> summarises the results for the individual predictors</w:t>
      </w:r>
      <w:r w:rsidR="005A5261" w:rsidRPr="00804121">
        <w:t>. Significant predictors included SISCOM (</w:t>
      </w:r>
      <w:r w:rsidR="005A5261" w:rsidRPr="00804121">
        <w:rPr>
          <w:lang w:val="en-US"/>
        </w:rPr>
        <w:t>β</w:t>
      </w:r>
      <w:r w:rsidR="005A5261" w:rsidRPr="00804121">
        <w:t xml:space="preserve"> = -0.24, </w:t>
      </w:r>
      <w:r w:rsidR="005A5261" w:rsidRPr="00804121">
        <w:rPr>
          <w:i/>
        </w:rPr>
        <w:t xml:space="preserve">p </w:t>
      </w:r>
      <w:r w:rsidR="005A5261" w:rsidRPr="00804121">
        <w:t>=0.01), anxiety (</w:t>
      </w:r>
      <w:r w:rsidR="005A5261" w:rsidRPr="00804121">
        <w:rPr>
          <w:lang w:val="en-US"/>
        </w:rPr>
        <w:t>β</w:t>
      </w:r>
      <w:r w:rsidR="005A5261" w:rsidRPr="00804121">
        <w:t xml:space="preserve"> = 0.22, </w:t>
      </w:r>
      <w:r w:rsidR="005A5261" w:rsidRPr="00804121">
        <w:rPr>
          <w:i/>
        </w:rPr>
        <w:t xml:space="preserve">p </w:t>
      </w:r>
      <w:r w:rsidR="005A5261" w:rsidRPr="00804121">
        <w:t>=0.03), depression (</w:t>
      </w:r>
      <w:r w:rsidR="005A5261" w:rsidRPr="00804121">
        <w:rPr>
          <w:lang w:val="en-US"/>
        </w:rPr>
        <w:t>β</w:t>
      </w:r>
      <w:r w:rsidR="005A5261" w:rsidRPr="00804121">
        <w:t xml:space="preserve"> = 0.20, </w:t>
      </w:r>
      <w:r w:rsidR="005A5261" w:rsidRPr="00804121">
        <w:rPr>
          <w:i/>
        </w:rPr>
        <w:t xml:space="preserve">p </w:t>
      </w:r>
      <w:r w:rsidR="005A5261" w:rsidRPr="00804121">
        <w:t>=0.05)</w:t>
      </w:r>
      <w:r w:rsidR="002A3F38" w:rsidRPr="00804121">
        <w:t xml:space="preserve"> and education (</w:t>
      </w:r>
      <w:r w:rsidR="002A3F38" w:rsidRPr="00804121">
        <w:rPr>
          <w:lang w:val="en-US"/>
        </w:rPr>
        <w:t>β</w:t>
      </w:r>
      <w:r w:rsidR="002A3F38" w:rsidRPr="00804121">
        <w:t xml:space="preserve"> = -.21, </w:t>
      </w:r>
      <w:r w:rsidR="002A3F38" w:rsidRPr="00804121">
        <w:rPr>
          <w:i/>
        </w:rPr>
        <w:t>p</w:t>
      </w:r>
      <w:r w:rsidR="002A3F38" w:rsidRPr="00804121">
        <w:t xml:space="preserve"> = .02)</w:t>
      </w:r>
      <w:r w:rsidR="005A5261" w:rsidRPr="00804121">
        <w:t>.</w:t>
      </w:r>
      <w:r w:rsidRPr="00804121">
        <w:t xml:space="preserve"> </w:t>
      </w:r>
    </w:p>
    <w:p w14:paraId="71CA5F8F" w14:textId="37EF15D8" w:rsidR="00D35531" w:rsidRPr="00804121" w:rsidRDefault="00AC635A" w:rsidP="00AC635A">
      <w:pPr>
        <w:jc w:val="center"/>
      </w:pPr>
      <w:r w:rsidRPr="00804121">
        <w:t>[Table 2]</w:t>
      </w:r>
    </w:p>
    <w:p w14:paraId="2CF13317" w14:textId="35DB6775" w:rsidR="00C63FE2" w:rsidRPr="00804121" w:rsidRDefault="000E150C" w:rsidP="00F035DD">
      <w:pPr>
        <w:pStyle w:val="Newparagraph"/>
      </w:pPr>
      <w:r w:rsidRPr="00804121">
        <w:t xml:space="preserve">In order to consider whether this significant effect could be due to general feelings of impairment/low self-esteem, a further </w:t>
      </w:r>
      <w:r w:rsidR="00FF5426" w:rsidRPr="00804121">
        <w:t xml:space="preserve">separate standard multiple </w:t>
      </w:r>
      <w:r w:rsidRPr="00804121">
        <w:t xml:space="preserve">regression was run with the addition of the SISMOB. </w:t>
      </w:r>
      <w:r w:rsidR="00BF5FE1" w:rsidRPr="00804121">
        <w:t>We also included modality of questionnaire collection (home versus phone</w:t>
      </w:r>
      <w:r w:rsidR="005D2E02" w:rsidRPr="00804121">
        <w:t>, as only 4 participants returned data via post</w:t>
      </w:r>
      <w:r w:rsidR="00BF5FE1" w:rsidRPr="00804121">
        <w:t>)</w:t>
      </w:r>
      <w:r w:rsidR="005F31DE" w:rsidRPr="00804121">
        <w:t xml:space="preserve"> to check whether this could have impacted the results</w:t>
      </w:r>
      <w:r w:rsidR="00BF5FE1" w:rsidRPr="00804121">
        <w:t xml:space="preserve">. </w:t>
      </w:r>
      <w:r w:rsidR="00C63FE2" w:rsidRPr="00804121">
        <w:t>The model remained significant overall</w:t>
      </w:r>
      <w:r w:rsidR="00396921" w:rsidRPr="00804121">
        <w:t xml:space="preserve">: </w:t>
      </w:r>
      <w:r w:rsidR="00396921" w:rsidRPr="00804121">
        <w:rPr>
          <w:i/>
        </w:rPr>
        <w:t>F</w:t>
      </w:r>
      <w:r w:rsidR="00396921" w:rsidRPr="00804121">
        <w:t xml:space="preserve"> (</w:t>
      </w:r>
      <w:r w:rsidR="00ED66E2" w:rsidRPr="00804121">
        <w:t>9</w:t>
      </w:r>
      <w:r w:rsidR="00304791" w:rsidRPr="00804121">
        <w:t>,</w:t>
      </w:r>
      <w:r w:rsidR="00396921" w:rsidRPr="00804121">
        <w:t xml:space="preserve"> </w:t>
      </w:r>
      <w:r w:rsidR="00ED66E2" w:rsidRPr="00804121">
        <w:t>108</w:t>
      </w:r>
      <w:r w:rsidR="00396921" w:rsidRPr="00804121">
        <w:t xml:space="preserve">) = </w:t>
      </w:r>
      <w:r w:rsidR="00734CE3" w:rsidRPr="00804121">
        <w:t>7</w:t>
      </w:r>
      <w:r w:rsidR="00396921" w:rsidRPr="00804121">
        <w:t>.</w:t>
      </w:r>
      <w:r w:rsidR="00ED66E2" w:rsidRPr="00804121">
        <w:t>45</w:t>
      </w:r>
      <w:r w:rsidR="00396921" w:rsidRPr="00804121">
        <w:t xml:space="preserve">, </w:t>
      </w:r>
      <w:r w:rsidR="00396921" w:rsidRPr="00804121">
        <w:rPr>
          <w:i/>
        </w:rPr>
        <w:t>p</w:t>
      </w:r>
      <w:r w:rsidR="00396921" w:rsidRPr="00804121">
        <w:t xml:space="preserve"> &lt;.001, </w:t>
      </w:r>
      <w:r w:rsidR="001344E5" w:rsidRPr="00804121">
        <w:rPr>
          <w:i/>
        </w:rPr>
        <w:t>R</w:t>
      </w:r>
      <w:r w:rsidR="001344E5" w:rsidRPr="00804121">
        <w:rPr>
          <w:i/>
          <w:vertAlign w:val="superscript"/>
        </w:rPr>
        <w:t>2</w:t>
      </w:r>
      <w:r w:rsidR="001344E5" w:rsidRPr="00804121">
        <w:t xml:space="preserve"> = .</w:t>
      </w:r>
      <w:r w:rsidR="00ED66E2" w:rsidRPr="00804121">
        <w:t>40</w:t>
      </w:r>
      <w:r w:rsidR="00C63FE2" w:rsidRPr="00804121">
        <w:t>.</w:t>
      </w:r>
      <w:r w:rsidR="00B85646" w:rsidRPr="00804121">
        <w:t xml:space="preserve"> </w:t>
      </w:r>
      <w:r w:rsidR="005A5261" w:rsidRPr="00804121">
        <w:t>Significant individual predictors included: SISCOM (</w:t>
      </w:r>
      <w:r w:rsidR="005A5261" w:rsidRPr="00804121">
        <w:rPr>
          <w:lang w:val="en-US"/>
        </w:rPr>
        <w:t>β</w:t>
      </w:r>
      <w:r w:rsidR="005A5261" w:rsidRPr="00804121">
        <w:t xml:space="preserve"> = -0.</w:t>
      </w:r>
      <w:r w:rsidR="00ED66E2" w:rsidRPr="00804121">
        <w:t>21</w:t>
      </w:r>
      <w:r w:rsidR="005A5261" w:rsidRPr="00804121">
        <w:t xml:space="preserve">, </w:t>
      </w:r>
      <w:r w:rsidR="005A5261" w:rsidRPr="00804121">
        <w:rPr>
          <w:i/>
        </w:rPr>
        <w:t xml:space="preserve">p </w:t>
      </w:r>
      <w:r w:rsidR="005A5261" w:rsidRPr="00804121">
        <w:t>=0.</w:t>
      </w:r>
      <w:r w:rsidR="00ED66E2" w:rsidRPr="00804121">
        <w:t>03</w:t>
      </w:r>
      <w:r w:rsidR="005A5261" w:rsidRPr="00804121">
        <w:t xml:space="preserve">), </w:t>
      </w:r>
      <w:r w:rsidR="002A3F38" w:rsidRPr="00804121">
        <w:t>education (</w:t>
      </w:r>
      <w:r w:rsidR="002A3F38" w:rsidRPr="00804121">
        <w:rPr>
          <w:lang w:val="en-US"/>
        </w:rPr>
        <w:t>β</w:t>
      </w:r>
      <w:r w:rsidR="002A3F38" w:rsidRPr="00804121">
        <w:t xml:space="preserve"> = -.21, </w:t>
      </w:r>
      <w:r w:rsidR="002A3F38" w:rsidRPr="00804121">
        <w:rPr>
          <w:i/>
        </w:rPr>
        <w:t>p</w:t>
      </w:r>
      <w:r w:rsidR="002A3F38" w:rsidRPr="00804121">
        <w:t xml:space="preserve"> = .0</w:t>
      </w:r>
      <w:r w:rsidR="00ED66E2" w:rsidRPr="00804121">
        <w:t>1</w:t>
      </w:r>
      <w:r w:rsidR="002A3F38" w:rsidRPr="00804121">
        <w:t>)</w:t>
      </w:r>
      <w:r w:rsidR="00BF5FE1" w:rsidRPr="00804121">
        <w:t xml:space="preserve">, modality of questionnaire collection </w:t>
      </w:r>
      <w:r w:rsidR="00ED66E2" w:rsidRPr="00804121">
        <w:t>(</w:t>
      </w:r>
      <w:r w:rsidR="00ED66E2" w:rsidRPr="00804121">
        <w:rPr>
          <w:lang w:val="en-US"/>
        </w:rPr>
        <w:t>β</w:t>
      </w:r>
      <w:r w:rsidR="00ED66E2" w:rsidRPr="00804121">
        <w:t xml:space="preserve"> = 0.24, </w:t>
      </w:r>
      <w:r w:rsidR="00ED66E2" w:rsidRPr="00804121">
        <w:rPr>
          <w:i/>
        </w:rPr>
        <w:t xml:space="preserve">p </w:t>
      </w:r>
      <w:r w:rsidR="00ED66E2" w:rsidRPr="00804121">
        <w:t xml:space="preserve">=0.04), </w:t>
      </w:r>
      <w:r w:rsidR="005A5261" w:rsidRPr="00804121">
        <w:t>and anxiety (</w:t>
      </w:r>
      <w:r w:rsidR="005A5261" w:rsidRPr="00804121">
        <w:rPr>
          <w:lang w:val="en-US"/>
        </w:rPr>
        <w:t>β</w:t>
      </w:r>
      <w:r w:rsidR="005A5261" w:rsidRPr="00804121">
        <w:t xml:space="preserve"> = 0.22, </w:t>
      </w:r>
      <w:r w:rsidR="005A5261" w:rsidRPr="00804121">
        <w:rPr>
          <w:i/>
        </w:rPr>
        <w:t xml:space="preserve">p </w:t>
      </w:r>
      <w:r w:rsidR="005A5261" w:rsidRPr="00804121">
        <w:t xml:space="preserve">=0.03). </w:t>
      </w:r>
      <w:r w:rsidR="00304791" w:rsidRPr="00804121">
        <w:t xml:space="preserve">For a full list of standardised Betas, significance and squared semi-partial coefficients </w:t>
      </w:r>
      <w:r w:rsidR="007B4850" w:rsidRPr="00804121">
        <w:t xml:space="preserve">for this regression, </w:t>
      </w:r>
      <w:r w:rsidR="00304791" w:rsidRPr="00804121">
        <w:t xml:space="preserve">see Table S.1, in the Supplementary Materials. </w:t>
      </w:r>
      <w:r w:rsidR="006425B8" w:rsidRPr="00804121">
        <w:t>VIFs for time since stroke and modality of response were 2.13 and 2.08 respectively; this reflected the fact that those assessed over the phone had longer periods between their stroke events and the data being collected. All other VIFs were below 2.</w:t>
      </w:r>
    </w:p>
    <w:p w14:paraId="17EE6F0A" w14:textId="7BD589DC" w:rsidR="00332F0C" w:rsidRPr="00804121" w:rsidRDefault="001B4885" w:rsidP="00F035DD">
      <w:pPr>
        <w:pStyle w:val="Heading2"/>
      </w:pPr>
      <w:r w:rsidRPr="00804121">
        <w:t xml:space="preserve">Observed </w:t>
      </w:r>
      <w:r w:rsidR="00332F0C" w:rsidRPr="00804121">
        <w:t>language impairments</w:t>
      </w:r>
      <w:r w:rsidR="009A2F11" w:rsidRPr="00804121">
        <w:t xml:space="preserve"> and alexithymia </w:t>
      </w:r>
    </w:p>
    <w:p w14:paraId="42D4F820" w14:textId="4DE2F7E8" w:rsidR="00AD5E82" w:rsidRPr="00804121" w:rsidRDefault="00AB0069" w:rsidP="00F035DD">
      <w:pPr>
        <w:pStyle w:val="Paragraph"/>
      </w:pPr>
      <w:r w:rsidRPr="00804121">
        <w:t>OCS/</w:t>
      </w:r>
      <w:proofErr w:type="spellStart"/>
      <w:r w:rsidRPr="00804121">
        <w:t>BCoS</w:t>
      </w:r>
      <w:proofErr w:type="spellEnd"/>
      <w:r w:rsidRPr="00804121">
        <w:t xml:space="preserve"> data were available for 116 patients, of which 11.0% were impaired on picture naming, 2.5% were impaired on s</w:t>
      </w:r>
      <w:r w:rsidR="00072CF6" w:rsidRPr="00804121">
        <w:t>poken word comprehension</w:t>
      </w:r>
      <w:r w:rsidRPr="00804121">
        <w:t xml:space="preserve">, and 15.3% were impaired on sentence reading (1 </w:t>
      </w:r>
      <w:r w:rsidR="00072CF6" w:rsidRPr="00804121">
        <w:t xml:space="preserve">additional </w:t>
      </w:r>
      <w:r w:rsidRPr="00804121">
        <w:t xml:space="preserve">patient’s data was not available for the sentence reading task). </w:t>
      </w:r>
      <w:r w:rsidR="000C24DF" w:rsidRPr="00804121">
        <w:t xml:space="preserve">A participant was considered to have language impairment if they </w:t>
      </w:r>
      <w:r w:rsidR="001B4885" w:rsidRPr="00804121">
        <w:t xml:space="preserve">fell below </w:t>
      </w:r>
      <w:r w:rsidR="000C24DF" w:rsidRPr="00804121">
        <w:t xml:space="preserve">the cut off for one or more of these tasks, leading to </w:t>
      </w:r>
      <w:r w:rsidR="00A3639F" w:rsidRPr="00804121">
        <w:t>31</w:t>
      </w:r>
      <w:r w:rsidR="000C24DF" w:rsidRPr="00804121">
        <w:t xml:space="preserve"> patients being classed as having</w:t>
      </w:r>
      <w:r w:rsidR="001B4885" w:rsidRPr="00804121">
        <w:t xml:space="preserve"> a</w:t>
      </w:r>
      <w:r w:rsidR="000C24DF" w:rsidRPr="00804121">
        <w:t xml:space="preserve"> language impairment, and </w:t>
      </w:r>
      <w:r w:rsidR="00A3639F" w:rsidRPr="00804121">
        <w:t>84</w:t>
      </w:r>
      <w:r w:rsidR="000C24DF" w:rsidRPr="00804121">
        <w:t xml:space="preserve"> being classed as having typical language</w:t>
      </w:r>
      <w:r w:rsidR="001B4885" w:rsidRPr="00804121">
        <w:t xml:space="preserve"> (within the normative ranges)</w:t>
      </w:r>
      <w:r w:rsidR="000C24DF" w:rsidRPr="00804121">
        <w:t xml:space="preserve">. </w:t>
      </w:r>
      <w:r w:rsidR="00C63FE2" w:rsidRPr="00804121">
        <w:t>These groups were compared on the total TAS z-scores (</w:t>
      </w:r>
      <w:r w:rsidR="00A71C5D" w:rsidRPr="00804121">
        <w:t>after controlling</w:t>
      </w:r>
      <w:r w:rsidR="00C63FE2" w:rsidRPr="00804121">
        <w:t xml:space="preserve"> for depression and anxiety)</w:t>
      </w:r>
      <w:r w:rsidR="00790FD5" w:rsidRPr="00804121">
        <w:t xml:space="preserve"> </w:t>
      </w:r>
      <w:r w:rsidR="004E70E8" w:rsidRPr="00804121">
        <w:t xml:space="preserve">and raw TAS total </w:t>
      </w:r>
      <w:r w:rsidR="00790FD5" w:rsidRPr="00804121">
        <w:t xml:space="preserve">via independent </w:t>
      </w:r>
      <w:r w:rsidR="00A71C5D" w:rsidRPr="00804121">
        <w:t xml:space="preserve">samples </w:t>
      </w:r>
      <w:r w:rsidR="00790FD5" w:rsidRPr="00804121">
        <w:t>t-test</w:t>
      </w:r>
      <w:r w:rsidR="004E70E8" w:rsidRPr="00804121">
        <w:t>s</w:t>
      </w:r>
      <w:r w:rsidR="00C63FE2" w:rsidRPr="00804121">
        <w:t>.</w:t>
      </w:r>
      <w:r w:rsidR="00A11742" w:rsidRPr="00804121">
        <w:t xml:space="preserve"> </w:t>
      </w:r>
      <w:proofErr w:type="gramStart"/>
      <w:r w:rsidR="00BA2B7C" w:rsidRPr="00804121">
        <w:t>Th</w:t>
      </w:r>
      <w:r w:rsidR="007B4850" w:rsidRPr="00804121">
        <w:t>ese</w:t>
      </w:r>
      <w:r w:rsidR="00BA2B7C" w:rsidRPr="00804121">
        <w:t xml:space="preserve"> comparison</w:t>
      </w:r>
      <w:proofErr w:type="gramEnd"/>
      <w:r w:rsidR="00BA2B7C" w:rsidRPr="00804121">
        <w:t xml:space="preserve"> w</w:t>
      </w:r>
      <w:r w:rsidR="007B4850" w:rsidRPr="00804121">
        <w:t>ere</w:t>
      </w:r>
      <w:r w:rsidR="00FC5FC8" w:rsidRPr="00804121">
        <w:t xml:space="preserve"> not significant</w:t>
      </w:r>
      <w:r w:rsidR="004E70E8" w:rsidRPr="00804121">
        <w:t xml:space="preserve"> for either TAS z-scores</w:t>
      </w:r>
      <w:r w:rsidR="00145B5C" w:rsidRPr="00804121">
        <w:t xml:space="preserve">: </w:t>
      </w:r>
      <w:r w:rsidR="00145B5C" w:rsidRPr="00804121">
        <w:rPr>
          <w:i/>
        </w:rPr>
        <w:t>t</w:t>
      </w:r>
      <w:r w:rsidR="00145B5C" w:rsidRPr="00804121">
        <w:t xml:space="preserve"> (111) =</w:t>
      </w:r>
      <w:r w:rsidR="00587596" w:rsidRPr="00804121">
        <w:t xml:space="preserve"> </w:t>
      </w:r>
      <w:r w:rsidR="00145B5C" w:rsidRPr="00804121">
        <w:t>.</w:t>
      </w:r>
      <w:r w:rsidR="00A3639F" w:rsidRPr="00804121">
        <w:t>04</w:t>
      </w:r>
      <w:r w:rsidR="00145B5C" w:rsidRPr="00804121">
        <w:t xml:space="preserve">, </w:t>
      </w:r>
      <w:r w:rsidR="00145B5C" w:rsidRPr="00804121">
        <w:rPr>
          <w:i/>
        </w:rPr>
        <w:t>p</w:t>
      </w:r>
      <w:r w:rsidR="00145B5C" w:rsidRPr="00804121">
        <w:t xml:space="preserve"> = .</w:t>
      </w:r>
      <w:r w:rsidR="00A3639F" w:rsidRPr="00804121">
        <w:t>48</w:t>
      </w:r>
      <w:r w:rsidR="003A4ED1" w:rsidRPr="00804121">
        <w:t xml:space="preserve"> </w:t>
      </w:r>
      <w:r w:rsidR="00C80020" w:rsidRPr="00804121">
        <w:t>(one-tailed)</w:t>
      </w:r>
      <w:r w:rsidR="004E70E8" w:rsidRPr="00804121">
        <w:t xml:space="preserve">, </w:t>
      </w:r>
      <w:r w:rsidR="004E70E8" w:rsidRPr="00804121">
        <w:rPr>
          <w:i/>
          <w:iCs/>
        </w:rPr>
        <w:t xml:space="preserve">d </w:t>
      </w:r>
      <w:r w:rsidR="004E70E8" w:rsidRPr="00804121">
        <w:t>= .001</w:t>
      </w:r>
      <w:r w:rsidR="00C80020" w:rsidRPr="00804121">
        <w:t xml:space="preserve"> </w:t>
      </w:r>
      <w:r w:rsidR="003A4ED1" w:rsidRPr="00804121">
        <w:t xml:space="preserve">(See </w:t>
      </w:r>
      <w:r w:rsidR="00145B5C" w:rsidRPr="00804121">
        <w:t xml:space="preserve">Figure </w:t>
      </w:r>
      <w:r w:rsidR="00CC28DB" w:rsidRPr="00804121">
        <w:t>1</w:t>
      </w:r>
      <w:r w:rsidR="003A4ED1" w:rsidRPr="00804121">
        <w:t>)</w:t>
      </w:r>
      <w:r w:rsidR="004E70E8" w:rsidRPr="00804121">
        <w:t>, TAS raw scores:</w:t>
      </w:r>
      <w:r w:rsidR="004E70E8" w:rsidRPr="00804121">
        <w:rPr>
          <w:i/>
          <w:iCs/>
        </w:rPr>
        <w:t xml:space="preserve"> t</w:t>
      </w:r>
      <w:r w:rsidR="004E70E8" w:rsidRPr="00804121">
        <w:t xml:space="preserve"> (113) = -1.34, </w:t>
      </w:r>
      <w:r w:rsidR="004E70E8" w:rsidRPr="00804121">
        <w:rPr>
          <w:i/>
          <w:iCs/>
        </w:rPr>
        <w:t>p</w:t>
      </w:r>
      <w:r w:rsidR="004E70E8" w:rsidRPr="00804121">
        <w:t xml:space="preserve"> = 0.09 (one-tailed), </w:t>
      </w:r>
      <w:r w:rsidR="00CF15AD" w:rsidRPr="00804121">
        <w:rPr>
          <w:i/>
          <w:iCs/>
        </w:rPr>
        <w:t xml:space="preserve">d </w:t>
      </w:r>
      <w:r w:rsidR="00CF15AD" w:rsidRPr="00804121">
        <w:t xml:space="preserve">= .28.   </w:t>
      </w:r>
    </w:p>
    <w:p w14:paraId="70B7E926" w14:textId="17DCCD84" w:rsidR="00315378" w:rsidRPr="00804121" w:rsidRDefault="007C3EF5" w:rsidP="007C3EF5">
      <w:pPr>
        <w:jc w:val="center"/>
      </w:pPr>
      <w:r w:rsidRPr="00804121">
        <w:t>[Figure 1]</w:t>
      </w:r>
    </w:p>
    <w:p w14:paraId="522A5A2A" w14:textId="559F433E" w:rsidR="00BD557C" w:rsidRPr="00804121" w:rsidRDefault="00BD557C" w:rsidP="00F035DD">
      <w:pPr>
        <w:pStyle w:val="Heading2"/>
      </w:pPr>
      <w:r w:rsidRPr="00804121">
        <w:t>Agreement between self-reported and behavioural language measures</w:t>
      </w:r>
    </w:p>
    <w:p w14:paraId="1E9DFACD" w14:textId="140CBA77" w:rsidR="00A6640E" w:rsidRPr="00804121" w:rsidRDefault="00BD557C" w:rsidP="00F035DD">
      <w:pPr>
        <w:pStyle w:val="Paragraph"/>
      </w:pPr>
      <w:r w:rsidRPr="00804121">
        <w:t>Given the discrepant findings</w:t>
      </w:r>
      <w:r w:rsidR="00536348" w:rsidRPr="00804121">
        <w:t xml:space="preserve"> regarding alexithymia</w:t>
      </w:r>
      <w:r w:rsidRPr="00804121">
        <w:t xml:space="preserve"> </w:t>
      </w:r>
      <w:r w:rsidR="00536348" w:rsidRPr="00804121">
        <w:t>for</w:t>
      </w:r>
      <w:r w:rsidRPr="00804121">
        <w:t xml:space="preserve"> the self-reported communication impairments and the behavioural language impairments, we also compared the impaired/not impaired groups on their SISCOM scores. </w:t>
      </w:r>
      <w:r w:rsidR="00A231BA" w:rsidRPr="00804121">
        <w:t>Given the high number of non-language impaired participants reporting no problems, the data were not normally distributed</w:t>
      </w:r>
      <w:r w:rsidR="00587596" w:rsidRPr="00804121">
        <w:t>,</w:t>
      </w:r>
      <w:r w:rsidR="00A231BA" w:rsidRPr="00804121">
        <w:t xml:space="preserve"> and thus the non-parametric Mann-Whitney test was used. </w:t>
      </w:r>
      <w:r w:rsidR="008B67C4" w:rsidRPr="00804121">
        <w:t xml:space="preserve">There was a significant difference between these groups: </w:t>
      </w:r>
      <w:r w:rsidR="00A231BA" w:rsidRPr="00804121">
        <w:rPr>
          <w:i/>
          <w:iCs/>
        </w:rPr>
        <w:t>U</w:t>
      </w:r>
      <w:r w:rsidR="00A231BA" w:rsidRPr="00804121">
        <w:t xml:space="preserve"> = 870.50, </w:t>
      </w:r>
      <w:r w:rsidR="00A231BA" w:rsidRPr="00804121">
        <w:rPr>
          <w:i/>
          <w:iCs/>
        </w:rPr>
        <w:t>Z</w:t>
      </w:r>
      <w:r w:rsidR="00A231BA" w:rsidRPr="00804121">
        <w:t xml:space="preserve"> = 2.</w:t>
      </w:r>
      <w:r w:rsidR="006E61D9" w:rsidRPr="00804121">
        <w:t>40</w:t>
      </w:r>
      <w:r w:rsidR="00A231BA" w:rsidRPr="00804121">
        <w:t xml:space="preserve">, </w:t>
      </w:r>
      <w:r w:rsidR="00A231BA" w:rsidRPr="00804121">
        <w:rPr>
          <w:i/>
          <w:iCs/>
        </w:rPr>
        <w:t>p</w:t>
      </w:r>
      <w:r w:rsidR="00A231BA" w:rsidRPr="00804121">
        <w:t xml:space="preserve"> = 0.0</w:t>
      </w:r>
      <w:r w:rsidR="006E61D9" w:rsidRPr="00804121">
        <w:t>2</w:t>
      </w:r>
      <w:r w:rsidR="00A231BA" w:rsidRPr="00804121">
        <w:t xml:space="preserve"> </w:t>
      </w:r>
      <w:r w:rsidR="008B67C4" w:rsidRPr="00804121">
        <w:t xml:space="preserve">(see Figure </w:t>
      </w:r>
      <w:r w:rsidR="003F39B2" w:rsidRPr="00804121">
        <w:t>2</w:t>
      </w:r>
      <w:r w:rsidR="008B67C4" w:rsidRPr="00804121">
        <w:t>).</w:t>
      </w:r>
      <w:r w:rsidR="00B8512A" w:rsidRPr="00804121">
        <w:t>T</w:t>
      </w:r>
      <w:r w:rsidR="00323FC2" w:rsidRPr="00804121">
        <w:t xml:space="preserve">he </w:t>
      </w:r>
      <w:r w:rsidR="00A6640E" w:rsidRPr="00804121">
        <w:t>languag</w:t>
      </w:r>
      <w:r w:rsidR="00B8512A" w:rsidRPr="00804121">
        <w:t>e-impaired participants reported</w:t>
      </w:r>
      <w:r w:rsidR="00A6640E" w:rsidRPr="00804121">
        <w:t xml:space="preserve"> </w:t>
      </w:r>
      <w:r w:rsidR="00914A13" w:rsidRPr="00804121">
        <w:t xml:space="preserve">worse </w:t>
      </w:r>
      <w:r w:rsidR="00A6640E" w:rsidRPr="00804121">
        <w:t>communication skills</w:t>
      </w:r>
      <w:r w:rsidR="008B67C4" w:rsidRPr="00804121">
        <w:t xml:space="preserve"> (</w:t>
      </w:r>
      <w:proofErr w:type="spellStart"/>
      <w:r w:rsidR="00A231BA" w:rsidRPr="00804121">
        <w:rPr>
          <w:i/>
          <w:iCs/>
        </w:rPr>
        <w:t>Mdn</w:t>
      </w:r>
      <w:proofErr w:type="spellEnd"/>
      <w:r w:rsidR="00A231BA" w:rsidRPr="00804121">
        <w:t xml:space="preserve"> =</w:t>
      </w:r>
      <w:r w:rsidR="006E61D9" w:rsidRPr="00804121">
        <w:t xml:space="preserve"> 30.50, IQR = 10.75</w:t>
      </w:r>
      <w:r w:rsidR="00A231BA" w:rsidRPr="00804121">
        <w:t xml:space="preserve"> </w:t>
      </w:r>
      <w:r w:rsidR="008B67C4" w:rsidRPr="00804121">
        <w:rPr>
          <w:i/>
        </w:rPr>
        <w:t xml:space="preserve">N </w:t>
      </w:r>
      <w:r w:rsidR="008B67C4" w:rsidRPr="00804121">
        <w:t xml:space="preserve">= </w:t>
      </w:r>
      <w:r w:rsidR="007B6DC4" w:rsidRPr="00804121">
        <w:t>30</w:t>
      </w:r>
      <w:r w:rsidR="008B67C4" w:rsidRPr="00804121">
        <w:t>) than the non-impaired participants (</w:t>
      </w:r>
      <w:proofErr w:type="spellStart"/>
      <w:r w:rsidR="00A231BA" w:rsidRPr="00804121">
        <w:rPr>
          <w:i/>
          <w:iCs/>
        </w:rPr>
        <w:t>Mdn</w:t>
      </w:r>
      <w:proofErr w:type="spellEnd"/>
      <w:r w:rsidR="00A231BA" w:rsidRPr="00804121">
        <w:t xml:space="preserve"> = </w:t>
      </w:r>
      <w:r w:rsidR="006E61D9" w:rsidRPr="00804121">
        <w:t xml:space="preserve">34.00 , IQR = 5.00, </w:t>
      </w:r>
      <w:r w:rsidR="008B67C4" w:rsidRPr="00804121">
        <w:rPr>
          <w:i/>
        </w:rPr>
        <w:t>N</w:t>
      </w:r>
      <w:r w:rsidR="008B67C4" w:rsidRPr="00804121">
        <w:t xml:space="preserve"> = </w:t>
      </w:r>
      <w:r w:rsidR="007B6DC4" w:rsidRPr="00804121">
        <w:t>82</w:t>
      </w:r>
      <w:r w:rsidR="008B67C4" w:rsidRPr="00804121">
        <w:t>)</w:t>
      </w:r>
      <w:r w:rsidR="00A6640E" w:rsidRPr="00804121">
        <w:t xml:space="preserve">, with a </w:t>
      </w:r>
      <w:r w:rsidR="006E61D9" w:rsidRPr="00804121">
        <w:t xml:space="preserve">small </w:t>
      </w:r>
      <w:r w:rsidR="00A6640E" w:rsidRPr="00804121">
        <w:t xml:space="preserve">effect size </w:t>
      </w:r>
      <w:r w:rsidR="006E61D9" w:rsidRPr="00804121">
        <w:t xml:space="preserve"> (</w:t>
      </w:r>
      <w:r w:rsidR="00AB7398" w:rsidRPr="00804121">
        <w:rPr>
          <w:i/>
          <w:iCs/>
        </w:rPr>
        <w:t>r</w:t>
      </w:r>
      <w:r w:rsidR="00AB7398" w:rsidRPr="00804121">
        <w:t xml:space="preserve"> = 0.23</w:t>
      </w:r>
      <w:r w:rsidR="006E61D9" w:rsidRPr="00804121">
        <w:t xml:space="preserve">). </w:t>
      </w:r>
    </w:p>
    <w:p w14:paraId="223FB2AE" w14:textId="33B463AC" w:rsidR="00CC28DB" w:rsidRPr="00804121" w:rsidRDefault="007C3EF5" w:rsidP="007C3EF5">
      <w:pPr>
        <w:jc w:val="center"/>
        <w:rPr>
          <w:noProof/>
        </w:rPr>
      </w:pPr>
      <w:r w:rsidRPr="00804121">
        <w:rPr>
          <w:noProof/>
        </w:rPr>
        <w:t>[Figure 2]</w:t>
      </w:r>
    </w:p>
    <w:p w14:paraId="2A6079F4" w14:textId="77777777" w:rsidR="007C3EF5" w:rsidRPr="00804121" w:rsidRDefault="007C3EF5" w:rsidP="007C3EF5">
      <w:pPr>
        <w:jc w:val="center"/>
        <w:rPr>
          <w:b/>
        </w:rPr>
      </w:pPr>
    </w:p>
    <w:p w14:paraId="1393BDFE" w14:textId="77777777" w:rsidR="001C1AD3" w:rsidRPr="00804121" w:rsidRDefault="001C1AD3" w:rsidP="00F035DD">
      <w:pPr>
        <w:pStyle w:val="Heading2"/>
      </w:pPr>
      <w:r w:rsidRPr="00804121">
        <w:t>Alexithymia in right versus left hemisphere damage</w:t>
      </w:r>
    </w:p>
    <w:p w14:paraId="016248E7" w14:textId="45581662" w:rsidR="00A04C57" w:rsidRPr="00804121" w:rsidRDefault="005034E1" w:rsidP="00F035DD">
      <w:pPr>
        <w:pStyle w:val="Paragraph"/>
      </w:pPr>
      <w:r w:rsidRPr="00804121">
        <w:t>For</w:t>
      </w:r>
      <w:r w:rsidR="001C1AD3" w:rsidRPr="00804121">
        <w:t xml:space="preserve"> patients </w:t>
      </w:r>
      <w:r w:rsidR="00323FC2" w:rsidRPr="00804121">
        <w:t xml:space="preserve">with clear lateralisation of stroke damage, </w:t>
      </w:r>
      <w:r w:rsidRPr="00804121">
        <w:t xml:space="preserve">we compared </w:t>
      </w:r>
      <w:r w:rsidR="00323FC2" w:rsidRPr="00804121">
        <w:t xml:space="preserve">patients with </w:t>
      </w:r>
      <w:r w:rsidRPr="00804121">
        <w:t>right versus left hemisphere damage</w:t>
      </w:r>
      <w:r w:rsidR="001C1AD3" w:rsidRPr="00804121">
        <w:t xml:space="preserve"> on their alexithymia scores. Patients with right hemisphere damage (</w:t>
      </w:r>
      <w:r w:rsidR="001C1AD3" w:rsidRPr="00804121">
        <w:rPr>
          <w:i/>
        </w:rPr>
        <w:t>N</w:t>
      </w:r>
      <w:r w:rsidR="001C1AD3" w:rsidRPr="00804121">
        <w:t xml:space="preserve"> =</w:t>
      </w:r>
      <w:r w:rsidR="00102070" w:rsidRPr="00804121">
        <w:t>57</w:t>
      </w:r>
      <w:r w:rsidR="001C1AD3" w:rsidRPr="00804121">
        <w:t>, Mean TAS score = 4</w:t>
      </w:r>
      <w:r w:rsidR="00B8512A" w:rsidRPr="00804121">
        <w:t>8.3</w:t>
      </w:r>
      <w:r w:rsidR="00102070" w:rsidRPr="00804121">
        <w:t>0</w:t>
      </w:r>
      <w:r w:rsidR="001C1AD3" w:rsidRPr="00804121">
        <w:t xml:space="preserve">, SD = </w:t>
      </w:r>
      <w:r w:rsidR="00102070" w:rsidRPr="00804121">
        <w:t>13</w:t>
      </w:r>
      <w:r w:rsidR="001C1AD3" w:rsidRPr="00804121">
        <w:t>.</w:t>
      </w:r>
      <w:r w:rsidR="00102070" w:rsidRPr="00804121">
        <w:t>94</w:t>
      </w:r>
      <w:r w:rsidR="001C1AD3" w:rsidRPr="00804121">
        <w:t>) were not significantly higher in alexithymia scores than those with left hemisphere damage (</w:t>
      </w:r>
      <w:r w:rsidR="001C1AD3" w:rsidRPr="00804121">
        <w:rPr>
          <w:i/>
        </w:rPr>
        <w:t>N</w:t>
      </w:r>
      <w:r w:rsidR="001C1AD3" w:rsidRPr="00804121">
        <w:t xml:space="preserve"> = </w:t>
      </w:r>
      <w:r w:rsidR="00102070" w:rsidRPr="00804121">
        <w:t>51</w:t>
      </w:r>
      <w:r w:rsidR="001C1AD3" w:rsidRPr="00804121">
        <w:t>, Mean T</w:t>
      </w:r>
      <w:r w:rsidR="00CB611D" w:rsidRPr="00804121">
        <w:t>AS</w:t>
      </w:r>
      <w:r w:rsidR="001C1AD3" w:rsidRPr="00804121">
        <w:t xml:space="preserve"> score = 51.</w:t>
      </w:r>
      <w:r w:rsidR="00102070" w:rsidRPr="00804121">
        <w:t>45</w:t>
      </w:r>
      <w:r w:rsidR="001C1AD3" w:rsidRPr="00804121">
        <w:t>, SD = 11.</w:t>
      </w:r>
      <w:r w:rsidR="00102070" w:rsidRPr="00804121">
        <w:t>40</w:t>
      </w:r>
      <w:r w:rsidR="001C1AD3" w:rsidRPr="00804121">
        <w:t xml:space="preserve">): </w:t>
      </w:r>
      <w:r w:rsidR="001C1AD3" w:rsidRPr="00804121">
        <w:rPr>
          <w:i/>
        </w:rPr>
        <w:t xml:space="preserve">t </w:t>
      </w:r>
      <w:r w:rsidR="001C1AD3" w:rsidRPr="00804121">
        <w:t>(</w:t>
      </w:r>
      <w:r w:rsidR="00102070" w:rsidRPr="00804121">
        <w:t>105.18</w:t>
      </w:r>
      <w:r w:rsidR="001C1AD3" w:rsidRPr="00804121">
        <w:t>) = -1.</w:t>
      </w:r>
      <w:r w:rsidR="00102070" w:rsidRPr="00804121">
        <w:t>29</w:t>
      </w:r>
      <w:r w:rsidR="001C1AD3" w:rsidRPr="00804121">
        <w:t xml:space="preserve">, </w:t>
      </w:r>
      <w:r w:rsidR="001C1AD3" w:rsidRPr="00804121">
        <w:rPr>
          <w:i/>
        </w:rPr>
        <w:t>p</w:t>
      </w:r>
      <w:r w:rsidR="001C1AD3" w:rsidRPr="00804121">
        <w:t xml:space="preserve"> = .</w:t>
      </w:r>
      <w:r w:rsidR="00F54DB9" w:rsidRPr="00804121">
        <w:t xml:space="preserve">20 </w:t>
      </w:r>
      <w:r w:rsidR="001C1AD3" w:rsidRPr="00804121">
        <w:t>(</w:t>
      </w:r>
      <w:r w:rsidR="00102070" w:rsidRPr="00804121">
        <w:t>two</w:t>
      </w:r>
      <w:r w:rsidR="001C1AD3" w:rsidRPr="00804121">
        <w:t>-tailed)</w:t>
      </w:r>
      <w:r w:rsidR="00FC2ED9" w:rsidRPr="00804121">
        <w:t xml:space="preserve">, </w:t>
      </w:r>
      <w:r w:rsidR="00FC2ED9" w:rsidRPr="00804121">
        <w:rPr>
          <w:i/>
          <w:iCs/>
        </w:rPr>
        <w:t xml:space="preserve">d </w:t>
      </w:r>
      <w:r w:rsidR="00FC2ED9" w:rsidRPr="00804121">
        <w:t>= .25</w:t>
      </w:r>
      <w:r w:rsidR="001C1AD3" w:rsidRPr="00804121">
        <w:t>.</w:t>
      </w:r>
      <w:r w:rsidRPr="00804121">
        <w:t xml:space="preserve"> </w:t>
      </w:r>
      <w:r w:rsidR="00A04C57" w:rsidRPr="00804121">
        <w:t>When this was examined</w:t>
      </w:r>
      <w:r w:rsidR="00315378" w:rsidRPr="00804121">
        <w:t xml:space="preserve"> with only </w:t>
      </w:r>
      <w:r w:rsidR="00A04C57" w:rsidRPr="00804121">
        <w:t>patients who were not language-impaired, there was still not a significant difference between patients with right hemisphere damage (</w:t>
      </w:r>
      <w:r w:rsidR="00A04C57" w:rsidRPr="00804121">
        <w:rPr>
          <w:i/>
          <w:iCs/>
        </w:rPr>
        <w:t>N</w:t>
      </w:r>
      <w:r w:rsidR="00A04C57" w:rsidRPr="00804121">
        <w:t>=37, Mean TAS Score= 46.57, SD = 12.38) and left hemisphere damage (</w:t>
      </w:r>
      <w:r w:rsidR="00A04C57" w:rsidRPr="00804121">
        <w:rPr>
          <w:i/>
          <w:iCs/>
        </w:rPr>
        <w:t>N</w:t>
      </w:r>
      <w:r w:rsidR="00A04C57" w:rsidRPr="00804121">
        <w:t xml:space="preserve">=28, Mean TAS Score = 51.14, SD = 11.21); </w:t>
      </w:r>
      <w:r w:rsidR="00A04C57" w:rsidRPr="00804121">
        <w:rPr>
          <w:i/>
          <w:iCs/>
        </w:rPr>
        <w:t>t</w:t>
      </w:r>
      <w:r w:rsidR="00A04C57" w:rsidRPr="00804121">
        <w:t xml:space="preserve"> (63) = -1.46, </w:t>
      </w:r>
      <w:r w:rsidR="00A04C57" w:rsidRPr="00804121">
        <w:rPr>
          <w:i/>
          <w:iCs/>
        </w:rPr>
        <w:t>p</w:t>
      </w:r>
      <w:r w:rsidR="00A04C57" w:rsidRPr="00804121">
        <w:t xml:space="preserve"> = .</w:t>
      </w:r>
      <w:r w:rsidR="00F54DB9" w:rsidRPr="00804121">
        <w:t xml:space="preserve">15 </w:t>
      </w:r>
      <w:r w:rsidR="00A04C57" w:rsidRPr="00804121">
        <w:t>(two-tailed)</w:t>
      </w:r>
      <w:r w:rsidR="00FC2ED9" w:rsidRPr="00804121">
        <w:t xml:space="preserve">, </w:t>
      </w:r>
      <w:r w:rsidR="00FC2ED9" w:rsidRPr="00804121">
        <w:rPr>
          <w:i/>
          <w:iCs/>
        </w:rPr>
        <w:t xml:space="preserve">d </w:t>
      </w:r>
      <w:r w:rsidR="00FC2ED9" w:rsidRPr="00804121">
        <w:t>=.17</w:t>
      </w:r>
      <w:r w:rsidR="00A04C57" w:rsidRPr="00804121">
        <w:t>.</w:t>
      </w:r>
    </w:p>
    <w:p w14:paraId="36315ADA" w14:textId="6F4E7377" w:rsidR="00BE5831" w:rsidRPr="00804121" w:rsidRDefault="00BE5831" w:rsidP="009C5826">
      <w:pPr>
        <w:pStyle w:val="Newparagraph"/>
      </w:pPr>
      <w:r w:rsidRPr="00804121">
        <w:t>Potential effects of stroke type (</w:t>
      </w:r>
      <w:bookmarkStart w:id="2" w:name="_Hlk34391560"/>
      <w:r w:rsidRPr="00804121">
        <w:t xml:space="preserve">haemorrhage vs. </w:t>
      </w:r>
      <w:bookmarkEnd w:id="2"/>
      <w:r w:rsidRPr="00804121">
        <w:t>ischemic) and interactions between stroke type and hemisphere of damage were explored: there were no significant differen</w:t>
      </w:r>
      <w:r w:rsidR="00CF15AD" w:rsidRPr="00804121">
        <w:t>ces</w:t>
      </w:r>
      <w:r w:rsidRPr="00804121">
        <w:t xml:space="preserve"> between haemorrhage and ischemic stroke patients in terms of their SISCOM </w:t>
      </w:r>
      <w:r w:rsidR="00CF15AD" w:rsidRPr="00804121">
        <w:t>(</w:t>
      </w:r>
      <w:r w:rsidR="00CF15AD" w:rsidRPr="00804121">
        <w:rPr>
          <w:i/>
          <w:iCs/>
        </w:rPr>
        <w:t>p</w:t>
      </w:r>
      <w:r w:rsidR="00CF15AD" w:rsidRPr="00804121">
        <w:t xml:space="preserve"> = .23, two-tailed, </w:t>
      </w:r>
      <w:r w:rsidR="00CF15AD" w:rsidRPr="00804121">
        <w:rPr>
          <w:i/>
          <w:iCs/>
        </w:rPr>
        <w:t xml:space="preserve">d </w:t>
      </w:r>
      <w:r w:rsidR="00CF15AD" w:rsidRPr="00804121">
        <w:t xml:space="preserve">= .31) </w:t>
      </w:r>
      <w:r w:rsidRPr="00804121">
        <w:t>or alexithymia scores</w:t>
      </w:r>
      <w:r w:rsidR="00CF15AD" w:rsidRPr="00804121">
        <w:t xml:space="preserve"> (</w:t>
      </w:r>
      <w:r w:rsidR="00CF15AD" w:rsidRPr="00804121">
        <w:rPr>
          <w:i/>
          <w:iCs/>
        </w:rPr>
        <w:t xml:space="preserve">p </w:t>
      </w:r>
      <w:r w:rsidR="00CF15AD" w:rsidRPr="00804121">
        <w:t xml:space="preserve">= .74, two-tailed, </w:t>
      </w:r>
      <w:r w:rsidR="00CF15AD" w:rsidRPr="00804121">
        <w:rPr>
          <w:i/>
          <w:iCs/>
        </w:rPr>
        <w:t>d</w:t>
      </w:r>
      <w:r w:rsidR="00CF15AD" w:rsidRPr="00804121">
        <w:t xml:space="preserve"> =.08)</w:t>
      </w:r>
      <w:r w:rsidRPr="00804121">
        <w:t>, nor any significant interactions between these factors on SISCOM or alexithymia scores</w:t>
      </w:r>
      <w:r w:rsidR="00CF15AD" w:rsidRPr="00804121">
        <w:t xml:space="preserve"> (TAS: </w:t>
      </w:r>
      <w:r w:rsidR="00CF15AD" w:rsidRPr="00804121">
        <w:rPr>
          <w:i/>
          <w:iCs/>
        </w:rPr>
        <w:t xml:space="preserve">p </w:t>
      </w:r>
      <w:r w:rsidR="00CF15AD" w:rsidRPr="00804121">
        <w:t xml:space="preserve">=.63, Partial Eta Squared = .008; SISCOM: </w:t>
      </w:r>
      <w:r w:rsidR="00CF15AD" w:rsidRPr="00804121">
        <w:rPr>
          <w:i/>
          <w:iCs/>
        </w:rPr>
        <w:t xml:space="preserve">p </w:t>
      </w:r>
      <w:r w:rsidR="00CF15AD" w:rsidRPr="00804121">
        <w:t>=.96, Partial Eta Squared = .001)</w:t>
      </w:r>
      <w:r w:rsidRPr="00804121">
        <w:t xml:space="preserve">. </w:t>
      </w:r>
    </w:p>
    <w:p w14:paraId="486EB145" w14:textId="1E7CA626" w:rsidR="009A2F11" w:rsidRPr="00804121" w:rsidRDefault="009A2F11" w:rsidP="00F035DD">
      <w:pPr>
        <w:pStyle w:val="Heading1"/>
      </w:pPr>
      <w:r w:rsidRPr="00804121">
        <w:t>Discussion</w:t>
      </w:r>
    </w:p>
    <w:p w14:paraId="133C2F5D" w14:textId="203EAE48" w:rsidR="000F0C38" w:rsidRPr="00804121" w:rsidRDefault="008A719D" w:rsidP="000F0C38">
      <w:pPr>
        <w:pStyle w:val="Newparagraph"/>
      </w:pPr>
      <w:r w:rsidRPr="00804121">
        <w:t xml:space="preserve">This </w:t>
      </w:r>
      <w:r w:rsidR="00722FDC" w:rsidRPr="00804121">
        <w:t xml:space="preserve">study </w:t>
      </w:r>
      <w:r w:rsidRPr="00804121">
        <w:t xml:space="preserve">aimed to examine the role of language impairment in acquired alexithymia, </w:t>
      </w:r>
      <w:r w:rsidR="00323FC2" w:rsidRPr="00804121">
        <w:t>in a large group of</w:t>
      </w:r>
      <w:r w:rsidRPr="00804121">
        <w:t xml:space="preserve"> stroke patients.</w:t>
      </w:r>
      <w:r w:rsidR="008E098E" w:rsidRPr="00804121">
        <w:t xml:space="preserve"> While previous studies</w:t>
      </w:r>
      <w:r w:rsidR="002D1C68" w:rsidRPr="00804121">
        <w:t xml:space="preserve"> of alexithymia</w:t>
      </w:r>
      <w:r w:rsidR="008E098E" w:rsidRPr="00804121">
        <w:t xml:space="preserve"> have excluded </w:t>
      </w:r>
      <w:r w:rsidR="002D1C68" w:rsidRPr="00804121">
        <w:t xml:space="preserve">stroke </w:t>
      </w:r>
      <w:r w:rsidR="008E098E" w:rsidRPr="00804121">
        <w:t xml:space="preserve">patients with language impairments, this project </w:t>
      </w:r>
      <w:r w:rsidR="00323FC2" w:rsidRPr="00804121">
        <w:t>assessed a</w:t>
      </w:r>
      <w:r w:rsidR="003F39B2" w:rsidRPr="00804121">
        <w:t xml:space="preserve"> representative </w:t>
      </w:r>
      <w:r w:rsidR="008E098E" w:rsidRPr="00804121">
        <w:t xml:space="preserve">sample of </w:t>
      </w:r>
      <w:r w:rsidR="00323FC2" w:rsidRPr="00804121">
        <w:t xml:space="preserve">chronic </w:t>
      </w:r>
      <w:r w:rsidR="008E098E" w:rsidRPr="00804121">
        <w:t>stroke patients</w:t>
      </w:r>
      <w:r w:rsidR="00323FC2" w:rsidRPr="00804121">
        <w:t xml:space="preserve">, not selected based on lesion side or any </w:t>
      </w:r>
      <w:proofErr w:type="gramStart"/>
      <w:r w:rsidR="00323FC2" w:rsidRPr="00804121">
        <w:t>particular cognitive</w:t>
      </w:r>
      <w:proofErr w:type="gramEnd"/>
      <w:r w:rsidR="00323FC2" w:rsidRPr="00804121">
        <w:t xml:space="preserve"> impairment</w:t>
      </w:r>
      <w:r w:rsidR="008E098E" w:rsidRPr="00804121">
        <w:t>.</w:t>
      </w:r>
      <w:r w:rsidRPr="00804121">
        <w:t xml:space="preserve"> Different findings arose from the self-reported versus </w:t>
      </w:r>
      <w:r w:rsidR="00323FC2" w:rsidRPr="00804121">
        <w:t xml:space="preserve">observed </w:t>
      </w:r>
      <w:r w:rsidRPr="00804121">
        <w:t>language measures: w</w:t>
      </w:r>
      <w:r w:rsidR="009A2F11" w:rsidRPr="00804121">
        <w:t xml:space="preserve">hile self-reported communication impairments were predictive of alexithymia, </w:t>
      </w:r>
      <w:r w:rsidRPr="00804121">
        <w:t xml:space="preserve">alexithymia did not differ between </w:t>
      </w:r>
      <w:r w:rsidR="00DE4711" w:rsidRPr="00804121">
        <w:t>language-</w:t>
      </w:r>
      <w:r w:rsidRPr="00804121">
        <w:t>impaired versus not impaired stroke patients</w:t>
      </w:r>
      <w:r w:rsidR="00323FC2" w:rsidRPr="00804121">
        <w:t>, as determined by a stroke-specific cognitive screen</w:t>
      </w:r>
      <w:r w:rsidRPr="00804121">
        <w:t xml:space="preserve">. </w:t>
      </w:r>
      <w:r w:rsidR="000F0C38" w:rsidRPr="00804121">
        <w:t>Fewer years in educa</w:t>
      </w:r>
      <w:r w:rsidR="0030642E" w:rsidRPr="00804121">
        <w:t>tion also predicted alexithymia, an</w:t>
      </w:r>
      <w:r w:rsidR="000F0C38" w:rsidRPr="00804121">
        <w:t xml:space="preserve"> association </w:t>
      </w:r>
      <w:r w:rsidR="0030642E" w:rsidRPr="00804121">
        <w:t xml:space="preserve">that </w:t>
      </w:r>
      <w:r w:rsidR="000F0C38" w:rsidRPr="00804121">
        <w:t xml:space="preserve">has been reported previously in other samples </w:t>
      </w:r>
      <w:r w:rsidR="000F0C38" w:rsidRPr="00804121">
        <w:fldChar w:fldCharType="begin" w:fldLock="1"/>
      </w:r>
      <w:r w:rsidR="0012726A" w:rsidRPr="00804121">
        <w:instrText>ADDIN CSL_CITATION { "citationItems" : [ { "id" : "ITEM-1", "itemData" : { "DOI" : "10.1016/S0010-440X(98)90051-7", "ISSN" : "0010440X", "abstract" : "The association between alexithymia and sociodemographic variables is not well understood. Previous studies using the current 20-item and previous 26-item versions of the Toronto Alexithymia Scale (TAS) have shown inconsistent associations with age, sex, socioeconomic status, and years of education. We tested 380 subjects from the community stratified equally across sex, five age groups, and three socioeconomic classes. In addition to the TAS-20, we also administered the Levels of Emotional Awareness Scale (LEAS), a behavioral measure of the ability to be aware of and represent emotions in words, a core component of alexithymia. The TAS-20 and LEAS were each correlated with age, sex, socioeconomic status (SES), and years of education (P &lt; .01) in the same direction and to approximately the same degree. Alexithymia (or low emotional awareness) is associated with older age, male sex, lower SES, and fewer years of education. The TAS-20 and LEAS are only slightly correlated (r = -.19, n = 380, P &lt; .001), but their correlation is largely accounted for by their shared variance with these demographic variables. The convergence of findings with these two quite different measures and the nature of their overlap support the validity of these associations between alexithymia and sociodemographic variables.", "author" : [ { "dropping-particle" : "", "family" : "Lane", "given" : "Richard D.", "non-dropping-particle" : "", "parse-names" : false, "suffix" : "" }, { "dropping-particle" : "", "family" : "Sechrest", "given" : "Lee", "non-dropping-particle" : "", "parse-names" : false, "suffix" : "" }, { "dropping-particle" : "", "family" : "Riedel", "given" : "Robert", "non-dropping-particle" : "", "parse-names" : false, "suffix" : "" } ], "container-title" : "Comprehensive Psychiatry", "id" : "ITEM-1", "issue" : "6", "issued" : { "date-parts" : [ [ "1998" ] ] }, "page" : "377-385", "title" : "Sociodemographic correlates of Alexithymia", "type" : "article-journal", "volume" : "39" }, "uris" : [ "http://www.mendeley.com/documents/?uuid=07a7dbd5-9092-41f8-9f96-d9ca59209be8" ] } ], "mendeley" : { "formattedCitation" : "(Lane, Sechrest, &amp; Riedel, 1998)", "plainTextFormattedCitation" : "(Lane, Sechrest, &amp; Riedel, 1998)", "previouslyFormattedCitation" : "(Lane, Sechrest, &amp; Riedel, 1998)" }, "properties" : { "noteIndex" : 0 }, "schema" : "https://github.com/citation-style-language/schema/raw/master/csl-citation.json" }</w:instrText>
      </w:r>
      <w:r w:rsidR="000F0C38" w:rsidRPr="00804121">
        <w:fldChar w:fldCharType="separate"/>
      </w:r>
      <w:r w:rsidR="000F0C38" w:rsidRPr="00804121">
        <w:rPr>
          <w:noProof/>
        </w:rPr>
        <w:t>(Lane, Sechrest, &amp; Riedel, 1998)</w:t>
      </w:r>
      <w:r w:rsidR="000F0C38" w:rsidRPr="00804121">
        <w:fldChar w:fldCharType="end"/>
      </w:r>
      <w:r w:rsidR="000F0C38" w:rsidRPr="00804121">
        <w:t>.</w:t>
      </w:r>
      <w:r w:rsidR="00EC10AD" w:rsidRPr="00804121">
        <w:t xml:space="preserve"> Participants assessed at home were also found to be more alexithymic than those who reported their alexithymic traits over the phone.</w:t>
      </w:r>
      <w:r w:rsidR="00027020" w:rsidRPr="00804121">
        <w:t xml:space="preserve"> The findings thus only partly support the language-hypothesis of alexithymia put forward by Hobson et al (2019). Here, we discuss potential explanations</w:t>
      </w:r>
      <w:r w:rsidR="00AF501B" w:rsidRPr="00804121">
        <w:t xml:space="preserve">, including what different aspects of communication and language the behavioural versus self-report measures may represent. </w:t>
      </w:r>
    </w:p>
    <w:p w14:paraId="40E5B1A4" w14:textId="41693B19" w:rsidR="008A719D" w:rsidRPr="00804121" w:rsidRDefault="00A14868" w:rsidP="00F035DD">
      <w:pPr>
        <w:pStyle w:val="Newparagraph"/>
      </w:pPr>
      <w:r w:rsidRPr="00804121">
        <w:t xml:space="preserve">The difference in associations with alexithymia between </w:t>
      </w:r>
      <w:r w:rsidR="002D1C68" w:rsidRPr="00804121">
        <w:t xml:space="preserve">the </w:t>
      </w:r>
      <w:r w:rsidRPr="00804121">
        <w:t>two</w:t>
      </w:r>
      <w:r w:rsidR="00B34273" w:rsidRPr="00804121">
        <w:t xml:space="preserve"> communication</w:t>
      </w:r>
      <w:r w:rsidRPr="00804121">
        <w:t xml:space="preserve"> measures </w:t>
      </w:r>
      <w:r w:rsidR="002D1C68" w:rsidRPr="00804121">
        <w:t xml:space="preserve">(self-report versus behavioural tests) </w:t>
      </w:r>
      <w:r w:rsidRPr="00804121">
        <w:t xml:space="preserve">could reflect </w:t>
      </w:r>
      <w:proofErr w:type="gramStart"/>
      <w:r w:rsidR="008A719D" w:rsidRPr="00804121">
        <w:t xml:space="preserve">a </w:t>
      </w:r>
      <w:r w:rsidRPr="00804121">
        <w:t>number of</w:t>
      </w:r>
      <w:proofErr w:type="gramEnd"/>
      <w:r w:rsidRPr="00804121">
        <w:t xml:space="preserve"> things. First, it could be the case that the </w:t>
      </w:r>
      <w:r w:rsidR="00DC0BB4" w:rsidRPr="00804121">
        <w:t>cognitive screening subtests</w:t>
      </w:r>
      <w:r w:rsidR="008A719D" w:rsidRPr="00804121">
        <w:t xml:space="preserve">, relative to the self-report measures, </w:t>
      </w:r>
      <w:r w:rsidRPr="00804121">
        <w:t xml:space="preserve">are </w:t>
      </w:r>
      <w:r w:rsidR="002E632E" w:rsidRPr="00804121">
        <w:t>less sensitive</w:t>
      </w:r>
      <w:r w:rsidRPr="00804121">
        <w:t>. Subtle language and communication problems</w:t>
      </w:r>
      <w:r w:rsidR="002D1C68" w:rsidRPr="00804121">
        <w:t xml:space="preserve"> </w:t>
      </w:r>
      <w:r w:rsidRPr="00804121">
        <w:t>might disturb daily communication for the patients</w:t>
      </w:r>
      <w:r w:rsidR="008A719D" w:rsidRPr="00804121">
        <w:t xml:space="preserve">, </w:t>
      </w:r>
      <w:r w:rsidR="0061281D" w:rsidRPr="00804121">
        <w:t xml:space="preserve">yet </w:t>
      </w:r>
      <w:r w:rsidRPr="00804121">
        <w:t xml:space="preserve">not be </w:t>
      </w:r>
      <w:r w:rsidR="0061281D" w:rsidRPr="00804121">
        <w:t>refl</w:t>
      </w:r>
      <w:r w:rsidR="00C619FE" w:rsidRPr="00804121">
        <w:t>e</w:t>
      </w:r>
      <w:r w:rsidR="0061281D" w:rsidRPr="00804121">
        <w:t xml:space="preserve">cted </w:t>
      </w:r>
      <w:r w:rsidRPr="00804121">
        <w:t>in performance on the</w:t>
      </w:r>
      <w:r w:rsidR="0061281D" w:rsidRPr="00804121">
        <w:t xml:space="preserve"> </w:t>
      </w:r>
      <w:r w:rsidR="00DC0BB4" w:rsidRPr="00804121">
        <w:t>cognitive screening</w:t>
      </w:r>
      <w:r w:rsidRPr="00804121">
        <w:t xml:space="preserve"> tests</w:t>
      </w:r>
      <w:r w:rsidR="002A6C75" w:rsidRPr="00804121">
        <w:t>.</w:t>
      </w:r>
      <w:r w:rsidR="00BB5BA5" w:rsidRPr="00804121">
        <w:t xml:space="preserve"> The lack of association between the behavioural language measures and alexithymia could thus be symptomatic of the small</w:t>
      </w:r>
      <w:r w:rsidR="002D1C68" w:rsidRPr="00804121">
        <w:t>er</w:t>
      </w:r>
      <w:r w:rsidR="00BB5BA5" w:rsidRPr="00804121">
        <w:t xml:space="preserve"> impaired group size, or because these measures do not reflect the communicative impairment some patients are experiencing.</w:t>
      </w:r>
    </w:p>
    <w:p w14:paraId="55E6D30C" w14:textId="26002D9F" w:rsidR="00790FD5" w:rsidRPr="00804121" w:rsidRDefault="00A14868" w:rsidP="00F035DD">
      <w:pPr>
        <w:pStyle w:val="Newparagraph"/>
      </w:pPr>
      <w:r w:rsidRPr="00804121">
        <w:t xml:space="preserve">Second, it could be the case that the two measures </w:t>
      </w:r>
      <w:r w:rsidR="00884F37" w:rsidRPr="00804121">
        <w:t>index</w:t>
      </w:r>
      <w:r w:rsidRPr="00804121">
        <w:t xml:space="preserve"> rather different </w:t>
      </w:r>
      <w:r w:rsidR="00DE4711" w:rsidRPr="00804121">
        <w:t xml:space="preserve">aspects of </w:t>
      </w:r>
      <w:r w:rsidRPr="00804121">
        <w:t>language</w:t>
      </w:r>
      <w:r w:rsidR="00BB5BA5" w:rsidRPr="00804121">
        <w:t>.</w:t>
      </w:r>
      <w:r w:rsidRPr="00804121">
        <w:t xml:space="preserve"> </w:t>
      </w:r>
      <w:r w:rsidR="00BB5BA5" w:rsidRPr="00804121">
        <w:t>T</w:t>
      </w:r>
      <w:r w:rsidRPr="00804121">
        <w:t>he language skills assessed by the behavioural assessments relate to structural language problems</w:t>
      </w:r>
      <w:r w:rsidR="002D1C68" w:rsidRPr="00804121">
        <w:t>. However,</w:t>
      </w:r>
      <w:r w:rsidRPr="00804121">
        <w:t xml:space="preserve"> </w:t>
      </w:r>
      <w:r w:rsidR="002D1C68" w:rsidRPr="00804121">
        <w:t>patients’</w:t>
      </w:r>
      <w:r w:rsidRPr="00804121">
        <w:t xml:space="preserve"> daily communication with other</w:t>
      </w:r>
      <w:r w:rsidR="00BB5BA5" w:rsidRPr="00804121">
        <w:t>s</w:t>
      </w:r>
      <w:r w:rsidRPr="00804121">
        <w:t xml:space="preserve"> </w:t>
      </w:r>
      <w:r w:rsidR="00475CC5" w:rsidRPr="00804121">
        <w:t xml:space="preserve">may be </w:t>
      </w:r>
      <w:r w:rsidRPr="00804121">
        <w:t xml:space="preserve">disrupted due to </w:t>
      </w:r>
      <w:r w:rsidR="002D6165" w:rsidRPr="00804121">
        <w:t>pragmatic language impairments. Indeed, few structur</w:t>
      </w:r>
      <w:r w:rsidR="002973A4" w:rsidRPr="00804121">
        <w:t>al</w:t>
      </w:r>
      <w:r w:rsidR="002D6165" w:rsidRPr="00804121">
        <w:t xml:space="preserve"> language assessments a</w:t>
      </w:r>
      <w:r w:rsidR="00877D0E" w:rsidRPr="00804121">
        <w:t>re</w:t>
      </w:r>
      <w:r w:rsidR="002D6165" w:rsidRPr="00804121">
        <w:t xml:space="preserve"> sensitive to pragmatic language problems, even though these difficulties have very real impacts on participants’ communication</w:t>
      </w:r>
      <w:r w:rsidR="002D1C68" w:rsidRPr="00804121">
        <w:t xml:space="preserve"> with those around them</w:t>
      </w:r>
      <w:r w:rsidR="002D6165" w:rsidRPr="00804121">
        <w:t xml:space="preserve">. </w:t>
      </w:r>
      <w:r w:rsidR="007E7AFD" w:rsidRPr="00804121">
        <w:t xml:space="preserve">An example in the field of developmental disorders of language and communication comes from </w:t>
      </w:r>
      <w:r w:rsidR="00510F00" w:rsidRPr="00804121">
        <w:t xml:space="preserve">studies </w:t>
      </w:r>
      <w:r w:rsidR="007E7AFD" w:rsidRPr="00804121">
        <w:t xml:space="preserve">of </w:t>
      </w:r>
      <w:r w:rsidR="00510F00" w:rsidRPr="00804121">
        <w:t xml:space="preserve">the </w:t>
      </w:r>
      <w:r w:rsidR="007E7AFD" w:rsidRPr="00804121">
        <w:t xml:space="preserve">overlap between autism and </w:t>
      </w:r>
      <w:r w:rsidR="0032711F" w:rsidRPr="00804121">
        <w:t>developmental language disorder</w:t>
      </w:r>
      <w:r w:rsidR="007E7AFD" w:rsidRPr="00804121">
        <w:t xml:space="preserve">: parents of children with autism self-reported communication difficulties, but these were not apparent in behavioural tests </w:t>
      </w:r>
      <w:r w:rsidR="007E7AFD" w:rsidRPr="00804121">
        <w:fldChar w:fldCharType="begin" w:fldLock="1"/>
      </w:r>
      <w:r w:rsidR="0012726A" w:rsidRPr="00804121">
        <w:instrText>ADDIN CSL_CITATION { "citationItems" : [ { "id" : "ITEM-1", "itemData" : { "DOI" : "10.1007/s10519-010-9381-x", "ISSN" : "1573-3297", "PMID" : "20640915", "abstract" : "Traditionally, autistic spectrum disorder (ASD) and specific language impairment (SLI) are regarded as distinct conditions with separate etiologies. Yet these disorders co-occur at above chance levels, suggesting shared etiology. Simulations, however, show that additive pleiotropic genes cannot account for observed rates of language impairment in relatives, which are higher for probands with SLI than for those with ASD + language impairment. An alternative account is in terms of 'phenomimicry', i.e., language impairment in comorbid cases may be a consequence of ASD risk factors, and different from that seen in SLI. However, this cannot explain why molecular genetic studies have found a common risk genotype for ASD and SLI. This paper explores whether nonadditive genetic influences could account for both family and molecular findings. A modified simulation involving G x G interactions obtained levels of comorbidity and rates of impairment in relatives more consistent with observed values. The simulations further suggest that the shape of distributions of phenotypic trait scores for different genotypes may provide evidence of whether a gene is involved in epistasis.", "author" : [ { "dropping-particle" : "", "family" : "Bishop", "given" : "Dorothy V M", "non-dropping-particle" : "", "parse-names" : false, "suffix" : "" } ], "container-title" : "Behavior genetics", "id" : "ITEM-1", "issue" : "5", "issued" : { "date-parts" : [ [ "2010", "9" ] ] }, "page" : "618-29", "title" : "Overlaps between autism and language impairment: phenomimicry or shared etiology?", "type" : "article-journal", "volume" : "40" }, "uris" : [ "http://www.mendeley.com/documents/?uuid=a34514dc-c62e-4fb0-9a54-7b536818db77" ] } ], "mendeley" : { "formattedCitation" : "(Bishop, 2010)", "manualFormatting" : "(see Bishop, 2010)", "plainTextFormattedCitation" : "(Bishop, 2010)", "previouslyFormattedCitation" : "(Bishop, 2010)" }, "properties" : { "noteIndex" : 0 }, "schema" : "https://github.com/citation-style-language/schema/raw/master/csl-citation.json" }</w:instrText>
      </w:r>
      <w:r w:rsidR="007E7AFD" w:rsidRPr="00804121">
        <w:fldChar w:fldCharType="separate"/>
      </w:r>
      <w:r w:rsidR="007E7AFD" w:rsidRPr="00804121">
        <w:rPr>
          <w:noProof/>
        </w:rPr>
        <w:t>(see Bishop, 2010)</w:t>
      </w:r>
      <w:r w:rsidR="007E7AFD" w:rsidRPr="00804121">
        <w:fldChar w:fldCharType="end"/>
      </w:r>
      <w:r w:rsidR="007E7AFD" w:rsidRPr="00804121">
        <w:t xml:space="preserve">. </w:t>
      </w:r>
      <w:r w:rsidR="00972706" w:rsidRPr="00804121">
        <w:t>The authors suggested</w:t>
      </w:r>
      <w:r w:rsidR="007E7AFD" w:rsidRPr="00804121">
        <w:t xml:space="preserve"> that the behavioural tests were not </w:t>
      </w:r>
      <w:r w:rsidR="00972706" w:rsidRPr="00804121">
        <w:t xml:space="preserve">sensitive to </w:t>
      </w:r>
      <w:r w:rsidR="007E7AFD" w:rsidRPr="00804121">
        <w:t>the pragmatic language difficulties experienced by these participants.</w:t>
      </w:r>
      <w:r w:rsidR="00D57C9D" w:rsidRPr="00804121">
        <w:t xml:space="preserve"> </w:t>
      </w:r>
      <w:r w:rsidR="00475CC5" w:rsidRPr="00804121">
        <w:t>In the present study, t</w:t>
      </w:r>
      <w:r w:rsidR="00877D0E" w:rsidRPr="00804121">
        <w:t xml:space="preserve">he </w:t>
      </w:r>
      <w:r w:rsidR="00693E19" w:rsidRPr="00804121">
        <w:t xml:space="preserve">SISCOM scores of </w:t>
      </w:r>
      <w:r w:rsidR="00877D0E" w:rsidRPr="00804121">
        <w:t xml:space="preserve">language impaired/not impaired groups (categorised on the basis of their behavioural tests) </w:t>
      </w:r>
      <w:r w:rsidR="00693E19" w:rsidRPr="00804121">
        <w:t>were compared</w:t>
      </w:r>
      <w:r w:rsidR="007E06D1" w:rsidRPr="00804121">
        <w:t>,</w:t>
      </w:r>
      <w:r w:rsidR="00693E19" w:rsidRPr="00804121">
        <w:t xml:space="preserve"> and it was found</w:t>
      </w:r>
      <w:r w:rsidR="00877D0E" w:rsidRPr="00804121">
        <w:t xml:space="preserve"> those with </w:t>
      </w:r>
      <w:proofErr w:type="gramStart"/>
      <w:r w:rsidR="00877D0E" w:rsidRPr="00804121">
        <w:t>behaviourally</w:t>
      </w:r>
      <w:r w:rsidR="00972706" w:rsidRPr="00804121">
        <w:t>-</w:t>
      </w:r>
      <w:r w:rsidR="00877D0E" w:rsidRPr="00804121">
        <w:t>defined</w:t>
      </w:r>
      <w:proofErr w:type="gramEnd"/>
      <w:r w:rsidR="00877D0E" w:rsidRPr="00804121">
        <w:t xml:space="preserve"> language impairments did report poorer communication at the group level. This would suggest that the SISCOM and behavioural tests reflect overlapping constructs</w:t>
      </w:r>
      <w:r w:rsidR="00DE4711" w:rsidRPr="00804121">
        <w:t xml:space="preserve"> at least to some extent</w:t>
      </w:r>
      <w:r w:rsidR="00877D0E" w:rsidRPr="00804121">
        <w:t xml:space="preserve">, but future work should consider more </w:t>
      </w:r>
      <w:r w:rsidR="003A4ED1" w:rsidRPr="00804121">
        <w:t>in-depth</w:t>
      </w:r>
      <w:r w:rsidR="00877D0E" w:rsidRPr="00804121">
        <w:t xml:space="preserve"> assessment of pragmatic language problems. </w:t>
      </w:r>
    </w:p>
    <w:p w14:paraId="0B993399" w14:textId="322583A9" w:rsidR="00131528" w:rsidRPr="00804121" w:rsidRDefault="00AF501B" w:rsidP="00AF501B">
      <w:pPr>
        <w:pStyle w:val="Newparagraph"/>
      </w:pPr>
      <w:r w:rsidRPr="00804121">
        <w:t>We can rule out that the associations between self-reported communication problems and alexithymia are</w:t>
      </w:r>
      <w:r w:rsidR="008E51DC" w:rsidRPr="00804121">
        <w:t xml:space="preserve"> simply</w:t>
      </w:r>
      <w:r w:rsidRPr="00804121">
        <w:t xml:space="preserve"> reflective of poor self-esteem</w:t>
      </w:r>
      <w:r w:rsidR="008E51DC" w:rsidRPr="00804121">
        <w:t xml:space="preserve"> or shared method variance</w:t>
      </w:r>
      <w:r w:rsidRPr="00804121">
        <w:t xml:space="preserve">. </w:t>
      </w:r>
      <w:r w:rsidR="002D6165" w:rsidRPr="00804121">
        <w:t>If this were the case, we would expect not just the SISCOM component of the S</w:t>
      </w:r>
      <w:r w:rsidR="00D57C9D" w:rsidRPr="00804121">
        <w:t>troke Impact Scale</w:t>
      </w:r>
      <w:r w:rsidR="002D6165" w:rsidRPr="00804121">
        <w:t xml:space="preserve"> but also other components of th</w:t>
      </w:r>
      <w:r w:rsidR="00D57C9D" w:rsidRPr="00804121">
        <w:t xml:space="preserve">is scale </w:t>
      </w:r>
      <w:r w:rsidR="002D6165" w:rsidRPr="00804121">
        <w:t xml:space="preserve">to predict increased alexithymia. </w:t>
      </w:r>
      <w:r w:rsidR="008E51DC" w:rsidRPr="00804121">
        <w:t>W</w:t>
      </w:r>
      <w:r w:rsidR="002D6165" w:rsidRPr="00804121">
        <w:t>e e</w:t>
      </w:r>
      <w:r w:rsidR="00D67E72" w:rsidRPr="00804121">
        <w:t xml:space="preserve">xamined whether </w:t>
      </w:r>
      <w:r w:rsidR="00D57C9D" w:rsidRPr="00804121">
        <w:t>self-reported mobility problems were also</w:t>
      </w:r>
      <w:r w:rsidR="00D67E72" w:rsidRPr="00804121">
        <w:t xml:space="preserve"> predictive of alexithymia</w:t>
      </w:r>
      <w:r w:rsidR="008E51DC" w:rsidRPr="00804121">
        <w:t>:</w:t>
      </w:r>
      <w:r w:rsidR="00D67E72" w:rsidRPr="00804121">
        <w:t xml:space="preserve"> </w:t>
      </w:r>
      <w:r w:rsidR="008E51DC" w:rsidRPr="00804121">
        <w:t>self</w:t>
      </w:r>
      <w:r w:rsidR="00D57C9D" w:rsidRPr="00804121">
        <w:t xml:space="preserve">-reported difficulties in mobility were not associated with </w:t>
      </w:r>
      <w:r w:rsidR="007E06D1" w:rsidRPr="00804121">
        <w:t xml:space="preserve">alexithymia, </w:t>
      </w:r>
      <w:r w:rsidR="00D57C9D" w:rsidRPr="00804121">
        <w:t>and even after adding this measure</w:t>
      </w:r>
      <w:r w:rsidR="008E51DC" w:rsidRPr="00804121">
        <w:t xml:space="preserve"> to our regression,</w:t>
      </w:r>
      <w:r w:rsidR="00D57C9D" w:rsidRPr="00804121">
        <w:t xml:space="preserve"> self-reported communication problems remained a significant predictor. </w:t>
      </w:r>
      <w:r w:rsidR="007E06D1" w:rsidRPr="00804121">
        <w:t xml:space="preserve">Thus, </w:t>
      </w:r>
      <w:r w:rsidR="00D57C9D" w:rsidRPr="00804121">
        <w:t xml:space="preserve">the association between alexithymia and SISCOM is not merely reflective of low </w:t>
      </w:r>
      <w:r w:rsidR="00207A56" w:rsidRPr="00804121">
        <w:t>self-esteem</w:t>
      </w:r>
      <w:r w:rsidR="008E51DC" w:rsidRPr="00804121">
        <w:t xml:space="preserve"> or shared method variance</w:t>
      </w:r>
      <w:r w:rsidR="00207A56" w:rsidRPr="00804121">
        <w:t xml:space="preserve">, </w:t>
      </w:r>
      <w:r w:rsidR="008E51DC" w:rsidRPr="00804121">
        <w:t xml:space="preserve">given the </w:t>
      </w:r>
      <w:r w:rsidR="00207A56" w:rsidRPr="00804121">
        <w:t xml:space="preserve">specific association between alexithymia and </w:t>
      </w:r>
      <w:r w:rsidR="00E326BC" w:rsidRPr="00804121">
        <w:t xml:space="preserve">self-reported </w:t>
      </w:r>
      <w:r w:rsidR="00207A56" w:rsidRPr="00804121">
        <w:t>communication problems.</w:t>
      </w:r>
    </w:p>
    <w:p w14:paraId="5BF51AF7" w14:textId="3999E6E2" w:rsidR="005034E1" w:rsidRPr="00804121" w:rsidRDefault="00AF501B" w:rsidP="007E06D1">
      <w:pPr>
        <w:pStyle w:val="Newparagraph"/>
      </w:pPr>
      <w:r w:rsidRPr="00804121">
        <w:t xml:space="preserve">In addition to associations with language, we also examined the associations between alexithymia and hemisphere of damage. </w:t>
      </w:r>
      <w:r w:rsidR="00BE16E9" w:rsidRPr="00804121">
        <w:t xml:space="preserve">Previous findings suggesting alexithymia is more likely to result from right than left hemisphere stroke were not replicated </w:t>
      </w:r>
      <w:r w:rsidR="00BE16E9" w:rsidRPr="00804121">
        <w:fldChar w:fldCharType="begin" w:fldLock="1"/>
      </w:r>
      <w:r w:rsidR="0012726A" w:rsidRPr="00804121">
        <w:instrText>ADDIN CSL_CITATION { "citationItems" : [ { "id" : "ITEM-1", "itemData" : { "ISBN" : "0033-3174 (Print)\\r0033-3174 (Linking)", "ISSN" : "0033-3174", "PMID" : "11719633", "abstract" : "OBJECTIVE: Stroke patients suffer from a high rate of behavioral disorders, and the laterality of the lesion may affect the expression of emotional disturbances. This study tested the hypothesis that stroke patients with a lesion in the right hemisphere are at high risk of developing alexithymic features. METHODS: Forty-eight patients were interviewed with the Structured Clinical Interview for DSM-IV (patient edition), the Mini-Mental State Examination, the State-Trait Anxiety Inventory (state form), the Beck Depression Inventory, and the Toronto Alexithymia Scale (20-item version). Alexithymic differences between stroke patients with a lesion in the right hemisphere and those with a lesion in the left hemisphere were computed by analysis of covariance, using scores on the Mini-Mental State Examination, Beck Depression Inventory (psychic subscore), and State-Trait Anxiety Inventory as covariates and the score on the Toronto Alexithymia Scale as the dependent variable. A multivariate analysis of covariance and a series of follow-up analyses of covariance with the same covariates were used to discriminate differences in subscores on the Toronto Alexithymia Scale. An exploratory analysis of covariance was also performed to determine the effect of gender on alexithymic features in both groups of stroke patients. RESULTS: The 21 stroke patients with a lesion in the right hemisphere were more alexithymic than the 27 patients with a lesion in the left hemisphere. This evidence was strengthened by the categorical analysis: 48% of the patients with a right-hemisphere lesion had alexithymia, compared with 22% of patients with a left-hemisphere lesion. Univariate analyses of covariance showed significant differences between the two groups in difficulty identifying feelings and difficulty describing feelings, but not in externally oriented thinking. The last exploratory analysis of covariance suggested that gender may influence alexithymic features. CONCLUSIONS: This study provides direct evidence that alexithymia, and more specifically difficulty identifying feelings and difficulty describing feelings, is more common in stroke patients with a right-hemisphere lesion than in those with a left-hemisphere lesion. It also provides preliminary evidence that gender may affect alexithymic expression.", "author" : [ { "dropping-particle" : "", "family" : "Spalletta", "given" : "Gianfranco", "non-dropping-particle" : "", "parse-names" : false, "suffix" : "" }, { "dropping-particle" : "", "family" : "Pasini", "given" : "A", "non-dropping-particle" : "", "parse-names" : false, "suffix" : "" }, { "dropping-particle" : "", "family" : "Costa", "given" : "A", "non-dropping-particle" : "", "parse-names" : false, "suffix" : "" }, { "dropping-particle" : "", "family" : "Angelis", "given" : "D", "non-dropping-particle" : "De", "parse-names" : false, "suffix" : "" }, { "dropping-particle" : "", "family" : "Ramundo", "given" : "N", "non-dropping-particle" : "", "parse-names" : false, "suffix" : "" }, { "dropping-particle" : "", "family" : "Paolucci", "given" : "S", "non-dropping-particle" : "", "parse-names" : false, "suffix" : "" }, { "dropping-particle" : "", "family" : "Caltagirone", "given" : "C", "non-dropping-particle" : "", "parse-names" : false, "suffix" : "" } ], "container-title" : "Psychosom Med", "id" : "ITEM-1", "issue" : "6", "issued" : { "date-parts" : [ [ "2001" ] ] }, "page" : "944-950", "title" : "Alexithymic features in stroke: effects of laterality and gender", "type" : "article-journal", "volume" : "63" }, "uris" : [ "http://www.mendeley.com/documents/?uuid=1ac372ef-a1eb-4954-9501-056815bf9bad" ] }, { "id" : "ITEM-2", "itemData" : { "DOI" : "10.1097/01.JGP.0000194647.72654.a1", "ISSN" : "10647481", "abstract" : "Objective: Unawareness of impairment (anosognosia) is a phenomenon associated with right hemisphere lesions. Unawareness of emotion has rarely been studied. Methods: Patients (N = 50) with poststroke major depression were administered the Toronto, Ontario, Canada, Alexithymia Scale to assess impairment in identifying feelings (F1), describing feelings (F2), and externally oriented thinking (F3), After eight weeks of treatment with sertraline or fluoxetine, patients were reassessed. Results: Alexithymia was significantly associated with right hemisphere lesions. Patients with alexithymia had a significant improvement in identifying and describing feelings, but not in externally oriented thinking. In addition, cognitive functions improved after antidepressant treatment in patients without alexithymia with left lesions only. On the contrary, functional activities of daily living and depressive symptoms improved both in patients with alexithymia and those without alexithymia. Conclusions: The Unawareness of emotions is a common impairment after right hemisphere stroke. This disorder may be significantly improved by antidepressant treatment. \u00a9 2006 American Association for Geriatric Psychiatry.", "author" : [ { "dropping-particle" : "", "family" : "Spalletta", "given" : "Gianfranco", "non-dropping-particle" : "", "parse-names" : false, "suffix" : "" }, { "dropping-particle" : "", "family" : "Ripa", "given" : "Alessandra", "non-dropping-particle" : "", "parse-names" : false, "suffix" : "" }, { "dropping-particle" : "", "family" : "Bria", "given" : "Pietro", "non-dropping-particle" : "", "parse-names" : false, "suffix" : "" }, { "dropping-particle" : "", "family" : "Caltagirone", "given" : "Carlo", "non-dropping-particle" : "", "parse-names" : false, "suffix" : "" }, { "dropping-particle" : "", "family" : "Robinson", "given" : "Robert G.", "non-dropping-particle" : "", "parse-names" : false, "suffix" : "" } ], "container-title" : "American Journal of Geriatric Psychiatry", "id" : "ITEM-2", "issue" : "3", "issued" : { "date-parts" : [ [ "2006" ] ] }, "page" : "220-227", "publisher" : "American Association for Geriatric Psychiatry", "title" : "Response of emotional unawareness after stroke to antidepressant treatment", "type" : "article-journal", "volume" : "14" }, "uris" : [ "http://www.mendeley.com/documents/?uuid=6bc9add8-c7c7-40e1-8dee-41493803839c" ] } ], "mendeley" : { "formattedCitation" : "(Spalletta et al., 2001, 2006)", "plainTextFormattedCitation" : "(Spalletta et al., 2001, 2006)", "previouslyFormattedCitation" : "(Spalletta et al., 2001, 2006)" }, "properties" : { "noteIndex" : 0 }, "schema" : "https://github.com/citation-style-language/schema/raw/master/csl-citation.json" }</w:instrText>
      </w:r>
      <w:r w:rsidR="00BE16E9" w:rsidRPr="00804121">
        <w:fldChar w:fldCharType="separate"/>
      </w:r>
      <w:r w:rsidR="00BD6C2B" w:rsidRPr="00804121">
        <w:rPr>
          <w:noProof/>
        </w:rPr>
        <w:t>(Spalletta et al., 2001, 2006)</w:t>
      </w:r>
      <w:r w:rsidR="00BE16E9" w:rsidRPr="00804121">
        <w:fldChar w:fldCharType="end"/>
      </w:r>
      <w:r w:rsidR="00BE16E9" w:rsidRPr="00804121">
        <w:t>.</w:t>
      </w:r>
      <w:r w:rsidR="005034E1" w:rsidRPr="00804121">
        <w:t xml:space="preserve"> </w:t>
      </w:r>
      <w:r w:rsidR="007E06D1" w:rsidRPr="00804121">
        <w:t>T</w:t>
      </w:r>
      <w:r w:rsidR="005034E1" w:rsidRPr="00804121">
        <w:t xml:space="preserve">he number of patients </w:t>
      </w:r>
      <w:r w:rsidR="007E06D1" w:rsidRPr="00804121">
        <w:t>included in this comparison were</w:t>
      </w:r>
      <w:r w:rsidR="005034E1" w:rsidRPr="00804121">
        <w:t xml:space="preserve"> double those reported in </w:t>
      </w:r>
      <w:proofErr w:type="spellStart"/>
      <w:r w:rsidR="005034E1" w:rsidRPr="00804121">
        <w:t>Spalletta</w:t>
      </w:r>
      <w:proofErr w:type="spellEnd"/>
      <w:r w:rsidR="005034E1" w:rsidRPr="00804121">
        <w:t xml:space="preserve"> et al (2001)</w:t>
      </w:r>
      <w:r w:rsidR="007E06D1" w:rsidRPr="00804121">
        <w:t xml:space="preserve">, so </w:t>
      </w:r>
      <w:r w:rsidRPr="00804121">
        <w:t>potentially the disagreement between ours</w:t>
      </w:r>
      <w:r w:rsidR="007E06D1" w:rsidRPr="00804121">
        <w:t xml:space="preserve"> </w:t>
      </w:r>
      <w:r w:rsidRPr="00804121">
        <w:t xml:space="preserve">and </w:t>
      </w:r>
      <w:proofErr w:type="spellStart"/>
      <w:r w:rsidRPr="00804121">
        <w:t>Spalletta</w:t>
      </w:r>
      <w:proofErr w:type="spellEnd"/>
      <w:r w:rsidRPr="00804121">
        <w:t xml:space="preserve"> et al.’s </w:t>
      </w:r>
      <w:r w:rsidR="007E06D1" w:rsidRPr="00804121">
        <w:t>findings reflect increased statistical power</w:t>
      </w:r>
      <w:r w:rsidR="005034E1" w:rsidRPr="00804121">
        <w:t xml:space="preserve">. </w:t>
      </w:r>
      <w:r w:rsidRPr="00804121">
        <w:t xml:space="preserve">In addition, a </w:t>
      </w:r>
      <w:r w:rsidR="00BD6C2B" w:rsidRPr="00804121">
        <w:t xml:space="preserve">key difference between our sample and the samples of previous studies is that our exclusion criteria did not include language impairment. It is possible previous studies, by adopting </w:t>
      </w:r>
      <w:r w:rsidR="007E06D1" w:rsidRPr="00804121">
        <w:t>criteria that excluded patients with language problems</w:t>
      </w:r>
      <w:r w:rsidR="00BD6C2B" w:rsidRPr="00804121">
        <w:t xml:space="preserve">, </w:t>
      </w:r>
      <w:r w:rsidR="003D4372" w:rsidRPr="00804121">
        <w:t xml:space="preserve">missed a role for left hemisphere damage in alexithymia. </w:t>
      </w:r>
      <w:r w:rsidR="00336EE1" w:rsidRPr="00804121">
        <w:t xml:space="preserve">An additional analysis was conducted to investigate whether limiting our analyses only to patients who were not considered to have language impairment (as per the selection criteria in previous studies) could have led to the different results of the present study: even when language impaired patients were not included in the analyses, patients with right hemisphere damage did not show significantly higher alexithymic traits. </w:t>
      </w:r>
      <w:r w:rsidR="00BD6C2B" w:rsidRPr="00804121">
        <w:t xml:space="preserve">Our findings thus suggest that alexithymia can results from either right or left hemisphere </w:t>
      </w:r>
      <w:proofErr w:type="gramStart"/>
      <w:r w:rsidR="00BD6C2B" w:rsidRPr="00804121">
        <w:t>damage, and</w:t>
      </w:r>
      <w:proofErr w:type="gramEnd"/>
      <w:r w:rsidR="00BD6C2B" w:rsidRPr="00804121">
        <w:t xml:space="preserve"> </w:t>
      </w:r>
      <w:r w:rsidR="007E06D1" w:rsidRPr="00804121">
        <w:t>highlight the need for clinicians to be watchful for emotional deficits following brain injury, regardless of hemisphere of damage.</w:t>
      </w:r>
      <w:r w:rsidR="00BD6C2B" w:rsidRPr="00804121">
        <w:t xml:space="preserve"> </w:t>
      </w:r>
    </w:p>
    <w:p w14:paraId="56E4AE4C" w14:textId="3FFC8B06" w:rsidR="005603BB" w:rsidRPr="00804121" w:rsidRDefault="00207A56" w:rsidP="00F035DD">
      <w:pPr>
        <w:pStyle w:val="Newparagraph"/>
      </w:pPr>
      <w:r w:rsidRPr="00804121">
        <w:t>The reported associations are thus</w:t>
      </w:r>
      <w:r w:rsidR="006230D7" w:rsidRPr="00804121">
        <w:t xml:space="preserve"> only</w:t>
      </w:r>
      <w:r w:rsidR="00984047" w:rsidRPr="00804121">
        <w:t xml:space="preserve"> </w:t>
      </w:r>
      <w:r w:rsidRPr="00804121">
        <w:t>part</w:t>
      </w:r>
      <w:r w:rsidR="006230D7" w:rsidRPr="00804121">
        <w:t xml:space="preserve">ly </w:t>
      </w:r>
      <w:r w:rsidRPr="00804121">
        <w:t>supportive of the hypothesis that language processes have a role in alexithymi</w:t>
      </w:r>
      <w:r w:rsidR="00994867" w:rsidRPr="00804121">
        <w:t>a</w:t>
      </w:r>
      <w:r w:rsidR="009F4C79" w:rsidRPr="00804121">
        <w:t>.</w:t>
      </w:r>
      <w:r w:rsidR="005603BB" w:rsidRPr="00804121">
        <w:t xml:space="preserve"> </w:t>
      </w:r>
      <w:r w:rsidR="00E3387A" w:rsidRPr="00804121">
        <w:t xml:space="preserve">Unlike in Hobson et al (2018) </w:t>
      </w:r>
      <w:r w:rsidR="000E3F31" w:rsidRPr="00804121">
        <w:t xml:space="preserve">associations between alexithymia and behavioural language measures were not found. It is possible this is due to the </w:t>
      </w:r>
      <w:r w:rsidR="001F4F75" w:rsidRPr="00804121">
        <w:t>use of briefer screening instruments in the current study</w:t>
      </w:r>
      <w:r w:rsidR="006230D7" w:rsidRPr="00804121">
        <w:t>.</w:t>
      </w:r>
      <w:r w:rsidR="001F4F75" w:rsidRPr="00804121">
        <w:t xml:space="preserve"> </w:t>
      </w:r>
      <w:r w:rsidR="006230D7" w:rsidRPr="00804121">
        <w:t xml:space="preserve">In </w:t>
      </w:r>
      <w:r w:rsidR="001F4F75" w:rsidRPr="00804121">
        <w:t xml:space="preserve">Hobson et al (2018) the full Boston picture naming task was used, </w:t>
      </w:r>
      <w:r w:rsidR="006230D7" w:rsidRPr="00804121">
        <w:t xml:space="preserve">but </w:t>
      </w:r>
      <w:r w:rsidR="007E6C5D" w:rsidRPr="00804121">
        <w:t>the OCS/</w:t>
      </w:r>
      <w:proofErr w:type="spellStart"/>
      <w:r w:rsidR="007E6C5D" w:rsidRPr="00804121">
        <w:t>BCoS</w:t>
      </w:r>
      <w:proofErr w:type="spellEnd"/>
      <w:r w:rsidR="007E6C5D" w:rsidRPr="00804121">
        <w:t xml:space="preserve"> measures employed here are designed to provide a rapid and holistic picture of a patient’s functioning, rather than a detailed neuropsychological </w:t>
      </w:r>
      <w:r w:rsidR="00994867" w:rsidRPr="00804121">
        <w:t xml:space="preserve">language </w:t>
      </w:r>
      <w:r w:rsidR="007E6C5D" w:rsidRPr="00804121">
        <w:t xml:space="preserve">assessment. </w:t>
      </w:r>
    </w:p>
    <w:p w14:paraId="3C61B67C" w14:textId="03E87033" w:rsidR="00207A56" w:rsidRPr="00804121" w:rsidRDefault="00207A56" w:rsidP="00F035DD">
      <w:pPr>
        <w:pStyle w:val="Newparagraph"/>
      </w:pPr>
      <w:r w:rsidRPr="00804121">
        <w:t xml:space="preserve">There are </w:t>
      </w:r>
      <w:r w:rsidR="00126E8E" w:rsidRPr="00804121">
        <w:t xml:space="preserve">pressing </w:t>
      </w:r>
      <w:r w:rsidRPr="00804121">
        <w:t xml:space="preserve">outstanding questions that future research should seek to address. The first is the direction of the association between alexithymia and communication problems. While the language hypothesis of alexithymia as outlined in Hobson et al (2019) argues that language dysfunction underlies problems in emotional functioning, </w:t>
      </w:r>
      <w:r w:rsidR="00577B12" w:rsidRPr="00804121">
        <w:t>it is logically possible</w:t>
      </w:r>
      <w:r w:rsidRPr="00804121">
        <w:t xml:space="preserve"> that the relationship could go in the other </w:t>
      </w:r>
      <w:proofErr w:type="gramStart"/>
      <w:r w:rsidRPr="00804121">
        <w:t>direction, or</w:t>
      </w:r>
      <w:proofErr w:type="gramEnd"/>
      <w:r w:rsidRPr="00804121">
        <w:t xml:space="preserve"> </w:t>
      </w:r>
      <w:r w:rsidR="00577B12" w:rsidRPr="00804121">
        <w:t xml:space="preserve">be </w:t>
      </w:r>
      <w:r w:rsidRPr="00804121">
        <w:t>bi</w:t>
      </w:r>
      <w:r w:rsidR="00577B12" w:rsidRPr="00804121">
        <w:t>-</w:t>
      </w:r>
      <w:r w:rsidRPr="00804121">
        <w:t>directional</w:t>
      </w:r>
      <w:r w:rsidR="00577B12" w:rsidRPr="00804121">
        <w:t xml:space="preserve"> in nature</w:t>
      </w:r>
      <w:r w:rsidRPr="00804121">
        <w:t xml:space="preserve">. Individuals with alexithymia have reduced empathy </w:t>
      </w:r>
      <w:r w:rsidRPr="00804121">
        <w:fldChar w:fldCharType="begin" w:fldLock="1"/>
      </w:r>
      <w:r w:rsidR="0012726A" w:rsidRPr="00804121">
        <w:instrText>ADDIN CSL_CITATION { "citationItems" : [ { "id" : "ITEM-1", "itemData" : { "DOI" : "10.1016/j.paid.2010.07.013", "ISBN" : "0191-8869", "ISSN" : "01918869", "abstract" : "Alexithymia and empathy have been related but very little is known on shared variance between their respective affective and cognitive dimensions. We examined this question with correlations, as well as both exploratory and confirmatory analyses, and controlled for anxiety and depression. The responses of 645 young adults to self-report questionnaires of alexithymia (TAS-20), empathy (IRI), anxiety (STAI-T) and depression (BDI-13) were examined. We observed associations between the proposed cognitive components of alexithymia (externally-oriented thinking) and that of empathy (perspective taking, fantasy) as well as empathic concern, which were insensitive to anxiety or depression. In contrast, associations between the proposed affective components of alexithymia (difficulty identifying feelings, difficulty describing feelings) and empathy (personal distress) were largely due to shared covariance with anxiety. A model encompassing an affective and a cognitive (including empathic concern) latent factors emerged, even after controlling for dysphoric affects. These findings suggest specific associations between cognitive and affective components of both constructs that were dissimilarly affected by anxiety and depression. The allocation of empathic concern to the cognitive factor is also discussed. \u00a9 2010 Elsevier Ltd.", "author" : [ { "dropping-particle" : "", "family" : "Grynberg", "given" : "Delphine", "non-dropping-particle" : "", "parse-names" : false, "suffix" : "" }, { "dropping-particle" : "", "family" : "Luminet", "given" : "Olivier", "non-dropping-particle" : "", "parse-names" : false, "suffix" : "" }, { "dropping-particle" : "", "family" : "Corneille", "given" : "Olivier", "non-dropping-particle" : "", "parse-names" : false, "suffix" : "" }, { "dropping-particle" : "", "family" : "Gr\u00e8zes", "given" : "Julie", "non-dropping-particle" : "", "parse-names" : false, "suffix" : "" }, { "dropping-particle" : "", "family" : "Berthoz", "given" : "Sylvie", "non-dropping-particle" : "", "parse-names" : false, "suffix" : "" } ], "container-title" : "Personality and Individual Differences", "id" : "ITEM-1", "issue" : "8", "issued" : { "date-parts" : [ [ "2010" ] ] }, "page" : "845-850", "publisher" : "Elsevier Ltd", "title" : "Alexithymia in the interpersonal domain: A general deficit of empathy?", "type" : "article-journal", "volume" : "49" }, "uris" : [ "http://www.mendeley.com/documents/?uuid=ec8ff775-1f33-44bd-96d2-8c4adde24f0f" ] }, { "id" : "ITEM-2", "itemData" : { "DOI" : "10.1093/brain/awq060", "ISBN" : "1460-2156 (Electronic)\\n0006-8950 (Linking)", "ISSN" : "00068950", "PMID" : "20371509", "abstract" : "Difficulties in social cognition are well recognized in individuals with autism spectrum conditions (henceforth 'autism'). Here we focus on one crucial aspect of social cognition: the ability to empathize with the feelings of another. In contrast to theory of mind, a capacity that has often been observed to be impaired in individuals with autism, much less is known about the capacity of individuals with autism for affect sharing. Based on previous data suggesting that empathy deficits in autism are a function of interoceptive deficits related to alexithymia, we aimed to investigate empathic brain responses in autistic and control participants with high and low degrees of alexithymia. Using functional magnetic resonance imaging, we measured empathic brain responses with an 'empathy for pain' paradigm assessing empathic brain responses in a real-life social setting that does not rely on attention to, or recognition of, facial affect cues. Confirming previous findings, empathic brain responses to the suffering of others were associated with increased activation in left anterior insula and the strength of this signal was predictive of the degree of alexithymia in both autistic and control groups but did not vary as a function of group. Importantly, there was no difference in the degree of empathy between autistic and control groups after accounting for alexithymia. These findings suggest that empathy deficits observed in autism may be due to the large comorbidity between alexithymic traits and autism, rather than representing a necessary feature of the social impairments in autism.", "author" : [ { "dropping-particle" : "", "family" : "Bird", "given" : "Geoffrey", "non-dropping-particle" : "", "parse-names" : false, "suffix" : "" }, { "dropping-particle" : "", "family" : "Silani", "given" : "Giorgia", "non-dropping-particle" : "", "parse-names" : false, "suffix" : "" }, { "dropping-particle" : "", "family" : "Brindley", "given" : "Rachel", "non-dropping-particle" : "", "parse-names" : false, "suffix" : "" }, { "dropping-particle" : "", "family" : "White", "given" : "Sarah", "non-dropping-particle" : "", "parse-names" : false, "suffix" : "" }, { "dropping-particle" : "", "family" : "Frith", "given" : "Uta", "non-dropping-particle" : "", "parse-names" : false, "suffix" : "" }, { "dropping-particle" : "", "family" : "Singer", "given" : "Tania", "non-dropping-particle" : "", "parse-names" : false, "suffix" : "" } ], "container-title" : "Brain", "id" : "ITEM-2", "issue" : "5", "issued" : { "date-parts" : [ [ "2010" ] ] }, "page" : "1515-1525", "title" : "Empathic brain responses in insula are modulated by levels of alexithymia but not autism", "type" : "article-journal", "volume" : "133" }, "uris" : [ "http://www.mendeley.com/documents/?uuid=0031209a-09b8-47d6-a933-c147c5b6c5db" ] } ], "mendeley" : { "formattedCitation" : "(Bird et al., 2010; Grynberg, Luminet, Corneille, Gr\u00e8zes, &amp; Berthoz, 2010)", "plainTextFormattedCitation" : "(Bird et al., 2010; Grynberg, Luminet, Corneille, Gr\u00e8zes, &amp; Berthoz, 2010)", "previouslyFormattedCitation" : "(Bird et al., 2010; Grynberg, Luminet, Corneille, Gr\u00e8zes, &amp; Berthoz, 2010)" }, "properties" : { "noteIndex" : 0 }, "schema" : "https://github.com/citation-style-language/schema/raw/master/csl-citation.json" }</w:instrText>
      </w:r>
      <w:r w:rsidRPr="00804121">
        <w:fldChar w:fldCharType="separate"/>
      </w:r>
      <w:r w:rsidR="003D4372" w:rsidRPr="00804121">
        <w:rPr>
          <w:noProof/>
        </w:rPr>
        <w:t>(Bird et al., 2010; Grynberg, Luminet, Corneille, Grèzes, &amp; Berthoz, 2010)</w:t>
      </w:r>
      <w:r w:rsidRPr="00804121">
        <w:fldChar w:fldCharType="end"/>
      </w:r>
      <w:r w:rsidRPr="00804121">
        <w:t xml:space="preserve"> and report increased interpersonal problems </w:t>
      </w:r>
      <w:r w:rsidRPr="00804121">
        <w:fldChar w:fldCharType="begin" w:fldLock="1"/>
      </w:r>
      <w:r w:rsidR="0012726A" w:rsidRPr="00804121">
        <w:instrText>ADDIN CSL_CITATION { "citationItems" : [ { "id" : "ITEM-1", "itemData" : { "DOI" : "10.1016/j.sbspro.2010.07.153", "ISBN" : "1097-4679", "ISSN" : "18770428", "PMID" : "20143382", "abstract" : "The aim of this study was to examine the relations between alexithymia and interpersonal problems in a sample of students. A correlational analysis was performed to assess the kind of association exist among alexithymia and its three components including difficulty identifying feelings, difficulty describing feelings, and externally oriented thinking with interpersonal problems and its subscales including assertiveness, sociability, submissiveness, intimacy, responsibility, and controlling. Three hundred and fifty seven students (147 boys, 210 girls) from the University of Tehran were included in this study. All participants were asked to complete Farsi version of the Toronto Alexithymia Scale (FTAS-20) and Inventory of Interpersonal Problems (IIP). Analysis of the data involved both descriptive and inferential statistics including means, standard deviations, multivariate analysis of variance, pearson's correlation coefficients and regression analysis. Alexithymia showed a significant positive association with interpersonal problems. Results of regression analysis revealed that alexithymia and its componenets can predict the students' interpersonal problems regarding assertiveness, sociability, submissiveness, intimacy, responsibility, and controlling. It can be concluded that alexithymia is associated with interpersonal problems. Results and implications are discussed. ?? 2010 Elsevier Ltd. All rights reserved.", "author" : [ { "dropping-particle" : "", "family" : "Zarei", "given" : "Jamileh", "non-dropping-particle" : "", "parse-names" : false, "suffix" : "" }, { "dropping-particle" : "", "family" : "Besharat", "given" : "Mohammad Ali", "non-dropping-particle" : "", "parse-names" : false, "suffix" : "" } ], "container-title" : "Procedia - Social and Behavioral Sciences", "id" : "ITEM-1", "issue" : "2", "issued" : { "date-parts" : [ [ "2010" ] ] }, "page" : "619-622", "title" : "Alexithymia and interpersonal problems", "type" : "article-journal", "volume" : "5" }, "uris" : [ "http://www.mendeley.com/documents/?uuid=b362bd01-cbb1-433b-8174-80f066f2207c" ] } ], "mendeley" : { "formattedCitation" : "(Zarei &amp; Besharat, 2010)", "plainTextFormattedCitation" : "(Zarei &amp; Besharat, 2010)", "previouslyFormattedCitation" : "(Zarei &amp; Besharat, 2010)" }, "properties" : { "noteIndex" : 0 }, "schema" : "https://github.com/citation-style-language/schema/raw/master/csl-citation.json" }</w:instrText>
      </w:r>
      <w:r w:rsidRPr="00804121">
        <w:fldChar w:fldCharType="separate"/>
      </w:r>
      <w:r w:rsidRPr="00804121">
        <w:rPr>
          <w:noProof/>
        </w:rPr>
        <w:t>(Zarei &amp; Besharat, 2010)</w:t>
      </w:r>
      <w:r w:rsidRPr="00804121">
        <w:fldChar w:fldCharType="end"/>
      </w:r>
      <w:r w:rsidRPr="00804121">
        <w:t xml:space="preserve">: these problems could lead to </w:t>
      </w:r>
      <w:r w:rsidR="00EC2DE0" w:rsidRPr="00804121">
        <w:t>reduced opportunities to communicate socially</w:t>
      </w:r>
      <w:r w:rsidRPr="00804121">
        <w:t>, and thus be reflect</w:t>
      </w:r>
      <w:r w:rsidR="009731C5" w:rsidRPr="00804121">
        <w:t>ed</w:t>
      </w:r>
      <w:r w:rsidRPr="00804121">
        <w:t xml:space="preserve"> in self-reports of communicative dysfunction</w:t>
      </w:r>
      <w:r w:rsidR="009731C5" w:rsidRPr="00804121">
        <w:t xml:space="preserve"> in the SISCOM</w:t>
      </w:r>
      <w:r w:rsidRPr="00804121">
        <w:t xml:space="preserve">. </w:t>
      </w:r>
      <w:r w:rsidR="003A4ED1" w:rsidRPr="00804121">
        <w:t>This model would perhaps also explain why associations ar</w:t>
      </w:r>
      <w:r w:rsidR="00DC0BB4" w:rsidRPr="00804121">
        <w:t>o</w:t>
      </w:r>
      <w:r w:rsidR="003A4ED1" w:rsidRPr="00804121">
        <w:t xml:space="preserve">se for the SISCOM but not with </w:t>
      </w:r>
      <w:r w:rsidR="00DC0BB4" w:rsidRPr="00804121">
        <w:t xml:space="preserve">observed </w:t>
      </w:r>
      <w:r w:rsidR="003A4ED1" w:rsidRPr="00804121">
        <w:t xml:space="preserve">language </w:t>
      </w:r>
      <w:r w:rsidR="00DC0BB4" w:rsidRPr="00804121">
        <w:t>assessment outcomes</w:t>
      </w:r>
      <w:r w:rsidR="003A4ED1" w:rsidRPr="00804121">
        <w:t xml:space="preserve">. </w:t>
      </w:r>
      <w:r w:rsidRPr="00804121">
        <w:t xml:space="preserve">A more detailed self-report measure of communicative dysfunction could help to disentangle such questions in the future. </w:t>
      </w:r>
      <w:r w:rsidR="00EE4870" w:rsidRPr="00804121">
        <w:t>Although the reliability of the self-report measures was acceptable, observer report measures of alexithymia and communication problems, given by family members or those close to patients, may also provide additional insight.</w:t>
      </w:r>
    </w:p>
    <w:p w14:paraId="114968E2" w14:textId="7FC4CEC5" w:rsidR="00EC10AD" w:rsidRPr="00804121" w:rsidRDefault="006230D7" w:rsidP="00F035DD">
      <w:pPr>
        <w:pStyle w:val="Newparagraph"/>
      </w:pPr>
      <w:r w:rsidRPr="00804121">
        <w:t>A practical point for future researchers to resolve is that</w:t>
      </w:r>
      <w:r w:rsidR="00EC10AD" w:rsidRPr="00804121">
        <w:t xml:space="preserve"> it is unclear why modality of response (over the phone versus home assessment) would impact alexithymia scores. Even after including this variable in the regression, SISCOM continued to independently predict alexithymia, so this effect was not due to differences in the communication abilities of home versus phone assessed patients. Participants had the option of how they wished to return their data, and possibly those assessed over the phone were more frail: phone-assessed participants scored higher on the SISMOB than those assessed at home, more time had passed since their stroke</w:t>
      </w:r>
      <w:r w:rsidR="002109FE" w:rsidRPr="00804121">
        <w:t>, and tended to have higher anxiety symptoms</w:t>
      </w:r>
      <w:r w:rsidR="00EC10AD" w:rsidRPr="00804121">
        <w:t xml:space="preserve"> (although </w:t>
      </w:r>
      <w:r w:rsidR="002109FE" w:rsidRPr="00804121">
        <w:t xml:space="preserve">aside from anxiety, </w:t>
      </w:r>
      <w:r w:rsidR="00EC10AD" w:rsidRPr="00804121">
        <w:t xml:space="preserve">these factors were also included in the regressions and were </w:t>
      </w:r>
      <w:r w:rsidR="002109FE" w:rsidRPr="00804121">
        <w:t xml:space="preserve">not </w:t>
      </w:r>
      <w:r w:rsidR="00EC10AD" w:rsidRPr="00804121">
        <w:t xml:space="preserve">predictive of alexithymia in themselves). </w:t>
      </w:r>
    </w:p>
    <w:p w14:paraId="05B3C3A8" w14:textId="252FBA25" w:rsidR="00131528" w:rsidRPr="00804121" w:rsidRDefault="00207A56" w:rsidP="00F035DD">
      <w:pPr>
        <w:pStyle w:val="Newparagraph"/>
      </w:pPr>
      <w:r w:rsidRPr="00804121">
        <w:t xml:space="preserve">Another </w:t>
      </w:r>
      <w:r w:rsidR="007344AA" w:rsidRPr="00804121">
        <w:t>possibility</w:t>
      </w:r>
      <w:r w:rsidRPr="00804121">
        <w:t xml:space="preserve"> for future research would be to utilise the typical recovery from aphasic symptoms during the first few months post-stroke to examine whether short-term language impairments produce transient alexithymic problems. In the current study, the questionnaire measure for alexithymia was delivered at 6 months post stroke, or later, after </w:t>
      </w:r>
      <w:proofErr w:type="gramStart"/>
      <w:r w:rsidRPr="00804121">
        <w:t>the majority of</w:t>
      </w:r>
      <w:proofErr w:type="gramEnd"/>
      <w:r w:rsidRPr="00804121">
        <w:t xml:space="preserve"> recovery from aphasic symptoms would have taken place</w:t>
      </w:r>
      <w:r w:rsidR="009731C5" w:rsidRPr="00804121">
        <w:t>. T</w:t>
      </w:r>
      <w:r w:rsidR="00D91299" w:rsidRPr="00804121">
        <w:t xml:space="preserve">here was no measure available for alexithymia at the acute stage. Nonetheless, future research examining alexithymia and aphasia in stroke patients could take both acute and chronic measures of both constructs to investigate this question further. </w:t>
      </w:r>
    </w:p>
    <w:p w14:paraId="5E782982" w14:textId="515EFE2D" w:rsidR="00D5130F" w:rsidRPr="00804121" w:rsidRDefault="00D5130F" w:rsidP="00F035DD">
      <w:pPr>
        <w:pStyle w:val="Newparagraph"/>
      </w:pPr>
      <w:r w:rsidRPr="00804121">
        <w:t xml:space="preserve">Finally, if language difficulties lead to alexithymia in stroke, it would be expected that post-stroke depression </w:t>
      </w:r>
      <w:r w:rsidR="00964B1D" w:rsidRPr="00804121">
        <w:t xml:space="preserve">and anxiety </w:t>
      </w:r>
      <w:r w:rsidRPr="00804121">
        <w:t>would also pattern, at least partially, with aphasia. There is some support for the idea that depression after stroke is increased in aphasic cases</w:t>
      </w:r>
      <w:r w:rsidR="00631FAE" w:rsidRPr="00804121">
        <w:t xml:space="preserve"> </w:t>
      </w:r>
      <w:r w:rsidR="00631FAE" w:rsidRPr="00804121">
        <w:fldChar w:fldCharType="begin" w:fldLock="1"/>
      </w:r>
      <w:r w:rsidR="0012726A" w:rsidRPr="00804121">
        <w:instrText>ADDIN CSL_CITATION { "citationItems" : [ { "id" : "ITEM-1", "itemData" : { "DOI" : "10.1212/01.wnl.0000150935.05940.2d", "ISSN" : "0028-3878", "author" : [ { "dropping-particle" : "", "family" : "Carota", "given" : "A.", "non-dropping-particle" : "", "parse-names" : false, "suffix" : "" }, { "dropping-particle" : "", "family" : "Bogousslavsky", "given" : "J.", "non-dropping-particle" : "", "parse-names" : false, "suffix" : "" }, { "dropping-particle" : "", "family" : "Annable", "given" : "L.", "non-dropping-particle" : "", "parse-names" : false, "suffix" : "" }, { "dropping-particle" : "", "family" : "Aybek", "given" : "S.", "non-dropping-particle" : "", "parse-names" : false, "suffix" : "" }, { "dropping-particle" : "", "family" : "Guex", "given" : "P.", "non-dropping-particle" : "", "parse-names" : false, "suffix" : "" }, { "dropping-particle" : "", "family" : "Iaria", "given" : "G.", "non-dropping-particle" : "", "parse-names" : false, "suffix" : "" }, { "dropping-particle" : "", "family" : "Ghika-Schmid", "given" : "F.", "non-dropping-particle" : "", "parse-names" : false, "suffix" : "" }, { "dropping-particle" : "", "family" : "Berney", "given" : "A.", "non-dropping-particle" : "", "parse-names" : false, "suffix" : "" }, { "dropping-particle" : "", "family" : "Staub", "given" : "F.", "non-dropping-particle" : "", "parse-names" : false, "suffix" : "" } ], "container-title" : "Neurology", "id" : "ITEM-1", "issue" : "3", "issued" : { "date-parts" : [ [ "2011" ] ] }, "page" : "428-433", "title" : "A prospective study of predictors of poststroke depression", "type" : "article-journal", "volume" : "64" }, "uris" : [ "http://www.mendeley.com/documents/?uuid=804f8b26-6d11-4cf5-9217-8e5a68f2c123" ] }, { "id" : "ITEM-2", "itemData" : { "DOI" : "10.1016/S0022-3999(98)00053-1", "ISBN" : "0022-3999", "ISSN" : "00223999", "PMID" : "10088984", "abstract" : "\u2014The prevalence of alexithymia and its association with sociodemographic variables were stud- ied in a sample of 1285 subjects representing the general population of Finland. Alexithymia was mea- sured with the 20-item Toronto Alexithymia Scale (TAS-20). Alexithymia was normally distributed in the population in both genders, confirming that it is a personality dimension. The prevalence of alexi- thymia was 13%. Men were alexithymic almost twice (17%) as often as women (10%). Multivariate anal- ysis showed that alexithymia was associated with male gender, advanced age, low educational level, and low socioeconomic status. As to the three factors of the TAS-20, men scored higher in factors 2 (difficulty in describing feelings) and 3 (externally oriented thinking), but there was no gender difference in factor 1 (difficulty in identifying feelings). Comparative population studies in other countries are needed to find out whether there are any differences in the prevalence of alexithymia between cultures. \u00a9 1998 Else- vier Science Inc. Keywords:", "author" : [ { "dropping-particle" : "", "family" : "Salminen", "given" : "Jouko K.", "non-dropping-particle" : "", "parse-names" : false, "suffix" : "" }, { "dropping-particle" : "", "family" : "Saarij\u00e4rvi", "given" : "Simo", "non-dropping-particle" : "", "parse-names" : false, "suffix" : "" }, { "dropping-particle" : "", "family" : "\u00c4\u00e4rel\u00e4", "given" : "Erkki", "non-dropping-particle" : "", "parse-names" : false, "suffix" : "" }, { "dropping-particle" : "", "family" : "Toikka", "given" : "Tuula", "non-dropping-particle" : "", "parse-names" : false, "suffix" : "" }, { "dropping-particle" : "", "family" : "Kauhanen", "given" : "Jussi", "non-dropping-particle" : "", "parse-names" : false, "suffix" : "" } ], "container-title" : "Journal of Psychsomatic Research", "id" : "ITEM-2", "issue" : "1", "issued" : { "date-parts" : [ [ "1999" ] ] }, "page" : "75-82", "title" : "Prevalence of alexithymia and its assocation with sociodemographic variables in the general population of Finland", "type" : "article-journal", "volume" : "46" }, "uris" : [ "http://www.mendeley.com/documents/?uuid=cf6924b6-6cea-49d9-8094-73c0ff6a1d97" ] } ], "mendeley" : { "formattedCitation" : "(Carota et al., 2011; Salminen, Saarij\u00e4rvi, \u00c4\u00e4rel\u00e4, Toikka, &amp; Kauhanen, 1999)", "plainTextFormattedCitation" : "(Carota et al., 2011; Salminen, Saarij\u00e4rvi, \u00c4\u00e4rel\u00e4, Toikka, &amp; Kauhanen, 1999)", "previouslyFormattedCitation" : "(Carota et al., 2011; Salminen, Saarij\u00e4rvi, \u00c4\u00e4rel\u00e4, Toikka, &amp; Kauhanen, 1999)" }, "properties" : { "noteIndex" : 0 }, "schema" : "https://github.com/citation-style-language/schema/raw/master/csl-citation.json" }</w:instrText>
      </w:r>
      <w:r w:rsidR="00631FAE" w:rsidRPr="00804121">
        <w:fldChar w:fldCharType="separate"/>
      </w:r>
      <w:r w:rsidR="00631FAE" w:rsidRPr="00804121">
        <w:rPr>
          <w:noProof/>
        </w:rPr>
        <w:t>(Carota et al., 2011; Salminen, Saarijärvi, Äärelä, Toikka, &amp; Kauhanen, 1999)</w:t>
      </w:r>
      <w:r w:rsidR="00631FAE" w:rsidRPr="00804121">
        <w:fldChar w:fldCharType="end"/>
      </w:r>
      <w:r w:rsidRPr="00804121">
        <w:t>,</w:t>
      </w:r>
      <w:r w:rsidR="00964B1D" w:rsidRPr="00804121">
        <w:t xml:space="preserve"> and that post-stroke anxiety is associated with left hemisphere damage </w:t>
      </w:r>
      <w:r w:rsidR="00964B1D" w:rsidRPr="00804121">
        <w:fldChar w:fldCharType="begin" w:fldLock="1"/>
      </w:r>
      <w:r w:rsidR="0012726A" w:rsidRPr="00804121">
        <w:instrText>ADDIN CSL_CITATION { "citationItems" : [ { "id" : "ITEM-1", "itemData" : { "DOI" : "10.1016/j.acn.2007.03.002", "ISSN" : "08876177", "abstract" : "This study examined prevalence of depression and anxiety as well as the relationships of age, gender, hemisphere of lesion, functional independence, and cognitive functioning (i.e., memory, attention/impulsivity, cognitive speed) to depression and anxiety at 3 months post stroke in 73 individuals. Prevalence of moderate to severe depression and anxiety in the sample were high (22.8 and 21.1%, respectively), with co-morbidity in 12.3% of cases. In regression analysis, 74.6% of variance in depression was explained, with significant relationships between increased depression and younger age, reduced cognitive speed, poorer verbal memory, left hemisphere lesion, and increased impact of interference (Stroop ratio). Left hemisphere of lesion also contributed to prediction of anxiety, as did cognitive speed, explaining 50.7% of the variance. The findings suggest that individuals with left hemisphere lesions may be particularly at risk of developing depression and anxiety after stroke, with younger individuals also at heightened risk of depression. While age and hemisphere of lesion contributed, cognitive performance explained the greatest proportion of variance in both depression and anxiety (51.3 and 38.5%, respectively). The findings suggest that cognition and mood are linked over and above physical independence and that both should be addressed as part of the rehabilitative process. \u00a9 2007 National Academy of Neuropsychology.", "author" : [ { "dropping-particle" : "", "family" : "Barker-Collo", "given" : "Suzanne L.", "non-dropping-particle" : "", "parse-names" : false, "suffix" : "" } ], "container-title" : "Archives of Clinical Neuropsychology", "id" : "ITEM-1", "issue" : "4", "issued" : { "date-parts" : [ [ "2007" ] ] }, "page" : "519-531", "title" : "Depression and anxiety 3 months post stroke: Prevalence and correlates", "type" : "article-journal", "volume" : "22" }, "uris" : [ "http://www.mendeley.com/documents/?uuid=e9647ee7-a31b-428a-b802-c4165e4cab4b" ] } ], "mendeley" : { "formattedCitation" : "(Barker-Collo, 2007)", "plainTextFormattedCitation" : "(Barker-Collo, 2007)", "previouslyFormattedCitation" : "(Barker-Collo, 2007)" }, "properties" : { "noteIndex" : 0 }, "schema" : "https://github.com/citation-style-language/schema/raw/master/csl-citation.json" }</w:instrText>
      </w:r>
      <w:r w:rsidR="00964B1D" w:rsidRPr="00804121">
        <w:fldChar w:fldCharType="separate"/>
      </w:r>
      <w:r w:rsidR="00964B1D" w:rsidRPr="00804121">
        <w:rPr>
          <w:noProof/>
        </w:rPr>
        <w:t>(Barker-Collo, 2007)</w:t>
      </w:r>
      <w:r w:rsidR="00964B1D" w:rsidRPr="00804121">
        <w:fldChar w:fldCharType="end"/>
      </w:r>
      <w:r w:rsidRPr="00804121">
        <w:t xml:space="preserve"> although such an association could reasonably be due to associations between depression</w:t>
      </w:r>
      <w:r w:rsidR="00964B1D" w:rsidRPr="00804121">
        <w:t xml:space="preserve"> or anxiety</w:t>
      </w:r>
      <w:r w:rsidRPr="00804121">
        <w:t xml:space="preserve"> and </w:t>
      </w:r>
      <w:r w:rsidR="00964B1D" w:rsidRPr="00804121">
        <w:t xml:space="preserve">the </w:t>
      </w:r>
      <w:r w:rsidRPr="00804121">
        <w:t xml:space="preserve">severity of general disability following stroke, rather than a specific role of language in emotional functioning per se. </w:t>
      </w:r>
      <w:r w:rsidR="002F442F" w:rsidRPr="00804121">
        <w:t xml:space="preserve">In the present sample, the language impaired group did report higher anxiety and depression symptoms. </w:t>
      </w:r>
    </w:p>
    <w:p w14:paraId="5772DBCA" w14:textId="5E381734" w:rsidR="00C0578A" w:rsidRPr="00804121" w:rsidRDefault="000C5732" w:rsidP="00F035DD">
      <w:pPr>
        <w:pStyle w:val="Newparagraph"/>
      </w:pPr>
      <w:r w:rsidRPr="00804121">
        <w:t>To conclude, t</w:t>
      </w:r>
      <w:r w:rsidR="00C0578A" w:rsidRPr="00804121">
        <w:t xml:space="preserve">he present study found associations between self-reported communication impairment and alexithymia. Behavioural language impairments were not associated with alexithymia, and patients with left versus right hemisphere damage did not differ in their alexithymia. These results may indicate an association with pragmatic or more subtle communication impairments and </w:t>
      </w:r>
      <w:proofErr w:type="gramStart"/>
      <w:r w:rsidR="00C0578A" w:rsidRPr="00804121">
        <w:t>alexithymia, or</w:t>
      </w:r>
      <w:proofErr w:type="gramEnd"/>
      <w:r w:rsidR="00C0578A" w:rsidRPr="00804121">
        <w:t xml:space="preserve"> could reflect </w:t>
      </w:r>
      <w:r w:rsidR="00FB4D72" w:rsidRPr="00804121">
        <w:t>a</w:t>
      </w:r>
      <w:r w:rsidR="00C0578A" w:rsidRPr="00804121">
        <w:t xml:space="preserve"> relationship between communication problems and alexithymia in which alexithymia-related interpersonal problems underlie communicative breakdown, and feelings of communicative incompetence. </w:t>
      </w:r>
    </w:p>
    <w:p w14:paraId="02E6E674" w14:textId="3A646E2A" w:rsidR="003E5510" w:rsidRPr="00804121" w:rsidRDefault="000C5732" w:rsidP="00F035DD">
      <w:pPr>
        <w:pStyle w:val="Heading1"/>
      </w:pPr>
      <w:r w:rsidRPr="00804121">
        <w:t>Acknowledgements</w:t>
      </w:r>
    </w:p>
    <w:p w14:paraId="666D2715" w14:textId="426A78C8" w:rsidR="005154B2" w:rsidRPr="00804121" w:rsidRDefault="003E5510" w:rsidP="00F035DD">
      <w:pPr>
        <w:pStyle w:val="Acknowledgements"/>
      </w:pPr>
      <w:r w:rsidRPr="00804121">
        <w:t>The authors have no conflicts of interest to declare.</w:t>
      </w:r>
      <w:r w:rsidR="000B0269" w:rsidRPr="00804121">
        <w:t xml:space="preserve"> </w:t>
      </w:r>
      <w:r w:rsidR="005154B2" w:rsidRPr="00804121">
        <w:t>This study was supported by the Stroke Association UK (TSA LECT 2015/02) and the National Institute for Health Research (NIHR) Oxford Biomedical Research Centre (BRC). The views expressed are those of the authors and not necessarily those of the NHS, the NIHR or the Department of Health.</w:t>
      </w:r>
    </w:p>
    <w:p w14:paraId="18A610A8" w14:textId="54BF11DB" w:rsidR="003A4ED1" w:rsidRPr="00804121" w:rsidRDefault="003A4ED1" w:rsidP="00F035DD">
      <w:pPr>
        <w:pStyle w:val="Heading1"/>
      </w:pPr>
      <w:r w:rsidRPr="00804121">
        <w:t>References</w:t>
      </w:r>
    </w:p>
    <w:p w14:paraId="7C4E1DE5" w14:textId="283F7650" w:rsidR="0012726A" w:rsidRPr="00804121" w:rsidRDefault="003A4ED1" w:rsidP="0012726A">
      <w:pPr>
        <w:widowControl w:val="0"/>
        <w:autoSpaceDE w:val="0"/>
        <w:autoSpaceDN w:val="0"/>
        <w:adjustRightInd w:val="0"/>
        <w:spacing w:before="120" w:line="360" w:lineRule="auto"/>
        <w:ind w:left="480" w:hanging="480"/>
        <w:rPr>
          <w:noProof/>
        </w:rPr>
      </w:pPr>
      <w:r w:rsidRPr="00804121">
        <w:rPr>
          <w:b/>
        </w:rPr>
        <w:fldChar w:fldCharType="begin" w:fldLock="1"/>
      </w:r>
      <w:r w:rsidRPr="00804121">
        <w:rPr>
          <w:b/>
        </w:rPr>
        <w:instrText xml:space="preserve">ADDIN Mendeley Bibliography CSL_BIBLIOGRAPHY </w:instrText>
      </w:r>
      <w:r w:rsidRPr="00804121">
        <w:rPr>
          <w:b/>
        </w:rPr>
        <w:fldChar w:fldCharType="separate"/>
      </w:r>
      <w:r w:rsidR="0012726A" w:rsidRPr="00804121">
        <w:rPr>
          <w:noProof/>
        </w:rPr>
        <w:t xml:space="preserve">Ayis, S. A., Ayerbe, L., Ashworth, M., &amp; Wolfe, C. DA. (2018). Evaluation of the Hospital Anxiety and Depression Scale (HADS) in screening stroke patients for symptoms: Item Response Theory (IRT) analysis. </w:t>
      </w:r>
      <w:r w:rsidR="0012726A" w:rsidRPr="00804121">
        <w:rPr>
          <w:i/>
          <w:iCs/>
          <w:noProof/>
        </w:rPr>
        <w:t>Journal of Affective Disorders</w:t>
      </w:r>
      <w:r w:rsidR="0012726A" w:rsidRPr="00804121">
        <w:rPr>
          <w:noProof/>
        </w:rPr>
        <w:t xml:space="preserve">, </w:t>
      </w:r>
      <w:r w:rsidR="0012726A" w:rsidRPr="00804121">
        <w:rPr>
          <w:i/>
          <w:iCs/>
          <w:noProof/>
        </w:rPr>
        <w:t>228</w:t>
      </w:r>
      <w:r w:rsidR="0012726A" w:rsidRPr="00804121">
        <w:rPr>
          <w:noProof/>
        </w:rPr>
        <w:t>(June 2017), 33–40. http://doi.org/10.1016/j.jad.2017.11.037</w:t>
      </w:r>
    </w:p>
    <w:p w14:paraId="5BDDC4F6"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Barker-Collo, S. L. (2007). Depression and anxiety 3 months post stroke: Prevalence and correlates. </w:t>
      </w:r>
      <w:r w:rsidRPr="00804121">
        <w:rPr>
          <w:i/>
          <w:iCs/>
          <w:noProof/>
        </w:rPr>
        <w:t>Archives of Clinical Neuropsychology</w:t>
      </w:r>
      <w:r w:rsidRPr="00804121">
        <w:rPr>
          <w:noProof/>
        </w:rPr>
        <w:t xml:space="preserve">, </w:t>
      </w:r>
      <w:r w:rsidRPr="00804121">
        <w:rPr>
          <w:i/>
          <w:iCs/>
          <w:noProof/>
        </w:rPr>
        <w:t>22</w:t>
      </w:r>
      <w:r w:rsidRPr="00804121">
        <w:rPr>
          <w:noProof/>
        </w:rPr>
        <w:t>(4), 519–531. http://doi.org/10.1016/j.acn.2007.03.002</w:t>
      </w:r>
    </w:p>
    <w:p w14:paraId="65DA0B6C"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Bird, G., Silani, G., Brindley, R., White, S., Frith, U., &amp; Singer, T. (2010). Empathic brain responses in insula are modulated by levels of alexithymia but not autism. </w:t>
      </w:r>
      <w:r w:rsidRPr="00804121">
        <w:rPr>
          <w:i/>
          <w:iCs/>
          <w:noProof/>
        </w:rPr>
        <w:t>Brain</w:t>
      </w:r>
      <w:r w:rsidRPr="00804121">
        <w:rPr>
          <w:noProof/>
        </w:rPr>
        <w:t xml:space="preserve">, </w:t>
      </w:r>
      <w:r w:rsidRPr="00804121">
        <w:rPr>
          <w:i/>
          <w:iCs/>
          <w:noProof/>
        </w:rPr>
        <w:t>133</w:t>
      </w:r>
      <w:r w:rsidRPr="00804121">
        <w:rPr>
          <w:noProof/>
        </w:rPr>
        <w:t>(5), 1515–1525. http://doi.org/10.1093/brain/awq060</w:t>
      </w:r>
    </w:p>
    <w:p w14:paraId="78F52A50"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Bishop, D. V. M. (2010). Overlaps between autism and language impairment: phenomimicry or shared etiology? </w:t>
      </w:r>
      <w:r w:rsidRPr="00804121">
        <w:rPr>
          <w:i/>
          <w:iCs/>
          <w:noProof/>
        </w:rPr>
        <w:t>Behavior Genetics</w:t>
      </w:r>
      <w:r w:rsidRPr="00804121">
        <w:rPr>
          <w:noProof/>
        </w:rPr>
        <w:t xml:space="preserve">, </w:t>
      </w:r>
      <w:r w:rsidRPr="00804121">
        <w:rPr>
          <w:i/>
          <w:iCs/>
          <w:noProof/>
        </w:rPr>
        <w:t>40</w:t>
      </w:r>
      <w:r w:rsidRPr="00804121">
        <w:rPr>
          <w:noProof/>
        </w:rPr>
        <w:t>(5), 618–29. http://doi.org/10.1007/s10519-010-9381-x</w:t>
      </w:r>
    </w:p>
    <w:p w14:paraId="70653778"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Bishop, D. V. M., Nation, K., &amp; Patterson, K. (2014). When words fail us: Insights into language processing from developmental and acquired disorders. </w:t>
      </w:r>
      <w:r w:rsidRPr="00804121">
        <w:rPr>
          <w:i/>
          <w:iCs/>
          <w:noProof/>
        </w:rPr>
        <w:t>Philosophical Transactions of the Royal Society B: Biological Sciences</w:t>
      </w:r>
      <w:r w:rsidRPr="00804121">
        <w:rPr>
          <w:noProof/>
        </w:rPr>
        <w:t xml:space="preserve">, </w:t>
      </w:r>
      <w:r w:rsidRPr="00804121">
        <w:rPr>
          <w:i/>
          <w:iCs/>
          <w:noProof/>
        </w:rPr>
        <w:t>369</w:t>
      </w:r>
      <w:r w:rsidRPr="00804121">
        <w:rPr>
          <w:noProof/>
        </w:rPr>
        <w:t>(1634). http://doi.org/10.1098/rstb.2012.0403</w:t>
      </w:r>
    </w:p>
    <w:p w14:paraId="760DF2E6"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Borod, J. C., Bloom, R. L., Brickman, A. M., Nakhutina, L., Curko, E. A., Borod, J. C., … Curko, E. A. (2010). Emotional Processing Deficits in Individuals With Unilateral Brain Damage With Unilateral Brain Damage, </w:t>
      </w:r>
      <w:r w:rsidRPr="00804121">
        <w:rPr>
          <w:i/>
          <w:iCs/>
          <w:noProof/>
        </w:rPr>
        <w:t>4282</w:t>
      </w:r>
      <w:r w:rsidRPr="00804121">
        <w:rPr>
          <w:noProof/>
        </w:rPr>
        <w:t>. http://doi.org/10.1207/S15324826AN0901</w:t>
      </w:r>
    </w:p>
    <w:p w14:paraId="102C4896"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Brewer, R., Cook, R., &amp; Bird, G. (2016). Alexithymia: A general deficit of interoception. </w:t>
      </w:r>
      <w:r w:rsidRPr="00804121">
        <w:rPr>
          <w:i/>
          <w:iCs/>
          <w:noProof/>
        </w:rPr>
        <w:t>Royal Society Open Science</w:t>
      </w:r>
      <w:r w:rsidRPr="00804121">
        <w:rPr>
          <w:noProof/>
        </w:rPr>
        <w:t xml:space="preserve">, </w:t>
      </w:r>
      <w:r w:rsidRPr="00804121">
        <w:rPr>
          <w:i/>
          <w:iCs/>
          <w:noProof/>
        </w:rPr>
        <w:t>3</w:t>
      </w:r>
      <w:r w:rsidRPr="00804121">
        <w:rPr>
          <w:noProof/>
        </w:rPr>
        <w:t>(150664).</w:t>
      </w:r>
    </w:p>
    <w:p w14:paraId="0DE94CAE"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Carota, A., Bogousslavsky, J., Annable, L., Aybek, S., Guex, P., Iaria, G., … Staub, F. (2011). A prospective study of predictors of poststroke depression. </w:t>
      </w:r>
      <w:r w:rsidRPr="00804121">
        <w:rPr>
          <w:i/>
          <w:iCs/>
          <w:noProof/>
        </w:rPr>
        <w:t>Neurology</w:t>
      </w:r>
      <w:r w:rsidRPr="00804121">
        <w:rPr>
          <w:noProof/>
        </w:rPr>
        <w:t xml:space="preserve">, </w:t>
      </w:r>
      <w:r w:rsidRPr="00804121">
        <w:rPr>
          <w:i/>
          <w:iCs/>
          <w:noProof/>
        </w:rPr>
        <w:t>64</w:t>
      </w:r>
      <w:r w:rsidRPr="00804121">
        <w:rPr>
          <w:noProof/>
        </w:rPr>
        <w:t>(3), 428–433. http://doi.org/10.1212/01.wnl.0000150935.05940.2d</w:t>
      </w:r>
    </w:p>
    <w:p w14:paraId="4A2F6CCD"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Carson, A. J., MacHale, S., Allen, K., Lawrie, S. M., Dennis, M., House, A., … Summary. (2000). Depression after stroke and lesion location: a systematic review. </w:t>
      </w:r>
      <w:r w:rsidRPr="00804121">
        <w:rPr>
          <w:i/>
          <w:iCs/>
          <w:noProof/>
        </w:rPr>
        <w:t>The Lancet</w:t>
      </w:r>
      <w:r w:rsidRPr="00804121">
        <w:rPr>
          <w:noProof/>
        </w:rPr>
        <w:t xml:space="preserve">, </w:t>
      </w:r>
      <w:r w:rsidRPr="00804121">
        <w:rPr>
          <w:i/>
          <w:iCs/>
          <w:noProof/>
        </w:rPr>
        <w:t>356</w:t>
      </w:r>
      <w:r w:rsidRPr="00804121">
        <w:rPr>
          <w:noProof/>
        </w:rPr>
        <w:t>, 122–126. http://doi.org/10.1016/j.jad.2011.06.014</w:t>
      </w:r>
    </w:p>
    <w:p w14:paraId="186DDA27"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Demeurisse, G., Demol, O., Derouck, M., De Beuckelaer, R., Coekaerts, M. J., &amp; Capon, A. (1980). Quantitative study of the rate of recovery from aphasia due to ischemic stroke. </w:t>
      </w:r>
      <w:r w:rsidRPr="00804121">
        <w:rPr>
          <w:i/>
          <w:iCs/>
          <w:noProof/>
        </w:rPr>
        <w:t>Stroke</w:t>
      </w:r>
      <w:r w:rsidRPr="00804121">
        <w:rPr>
          <w:noProof/>
        </w:rPr>
        <w:t xml:space="preserve">, </w:t>
      </w:r>
      <w:r w:rsidRPr="00804121">
        <w:rPr>
          <w:i/>
          <w:iCs/>
          <w:noProof/>
        </w:rPr>
        <w:t>11</w:t>
      </w:r>
      <w:r w:rsidRPr="00804121">
        <w:rPr>
          <w:noProof/>
        </w:rPr>
        <w:t>(5), 455–458. http://doi.org/10.1161/01.STR.11.5.455</w:t>
      </w:r>
    </w:p>
    <w:p w14:paraId="4956D04D"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Demeyere, N., Riddoch, M. J., Slavkova, E. D., Bickerton, W. L., &amp; Humphreys, G. W. (2015). The Oxford Cognitive Screen (OCS): Validation of a stroke-specific short cognitive screening tool. </w:t>
      </w:r>
      <w:r w:rsidRPr="00804121">
        <w:rPr>
          <w:i/>
          <w:iCs/>
          <w:noProof/>
        </w:rPr>
        <w:t>Psychological Assessment</w:t>
      </w:r>
      <w:r w:rsidRPr="00804121">
        <w:rPr>
          <w:noProof/>
        </w:rPr>
        <w:t xml:space="preserve">, </w:t>
      </w:r>
      <w:r w:rsidRPr="00804121">
        <w:rPr>
          <w:i/>
          <w:iCs/>
          <w:noProof/>
        </w:rPr>
        <w:t>27</w:t>
      </w:r>
      <w:r w:rsidRPr="00804121">
        <w:rPr>
          <w:noProof/>
        </w:rPr>
        <w:t>(3), 883–894. http://doi.org/10.1037/pas0000082</w:t>
      </w:r>
    </w:p>
    <w:p w14:paraId="2281F46A"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Demeyere, N., Riddoch, M. J., Slavkova, E. D., Jones, K., Reckless, I., Mathieson, P., &amp; Humphreys, G. W. (2016). Domain-specific versus generalized cognitive screening in acute stroke. </w:t>
      </w:r>
      <w:r w:rsidRPr="00804121">
        <w:rPr>
          <w:i/>
          <w:iCs/>
          <w:noProof/>
        </w:rPr>
        <w:t>Journal of Neurology</w:t>
      </w:r>
      <w:r w:rsidRPr="00804121">
        <w:rPr>
          <w:noProof/>
        </w:rPr>
        <w:t xml:space="preserve">, </w:t>
      </w:r>
      <w:r w:rsidRPr="00804121">
        <w:rPr>
          <w:i/>
          <w:iCs/>
          <w:noProof/>
        </w:rPr>
        <w:t>263</w:t>
      </w:r>
      <w:r w:rsidRPr="00804121">
        <w:rPr>
          <w:noProof/>
        </w:rPr>
        <w:t>(2), 306–315. http://doi.org/10.1007/s00415-015-7964-4</w:t>
      </w:r>
    </w:p>
    <w:p w14:paraId="6E8A4332"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Duncan, P. W., Bode, R. K., Min Lai, S., &amp; Perera, S. (2003). Rasch analysis of a new stroke-specific outcome scale: the stroke impact scale. </w:t>
      </w:r>
      <w:r w:rsidRPr="00804121">
        <w:rPr>
          <w:i/>
          <w:iCs/>
          <w:noProof/>
        </w:rPr>
        <w:t>Archives of Physical Medicine and Rehabilitation</w:t>
      </w:r>
      <w:r w:rsidRPr="00804121">
        <w:rPr>
          <w:noProof/>
        </w:rPr>
        <w:t xml:space="preserve">, </w:t>
      </w:r>
      <w:r w:rsidRPr="00804121">
        <w:rPr>
          <w:i/>
          <w:iCs/>
          <w:noProof/>
        </w:rPr>
        <w:t>84</w:t>
      </w:r>
      <w:r w:rsidRPr="00804121">
        <w:rPr>
          <w:noProof/>
        </w:rPr>
        <w:t>(7), 950–963. http://doi.org/10.1016/s0003-9993(03)00035-2</w:t>
      </w:r>
    </w:p>
    <w:p w14:paraId="4940DA50" w14:textId="578459A4"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Eizaguirre, A. E., de Cabezon, A. O. S., de Alda, I. O., Olariaga, L. J., &amp; Juaniz, M. (2004). Alexithymia and its relationship with anxiety and depression in eating disorders. </w:t>
      </w:r>
      <w:r w:rsidRPr="00804121">
        <w:rPr>
          <w:i/>
          <w:iCs/>
          <w:noProof/>
        </w:rPr>
        <w:t>Personality and Individual Differences</w:t>
      </w:r>
      <w:r w:rsidRPr="00804121">
        <w:rPr>
          <w:noProof/>
        </w:rPr>
        <w:t xml:space="preserve">, </w:t>
      </w:r>
      <w:r w:rsidRPr="00804121">
        <w:rPr>
          <w:i/>
          <w:iCs/>
          <w:noProof/>
        </w:rPr>
        <w:t>36</w:t>
      </w:r>
      <w:r w:rsidRPr="00804121">
        <w:rPr>
          <w:noProof/>
        </w:rPr>
        <w:t>, 321–331.</w:t>
      </w:r>
    </w:p>
    <w:p w14:paraId="1BA30309" w14:textId="77777777" w:rsidR="00972963" w:rsidRPr="00804121" w:rsidRDefault="00972963" w:rsidP="00972963">
      <w:pPr>
        <w:spacing w:before="100" w:beforeAutospacing="1" w:after="100" w:afterAutospacing="1" w:line="360" w:lineRule="auto"/>
        <w:ind w:left="480" w:hanging="480"/>
      </w:pPr>
      <w:r w:rsidRPr="00804121">
        <w:t xml:space="preserve">Engelter, S. T., Gostynski, M., Papa, S., Frei, M., Born, C., Ajdacic-Gross, V., … Lyrer, P. A. (2006). Epidemiology of aphasia attributable to first ischemic stroke: Incidence, severity, fluency, etiology, and thrombolysis. </w:t>
      </w:r>
      <w:r w:rsidRPr="00804121">
        <w:rPr>
          <w:i/>
          <w:iCs/>
        </w:rPr>
        <w:t>Stroke</w:t>
      </w:r>
      <w:r w:rsidRPr="00804121">
        <w:t xml:space="preserve">, </w:t>
      </w:r>
      <w:r w:rsidRPr="00804121">
        <w:rPr>
          <w:i/>
          <w:iCs/>
        </w:rPr>
        <w:t>37</w:t>
      </w:r>
      <w:r w:rsidRPr="00804121">
        <w:t>(6), 1379–1384. http://doi.org/10.1161/01.STR.0000221815.64093.8c</w:t>
      </w:r>
    </w:p>
    <w:p w14:paraId="5804005C"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Franz, M., Popp, K., Schaefer, R., Sitte, W., Schneider, C., Hardt, J., … Braehler, E. (2008). Alexithymia in the German general population. </w:t>
      </w:r>
      <w:r w:rsidRPr="00804121">
        <w:rPr>
          <w:i/>
          <w:iCs/>
          <w:noProof/>
        </w:rPr>
        <w:t>Social Psychiatry and Psychiatric Epidemiology</w:t>
      </w:r>
      <w:r w:rsidRPr="00804121">
        <w:rPr>
          <w:noProof/>
        </w:rPr>
        <w:t xml:space="preserve">, </w:t>
      </w:r>
      <w:r w:rsidRPr="00804121">
        <w:rPr>
          <w:i/>
          <w:iCs/>
          <w:noProof/>
        </w:rPr>
        <w:t>43</w:t>
      </w:r>
      <w:r w:rsidRPr="00804121">
        <w:rPr>
          <w:noProof/>
        </w:rPr>
        <w:t>(1), 54–62. http://doi.org/10.1007/s00127-007-0265-1</w:t>
      </w:r>
    </w:p>
    <w:p w14:paraId="2C8EA656"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Fusar-Poli, P., Placentino, A., Carletti, F., Allen, P., Landi, P., Abbamonte, M., … Politi, P. L. (2009). Laterality effect on emotional faces processing: ALE meta-analysis of evidence. </w:t>
      </w:r>
      <w:r w:rsidRPr="00804121">
        <w:rPr>
          <w:i/>
          <w:iCs/>
          <w:noProof/>
        </w:rPr>
        <w:t>Neuroscience Letters</w:t>
      </w:r>
      <w:r w:rsidRPr="00804121">
        <w:rPr>
          <w:noProof/>
        </w:rPr>
        <w:t xml:space="preserve">, </w:t>
      </w:r>
      <w:r w:rsidRPr="00804121">
        <w:rPr>
          <w:i/>
          <w:iCs/>
          <w:noProof/>
        </w:rPr>
        <w:t>452</w:t>
      </w:r>
      <w:r w:rsidRPr="00804121">
        <w:rPr>
          <w:noProof/>
        </w:rPr>
        <w:t>(3), 262–267. http://doi.org/10.1016/j.neulet.2009.01.065</w:t>
      </w:r>
    </w:p>
    <w:p w14:paraId="778FEDB5"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Grynberg, D., Luminet, O., Corneille, O., Grèzes, J., &amp; Berthoz, S. (2010). Alexithymia in the interpersonal domain: A general deficit of empathy? </w:t>
      </w:r>
      <w:r w:rsidRPr="00804121">
        <w:rPr>
          <w:i/>
          <w:iCs/>
          <w:noProof/>
        </w:rPr>
        <w:t>Personality and Individual Differences</w:t>
      </w:r>
      <w:r w:rsidRPr="00804121">
        <w:rPr>
          <w:noProof/>
        </w:rPr>
        <w:t xml:space="preserve">, </w:t>
      </w:r>
      <w:r w:rsidRPr="00804121">
        <w:rPr>
          <w:i/>
          <w:iCs/>
          <w:noProof/>
        </w:rPr>
        <w:t>49</w:t>
      </w:r>
      <w:r w:rsidRPr="00804121">
        <w:rPr>
          <w:noProof/>
        </w:rPr>
        <w:t>(8), 845–850. http://doi.org/10.1016/j.paid.2010.07.013</w:t>
      </w:r>
    </w:p>
    <w:p w14:paraId="5FF49C5F"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Henry, J. D., Phillips, L. H., Crawford, J. R., Theodorou, G., &amp; Summers, F. (2006). Cognitive and psychosocial correlates of alexithymia following traumatic brain injury. </w:t>
      </w:r>
      <w:r w:rsidRPr="00804121">
        <w:rPr>
          <w:i/>
          <w:iCs/>
          <w:noProof/>
        </w:rPr>
        <w:t>Neuropsychologia</w:t>
      </w:r>
      <w:r w:rsidRPr="00804121">
        <w:rPr>
          <w:noProof/>
        </w:rPr>
        <w:t xml:space="preserve">, </w:t>
      </w:r>
      <w:r w:rsidRPr="00804121">
        <w:rPr>
          <w:i/>
          <w:iCs/>
          <w:noProof/>
        </w:rPr>
        <w:t>44</w:t>
      </w:r>
      <w:r w:rsidRPr="00804121">
        <w:rPr>
          <w:noProof/>
        </w:rPr>
        <w:t>(1), 62–72. http://doi.org/10.1016/j.neuropsychologia.2005.04.011</w:t>
      </w:r>
    </w:p>
    <w:p w14:paraId="461FCB44"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Hill, E., Berthoz, S., &amp; Frith, U. (2004). Brief report: Cognitive processing of own emotions in individuals with autistic spectrum disorder and in their relatives. </w:t>
      </w:r>
      <w:r w:rsidRPr="00804121">
        <w:rPr>
          <w:i/>
          <w:iCs/>
          <w:noProof/>
        </w:rPr>
        <w:t>Journal of Autism and Developmental Disorders</w:t>
      </w:r>
      <w:r w:rsidRPr="00804121">
        <w:rPr>
          <w:noProof/>
        </w:rPr>
        <w:t xml:space="preserve">, </w:t>
      </w:r>
      <w:r w:rsidRPr="00804121">
        <w:rPr>
          <w:i/>
          <w:iCs/>
          <w:noProof/>
        </w:rPr>
        <w:t>34</w:t>
      </w:r>
      <w:r w:rsidRPr="00804121">
        <w:rPr>
          <w:noProof/>
        </w:rPr>
        <w:t>(2), 229–235. http://doi.org/10.1023/B:JADD.0000022613.41399.14</w:t>
      </w:r>
    </w:p>
    <w:p w14:paraId="76EDF9CB" w14:textId="502B834A" w:rsidR="009423EF" w:rsidRPr="00804121" w:rsidRDefault="009423EF" w:rsidP="009423EF">
      <w:pPr>
        <w:widowControl w:val="0"/>
        <w:autoSpaceDE w:val="0"/>
        <w:autoSpaceDN w:val="0"/>
        <w:adjustRightInd w:val="0"/>
        <w:spacing w:before="120" w:line="360" w:lineRule="auto"/>
        <w:ind w:left="480" w:hanging="480"/>
        <w:rPr>
          <w:noProof/>
        </w:rPr>
      </w:pPr>
      <w:r w:rsidRPr="00804121">
        <w:rPr>
          <w:noProof/>
        </w:rPr>
        <w:t xml:space="preserve">Hobson, H. Brewer, R., Catmur, C., &amp; Bird, G. (2019). The role of language in alexithymia: moving towards a multi-route model of alexithymia. </w:t>
      </w:r>
      <w:r w:rsidRPr="00804121">
        <w:rPr>
          <w:i/>
          <w:iCs/>
          <w:noProof/>
        </w:rPr>
        <w:t>Emotion Review</w:t>
      </w:r>
      <w:r w:rsidRPr="00804121">
        <w:rPr>
          <w:noProof/>
        </w:rPr>
        <w:t xml:space="preserve">, </w:t>
      </w:r>
      <w:r w:rsidR="007B2F97" w:rsidRPr="00804121">
        <w:rPr>
          <w:i/>
          <w:iCs/>
          <w:noProof/>
        </w:rPr>
        <w:t xml:space="preserve"> 11 </w:t>
      </w:r>
      <w:r w:rsidRPr="00804121">
        <w:rPr>
          <w:noProof/>
        </w:rPr>
        <w:t>(</w:t>
      </w:r>
      <w:r w:rsidR="007B2F97" w:rsidRPr="00804121">
        <w:rPr>
          <w:noProof/>
        </w:rPr>
        <w:t>3</w:t>
      </w:r>
      <w:r w:rsidRPr="00804121">
        <w:rPr>
          <w:noProof/>
        </w:rPr>
        <w:t>)</w:t>
      </w:r>
      <w:r w:rsidR="007B2F97" w:rsidRPr="00804121">
        <w:rPr>
          <w:noProof/>
        </w:rPr>
        <w:t>, 247-261.</w:t>
      </w:r>
      <w:r w:rsidRPr="00804121">
        <w:rPr>
          <w:noProof/>
        </w:rPr>
        <w:t xml:space="preserve"> http://doi.org/10.1177/1754073919838528</w:t>
      </w:r>
    </w:p>
    <w:p w14:paraId="4CC5D8FA" w14:textId="4DA52D15"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Hobson, H., Hogeveen, J., Brewer, R., Catmur, C., Gordon, B., Krueger, F., … Grafman, J. (2018). Language and alexithymia: Evidence for the role of the inferior frontal gyrus in acquired alexithymia. </w:t>
      </w:r>
      <w:r w:rsidRPr="00804121">
        <w:rPr>
          <w:i/>
          <w:iCs/>
          <w:noProof/>
        </w:rPr>
        <w:t>Neuropsychologia</w:t>
      </w:r>
      <w:r w:rsidRPr="00804121">
        <w:rPr>
          <w:noProof/>
        </w:rPr>
        <w:t xml:space="preserve">, </w:t>
      </w:r>
      <w:r w:rsidRPr="00804121">
        <w:rPr>
          <w:i/>
          <w:iCs/>
          <w:noProof/>
        </w:rPr>
        <w:t>111</w:t>
      </w:r>
      <w:r w:rsidRPr="00804121">
        <w:rPr>
          <w:noProof/>
        </w:rPr>
        <w:t>(December 2017), 229–240. http://doi.org/10.1016/j.neuropsychologia.2017.12.037</w:t>
      </w:r>
    </w:p>
    <w:p w14:paraId="5D21D086"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Hogeveen, J., Bird, G., Chau, A., Krueger, F., &amp; Grafman, J. (2016). Acquired alexithymia following damage to the anterior insula. </w:t>
      </w:r>
      <w:r w:rsidRPr="00804121">
        <w:rPr>
          <w:i/>
          <w:iCs/>
          <w:noProof/>
        </w:rPr>
        <w:t>Neuropsychologia</w:t>
      </w:r>
      <w:r w:rsidRPr="00804121">
        <w:rPr>
          <w:noProof/>
        </w:rPr>
        <w:t xml:space="preserve">, </w:t>
      </w:r>
      <w:r w:rsidRPr="00804121">
        <w:rPr>
          <w:i/>
          <w:iCs/>
          <w:noProof/>
        </w:rPr>
        <w:t>82</w:t>
      </w:r>
      <w:r w:rsidRPr="00804121">
        <w:rPr>
          <w:noProof/>
        </w:rPr>
        <w:t>, 142–148. http://doi.org/10.1016/j.neuropsychologia.2016.01.021</w:t>
      </w:r>
    </w:p>
    <w:p w14:paraId="75499F7C"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Honkalampi, K., Hintikka, J., Tanskanen, A., Lehtonen, J., &amp; Viinamäki, H. (2000). Depression is strongly associated with alexithymia in the general population. </w:t>
      </w:r>
      <w:r w:rsidRPr="00804121">
        <w:rPr>
          <w:i/>
          <w:iCs/>
          <w:noProof/>
        </w:rPr>
        <w:t>Journal of Psychosomatic Research</w:t>
      </w:r>
      <w:r w:rsidRPr="00804121">
        <w:rPr>
          <w:noProof/>
        </w:rPr>
        <w:t xml:space="preserve">, </w:t>
      </w:r>
      <w:r w:rsidRPr="00804121">
        <w:rPr>
          <w:i/>
          <w:iCs/>
          <w:noProof/>
        </w:rPr>
        <w:t>48</w:t>
      </w:r>
      <w:r w:rsidRPr="00804121">
        <w:rPr>
          <w:noProof/>
        </w:rPr>
        <w:t>(1), 99–104. http://doi.org/10.1016/S0022-3999(99)00083-5</w:t>
      </w:r>
    </w:p>
    <w:p w14:paraId="24784D16"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Humphreys, G. W., Bickerton, W. L., Samson, D., &amp; Riddoch, M. J. (2012). </w:t>
      </w:r>
      <w:r w:rsidRPr="00804121">
        <w:rPr>
          <w:i/>
          <w:iCs/>
          <w:noProof/>
        </w:rPr>
        <w:t>BCoS cognitive screen</w:t>
      </w:r>
      <w:r w:rsidRPr="00804121">
        <w:rPr>
          <w:noProof/>
        </w:rPr>
        <w:t>. Hove: Psychology Press.</w:t>
      </w:r>
    </w:p>
    <w:p w14:paraId="36321458"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Lane, R. D., Sechrest, L., &amp; Riedel, R. (1998). Sociodemographic correlates of Alexithymia. </w:t>
      </w:r>
      <w:r w:rsidRPr="00804121">
        <w:rPr>
          <w:i/>
          <w:iCs/>
          <w:noProof/>
        </w:rPr>
        <w:t>Comprehensive Psychiatry</w:t>
      </w:r>
      <w:r w:rsidRPr="00804121">
        <w:rPr>
          <w:noProof/>
        </w:rPr>
        <w:t xml:space="preserve">, </w:t>
      </w:r>
      <w:r w:rsidRPr="00804121">
        <w:rPr>
          <w:i/>
          <w:iCs/>
          <w:noProof/>
        </w:rPr>
        <w:t>39</w:t>
      </w:r>
      <w:r w:rsidRPr="00804121">
        <w:rPr>
          <w:noProof/>
        </w:rPr>
        <w:t>(6), 377–385. http://doi.org/10.1016/S0010-440X(98)90051-7</w:t>
      </w:r>
    </w:p>
    <w:p w14:paraId="3A433528"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Laska, A. C., Hellblom, A., Murray, V., Kahan, T., &amp; Von Arbin, M. (2001). Aphasia in acute stroke and relation to outcome. </w:t>
      </w:r>
      <w:r w:rsidRPr="00804121">
        <w:rPr>
          <w:i/>
          <w:iCs/>
          <w:noProof/>
        </w:rPr>
        <w:t>Journal of Internal Medicine</w:t>
      </w:r>
      <w:r w:rsidRPr="00804121">
        <w:rPr>
          <w:noProof/>
        </w:rPr>
        <w:t xml:space="preserve">, </w:t>
      </w:r>
      <w:r w:rsidRPr="00804121">
        <w:rPr>
          <w:i/>
          <w:iCs/>
          <w:noProof/>
        </w:rPr>
        <w:t>249</w:t>
      </w:r>
      <w:r w:rsidRPr="00804121">
        <w:rPr>
          <w:noProof/>
        </w:rPr>
        <w:t>(5), 413–422. http://doi.org/10.1046/j.1365-2796.2001.00812.x</w:t>
      </w:r>
    </w:p>
    <w:p w14:paraId="3F5B1A6B"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Marchesi, C., Brusamonti, E., &amp; Maggini, C. (2000). Are alexithymia, depression, and anxiety distinct constructs in affective disorders? </w:t>
      </w:r>
      <w:r w:rsidRPr="00804121">
        <w:rPr>
          <w:i/>
          <w:iCs/>
          <w:noProof/>
        </w:rPr>
        <w:t>Journal of Psychosomatic Research</w:t>
      </w:r>
      <w:r w:rsidRPr="00804121">
        <w:rPr>
          <w:noProof/>
        </w:rPr>
        <w:t xml:space="preserve">, </w:t>
      </w:r>
      <w:r w:rsidRPr="00804121">
        <w:rPr>
          <w:i/>
          <w:iCs/>
          <w:noProof/>
        </w:rPr>
        <w:t>49</w:t>
      </w:r>
      <w:r w:rsidRPr="00804121">
        <w:rPr>
          <w:noProof/>
        </w:rPr>
        <w:t>(1), 43–49. http://doi.org/10.1016/S0022-3999(00)00084-2</w:t>
      </w:r>
    </w:p>
    <w:p w14:paraId="25116160"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Nijsse, B., Spikman, J. M., Visser-Meily, J. M., de Kort, P. L., &amp; van Heugten, C. M. (2019). Social Cognition Impairments in the Long Term Post Stroke. </w:t>
      </w:r>
      <w:r w:rsidRPr="00804121">
        <w:rPr>
          <w:i/>
          <w:iCs/>
          <w:noProof/>
        </w:rPr>
        <w:t>Archives of Physical Medicine and Rehabilitation</w:t>
      </w:r>
      <w:r w:rsidRPr="00804121">
        <w:rPr>
          <w:noProof/>
        </w:rPr>
        <w:t>, 1–15. http://doi.org/10.1016/j.apmr.2019.01.023</w:t>
      </w:r>
    </w:p>
    <w:p w14:paraId="26D165EF"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Pandey, R., Saxena, P., &amp; Dubey, A. (2011). Emotion regulation difficulties in alexithymia and mental health. </w:t>
      </w:r>
      <w:r w:rsidRPr="00804121">
        <w:rPr>
          <w:i/>
          <w:iCs/>
          <w:noProof/>
        </w:rPr>
        <w:t>Europe’s Journal of Psychology</w:t>
      </w:r>
      <w:r w:rsidRPr="00804121">
        <w:rPr>
          <w:noProof/>
        </w:rPr>
        <w:t xml:space="preserve">, </w:t>
      </w:r>
      <w:r w:rsidRPr="00804121">
        <w:rPr>
          <w:i/>
          <w:iCs/>
          <w:noProof/>
        </w:rPr>
        <w:t>7</w:t>
      </w:r>
      <w:r w:rsidRPr="00804121">
        <w:rPr>
          <w:noProof/>
        </w:rPr>
        <w:t>(4), 604–623. http://doi.org/10.1037/e617512012-003</w:t>
      </w:r>
    </w:p>
    <w:p w14:paraId="4A40554B"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Parker, J. D., Bagby, R. M., Taylor, G. J., Endler, N. S., &amp; Schmitz, P. (1993). Factorial validity of the 20-item Toronto Alexithymia Scale. </w:t>
      </w:r>
      <w:r w:rsidRPr="00804121">
        <w:rPr>
          <w:i/>
          <w:iCs/>
          <w:noProof/>
        </w:rPr>
        <w:t>European Journal of Personality</w:t>
      </w:r>
      <w:r w:rsidRPr="00804121">
        <w:rPr>
          <w:noProof/>
        </w:rPr>
        <w:t xml:space="preserve">, </w:t>
      </w:r>
      <w:r w:rsidRPr="00804121">
        <w:rPr>
          <w:i/>
          <w:iCs/>
          <w:noProof/>
        </w:rPr>
        <w:t>7</w:t>
      </w:r>
      <w:r w:rsidRPr="00804121">
        <w:rPr>
          <w:noProof/>
        </w:rPr>
        <w:t>(4), 221–232. http://doi.org/10.1002/per.2410070403</w:t>
      </w:r>
    </w:p>
    <w:p w14:paraId="2115056D"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Pedersen, P. M., Jorgensen, H. S., Nakayama, H., Raaschou, H. O., &amp; Olsen, T. S. (1996). Aphasia in acute stroke: Incidence, determinants, and recovery. </w:t>
      </w:r>
      <w:r w:rsidRPr="00804121">
        <w:rPr>
          <w:i/>
          <w:iCs/>
          <w:noProof/>
        </w:rPr>
        <w:t>Annals of Neurology</w:t>
      </w:r>
      <w:r w:rsidRPr="00804121">
        <w:rPr>
          <w:noProof/>
        </w:rPr>
        <w:t xml:space="preserve">, </w:t>
      </w:r>
      <w:r w:rsidRPr="00804121">
        <w:rPr>
          <w:i/>
          <w:iCs/>
          <w:noProof/>
        </w:rPr>
        <w:t>38</w:t>
      </w:r>
      <w:r w:rsidRPr="00804121">
        <w:rPr>
          <w:noProof/>
        </w:rPr>
        <w:t>(4), 659–666. http://doi.org/10.1002/ana.410400125</w:t>
      </w:r>
    </w:p>
    <w:p w14:paraId="3E7DDEA5"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Ricciardi, L., Demartini, B., Fotopoulou, A., &amp; Edwards, M. J. (2015). Alexithymia in Neurological Disease : A Review. </w:t>
      </w:r>
      <w:r w:rsidRPr="00804121">
        <w:rPr>
          <w:i/>
          <w:iCs/>
          <w:noProof/>
        </w:rPr>
        <w:t>The Journal of Neuropsychiatry &amp; Clinical Neurosciences</w:t>
      </w:r>
      <w:r w:rsidRPr="00804121">
        <w:rPr>
          <w:noProof/>
        </w:rPr>
        <w:t>, (November), 1–9. http://doi.org/10.1176/appi.neuropsych.14070169</w:t>
      </w:r>
    </w:p>
    <w:p w14:paraId="7DD334AF"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Robinson, R. G., &amp; Price, T. R. (1982). Post-stroke depressive disorders: A follow-up study of 103 patients. </w:t>
      </w:r>
      <w:r w:rsidRPr="00804121">
        <w:rPr>
          <w:i/>
          <w:iCs/>
          <w:noProof/>
        </w:rPr>
        <w:t>Stroke</w:t>
      </w:r>
      <w:r w:rsidRPr="00804121">
        <w:rPr>
          <w:noProof/>
        </w:rPr>
        <w:t xml:space="preserve">, </w:t>
      </w:r>
      <w:r w:rsidRPr="00804121">
        <w:rPr>
          <w:i/>
          <w:iCs/>
          <w:noProof/>
        </w:rPr>
        <w:t>13</w:t>
      </w:r>
      <w:r w:rsidRPr="00804121">
        <w:rPr>
          <w:noProof/>
        </w:rPr>
        <w:t>(5), 635–641. http://doi.org/10.1161/01.STR.13.5.635</w:t>
      </w:r>
    </w:p>
    <w:p w14:paraId="2A990820"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Salminen, J. K., Saarijärvi, S., Äärelä, E., Toikka, T., &amp; Kauhanen, J. (1999). Prevalence of alexithymia and its assocation with sociodemographic variables in the general population of Finland. </w:t>
      </w:r>
      <w:r w:rsidRPr="00804121">
        <w:rPr>
          <w:i/>
          <w:iCs/>
          <w:noProof/>
        </w:rPr>
        <w:t>Journal of Psychsomatic Research</w:t>
      </w:r>
      <w:r w:rsidRPr="00804121">
        <w:rPr>
          <w:noProof/>
        </w:rPr>
        <w:t xml:space="preserve">, </w:t>
      </w:r>
      <w:r w:rsidRPr="00804121">
        <w:rPr>
          <w:i/>
          <w:iCs/>
          <w:noProof/>
        </w:rPr>
        <w:t>46</w:t>
      </w:r>
      <w:r w:rsidRPr="00804121">
        <w:rPr>
          <w:noProof/>
        </w:rPr>
        <w:t>(1), 75–82. http://doi.org/10.1016/S0022-3999(98)00053-1</w:t>
      </w:r>
    </w:p>
    <w:p w14:paraId="4BD9727D"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Saxena, P., Dubey, A., &amp; Pandey, R. (2011). Role of Emotion Regulation Difficulties in Predicting Mental Health and Well-being. </w:t>
      </w:r>
      <w:r w:rsidRPr="00804121">
        <w:rPr>
          <w:i/>
          <w:iCs/>
          <w:noProof/>
        </w:rPr>
        <w:t>Journal of Projective Psychology &amp; Mental Health</w:t>
      </w:r>
      <w:r w:rsidRPr="00804121">
        <w:rPr>
          <w:noProof/>
        </w:rPr>
        <w:t xml:space="preserve">, </w:t>
      </w:r>
      <w:r w:rsidRPr="00804121">
        <w:rPr>
          <w:i/>
          <w:iCs/>
          <w:noProof/>
        </w:rPr>
        <w:t>18</w:t>
      </w:r>
      <w:r w:rsidRPr="00804121">
        <w:rPr>
          <w:noProof/>
        </w:rPr>
        <w:t>, 147–155.</w:t>
      </w:r>
    </w:p>
    <w:p w14:paraId="700A0E75"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Schmidt, U., Jiwany, A., &amp; Treasure, J. (1993). A controlled study of alexithymia in eating disorders. </w:t>
      </w:r>
      <w:r w:rsidRPr="00804121">
        <w:rPr>
          <w:i/>
          <w:iCs/>
          <w:noProof/>
        </w:rPr>
        <w:t>Comprehensive Psychiatry</w:t>
      </w:r>
      <w:r w:rsidRPr="00804121">
        <w:rPr>
          <w:noProof/>
        </w:rPr>
        <w:t xml:space="preserve">, </w:t>
      </w:r>
      <w:r w:rsidRPr="00804121">
        <w:rPr>
          <w:i/>
          <w:iCs/>
          <w:noProof/>
        </w:rPr>
        <w:t>34</w:t>
      </w:r>
      <w:r w:rsidRPr="00804121">
        <w:rPr>
          <w:noProof/>
        </w:rPr>
        <w:t>(1), 54–58. http://doi.org/10.1016/0010-440X(93)90036-4</w:t>
      </w:r>
    </w:p>
    <w:p w14:paraId="4CD991AB"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Spalletta, G., Pasini, A., Costa, A., De Angelis, D., Ramundo, N., Paolucci, S., &amp; Caltagirone, C. (2001). Alexithymic features in stroke: effects of laterality and gender. </w:t>
      </w:r>
      <w:r w:rsidRPr="00804121">
        <w:rPr>
          <w:i/>
          <w:iCs/>
          <w:noProof/>
        </w:rPr>
        <w:t>Psychosom Med</w:t>
      </w:r>
      <w:r w:rsidRPr="00804121">
        <w:rPr>
          <w:noProof/>
        </w:rPr>
        <w:t xml:space="preserve">, </w:t>
      </w:r>
      <w:r w:rsidRPr="00804121">
        <w:rPr>
          <w:i/>
          <w:iCs/>
          <w:noProof/>
        </w:rPr>
        <w:t>63</w:t>
      </w:r>
      <w:r w:rsidRPr="00804121">
        <w:rPr>
          <w:noProof/>
        </w:rPr>
        <w:t>(6), 944–950. Retrieved from http://www.psychosomaticmedicine.org/content/63/6/944.full.pdf</w:t>
      </w:r>
    </w:p>
    <w:p w14:paraId="51B62E01"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Spalletta, G., Ripa, A., Bria, P., Caltagirone, C., &amp; Robinson, R. G. (2006). Response of emotional unawareness after stroke to antidepressant treatment. </w:t>
      </w:r>
      <w:r w:rsidRPr="00804121">
        <w:rPr>
          <w:i/>
          <w:iCs/>
          <w:noProof/>
        </w:rPr>
        <w:t>American Journal of Geriatric Psychiatry</w:t>
      </w:r>
      <w:r w:rsidRPr="00804121">
        <w:rPr>
          <w:noProof/>
        </w:rPr>
        <w:t xml:space="preserve">, </w:t>
      </w:r>
      <w:r w:rsidRPr="00804121">
        <w:rPr>
          <w:i/>
          <w:iCs/>
          <w:noProof/>
        </w:rPr>
        <w:t>14</w:t>
      </w:r>
      <w:r w:rsidRPr="00804121">
        <w:rPr>
          <w:noProof/>
        </w:rPr>
        <w:t>(3), 220–227. http://doi.org/10.1097/01.JGP.0000194647.72654.a1</w:t>
      </w:r>
    </w:p>
    <w:p w14:paraId="550FB0E2"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Su, J. A. (2016). Alexithymia and the incidence of post-stroke depression. </w:t>
      </w:r>
      <w:r w:rsidRPr="00804121">
        <w:rPr>
          <w:i/>
          <w:iCs/>
          <w:noProof/>
        </w:rPr>
        <w:t>European Psychiatry</w:t>
      </w:r>
      <w:r w:rsidRPr="00804121">
        <w:rPr>
          <w:noProof/>
        </w:rPr>
        <w:t xml:space="preserve">, </w:t>
      </w:r>
      <w:r w:rsidRPr="00804121">
        <w:rPr>
          <w:i/>
          <w:iCs/>
          <w:noProof/>
        </w:rPr>
        <w:t>33</w:t>
      </w:r>
      <w:r w:rsidRPr="00804121">
        <w:rPr>
          <w:noProof/>
        </w:rPr>
        <w:t>, S397. http://doi.org/10.1016/j.eurpsy.2016.01.1426</w:t>
      </w:r>
    </w:p>
    <w:p w14:paraId="5601A3BE"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Taylor, G. J., Bagby, R. M., &amp; Parker, J. D. (1991). The alexithymia construct. A potential paradigm for psychosomatic medicine. </w:t>
      </w:r>
      <w:r w:rsidRPr="00804121">
        <w:rPr>
          <w:i/>
          <w:iCs/>
          <w:noProof/>
        </w:rPr>
        <w:t>Psychosomatics</w:t>
      </w:r>
      <w:r w:rsidRPr="00804121">
        <w:rPr>
          <w:noProof/>
        </w:rPr>
        <w:t xml:space="preserve">, </w:t>
      </w:r>
      <w:r w:rsidRPr="00804121">
        <w:rPr>
          <w:i/>
          <w:iCs/>
          <w:noProof/>
        </w:rPr>
        <w:t>32</w:t>
      </w:r>
      <w:r w:rsidRPr="00804121">
        <w:rPr>
          <w:noProof/>
        </w:rPr>
        <w:t>(2), 153–164. http://doi.org/10.1016/S0033-3182(91)72086-0</w:t>
      </w:r>
    </w:p>
    <w:p w14:paraId="17F3A178"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Valdespino, A., Antezana, L., Ghane, M., &amp; Richey, J. A. (2017). Alexithymia as a transdiagnostic precursor to empathy abnormalities: The functional role of the insula. </w:t>
      </w:r>
      <w:r w:rsidRPr="00804121">
        <w:rPr>
          <w:i/>
          <w:iCs/>
          <w:noProof/>
        </w:rPr>
        <w:t>Frontiers in Psychology</w:t>
      </w:r>
      <w:r w:rsidRPr="00804121">
        <w:rPr>
          <w:noProof/>
        </w:rPr>
        <w:t xml:space="preserve">, </w:t>
      </w:r>
      <w:r w:rsidRPr="00804121">
        <w:rPr>
          <w:i/>
          <w:iCs/>
          <w:noProof/>
        </w:rPr>
        <w:t>8</w:t>
      </w:r>
      <w:r w:rsidRPr="00804121">
        <w:rPr>
          <w:noProof/>
        </w:rPr>
        <w:t>(DEC), 1–7. http://doi.org/10.3389/fpsyg.2017.02234</w:t>
      </w:r>
    </w:p>
    <w:p w14:paraId="78862C37"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van ’t Wout, M., Aleman, A., Bermond, B., &amp; Kahn, R. S. (2007). No words for feelings: alexithymia in schizophrenia patients and first-degree relatives. </w:t>
      </w:r>
      <w:r w:rsidRPr="00804121">
        <w:rPr>
          <w:i/>
          <w:iCs/>
          <w:noProof/>
        </w:rPr>
        <w:t>Comprehensive Psychiatry</w:t>
      </w:r>
      <w:r w:rsidRPr="00804121">
        <w:rPr>
          <w:noProof/>
        </w:rPr>
        <w:t xml:space="preserve">, </w:t>
      </w:r>
      <w:r w:rsidRPr="00804121">
        <w:rPr>
          <w:i/>
          <w:iCs/>
          <w:noProof/>
        </w:rPr>
        <w:t>48</w:t>
      </w:r>
      <w:r w:rsidRPr="00804121">
        <w:rPr>
          <w:noProof/>
        </w:rPr>
        <w:t>(1), 27–33. http://doi.org/10.1016/j.comppsych.2006.07.003</w:t>
      </w:r>
    </w:p>
    <w:p w14:paraId="4E5B3FF4"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Wang, X., Chung, M. C., Hyland, M. E., &amp; Bahkeit, M. (2011). Posttraumatic stress disorder and psychiatric co-morbidity following stroke: The role of alexithymia. </w:t>
      </w:r>
      <w:r w:rsidRPr="00804121">
        <w:rPr>
          <w:i/>
          <w:iCs/>
          <w:noProof/>
        </w:rPr>
        <w:t>Psychiatry Research</w:t>
      </w:r>
      <w:r w:rsidRPr="00804121">
        <w:rPr>
          <w:noProof/>
        </w:rPr>
        <w:t xml:space="preserve">, </w:t>
      </w:r>
      <w:r w:rsidRPr="00804121">
        <w:rPr>
          <w:i/>
          <w:iCs/>
          <w:noProof/>
        </w:rPr>
        <w:t>188</w:t>
      </w:r>
      <w:r w:rsidRPr="00804121">
        <w:rPr>
          <w:noProof/>
        </w:rPr>
        <w:t>(1), 51–57. http://doi.org/10.1016/j.psychres.2010.10.002</w:t>
      </w:r>
    </w:p>
    <w:p w14:paraId="1DB144CA"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Wood, R. L., &amp; Williams, C. (2007). Neuropsychological correlates of organic alexithymia. </w:t>
      </w:r>
      <w:r w:rsidRPr="00804121">
        <w:rPr>
          <w:i/>
          <w:iCs/>
          <w:noProof/>
        </w:rPr>
        <w:t>Journal of the International Neuropsychological Society : JINS</w:t>
      </w:r>
      <w:r w:rsidRPr="00804121">
        <w:rPr>
          <w:noProof/>
        </w:rPr>
        <w:t xml:space="preserve">, </w:t>
      </w:r>
      <w:r w:rsidRPr="00804121">
        <w:rPr>
          <w:i/>
          <w:iCs/>
          <w:noProof/>
        </w:rPr>
        <w:t>13</w:t>
      </w:r>
      <w:r w:rsidRPr="00804121">
        <w:rPr>
          <w:noProof/>
        </w:rPr>
        <w:t>(3), 471–479. http://doi.org/10.1017/S1355617707070518</w:t>
      </w:r>
    </w:p>
    <w:p w14:paraId="34A8C85C"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Zarei, J., &amp; Besharat, M. A. (2010). Alexithymia and interpersonal problems. </w:t>
      </w:r>
      <w:r w:rsidRPr="00804121">
        <w:rPr>
          <w:i/>
          <w:iCs/>
          <w:noProof/>
        </w:rPr>
        <w:t>Procedia - Social and Behavioral Sciences</w:t>
      </w:r>
      <w:r w:rsidRPr="00804121">
        <w:rPr>
          <w:noProof/>
        </w:rPr>
        <w:t xml:space="preserve">, </w:t>
      </w:r>
      <w:r w:rsidRPr="00804121">
        <w:rPr>
          <w:i/>
          <w:iCs/>
          <w:noProof/>
        </w:rPr>
        <w:t>5</w:t>
      </w:r>
      <w:r w:rsidRPr="00804121">
        <w:rPr>
          <w:noProof/>
        </w:rPr>
        <w:t>(2), 619–622. http://doi.org/10.1016/j.sbspro.2010.07.153</w:t>
      </w:r>
    </w:p>
    <w:p w14:paraId="4A1B3621" w14:textId="77777777" w:rsidR="0012726A" w:rsidRPr="00804121" w:rsidRDefault="0012726A" w:rsidP="0012726A">
      <w:pPr>
        <w:widowControl w:val="0"/>
        <w:autoSpaceDE w:val="0"/>
        <w:autoSpaceDN w:val="0"/>
        <w:adjustRightInd w:val="0"/>
        <w:spacing w:before="120" w:line="360" w:lineRule="auto"/>
        <w:ind w:left="480" w:hanging="480"/>
        <w:rPr>
          <w:noProof/>
        </w:rPr>
      </w:pPr>
      <w:r w:rsidRPr="00804121">
        <w:rPr>
          <w:noProof/>
        </w:rPr>
        <w:t xml:space="preserve">Zigmond, A. S., &amp; Snaith, R. P. (1983). The Hospital Anxiety and Depression Scale. </w:t>
      </w:r>
      <w:r w:rsidRPr="00804121">
        <w:rPr>
          <w:i/>
          <w:iCs/>
          <w:noProof/>
        </w:rPr>
        <w:t>Acta Psychiatrica Scandinavica</w:t>
      </w:r>
      <w:r w:rsidRPr="00804121">
        <w:rPr>
          <w:noProof/>
        </w:rPr>
        <w:t xml:space="preserve">, </w:t>
      </w:r>
      <w:r w:rsidRPr="00804121">
        <w:rPr>
          <w:i/>
          <w:iCs/>
          <w:noProof/>
        </w:rPr>
        <w:t>67</w:t>
      </w:r>
      <w:r w:rsidRPr="00804121">
        <w:rPr>
          <w:noProof/>
        </w:rPr>
        <w:t>(6), 361–370. http://doi.org/10.1111/j.1600-0447.1983.tb09716.x</w:t>
      </w:r>
    </w:p>
    <w:p w14:paraId="04AE9747" w14:textId="1C12C92E" w:rsidR="00804121" w:rsidRDefault="003A4ED1" w:rsidP="0077212A">
      <w:pPr>
        <w:pStyle w:val="References"/>
        <w:rPr>
          <w:b/>
        </w:rPr>
      </w:pPr>
      <w:r w:rsidRPr="00804121">
        <w:rPr>
          <w:b/>
        </w:rPr>
        <w:fldChar w:fldCharType="end"/>
      </w:r>
    </w:p>
    <w:p w14:paraId="17BC9ACB" w14:textId="77777777" w:rsidR="00804121" w:rsidRDefault="00804121">
      <w:pPr>
        <w:spacing w:after="160" w:line="259" w:lineRule="auto"/>
        <w:rPr>
          <w:b/>
        </w:rPr>
      </w:pPr>
      <w:r>
        <w:rPr>
          <w:b/>
        </w:rPr>
        <w:br w:type="page"/>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119"/>
        <w:gridCol w:w="3118"/>
      </w:tblGrid>
      <w:tr w:rsidR="00804121" w:rsidRPr="00591A9E" w14:paraId="4D15F925" w14:textId="77777777" w:rsidTr="0079161D">
        <w:trPr>
          <w:trHeight w:val="443"/>
          <w:jc w:val="center"/>
        </w:trPr>
        <w:tc>
          <w:tcPr>
            <w:tcW w:w="8505" w:type="dxa"/>
            <w:gridSpan w:val="3"/>
            <w:tcBorders>
              <w:top w:val="single" w:sz="12" w:space="0" w:color="auto"/>
              <w:left w:val="nil"/>
              <w:bottom w:val="single" w:sz="12" w:space="0" w:color="auto"/>
              <w:right w:val="nil"/>
            </w:tcBorders>
            <w:vAlign w:val="center"/>
          </w:tcPr>
          <w:p w14:paraId="0D3BE03B" w14:textId="77777777" w:rsidR="00804121" w:rsidRPr="00591A9E" w:rsidRDefault="00804121" w:rsidP="0079161D">
            <w:pPr>
              <w:spacing w:after="160"/>
            </w:pPr>
            <w:r w:rsidRPr="00591A9E">
              <w:rPr>
                <w:b/>
                <w:bCs/>
              </w:rPr>
              <w:t>Table 1</w:t>
            </w:r>
            <w:r w:rsidRPr="00591A9E">
              <w:t xml:space="preserve"> Participant sample characteristics</w:t>
            </w:r>
            <w:r>
              <w:t xml:space="preserve"> </w:t>
            </w:r>
          </w:p>
        </w:tc>
      </w:tr>
      <w:tr w:rsidR="00804121" w:rsidRPr="00591A9E" w14:paraId="626D3302" w14:textId="77777777" w:rsidTr="0079161D">
        <w:trPr>
          <w:trHeight w:val="443"/>
          <w:jc w:val="center"/>
        </w:trPr>
        <w:tc>
          <w:tcPr>
            <w:tcW w:w="2268" w:type="dxa"/>
            <w:tcBorders>
              <w:top w:val="single" w:sz="12" w:space="0" w:color="auto"/>
              <w:left w:val="nil"/>
              <w:bottom w:val="single" w:sz="18" w:space="0" w:color="auto"/>
              <w:right w:val="nil"/>
            </w:tcBorders>
            <w:vAlign w:val="center"/>
            <w:hideMark/>
          </w:tcPr>
          <w:p w14:paraId="5F03E5BE" w14:textId="77777777" w:rsidR="00804121" w:rsidRPr="00591A9E" w:rsidRDefault="00804121" w:rsidP="0079161D">
            <w:pPr>
              <w:spacing w:after="160"/>
            </w:pPr>
            <w:r w:rsidRPr="00591A9E">
              <w:t>Sample Characteristics</w:t>
            </w:r>
          </w:p>
        </w:tc>
        <w:tc>
          <w:tcPr>
            <w:tcW w:w="3119" w:type="dxa"/>
            <w:tcBorders>
              <w:top w:val="single" w:sz="12" w:space="0" w:color="auto"/>
              <w:left w:val="nil"/>
              <w:bottom w:val="single" w:sz="18" w:space="0" w:color="auto"/>
              <w:right w:val="nil"/>
            </w:tcBorders>
            <w:vAlign w:val="center"/>
            <w:hideMark/>
          </w:tcPr>
          <w:p w14:paraId="33919A0B" w14:textId="77777777" w:rsidR="00804121" w:rsidRPr="00591A9E" w:rsidRDefault="00804121" w:rsidP="0079161D">
            <w:pPr>
              <w:spacing w:after="160"/>
            </w:pPr>
            <w:r w:rsidRPr="00591A9E">
              <w:t>Category</w:t>
            </w:r>
          </w:p>
        </w:tc>
        <w:tc>
          <w:tcPr>
            <w:tcW w:w="3118" w:type="dxa"/>
            <w:tcBorders>
              <w:top w:val="single" w:sz="12" w:space="0" w:color="auto"/>
              <w:left w:val="nil"/>
              <w:bottom w:val="single" w:sz="18" w:space="0" w:color="auto"/>
              <w:right w:val="nil"/>
            </w:tcBorders>
            <w:vAlign w:val="center"/>
            <w:hideMark/>
          </w:tcPr>
          <w:p w14:paraId="73CF60AC" w14:textId="77777777" w:rsidR="00804121" w:rsidRDefault="00804121" w:rsidP="0079161D">
            <w:pPr>
              <w:spacing w:after="160"/>
            </w:pPr>
            <w:r w:rsidRPr="00591A9E">
              <w:t>Proportion of Patients (N = 118)</w:t>
            </w:r>
          </w:p>
          <w:p w14:paraId="75BCAE07" w14:textId="77777777" w:rsidR="00804121" w:rsidRPr="00591A9E" w:rsidRDefault="00804121" w:rsidP="0079161D">
            <w:pPr>
              <w:spacing w:after="160"/>
            </w:pPr>
            <w:r>
              <w:t>/ Mean (SD)</w:t>
            </w:r>
          </w:p>
        </w:tc>
      </w:tr>
      <w:tr w:rsidR="00804121" w:rsidRPr="00591A9E" w14:paraId="241E4A59" w14:textId="77777777" w:rsidTr="0079161D">
        <w:trPr>
          <w:trHeight w:val="443"/>
          <w:jc w:val="center"/>
        </w:trPr>
        <w:tc>
          <w:tcPr>
            <w:tcW w:w="2268" w:type="dxa"/>
            <w:tcBorders>
              <w:top w:val="single" w:sz="18" w:space="0" w:color="auto"/>
              <w:left w:val="nil"/>
              <w:bottom w:val="nil"/>
              <w:right w:val="nil"/>
            </w:tcBorders>
            <w:vAlign w:val="center"/>
            <w:hideMark/>
          </w:tcPr>
          <w:p w14:paraId="124AC64C" w14:textId="77777777" w:rsidR="00804121" w:rsidRPr="00591A9E" w:rsidRDefault="00804121" w:rsidP="0079161D">
            <w:pPr>
              <w:spacing w:after="160"/>
            </w:pPr>
            <w:r w:rsidRPr="00591A9E">
              <w:t>Gender</w:t>
            </w:r>
          </w:p>
        </w:tc>
        <w:tc>
          <w:tcPr>
            <w:tcW w:w="3119" w:type="dxa"/>
            <w:tcBorders>
              <w:top w:val="single" w:sz="18" w:space="0" w:color="auto"/>
              <w:left w:val="nil"/>
              <w:bottom w:val="nil"/>
              <w:right w:val="nil"/>
            </w:tcBorders>
            <w:vAlign w:val="center"/>
            <w:hideMark/>
          </w:tcPr>
          <w:p w14:paraId="59A5FAAB" w14:textId="77777777" w:rsidR="00804121" w:rsidRPr="00591A9E" w:rsidRDefault="00804121" w:rsidP="0079161D">
            <w:pPr>
              <w:spacing w:after="160"/>
            </w:pPr>
            <w:r w:rsidRPr="00591A9E">
              <w:t>Male</w:t>
            </w:r>
          </w:p>
        </w:tc>
        <w:tc>
          <w:tcPr>
            <w:tcW w:w="3118" w:type="dxa"/>
            <w:tcBorders>
              <w:top w:val="single" w:sz="18" w:space="0" w:color="auto"/>
              <w:left w:val="nil"/>
              <w:bottom w:val="nil"/>
              <w:right w:val="nil"/>
            </w:tcBorders>
            <w:vAlign w:val="center"/>
            <w:hideMark/>
          </w:tcPr>
          <w:p w14:paraId="4F8E60A4" w14:textId="77777777" w:rsidR="00804121" w:rsidRPr="00591A9E" w:rsidRDefault="00804121" w:rsidP="0079161D">
            <w:pPr>
              <w:spacing w:after="160"/>
            </w:pPr>
            <w:r w:rsidRPr="00591A9E">
              <w:t>.53</w:t>
            </w:r>
          </w:p>
        </w:tc>
      </w:tr>
      <w:tr w:rsidR="00804121" w:rsidRPr="00591A9E" w14:paraId="295511ED" w14:textId="77777777" w:rsidTr="0079161D">
        <w:trPr>
          <w:trHeight w:val="443"/>
          <w:jc w:val="center"/>
        </w:trPr>
        <w:tc>
          <w:tcPr>
            <w:tcW w:w="2268" w:type="dxa"/>
            <w:vAlign w:val="center"/>
            <w:hideMark/>
          </w:tcPr>
          <w:p w14:paraId="3916F8D9" w14:textId="77777777" w:rsidR="00804121" w:rsidRPr="00591A9E" w:rsidRDefault="00804121" w:rsidP="0079161D">
            <w:pPr>
              <w:spacing w:after="160"/>
            </w:pPr>
            <w:r w:rsidRPr="00591A9E">
              <w:t>Handedness</w:t>
            </w:r>
          </w:p>
        </w:tc>
        <w:tc>
          <w:tcPr>
            <w:tcW w:w="3119" w:type="dxa"/>
            <w:vAlign w:val="center"/>
            <w:hideMark/>
          </w:tcPr>
          <w:p w14:paraId="41555F5E" w14:textId="77777777" w:rsidR="00804121" w:rsidRPr="00591A9E" w:rsidRDefault="00804121" w:rsidP="0079161D">
            <w:pPr>
              <w:spacing w:after="160"/>
            </w:pPr>
            <w:r w:rsidRPr="00591A9E">
              <w:t>Left</w:t>
            </w:r>
          </w:p>
        </w:tc>
        <w:tc>
          <w:tcPr>
            <w:tcW w:w="3118" w:type="dxa"/>
            <w:vAlign w:val="center"/>
            <w:hideMark/>
          </w:tcPr>
          <w:p w14:paraId="03387E61" w14:textId="77777777" w:rsidR="00804121" w:rsidRPr="00591A9E" w:rsidRDefault="00804121" w:rsidP="0079161D">
            <w:pPr>
              <w:spacing w:after="160"/>
            </w:pPr>
            <w:r w:rsidRPr="00591A9E">
              <w:t>.04</w:t>
            </w:r>
          </w:p>
        </w:tc>
      </w:tr>
      <w:tr w:rsidR="00804121" w:rsidRPr="00591A9E" w14:paraId="6D2EEB70" w14:textId="77777777" w:rsidTr="0079161D">
        <w:trPr>
          <w:trHeight w:val="443"/>
          <w:jc w:val="center"/>
        </w:trPr>
        <w:tc>
          <w:tcPr>
            <w:tcW w:w="2268" w:type="dxa"/>
            <w:vAlign w:val="center"/>
          </w:tcPr>
          <w:p w14:paraId="3F9D7DE7" w14:textId="77777777" w:rsidR="00804121" w:rsidRPr="00591A9E" w:rsidRDefault="00804121" w:rsidP="0079161D">
            <w:pPr>
              <w:spacing w:after="160"/>
            </w:pPr>
          </w:p>
        </w:tc>
        <w:tc>
          <w:tcPr>
            <w:tcW w:w="3119" w:type="dxa"/>
            <w:vAlign w:val="center"/>
            <w:hideMark/>
          </w:tcPr>
          <w:p w14:paraId="17F3D85E" w14:textId="77777777" w:rsidR="00804121" w:rsidRPr="00591A9E" w:rsidRDefault="00804121" w:rsidP="0079161D">
            <w:pPr>
              <w:spacing w:after="160"/>
            </w:pPr>
            <w:r w:rsidRPr="00591A9E">
              <w:t>Right</w:t>
            </w:r>
          </w:p>
        </w:tc>
        <w:tc>
          <w:tcPr>
            <w:tcW w:w="3118" w:type="dxa"/>
            <w:vAlign w:val="center"/>
            <w:hideMark/>
          </w:tcPr>
          <w:p w14:paraId="00C052A3" w14:textId="77777777" w:rsidR="00804121" w:rsidRPr="00591A9E" w:rsidRDefault="00804121" w:rsidP="0079161D">
            <w:pPr>
              <w:spacing w:after="160"/>
            </w:pPr>
            <w:r w:rsidRPr="00591A9E">
              <w:t>.95</w:t>
            </w:r>
          </w:p>
        </w:tc>
      </w:tr>
      <w:tr w:rsidR="00804121" w:rsidRPr="00591A9E" w14:paraId="03533D0F" w14:textId="77777777" w:rsidTr="0079161D">
        <w:trPr>
          <w:trHeight w:val="443"/>
          <w:jc w:val="center"/>
        </w:trPr>
        <w:tc>
          <w:tcPr>
            <w:tcW w:w="2268" w:type="dxa"/>
            <w:vAlign w:val="center"/>
          </w:tcPr>
          <w:p w14:paraId="3C0B18AE" w14:textId="77777777" w:rsidR="00804121" w:rsidRPr="00591A9E" w:rsidRDefault="00804121" w:rsidP="0079161D">
            <w:pPr>
              <w:spacing w:after="160"/>
            </w:pPr>
          </w:p>
        </w:tc>
        <w:tc>
          <w:tcPr>
            <w:tcW w:w="3119" w:type="dxa"/>
            <w:vAlign w:val="center"/>
            <w:hideMark/>
          </w:tcPr>
          <w:p w14:paraId="10BEAD4C" w14:textId="77777777" w:rsidR="00804121" w:rsidRPr="00591A9E" w:rsidRDefault="00804121" w:rsidP="0079161D">
            <w:pPr>
              <w:spacing w:after="160"/>
            </w:pPr>
            <w:r w:rsidRPr="00591A9E">
              <w:t xml:space="preserve">Ambidextrous </w:t>
            </w:r>
          </w:p>
        </w:tc>
        <w:tc>
          <w:tcPr>
            <w:tcW w:w="3118" w:type="dxa"/>
            <w:vAlign w:val="center"/>
            <w:hideMark/>
          </w:tcPr>
          <w:p w14:paraId="7E0AE72A" w14:textId="77777777" w:rsidR="00804121" w:rsidRPr="00591A9E" w:rsidRDefault="00804121" w:rsidP="0079161D">
            <w:pPr>
              <w:spacing w:after="160"/>
            </w:pPr>
            <w:r w:rsidRPr="00591A9E">
              <w:t>.01</w:t>
            </w:r>
          </w:p>
        </w:tc>
      </w:tr>
      <w:tr w:rsidR="00804121" w:rsidRPr="00591A9E" w14:paraId="39F61001" w14:textId="77777777" w:rsidTr="0079161D">
        <w:trPr>
          <w:trHeight w:val="443"/>
          <w:jc w:val="center"/>
        </w:trPr>
        <w:tc>
          <w:tcPr>
            <w:tcW w:w="2268" w:type="dxa"/>
            <w:vAlign w:val="center"/>
            <w:hideMark/>
          </w:tcPr>
          <w:p w14:paraId="2B5A133C" w14:textId="77777777" w:rsidR="00804121" w:rsidRPr="00591A9E" w:rsidRDefault="00804121" w:rsidP="0079161D">
            <w:pPr>
              <w:spacing w:after="160"/>
            </w:pPr>
            <w:r w:rsidRPr="00591A9E">
              <w:t>Aetiology</w:t>
            </w:r>
          </w:p>
        </w:tc>
        <w:tc>
          <w:tcPr>
            <w:tcW w:w="3119" w:type="dxa"/>
            <w:vAlign w:val="center"/>
            <w:hideMark/>
          </w:tcPr>
          <w:p w14:paraId="39A0B3C6" w14:textId="77777777" w:rsidR="00804121" w:rsidRPr="00591A9E" w:rsidRDefault="00804121" w:rsidP="0079161D">
            <w:pPr>
              <w:spacing w:after="160"/>
            </w:pPr>
            <w:r w:rsidRPr="00591A9E">
              <w:t xml:space="preserve">Haemorrhage </w:t>
            </w:r>
          </w:p>
        </w:tc>
        <w:tc>
          <w:tcPr>
            <w:tcW w:w="3118" w:type="dxa"/>
            <w:vAlign w:val="center"/>
            <w:hideMark/>
          </w:tcPr>
          <w:p w14:paraId="651D8EA4" w14:textId="77777777" w:rsidR="00804121" w:rsidRPr="00591A9E" w:rsidRDefault="00804121" w:rsidP="0079161D">
            <w:pPr>
              <w:spacing w:after="160"/>
            </w:pPr>
            <w:r w:rsidRPr="00591A9E">
              <w:t>.20</w:t>
            </w:r>
          </w:p>
        </w:tc>
      </w:tr>
      <w:tr w:rsidR="00804121" w:rsidRPr="00591A9E" w14:paraId="71FA7C0B" w14:textId="77777777" w:rsidTr="0079161D">
        <w:trPr>
          <w:trHeight w:val="443"/>
          <w:jc w:val="center"/>
        </w:trPr>
        <w:tc>
          <w:tcPr>
            <w:tcW w:w="2268" w:type="dxa"/>
            <w:vAlign w:val="center"/>
          </w:tcPr>
          <w:p w14:paraId="2FD0DBD1" w14:textId="77777777" w:rsidR="00804121" w:rsidRPr="00591A9E" w:rsidRDefault="00804121" w:rsidP="0079161D">
            <w:pPr>
              <w:spacing w:after="160"/>
            </w:pPr>
          </w:p>
        </w:tc>
        <w:tc>
          <w:tcPr>
            <w:tcW w:w="3119" w:type="dxa"/>
            <w:vAlign w:val="center"/>
            <w:hideMark/>
          </w:tcPr>
          <w:p w14:paraId="7A8DB884" w14:textId="77777777" w:rsidR="00804121" w:rsidRPr="00591A9E" w:rsidRDefault="00804121" w:rsidP="0079161D">
            <w:pPr>
              <w:spacing w:after="160"/>
            </w:pPr>
            <w:r w:rsidRPr="00591A9E">
              <w:t xml:space="preserve">Ischaemia </w:t>
            </w:r>
          </w:p>
        </w:tc>
        <w:tc>
          <w:tcPr>
            <w:tcW w:w="3118" w:type="dxa"/>
            <w:vAlign w:val="center"/>
            <w:hideMark/>
          </w:tcPr>
          <w:p w14:paraId="29EC86C2" w14:textId="77777777" w:rsidR="00804121" w:rsidRPr="00591A9E" w:rsidRDefault="00804121" w:rsidP="0079161D">
            <w:pPr>
              <w:spacing w:after="160"/>
            </w:pPr>
            <w:r w:rsidRPr="00591A9E">
              <w:t>.80</w:t>
            </w:r>
          </w:p>
        </w:tc>
      </w:tr>
      <w:tr w:rsidR="00804121" w:rsidRPr="00591A9E" w14:paraId="735BD488" w14:textId="77777777" w:rsidTr="0079161D">
        <w:trPr>
          <w:trHeight w:val="443"/>
          <w:jc w:val="center"/>
        </w:trPr>
        <w:tc>
          <w:tcPr>
            <w:tcW w:w="2268" w:type="dxa"/>
            <w:vAlign w:val="center"/>
            <w:hideMark/>
          </w:tcPr>
          <w:p w14:paraId="31759B59" w14:textId="77777777" w:rsidR="00804121" w:rsidRPr="00591A9E" w:rsidRDefault="00804121" w:rsidP="0079161D">
            <w:pPr>
              <w:spacing w:after="160"/>
            </w:pPr>
            <w:r w:rsidRPr="00591A9E">
              <w:t>Lesion Lateralisation</w:t>
            </w:r>
          </w:p>
        </w:tc>
        <w:tc>
          <w:tcPr>
            <w:tcW w:w="3119" w:type="dxa"/>
            <w:vAlign w:val="center"/>
            <w:hideMark/>
          </w:tcPr>
          <w:p w14:paraId="07D567CC" w14:textId="77777777" w:rsidR="00804121" w:rsidRPr="00591A9E" w:rsidRDefault="00804121" w:rsidP="0079161D">
            <w:pPr>
              <w:spacing w:after="160"/>
            </w:pPr>
            <w:r w:rsidRPr="00591A9E">
              <w:t>Unilateral left hemisphere</w:t>
            </w:r>
          </w:p>
        </w:tc>
        <w:tc>
          <w:tcPr>
            <w:tcW w:w="3118" w:type="dxa"/>
            <w:vAlign w:val="center"/>
            <w:hideMark/>
          </w:tcPr>
          <w:p w14:paraId="20FBB502" w14:textId="77777777" w:rsidR="00804121" w:rsidRPr="00591A9E" w:rsidRDefault="00804121" w:rsidP="0079161D">
            <w:pPr>
              <w:spacing w:after="160"/>
            </w:pPr>
            <w:r w:rsidRPr="00591A9E">
              <w:t>.43</w:t>
            </w:r>
          </w:p>
        </w:tc>
      </w:tr>
      <w:tr w:rsidR="00804121" w:rsidRPr="00591A9E" w14:paraId="07920381" w14:textId="77777777" w:rsidTr="0079161D">
        <w:trPr>
          <w:trHeight w:val="443"/>
          <w:jc w:val="center"/>
        </w:trPr>
        <w:tc>
          <w:tcPr>
            <w:tcW w:w="2268" w:type="dxa"/>
            <w:vAlign w:val="center"/>
          </w:tcPr>
          <w:p w14:paraId="24F55833" w14:textId="77777777" w:rsidR="00804121" w:rsidRPr="00591A9E" w:rsidRDefault="00804121" w:rsidP="0079161D">
            <w:pPr>
              <w:spacing w:after="160"/>
            </w:pPr>
          </w:p>
        </w:tc>
        <w:tc>
          <w:tcPr>
            <w:tcW w:w="3119" w:type="dxa"/>
            <w:vAlign w:val="center"/>
            <w:hideMark/>
          </w:tcPr>
          <w:p w14:paraId="73455A7E" w14:textId="77777777" w:rsidR="00804121" w:rsidRPr="00591A9E" w:rsidRDefault="00804121" w:rsidP="0079161D">
            <w:pPr>
              <w:spacing w:after="160"/>
            </w:pPr>
            <w:r w:rsidRPr="00591A9E">
              <w:t xml:space="preserve">Unilateral right hemisphere </w:t>
            </w:r>
          </w:p>
        </w:tc>
        <w:tc>
          <w:tcPr>
            <w:tcW w:w="3118" w:type="dxa"/>
            <w:vAlign w:val="center"/>
            <w:hideMark/>
          </w:tcPr>
          <w:p w14:paraId="46AD75EE" w14:textId="77777777" w:rsidR="00804121" w:rsidRPr="00591A9E" w:rsidRDefault="00804121" w:rsidP="0079161D">
            <w:pPr>
              <w:spacing w:after="160"/>
            </w:pPr>
            <w:r w:rsidRPr="00591A9E">
              <w:t>.48</w:t>
            </w:r>
          </w:p>
        </w:tc>
      </w:tr>
      <w:tr w:rsidR="00804121" w:rsidRPr="00591A9E" w14:paraId="77B86CB4" w14:textId="77777777" w:rsidTr="0079161D">
        <w:trPr>
          <w:trHeight w:val="443"/>
          <w:jc w:val="center"/>
        </w:trPr>
        <w:tc>
          <w:tcPr>
            <w:tcW w:w="2268" w:type="dxa"/>
            <w:tcBorders>
              <w:top w:val="nil"/>
              <w:left w:val="nil"/>
              <w:right w:val="nil"/>
            </w:tcBorders>
            <w:vAlign w:val="center"/>
          </w:tcPr>
          <w:p w14:paraId="079D2FC1" w14:textId="77777777" w:rsidR="00804121" w:rsidRPr="00591A9E" w:rsidRDefault="00804121" w:rsidP="0079161D">
            <w:pPr>
              <w:spacing w:after="160"/>
            </w:pPr>
          </w:p>
        </w:tc>
        <w:tc>
          <w:tcPr>
            <w:tcW w:w="3119" w:type="dxa"/>
            <w:tcBorders>
              <w:top w:val="nil"/>
              <w:left w:val="nil"/>
              <w:right w:val="nil"/>
            </w:tcBorders>
            <w:vAlign w:val="center"/>
            <w:hideMark/>
          </w:tcPr>
          <w:p w14:paraId="343DA1F5" w14:textId="77777777" w:rsidR="00804121" w:rsidRPr="00591A9E" w:rsidRDefault="00804121" w:rsidP="0079161D">
            <w:pPr>
              <w:spacing w:after="160"/>
            </w:pPr>
            <w:r w:rsidRPr="00591A9E">
              <w:t>Bilateral</w:t>
            </w:r>
          </w:p>
        </w:tc>
        <w:tc>
          <w:tcPr>
            <w:tcW w:w="3118" w:type="dxa"/>
            <w:tcBorders>
              <w:top w:val="nil"/>
              <w:left w:val="nil"/>
              <w:right w:val="nil"/>
            </w:tcBorders>
            <w:vAlign w:val="center"/>
            <w:hideMark/>
          </w:tcPr>
          <w:p w14:paraId="3B7AF93D" w14:textId="77777777" w:rsidR="00804121" w:rsidRPr="00591A9E" w:rsidRDefault="00804121" w:rsidP="0079161D">
            <w:pPr>
              <w:spacing w:after="160"/>
            </w:pPr>
            <w:r w:rsidRPr="00591A9E">
              <w:t>.09</w:t>
            </w:r>
          </w:p>
        </w:tc>
      </w:tr>
      <w:tr w:rsidR="00804121" w:rsidRPr="00591A9E" w14:paraId="7A9AE961" w14:textId="77777777" w:rsidTr="0079161D">
        <w:trPr>
          <w:trHeight w:val="443"/>
          <w:jc w:val="center"/>
        </w:trPr>
        <w:tc>
          <w:tcPr>
            <w:tcW w:w="5387" w:type="dxa"/>
            <w:gridSpan w:val="2"/>
            <w:tcBorders>
              <w:top w:val="nil"/>
              <w:left w:val="nil"/>
              <w:right w:val="nil"/>
            </w:tcBorders>
            <w:vAlign w:val="center"/>
          </w:tcPr>
          <w:p w14:paraId="792F2388" w14:textId="77777777" w:rsidR="00804121" w:rsidRPr="00591A9E" w:rsidRDefault="00804121" w:rsidP="0079161D">
            <w:r>
              <w:t>Time since stroke at questionnaire collection (months)</w:t>
            </w:r>
          </w:p>
        </w:tc>
        <w:tc>
          <w:tcPr>
            <w:tcW w:w="3118" w:type="dxa"/>
            <w:tcBorders>
              <w:top w:val="nil"/>
              <w:left w:val="nil"/>
              <w:right w:val="nil"/>
            </w:tcBorders>
            <w:vAlign w:val="center"/>
          </w:tcPr>
          <w:p w14:paraId="20731936" w14:textId="77777777" w:rsidR="00804121" w:rsidRPr="00591A9E" w:rsidRDefault="00804121" w:rsidP="0079161D">
            <w:r>
              <w:t>28.04 (24.43)</w:t>
            </w:r>
          </w:p>
        </w:tc>
      </w:tr>
      <w:tr w:rsidR="00804121" w:rsidRPr="00591A9E" w14:paraId="6A640FD3" w14:textId="77777777" w:rsidTr="0079161D">
        <w:trPr>
          <w:trHeight w:val="443"/>
          <w:jc w:val="center"/>
        </w:trPr>
        <w:tc>
          <w:tcPr>
            <w:tcW w:w="2268" w:type="dxa"/>
            <w:tcBorders>
              <w:top w:val="nil"/>
              <w:left w:val="nil"/>
              <w:right w:val="nil"/>
            </w:tcBorders>
            <w:vAlign w:val="center"/>
          </w:tcPr>
          <w:p w14:paraId="23F83A5B" w14:textId="77777777" w:rsidR="00804121" w:rsidRDefault="00804121" w:rsidP="0079161D">
            <w:r>
              <w:t>Age at stroke (years)</w:t>
            </w:r>
          </w:p>
        </w:tc>
        <w:tc>
          <w:tcPr>
            <w:tcW w:w="3119" w:type="dxa"/>
            <w:tcBorders>
              <w:top w:val="nil"/>
              <w:left w:val="nil"/>
              <w:right w:val="nil"/>
            </w:tcBorders>
            <w:vAlign w:val="center"/>
          </w:tcPr>
          <w:p w14:paraId="04E38250" w14:textId="77777777" w:rsidR="00804121" w:rsidRPr="00591A9E" w:rsidRDefault="00804121" w:rsidP="0079161D"/>
        </w:tc>
        <w:tc>
          <w:tcPr>
            <w:tcW w:w="3118" w:type="dxa"/>
            <w:tcBorders>
              <w:top w:val="nil"/>
              <w:left w:val="nil"/>
              <w:right w:val="nil"/>
            </w:tcBorders>
            <w:vAlign w:val="center"/>
          </w:tcPr>
          <w:p w14:paraId="270AF4F5" w14:textId="77777777" w:rsidR="00804121" w:rsidRDefault="00804121" w:rsidP="0079161D">
            <w:r>
              <w:t>73.14 (11.37)</w:t>
            </w:r>
          </w:p>
        </w:tc>
      </w:tr>
      <w:tr w:rsidR="00804121" w:rsidRPr="00591A9E" w14:paraId="4A06C2C2" w14:textId="77777777" w:rsidTr="0079161D">
        <w:trPr>
          <w:trHeight w:val="443"/>
          <w:jc w:val="center"/>
        </w:trPr>
        <w:tc>
          <w:tcPr>
            <w:tcW w:w="2268" w:type="dxa"/>
            <w:tcBorders>
              <w:top w:val="nil"/>
              <w:left w:val="nil"/>
              <w:bottom w:val="single" w:sz="4" w:space="0" w:color="auto"/>
              <w:right w:val="nil"/>
            </w:tcBorders>
            <w:vAlign w:val="center"/>
          </w:tcPr>
          <w:p w14:paraId="1BC01408" w14:textId="77777777" w:rsidR="00804121" w:rsidRPr="00591A9E" w:rsidRDefault="00804121" w:rsidP="0079161D">
            <w:r>
              <w:t>Education (years)</w:t>
            </w:r>
          </w:p>
        </w:tc>
        <w:tc>
          <w:tcPr>
            <w:tcW w:w="3119" w:type="dxa"/>
            <w:tcBorders>
              <w:top w:val="nil"/>
              <w:left w:val="nil"/>
              <w:bottom w:val="single" w:sz="4" w:space="0" w:color="auto"/>
              <w:right w:val="nil"/>
            </w:tcBorders>
            <w:vAlign w:val="center"/>
          </w:tcPr>
          <w:p w14:paraId="32CD2C7B" w14:textId="77777777" w:rsidR="00804121" w:rsidRPr="00591A9E" w:rsidRDefault="00804121" w:rsidP="0079161D"/>
        </w:tc>
        <w:tc>
          <w:tcPr>
            <w:tcW w:w="3118" w:type="dxa"/>
            <w:tcBorders>
              <w:top w:val="nil"/>
              <w:left w:val="nil"/>
              <w:bottom w:val="single" w:sz="4" w:space="0" w:color="auto"/>
              <w:right w:val="nil"/>
            </w:tcBorders>
            <w:vAlign w:val="center"/>
          </w:tcPr>
          <w:p w14:paraId="04303FA8" w14:textId="77777777" w:rsidR="00804121" w:rsidRPr="00591A9E" w:rsidRDefault="00804121" w:rsidP="0079161D">
            <w:r>
              <w:t>12.38 (2.75)</w:t>
            </w:r>
          </w:p>
        </w:tc>
      </w:tr>
      <w:tr w:rsidR="00804121" w:rsidRPr="00591A9E" w14:paraId="677ADBA4" w14:textId="77777777" w:rsidTr="0079161D">
        <w:trPr>
          <w:trHeight w:val="443"/>
          <w:jc w:val="center"/>
        </w:trPr>
        <w:tc>
          <w:tcPr>
            <w:tcW w:w="2268" w:type="dxa"/>
            <w:tcBorders>
              <w:top w:val="single" w:sz="4" w:space="0" w:color="auto"/>
              <w:left w:val="nil"/>
              <w:bottom w:val="nil"/>
              <w:right w:val="nil"/>
            </w:tcBorders>
            <w:vAlign w:val="center"/>
          </w:tcPr>
          <w:p w14:paraId="006A6532" w14:textId="77777777" w:rsidR="00804121" w:rsidRPr="00591A9E" w:rsidRDefault="00804121" w:rsidP="0079161D">
            <w:pPr>
              <w:spacing w:after="160"/>
            </w:pPr>
          </w:p>
        </w:tc>
        <w:tc>
          <w:tcPr>
            <w:tcW w:w="3119" w:type="dxa"/>
            <w:tcBorders>
              <w:top w:val="single" w:sz="4" w:space="0" w:color="auto"/>
              <w:left w:val="nil"/>
              <w:bottom w:val="nil"/>
              <w:right w:val="nil"/>
            </w:tcBorders>
            <w:vAlign w:val="center"/>
          </w:tcPr>
          <w:p w14:paraId="0CB8E50A" w14:textId="77777777" w:rsidR="00804121" w:rsidRPr="00591A9E" w:rsidRDefault="00804121" w:rsidP="0079161D">
            <w:pPr>
              <w:spacing w:after="160"/>
            </w:pPr>
          </w:p>
        </w:tc>
        <w:tc>
          <w:tcPr>
            <w:tcW w:w="3118" w:type="dxa"/>
            <w:tcBorders>
              <w:top w:val="single" w:sz="4" w:space="0" w:color="auto"/>
              <w:left w:val="nil"/>
              <w:bottom w:val="nil"/>
              <w:right w:val="nil"/>
            </w:tcBorders>
            <w:vAlign w:val="center"/>
          </w:tcPr>
          <w:p w14:paraId="2C377B1D" w14:textId="77777777" w:rsidR="00804121" w:rsidRPr="00591A9E" w:rsidRDefault="00804121" w:rsidP="0079161D">
            <w:pPr>
              <w:spacing w:after="160"/>
            </w:pPr>
          </w:p>
        </w:tc>
      </w:tr>
    </w:tbl>
    <w:p w14:paraId="6F490B70" w14:textId="77777777" w:rsidR="00804121" w:rsidRDefault="00804121" w:rsidP="00804121"/>
    <w:p w14:paraId="6A7EC32F" w14:textId="7C931790" w:rsidR="00804121" w:rsidRDefault="00804121">
      <w:pPr>
        <w:spacing w:after="160" w:line="259" w:lineRule="auto"/>
        <w:rPr>
          <w:i/>
        </w:rPr>
      </w:pPr>
      <w:r>
        <w:rPr>
          <w:i/>
        </w:rPr>
        <w:br w:type="page"/>
      </w:r>
    </w:p>
    <w:tbl>
      <w:tblPr>
        <w:tblStyle w:val="TableGrid"/>
        <w:tblW w:w="9495" w:type="dxa"/>
        <w:jc w:val="center"/>
        <w:tblLook w:val="04A0" w:firstRow="1" w:lastRow="0" w:firstColumn="1" w:lastColumn="0" w:noHBand="0" w:noVBand="1"/>
      </w:tblPr>
      <w:tblGrid>
        <w:gridCol w:w="2147"/>
        <w:gridCol w:w="1774"/>
        <w:gridCol w:w="2170"/>
        <w:gridCol w:w="3404"/>
      </w:tblGrid>
      <w:tr w:rsidR="00804121" w:rsidRPr="00D05230" w14:paraId="373BF7E6" w14:textId="77777777" w:rsidTr="0079161D">
        <w:trPr>
          <w:trHeight w:val="541"/>
          <w:jc w:val="center"/>
        </w:trPr>
        <w:tc>
          <w:tcPr>
            <w:tcW w:w="9495" w:type="dxa"/>
            <w:gridSpan w:val="4"/>
            <w:tcBorders>
              <w:top w:val="single" w:sz="12" w:space="0" w:color="auto"/>
              <w:left w:val="single" w:sz="4" w:space="0" w:color="FFFFFF"/>
              <w:right w:val="single" w:sz="4" w:space="0" w:color="FFFFFF"/>
            </w:tcBorders>
            <w:shd w:val="clear" w:color="auto" w:fill="auto"/>
            <w:vAlign w:val="center"/>
          </w:tcPr>
          <w:p w14:paraId="0BE04ECE" w14:textId="77777777" w:rsidR="00804121" w:rsidRPr="00D05230" w:rsidRDefault="00804121" w:rsidP="0079161D">
            <w:pPr>
              <w:jc w:val="center"/>
              <w:rPr>
                <w:b/>
              </w:rPr>
            </w:pPr>
            <w:r w:rsidRPr="00D05230">
              <w:rPr>
                <w:b/>
              </w:rPr>
              <w:t>Table 2</w:t>
            </w:r>
            <w:r w:rsidRPr="00D05230">
              <w:t xml:space="preserve"> Standardised Betas</w:t>
            </w:r>
            <w:r>
              <w:t xml:space="preserve">, </w:t>
            </w:r>
            <w:r w:rsidRPr="00D05230">
              <w:t>significance</w:t>
            </w:r>
            <w:r>
              <w:t xml:space="preserve"> and s</w:t>
            </w:r>
            <w:r w:rsidRPr="00795CFC">
              <w:t xml:space="preserve">quared semi-partial coefficients </w:t>
            </w:r>
            <w:r>
              <w:t xml:space="preserve">for </w:t>
            </w:r>
            <w:r w:rsidRPr="00D05230">
              <w:t>predictors of TAS-20</w:t>
            </w:r>
          </w:p>
        </w:tc>
      </w:tr>
      <w:tr w:rsidR="00804121" w:rsidRPr="00AF7942" w14:paraId="07E3239C" w14:textId="77777777" w:rsidTr="0079161D">
        <w:trPr>
          <w:trHeight w:val="445"/>
          <w:jc w:val="center"/>
        </w:trPr>
        <w:tc>
          <w:tcPr>
            <w:tcW w:w="2147" w:type="dxa"/>
            <w:tcBorders>
              <w:top w:val="single" w:sz="12" w:space="0" w:color="auto"/>
              <w:left w:val="single" w:sz="4" w:space="0" w:color="FFFFFF"/>
              <w:bottom w:val="single" w:sz="18" w:space="0" w:color="auto"/>
              <w:right w:val="single" w:sz="4" w:space="0" w:color="FFFFFF"/>
            </w:tcBorders>
            <w:vAlign w:val="center"/>
          </w:tcPr>
          <w:p w14:paraId="12A1FBD6" w14:textId="77777777" w:rsidR="00804121" w:rsidRPr="00AF7942" w:rsidRDefault="00804121" w:rsidP="0079161D"/>
        </w:tc>
        <w:tc>
          <w:tcPr>
            <w:tcW w:w="1774" w:type="dxa"/>
            <w:tcBorders>
              <w:top w:val="single" w:sz="12" w:space="0" w:color="auto"/>
              <w:left w:val="single" w:sz="4" w:space="0" w:color="FFFFFF"/>
              <w:bottom w:val="single" w:sz="18" w:space="0" w:color="auto"/>
              <w:right w:val="single" w:sz="4" w:space="0" w:color="FFFFFF"/>
            </w:tcBorders>
            <w:vAlign w:val="center"/>
          </w:tcPr>
          <w:p w14:paraId="6B470CF1" w14:textId="77777777" w:rsidR="00804121" w:rsidRPr="00AC50E6" w:rsidRDefault="00804121" w:rsidP="0079161D">
            <w:pPr>
              <w:jc w:val="center"/>
            </w:pPr>
            <w:r w:rsidRPr="00AC50E6">
              <w:rPr>
                <w:lang w:val="en-US"/>
              </w:rPr>
              <w:t>β</w:t>
            </w:r>
          </w:p>
        </w:tc>
        <w:tc>
          <w:tcPr>
            <w:tcW w:w="2170" w:type="dxa"/>
            <w:tcBorders>
              <w:top w:val="single" w:sz="12" w:space="0" w:color="auto"/>
              <w:left w:val="single" w:sz="4" w:space="0" w:color="FFFFFF"/>
              <w:bottom w:val="single" w:sz="18" w:space="0" w:color="auto"/>
              <w:right w:val="single" w:sz="4" w:space="0" w:color="FFFFFF"/>
            </w:tcBorders>
            <w:vAlign w:val="center"/>
          </w:tcPr>
          <w:p w14:paraId="1FC86F57" w14:textId="77777777" w:rsidR="00804121" w:rsidRPr="00AF7942" w:rsidRDefault="00804121" w:rsidP="0079161D">
            <w:pPr>
              <w:jc w:val="center"/>
              <w:rPr>
                <w:i/>
              </w:rPr>
            </w:pPr>
            <w:r w:rsidRPr="00AF7942">
              <w:rPr>
                <w:i/>
              </w:rPr>
              <w:t>p</w:t>
            </w:r>
          </w:p>
        </w:tc>
        <w:tc>
          <w:tcPr>
            <w:tcW w:w="3404" w:type="dxa"/>
            <w:tcBorders>
              <w:top w:val="single" w:sz="12" w:space="0" w:color="auto"/>
              <w:left w:val="single" w:sz="4" w:space="0" w:color="FFFFFF"/>
              <w:bottom w:val="single" w:sz="18" w:space="0" w:color="auto"/>
              <w:right w:val="single" w:sz="4" w:space="0" w:color="FFFFFF"/>
            </w:tcBorders>
          </w:tcPr>
          <w:p w14:paraId="676424C2" w14:textId="77777777" w:rsidR="00804121" w:rsidRPr="00AF7942" w:rsidRDefault="00804121" w:rsidP="0079161D">
            <w:pPr>
              <w:jc w:val="center"/>
              <w:rPr>
                <w:i/>
              </w:rPr>
            </w:pPr>
            <w:r>
              <w:rPr>
                <w:i/>
              </w:rPr>
              <w:t>Squared semi-partial coefficients</w:t>
            </w:r>
          </w:p>
        </w:tc>
      </w:tr>
      <w:tr w:rsidR="00804121" w:rsidRPr="00AF7942" w14:paraId="5AF1D513" w14:textId="77777777" w:rsidTr="0079161D">
        <w:trPr>
          <w:trHeight w:val="534"/>
          <w:jc w:val="center"/>
        </w:trPr>
        <w:tc>
          <w:tcPr>
            <w:tcW w:w="2147" w:type="dxa"/>
            <w:tcBorders>
              <w:top w:val="single" w:sz="18" w:space="0" w:color="auto"/>
              <w:left w:val="single" w:sz="4" w:space="0" w:color="FFFFFF"/>
              <w:bottom w:val="single" w:sz="4" w:space="0" w:color="FFFFFF"/>
              <w:right w:val="single" w:sz="4" w:space="0" w:color="FFFFFF"/>
            </w:tcBorders>
          </w:tcPr>
          <w:p w14:paraId="2FD9D830" w14:textId="77777777" w:rsidR="00804121" w:rsidRPr="00AF7942" w:rsidRDefault="00804121" w:rsidP="0079161D">
            <w:r w:rsidRPr="00AF7942">
              <w:t>SISCOM</w:t>
            </w:r>
          </w:p>
        </w:tc>
        <w:tc>
          <w:tcPr>
            <w:tcW w:w="1774" w:type="dxa"/>
            <w:tcBorders>
              <w:top w:val="single" w:sz="18" w:space="0" w:color="auto"/>
              <w:left w:val="single" w:sz="4" w:space="0" w:color="FFFFFF"/>
              <w:bottom w:val="single" w:sz="4" w:space="0" w:color="FFFFFF"/>
              <w:right w:val="single" w:sz="4" w:space="0" w:color="FFFFFF"/>
            </w:tcBorders>
            <w:vAlign w:val="center"/>
          </w:tcPr>
          <w:p w14:paraId="53476BF9" w14:textId="77777777" w:rsidR="00804121" w:rsidRPr="00AF7942" w:rsidRDefault="00804121" w:rsidP="0079161D">
            <w:pPr>
              <w:jc w:val="center"/>
            </w:pPr>
            <w:r w:rsidRPr="00AF7942">
              <w:t>-0.2</w:t>
            </w:r>
            <w:r>
              <w:t>4</w:t>
            </w:r>
          </w:p>
        </w:tc>
        <w:tc>
          <w:tcPr>
            <w:tcW w:w="2170" w:type="dxa"/>
            <w:tcBorders>
              <w:top w:val="single" w:sz="18" w:space="0" w:color="auto"/>
              <w:left w:val="single" w:sz="4" w:space="0" w:color="FFFFFF"/>
              <w:bottom w:val="single" w:sz="4" w:space="0" w:color="FFFFFF"/>
              <w:right w:val="single" w:sz="4" w:space="0" w:color="FFFFFF"/>
            </w:tcBorders>
            <w:vAlign w:val="center"/>
          </w:tcPr>
          <w:p w14:paraId="760614AF" w14:textId="77777777" w:rsidR="00804121" w:rsidRPr="00AF7942" w:rsidRDefault="00804121" w:rsidP="0079161D">
            <w:pPr>
              <w:jc w:val="center"/>
            </w:pPr>
            <w:r w:rsidRPr="00AF7942">
              <w:t>0.0</w:t>
            </w:r>
            <w:r>
              <w:t>1</w:t>
            </w:r>
          </w:p>
        </w:tc>
        <w:tc>
          <w:tcPr>
            <w:tcW w:w="3404" w:type="dxa"/>
            <w:tcBorders>
              <w:top w:val="single" w:sz="18" w:space="0" w:color="auto"/>
              <w:left w:val="single" w:sz="4" w:space="0" w:color="FFFFFF"/>
              <w:bottom w:val="single" w:sz="4" w:space="0" w:color="FFFFFF"/>
              <w:right w:val="single" w:sz="4" w:space="0" w:color="FFFFFF"/>
            </w:tcBorders>
            <w:vAlign w:val="bottom"/>
          </w:tcPr>
          <w:p w14:paraId="6254669F" w14:textId="77777777" w:rsidR="00804121" w:rsidRPr="009A1DFD" w:rsidRDefault="00804121" w:rsidP="0079161D">
            <w:pPr>
              <w:jc w:val="center"/>
            </w:pPr>
            <w:r w:rsidRPr="009A1DFD">
              <w:rPr>
                <w:color w:val="000000"/>
              </w:rPr>
              <w:t>0.04</w:t>
            </w:r>
          </w:p>
        </w:tc>
      </w:tr>
      <w:tr w:rsidR="00804121" w:rsidRPr="00AF7942" w14:paraId="596896C3" w14:textId="77777777" w:rsidTr="0079161D">
        <w:trPr>
          <w:trHeight w:val="541"/>
          <w:jc w:val="center"/>
        </w:trPr>
        <w:tc>
          <w:tcPr>
            <w:tcW w:w="2147" w:type="dxa"/>
            <w:tcBorders>
              <w:top w:val="single" w:sz="4" w:space="0" w:color="FFFFFF"/>
              <w:left w:val="single" w:sz="4" w:space="0" w:color="FFFFFF"/>
              <w:bottom w:val="single" w:sz="4" w:space="0" w:color="FFFFFF"/>
              <w:right w:val="single" w:sz="4" w:space="0" w:color="FFFFFF"/>
            </w:tcBorders>
          </w:tcPr>
          <w:p w14:paraId="0A8828A6" w14:textId="77777777" w:rsidR="00804121" w:rsidRPr="00AF7942" w:rsidRDefault="00804121" w:rsidP="0079161D">
            <w:r w:rsidRPr="00AF7942">
              <w:t>HADS Anxiety</w:t>
            </w:r>
          </w:p>
        </w:tc>
        <w:tc>
          <w:tcPr>
            <w:tcW w:w="1774" w:type="dxa"/>
            <w:tcBorders>
              <w:top w:val="single" w:sz="4" w:space="0" w:color="FFFFFF"/>
              <w:left w:val="single" w:sz="4" w:space="0" w:color="FFFFFF"/>
              <w:bottom w:val="single" w:sz="4" w:space="0" w:color="FFFFFF"/>
              <w:right w:val="single" w:sz="4" w:space="0" w:color="FFFFFF"/>
            </w:tcBorders>
            <w:vAlign w:val="center"/>
          </w:tcPr>
          <w:p w14:paraId="248C2D9E" w14:textId="77777777" w:rsidR="00804121" w:rsidRPr="00AF7942" w:rsidRDefault="00804121" w:rsidP="0079161D">
            <w:pPr>
              <w:jc w:val="center"/>
            </w:pPr>
            <w:r w:rsidRPr="00AF7942">
              <w:t>0.2</w:t>
            </w:r>
            <w:r>
              <w:t>2</w:t>
            </w:r>
          </w:p>
        </w:tc>
        <w:tc>
          <w:tcPr>
            <w:tcW w:w="2170" w:type="dxa"/>
            <w:tcBorders>
              <w:top w:val="single" w:sz="4" w:space="0" w:color="FFFFFF"/>
              <w:left w:val="single" w:sz="4" w:space="0" w:color="FFFFFF"/>
              <w:bottom w:val="single" w:sz="4" w:space="0" w:color="FFFFFF"/>
              <w:right w:val="single" w:sz="4" w:space="0" w:color="FFFFFF"/>
            </w:tcBorders>
            <w:vAlign w:val="center"/>
          </w:tcPr>
          <w:p w14:paraId="30BEBA8D" w14:textId="77777777" w:rsidR="00804121" w:rsidRPr="00AF7942" w:rsidRDefault="00804121" w:rsidP="0079161D">
            <w:pPr>
              <w:jc w:val="center"/>
            </w:pPr>
            <w:r w:rsidRPr="00AF7942">
              <w:t>0.0</w:t>
            </w:r>
            <w:r>
              <w:t>3</w:t>
            </w:r>
          </w:p>
        </w:tc>
        <w:tc>
          <w:tcPr>
            <w:tcW w:w="3404" w:type="dxa"/>
            <w:tcBorders>
              <w:top w:val="single" w:sz="4" w:space="0" w:color="FFFFFF"/>
              <w:left w:val="single" w:sz="4" w:space="0" w:color="FFFFFF"/>
              <w:bottom w:val="single" w:sz="4" w:space="0" w:color="FFFFFF"/>
              <w:right w:val="single" w:sz="4" w:space="0" w:color="FFFFFF"/>
            </w:tcBorders>
            <w:vAlign w:val="bottom"/>
          </w:tcPr>
          <w:p w14:paraId="200776E3" w14:textId="77777777" w:rsidR="00804121" w:rsidRPr="009A1DFD" w:rsidRDefault="00804121" w:rsidP="0079161D">
            <w:pPr>
              <w:jc w:val="center"/>
            </w:pPr>
            <w:r w:rsidRPr="009A1DFD">
              <w:rPr>
                <w:color w:val="000000"/>
              </w:rPr>
              <w:t>0.03</w:t>
            </w:r>
          </w:p>
        </w:tc>
      </w:tr>
      <w:tr w:rsidR="00804121" w:rsidRPr="00AF7942" w14:paraId="287EA117" w14:textId="77777777" w:rsidTr="0079161D">
        <w:trPr>
          <w:trHeight w:val="534"/>
          <w:jc w:val="center"/>
        </w:trPr>
        <w:tc>
          <w:tcPr>
            <w:tcW w:w="2147" w:type="dxa"/>
            <w:tcBorders>
              <w:top w:val="single" w:sz="4" w:space="0" w:color="FFFFFF"/>
              <w:left w:val="single" w:sz="4" w:space="0" w:color="FFFFFF"/>
              <w:bottom w:val="single" w:sz="4" w:space="0" w:color="FFFFFF"/>
              <w:right w:val="single" w:sz="4" w:space="0" w:color="FFFFFF"/>
            </w:tcBorders>
          </w:tcPr>
          <w:p w14:paraId="1C6CAECD" w14:textId="77777777" w:rsidR="00804121" w:rsidRPr="00AF7942" w:rsidRDefault="00804121" w:rsidP="0079161D">
            <w:r w:rsidRPr="00AF7942">
              <w:t>HADS Depression</w:t>
            </w:r>
          </w:p>
        </w:tc>
        <w:tc>
          <w:tcPr>
            <w:tcW w:w="1774" w:type="dxa"/>
            <w:tcBorders>
              <w:top w:val="single" w:sz="4" w:space="0" w:color="FFFFFF"/>
              <w:left w:val="single" w:sz="4" w:space="0" w:color="FFFFFF"/>
              <w:bottom w:val="single" w:sz="4" w:space="0" w:color="FFFFFF"/>
              <w:right w:val="single" w:sz="4" w:space="0" w:color="FFFFFF"/>
            </w:tcBorders>
            <w:vAlign w:val="center"/>
          </w:tcPr>
          <w:p w14:paraId="107AC0E6" w14:textId="77777777" w:rsidR="00804121" w:rsidRPr="00AF7942" w:rsidRDefault="00804121" w:rsidP="0079161D">
            <w:pPr>
              <w:jc w:val="center"/>
            </w:pPr>
            <w:r w:rsidRPr="00AF7942">
              <w:t>0.</w:t>
            </w:r>
            <w:r>
              <w:t>20</w:t>
            </w:r>
          </w:p>
        </w:tc>
        <w:tc>
          <w:tcPr>
            <w:tcW w:w="2170" w:type="dxa"/>
            <w:tcBorders>
              <w:top w:val="single" w:sz="4" w:space="0" w:color="FFFFFF"/>
              <w:left w:val="single" w:sz="4" w:space="0" w:color="FFFFFF"/>
              <w:bottom w:val="single" w:sz="4" w:space="0" w:color="FFFFFF"/>
              <w:right w:val="single" w:sz="4" w:space="0" w:color="FFFFFF"/>
            </w:tcBorders>
            <w:vAlign w:val="center"/>
          </w:tcPr>
          <w:p w14:paraId="5046E389" w14:textId="77777777" w:rsidR="00804121" w:rsidRPr="00AF7942" w:rsidRDefault="00804121" w:rsidP="0079161D">
            <w:pPr>
              <w:jc w:val="center"/>
            </w:pPr>
            <w:r w:rsidRPr="00AF7942">
              <w:t>0.</w:t>
            </w:r>
            <w:r>
              <w:t>05</w:t>
            </w:r>
          </w:p>
        </w:tc>
        <w:tc>
          <w:tcPr>
            <w:tcW w:w="3404" w:type="dxa"/>
            <w:tcBorders>
              <w:top w:val="single" w:sz="4" w:space="0" w:color="FFFFFF"/>
              <w:left w:val="single" w:sz="4" w:space="0" w:color="FFFFFF"/>
              <w:bottom w:val="single" w:sz="4" w:space="0" w:color="FFFFFF"/>
              <w:right w:val="single" w:sz="4" w:space="0" w:color="FFFFFF"/>
            </w:tcBorders>
            <w:vAlign w:val="bottom"/>
          </w:tcPr>
          <w:p w14:paraId="4A93F083" w14:textId="77777777" w:rsidR="00804121" w:rsidRPr="009A1DFD" w:rsidRDefault="00804121" w:rsidP="0079161D">
            <w:pPr>
              <w:jc w:val="center"/>
            </w:pPr>
            <w:r w:rsidRPr="009A1DFD">
              <w:rPr>
                <w:color w:val="000000"/>
              </w:rPr>
              <w:t>0.03</w:t>
            </w:r>
          </w:p>
        </w:tc>
      </w:tr>
      <w:tr w:rsidR="00804121" w:rsidRPr="00AF7942" w14:paraId="4C2960C0" w14:textId="77777777" w:rsidTr="0079161D">
        <w:trPr>
          <w:trHeight w:val="534"/>
          <w:jc w:val="center"/>
        </w:trPr>
        <w:tc>
          <w:tcPr>
            <w:tcW w:w="2147" w:type="dxa"/>
            <w:tcBorders>
              <w:top w:val="single" w:sz="4" w:space="0" w:color="FFFFFF"/>
              <w:left w:val="single" w:sz="4" w:space="0" w:color="FFFFFF"/>
              <w:bottom w:val="single" w:sz="4" w:space="0" w:color="FFFFFF"/>
              <w:right w:val="single" w:sz="4" w:space="0" w:color="FFFFFF"/>
            </w:tcBorders>
          </w:tcPr>
          <w:p w14:paraId="1CF6BE7B" w14:textId="77777777" w:rsidR="00804121" w:rsidRPr="00AF7942" w:rsidRDefault="00804121" w:rsidP="0079161D">
            <w:r w:rsidRPr="00AF7942">
              <w:t>Time since stroke</w:t>
            </w:r>
          </w:p>
        </w:tc>
        <w:tc>
          <w:tcPr>
            <w:tcW w:w="1774" w:type="dxa"/>
            <w:tcBorders>
              <w:top w:val="single" w:sz="4" w:space="0" w:color="FFFFFF"/>
              <w:left w:val="single" w:sz="4" w:space="0" w:color="FFFFFF"/>
              <w:bottom w:val="single" w:sz="4" w:space="0" w:color="FFFFFF"/>
              <w:right w:val="single" w:sz="4" w:space="0" w:color="FFFFFF"/>
            </w:tcBorders>
            <w:vAlign w:val="center"/>
          </w:tcPr>
          <w:p w14:paraId="40F64754" w14:textId="77777777" w:rsidR="00804121" w:rsidRPr="00AF7942" w:rsidRDefault="00804121" w:rsidP="0079161D">
            <w:pPr>
              <w:jc w:val="center"/>
            </w:pPr>
            <w:r w:rsidRPr="00AF7942">
              <w:t>-0.0</w:t>
            </w:r>
            <w:r>
              <w:t>9</w:t>
            </w:r>
          </w:p>
        </w:tc>
        <w:tc>
          <w:tcPr>
            <w:tcW w:w="2170" w:type="dxa"/>
            <w:tcBorders>
              <w:top w:val="single" w:sz="4" w:space="0" w:color="FFFFFF"/>
              <w:left w:val="single" w:sz="4" w:space="0" w:color="FFFFFF"/>
              <w:bottom w:val="single" w:sz="4" w:space="0" w:color="FFFFFF"/>
              <w:right w:val="single" w:sz="4" w:space="0" w:color="FFFFFF"/>
            </w:tcBorders>
            <w:vAlign w:val="center"/>
          </w:tcPr>
          <w:p w14:paraId="431B48C4" w14:textId="77777777" w:rsidR="00804121" w:rsidRPr="00AF7942" w:rsidRDefault="00804121" w:rsidP="0079161D">
            <w:pPr>
              <w:jc w:val="center"/>
            </w:pPr>
            <w:r w:rsidRPr="00AF7942">
              <w:t>0.</w:t>
            </w:r>
            <w:r>
              <w:t>30</w:t>
            </w:r>
          </w:p>
        </w:tc>
        <w:tc>
          <w:tcPr>
            <w:tcW w:w="3404" w:type="dxa"/>
            <w:tcBorders>
              <w:top w:val="single" w:sz="4" w:space="0" w:color="FFFFFF"/>
              <w:left w:val="single" w:sz="4" w:space="0" w:color="FFFFFF"/>
              <w:bottom w:val="single" w:sz="4" w:space="0" w:color="FFFFFF"/>
              <w:right w:val="single" w:sz="4" w:space="0" w:color="FFFFFF"/>
            </w:tcBorders>
            <w:vAlign w:val="bottom"/>
          </w:tcPr>
          <w:p w14:paraId="08C36C96" w14:textId="77777777" w:rsidR="00804121" w:rsidRPr="009A1DFD" w:rsidRDefault="00804121" w:rsidP="0079161D">
            <w:pPr>
              <w:jc w:val="center"/>
            </w:pPr>
            <w:r w:rsidRPr="009A1DFD">
              <w:rPr>
                <w:color w:val="000000"/>
              </w:rPr>
              <w:t>0.01</w:t>
            </w:r>
          </w:p>
        </w:tc>
      </w:tr>
      <w:tr w:rsidR="00804121" w:rsidRPr="00AF7942" w14:paraId="7EF30A1A" w14:textId="77777777" w:rsidTr="0079161D">
        <w:trPr>
          <w:trHeight w:val="534"/>
          <w:jc w:val="center"/>
        </w:trPr>
        <w:tc>
          <w:tcPr>
            <w:tcW w:w="2147" w:type="dxa"/>
            <w:tcBorders>
              <w:top w:val="single" w:sz="4" w:space="0" w:color="FFFFFF"/>
              <w:left w:val="single" w:sz="4" w:space="0" w:color="FFFFFF"/>
              <w:bottom w:val="single" w:sz="4" w:space="0" w:color="FFFFFF"/>
              <w:right w:val="single" w:sz="4" w:space="0" w:color="FFFFFF"/>
            </w:tcBorders>
          </w:tcPr>
          <w:p w14:paraId="6A7190AC" w14:textId="77777777" w:rsidR="00804121" w:rsidRPr="00AF7942" w:rsidRDefault="00804121" w:rsidP="0079161D">
            <w:r w:rsidRPr="00AF7942">
              <w:t>Gender</w:t>
            </w:r>
          </w:p>
        </w:tc>
        <w:tc>
          <w:tcPr>
            <w:tcW w:w="1774" w:type="dxa"/>
            <w:tcBorders>
              <w:top w:val="single" w:sz="4" w:space="0" w:color="FFFFFF"/>
              <w:left w:val="single" w:sz="4" w:space="0" w:color="FFFFFF"/>
              <w:bottom w:val="single" w:sz="4" w:space="0" w:color="FFFFFF"/>
              <w:right w:val="single" w:sz="4" w:space="0" w:color="FFFFFF"/>
            </w:tcBorders>
            <w:vAlign w:val="center"/>
          </w:tcPr>
          <w:p w14:paraId="21C7F80B" w14:textId="77777777" w:rsidR="00804121" w:rsidRPr="00AF7942" w:rsidRDefault="00804121" w:rsidP="0079161D">
            <w:pPr>
              <w:jc w:val="center"/>
            </w:pPr>
            <w:r w:rsidRPr="00AF7942">
              <w:t>-0.0</w:t>
            </w:r>
            <w:r>
              <w:t>3</w:t>
            </w:r>
          </w:p>
        </w:tc>
        <w:tc>
          <w:tcPr>
            <w:tcW w:w="2170" w:type="dxa"/>
            <w:tcBorders>
              <w:top w:val="single" w:sz="4" w:space="0" w:color="FFFFFF"/>
              <w:left w:val="single" w:sz="4" w:space="0" w:color="FFFFFF"/>
              <w:bottom w:val="single" w:sz="4" w:space="0" w:color="FFFFFF"/>
              <w:right w:val="single" w:sz="4" w:space="0" w:color="FFFFFF"/>
            </w:tcBorders>
            <w:vAlign w:val="center"/>
          </w:tcPr>
          <w:p w14:paraId="0F838482" w14:textId="77777777" w:rsidR="00804121" w:rsidRPr="00AF7942" w:rsidRDefault="00804121" w:rsidP="0079161D">
            <w:pPr>
              <w:jc w:val="center"/>
            </w:pPr>
            <w:r w:rsidRPr="00AF7942">
              <w:t>0.</w:t>
            </w:r>
            <w:r>
              <w:t>75</w:t>
            </w:r>
          </w:p>
        </w:tc>
        <w:tc>
          <w:tcPr>
            <w:tcW w:w="3404" w:type="dxa"/>
            <w:tcBorders>
              <w:top w:val="single" w:sz="4" w:space="0" w:color="FFFFFF"/>
              <w:left w:val="single" w:sz="4" w:space="0" w:color="FFFFFF"/>
              <w:bottom w:val="single" w:sz="4" w:space="0" w:color="FFFFFF"/>
              <w:right w:val="single" w:sz="4" w:space="0" w:color="FFFFFF"/>
            </w:tcBorders>
            <w:vAlign w:val="bottom"/>
          </w:tcPr>
          <w:p w14:paraId="437F1FC8" w14:textId="77777777" w:rsidR="00804121" w:rsidRPr="009A1DFD" w:rsidRDefault="00804121" w:rsidP="0079161D">
            <w:pPr>
              <w:jc w:val="center"/>
            </w:pPr>
            <w:r w:rsidRPr="009A1DFD">
              <w:rPr>
                <w:color w:val="000000"/>
              </w:rPr>
              <w:t>0.001</w:t>
            </w:r>
          </w:p>
        </w:tc>
      </w:tr>
      <w:tr w:rsidR="00804121" w:rsidRPr="00AF7942" w14:paraId="4D630648" w14:textId="77777777" w:rsidTr="0079161D">
        <w:trPr>
          <w:trHeight w:val="534"/>
          <w:jc w:val="center"/>
        </w:trPr>
        <w:tc>
          <w:tcPr>
            <w:tcW w:w="2147" w:type="dxa"/>
            <w:tcBorders>
              <w:top w:val="single" w:sz="4" w:space="0" w:color="FFFFFF"/>
              <w:left w:val="single" w:sz="4" w:space="0" w:color="FFFFFF"/>
              <w:bottom w:val="single" w:sz="4" w:space="0" w:color="FFFFFF"/>
              <w:right w:val="single" w:sz="4" w:space="0" w:color="FFFFFF"/>
            </w:tcBorders>
          </w:tcPr>
          <w:p w14:paraId="4CD78E77" w14:textId="77777777" w:rsidR="00804121" w:rsidRPr="00AF7942" w:rsidRDefault="00804121" w:rsidP="0079161D">
            <w:r w:rsidRPr="00AF7942">
              <w:t>Age at stroke</w:t>
            </w:r>
          </w:p>
        </w:tc>
        <w:tc>
          <w:tcPr>
            <w:tcW w:w="1774" w:type="dxa"/>
            <w:tcBorders>
              <w:top w:val="single" w:sz="4" w:space="0" w:color="FFFFFF"/>
              <w:left w:val="single" w:sz="4" w:space="0" w:color="FFFFFF"/>
              <w:bottom w:val="single" w:sz="4" w:space="0" w:color="FFFFFF"/>
              <w:right w:val="single" w:sz="4" w:space="0" w:color="FFFFFF"/>
            </w:tcBorders>
            <w:vAlign w:val="center"/>
          </w:tcPr>
          <w:p w14:paraId="0481515D" w14:textId="77777777" w:rsidR="00804121" w:rsidRPr="00AF7942" w:rsidRDefault="00804121" w:rsidP="0079161D">
            <w:pPr>
              <w:jc w:val="center"/>
            </w:pPr>
            <w:r w:rsidRPr="00AF7942">
              <w:t>-0.0</w:t>
            </w:r>
            <w:r>
              <w:t>6</w:t>
            </w:r>
          </w:p>
        </w:tc>
        <w:tc>
          <w:tcPr>
            <w:tcW w:w="2170" w:type="dxa"/>
            <w:tcBorders>
              <w:top w:val="single" w:sz="4" w:space="0" w:color="FFFFFF"/>
              <w:left w:val="single" w:sz="4" w:space="0" w:color="FFFFFF"/>
              <w:bottom w:val="single" w:sz="4" w:space="0" w:color="FFFFFF"/>
              <w:right w:val="single" w:sz="4" w:space="0" w:color="FFFFFF"/>
            </w:tcBorders>
            <w:vAlign w:val="center"/>
          </w:tcPr>
          <w:p w14:paraId="701B0000" w14:textId="77777777" w:rsidR="00804121" w:rsidRPr="00AF7942" w:rsidRDefault="00804121" w:rsidP="0079161D">
            <w:pPr>
              <w:jc w:val="center"/>
            </w:pPr>
            <w:r w:rsidRPr="00AF7942">
              <w:t>0.</w:t>
            </w:r>
            <w:r>
              <w:t>48</w:t>
            </w:r>
          </w:p>
        </w:tc>
        <w:tc>
          <w:tcPr>
            <w:tcW w:w="3404" w:type="dxa"/>
            <w:tcBorders>
              <w:top w:val="single" w:sz="4" w:space="0" w:color="FFFFFF"/>
              <w:left w:val="single" w:sz="4" w:space="0" w:color="FFFFFF"/>
              <w:bottom w:val="single" w:sz="4" w:space="0" w:color="FFFFFF"/>
              <w:right w:val="single" w:sz="4" w:space="0" w:color="FFFFFF"/>
            </w:tcBorders>
            <w:vAlign w:val="bottom"/>
          </w:tcPr>
          <w:p w14:paraId="56DBE813" w14:textId="77777777" w:rsidR="00804121" w:rsidRPr="009A1DFD" w:rsidRDefault="00804121" w:rsidP="0079161D">
            <w:pPr>
              <w:jc w:val="center"/>
            </w:pPr>
            <w:r w:rsidRPr="009A1DFD">
              <w:rPr>
                <w:color w:val="000000"/>
              </w:rPr>
              <w:t>0.004</w:t>
            </w:r>
          </w:p>
        </w:tc>
      </w:tr>
      <w:tr w:rsidR="00804121" w:rsidRPr="00AF7942" w14:paraId="59104862" w14:textId="77777777" w:rsidTr="0079161D">
        <w:trPr>
          <w:trHeight w:val="534"/>
          <w:jc w:val="center"/>
        </w:trPr>
        <w:tc>
          <w:tcPr>
            <w:tcW w:w="2147" w:type="dxa"/>
            <w:tcBorders>
              <w:top w:val="single" w:sz="4" w:space="0" w:color="FFFFFF"/>
              <w:left w:val="single" w:sz="4" w:space="0" w:color="FFFFFF"/>
              <w:bottom w:val="single" w:sz="12" w:space="0" w:color="auto"/>
              <w:right w:val="single" w:sz="4" w:space="0" w:color="FFFFFF"/>
            </w:tcBorders>
          </w:tcPr>
          <w:p w14:paraId="6AF4C8C7" w14:textId="77777777" w:rsidR="00804121" w:rsidRPr="00AF7942" w:rsidRDefault="00804121" w:rsidP="0079161D">
            <w:r w:rsidRPr="00AF7942">
              <w:t>Education</w:t>
            </w:r>
          </w:p>
        </w:tc>
        <w:tc>
          <w:tcPr>
            <w:tcW w:w="1774" w:type="dxa"/>
            <w:tcBorders>
              <w:top w:val="single" w:sz="4" w:space="0" w:color="FFFFFF"/>
              <w:left w:val="single" w:sz="4" w:space="0" w:color="FFFFFF"/>
              <w:bottom w:val="single" w:sz="12" w:space="0" w:color="auto"/>
              <w:right w:val="single" w:sz="4" w:space="0" w:color="FFFFFF"/>
            </w:tcBorders>
            <w:vAlign w:val="center"/>
          </w:tcPr>
          <w:p w14:paraId="4BC76537" w14:textId="77777777" w:rsidR="00804121" w:rsidRPr="00AF7942" w:rsidRDefault="00804121" w:rsidP="0079161D">
            <w:pPr>
              <w:jc w:val="center"/>
            </w:pPr>
            <w:r w:rsidRPr="00AF7942">
              <w:t>-0.</w:t>
            </w:r>
            <w:r>
              <w:t>21</w:t>
            </w:r>
          </w:p>
        </w:tc>
        <w:tc>
          <w:tcPr>
            <w:tcW w:w="2170" w:type="dxa"/>
            <w:tcBorders>
              <w:top w:val="single" w:sz="4" w:space="0" w:color="FFFFFF"/>
              <w:left w:val="single" w:sz="4" w:space="0" w:color="FFFFFF"/>
              <w:bottom w:val="single" w:sz="12" w:space="0" w:color="auto"/>
              <w:right w:val="single" w:sz="4" w:space="0" w:color="FFFFFF"/>
            </w:tcBorders>
            <w:vAlign w:val="center"/>
          </w:tcPr>
          <w:p w14:paraId="3B82D09D" w14:textId="77777777" w:rsidR="00804121" w:rsidRPr="00AF7942" w:rsidRDefault="00804121" w:rsidP="0079161D">
            <w:pPr>
              <w:jc w:val="center"/>
            </w:pPr>
            <w:r w:rsidRPr="00AF7942">
              <w:t>0.</w:t>
            </w:r>
            <w:r>
              <w:t>02</w:t>
            </w:r>
          </w:p>
        </w:tc>
        <w:tc>
          <w:tcPr>
            <w:tcW w:w="3404" w:type="dxa"/>
            <w:tcBorders>
              <w:top w:val="single" w:sz="4" w:space="0" w:color="FFFFFF"/>
              <w:left w:val="single" w:sz="4" w:space="0" w:color="FFFFFF"/>
              <w:bottom w:val="single" w:sz="12" w:space="0" w:color="auto"/>
              <w:right w:val="single" w:sz="4" w:space="0" w:color="FFFFFF"/>
            </w:tcBorders>
            <w:vAlign w:val="bottom"/>
          </w:tcPr>
          <w:p w14:paraId="2489E483" w14:textId="77777777" w:rsidR="00804121" w:rsidRPr="009A1DFD" w:rsidRDefault="00804121" w:rsidP="0079161D">
            <w:pPr>
              <w:jc w:val="center"/>
            </w:pPr>
            <w:r w:rsidRPr="009A1DFD">
              <w:rPr>
                <w:color w:val="000000"/>
              </w:rPr>
              <w:t>0.04</w:t>
            </w:r>
          </w:p>
        </w:tc>
      </w:tr>
    </w:tbl>
    <w:p w14:paraId="60B5CCCA" w14:textId="77777777" w:rsidR="00804121" w:rsidRDefault="00804121" w:rsidP="00804121"/>
    <w:p w14:paraId="397E3E85" w14:textId="77777777" w:rsidR="00804121" w:rsidRPr="00795CFC" w:rsidRDefault="00804121" w:rsidP="00804121">
      <w:r>
        <w:t xml:space="preserve">TAS-20 = Toronto Alexithymia Scale; SISCOM = Stroke Impact Scale Communication scale; HADS= Hospital Anxiety and Depression. Note that squared semi-partial coefficients represent the unique proportion of variance attributed to the predictor, i.e. 0.01 represents 1% of variance of alexithymia explained. </w:t>
      </w:r>
    </w:p>
    <w:p w14:paraId="31FBF56F" w14:textId="0A938D86" w:rsidR="00804121" w:rsidRDefault="00804121">
      <w:pPr>
        <w:spacing w:after="160" w:line="259" w:lineRule="auto"/>
        <w:rPr>
          <w:i/>
        </w:rPr>
      </w:pPr>
      <w:r>
        <w:rPr>
          <w:i/>
        </w:rPr>
        <w:br w:type="page"/>
      </w:r>
    </w:p>
    <w:p w14:paraId="13A5E077" w14:textId="2218A3A5" w:rsidR="00804121" w:rsidRDefault="00804121" w:rsidP="00804121">
      <w:r w:rsidRPr="004E64A7">
        <w:rPr>
          <w:noProof/>
        </w:rPr>
        <mc:AlternateContent>
          <mc:Choice Requires="wps">
            <w:drawing>
              <wp:anchor distT="0" distB="0" distL="114300" distR="114300" simplePos="0" relativeHeight="251659264" behindDoc="0" locked="0" layoutInCell="1" allowOverlap="1" wp14:anchorId="5DA0F631" wp14:editId="2CA74375">
                <wp:simplePos x="0" y="0"/>
                <wp:positionH relativeFrom="column">
                  <wp:posOffset>-283210</wp:posOffset>
                </wp:positionH>
                <wp:positionV relativeFrom="paragraph">
                  <wp:posOffset>300355</wp:posOffset>
                </wp:positionV>
                <wp:extent cx="6818630" cy="745490"/>
                <wp:effectExtent l="0" t="0" r="1270" b="0"/>
                <wp:wrapTight wrapText="bothSides">
                  <wp:wrapPolygon edited="0">
                    <wp:start x="0" y="0"/>
                    <wp:lineTo x="0" y="20974"/>
                    <wp:lineTo x="21544" y="20974"/>
                    <wp:lineTo x="21544"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818630" cy="745490"/>
                        </a:xfrm>
                        <a:prstGeom prst="rect">
                          <a:avLst/>
                        </a:prstGeom>
                        <a:solidFill>
                          <a:prstClr val="white"/>
                        </a:solidFill>
                        <a:ln>
                          <a:noFill/>
                        </a:ln>
                      </wps:spPr>
                      <wps:txbx>
                        <w:txbxContent>
                          <w:p w14:paraId="76F36939" w14:textId="5DE938E5" w:rsidR="00804121" w:rsidRPr="00315378" w:rsidRDefault="00804121" w:rsidP="00804121">
                            <w:pPr>
                              <w:jc w:val="center"/>
                              <w:rPr>
                                <w:i/>
                                <w:noProof/>
                              </w:rPr>
                            </w:pPr>
                            <w:r w:rsidRPr="00315378">
                              <w:rPr>
                                <w:b/>
                              </w:rPr>
                              <w:t xml:space="preserve">Figure </w:t>
                            </w:r>
                            <w:r w:rsidRPr="00315378">
                              <w:rPr>
                                <w:b/>
                                <w:i/>
                              </w:rPr>
                              <w:fldChar w:fldCharType="begin"/>
                            </w:r>
                            <w:r w:rsidRPr="00315378">
                              <w:rPr>
                                <w:b/>
                              </w:rPr>
                              <w:instrText xml:space="preserve"> SEQ Figure \* ARABIC </w:instrText>
                            </w:r>
                            <w:r w:rsidRPr="00315378">
                              <w:rPr>
                                <w:b/>
                                <w:i/>
                              </w:rPr>
                              <w:fldChar w:fldCharType="separate"/>
                            </w:r>
                            <w:r>
                              <w:rPr>
                                <w:b/>
                                <w:noProof/>
                              </w:rPr>
                              <w:t>1</w:t>
                            </w:r>
                            <w:r w:rsidRPr="00315378">
                              <w:rPr>
                                <w:b/>
                                <w:i/>
                              </w:rPr>
                              <w:fldChar w:fldCharType="end"/>
                            </w:r>
                            <w:r w:rsidRPr="00315378">
                              <w:t xml:space="preserve"> Standardised alexithymia scores for language impaired and unimpaired patients</w:t>
                            </w:r>
                            <w:r>
                              <w:t xml:space="preserve">. The coloured bars represent the mean for either group. Error bars represent standard error.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A0F631" id="_x0000_t202" coordsize="21600,21600" o:spt="202" path="m,l,21600r21600,l21600,xe">
                <v:stroke joinstyle="miter"/>
                <v:path gradientshapeok="t" o:connecttype="rect"/>
              </v:shapetype>
              <v:shape id="Text Box 1" o:spid="_x0000_s1026" type="#_x0000_t202" style="position:absolute;margin-left:-22.3pt;margin-top:23.65pt;width:536.9pt;height:5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" stroked="f">
                <v:textbox inset="0,0,0,0">
                  <w:txbxContent>
                    <w:p w14:paraId="76F36939" w14:textId="5DE938E5" w:rsidR="00804121" w:rsidRPr="00315378" w:rsidRDefault="00804121" w:rsidP="00804121">
                      <w:pPr>
                        <w:jc w:val="center"/>
                        <w:rPr>
                          <w:i/>
                          <w:noProof/>
                        </w:rPr>
                      </w:pPr>
                      <w:r w:rsidRPr="00315378">
                        <w:rPr>
                          <w:b/>
                        </w:rPr>
                        <w:t xml:space="preserve">Figure </w:t>
                      </w:r>
                      <w:r w:rsidRPr="00315378">
                        <w:rPr>
                          <w:b/>
                          <w:i/>
                        </w:rPr>
                        <w:fldChar w:fldCharType="begin"/>
                      </w:r>
                      <w:r w:rsidRPr="00315378">
                        <w:rPr>
                          <w:b/>
                        </w:rPr>
                        <w:instrText xml:space="preserve"> SEQ Figure \* ARABIC </w:instrText>
                      </w:r>
                      <w:r w:rsidRPr="00315378">
                        <w:rPr>
                          <w:b/>
                          <w:i/>
                        </w:rPr>
                        <w:fldChar w:fldCharType="separate"/>
                      </w:r>
                      <w:r>
                        <w:rPr>
                          <w:b/>
                          <w:noProof/>
                        </w:rPr>
                        <w:t>1</w:t>
                      </w:r>
                      <w:r w:rsidRPr="00315378">
                        <w:rPr>
                          <w:b/>
                          <w:i/>
                        </w:rPr>
                        <w:fldChar w:fldCharType="end"/>
                      </w:r>
                      <w:r w:rsidRPr="00315378">
                        <w:t xml:space="preserve"> Standardised alexithymia scores for language impaired and unimpaired patients</w:t>
                      </w:r>
                      <w:r>
                        <w:t xml:space="preserve">. The coloured bars represent the mean for either group. Error bars represent standard error. </w:t>
                      </w:r>
                    </w:p>
                  </w:txbxContent>
                </v:textbox>
                <w10:wrap type="tight"/>
              </v:shape>
            </w:pict>
          </mc:Fallback>
        </mc:AlternateContent>
      </w:r>
    </w:p>
    <w:p w14:paraId="147CE21E" w14:textId="64384676" w:rsidR="00804121" w:rsidRDefault="00804121">
      <w:pPr>
        <w:spacing w:after="160" w:line="259" w:lineRule="auto"/>
        <w:rPr>
          <w:i/>
        </w:rPr>
      </w:pPr>
      <w:r w:rsidRPr="004E64A7">
        <w:rPr>
          <w:noProof/>
        </w:rPr>
        <w:drawing>
          <wp:anchor distT="0" distB="0" distL="114300" distR="114300" simplePos="0" relativeHeight="251660288" behindDoc="1" locked="0" layoutInCell="1" allowOverlap="1" wp14:anchorId="5686584E" wp14:editId="0589B872">
            <wp:simplePos x="0" y="0"/>
            <wp:positionH relativeFrom="column">
              <wp:posOffset>664954</wp:posOffset>
            </wp:positionH>
            <wp:positionV relativeFrom="paragraph">
              <wp:posOffset>937851</wp:posOffset>
            </wp:positionV>
            <wp:extent cx="4757436" cy="4081620"/>
            <wp:effectExtent l="0" t="0" r="5080" b="0"/>
            <wp:wrapTight wrapText="bothSides">
              <wp:wrapPolygon edited="0">
                <wp:start x="0" y="0"/>
                <wp:lineTo x="0" y="21476"/>
                <wp:lineTo x="21537" y="21476"/>
                <wp:lineTo x="2153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plot05.png"/>
                    <pic:cNvPicPr/>
                  </pic:nvPicPr>
                  <pic:blipFill rotWithShape="1">
                    <a:blip r:embed="rId12">
                      <a:extLst>
                        <a:ext uri="{28A0092B-C50C-407E-A947-70E740481C1C}">
                          <a14:useLocalDpi xmlns:a14="http://schemas.microsoft.com/office/drawing/2010/main" val="0"/>
                        </a:ext>
                      </a:extLst>
                    </a:blip>
                    <a:srcRect l="19843" t="10610" r="23468"/>
                    <a:stretch/>
                  </pic:blipFill>
                  <pic:spPr bwMode="auto">
                    <a:xfrm>
                      <a:off x="0" y="0"/>
                      <a:ext cx="4757436" cy="4081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i/>
        </w:rPr>
        <w:br w:type="page"/>
      </w:r>
    </w:p>
    <w:p w14:paraId="7700407F" w14:textId="77777777" w:rsidR="00804121" w:rsidRPr="00315378" w:rsidRDefault="00804121" w:rsidP="00804121">
      <w:pPr>
        <w:rPr>
          <w:i/>
        </w:rPr>
      </w:pPr>
      <w:r w:rsidRPr="00315378">
        <w:rPr>
          <w:b/>
        </w:rPr>
        <w:t xml:space="preserve">Figure </w:t>
      </w:r>
      <w:r>
        <w:rPr>
          <w:b/>
        </w:rPr>
        <w:t>2</w:t>
      </w:r>
      <w:r w:rsidRPr="00315378">
        <w:t xml:space="preserve"> SISCOM scores for language impaired and unimpaired patients</w:t>
      </w:r>
      <w:r>
        <w:t>. Bars represent the mean scores for the group. E</w:t>
      </w:r>
      <w:r w:rsidRPr="00315378">
        <w:t>rror bars represent standard error</w:t>
      </w:r>
      <w:r>
        <w:t xml:space="preserve">. Size of point is used to indicate the number of patients with the same score. </w:t>
      </w:r>
    </w:p>
    <w:p w14:paraId="5FB744BE" w14:textId="77777777" w:rsidR="00804121" w:rsidRDefault="00804121" w:rsidP="00804121">
      <w:r>
        <w:rPr>
          <w:b/>
          <w:noProof/>
        </w:rPr>
        <w:drawing>
          <wp:inline distT="0" distB="0" distL="0" distR="0" wp14:anchorId="14D50990" wp14:editId="4BDC994D">
            <wp:extent cx="5731510" cy="3783082"/>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plot06.png"/>
                    <pic:cNvPicPr/>
                  </pic:nvPicPr>
                  <pic:blipFill rotWithShape="1">
                    <a:blip r:embed="rId13">
                      <a:extLst>
                        <a:ext uri="{28A0092B-C50C-407E-A947-70E740481C1C}">
                          <a14:useLocalDpi xmlns:a14="http://schemas.microsoft.com/office/drawing/2010/main" val="0"/>
                        </a:ext>
                      </a:extLst>
                    </a:blip>
                    <a:srcRect l="13436" t="11382" r="13512"/>
                    <a:stretch/>
                  </pic:blipFill>
                  <pic:spPr bwMode="auto">
                    <a:xfrm>
                      <a:off x="0" y="0"/>
                      <a:ext cx="5731510" cy="3783082"/>
                    </a:xfrm>
                    <a:prstGeom prst="rect">
                      <a:avLst/>
                    </a:prstGeom>
                    <a:ln>
                      <a:noFill/>
                    </a:ln>
                    <a:extLst>
                      <a:ext uri="{53640926-AAD7-44D8-BBD7-CCE9431645EC}">
                        <a14:shadowObscured xmlns:a14="http://schemas.microsoft.com/office/drawing/2010/main"/>
                      </a:ext>
                    </a:extLst>
                  </pic:spPr>
                </pic:pic>
              </a:graphicData>
            </a:graphic>
          </wp:inline>
        </w:drawing>
      </w:r>
    </w:p>
    <w:p w14:paraId="6C412385" w14:textId="299C1758" w:rsidR="003A4ED1" w:rsidRPr="0077212A" w:rsidRDefault="003A4ED1" w:rsidP="0077212A">
      <w:pPr>
        <w:pStyle w:val="References"/>
        <w:rPr>
          <w:i/>
        </w:rPr>
      </w:pPr>
      <w:bookmarkStart w:id="3" w:name="_GoBack"/>
      <w:bookmarkEnd w:id="3"/>
    </w:p>
    <w:sectPr w:rsidR="003A4ED1" w:rsidRPr="0077212A" w:rsidSect="00745305">
      <w:headerReference w:type="default" r:id="rId14"/>
      <w:footerReference w:type="default" r:id="rId15"/>
      <w:headerReference w:type="first" r:id="rId16"/>
      <w:pgSz w:w="11906" w:h="16838"/>
      <w:pgMar w:top="1440" w:right="1440" w:bottom="1440" w:left="1440" w:header="708" w:footer="708" w:gutter="0"/>
      <w:lnNumType w:countBy="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980C6" w14:textId="77777777" w:rsidR="00B90848" w:rsidRDefault="00B90848" w:rsidP="00810E42">
      <w:pPr>
        <w:spacing w:line="240" w:lineRule="auto"/>
      </w:pPr>
      <w:r>
        <w:separator/>
      </w:r>
    </w:p>
  </w:endnote>
  <w:endnote w:type="continuationSeparator" w:id="0">
    <w:p w14:paraId="04B851A0" w14:textId="77777777" w:rsidR="00B90848" w:rsidRDefault="00B90848" w:rsidP="00810E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202648"/>
      <w:docPartObj>
        <w:docPartGallery w:val="Page Numbers (Bottom of Page)"/>
        <w:docPartUnique/>
      </w:docPartObj>
    </w:sdtPr>
    <w:sdtEndPr>
      <w:rPr>
        <w:noProof/>
      </w:rPr>
    </w:sdtEndPr>
    <w:sdtContent>
      <w:p w14:paraId="21D24D8F" w14:textId="106286BD" w:rsidR="00784EF3" w:rsidRDefault="00784EF3">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242E9A03" w14:textId="77777777" w:rsidR="00784EF3" w:rsidRDefault="00784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7AB44" w14:textId="77777777" w:rsidR="00B90848" w:rsidRDefault="00B90848" w:rsidP="00810E42">
      <w:pPr>
        <w:spacing w:line="240" w:lineRule="auto"/>
      </w:pPr>
      <w:r>
        <w:separator/>
      </w:r>
    </w:p>
  </w:footnote>
  <w:footnote w:type="continuationSeparator" w:id="0">
    <w:p w14:paraId="0F112282" w14:textId="77777777" w:rsidR="00B90848" w:rsidRDefault="00B90848" w:rsidP="00810E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68B3C" w14:textId="397E9E32" w:rsidR="00784EF3" w:rsidRPr="00BC0289" w:rsidRDefault="00784EF3" w:rsidP="00BC0289">
    <w:pPr>
      <w:pStyle w:val="Header"/>
    </w:pPr>
    <w:r w:rsidRPr="00BC0289">
      <w:t>HOBSON-COMMUNICATION AND ACQUIRED ALEXITHYMIA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3E5D5" w14:textId="7EFCF8D7" w:rsidR="00784EF3" w:rsidRPr="00BC0289" w:rsidRDefault="00784EF3" w:rsidP="00BC0289">
    <w:pPr>
      <w:pStyle w:val="Header"/>
    </w:pPr>
    <w:r w:rsidRPr="00BC0289">
      <w:t>RUNNING HEADER: HOBSON-COMMUNICATION AND ACQUIRED ALEXITHYMIA</w:t>
    </w:r>
  </w:p>
  <w:p w14:paraId="47C0768C" w14:textId="77777777" w:rsidR="00784EF3" w:rsidRDefault="00784EF3" w:rsidP="00810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18"/>
  </w:num>
  <w:num w:numId="21">
    <w:abstractNumId w:val="21"/>
  </w:num>
  <w:num w:numId="22">
    <w:abstractNumId w:val="22"/>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proofState w:spelling="clean" w:grammar="clean"/>
  <w:attachedTemplate r:id="rId1"/>
  <w:linkStyle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14F"/>
    <w:rsid w:val="0000002E"/>
    <w:rsid w:val="000059F9"/>
    <w:rsid w:val="00011DFA"/>
    <w:rsid w:val="00015B1A"/>
    <w:rsid w:val="00023781"/>
    <w:rsid w:val="00027020"/>
    <w:rsid w:val="0003351E"/>
    <w:rsid w:val="000553AC"/>
    <w:rsid w:val="00056E17"/>
    <w:rsid w:val="00057BD2"/>
    <w:rsid w:val="0006178F"/>
    <w:rsid w:val="00062589"/>
    <w:rsid w:val="0007209F"/>
    <w:rsid w:val="00072CF6"/>
    <w:rsid w:val="000733D2"/>
    <w:rsid w:val="00075FDD"/>
    <w:rsid w:val="00076D08"/>
    <w:rsid w:val="00081171"/>
    <w:rsid w:val="00081A30"/>
    <w:rsid w:val="00085BFD"/>
    <w:rsid w:val="000860A7"/>
    <w:rsid w:val="0009330C"/>
    <w:rsid w:val="000977AB"/>
    <w:rsid w:val="000A0A23"/>
    <w:rsid w:val="000A3C33"/>
    <w:rsid w:val="000A5546"/>
    <w:rsid w:val="000A7020"/>
    <w:rsid w:val="000A79C1"/>
    <w:rsid w:val="000A7F7C"/>
    <w:rsid w:val="000B0269"/>
    <w:rsid w:val="000B1691"/>
    <w:rsid w:val="000B374F"/>
    <w:rsid w:val="000C24DF"/>
    <w:rsid w:val="000C5732"/>
    <w:rsid w:val="000C7861"/>
    <w:rsid w:val="000D2178"/>
    <w:rsid w:val="000D442D"/>
    <w:rsid w:val="000D6AE1"/>
    <w:rsid w:val="000E150C"/>
    <w:rsid w:val="000E2331"/>
    <w:rsid w:val="000E3F31"/>
    <w:rsid w:val="000E7821"/>
    <w:rsid w:val="000F0C38"/>
    <w:rsid w:val="000F1BF9"/>
    <w:rsid w:val="000F2E24"/>
    <w:rsid w:val="000F76E3"/>
    <w:rsid w:val="00102070"/>
    <w:rsid w:val="0011300D"/>
    <w:rsid w:val="001172AB"/>
    <w:rsid w:val="00120B8D"/>
    <w:rsid w:val="00123513"/>
    <w:rsid w:val="0012493E"/>
    <w:rsid w:val="00126CB8"/>
    <w:rsid w:val="00126E8E"/>
    <w:rsid w:val="00127204"/>
    <w:rsid w:val="0012726A"/>
    <w:rsid w:val="0013082E"/>
    <w:rsid w:val="00131528"/>
    <w:rsid w:val="001344E5"/>
    <w:rsid w:val="00135F70"/>
    <w:rsid w:val="00140E8C"/>
    <w:rsid w:val="00145B5C"/>
    <w:rsid w:val="00151450"/>
    <w:rsid w:val="00152BB1"/>
    <w:rsid w:val="00180913"/>
    <w:rsid w:val="00181C61"/>
    <w:rsid w:val="00193523"/>
    <w:rsid w:val="00193E6B"/>
    <w:rsid w:val="0019681D"/>
    <w:rsid w:val="001A4D77"/>
    <w:rsid w:val="001A6305"/>
    <w:rsid w:val="001B4885"/>
    <w:rsid w:val="001B6B81"/>
    <w:rsid w:val="001C1AD3"/>
    <w:rsid w:val="001C487B"/>
    <w:rsid w:val="001C7BAA"/>
    <w:rsid w:val="001D598B"/>
    <w:rsid w:val="001E02D2"/>
    <w:rsid w:val="001E062F"/>
    <w:rsid w:val="001E453B"/>
    <w:rsid w:val="001E622D"/>
    <w:rsid w:val="001F1C69"/>
    <w:rsid w:val="001F2112"/>
    <w:rsid w:val="001F4F75"/>
    <w:rsid w:val="001F4F80"/>
    <w:rsid w:val="001F6F0C"/>
    <w:rsid w:val="00206908"/>
    <w:rsid w:val="00207A56"/>
    <w:rsid w:val="002109FE"/>
    <w:rsid w:val="002127F8"/>
    <w:rsid w:val="00212F3E"/>
    <w:rsid w:val="0022574E"/>
    <w:rsid w:val="0023138E"/>
    <w:rsid w:val="00233638"/>
    <w:rsid w:val="00236C02"/>
    <w:rsid w:val="00237BFD"/>
    <w:rsid w:val="00242579"/>
    <w:rsid w:val="00245A8E"/>
    <w:rsid w:val="002464C3"/>
    <w:rsid w:val="002501AF"/>
    <w:rsid w:val="00262E8E"/>
    <w:rsid w:val="00277F07"/>
    <w:rsid w:val="002842B7"/>
    <w:rsid w:val="00284AF9"/>
    <w:rsid w:val="00290BD4"/>
    <w:rsid w:val="002973A4"/>
    <w:rsid w:val="002A3F38"/>
    <w:rsid w:val="002A4B89"/>
    <w:rsid w:val="002A6C75"/>
    <w:rsid w:val="002B3223"/>
    <w:rsid w:val="002C0A1D"/>
    <w:rsid w:val="002C1311"/>
    <w:rsid w:val="002C52F6"/>
    <w:rsid w:val="002C5A72"/>
    <w:rsid w:val="002C7F17"/>
    <w:rsid w:val="002D11C0"/>
    <w:rsid w:val="002D1A05"/>
    <w:rsid w:val="002D1C68"/>
    <w:rsid w:val="002D6165"/>
    <w:rsid w:val="002D6576"/>
    <w:rsid w:val="002E0E80"/>
    <w:rsid w:val="002E112B"/>
    <w:rsid w:val="002E632E"/>
    <w:rsid w:val="002F1546"/>
    <w:rsid w:val="002F2C10"/>
    <w:rsid w:val="002F442F"/>
    <w:rsid w:val="002F4F06"/>
    <w:rsid w:val="002F7CCA"/>
    <w:rsid w:val="00304791"/>
    <w:rsid w:val="0030642E"/>
    <w:rsid w:val="00315378"/>
    <w:rsid w:val="00315F01"/>
    <w:rsid w:val="003175F7"/>
    <w:rsid w:val="00323FC2"/>
    <w:rsid w:val="0032711F"/>
    <w:rsid w:val="00332F0C"/>
    <w:rsid w:val="00333244"/>
    <w:rsid w:val="00336EE1"/>
    <w:rsid w:val="00337076"/>
    <w:rsid w:val="00337FE1"/>
    <w:rsid w:val="00340B42"/>
    <w:rsid w:val="00346712"/>
    <w:rsid w:val="00351E10"/>
    <w:rsid w:val="003559FF"/>
    <w:rsid w:val="00356DD1"/>
    <w:rsid w:val="00370194"/>
    <w:rsid w:val="003723AE"/>
    <w:rsid w:val="003824C1"/>
    <w:rsid w:val="00382781"/>
    <w:rsid w:val="00385D78"/>
    <w:rsid w:val="003912BC"/>
    <w:rsid w:val="00396921"/>
    <w:rsid w:val="003A0DF1"/>
    <w:rsid w:val="003A4ED1"/>
    <w:rsid w:val="003A6BF0"/>
    <w:rsid w:val="003A6F2E"/>
    <w:rsid w:val="003C04FA"/>
    <w:rsid w:val="003C5C69"/>
    <w:rsid w:val="003D01C0"/>
    <w:rsid w:val="003D036C"/>
    <w:rsid w:val="003D2BD1"/>
    <w:rsid w:val="003D4372"/>
    <w:rsid w:val="003D641D"/>
    <w:rsid w:val="003E18DF"/>
    <w:rsid w:val="003E4C33"/>
    <w:rsid w:val="003E5510"/>
    <w:rsid w:val="003E7B10"/>
    <w:rsid w:val="003F39B2"/>
    <w:rsid w:val="003F3A44"/>
    <w:rsid w:val="00413A81"/>
    <w:rsid w:val="004151A1"/>
    <w:rsid w:val="0042587A"/>
    <w:rsid w:val="0043273B"/>
    <w:rsid w:val="004361A4"/>
    <w:rsid w:val="00441823"/>
    <w:rsid w:val="00442A93"/>
    <w:rsid w:val="00443EB4"/>
    <w:rsid w:val="00444895"/>
    <w:rsid w:val="00463C42"/>
    <w:rsid w:val="00472785"/>
    <w:rsid w:val="0047387E"/>
    <w:rsid w:val="00475CC5"/>
    <w:rsid w:val="00484A01"/>
    <w:rsid w:val="00491DFA"/>
    <w:rsid w:val="004A1B1F"/>
    <w:rsid w:val="004A2282"/>
    <w:rsid w:val="004A3219"/>
    <w:rsid w:val="004A6B3B"/>
    <w:rsid w:val="004B5AA2"/>
    <w:rsid w:val="004B626E"/>
    <w:rsid w:val="004C1E7D"/>
    <w:rsid w:val="004C76F5"/>
    <w:rsid w:val="004D14B7"/>
    <w:rsid w:val="004D6246"/>
    <w:rsid w:val="004D62F7"/>
    <w:rsid w:val="004E0255"/>
    <w:rsid w:val="004E611F"/>
    <w:rsid w:val="004E70C7"/>
    <w:rsid w:val="004E70E8"/>
    <w:rsid w:val="004F6310"/>
    <w:rsid w:val="005034E1"/>
    <w:rsid w:val="00507959"/>
    <w:rsid w:val="00510F00"/>
    <w:rsid w:val="00514CF7"/>
    <w:rsid w:val="005154B2"/>
    <w:rsid w:val="0051572F"/>
    <w:rsid w:val="00521A0C"/>
    <w:rsid w:val="00521A4A"/>
    <w:rsid w:val="00522A66"/>
    <w:rsid w:val="005258FE"/>
    <w:rsid w:val="00536348"/>
    <w:rsid w:val="00537604"/>
    <w:rsid w:val="00541DC0"/>
    <w:rsid w:val="0055711F"/>
    <w:rsid w:val="005603BB"/>
    <w:rsid w:val="00560E5C"/>
    <w:rsid w:val="00563428"/>
    <w:rsid w:val="00576052"/>
    <w:rsid w:val="00577B12"/>
    <w:rsid w:val="00580C02"/>
    <w:rsid w:val="00587596"/>
    <w:rsid w:val="00591A9E"/>
    <w:rsid w:val="005943AA"/>
    <w:rsid w:val="005A1091"/>
    <w:rsid w:val="005A44CD"/>
    <w:rsid w:val="005A5261"/>
    <w:rsid w:val="005A57F7"/>
    <w:rsid w:val="005A7C58"/>
    <w:rsid w:val="005B3B9F"/>
    <w:rsid w:val="005B6F22"/>
    <w:rsid w:val="005C0F3B"/>
    <w:rsid w:val="005C3915"/>
    <w:rsid w:val="005C78E2"/>
    <w:rsid w:val="005D1EC2"/>
    <w:rsid w:val="005D2E02"/>
    <w:rsid w:val="005D3337"/>
    <w:rsid w:val="005D4EE2"/>
    <w:rsid w:val="005E1C79"/>
    <w:rsid w:val="005F0256"/>
    <w:rsid w:val="005F31DE"/>
    <w:rsid w:val="005F47A1"/>
    <w:rsid w:val="005F7871"/>
    <w:rsid w:val="006068A9"/>
    <w:rsid w:val="00610993"/>
    <w:rsid w:val="0061281D"/>
    <w:rsid w:val="00615028"/>
    <w:rsid w:val="006230D7"/>
    <w:rsid w:val="00627539"/>
    <w:rsid w:val="006300D0"/>
    <w:rsid w:val="00631FAE"/>
    <w:rsid w:val="00636061"/>
    <w:rsid w:val="006425B8"/>
    <w:rsid w:val="00652482"/>
    <w:rsid w:val="00653324"/>
    <w:rsid w:val="00656A72"/>
    <w:rsid w:val="00656F6A"/>
    <w:rsid w:val="00661440"/>
    <w:rsid w:val="00663E4F"/>
    <w:rsid w:val="00665612"/>
    <w:rsid w:val="0067458C"/>
    <w:rsid w:val="0068270B"/>
    <w:rsid w:val="00684063"/>
    <w:rsid w:val="00684ACF"/>
    <w:rsid w:val="00685CAA"/>
    <w:rsid w:val="00686005"/>
    <w:rsid w:val="0069003C"/>
    <w:rsid w:val="0069032F"/>
    <w:rsid w:val="00693E19"/>
    <w:rsid w:val="0069591C"/>
    <w:rsid w:val="00695F59"/>
    <w:rsid w:val="0069669B"/>
    <w:rsid w:val="006B22D8"/>
    <w:rsid w:val="006B40F7"/>
    <w:rsid w:val="006B6CD2"/>
    <w:rsid w:val="006C5359"/>
    <w:rsid w:val="006C5ABD"/>
    <w:rsid w:val="006C70FD"/>
    <w:rsid w:val="006D4F78"/>
    <w:rsid w:val="006E5784"/>
    <w:rsid w:val="006E61D9"/>
    <w:rsid w:val="006F3E99"/>
    <w:rsid w:val="006F54F8"/>
    <w:rsid w:val="00702955"/>
    <w:rsid w:val="00702C7F"/>
    <w:rsid w:val="0072060E"/>
    <w:rsid w:val="00722FDC"/>
    <w:rsid w:val="007230EB"/>
    <w:rsid w:val="007344AA"/>
    <w:rsid w:val="00734BD0"/>
    <w:rsid w:val="00734CE3"/>
    <w:rsid w:val="007371B5"/>
    <w:rsid w:val="0074056D"/>
    <w:rsid w:val="0074170D"/>
    <w:rsid w:val="00745305"/>
    <w:rsid w:val="007468D4"/>
    <w:rsid w:val="007538BB"/>
    <w:rsid w:val="00753C7A"/>
    <w:rsid w:val="00757CB8"/>
    <w:rsid w:val="0076032E"/>
    <w:rsid w:val="00760541"/>
    <w:rsid w:val="007611DC"/>
    <w:rsid w:val="00763588"/>
    <w:rsid w:val="007639BA"/>
    <w:rsid w:val="00765EE7"/>
    <w:rsid w:val="0077212A"/>
    <w:rsid w:val="0077212E"/>
    <w:rsid w:val="007736EB"/>
    <w:rsid w:val="00782A63"/>
    <w:rsid w:val="00784EF3"/>
    <w:rsid w:val="007860AF"/>
    <w:rsid w:val="00786247"/>
    <w:rsid w:val="00790FD5"/>
    <w:rsid w:val="00793FD3"/>
    <w:rsid w:val="007978E8"/>
    <w:rsid w:val="007A1660"/>
    <w:rsid w:val="007B2F97"/>
    <w:rsid w:val="007B418F"/>
    <w:rsid w:val="007B4850"/>
    <w:rsid w:val="007B600C"/>
    <w:rsid w:val="007B6DC4"/>
    <w:rsid w:val="007B704C"/>
    <w:rsid w:val="007C3EF5"/>
    <w:rsid w:val="007C776E"/>
    <w:rsid w:val="007D4F13"/>
    <w:rsid w:val="007D588A"/>
    <w:rsid w:val="007D73CE"/>
    <w:rsid w:val="007E06D1"/>
    <w:rsid w:val="007E2970"/>
    <w:rsid w:val="007E6C5D"/>
    <w:rsid w:val="007E7AFD"/>
    <w:rsid w:val="007E7BA3"/>
    <w:rsid w:val="007F0799"/>
    <w:rsid w:val="007F4E1A"/>
    <w:rsid w:val="007F6D92"/>
    <w:rsid w:val="00801E08"/>
    <w:rsid w:val="00802FE6"/>
    <w:rsid w:val="00804121"/>
    <w:rsid w:val="0080697C"/>
    <w:rsid w:val="00810C1B"/>
    <w:rsid w:val="00810E42"/>
    <w:rsid w:val="008114A1"/>
    <w:rsid w:val="00817563"/>
    <w:rsid w:val="008263BF"/>
    <w:rsid w:val="0082656C"/>
    <w:rsid w:val="00834F08"/>
    <w:rsid w:val="00840506"/>
    <w:rsid w:val="008405C1"/>
    <w:rsid w:val="00841D89"/>
    <w:rsid w:val="0084358C"/>
    <w:rsid w:val="00846488"/>
    <w:rsid w:val="00850EA7"/>
    <w:rsid w:val="00851506"/>
    <w:rsid w:val="00852251"/>
    <w:rsid w:val="0085302A"/>
    <w:rsid w:val="0085452A"/>
    <w:rsid w:val="00863C05"/>
    <w:rsid w:val="008678D4"/>
    <w:rsid w:val="00867D54"/>
    <w:rsid w:val="00875FFB"/>
    <w:rsid w:val="00877D0E"/>
    <w:rsid w:val="00881E18"/>
    <w:rsid w:val="00884F37"/>
    <w:rsid w:val="008A0361"/>
    <w:rsid w:val="008A20DE"/>
    <w:rsid w:val="008A719D"/>
    <w:rsid w:val="008B258B"/>
    <w:rsid w:val="008B2F35"/>
    <w:rsid w:val="008B67C4"/>
    <w:rsid w:val="008D2768"/>
    <w:rsid w:val="008E098E"/>
    <w:rsid w:val="008E51DC"/>
    <w:rsid w:val="008E6F98"/>
    <w:rsid w:val="008F01C2"/>
    <w:rsid w:val="008F0FB1"/>
    <w:rsid w:val="008F0FD9"/>
    <w:rsid w:val="008F4511"/>
    <w:rsid w:val="00905AE3"/>
    <w:rsid w:val="00905EB8"/>
    <w:rsid w:val="00906E3D"/>
    <w:rsid w:val="009071FE"/>
    <w:rsid w:val="00914A13"/>
    <w:rsid w:val="00921295"/>
    <w:rsid w:val="00925521"/>
    <w:rsid w:val="009271F2"/>
    <w:rsid w:val="00933EC4"/>
    <w:rsid w:val="00942199"/>
    <w:rsid w:val="009423EF"/>
    <w:rsid w:val="00960002"/>
    <w:rsid w:val="00961BBB"/>
    <w:rsid w:val="00964B1D"/>
    <w:rsid w:val="00966C73"/>
    <w:rsid w:val="009675EC"/>
    <w:rsid w:val="009700FF"/>
    <w:rsid w:val="0097084C"/>
    <w:rsid w:val="00971FC0"/>
    <w:rsid w:val="00972706"/>
    <w:rsid w:val="00972963"/>
    <w:rsid w:val="009731C5"/>
    <w:rsid w:val="00984047"/>
    <w:rsid w:val="00987700"/>
    <w:rsid w:val="00991EF9"/>
    <w:rsid w:val="00992EDC"/>
    <w:rsid w:val="00994867"/>
    <w:rsid w:val="009A1C2F"/>
    <w:rsid w:val="009A1F21"/>
    <w:rsid w:val="009A2F11"/>
    <w:rsid w:val="009A393C"/>
    <w:rsid w:val="009A7770"/>
    <w:rsid w:val="009B0A57"/>
    <w:rsid w:val="009B0FAB"/>
    <w:rsid w:val="009B223D"/>
    <w:rsid w:val="009B40C1"/>
    <w:rsid w:val="009B7FAC"/>
    <w:rsid w:val="009C5826"/>
    <w:rsid w:val="009D5CAD"/>
    <w:rsid w:val="009D73D7"/>
    <w:rsid w:val="009E24A3"/>
    <w:rsid w:val="009E2A44"/>
    <w:rsid w:val="009E71D6"/>
    <w:rsid w:val="009F4C79"/>
    <w:rsid w:val="009F5FFE"/>
    <w:rsid w:val="009F6981"/>
    <w:rsid w:val="009F7627"/>
    <w:rsid w:val="00A04C57"/>
    <w:rsid w:val="00A11742"/>
    <w:rsid w:val="00A13E57"/>
    <w:rsid w:val="00A14868"/>
    <w:rsid w:val="00A15B43"/>
    <w:rsid w:val="00A221B7"/>
    <w:rsid w:val="00A231BA"/>
    <w:rsid w:val="00A31809"/>
    <w:rsid w:val="00A31FF7"/>
    <w:rsid w:val="00A3639F"/>
    <w:rsid w:val="00A37E05"/>
    <w:rsid w:val="00A51AE1"/>
    <w:rsid w:val="00A52AEF"/>
    <w:rsid w:val="00A53CAD"/>
    <w:rsid w:val="00A553A4"/>
    <w:rsid w:val="00A55D67"/>
    <w:rsid w:val="00A61083"/>
    <w:rsid w:val="00A6640E"/>
    <w:rsid w:val="00A71C5D"/>
    <w:rsid w:val="00A7588A"/>
    <w:rsid w:val="00A75EDF"/>
    <w:rsid w:val="00A832AE"/>
    <w:rsid w:val="00A92AC0"/>
    <w:rsid w:val="00AA0653"/>
    <w:rsid w:val="00AA0BE4"/>
    <w:rsid w:val="00AA4921"/>
    <w:rsid w:val="00AA4E60"/>
    <w:rsid w:val="00AA5484"/>
    <w:rsid w:val="00AA6E36"/>
    <w:rsid w:val="00AA71F1"/>
    <w:rsid w:val="00AB0069"/>
    <w:rsid w:val="00AB5C06"/>
    <w:rsid w:val="00AB7398"/>
    <w:rsid w:val="00AC0BC6"/>
    <w:rsid w:val="00AC50E6"/>
    <w:rsid w:val="00AC635A"/>
    <w:rsid w:val="00AC754C"/>
    <w:rsid w:val="00AD5E82"/>
    <w:rsid w:val="00AD6913"/>
    <w:rsid w:val="00AE1D25"/>
    <w:rsid w:val="00AE36FC"/>
    <w:rsid w:val="00AE78DA"/>
    <w:rsid w:val="00AF0D81"/>
    <w:rsid w:val="00AF19FD"/>
    <w:rsid w:val="00AF482B"/>
    <w:rsid w:val="00AF501B"/>
    <w:rsid w:val="00AF77A7"/>
    <w:rsid w:val="00AF7942"/>
    <w:rsid w:val="00B023D6"/>
    <w:rsid w:val="00B05DEA"/>
    <w:rsid w:val="00B06C7B"/>
    <w:rsid w:val="00B138F6"/>
    <w:rsid w:val="00B21D81"/>
    <w:rsid w:val="00B25B61"/>
    <w:rsid w:val="00B3297A"/>
    <w:rsid w:val="00B34273"/>
    <w:rsid w:val="00B3607C"/>
    <w:rsid w:val="00B42B36"/>
    <w:rsid w:val="00B50C59"/>
    <w:rsid w:val="00B5152D"/>
    <w:rsid w:val="00B54166"/>
    <w:rsid w:val="00B60F28"/>
    <w:rsid w:val="00B625AA"/>
    <w:rsid w:val="00B6267B"/>
    <w:rsid w:val="00B632FF"/>
    <w:rsid w:val="00B63420"/>
    <w:rsid w:val="00B65AFA"/>
    <w:rsid w:val="00B665A4"/>
    <w:rsid w:val="00B6789F"/>
    <w:rsid w:val="00B73D67"/>
    <w:rsid w:val="00B73F01"/>
    <w:rsid w:val="00B816AF"/>
    <w:rsid w:val="00B84E25"/>
    <w:rsid w:val="00B8512A"/>
    <w:rsid w:val="00B85646"/>
    <w:rsid w:val="00B85EFD"/>
    <w:rsid w:val="00B90848"/>
    <w:rsid w:val="00BA2B7C"/>
    <w:rsid w:val="00BA4B17"/>
    <w:rsid w:val="00BA62D3"/>
    <w:rsid w:val="00BB5BA5"/>
    <w:rsid w:val="00BC0289"/>
    <w:rsid w:val="00BC126F"/>
    <w:rsid w:val="00BC141B"/>
    <w:rsid w:val="00BC6725"/>
    <w:rsid w:val="00BD07E0"/>
    <w:rsid w:val="00BD0B1D"/>
    <w:rsid w:val="00BD31E7"/>
    <w:rsid w:val="00BD386C"/>
    <w:rsid w:val="00BD557C"/>
    <w:rsid w:val="00BD6C2B"/>
    <w:rsid w:val="00BE16E9"/>
    <w:rsid w:val="00BE2EF2"/>
    <w:rsid w:val="00BE48A3"/>
    <w:rsid w:val="00BE5831"/>
    <w:rsid w:val="00BF04DC"/>
    <w:rsid w:val="00BF5EAC"/>
    <w:rsid w:val="00BF5FE1"/>
    <w:rsid w:val="00C0578A"/>
    <w:rsid w:val="00C137F4"/>
    <w:rsid w:val="00C1390F"/>
    <w:rsid w:val="00C163CA"/>
    <w:rsid w:val="00C16F2E"/>
    <w:rsid w:val="00C30F3C"/>
    <w:rsid w:val="00C31D2C"/>
    <w:rsid w:val="00C468CC"/>
    <w:rsid w:val="00C4782D"/>
    <w:rsid w:val="00C5372E"/>
    <w:rsid w:val="00C54C0B"/>
    <w:rsid w:val="00C56C22"/>
    <w:rsid w:val="00C57F39"/>
    <w:rsid w:val="00C619FE"/>
    <w:rsid w:val="00C62F0A"/>
    <w:rsid w:val="00C63FE2"/>
    <w:rsid w:val="00C64569"/>
    <w:rsid w:val="00C74630"/>
    <w:rsid w:val="00C80020"/>
    <w:rsid w:val="00C822F0"/>
    <w:rsid w:val="00C86A4F"/>
    <w:rsid w:val="00CA5656"/>
    <w:rsid w:val="00CB0A9B"/>
    <w:rsid w:val="00CB1A09"/>
    <w:rsid w:val="00CB604C"/>
    <w:rsid w:val="00CB611D"/>
    <w:rsid w:val="00CC0FF5"/>
    <w:rsid w:val="00CC1348"/>
    <w:rsid w:val="00CC1EFC"/>
    <w:rsid w:val="00CC28DB"/>
    <w:rsid w:val="00CC31B1"/>
    <w:rsid w:val="00CC3463"/>
    <w:rsid w:val="00CC498C"/>
    <w:rsid w:val="00CC69E5"/>
    <w:rsid w:val="00CD0028"/>
    <w:rsid w:val="00CD2518"/>
    <w:rsid w:val="00CD7CA3"/>
    <w:rsid w:val="00CE0355"/>
    <w:rsid w:val="00CE2A3E"/>
    <w:rsid w:val="00CF1413"/>
    <w:rsid w:val="00CF15AD"/>
    <w:rsid w:val="00CF2F23"/>
    <w:rsid w:val="00CF447E"/>
    <w:rsid w:val="00D03DA6"/>
    <w:rsid w:val="00D05230"/>
    <w:rsid w:val="00D06C92"/>
    <w:rsid w:val="00D10636"/>
    <w:rsid w:val="00D12C21"/>
    <w:rsid w:val="00D17C34"/>
    <w:rsid w:val="00D21407"/>
    <w:rsid w:val="00D22863"/>
    <w:rsid w:val="00D23FAD"/>
    <w:rsid w:val="00D24226"/>
    <w:rsid w:val="00D245E4"/>
    <w:rsid w:val="00D24AE9"/>
    <w:rsid w:val="00D25A25"/>
    <w:rsid w:val="00D26A4F"/>
    <w:rsid w:val="00D35531"/>
    <w:rsid w:val="00D365EF"/>
    <w:rsid w:val="00D405E8"/>
    <w:rsid w:val="00D4309D"/>
    <w:rsid w:val="00D45308"/>
    <w:rsid w:val="00D5130F"/>
    <w:rsid w:val="00D5751E"/>
    <w:rsid w:val="00D57C9D"/>
    <w:rsid w:val="00D57E68"/>
    <w:rsid w:val="00D60B1C"/>
    <w:rsid w:val="00D61103"/>
    <w:rsid w:val="00D67E72"/>
    <w:rsid w:val="00D67EDD"/>
    <w:rsid w:val="00D72741"/>
    <w:rsid w:val="00D90EC7"/>
    <w:rsid w:val="00D91299"/>
    <w:rsid w:val="00DA451B"/>
    <w:rsid w:val="00DA7A6F"/>
    <w:rsid w:val="00DB5195"/>
    <w:rsid w:val="00DB677D"/>
    <w:rsid w:val="00DC0BB4"/>
    <w:rsid w:val="00DC5621"/>
    <w:rsid w:val="00DD06AF"/>
    <w:rsid w:val="00DD0F85"/>
    <w:rsid w:val="00DD7964"/>
    <w:rsid w:val="00DE4711"/>
    <w:rsid w:val="00DE677E"/>
    <w:rsid w:val="00DF193A"/>
    <w:rsid w:val="00DF26D1"/>
    <w:rsid w:val="00DF4478"/>
    <w:rsid w:val="00DF44E4"/>
    <w:rsid w:val="00E03863"/>
    <w:rsid w:val="00E06943"/>
    <w:rsid w:val="00E074DD"/>
    <w:rsid w:val="00E077CD"/>
    <w:rsid w:val="00E1247D"/>
    <w:rsid w:val="00E170E1"/>
    <w:rsid w:val="00E22701"/>
    <w:rsid w:val="00E2308B"/>
    <w:rsid w:val="00E31AE3"/>
    <w:rsid w:val="00E31C19"/>
    <w:rsid w:val="00E323D6"/>
    <w:rsid w:val="00E326BC"/>
    <w:rsid w:val="00E3387A"/>
    <w:rsid w:val="00E378ED"/>
    <w:rsid w:val="00E40475"/>
    <w:rsid w:val="00E503BE"/>
    <w:rsid w:val="00E52B99"/>
    <w:rsid w:val="00E531D5"/>
    <w:rsid w:val="00E61480"/>
    <w:rsid w:val="00E62C72"/>
    <w:rsid w:val="00E63C78"/>
    <w:rsid w:val="00E8214F"/>
    <w:rsid w:val="00E90115"/>
    <w:rsid w:val="00EA1BD5"/>
    <w:rsid w:val="00EA4B2A"/>
    <w:rsid w:val="00EC10AD"/>
    <w:rsid w:val="00EC2DE0"/>
    <w:rsid w:val="00EC3919"/>
    <w:rsid w:val="00ED25A1"/>
    <w:rsid w:val="00ED6073"/>
    <w:rsid w:val="00ED66E2"/>
    <w:rsid w:val="00EE039C"/>
    <w:rsid w:val="00EE3662"/>
    <w:rsid w:val="00EE4870"/>
    <w:rsid w:val="00EE57FB"/>
    <w:rsid w:val="00EE6C97"/>
    <w:rsid w:val="00EE7A71"/>
    <w:rsid w:val="00EF0B37"/>
    <w:rsid w:val="00EF1934"/>
    <w:rsid w:val="00EF4215"/>
    <w:rsid w:val="00EF7562"/>
    <w:rsid w:val="00F035DD"/>
    <w:rsid w:val="00F116E8"/>
    <w:rsid w:val="00F21EC4"/>
    <w:rsid w:val="00F2288F"/>
    <w:rsid w:val="00F23E20"/>
    <w:rsid w:val="00F31D37"/>
    <w:rsid w:val="00F31D63"/>
    <w:rsid w:val="00F36A7B"/>
    <w:rsid w:val="00F40B5B"/>
    <w:rsid w:val="00F4318C"/>
    <w:rsid w:val="00F506AC"/>
    <w:rsid w:val="00F50FBC"/>
    <w:rsid w:val="00F533F5"/>
    <w:rsid w:val="00F53A51"/>
    <w:rsid w:val="00F54963"/>
    <w:rsid w:val="00F54DB9"/>
    <w:rsid w:val="00F607EB"/>
    <w:rsid w:val="00F74D4C"/>
    <w:rsid w:val="00F74F10"/>
    <w:rsid w:val="00F75DD5"/>
    <w:rsid w:val="00F8730F"/>
    <w:rsid w:val="00F87A5B"/>
    <w:rsid w:val="00F94AA5"/>
    <w:rsid w:val="00FA4165"/>
    <w:rsid w:val="00FB16A7"/>
    <w:rsid w:val="00FB35D3"/>
    <w:rsid w:val="00FB4D72"/>
    <w:rsid w:val="00FC2ED9"/>
    <w:rsid w:val="00FC5FC8"/>
    <w:rsid w:val="00FC7B24"/>
    <w:rsid w:val="00FE4F0B"/>
    <w:rsid w:val="00FE7DA9"/>
    <w:rsid w:val="00FF00D9"/>
    <w:rsid w:val="00FF1215"/>
    <w:rsid w:val="00FF5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29F30"/>
  <w15:chartTrackingRefBased/>
  <w15:docId w15:val="{B5171EE2-9CBF-45DF-A2CF-16839EC4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5BFD"/>
    <w:pPr>
      <w:spacing w:after="0" w:line="480" w:lineRule="auto"/>
    </w:pPr>
    <w:rPr>
      <w:rFonts w:ascii="Times New Roman" w:eastAsia="Times New Roman" w:hAnsi="Times New Roman" w:cs="Times New Roman"/>
      <w:sz w:val="24"/>
      <w:szCs w:val="24"/>
      <w:lang w:eastAsia="en-GB"/>
    </w:rPr>
  </w:style>
  <w:style w:type="paragraph" w:styleId="Heading1">
    <w:name w:val="heading 1"/>
    <w:basedOn w:val="Normal"/>
    <w:next w:val="Paragraph"/>
    <w:link w:val="Heading1Char"/>
    <w:qFormat/>
    <w:rsid w:val="00085BFD"/>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085BFD"/>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085BFD"/>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085BFD"/>
    <w:pPr>
      <w:spacing w:before="360"/>
      <w:outlineLvl w:val="3"/>
    </w:pPr>
    <w:rPr>
      <w:bCs/>
      <w:szCs w:val="28"/>
    </w:rPr>
  </w:style>
  <w:style w:type="character" w:default="1" w:styleId="DefaultParagraphFont">
    <w:name w:val="Default Paragraph Font"/>
    <w:uiPriority w:val="1"/>
    <w:semiHidden/>
    <w:unhideWhenUsed/>
    <w:rsid w:val="00085B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5BFD"/>
  </w:style>
  <w:style w:type="character" w:styleId="CommentReference">
    <w:name w:val="annotation reference"/>
    <w:basedOn w:val="DefaultParagraphFont"/>
    <w:uiPriority w:val="99"/>
    <w:semiHidden/>
    <w:unhideWhenUsed/>
    <w:rsid w:val="00056E17"/>
    <w:rPr>
      <w:sz w:val="16"/>
      <w:szCs w:val="16"/>
    </w:rPr>
  </w:style>
  <w:style w:type="paragraph" w:styleId="CommentText">
    <w:name w:val="annotation text"/>
    <w:basedOn w:val="Normal"/>
    <w:link w:val="CommentTextChar"/>
    <w:uiPriority w:val="99"/>
    <w:unhideWhenUsed/>
    <w:rsid w:val="00056E17"/>
    <w:pPr>
      <w:spacing w:line="240" w:lineRule="auto"/>
    </w:pPr>
    <w:rPr>
      <w:sz w:val="20"/>
      <w:szCs w:val="20"/>
    </w:rPr>
  </w:style>
  <w:style w:type="character" w:customStyle="1" w:styleId="CommentTextChar">
    <w:name w:val="Comment Text Char"/>
    <w:basedOn w:val="DefaultParagraphFont"/>
    <w:link w:val="CommentText"/>
    <w:uiPriority w:val="99"/>
    <w:rsid w:val="00056E17"/>
    <w:rPr>
      <w:sz w:val="20"/>
      <w:szCs w:val="20"/>
    </w:rPr>
  </w:style>
  <w:style w:type="paragraph" w:styleId="CommentSubject">
    <w:name w:val="annotation subject"/>
    <w:basedOn w:val="CommentText"/>
    <w:next w:val="CommentText"/>
    <w:link w:val="CommentSubjectChar"/>
    <w:uiPriority w:val="99"/>
    <w:semiHidden/>
    <w:unhideWhenUsed/>
    <w:rsid w:val="00056E17"/>
    <w:rPr>
      <w:b/>
      <w:bCs/>
    </w:rPr>
  </w:style>
  <w:style w:type="character" w:customStyle="1" w:styleId="CommentSubjectChar">
    <w:name w:val="Comment Subject Char"/>
    <w:basedOn w:val="CommentTextChar"/>
    <w:link w:val="CommentSubject"/>
    <w:uiPriority w:val="99"/>
    <w:semiHidden/>
    <w:rsid w:val="00056E17"/>
    <w:rPr>
      <w:b/>
      <w:bCs/>
      <w:sz w:val="20"/>
      <w:szCs w:val="20"/>
    </w:rPr>
  </w:style>
  <w:style w:type="paragraph" w:styleId="BalloonText">
    <w:name w:val="Balloon Text"/>
    <w:basedOn w:val="Normal"/>
    <w:link w:val="BalloonTextChar"/>
    <w:uiPriority w:val="99"/>
    <w:semiHidden/>
    <w:unhideWhenUsed/>
    <w:rsid w:val="00056E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E17"/>
    <w:rPr>
      <w:rFonts w:ascii="Segoe UI" w:hAnsi="Segoe UI" w:cs="Segoe UI"/>
      <w:sz w:val="18"/>
      <w:szCs w:val="18"/>
    </w:rPr>
  </w:style>
  <w:style w:type="character" w:styleId="Hyperlink">
    <w:name w:val="Hyperlink"/>
    <w:basedOn w:val="DefaultParagraphFont"/>
    <w:uiPriority w:val="99"/>
    <w:unhideWhenUsed/>
    <w:rsid w:val="00056E17"/>
    <w:rPr>
      <w:color w:val="0000FF"/>
      <w:u w:val="single"/>
    </w:rPr>
  </w:style>
  <w:style w:type="table" w:styleId="TableGrid">
    <w:name w:val="Table Grid"/>
    <w:basedOn w:val="TableNormal"/>
    <w:uiPriority w:val="39"/>
    <w:rsid w:val="00D2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851506"/>
  </w:style>
  <w:style w:type="character" w:customStyle="1" w:styleId="author-ref">
    <w:name w:val="author-ref"/>
    <w:basedOn w:val="DefaultParagraphFont"/>
    <w:rsid w:val="00851506"/>
  </w:style>
  <w:style w:type="paragraph" w:styleId="Header">
    <w:name w:val="header"/>
    <w:basedOn w:val="Normal"/>
    <w:link w:val="HeaderChar"/>
    <w:rsid w:val="00085BFD"/>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085BFD"/>
    <w:rPr>
      <w:rFonts w:ascii="Times New Roman" w:eastAsia="Times New Roman" w:hAnsi="Times New Roman" w:cs="Times New Roman"/>
      <w:sz w:val="24"/>
      <w:szCs w:val="24"/>
      <w:lang w:eastAsia="en-GB"/>
    </w:rPr>
  </w:style>
  <w:style w:type="paragraph" w:styleId="Footer">
    <w:name w:val="footer"/>
    <w:basedOn w:val="Normal"/>
    <w:link w:val="FooterChar"/>
    <w:rsid w:val="00085BFD"/>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085BFD"/>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C163CA"/>
    <w:rPr>
      <w:color w:val="605E5C"/>
      <w:shd w:val="clear" w:color="auto" w:fill="E1DFDD"/>
    </w:rPr>
  </w:style>
  <w:style w:type="paragraph" w:styleId="Revision">
    <w:name w:val="Revision"/>
    <w:hidden/>
    <w:uiPriority w:val="99"/>
    <w:semiHidden/>
    <w:rsid w:val="001E453B"/>
    <w:pPr>
      <w:spacing w:after="0" w:line="240" w:lineRule="auto"/>
    </w:pPr>
  </w:style>
  <w:style w:type="paragraph" w:styleId="NormalWeb">
    <w:name w:val="Normal (Web)"/>
    <w:basedOn w:val="Normal"/>
    <w:uiPriority w:val="99"/>
    <w:semiHidden/>
    <w:unhideWhenUsed/>
    <w:rsid w:val="001B4885"/>
    <w:pPr>
      <w:spacing w:before="100" w:beforeAutospacing="1" w:after="100" w:afterAutospacing="1" w:line="240" w:lineRule="auto"/>
    </w:pPr>
  </w:style>
  <w:style w:type="paragraph" w:styleId="Caption">
    <w:name w:val="caption"/>
    <w:basedOn w:val="Normal"/>
    <w:next w:val="Normal"/>
    <w:uiPriority w:val="35"/>
    <w:unhideWhenUsed/>
    <w:qFormat/>
    <w:rsid w:val="00315378"/>
    <w:pPr>
      <w:spacing w:after="200" w:line="240" w:lineRule="auto"/>
    </w:pPr>
    <w:rPr>
      <w:i/>
      <w:iCs/>
      <w:color w:val="44546A" w:themeColor="text2"/>
      <w:sz w:val="18"/>
      <w:szCs w:val="18"/>
    </w:rPr>
  </w:style>
  <w:style w:type="character" w:customStyle="1" w:styleId="Heading1Char">
    <w:name w:val="Heading 1 Char"/>
    <w:basedOn w:val="DefaultParagraphFont"/>
    <w:link w:val="Heading1"/>
    <w:rsid w:val="00085BFD"/>
    <w:rPr>
      <w:rFonts w:ascii="Times New Roman" w:eastAsia="Times New Roman" w:hAnsi="Times New Roman" w:cs="Arial"/>
      <w:b/>
      <w:bCs/>
      <w:kern w:val="32"/>
      <w:sz w:val="24"/>
      <w:szCs w:val="32"/>
      <w:lang w:eastAsia="en-GB"/>
    </w:rPr>
  </w:style>
  <w:style w:type="character" w:customStyle="1" w:styleId="Heading2Char">
    <w:name w:val="Heading 2 Char"/>
    <w:basedOn w:val="DefaultParagraphFont"/>
    <w:link w:val="Heading2"/>
    <w:rsid w:val="00085BFD"/>
    <w:rPr>
      <w:rFonts w:ascii="Times New Roman" w:eastAsia="Times New Roman" w:hAnsi="Times New Roman" w:cs="Arial"/>
      <w:b/>
      <w:bCs/>
      <w:i/>
      <w:iCs/>
      <w:sz w:val="24"/>
      <w:szCs w:val="28"/>
      <w:lang w:eastAsia="en-GB"/>
    </w:rPr>
  </w:style>
  <w:style w:type="character" w:customStyle="1" w:styleId="Heading3Char">
    <w:name w:val="Heading 3 Char"/>
    <w:basedOn w:val="DefaultParagraphFont"/>
    <w:link w:val="Heading3"/>
    <w:rsid w:val="00085BFD"/>
    <w:rPr>
      <w:rFonts w:ascii="Times New Roman" w:eastAsia="Times New Roman" w:hAnsi="Times New Roman" w:cs="Arial"/>
      <w:bCs/>
      <w:i/>
      <w:sz w:val="24"/>
      <w:szCs w:val="26"/>
      <w:lang w:eastAsia="en-GB"/>
    </w:rPr>
  </w:style>
  <w:style w:type="character" w:customStyle="1" w:styleId="Heading4Char">
    <w:name w:val="Heading 4 Char"/>
    <w:basedOn w:val="DefaultParagraphFont"/>
    <w:link w:val="Heading4"/>
    <w:rsid w:val="00085BFD"/>
    <w:rPr>
      <w:rFonts w:ascii="Times New Roman" w:eastAsia="Times New Roman" w:hAnsi="Times New Roman" w:cs="Times New Roman"/>
      <w:bCs/>
      <w:sz w:val="24"/>
      <w:szCs w:val="28"/>
      <w:lang w:eastAsia="en-GB"/>
    </w:rPr>
  </w:style>
  <w:style w:type="paragraph" w:customStyle="1" w:styleId="Articletitle">
    <w:name w:val="Article title"/>
    <w:basedOn w:val="Normal"/>
    <w:next w:val="Normal"/>
    <w:qFormat/>
    <w:rsid w:val="00085BFD"/>
    <w:pPr>
      <w:spacing w:after="120" w:line="360" w:lineRule="auto"/>
    </w:pPr>
    <w:rPr>
      <w:b/>
      <w:sz w:val="28"/>
    </w:rPr>
  </w:style>
  <w:style w:type="paragraph" w:customStyle="1" w:styleId="Authornames">
    <w:name w:val="Author names"/>
    <w:basedOn w:val="Normal"/>
    <w:next w:val="Normal"/>
    <w:qFormat/>
    <w:rsid w:val="00085BFD"/>
    <w:pPr>
      <w:spacing w:before="240" w:line="360" w:lineRule="auto"/>
    </w:pPr>
    <w:rPr>
      <w:sz w:val="28"/>
    </w:rPr>
  </w:style>
  <w:style w:type="paragraph" w:customStyle="1" w:styleId="Affiliation">
    <w:name w:val="Affiliation"/>
    <w:basedOn w:val="Normal"/>
    <w:qFormat/>
    <w:rsid w:val="00085BFD"/>
    <w:pPr>
      <w:spacing w:before="240" w:line="360" w:lineRule="auto"/>
    </w:pPr>
    <w:rPr>
      <w:i/>
    </w:rPr>
  </w:style>
  <w:style w:type="paragraph" w:customStyle="1" w:styleId="Receiveddates">
    <w:name w:val="Received dates"/>
    <w:basedOn w:val="Affiliation"/>
    <w:next w:val="Normal"/>
    <w:qFormat/>
    <w:rsid w:val="00085BFD"/>
  </w:style>
  <w:style w:type="paragraph" w:customStyle="1" w:styleId="Abstract">
    <w:name w:val="Abstract"/>
    <w:basedOn w:val="Normal"/>
    <w:next w:val="Keywords"/>
    <w:qFormat/>
    <w:rsid w:val="00085BFD"/>
    <w:pPr>
      <w:spacing w:before="360" w:after="300" w:line="360" w:lineRule="auto"/>
      <w:ind w:left="720" w:right="567"/>
    </w:pPr>
    <w:rPr>
      <w:sz w:val="22"/>
    </w:rPr>
  </w:style>
  <w:style w:type="paragraph" w:customStyle="1" w:styleId="Keywords">
    <w:name w:val="Keywords"/>
    <w:basedOn w:val="Normal"/>
    <w:next w:val="Paragraph"/>
    <w:qFormat/>
    <w:rsid w:val="00085BFD"/>
    <w:pPr>
      <w:spacing w:before="240" w:after="240" w:line="360" w:lineRule="auto"/>
      <w:ind w:left="720" w:right="567"/>
    </w:pPr>
    <w:rPr>
      <w:sz w:val="22"/>
    </w:rPr>
  </w:style>
  <w:style w:type="paragraph" w:customStyle="1" w:styleId="Correspondencedetails">
    <w:name w:val="Correspondence details"/>
    <w:basedOn w:val="Normal"/>
    <w:qFormat/>
    <w:rsid w:val="00085BFD"/>
    <w:pPr>
      <w:spacing w:before="240" w:line="360" w:lineRule="auto"/>
    </w:pPr>
  </w:style>
  <w:style w:type="paragraph" w:customStyle="1" w:styleId="Displayedquotation">
    <w:name w:val="Displayed quotation"/>
    <w:basedOn w:val="Normal"/>
    <w:qFormat/>
    <w:rsid w:val="00085BFD"/>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085BFD"/>
    <w:pPr>
      <w:widowControl/>
      <w:numPr>
        <w:numId w:val="13"/>
      </w:numPr>
      <w:spacing w:after="240"/>
      <w:contextualSpacing/>
    </w:pPr>
  </w:style>
  <w:style w:type="paragraph" w:customStyle="1" w:styleId="Displayedequation">
    <w:name w:val="Displayed equation"/>
    <w:basedOn w:val="Normal"/>
    <w:next w:val="Paragraph"/>
    <w:qFormat/>
    <w:rsid w:val="00085BFD"/>
    <w:pPr>
      <w:tabs>
        <w:tab w:val="center" w:pos="4253"/>
        <w:tab w:val="right" w:pos="8222"/>
      </w:tabs>
      <w:spacing w:before="240" w:after="240"/>
      <w:jc w:val="center"/>
    </w:pPr>
  </w:style>
  <w:style w:type="paragraph" w:customStyle="1" w:styleId="Acknowledgements">
    <w:name w:val="Acknowledgements"/>
    <w:basedOn w:val="Normal"/>
    <w:next w:val="Normal"/>
    <w:qFormat/>
    <w:rsid w:val="00085BFD"/>
    <w:pPr>
      <w:spacing w:before="120" w:line="360" w:lineRule="auto"/>
    </w:pPr>
    <w:rPr>
      <w:sz w:val="22"/>
    </w:rPr>
  </w:style>
  <w:style w:type="paragraph" w:customStyle="1" w:styleId="Tabletitle">
    <w:name w:val="Table title"/>
    <w:basedOn w:val="Normal"/>
    <w:next w:val="Normal"/>
    <w:qFormat/>
    <w:rsid w:val="00085BFD"/>
    <w:pPr>
      <w:spacing w:before="240" w:line="360" w:lineRule="auto"/>
    </w:pPr>
  </w:style>
  <w:style w:type="paragraph" w:customStyle="1" w:styleId="Figurecaption">
    <w:name w:val="Figure caption"/>
    <w:basedOn w:val="Normal"/>
    <w:next w:val="Normal"/>
    <w:qFormat/>
    <w:rsid w:val="00085BFD"/>
    <w:pPr>
      <w:spacing w:before="240" w:line="360" w:lineRule="auto"/>
    </w:pPr>
  </w:style>
  <w:style w:type="paragraph" w:customStyle="1" w:styleId="Footnotes">
    <w:name w:val="Footnotes"/>
    <w:basedOn w:val="Normal"/>
    <w:qFormat/>
    <w:rsid w:val="00085BFD"/>
    <w:pPr>
      <w:spacing w:before="120" w:line="360" w:lineRule="auto"/>
      <w:ind w:left="482" w:hanging="482"/>
      <w:contextualSpacing/>
    </w:pPr>
    <w:rPr>
      <w:sz w:val="22"/>
    </w:rPr>
  </w:style>
  <w:style w:type="paragraph" w:customStyle="1" w:styleId="Notesoncontributors">
    <w:name w:val="Notes on contributors"/>
    <w:basedOn w:val="Normal"/>
    <w:qFormat/>
    <w:rsid w:val="00085BFD"/>
    <w:pPr>
      <w:spacing w:before="240" w:line="360" w:lineRule="auto"/>
    </w:pPr>
    <w:rPr>
      <w:sz w:val="22"/>
    </w:rPr>
  </w:style>
  <w:style w:type="paragraph" w:customStyle="1" w:styleId="Normalparagraphstyle">
    <w:name w:val="Normal paragraph style"/>
    <w:basedOn w:val="Normal"/>
    <w:next w:val="Normal"/>
    <w:rsid w:val="00085BFD"/>
  </w:style>
  <w:style w:type="paragraph" w:customStyle="1" w:styleId="Paragraph">
    <w:name w:val="Paragraph"/>
    <w:basedOn w:val="Normal"/>
    <w:next w:val="Newparagraph"/>
    <w:qFormat/>
    <w:rsid w:val="00085BFD"/>
    <w:pPr>
      <w:widowControl w:val="0"/>
      <w:spacing w:before="240"/>
    </w:pPr>
  </w:style>
  <w:style w:type="paragraph" w:customStyle="1" w:styleId="Newparagraph">
    <w:name w:val="New paragraph"/>
    <w:basedOn w:val="Normal"/>
    <w:qFormat/>
    <w:rsid w:val="00085BFD"/>
    <w:pPr>
      <w:ind w:firstLine="720"/>
    </w:pPr>
  </w:style>
  <w:style w:type="paragraph" w:styleId="NormalIndent">
    <w:name w:val="Normal Indent"/>
    <w:basedOn w:val="Normal"/>
    <w:rsid w:val="00085BFD"/>
    <w:pPr>
      <w:ind w:left="720"/>
    </w:pPr>
  </w:style>
  <w:style w:type="paragraph" w:customStyle="1" w:styleId="References">
    <w:name w:val="References"/>
    <w:basedOn w:val="Normal"/>
    <w:qFormat/>
    <w:rsid w:val="00085BFD"/>
    <w:pPr>
      <w:spacing w:before="120" w:line="360" w:lineRule="auto"/>
      <w:ind w:left="720" w:hanging="720"/>
      <w:contextualSpacing/>
    </w:pPr>
  </w:style>
  <w:style w:type="paragraph" w:customStyle="1" w:styleId="Subjectcodes">
    <w:name w:val="Subject codes"/>
    <w:basedOn w:val="Keywords"/>
    <w:next w:val="Paragraph"/>
    <w:qFormat/>
    <w:rsid w:val="00085BFD"/>
  </w:style>
  <w:style w:type="paragraph" w:customStyle="1" w:styleId="Bulletedlist">
    <w:name w:val="Bulleted list"/>
    <w:basedOn w:val="Paragraph"/>
    <w:next w:val="Paragraph"/>
    <w:qFormat/>
    <w:rsid w:val="00085BFD"/>
    <w:pPr>
      <w:widowControl/>
      <w:numPr>
        <w:numId w:val="14"/>
      </w:numPr>
      <w:spacing w:after="240"/>
      <w:contextualSpacing/>
    </w:pPr>
  </w:style>
  <w:style w:type="paragraph" w:styleId="FootnoteText">
    <w:name w:val="footnote text"/>
    <w:basedOn w:val="Normal"/>
    <w:link w:val="FootnoteTextChar"/>
    <w:autoRedefine/>
    <w:rsid w:val="00085BFD"/>
    <w:pPr>
      <w:ind w:left="284" w:hanging="284"/>
    </w:pPr>
    <w:rPr>
      <w:sz w:val="22"/>
      <w:szCs w:val="20"/>
    </w:rPr>
  </w:style>
  <w:style w:type="character" w:customStyle="1" w:styleId="FootnoteTextChar">
    <w:name w:val="Footnote Text Char"/>
    <w:basedOn w:val="DefaultParagraphFont"/>
    <w:link w:val="FootnoteText"/>
    <w:rsid w:val="00085BFD"/>
    <w:rPr>
      <w:rFonts w:ascii="Times New Roman" w:eastAsia="Times New Roman" w:hAnsi="Times New Roman" w:cs="Times New Roman"/>
      <w:szCs w:val="20"/>
      <w:lang w:eastAsia="en-GB"/>
    </w:rPr>
  </w:style>
  <w:style w:type="character" w:styleId="FootnoteReference">
    <w:name w:val="footnote reference"/>
    <w:basedOn w:val="DefaultParagraphFont"/>
    <w:rsid w:val="00085BFD"/>
    <w:rPr>
      <w:vertAlign w:val="superscript"/>
    </w:rPr>
  </w:style>
  <w:style w:type="paragraph" w:styleId="EndnoteText">
    <w:name w:val="endnote text"/>
    <w:basedOn w:val="Normal"/>
    <w:link w:val="EndnoteTextChar"/>
    <w:autoRedefine/>
    <w:rsid w:val="00085BFD"/>
    <w:pPr>
      <w:ind w:left="284" w:hanging="284"/>
    </w:pPr>
    <w:rPr>
      <w:sz w:val="22"/>
      <w:szCs w:val="20"/>
    </w:rPr>
  </w:style>
  <w:style w:type="character" w:customStyle="1" w:styleId="EndnoteTextChar">
    <w:name w:val="Endnote Text Char"/>
    <w:basedOn w:val="DefaultParagraphFont"/>
    <w:link w:val="EndnoteText"/>
    <w:rsid w:val="00085BFD"/>
    <w:rPr>
      <w:rFonts w:ascii="Times New Roman" w:eastAsia="Times New Roman" w:hAnsi="Times New Roman" w:cs="Times New Roman"/>
      <w:szCs w:val="20"/>
      <w:lang w:eastAsia="en-GB"/>
    </w:rPr>
  </w:style>
  <w:style w:type="character" w:styleId="EndnoteReference">
    <w:name w:val="endnote reference"/>
    <w:basedOn w:val="DefaultParagraphFont"/>
    <w:rsid w:val="00085BFD"/>
    <w:rPr>
      <w:vertAlign w:val="superscript"/>
    </w:rPr>
  </w:style>
  <w:style w:type="paragraph" w:customStyle="1" w:styleId="Heading4Paragraph">
    <w:name w:val="Heading 4 + Paragraph"/>
    <w:basedOn w:val="Paragraph"/>
    <w:next w:val="Newparagraph"/>
    <w:qFormat/>
    <w:rsid w:val="00085BFD"/>
    <w:pPr>
      <w:widowControl/>
      <w:spacing w:before="360"/>
    </w:pPr>
  </w:style>
  <w:style w:type="character" w:customStyle="1" w:styleId="a">
    <w:name w:val="_"/>
    <w:basedOn w:val="DefaultParagraphFont"/>
    <w:rsid w:val="00684ACF"/>
  </w:style>
  <w:style w:type="character" w:customStyle="1" w:styleId="ff2">
    <w:name w:val="ff2"/>
    <w:basedOn w:val="DefaultParagraphFont"/>
    <w:rsid w:val="00684ACF"/>
  </w:style>
  <w:style w:type="character" w:customStyle="1" w:styleId="ff1">
    <w:name w:val="ff1"/>
    <w:basedOn w:val="DefaultParagraphFont"/>
    <w:rsid w:val="00684ACF"/>
  </w:style>
  <w:style w:type="character" w:styleId="LineNumber">
    <w:name w:val="line number"/>
    <w:basedOn w:val="DefaultParagraphFont"/>
    <w:uiPriority w:val="99"/>
    <w:semiHidden/>
    <w:unhideWhenUsed/>
    <w:rsid w:val="00745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7365">
      <w:bodyDiv w:val="1"/>
      <w:marLeft w:val="0"/>
      <w:marRight w:val="0"/>
      <w:marTop w:val="0"/>
      <w:marBottom w:val="0"/>
      <w:divBdr>
        <w:top w:val="none" w:sz="0" w:space="0" w:color="auto"/>
        <w:left w:val="none" w:sz="0" w:space="0" w:color="auto"/>
        <w:bottom w:val="none" w:sz="0" w:space="0" w:color="auto"/>
        <w:right w:val="none" w:sz="0" w:space="0" w:color="auto"/>
      </w:divBdr>
    </w:div>
    <w:div w:id="213349067">
      <w:bodyDiv w:val="1"/>
      <w:marLeft w:val="0"/>
      <w:marRight w:val="0"/>
      <w:marTop w:val="0"/>
      <w:marBottom w:val="0"/>
      <w:divBdr>
        <w:top w:val="none" w:sz="0" w:space="0" w:color="auto"/>
        <w:left w:val="none" w:sz="0" w:space="0" w:color="auto"/>
        <w:bottom w:val="none" w:sz="0" w:space="0" w:color="auto"/>
        <w:right w:val="none" w:sz="0" w:space="0" w:color="auto"/>
      </w:divBdr>
    </w:div>
    <w:div w:id="380712931">
      <w:bodyDiv w:val="1"/>
      <w:marLeft w:val="0"/>
      <w:marRight w:val="0"/>
      <w:marTop w:val="0"/>
      <w:marBottom w:val="0"/>
      <w:divBdr>
        <w:top w:val="none" w:sz="0" w:space="0" w:color="auto"/>
        <w:left w:val="none" w:sz="0" w:space="0" w:color="auto"/>
        <w:bottom w:val="none" w:sz="0" w:space="0" w:color="auto"/>
        <w:right w:val="none" w:sz="0" w:space="0" w:color="auto"/>
      </w:divBdr>
    </w:div>
    <w:div w:id="428812270">
      <w:bodyDiv w:val="1"/>
      <w:marLeft w:val="0"/>
      <w:marRight w:val="0"/>
      <w:marTop w:val="0"/>
      <w:marBottom w:val="0"/>
      <w:divBdr>
        <w:top w:val="none" w:sz="0" w:space="0" w:color="auto"/>
        <w:left w:val="none" w:sz="0" w:space="0" w:color="auto"/>
        <w:bottom w:val="none" w:sz="0" w:space="0" w:color="auto"/>
        <w:right w:val="none" w:sz="0" w:space="0" w:color="auto"/>
      </w:divBdr>
    </w:div>
    <w:div w:id="577372441">
      <w:bodyDiv w:val="1"/>
      <w:marLeft w:val="0"/>
      <w:marRight w:val="0"/>
      <w:marTop w:val="0"/>
      <w:marBottom w:val="0"/>
      <w:divBdr>
        <w:top w:val="none" w:sz="0" w:space="0" w:color="auto"/>
        <w:left w:val="none" w:sz="0" w:space="0" w:color="auto"/>
        <w:bottom w:val="none" w:sz="0" w:space="0" w:color="auto"/>
        <w:right w:val="none" w:sz="0" w:space="0" w:color="auto"/>
      </w:divBdr>
      <w:divsChild>
        <w:div w:id="356273985">
          <w:marLeft w:val="0"/>
          <w:marRight w:val="0"/>
          <w:marTop w:val="0"/>
          <w:marBottom w:val="0"/>
          <w:divBdr>
            <w:top w:val="none" w:sz="0" w:space="0" w:color="auto"/>
            <w:left w:val="none" w:sz="0" w:space="0" w:color="auto"/>
            <w:bottom w:val="none" w:sz="0" w:space="0" w:color="auto"/>
            <w:right w:val="none" w:sz="0" w:space="0" w:color="auto"/>
          </w:divBdr>
        </w:div>
        <w:div w:id="555240296">
          <w:marLeft w:val="0"/>
          <w:marRight w:val="0"/>
          <w:marTop w:val="0"/>
          <w:marBottom w:val="0"/>
          <w:divBdr>
            <w:top w:val="none" w:sz="0" w:space="0" w:color="auto"/>
            <w:left w:val="none" w:sz="0" w:space="0" w:color="auto"/>
            <w:bottom w:val="none" w:sz="0" w:space="0" w:color="auto"/>
            <w:right w:val="none" w:sz="0" w:space="0" w:color="auto"/>
          </w:divBdr>
        </w:div>
        <w:div w:id="1701861522">
          <w:marLeft w:val="0"/>
          <w:marRight w:val="0"/>
          <w:marTop w:val="0"/>
          <w:marBottom w:val="0"/>
          <w:divBdr>
            <w:top w:val="none" w:sz="0" w:space="0" w:color="auto"/>
            <w:left w:val="none" w:sz="0" w:space="0" w:color="auto"/>
            <w:bottom w:val="none" w:sz="0" w:space="0" w:color="auto"/>
            <w:right w:val="none" w:sz="0" w:space="0" w:color="auto"/>
          </w:divBdr>
        </w:div>
        <w:div w:id="2146846797">
          <w:marLeft w:val="0"/>
          <w:marRight w:val="0"/>
          <w:marTop w:val="0"/>
          <w:marBottom w:val="0"/>
          <w:divBdr>
            <w:top w:val="none" w:sz="0" w:space="0" w:color="auto"/>
            <w:left w:val="none" w:sz="0" w:space="0" w:color="auto"/>
            <w:bottom w:val="none" w:sz="0" w:space="0" w:color="auto"/>
            <w:right w:val="none" w:sz="0" w:space="0" w:color="auto"/>
          </w:divBdr>
        </w:div>
        <w:div w:id="1239942062">
          <w:marLeft w:val="0"/>
          <w:marRight w:val="0"/>
          <w:marTop w:val="0"/>
          <w:marBottom w:val="0"/>
          <w:divBdr>
            <w:top w:val="none" w:sz="0" w:space="0" w:color="auto"/>
            <w:left w:val="none" w:sz="0" w:space="0" w:color="auto"/>
            <w:bottom w:val="none" w:sz="0" w:space="0" w:color="auto"/>
            <w:right w:val="none" w:sz="0" w:space="0" w:color="auto"/>
          </w:divBdr>
        </w:div>
        <w:div w:id="1031222564">
          <w:marLeft w:val="0"/>
          <w:marRight w:val="0"/>
          <w:marTop w:val="0"/>
          <w:marBottom w:val="0"/>
          <w:divBdr>
            <w:top w:val="none" w:sz="0" w:space="0" w:color="auto"/>
            <w:left w:val="none" w:sz="0" w:space="0" w:color="auto"/>
            <w:bottom w:val="none" w:sz="0" w:space="0" w:color="auto"/>
            <w:right w:val="none" w:sz="0" w:space="0" w:color="auto"/>
          </w:divBdr>
        </w:div>
        <w:div w:id="736241488">
          <w:marLeft w:val="0"/>
          <w:marRight w:val="0"/>
          <w:marTop w:val="0"/>
          <w:marBottom w:val="0"/>
          <w:divBdr>
            <w:top w:val="none" w:sz="0" w:space="0" w:color="auto"/>
            <w:left w:val="none" w:sz="0" w:space="0" w:color="auto"/>
            <w:bottom w:val="none" w:sz="0" w:space="0" w:color="auto"/>
            <w:right w:val="none" w:sz="0" w:space="0" w:color="auto"/>
          </w:divBdr>
        </w:div>
        <w:div w:id="720129413">
          <w:marLeft w:val="0"/>
          <w:marRight w:val="0"/>
          <w:marTop w:val="0"/>
          <w:marBottom w:val="0"/>
          <w:divBdr>
            <w:top w:val="none" w:sz="0" w:space="0" w:color="auto"/>
            <w:left w:val="none" w:sz="0" w:space="0" w:color="auto"/>
            <w:bottom w:val="none" w:sz="0" w:space="0" w:color="auto"/>
            <w:right w:val="none" w:sz="0" w:space="0" w:color="auto"/>
          </w:divBdr>
        </w:div>
        <w:div w:id="270742312">
          <w:marLeft w:val="0"/>
          <w:marRight w:val="0"/>
          <w:marTop w:val="0"/>
          <w:marBottom w:val="0"/>
          <w:divBdr>
            <w:top w:val="none" w:sz="0" w:space="0" w:color="auto"/>
            <w:left w:val="none" w:sz="0" w:space="0" w:color="auto"/>
            <w:bottom w:val="none" w:sz="0" w:space="0" w:color="auto"/>
            <w:right w:val="none" w:sz="0" w:space="0" w:color="auto"/>
          </w:divBdr>
        </w:div>
        <w:div w:id="744107335">
          <w:marLeft w:val="0"/>
          <w:marRight w:val="0"/>
          <w:marTop w:val="0"/>
          <w:marBottom w:val="0"/>
          <w:divBdr>
            <w:top w:val="none" w:sz="0" w:space="0" w:color="auto"/>
            <w:left w:val="none" w:sz="0" w:space="0" w:color="auto"/>
            <w:bottom w:val="none" w:sz="0" w:space="0" w:color="auto"/>
            <w:right w:val="none" w:sz="0" w:space="0" w:color="auto"/>
          </w:divBdr>
        </w:div>
        <w:div w:id="425930443">
          <w:marLeft w:val="0"/>
          <w:marRight w:val="0"/>
          <w:marTop w:val="0"/>
          <w:marBottom w:val="0"/>
          <w:divBdr>
            <w:top w:val="none" w:sz="0" w:space="0" w:color="auto"/>
            <w:left w:val="none" w:sz="0" w:space="0" w:color="auto"/>
            <w:bottom w:val="none" w:sz="0" w:space="0" w:color="auto"/>
            <w:right w:val="none" w:sz="0" w:space="0" w:color="auto"/>
          </w:divBdr>
        </w:div>
        <w:div w:id="865600905">
          <w:marLeft w:val="0"/>
          <w:marRight w:val="0"/>
          <w:marTop w:val="0"/>
          <w:marBottom w:val="0"/>
          <w:divBdr>
            <w:top w:val="none" w:sz="0" w:space="0" w:color="auto"/>
            <w:left w:val="none" w:sz="0" w:space="0" w:color="auto"/>
            <w:bottom w:val="none" w:sz="0" w:space="0" w:color="auto"/>
            <w:right w:val="none" w:sz="0" w:space="0" w:color="auto"/>
          </w:divBdr>
        </w:div>
        <w:div w:id="1483699546">
          <w:marLeft w:val="0"/>
          <w:marRight w:val="0"/>
          <w:marTop w:val="0"/>
          <w:marBottom w:val="0"/>
          <w:divBdr>
            <w:top w:val="none" w:sz="0" w:space="0" w:color="auto"/>
            <w:left w:val="none" w:sz="0" w:space="0" w:color="auto"/>
            <w:bottom w:val="none" w:sz="0" w:space="0" w:color="auto"/>
            <w:right w:val="none" w:sz="0" w:space="0" w:color="auto"/>
          </w:divBdr>
        </w:div>
        <w:div w:id="375080313">
          <w:marLeft w:val="0"/>
          <w:marRight w:val="0"/>
          <w:marTop w:val="0"/>
          <w:marBottom w:val="0"/>
          <w:divBdr>
            <w:top w:val="none" w:sz="0" w:space="0" w:color="auto"/>
            <w:left w:val="none" w:sz="0" w:space="0" w:color="auto"/>
            <w:bottom w:val="none" w:sz="0" w:space="0" w:color="auto"/>
            <w:right w:val="none" w:sz="0" w:space="0" w:color="auto"/>
          </w:divBdr>
        </w:div>
        <w:div w:id="1631128207">
          <w:marLeft w:val="0"/>
          <w:marRight w:val="0"/>
          <w:marTop w:val="0"/>
          <w:marBottom w:val="0"/>
          <w:divBdr>
            <w:top w:val="none" w:sz="0" w:space="0" w:color="auto"/>
            <w:left w:val="none" w:sz="0" w:space="0" w:color="auto"/>
            <w:bottom w:val="none" w:sz="0" w:space="0" w:color="auto"/>
            <w:right w:val="none" w:sz="0" w:space="0" w:color="auto"/>
          </w:divBdr>
        </w:div>
      </w:divsChild>
    </w:div>
    <w:div w:id="618872787">
      <w:bodyDiv w:val="1"/>
      <w:marLeft w:val="0"/>
      <w:marRight w:val="0"/>
      <w:marTop w:val="0"/>
      <w:marBottom w:val="0"/>
      <w:divBdr>
        <w:top w:val="none" w:sz="0" w:space="0" w:color="auto"/>
        <w:left w:val="none" w:sz="0" w:space="0" w:color="auto"/>
        <w:bottom w:val="none" w:sz="0" w:space="0" w:color="auto"/>
        <w:right w:val="none" w:sz="0" w:space="0" w:color="auto"/>
      </w:divBdr>
    </w:div>
    <w:div w:id="646669171">
      <w:bodyDiv w:val="1"/>
      <w:marLeft w:val="0"/>
      <w:marRight w:val="0"/>
      <w:marTop w:val="0"/>
      <w:marBottom w:val="0"/>
      <w:divBdr>
        <w:top w:val="none" w:sz="0" w:space="0" w:color="auto"/>
        <w:left w:val="none" w:sz="0" w:space="0" w:color="auto"/>
        <w:bottom w:val="none" w:sz="0" w:space="0" w:color="auto"/>
        <w:right w:val="none" w:sz="0" w:space="0" w:color="auto"/>
      </w:divBdr>
    </w:div>
    <w:div w:id="719864587">
      <w:bodyDiv w:val="1"/>
      <w:marLeft w:val="0"/>
      <w:marRight w:val="0"/>
      <w:marTop w:val="0"/>
      <w:marBottom w:val="0"/>
      <w:divBdr>
        <w:top w:val="none" w:sz="0" w:space="0" w:color="auto"/>
        <w:left w:val="none" w:sz="0" w:space="0" w:color="auto"/>
        <w:bottom w:val="none" w:sz="0" w:space="0" w:color="auto"/>
        <w:right w:val="none" w:sz="0" w:space="0" w:color="auto"/>
      </w:divBdr>
      <w:divsChild>
        <w:div w:id="1090004916">
          <w:marLeft w:val="0"/>
          <w:marRight w:val="0"/>
          <w:marTop w:val="0"/>
          <w:marBottom w:val="0"/>
          <w:divBdr>
            <w:top w:val="none" w:sz="0" w:space="0" w:color="auto"/>
            <w:left w:val="none" w:sz="0" w:space="0" w:color="auto"/>
            <w:bottom w:val="none" w:sz="0" w:space="0" w:color="auto"/>
            <w:right w:val="none" w:sz="0" w:space="0" w:color="auto"/>
          </w:divBdr>
        </w:div>
        <w:div w:id="1170414702">
          <w:marLeft w:val="0"/>
          <w:marRight w:val="0"/>
          <w:marTop w:val="0"/>
          <w:marBottom w:val="0"/>
          <w:divBdr>
            <w:top w:val="none" w:sz="0" w:space="0" w:color="auto"/>
            <w:left w:val="none" w:sz="0" w:space="0" w:color="auto"/>
            <w:bottom w:val="none" w:sz="0" w:space="0" w:color="auto"/>
            <w:right w:val="none" w:sz="0" w:space="0" w:color="auto"/>
          </w:divBdr>
        </w:div>
        <w:div w:id="1174879473">
          <w:marLeft w:val="0"/>
          <w:marRight w:val="0"/>
          <w:marTop w:val="0"/>
          <w:marBottom w:val="0"/>
          <w:divBdr>
            <w:top w:val="none" w:sz="0" w:space="0" w:color="auto"/>
            <w:left w:val="none" w:sz="0" w:space="0" w:color="auto"/>
            <w:bottom w:val="none" w:sz="0" w:space="0" w:color="auto"/>
            <w:right w:val="none" w:sz="0" w:space="0" w:color="auto"/>
          </w:divBdr>
        </w:div>
        <w:div w:id="2063212814">
          <w:marLeft w:val="0"/>
          <w:marRight w:val="0"/>
          <w:marTop w:val="0"/>
          <w:marBottom w:val="0"/>
          <w:divBdr>
            <w:top w:val="none" w:sz="0" w:space="0" w:color="auto"/>
            <w:left w:val="none" w:sz="0" w:space="0" w:color="auto"/>
            <w:bottom w:val="none" w:sz="0" w:space="0" w:color="auto"/>
            <w:right w:val="none" w:sz="0" w:space="0" w:color="auto"/>
          </w:divBdr>
        </w:div>
      </w:divsChild>
    </w:div>
    <w:div w:id="842932678">
      <w:bodyDiv w:val="1"/>
      <w:marLeft w:val="0"/>
      <w:marRight w:val="0"/>
      <w:marTop w:val="0"/>
      <w:marBottom w:val="0"/>
      <w:divBdr>
        <w:top w:val="none" w:sz="0" w:space="0" w:color="auto"/>
        <w:left w:val="none" w:sz="0" w:space="0" w:color="auto"/>
        <w:bottom w:val="none" w:sz="0" w:space="0" w:color="auto"/>
        <w:right w:val="none" w:sz="0" w:space="0" w:color="auto"/>
      </w:divBdr>
    </w:div>
    <w:div w:id="1055006149">
      <w:bodyDiv w:val="1"/>
      <w:marLeft w:val="0"/>
      <w:marRight w:val="0"/>
      <w:marTop w:val="0"/>
      <w:marBottom w:val="0"/>
      <w:divBdr>
        <w:top w:val="none" w:sz="0" w:space="0" w:color="auto"/>
        <w:left w:val="none" w:sz="0" w:space="0" w:color="auto"/>
        <w:bottom w:val="none" w:sz="0" w:space="0" w:color="auto"/>
        <w:right w:val="none" w:sz="0" w:space="0" w:color="auto"/>
      </w:divBdr>
    </w:div>
    <w:div w:id="1213233412">
      <w:bodyDiv w:val="1"/>
      <w:marLeft w:val="0"/>
      <w:marRight w:val="0"/>
      <w:marTop w:val="0"/>
      <w:marBottom w:val="0"/>
      <w:divBdr>
        <w:top w:val="none" w:sz="0" w:space="0" w:color="auto"/>
        <w:left w:val="none" w:sz="0" w:space="0" w:color="auto"/>
        <w:bottom w:val="none" w:sz="0" w:space="0" w:color="auto"/>
        <w:right w:val="none" w:sz="0" w:space="0" w:color="auto"/>
      </w:divBdr>
    </w:div>
    <w:div w:id="1257785433">
      <w:bodyDiv w:val="1"/>
      <w:marLeft w:val="0"/>
      <w:marRight w:val="0"/>
      <w:marTop w:val="0"/>
      <w:marBottom w:val="0"/>
      <w:divBdr>
        <w:top w:val="none" w:sz="0" w:space="0" w:color="auto"/>
        <w:left w:val="none" w:sz="0" w:space="0" w:color="auto"/>
        <w:bottom w:val="none" w:sz="0" w:space="0" w:color="auto"/>
        <w:right w:val="none" w:sz="0" w:space="0" w:color="auto"/>
      </w:divBdr>
      <w:divsChild>
        <w:div w:id="207422096">
          <w:marLeft w:val="0"/>
          <w:marRight w:val="0"/>
          <w:marTop w:val="0"/>
          <w:marBottom w:val="0"/>
          <w:divBdr>
            <w:top w:val="none" w:sz="0" w:space="0" w:color="auto"/>
            <w:left w:val="none" w:sz="0" w:space="0" w:color="auto"/>
            <w:bottom w:val="none" w:sz="0" w:space="0" w:color="auto"/>
            <w:right w:val="none" w:sz="0" w:space="0" w:color="auto"/>
          </w:divBdr>
          <w:divsChild>
            <w:div w:id="572816850">
              <w:marLeft w:val="0"/>
              <w:marRight w:val="0"/>
              <w:marTop w:val="0"/>
              <w:marBottom w:val="0"/>
              <w:divBdr>
                <w:top w:val="none" w:sz="0" w:space="0" w:color="auto"/>
                <w:left w:val="none" w:sz="0" w:space="0" w:color="auto"/>
                <w:bottom w:val="none" w:sz="0" w:space="0" w:color="auto"/>
                <w:right w:val="none" w:sz="0" w:space="0" w:color="auto"/>
              </w:divBdr>
              <w:divsChild>
                <w:div w:id="50694422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33526636">
      <w:bodyDiv w:val="1"/>
      <w:marLeft w:val="0"/>
      <w:marRight w:val="0"/>
      <w:marTop w:val="0"/>
      <w:marBottom w:val="0"/>
      <w:divBdr>
        <w:top w:val="none" w:sz="0" w:space="0" w:color="auto"/>
        <w:left w:val="none" w:sz="0" w:space="0" w:color="auto"/>
        <w:bottom w:val="none" w:sz="0" w:space="0" w:color="auto"/>
        <w:right w:val="none" w:sz="0" w:space="0" w:color="auto"/>
      </w:divBdr>
      <w:divsChild>
        <w:div w:id="279190372">
          <w:marLeft w:val="0"/>
          <w:marRight w:val="0"/>
          <w:marTop w:val="0"/>
          <w:marBottom w:val="0"/>
          <w:divBdr>
            <w:top w:val="none" w:sz="0" w:space="0" w:color="auto"/>
            <w:left w:val="none" w:sz="0" w:space="0" w:color="auto"/>
            <w:bottom w:val="none" w:sz="0" w:space="0" w:color="auto"/>
            <w:right w:val="none" w:sz="0" w:space="0" w:color="auto"/>
          </w:divBdr>
          <w:divsChild>
            <w:div w:id="20509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224">
      <w:bodyDiv w:val="1"/>
      <w:marLeft w:val="0"/>
      <w:marRight w:val="0"/>
      <w:marTop w:val="0"/>
      <w:marBottom w:val="0"/>
      <w:divBdr>
        <w:top w:val="none" w:sz="0" w:space="0" w:color="auto"/>
        <w:left w:val="none" w:sz="0" w:space="0" w:color="auto"/>
        <w:bottom w:val="none" w:sz="0" w:space="0" w:color="auto"/>
        <w:right w:val="none" w:sz="0" w:space="0" w:color="auto"/>
      </w:divBdr>
    </w:div>
    <w:div w:id="1676107873">
      <w:bodyDiv w:val="1"/>
      <w:marLeft w:val="0"/>
      <w:marRight w:val="0"/>
      <w:marTop w:val="0"/>
      <w:marBottom w:val="0"/>
      <w:divBdr>
        <w:top w:val="none" w:sz="0" w:space="0" w:color="auto"/>
        <w:left w:val="none" w:sz="0" w:space="0" w:color="auto"/>
        <w:bottom w:val="none" w:sz="0" w:space="0" w:color="auto"/>
        <w:right w:val="none" w:sz="0" w:space="0" w:color="auto"/>
      </w:divBdr>
      <w:divsChild>
        <w:div w:id="588974066">
          <w:marLeft w:val="0"/>
          <w:marRight w:val="0"/>
          <w:marTop w:val="0"/>
          <w:marBottom w:val="0"/>
          <w:divBdr>
            <w:top w:val="none" w:sz="0" w:space="0" w:color="auto"/>
            <w:left w:val="none" w:sz="0" w:space="0" w:color="auto"/>
            <w:bottom w:val="none" w:sz="0" w:space="0" w:color="auto"/>
            <w:right w:val="none" w:sz="0" w:space="0" w:color="auto"/>
          </w:divBdr>
          <w:divsChild>
            <w:div w:id="1325086631">
              <w:marLeft w:val="0"/>
              <w:marRight w:val="0"/>
              <w:marTop w:val="0"/>
              <w:marBottom w:val="0"/>
              <w:divBdr>
                <w:top w:val="none" w:sz="0" w:space="0" w:color="auto"/>
                <w:left w:val="none" w:sz="0" w:space="0" w:color="auto"/>
                <w:bottom w:val="none" w:sz="0" w:space="0" w:color="auto"/>
                <w:right w:val="none" w:sz="0" w:space="0" w:color="auto"/>
              </w:divBdr>
              <w:divsChild>
                <w:div w:id="186439786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38623644">
      <w:bodyDiv w:val="1"/>
      <w:marLeft w:val="0"/>
      <w:marRight w:val="0"/>
      <w:marTop w:val="0"/>
      <w:marBottom w:val="0"/>
      <w:divBdr>
        <w:top w:val="none" w:sz="0" w:space="0" w:color="auto"/>
        <w:left w:val="none" w:sz="0" w:space="0" w:color="auto"/>
        <w:bottom w:val="none" w:sz="0" w:space="0" w:color="auto"/>
        <w:right w:val="none" w:sz="0" w:space="0" w:color="auto"/>
      </w:divBdr>
    </w:div>
    <w:div w:id="1837186014">
      <w:bodyDiv w:val="1"/>
      <w:marLeft w:val="0"/>
      <w:marRight w:val="0"/>
      <w:marTop w:val="0"/>
      <w:marBottom w:val="0"/>
      <w:divBdr>
        <w:top w:val="none" w:sz="0" w:space="0" w:color="auto"/>
        <w:left w:val="none" w:sz="0" w:space="0" w:color="auto"/>
        <w:bottom w:val="none" w:sz="0" w:space="0" w:color="auto"/>
        <w:right w:val="none" w:sz="0" w:space="0" w:color="auto"/>
      </w:divBdr>
    </w:div>
    <w:div w:id="190201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nah.hobson@york.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20Hobson\Downloads\TF_Template_Word_Windows_2016\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6933B7436F104DB9034AEE813902FE" ma:contentTypeVersion="11" ma:contentTypeDescription="Create a new document." ma:contentTypeScope="" ma:versionID="2f3138ef1d261289276b01ceb2929d40">
  <xsd:schema xmlns:xsd="http://www.w3.org/2001/XMLSchema" xmlns:xs="http://www.w3.org/2001/XMLSchema" xmlns:p="http://schemas.microsoft.com/office/2006/metadata/properties" xmlns:ns3="58b0aca5-3f7c-43ee-ac05-9a9afdf54c0c" xmlns:ns4="e10eb72f-a030-421d-80c9-9be32cb18302" targetNamespace="http://schemas.microsoft.com/office/2006/metadata/properties" ma:root="true" ma:fieldsID="01adf57b612ee70fb99ec4547530ef2d" ns3:_="" ns4:_="">
    <xsd:import namespace="58b0aca5-3f7c-43ee-ac05-9a9afdf54c0c"/>
    <xsd:import namespace="e10eb72f-a030-421d-80c9-9be32cb183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0aca5-3f7c-43ee-ac05-9a9afdf54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b72f-a030-421d-80c9-9be32cb183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C8867-E259-4E82-89D3-3C97B5AEB8D9}">
  <ds:schemaRefs>
    <ds:schemaRef ds:uri="http://schemas.microsoft.com/sharepoint/v3/contenttype/forms"/>
  </ds:schemaRefs>
</ds:datastoreItem>
</file>

<file path=customXml/itemProps2.xml><?xml version="1.0" encoding="utf-8"?>
<ds:datastoreItem xmlns:ds="http://schemas.openxmlformats.org/officeDocument/2006/customXml" ds:itemID="{10281533-BBBF-458A-B480-744B9F4BA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0aca5-3f7c-43ee-ac05-9a9afdf54c0c"/>
    <ds:schemaRef ds:uri="e10eb72f-a030-421d-80c9-9be32cb18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453BB2-4A3A-4C6E-9648-1C52520B8B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6C3498-369C-49B5-968D-BA69D564B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120</TotalTime>
  <Pages>29</Pages>
  <Words>30387</Words>
  <Characters>173210</Characters>
  <Application>Microsoft Office Word</Application>
  <DocSecurity>0</DocSecurity>
  <Lines>1443</Lines>
  <Paragraphs>406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Abstract</vt:lpstr>
      <vt:lpstr>Method</vt:lpstr>
      <vt:lpstr>    Participants</vt:lpstr>
      <vt:lpstr>    Procedure</vt:lpstr>
      <vt:lpstr>    Measures</vt:lpstr>
    </vt:vector>
  </TitlesOfParts>
  <Company/>
  <LinksUpToDate>false</LinksUpToDate>
  <CharactersWithSpaces>203191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Hobson</dc:creator>
  <cp:keywords/>
  <dc:description/>
  <cp:lastModifiedBy>Anon</cp:lastModifiedBy>
  <cp:revision>3</cp:revision>
  <cp:lastPrinted>2020-05-11T12:05:00Z</cp:lastPrinted>
  <dcterms:created xsi:type="dcterms:W3CDTF">2020-05-11T12:02:00Z</dcterms:created>
  <dcterms:modified xsi:type="dcterms:W3CDTF">2020-05-11T14:04:00Z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06e8717e-476a-3972-a387-02cd2064377a</vt:lpwstr>
  </property>
  <property fmtid="{D5CDD505-2E9C-101B-9397-08002B2CF9AE}" pid="24" name="Mendeley Citation Style_1">
    <vt:lpwstr>http://www.zotero.org/styles/apa</vt:lpwstr>
  </property>
  <property fmtid="{D5CDD505-2E9C-101B-9397-08002B2CF9AE}" pid="25" name="ContentTypeId">
    <vt:lpwstr>0x010100DF6933B7436F104DB9034AEE813902FE</vt:lpwstr>
  </property>
</Properties>
</file>