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7B527" w14:textId="330A0CE6" w:rsidR="005957A8" w:rsidRPr="00515DBF" w:rsidRDefault="00D06E76" w:rsidP="00BD00C6">
      <w:pPr>
        <w:spacing w:line="480" w:lineRule="auto"/>
        <w:jc w:val="both"/>
        <w:rPr>
          <w:rFonts w:ascii="Times New Roman" w:hAnsi="Times New Roman" w:cs="Times New Roman"/>
          <w:b/>
        </w:rPr>
      </w:pPr>
      <w:r w:rsidRPr="00515DBF">
        <w:rPr>
          <w:rFonts w:ascii="Times New Roman" w:hAnsi="Times New Roman" w:cs="Times New Roman"/>
          <w:b/>
        </w:rPr>
        <w:t>Changing</w:t>
      </w:r>
      <w:r w:rsidR="005957A8" w:rsidRPr="00515DBF">
        <w:rPr>
          <w:rFonts w:ascii="Times New Roman" w:hAnsi="Times New Roman" w:cs="Times New Roman"/>
          <w:b/>
        </w:rPr>
        <w:t xml:space="preserve"> </w:t>
      </w:r>
      <w:r w:rsidRPr="00515DBF">
        <w:rPr>
          <w:rFonts w:ascii="Times New Roman" w:hAnsi="Times New Roman" w:cs="Times New Roman"/>
          <w:b/>
        </w:rPr>
        <w:t xml:space="preserve">corporate </w:t>
      </w:r>
      <w:r w:rsidR="005957A8" w:rsidRPr="00515DBF">
        <w:rPr>
          <w:rFonts w:ascii="Times New Roman" w:hAnsi="Times New Roman" w:cs="Times New Roman"/>
          <w:b/>
        </w:rPr>
        <w:t>domicile: the case of the Rhodesian Selection Trust companies</w:t>
      </w:r>
    </w:p>
    <w:p w14:paraId="7997B350" w14:textId="77777777" w:rsidR="00D06E76" w:rsidRPr="00515DBF" w:rsidRDefault="00D06E76" w:rsidP="00BD00C6">
      <w:pPr>
        <w:widowControl w:val="0"/>
        <w:autoSpaceDE w:val="0"/>
        <w:autoSpaceDN w:val="0"/>
        <w:adjustRightInd w:val="0"/>
        <w:spacing w:after="240" w:line="480" w:lineRule="auto"/>
        <w:jc w:val="both"/>
        <w:rPr>
          <w:rFonts w:ascii="Times New Roman" w:hAnsi="Times New Roman" w:cs="Times New Roman"/>
          <w:b/>
          <w:bCs/>
          <w:color w:val="000000"/>
          <w:lang w:val="en-US"/>
        </w:rPr>
      </w:pPr>
    </w:p>
    <w:p w14:paraId="39012900" w14:textId="77777777" w:rsidR="005957A8" w:rsidRPr="00515DBF" w:rsidRDefault="005957A8" w:rsidP="00BD00C6">
      <w:pPr>
        <w:widowControl w:val="0"/>
        <w:autoSpaceDE w:val="0"/>
        <w:autoSpaceDN w:val="0"/>
        <w:adjustRightInd w:val="0"/>
        <w:spacing w:after="240" w:line="480" w:lineRule="auto"/>
        <w:jc w:val="both"/>
        <w:rPr>
          <w:rFonts w:ascii="Times New Roman" w:hAnsi="Times New Roman" w:cs="Times New Roman"/>
          <w:color w:val="000000"/>
          <w:lang w:val="en-US"/>
        </w:rPr>
      </w:pPr>
      <w:r w:rsidRPr="00515DBF">
        <w:rPr>
          <w:rFonts w:ascii="Times New Roman" w:hAnsi="Times New Roman" w:cs="Times New Roman"/>
          <w:b/>
          <w:bCs/>
          <w:color w:val="000000"/>
          <w:lang w:val="en-US"/>
        </w:rPr>
        <w:t xml:space="preserve">ABSTRACT </w:t>
      </w:r>
    </w:p>
    <w:p w14:paraId="1DD0EE85" w14:textId="0DC4BFF2" w:rsidR="00266ECA" w:rsidRPr="00643955" w:rsidRDefault="00F7733C" w:rsidP="00AA60BB">
      <w:pPr>
        <w:spacing w:line="480" w:lineRule="auto"/>
        <w:rPr>
          <w:lang w:val="en-US"/>
        </w:rPr>
      </w:pPr>
      <w:r>
        <w:rPr>
          <w:lang w:val="en-US"/>
        </w:rPr>
        <w:t>This article explores</w:t>
      </w:r>
      <w:r w:rsidR="00AA60BB" w:rsidRPr="00643955">
        <w:rPr>
          <w:lang w:val="en-US"/>
        </w:rPr>
        <w:t xml:space="preserve"> the transfer of corporate domicile of the Rhodesian Selection Trust group </w:t>
      </w:r>
      <w:r>
        <w:rPr>
          <w:lang w:val="en-US"/>
        </w:rPr>
        <w:t xml:space="preserve">of “Free-Standing Companies” </w:t>
      </w:r>
      <w:r w:rsidR="00CA233F">
        <w:rPr>
          <w:lang w:val="en-US"/>
        </w:rPr>
        <w:t xml:space="preserve">(FSCs) </w:t>
      </w:r>
      <w:r w:rsidR="00AA60BB" w:rsidRPr="00643955">
        <w:rPr>
          <w:lang w:val="en-US"/>
        </w:rPr>
        <w:t>from the UK to Northern Rhodesia</w:t>
      </w:r>
      <w:r w:rsidR="00AA60BB">
        <w:rPr>
          <w:lang w:val="en-US"/>
        </w:rPr>
        <w:t>.</w:t>
      </w:r>
      <w:r w:rsidR="00AA60BB" w:rsidRPr="00643955">
        <w:rPr>
          <w:lang w:val="en-US"/>
        </w:rPr>
        <w:t xml:space="preserve"> </w:t>
      </w:r>
      <w:r w:rsidR="00266ECA">
        <w:rPr>
          <w:lang w:val="en-US"/>
        </w:rPr>
        <w:t xml:space="preserve">To explore </w:t>
      </w:r>
      <w:r w:rsidR="00AA60BB" w:rsidRPr="00643955">
        <w:rPr>
          <w:lang w:val="en-US"/>
        </w:rPr>
        <w:t>the ‘national</w:t>
      </w:r>
      <w:r w:rsidR="00266ECA">
        <w:rPr>
          <w:lang w:val="en-US"/>
        </w:rPr>
        <w:t>ity</w:t>
      </w:r>
      <w:r w:rsidR="00AA60BB" w:rsidRPr="00643955">
        <w:rPr>
          <w:lang w:val="en-US"/>
        </w:rPr>
        <w:t xml:space="preserve"> </w:t>
      </w:r>
      <w:r w:rsidR="00C31DE7">
        <w:rPr>
          <w:lang w:val="en-US"/>
        </w:rPr>
        <w:t>of the company’</w:t>
      </w:r>
      <w:r w:rsidR="00266ECA">
        <w:rPr>
          <w:lang w:val="en-US"/>
        </w:rPr>
        <w:t xml:space="preserve"> w</w:t>
      </w:r>
      <w:r w:rsidR="00266ECA" w:rsidRPr="00266ECA">
        <w:rPr>
          <w:lang w:val="en-US"/>
        </w:rPr>
        <w:t>e question how</w:t>
      </w:r>
      <w:r w:rsidR="00266ECA">
        <w:rPr>
          <w:lang w:val="en-US"/>
        </w:rPr>
        <w:t xml:space="preserve"> </w:t>
      </w:r>
      <w:r w:rsidR="00266ECA" w:rsidRPr="00266ECA">
        <w:rPr>
          <w:lang w:val="en-US"/>
        </w:rPr>
        <w:t>political and economic factors</w:t>
      </w:r>
      <w:r w:rsidR="00266ECA">
        <w:rPr>
          <w:lang w:val="en-US"/>
        </w:rPr>
        <w:t xml:space="preserve"> affected strategic decision-making. </w:t>
      </w:r>
      <w:r w:rsidR="00C31DE7">
        <w:rPr>
          <w:lang w:val="en-US"/>
        </w:rPr>
        <w:t>We contribute further</w:t>
      </w:r>
      <w:r w:rsidR="00266ECA">
        <w:rPr>
          <w:lang w:val="en-US"/>
        </w:rPr>
        <w:t xml:space="preserve"> understanding of the impact of</w:t>
      </w:r>
      <w:r w:rsidR="00AA60BB" w:rsidRPr="00643955">
        <w:rPr>
          <w:lang w:val="en-US"/>
        </w:rPr>
        <w:t xml:space="preserve"> international double taxation</w:t>
      </w:r>
      <w:r w:rsidR="00C31DE7">
        <w:rPr>
          <w:lang w:val="en-US"/>
        </w:rPr>
        <w:t xml:space="preserve"> to the history of FSCs</w:t>
      </w:r>
      <w:r w:rsidR="00AA60BB" w:rsidRPr="00643955">
        <w:rPr>
          <w:lang w:val="en-US"/>
        </w:rPr>
        <w:t xml:space="preserve">. </w:t>
      </w:r>
      <w:r w:rsidR="00266ECA">
        <w:rPr>
          <w:lang w:val="en-US"/>
        </w:rPr>
        <w:t>The article illustrates how the ‘nationality of the firm’ became a contested zone of interaction as British imperial power waned</w:t>
      </w:r>
      <w:r w:rsidR="00C31DE7">
        <w:rPr>
          <w:lang w:val="en-US"/>
        </w:rPr>
        <w:t>, American capital investment became more dominant,</w:t>
      </w:r>
      <w:r w:rsidR="00266ECA">
        <w:rPr>
          <w:lang w:val="en-US"/>
        </w:rPr>
        <w:t xml:space="preserve"> and colonies began to assert themselves in their own ‘national’ interests. </w:t>
      </w:r>
      <w:r w:rsidR="00AA60BB" w:rsidRPr="00643955">
        <w:rPr>
          <w:lang w:val="en-US"/>
        </w:rPr>
        <w:t xml:space="preserve">We conclude that international taxation </w:t>
      </w:r>
      <w:r w:rsidR="00266ECA">
        <w:rPr>
          <w:lang w:val="en-US"/>
        </w:rPr>
        <w:t xml:space="preserve">was </w:t>
      </w:r>
      <w:r w:rsidR="00CA233F">
        <w:rPr>
          <w:lang w:val="en-US"/>
        </w:rPr>
        <w:t>a decisive factor</w:t>
      </w:r>
      <w:r w:rsidR="00266ECA">
        <w:rPr>
          <w:lang w:val="en-US"/>
        </w:rPr>
        <w:t xml:space="preserve"> in the relocation of domicile</w:t>
      </w:r>
      <w:r w:rsidR="00CA233F">
        <w:rPr>
          <w:lang w:val="en-US"/>
        </w:rPr>
        <w:t xml:space="preserve">, and was linked to </w:t>
      </w:r>
      <w:r w:rsidR="00AA60BB" w:rsidRPr="00643955">
        <w:rPr>
          <w:lang w:val="en-US"/>
        </w:rPr>
        <w:t xml:space="preserve">changes in the organizational forms </w:t>
      </w:r>
      <w:r w:rsidR="00AA60BB">
        <w:rPr>
          <w:lang w:val="en-US"/>
        </w:rPr>
        <w:t>adopted</w:t>
      </w:r>
      <w:r w:rsidR="00AA60BB" w:rsidRPr="00643955">
        <w:rPr>
          <w:lang w:val="en-US"/>
        </w:rPr>
        <w:t xml:space="preserve"> by international business in this period. </w:t>
      </w:r>
      <w:r w:rsidR="00CA233F">
        <w:rPr>
          <w:lang w:val="en-US"/>
        </w:rPr>
        <w:t xml:space="preserve">We use this to </w:t>
      </w:r>
      <w:r w:rsidR="00266ECA">
        <w:rPr>
          <w:lang w:val="en-US"/>
        </w:rPr>
        <w:t>contribute to</w:t>
      </w:r>
      <w:r w:rsidR="00CA233F">
        <w:rPr>
          <w:lang w:val="en-US"/>
        </w:rPr>
        <w:t xml:space="preserve"> </w:t>
      </w:r>
      <w:r w:rsidR="00266ECA">
        <w:rPr>
          <w:lang w:val="en-US"/>
        </w:rPr>
        <w:t xml:space="preserve">the </w:t>
      </w:r>
      <w:r w:rsidR="00CA233F">
        <w:rPr>
          <w:lang w:val="en-US"/>
        </w:rPr>
        <w:t xml:space="preserve">historiographical debate about the </w:t>
      </w:r>
      <w:r w:rsidR="00266ECA">
        <w:rPr>
          <w:lang w:val="en-US"/>
        </w:rPr>
        <w:t>decline</w:t>
      </w:r>
      <w:r w:rsidR="00CA233F">
        <w:rPr>
          <w:lang w:val="en-US"/>
        </w:rPr>
        <w:t xml:space="preserve"> of FSCs</w:t>
      </w:r>
      <w:r w:rsidR="00266ECA">
        <w:rPr>
          <w:lang w:val="en-US"/>
        </w:rPr>
        <w:t xml:space="preserve"> in the international economy</w:t>
      </w:r>
      <w:r w:rsidR="005E370A">
        <w:rPr>
          <w:lang w:val="en-US"/>
        </w:rPr>
        <w:t>, and the position of business in decolonization.</w:t>
      </w:r>
    </w:p>
    <w:p w14:paraId="3BA7E115" w14:textId="77777777" w:rsidR="003F6AB9" w:rsidRDefault="003F6AB9" w:rsidP="00AA60BB">
      <w:pPr>
        <w:widowControl w:val="0"/>
        <w:autoSpaceDE w:val="0"/>
        <w:autoSpaceDN w:val="0"/>
        <w:adjustRightInd w:val="0"/>
        <w:spacing w:after="240" w:line="480" w:lineRule="auto"/>
        <w:jc w:val="both"/>
        <w:rPr>
          <w:rFonts w:ascii="Times New Roman" w:hAnsi="Times New Roman" w:cs="Times New Roman"/>
          <w:color w:val="000000"/>
          <w:lang w:val="en-US"/>
        </w:rPr>
      </w:pPr>
    </w:p>
    <w:p w14:paraId="69D0A432" w14:textId="77777777" w:rsidR="00BD00C6" w:rsidRDefault="00BD00C6" w:rsidP="00BD00C6">
      <w:pPr>
        <w:widowControl w:val="0"/>
        <w:autoSpaceDE w:val="0"/>
        <w:autoSpaceDN w:val="0"/>
        <w:adjustRightInd w:val="0"/>
        <w:spacing w:after="240" w:line="480" w:lineRule="auto"/>
        <w:jc w:val="both"/>
        <w:rPr>
          <w:rFonts w:ascii="Times New Roman" w:hAnsi="Times New Roman" w:cs="Times New Roman"/>
          <w:b/>
          <w:bCs/>
          <w:color w:val="000000"/>
          <w:lang w:val="en-US"/>
        </w:rPr>
      </w:pPr>
    </w:p>
    <w:p w14:paraId="16D5CDF0" w14:textId="77777777" w:rsidR="001B2FF6" w:rsidRPr="00515DBF" w:rsidRDefault="001B2FF6" w:rsidP="00BD00C6">
      <w:pPr>
        <w:widowControl w:val="0"/>
        <w:autoSpaceDE w:val="0"/>
        <w:autoSpaceDN w:val="0"/>
        <w:adjustRightInd w:val="0"/>
        <w:spacing w:after="240" w:line="480" w:lineRule="auto"/>
        <w:jc w:val="both"/>
        <w:rPr>
          <w:rFonts w:ascii="Times New Roman" w:hAnsi="Times New Roman" w:cs="Times New Roman"/>
          <w:b/>
          <w:bCs/>
          <w:color w:val="000000"/>
          <w:lang w:val="en-US"/>
        </w:rPr>
      </w:pPr>
    </w:p>
    <w:p w14:paraId="50A5A578" w14:textId="77777777" w:rsidR="00EA4E31" w:rsidRDefault="00EA4E31" w:rsidP="00BD00C6">
      <w:pPr>
        <w:widowControl w:val="0"/>
        <w:autoSpaceDE w:val="0"/>
        <w:autoSpaceDN w:val="0"/>
        <w:adjustRightInd w:val="0"/>
        <w:spacing w:after="240" w:line="480" w:lineRule="auto"/>
        <w:jc w:val="both"/>
        <w:rPr>
          <w:rFonts w:ascii="Times New Roman" w:hAnsi="Times New Roman" w:cs="Times New Roman"/>
          <w:b/>
          <w:bCs/>
          <w:color w:val="000000"/>
          <w:lang w:val="en-US"/>
        </w:rPr>
      </w:pPr>
    </w:p>
    <w:p w14:paraId="7CD3488F" w14:textId="0246ABC1" w:rsidR="005957A8" w:rsidRPr="00515DBF" w:rsidRDefault="005957A8" w:rsidP="00BD00C6">
      <w:pPr>
        <w:widowControl w:val="0"/>
        <w:autoSpaceDE w:val="0"/>
        <w:autoSpaceDN w:val="0"/>
        <w:adjustRightInd w:val="0"/>
        <w:spacing w:after="240" w:line="480" w:lineRule="auto"/>
        <w:jc w:val="both"/>
        <w:rPr>
          <w:rFonts w:ascii="Times New Roman" w:hAnsi="Times New Roman" w:cs="Times New Roman"/>
          <w:color w:val="000000"/>
          <w:lang w:val="en-US"/>
        </w:rPr>
      </w:pPr>
      <w:r w:rsidRPr="00515DBF">
        <w:rPr>
          <w:rFonts w:ascii="Times New Roman" w:hAnsi="Times New Roman" w:cs="Times New Roman"/>
          <w:b/>
          <w:bCs/>
          <w:color w:val="000000"/>
          <w:lang w:val="en-US"/>
        </w:rPr>
        <w:lastRenderedPageBreak/>
        <w:t xml:space="preserve">Keywords: </w:t>
      </w:r>
    </w:p>
    <w:p w14:paraId="74050C5A" w14:textId="7DD52619" w:rsidR="005957A8" w:rsidRPr="00515DBF" w:rsidRDefault="005957A8" w:rsidP="00BD00C6">
      <w:pPr>
        <w:spacing w:line="480" w:lineRule="auto"/>
        <w:jc w:val="both"/>
        <w:rPr>
          <w:rFonts w:ascii="Times New Roman" w:hAnsi="Times New Roman" w:cs="Times New Roman"/>
          <w:b/>
        </w:rPr>
      </w:pPr>
      <w:r w:rsidRPr="00515DBF">
        <w:rPr>
          <w:rFonts w:ascii="Times New Roman" w:hAnsi="Times New Roman" w:cs="Times New Roman"/>
          <w:color w:val="000000"/>
          <w:lang w:val="en-US"/>
        </w:rPr>
        <w:t>International taxation; international business history; Free-Standing Companies; Zambia/Northern Rhodesia; domicile; imperialism</w:t>
      </w:r>
      <w:r w:rsidR="00D06E76" w:rsidRPr="00515DBF">
        <w:rPr>
          <w:rFonts w:ascii="Times New Roman" w:hAnsi="Times New Roman" w:cs="Times New Roman"/>
          <w:color w:val="000000"/>
          <w:lang w:val="en-US"/>
        </w:rPr>
        <w:t>; colonialism</w:t>
      </w:r>
      <w:r w:rsidRPr="00515DBF">
        <w:rPr>
          <w:rFonts w:ascii="Times New Roman" w:hAnsi="Times New Roman" w:cs="Times New Roman"/>
          <w:color w:val="000000"/>
          <w:lang w:val="en-US"/>
        </w:rPr>
        <w:t>.</w:t>
      </w:r>
      <w:r w:rsidRPr="00515DBF">
        <w:rPr>
          <w:rFonts w:ascii="Times New Roman" w:hAnsi="Times New Roman" w:cs="Times New Roman"/>
          <w:b/>
        </w:rPr>
        <w:br w:type="page"/>
      </w:r>
    </w:p>
    <w:p w14:paraId="708534F6" w14:textId="1CC33AD5" w:rsidR="006724E8" w:rsidRPr="00515DBF" w:rsidRDefault="001C5765" w:rsidP="00BD00C6">
      <w:pPr>
        <w:spacing w:line="480" w:lineRule="auto"/>
        <w:jc w:val="both"/>
        <w:rPr>
          <w:rFonts w:ascii="Times New Roman" w:hAnsi="Times New Roman" w:cs="Times New Roman"/>
          <w:b/>
        </w:rPr>
      </w:pPr>
      <w:r w:rsidRPr="00515DBF">
        <w:rPr>
          <w:rFonts w:ascii="Times New Roman" w:hAnsi="Times New Roman" w:cs="Times New Roman"/>
          <w:b/>
        </w:rPr>
        <w:lastRenderedPageBreak/>
        <w:t>Introduction</w:t>
      </w:r>
    </w:p>
    <w:p w14:paraId="3CC29FCA" w14:textId="578FDBFF" w:rsidR="00B95669" w:rsidRDefault="001C5765" w:rsidP="00BD00C6">
      <w:pPr>
        <w:spacing w:line="480" w:lineRule="auto"/>
        <w:jc w:val="both"/>
        <w:rPr>
          <w:rFonts w:ascii="Times New Roman" w:hAnsi="Times New Roman" w:cs="Times New Roman"/>
        </w:rPr>
      </w:pPr>
      <w:r w:rsidRPr="00515DBF">
        <w:rPr>
          <w:rFonts w:ascii="Times New Roman" w:hAnsi="Times New Roman" w:cs="Times New Roman"/>
        </w:rPr>
        <w:t xml:space="preserve">In the period before 1914 Britain was the world's leading foreign direct </w:t>
      </w:r>
      <w:proofErr w:type="gramStart"/>
      <w:r w:rsidRPr="00515DBF">
        <w:rPr>
          <w:rFonts w:ascii="Times New Roman" w:hAnsi="Times New Roman" w:cs="Times New Roman"/>
        </w:rPr>
        <w:t>investor.</w:t>
      </w:r>
      <w:proofErr w:type="gramEnd"/>
      <w:r w:rsidR="00732579">
        <w:rPr>
          <w:rStyle w:val="EndnoteReference"/>
          <w:rFonts w:ascii="Times New Roman" w:hAnsi="Times New Roman" w:cs="Times New Roman"/>
        </w:rPr>
        <w:endnoteReference w:id="1"/>
      </w:r>
      <w:r w:rsidR="00183713" w:rsidRPr="00515DBF">
        <w:rPr>
          <w:rFonts w:ascii="Times New Roman" w:hAnsi="Times New Roman" w:cs="Times New Roman"/>
        </w:rPr>
        <w:t xml:space="preserve"> The main corporate vehicle for this investment was the "Free-Standing Company"(FSC).</w:t>
      </w:r>
      <w:r w:rsidR="00183713" w:rsidRPr="00515DBF">
        <w:rPr>
          <w:rStyle w:val="EndnoteReference"/>
          <w:rFonts w:ascii="Times New Roman" w:hAnsi="Times New Roman" w:cs="Times New Roman"/>
        </w:rPr>
        <w:endnoteReference w:id="2"/>
      </w:r>
      <w:r w:rsidR="00183713" w:rsidRPr="00515DBF">
        <w:rPr>
          <w:rFonts w:ascii="Times New Roman" w:hAnsi="Times New Roman" w:cs="Times New Roman"/>
        </w:rPr>
        <w:t xml:space="preserve"> Though FSCs originated in several European countries, the vast majority were "British" with head offices located in London, Dundee or Edinburgh.</w:t>
      </w:r>
      <w:r w:rsidR="00183713" w:rsidRPr="00515DBF">
        <w:rPr>
          <w:rStyle w:val="EndnoteReference"/>
          <w:rFonts w:ascii="Times New Roman" w:hAnsi="Times New Roman" w:cs="Times New Roman"/>
        </w:rPr>
        <w:endnoteReference w:id="3"/>
      </w:r>
      <w:r w:rsidR="00183713" w:rsidRPr="00515DBF">
        <w:rPr>
          <w:rFonts w:ascii="Times New Roman" w:hAnsi="Times New Roman" w:cs="Times New Roman"/>
        </w:rPr>
        <w:t xml:space="preserve"> FSCs undertook business around the globe in areas as diverse as extractive industries, banking, agriculture, international trade, railways, and public utilities.</w:t>
      </w:r>
      <w:r w:rsidR="00183713" w:rsidRPr="00515DBF">
        <w:rPr>
          <w:rStyle w:val="EndnoteReference"/>
          <w:rFonts w:ascii="Times New Roman" w:hAnsi="Times New Roman" w:cs="Times New Roman"/>
        </w:rPr>
        <w:endnoteReference w:id="4"/>
      </w:r>
      <w:r w:rsidR="00183713" w:rsidRPr="00515DBF">
        <w:rPr>
          <w:rFonts w:ascii="Times New Roman" w:hAnsi="Times New Roman" w:cs="Times New Roman"/>
        </w:rPr>
        <w:t xml:space="preserve"> </w:t>
      </w:r>
      <w:r w:rsidR="005F32E7" w:rsidRPr="00515DBF">
        <w:rPr>
          <w:rFonts w:ascii="Times New Roman" w:hAnsi="Times New Roman" w:cs="Times New Roman"/>
        </w:rPr>
        <w:t>FSC research</w:t>
      </w:r>
      <w:r w:rsidR="00183713" w:rsidRPr="00515DBF">
        <w:rPr>
          <w:rFonts w:ascii="Times New Roman" w:hAnsi="Times New Roman" w:cs="Times New Roman"/>
        </w:rPr>
        <w:t xml:space="preserve"> has generally focused on explaining their initial formation and there is little in the literature explaining why this largely British corporate form disappeared in </w:t>
      </w:r>
      <w:r w:rsidR="00752E37">
        <w:rPr>
          <w:rFonts w:ascii="Times New Roman" w:hAnsi="Times New Roman" w:cs="Times New Roman"/>
        </w:rPr>
        <w:t xml:space="preserve">the </w:t>
      </w:r>
      <w:r w:rsidR="00183713" w:rsidRPr="00515DBF">
        <w:rPr>
          <w:rFonts w:ascii="Times New Roman" w:hAnsi="Times New Roman" w:cs="Times New Roman"/>
        </w:rPr>
        <w:t>mid-Twentieth Century.</w:t>
      </w:r>
      <w:r w:rsidR="00183713" w:rsidRPr="00515DBF">
        <w:rPr>
          <w:rStyle w:val="EndnoteReference"/>
          <w:rFonts w:ascii="Times New Roman" w:hAnsi="Times New Roman" w:cs="Times New Roman"/>
        </w:rPr>
        <w:endnoteReference w:id="5"/>
      </w:r>
      <w:r w:rsidR="00183713" w:rsidRPr="00515DBF">
        <w:rPr>
          <w:rFonts w:ascii="Times New Roman" w:hAnsi="Times New Roman" w:cs="Times New Roman"/>
        </w:rPr>
        <w:t xml:space="preserve"> However, Wilkins (1998) speculated that one factor that explained the disappearance of these firms was the rise of international taxation.</w:t>
      </w:r>
      <w:r w:rsidR="00183713" w:rsidRPr="00515DBF">
        <w:rPr>
          <w:rStyle w:val="EndnoteReference"/>
          <w:rFonts w:ascii="Times New Roman" w:hAnsi="Times New Roman" w:cs="Times New Roman"/>
        </w:rPr>
        <w:endnoteReference w:id="6"/>
      </w:r>
      <w:r w:rsidR="00183713" w:rsidRPr="00515DBF">
        <w:rPr>
          <w:rFonts w:ascii="Times New Roman" w:hAnsi="Times New Roman" w:cs="Times New Roman"/>
        </w:rPr>
        <w:t xml:space="preserve"> In a recent article Mollan and Tennent (2015) added confirmatory evidence to this hypothesis, arguing that international taxation created a hostile environment for FSCs encouraging both the adoption of multinational multi-unit forms, as well as the re-location of head office domicile</w:t>
      </w:r>
      <w:r w:rsidR="00327814">
        <w:rPr>
          <w:rFonts w:ascii="Times New Roman" w:hAnsi="Times New Roman" w:cs="Times New Roman"/>
        </w:rPr>
        <w:t>, as a means of reducing or eliminating this tax burden</w:t>
      </w:r>
      <w:r w:rsidR="00183713" w:rsidRPr="00515DBF">
        <w:rPr>
          <w:rFonts w:ascii="Times New Roman" w:hAnsi="Times New Roman" w:cs="Times New Roman"/>
        </w:rPr>
        <w:t>.</w:t>
      </w:r>
      <w:r w:rsidR="00183713" w:rsidRPr="00515DBF">
        <w:rPr>
          <w:rStyle w:val="EndnoteReference"/>
          <w:rFonts w:ascii="Times New Roman" w:hAnsi="Times New Roman" w:cs="Times New Roman"/>
        </w:rPr>
        <w:endnoteReference w:id="7"/>
      </w:r>
      <w:r w:rsidR="001916AA">
        <w:rPr>
          <w:rFonts w:ascii="Times New Roman" w:hAnsi="Times New Roman" w:cs="Times New Roman"/>
        </w:rPr>
        <w:t xml:space="preserve"> </w:t>
      </w:r>
      <w:r w:rsidR="00183713" w:rsidRPr="00515DBF">
        <w:rPr>
          <w:rFonts w:ascii="Times New Roman" w:hAnsi="Times New Roman" w:cs="Times New Roman"/>
        </w:rPr>
        <w:t xml:space="preserve">This article further explores this explanation for the 'disappearance' of FSCs, by examining in detail how </w:t>
      </w:r>
      <w:r w:rsidR="001B54B6" w:rsidRPr="00515DBF">
        <w:rPr>
          <w:rFonts w:ascii="Times New Roman" w:hAnsi="Times New Roman" w:cs="Times New Roman"/>
        </w:rPr>
        <w:t xml:space="preserve">and why </w:t>
      </w:r>
      <w:r w:rsidR="00C77814" w:rsidRPr="00515DBF">
        <w:rPr>
          <w:rFonts w:ascii="Times New Roman" w:hAnsi="Times New Roman" w:cs="Times New Roman"/>
        </w:rPr>
        <w:t xml:space="preserve">the Rhodesian Selection Trust </w:t>
      </w:r>
      <w:r w:rsidR="001B54B6" w:rsidRPr="00515DBF">
        <w:rPr>
          <w:rFonts w:ascii="Times New Roman" w:hAnsi="Times New Roman" w:cs="Times New Roman"/>
        </w:rPr>
        <w:t xml:space="preserve">(RST) </w:t>
      </w:r>
      <w:r w:rsidR="001916AA">
        <w:rPr>
          <w:rFonts w:ascii="Times New Roman" w:hAnsi="Times New Roman" w:cs="Times New Roman"/>
        </w:rPr>
        <w:t xml:space="preserve">group </w:t>
      </w:r>
      <w:r w:rsidR="00B95669">
        <w:rPr>
          <w:rFonts w:ascii="Times New Roman" w:hAnsi="Times New Roman" w:cs="Times New Roman"/>
        </w:rPr>
        <w:t xml:space="preserve">of mining companies </w:t>
      </w:r>
      <w:r w:rsidR="005F32E7" w:rsidRPr="00515DBF">
        <w:rPr>
          <w:rFonts w:ascii="Times New Roman" w:hAnsi="Times New Roman" w:cs="Times New Roman"/>
        </w:rPr>
        <w:t>ceased to be identifiably "British" firms by moving their place of residence (domicile) as a result of taxation and colonial politics</w:t>
      </w:r>
      <w:r w:rsidR="00C77814" w:rsidRPr="00515DBF">
        <w:rPr>
          <w:rFonts w:ascii="Times New Roman" w:hAnsi="Times New Roman" w:cs="Times New Roman"/>
        </w:rPr>
        <w:t xml:space="preserve">. </w:t>
      </w:r>
    </w:p>
    <w:p w14:paraId="16ADD3C7" w14:textId="099B9020" w:rsidR="006B34B6" w:rsidRPr="00515DBF" w:rsidRDefault="00752E37" w:rsidP="00E927A1">
      <w:pPr>
        <w:spacing w:line="480" w:lineRule="auto"/>
        <w:ind w:firstLine="720"/>
        <w:jc w:val="both"/>
        <w:rPr>
          <w:rFonts w:ascii="Times New Roman" w:hAnsi="Times New Roman" w:cs="Times New Roman"/>
        </w:rPr>
      </w:pPr>
      <w:r>
        <w:rPr>
          <w:rFonts w:ascii="Times New Roman" w:hAnsi="Times New Roman" w:cs="Times New Roman"/>
        </w:rPr>
        <w:t>The contested nationality of multinational</w:t>
      </w:r>
      <w:r w:rsidR="00986801">
        <w:rPr>
          <w:rFonts w:ascii="Times New Roman" w:hAnsi="Times New Roman" w:cs="Times New Roman"/>
        </w:rPr>
        <w:t xml:space="preserve"> and international firms</w:t>
      </w:r>
      <w:r>
        <w:rPr>
          <w:rFonts w:ascii="Times New Roman" w:hAnsi="Times New Roman" w:cs="Times New Roman"/>
        </w:rPr>
        <w:t xml:space="preserve"> </w:t>
      </w:r>
      <w:r w:rsidR="00986801">
        <w:rPr>
          <w:rFonts w:ascii="Times New Roman" w:hAnsi="Times New Roman" w:cs="Times New Roman"/>
        </w:rPr>
        <w:t xml:space="preserve">is central to the purpose of this special issue. An approach to understanding this is to look at instances of when companies or firms sought to change their national domicile. </w:t>
      </w:r>
      <w:r w:rsidR="001B54B6" w:rsidRPr="00515DBF">
        <w:rPr>
          <w:rFonts w:ascii="Times New Roman" w:hAnsi="Times New Roman" w:cs="Times New Roman"/>
        </w:rPr>
        <w:t>Between February and July 1952 the RST group applied to change their domicile from the UK to Northern Rhodesia</w:t>
      </w:r>
      <w:r w:rsidR="004A4671">
        <w:rPr>
          <w:rFonts w:ascii="Times New Roman" w:hAnsi="Times New Roman" w:cs="Times New Roman"/>
        </w:rPr>
        <w:t xml:space="preserve"> (known as Zambia after </w:t>
      </w:r>
      <w:r w:rsidR="004A4671">
        <w:rPr>
          <w:rFonts w:ascii="Times New Roman" w:hAnsi="Times New Roman" w:cs="Times New Roman"/>
        </w:rPr>
        <w:lastRenderedPageBreak/>
        <w:t>independence in 1964)</w:t>
      </w:r>
      <w:r w:rsidR="001B54B6" w:rsidRPr="00515DBF">
        <w:rPr>
          <w:rFonts w:ascii="Times New Roman" w:hAnsi="Times New Roman" w:cs="Times New Roman"/>
        </w:rPr>
        <w:t>.</w:t>
      </w:r>
      <w:r w:rsidR="001B54B6" w:rsidRPr="00515DBF">
        <w:rPr>
          <w:rStyle w:val="EndnoteReference"/>
          <w:rFonts w:ascii="Times New Roman" w:hAnsi="Times New Roman" w:cs="Times New Roman"/>
        </w:rPr>
        <w:endnoteReference w:id="8"/>
      </w:r>
      <w:r w:rsidR="001B54B6" w:rsidRPr="00515DBF">
        <w:rPr>
          <w:rFonts w:ascii="Times New Roman" w:hAnsi="Times New Roman" w:cs="Times New Roman"/>
        </w:rPr>
        <w:t xml:space="preserve"> The Treasury appointed an advisory panel to consider the application. They reported in November 1952 and approved the change. By July 1953 the RST group had successfully moved domicile to Northern Rhodesia.</w:t>
      </w:r>
      <w:r w:rsidR="001B54B6" w:rsidRPr="00515DBF">
        <w:rPr>
          <w:rStyle w:val="EndnoteReference"/>
          <w:rFonts w:ascii="Times New Roman" w:hAnsi="Times New Roman" w:cs="Times New Roman"/>
        </w:rPr>
        <w:endnoteReference w:id="9"/>
      </w:r>
      <w:r w:rsidR="001B54B6" w:rsidRPr="00515DBF">
        <w:rPr>
          <w:rFonts w:ascii="Times New Roman" w:hAnsi="Times New Roman" w:cs="Times New Roman"/>
        </w:rPr>
        <w:t xml:space="preserve"> This brief outline chronology of events, however, masks divergence and dissonance among </w:t>
      </w:r>
      <w:r w:rsidR="005F32E7" w:rsidRPr="00515DBF">
        <w:rPr>
          <w:rFonts w:ascii="Times New Roman" w:hAnsi="Times New Roman" w:cs="Times New Roman"/>
        </w:rPr>
        <w:t>the</w:t>
      </w:r>
      <w:r w:rsidR="001B54B6" w:rsidRPr="00515DBF">
        <w:rPr>
          <w:rFonts w:ascii="Times New Roman" w:hAnsi="Times New Roman" w:cs="Times New Roman"/>
        </w:rPr>
        <w:t xml:space="preserve"> </w:t>
      </w:r>
      <w:r w:rsidR="005F32E7" w:rsidRPr="00515DBF">
        <w:rPr>
          <w:rFonts w:ascii="Times New Roman" w:hAnsi="Times New Roman" w:cs="Times New Roman"/>
        </w:rPr>
        <w:t xml:space="preserve">main </w:t>
      </w:r>
      <w:r w:rsidR="001B54B6" w:rsidRPr="00515DBF">
        <w:rPr>
          <w:rFonts w:ascii="Times New Roman" w:hAnsi="Times New Roman" w:cs="Times New Roman"/>
        </w:rPr>
        <w:t>actors in the process. Within the RST group there was an internal debate abou</w:t>
      </w:r>
      <w:r w:rsidR="002E0C17" w:rsidRPr="00515DBF">
        <w:rPr>
          <w:rFonts w:ascii="Times New Roman" w:hAnsi="Times New Roman" w:cs="Times New Roman"/>
        </w:rPr>
        <w:t>t the</w:t>
      </w:r>
      <w:r w:rsidR="006B34B6" w:rsidRPr="00515DBF">
        <w:rPr>
          <w:rFonts w:ascii="Times New Roman" w:hAnsi="Times New Roman" w:cs="Times New Roman"/>
        </w:rPr>
        <w:t xml:space="preserve"> strategy. </w:t>
      </w:r>
      <w:r w:rsidR="005F32E7" w:rsidRPr="00515DBF">
        <w:rPr>
          <w:rFonts w:ascii="Times New Roman" w:hAnsi="Times New Roman" w:cs="Times New Roman"/>
        </w:rPr>
        <w:t>The</w:t>
      </w:r>
      <w:r w:rsidR="006B34B6" w:rsidRPr="00515DBF">
        <w:rPr>
          <w:rFonts w:ascii="Times New Roman" w:hAnsi="Times New Roman" w:cs="Times New Roman"/>
        </w:rPr>
        <w:t xml:space="preserve"> intention to change domicile was initially resisted by the British government for tax revenue and balance of payments reasons</w:t>
      </w:r>
      <w:r w:rsidR="005F32E7" w:rsidRPr="00515DBF">
        <w:rPr>
          <w:rFonts w:ascii="Times New Roman" w:hAnsi="Times New Roman" w:cs="Times New Roman"/>
        </w:rPr>
        <w:t>.</w:t>
      </w:r>
      <w:r w:rsidR="006B34B6" w:rsidRPr="00515DBF">
        <w:rPr>
          <w:rFonts w:ascii="Times New Roman" w:hAnsi="Times New Roman" w:cs="Times New Roman"/>
        </w:rPr>
        <w:t xml:space="preserve"> </w:t>
      </w:r>
      <w:r w:rsidR="005F32E7" w:rsidRPr="00515DBF">
        <w:rPr>
          <w:rFonts w:ascii="Times New Roman" w:hAnsi="Times New Roman" w:cs="Times New Roman"/>
        </w:rPr>
        <w:t>However, t</w:t>
      </w:r>
      <w:r w:rsidR="006B34B6" w:rsidRPr="00515DBF">
        <w:rPr>
          <w:rFonts w:ascii="Times New Roman" w:hAnsi="Times New Roman" w:cs="Times New Roman"/>
        </w:rPr>
        <w:t xml:space="preserve">he conflict </w:t>
      </w:r>
      <w:r w:rsidR="005F32E7" w:rsidRPr="00515DBF">
        <w:rPr>
          <w:rFonts w:ascii="Times New Roman" w:hAnsi="Times New Roman" w:cs="Times New Roman"/>
        </w:rPr>
        <w:t>within</w:t>
      </w:r>
      <w:r w:rsidR="006B34B6" w:rsidRPr="00515DBF">
        <w:rPr>
          <w:rFonts w:ascii="Times New Roman" w:hAnsi="Times New Roman" w:cs="Times New Roman"/>
        </w:rPr>
        <w:t xml:space="preserve"> </w:t>
      </w:r>
      <w:r w:rsidR="005F32E7" w:rsidRPr="00515DBF">
        <w:rPr>
          <w:rFonts w:ascii="Times New Roman" w:hAnsi="Times New Roman" w:cs="Times New Roman"/>
        </w:rPr>
        <w:t>the British state</w:t>
      </w:r>
      <w:r w:rsidR="006B34B6" w:rsidRPr="00515DBF">
        <w:rPr>
          <w:rFonts w:ascii="Times New Roman" w:hAnsi="Times New Roman" w:cs="Times New Roman"/>
        </w:rPr>
        <w:t xml:space="preserve"> was described as 'a battle' between ministers.</w:t>
      </w:r>
      <w:r w:rsidR="006B34B6" w:rsidRPr="00515DBF">
        <w:rPr>
          <w:rStyle w:val="EndnoteReference"/>
          <w:rFonts w:ascii="Times New Roman" w:hAnsi="Times New Roman" w:cs="Times New Roman"/>
        </w:rPr>
        <w:endnoteReference w:id="10"/>
      </w:r>
      <w:r w:rsidR="006B34B6" w:rsidRPr="00515DBF">
        <w:rPr>
          <w:rFonts w:ascii="Times New Roman" w:hAnsi="Times New Roman" w:cs="Times New Roman"/>
        </w:rPr>
        <w:t xml:space="preserve"> There were also other actors involved in the process, </w:t>
      </w:r>
      <w:r w:rsidR="001B54B6" w:rsidRPr="00515DBF">
        <w:rPr>
          <w:rFonts w:ascii="Times New Roman" w:hAnsi="Times New Roman" w:cs="Times New Roman"/>
        </w:rPr>
        <w:t>such as the various political factions in Northern Rhodesia</w:t>
      </w:r>
      <w:r w:rsidR="0000792B">
        <w:rPr>
          <w:rFonts w:ascii="Times New Roman" w:hAnsi="Times New Roman" w:cs="Times New Roman"/>
        </w:rPr>
        <w:t>, most notably the white settler lobby</w:t>
      </w:r>
      <w:r w:rsidR="001B54B6" w:rsidRPr="00515DBF">
        <w:rPr>
          <w:rFonts w:ascii="Times New Roman" w:hAnsi="Times New Roman" w:cs="Times New Roman"/>
        </w:rPr>
        <w:t>.</w:t>
      </w:r>
      <w:r w:rsidR="006B34B6" w:rsidRPr="00515DBF">
        <w:rPr>
          <w:rFonts w:ascii="Times New Roman" w:hAnsi="Times New Roman" w:cs="Times New Roman"/>
        </w:rPr>
        <w:t xml:space="preserve"> </w:t>
      </w:r>
      <w:r w:rsidR="005F32E7" w:rsidRPr="00515DBF">
        <w:rPr>
          <w:rFonts w:ascii="Times New Roman" w:hAnsi="Times New Roman" w:cs="Times New Roman"/>
        </w:rPr>
        <w:t xml:space="preserve">This process was </w:t>
      </w:r>
      <w:r w:rsidR="00183713" w:rsidRPr="00515DBF">
        <w:rPr>
          <w:rFonts w:ascii="Times New Roman" w:hAnsi="Times New Roman" w:cs="Times New Roman"/>
        </w:rPr>
        <w:t xml:space="preserve">bound up in the crisis of decline in the late British Empire and the desire by colonial governments to increase control over </w:t>
      </w:r>
      <w:r w:rsidR="00797C18" w:rsidRPr="00515DBF">
        <w:rPr>
          <w:rFonts w:ascii="Times New Roman" w:hAnsi="Times New Roman" w:cs="Times New Roman"/>
        </w:rPr>
        <w:t>businesses, which</w:t>
      </w:r>
      <w:r w:rsidR="00183713" w:rsidRPr="00515DBF">
        <w:rPr>
          <w:rFonts w:ascii="Times New Roman" w:hAnsi="Times New Roman" w:cs="Times New Roman"/>
        </w:rPr>
        <w:t xml:space="preserve"> they considered vital to future economic development. We use these contestations to explore themes central to this Special Iss</w:t>
      </w:r>
      <w:r w:rsidR="00797C18" w:rsidRPr="00515DBF">
        <w:rPr>
          <w:rFonts w:ascii="Times New Roman" w:hAnsi="Times New Roman" w:cs="Times New Roman"/>
        </w:rPr>
        <w:t>ue, including the obvert choice of firm nationality, the nature of the government-firm relationship in home and host countries, and how a change of domicile affects this dynamic.</w:t>
      </w:r>
      <w:r w:rsidR="000C3F5B" w:rsidRPr="00515DBF">
        <w:rPr>
          <w:rFonts w:ascii="Times New Roman" w:hAnsi="Times New Roman" w:cs="Times New Roman"/>
        </w:rPr>
        <w:t xml:space="preserve">  Further, the paper considers the role of white settlers in sub-Saharan Africa and their attempts to </w:t>
      </w:r>
      <w:r w:rsidR="0000792B">
        <w:rPr>
          <w:rFonts w:ascii="Times New Roman" w:hAnsi="Times New Roman" w:cs="Times New Roman"/>
        </w:rPr>
        <w:t>bolster</w:t>
      </w:r>
      <w:r w:rsidR="000C3F5B" w:rsidRPr="00515DBF">
        <w:rPr>
          <w:rFonts w:ascii="Times New Roman" w:hAnsi="Times New Roman" w:cs="Times New Roman"/>
        </w:rPr>
        <w:t xml:space="preserve"> a settler nationalism based around economic activity</w:t>
      </w:r>
      <w:r w:rsidR="007C478E">
        <w:rPr>
          <w:rFonts w:ascii="Times New Roman" w:hAnsi="Times New Roman" w:cs="Times New Roman"/>
        </w:rPr>
        <w:t>.</w:t>
      </w:r>
      <w:r w:rsidR="00183713" w:rsidRPr="00515DBF">
        <w:rPr>
          <w:rFonts w:ascii="Times New Roman" w:hAnsi="Times New Roman" w:cs="Times New Roman"/>
        </w:rPr>
        <w:t xml:space="preserve"> </w:t>
      </w:r>
    </w:p>
    <w:p w14:paraId="2115A81D" w14:textId="4F8621C9" w:rsidR="00183713" w:rsidRPr="00515DBF" w:rsidRDefault="006B34B6" w:rsidP="00BD00C6">
      <w:pPr>
        <w:spacing w:line="480" w:lineRule="auto"/>
        <w:jc w:val="both"/>
        <w:rPr>
          <w:rFonts w:ascii="Times New Roman" w:hAnsi="Times New Roman" w:cs="Times New Roman"/>
        </w:rPr>
      </w:pPr>
      <w:r w:rsidRPr="00515DBF">
        <w:rPr>
          <w:rFonts w:ascii="Times New Roman" w:hAnsi="Times New Roman" w:cs="Times New Roman"/>
        </w:rPr>
        <w:tab/>
      </w:r>
      <w:r w:rsidR="00183713" w:rsidRPr="00515DBF">
        <w:rPr>
          <w:rFonts w:ascii="Times New Roman" w:hAnsi="Times New Roman" w:cs="Times New Roman"/>
        </w:rPr>
        <w:t xml:space="preserve">The central historiographical interpretation we develop is that the firms in this case were willing to jettison domicile in the UK in favour </w:t>
      </w:r>
      <w:r w:rsidR="00887056" w:rsidRPr="00515DBF">
        <w:rPr>
          <w:rFonts w:ascii="Times New Roman" w:hAnsi="Times New Roman" w:cs="Times New Roman"/>
        </w:rPr>
        <w:t xml:space="preserve">of </w:t>
      </w:r>
      <w:r w:rsidR="00183713" w:rsidRPr="00515DBF">
        <w:rPr>
          <w:rFonts w:ascii="Times New Roman" w:hAnsi="Times New Roman" w:cs="Times New Roman"/>
        </w:rPr>
        <w:t xml:space="preserve">closer alignment with the political power located in their country of operation, in this case Northern Rhodesia. In practical terms this was connected to the desire to reduce the financial burden caused by </w:t>
      </w:r>
      <w:r w:rsidRPr="00515DBF">
        <w:rPr>
          <w:rFonts w:ascii="Times New Roman" w:hAnsi="Times New Roman" w:cs="Times New Roman"/>
        </w:rPr>
        <w:t>double</w:t>
      </w:r>
      <w:r w:rsidR="00183713" w:rsidRPr="00515DBF">
        <w:rPr>
          <w:rFonts w:ascii="Times New Roman" w:hAnsi="Times New Roman" w:cs="Times New Roman"/>
        </w:rPr>
        <w:t xml:space="preserve">-taxation. However, within the firms this was a gradual process of deliberative strategic decision-making. Our </w:t>
      </w:r>
      <w:r w:rsidR="00183713" w:rsidRPr="00515DBF">
        <w:rPr>
          <w:rFonts w:ascii="Times New Roman" w:hAnsi="Times New Roman" w:cs="Times New Roman"/>
        </w:rPr>
        <w:lastRenderedPageBreak/>
        <w:t xml:space="preserve">study also reveals how the firms in questions were only arguably "British" at the time of seeking to change domicile: they operated overseas, and were largely owned by American interests. Only among the senior management of the firm was there a more obviously "British" presence, though as we demonstrate the </w:t>
      </w:r>
      <w:r w:rsidR="00A86F85">
        <w:rPr>
          <w:rFonts w:ascii="Times New Roman" w:hAnsi="Times New Roman" w:cs="Times New Roman"/>
        </w:rPr>
        <w:t>“</w:t>
      </w:r>
      <w:r w:rsidR="00183713" w:rsidRPr="00515DBF">
        <w:rPr>
          <w:rFonts w:ascii="Times New Roman" w:hAnsi="Times New Roman" w:cs="Times New Roman"/>
        </w:rPr>
        <w:t>American</w:t>
      </w:r>
      <w:r w:rsidR="00A86F85">
        <w:rPr>
          <w:rFonts w:ascii="Times New Roman" w:hAnsi="Times New Roman" w:cs="Times New Roman"/>
        </w:rPr>
        <w:t>”</w:t>
      </w:r>
      <w:r w:rsidR="00183713" w:rsidRPr="00515DBF">
        <w:rPr>
          <w:rFonts w:ascii="Times New Roman" w:hAnsi="Times New Roman" w:cs="Times New Roman"/>
        </w:rPr>
        <w:t xml:space="preserve"> strategic managerial influence was considerable–and ultimately prevailed. </w:t>
      </w:r>
    </w:p>
    <w:p w14:paraId="686B3DD3" w14:textId="0828DF45"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 xml:space="preserve">The primary sources utilised in this article are </w:t>
      </w:r>
      <w:r w:rsidR="00944C15" w:rsidRPr="00515DBF">
        <w:rPr>
          <w:rFonts w:ascii="Times New Roman" w:hAnsi="Times New Roman" w:cs="Times New Roman"/>
        </w:rPr>
        <w:t>chiefly drawn from the government records</w:t>
      </w:r>
      <w:r w:rsidRPr="00515DBF">
        <w:rPr>
          <w:rFonts w:ascii="Times New Roman" w:hAnsi="Times New Roman" w:cs="Times New Roman"/>
        </w:rPr>
        <w:t xml:space="preserve"> at the National Archives in London, the papers of Ronald </w:t>
      </w:r>
      <w:proofErr w:type="spellStart"/>
      <w:r w:rsidRPr="00515DBF">
        <w:rPr>
          <w:rFonts w:ascii="Times New Roman" w:hAnsi="Times New Roman" w:cs="Times New Roman"/>
        </w:rPr>
        <w:t>Prain</w:t>
      </w:r>
      <w:proofErr w:type="spellEnd"/>
      <w:r w:rsidR="00D15B2A">
        <w:rPr>
          <w:rFonts w:ascii="Times New Roman" w:hAnsi="Times New Roman" w:cs="Times New Roman"/>
        </w:rPr>
        <w:t>, managing director of the Rhodesian Selection Trust group from 1943, and its chairman from 1950-1972,</w:t>
      </w:r>
      <w:r w:rsidRPr="00515DBF">
        <w:rPr>
          <w:rFonts w:ascii="Times New Roman" w:hAnsi="Times New Roman" w:cs="Times New Roman"/>
        </w:rPr>
        <w:t xml:space="preserve"> at the American Heritage </w:t>
      </w:r>
      <w:proofErr w:type="spellStart"/>
      <w:r w:rsidRPr="00515DBF">
        <w:rPr>
          <w:rFonts w:ascii="Times New Roman" w:hAnsi="Times New Roman" w:cs="Times New Roman"/>
        </w:rPr>
        <w:t>Center</w:t>
      </w:r>
      <w:proofErr w:type="spellEnd"/>
      <w:r w:rsidRPr="00515DBF">
        <w:rPr>
          <w:rFonts w:ascii="Times New Roman" w:hAnsi="Times New Roman" w:cs="Times New Roman"/>
        </w:rPr>
        <w:t xml:space="preserve"> at the University of Wyoming, the papers of Selection Trust and related companies at the LSE in London, and relevant development oriented material in the Barclays Group Archives, in Manchester.</w:t>
      </w:r>
      <w:r w:rsidR="00C77814" w:rsidRPr="00515DBF">
        <w:rPr>
          <w:rFonts w:ascii="Times New Roman" w:hAnsi="Times New Roman" w:cs="Times New Roman"/>
        </w:rPr>
        <w:t xml:space="preserve"> The period covered in this article is</w:t>
      </w:r>
      <w:r w:rsidR="005F32E7" w:rsidRPr="00515DBF">
        <w:rPr>
          <w:rFonts w:ascii="Times New Roman" w:hAnsi="Times New Roman" w:cs="Times New Roman"/>
        </w:rPr>
        <w:t xml:space="preserve"> relatively brief</w:t>
      </w:r>
      <w:r w:rsidR="000D0219" w:rsidRPr="00515DBF">
        <w:rPr>
          <w:rFonts w:ascii="Times New Roman" w:hAnsi="Times New Roman" w:cs="Times New Roman"/>
        </w:rPr>
        <w:t>,</w:t>
      </w:r>
      <w:r w:rsidR="005F32E7" w:rsidRPr="00515DBF">
        <w:rPr>
          <w:rFonts w:ascii="Times New Roman" w:hAnsi="Times New Roman" w:cs="Times New Roman"/>
        </w:rPr>
        <w:t xml:space="preserve"> beginning in</w:t>
      </w:r>
      <w:r w:rsidR="00C77814" w:rsidRPr="00515DBF">
        <w:rPr>
          <w:rFonts w:ascii="Times New Roman" w:hAnsi="Times New Roman" w:cs="Times New Roman"/>
        </w:rPr>
        <w:t xml:space="preserve"> 1950 when the firms began to internally discuss moving domicile, until 1953 when this was finally achieved. </w:t>
      </w:r>
      <w:r w:rsidR="006B34B6" w:rsidRPr="00515DBF">
        <w:rPr>
          <w:rFonts w:ascii="Times New Roman" w:hAnsi="Times New Roman" w:cs="Times New Roman"/>
        </w:rPr>
        <w:t>The articl</w:t>
      </w:r>
      <w:r w:rsidR="005F32E7" w:rsidRPr="00515DBF">
        <w:rPr>
          <w:rFonts w:ascii="Times New Roman" w:hAnsi="Times New Roman" w:cs="Times New Roman"/>
        </w:rPr>
        <w:t>e is structured as follows. First, we discuss how taxation relates to both nationality and imperialism</w:t>
      </w:r>
      <w:r w:rsidR="0088379A">
        <w:rPr>
          <w:rFonts w:ascii="Times New Roman" w:hAnsi="Times New Roman" w:cs="Times New Roman"/>
        </w:rPr>
        <w:t>,</w:t>
      </w:r>
      <w:r w:rsidR="005F32E7" w:rsidRPr="00515DBF">
        <w:rPr>
          <w:rFonts w:ascii="Times New Roman" w:hAnsi="Times New Roman" w:cs="Times New Roman"/>
        </w:rPr>
        <w:t xml:space="preserve"> </w:t>
      </w:r>
      <w:r w:rsidR="0088379A">
        <w:rPr>
          <w:rFonts w:ascii="Times New Roman" w:hAnsi="Times New Roman" w:cs="Times New Roman"/>
        </w:rPr>
        <w:t>further connecting these concepts</w:t>
      </w:r>
      <w:r w:rsidR="0088379A" w:rsidRPr="00515DBF">
        <w:rPr>
          <w:rFonts w:ascii="Times New Roman" w:hAnsi="Times New Roman" w:cs="Times New Roman"/>
        </w:rPr>
        <w:t xml:space="preserve"> </w:t>
      </w:r>
      <w:r w:rsidR="005F32E7" w:rsidRPr="00515DBF">
        <w:rPr>
          <w:rFonts w:ascii="Times New Roman" w:hAnsi="Times New Roman" w:cs="Times New Roman"/>
        </w:rPr>
        <w:t>to ideas about sovereignty, and in turn how taxation becomes an important area of contestation and power as state</w:t>
      </w:r>
      <w:r w:rsidR="000D0219" w:rsidRPr="00515DBF">
        <w:rPr>
          <w:rFonts w:ascii="Times New Roman" w:hAnsi="Times New Roman" w:cs="Times New Roman"/>
        </w:rPr>
        <w:t xml:space="preserve">s seek to act in their national interest. This provides context around the issue of taxation. The second section provides political context by examining the politics of the emerging white-settler dominated colony. The third section explores the organizational context of the RST group, examining issues of ownership and control. The fourth section then examines the development of RST's strategy with reference to the issue of switching domicile, and the fifth section examines the government discourse with reference to the same. The final empirical section explores the </w:t>
      </w:r>
      <w:r w:rsidR="000D0219" w:rsidRPr="00515DBF">
        <w:rPr>
          <w:rFonts w:ascii="Times New Roman" w:hAnsi="Times New Roman" w:cs="Times New Roman"/>
        </w:rPr>
        <w:lastRenderedPageBreak/>
        <w:t>"end-game" of the process of RST's change of domicile. We conclude by relating the narrative, interpretation and argument development to the debate of the Special Issue and the implications for future research.</w:t>
      </w:r>
    </w:p>
    <w:p w14:paraId="575765E9" w14:textId="77777777" w:rsidR="00183713" w:rsidRDefault="00183713" w:rsidP="00BD00C6">
      <w:pPr>
        <w:spacing w:line="480" w:lineRule="auto"/>
        <w:jc w:val="both"/>
        <w:rPr>
          <w:rFonts w:ascii="Times New Roman" w:hAnsi="Times New Roman" w:cs="Times New Roman"/>
        </w:rPr>
      </w:pPr>
    </w:p>
    <w:p w14:paraId="5FEE77B9" w14:textId="77777777" w:rsidR="00515DBF" w:rsidRPr="00515DBF" w:rsidRDefault="00515DBF" w:rsidP="00BD00C6">
      <w:pPr>
        <w:spacing w:line="480" w:lineRule="auto"/>
        <w:jc w:val="both"/>
        <w:rPr>
          <w:rFonts w:ascii="Times New Roman" w:hAnsi="Times New Roman" w:cs="Times New Roman"/>
        </w:rPr>
      </w:pPr>
    </w:p>
    <w:p w14:paraId="01729633" w14:textId="3AC098A2"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b/>
        </w:rPr>
        <w:t>Nationality</w:t>
      </w:r>
      <w:r w:rsidR="000E5DC5" w:rsidRPr="00515DBF">
        <w:rPr>
          <w:rFonts w:ascii="Times New Roman" w:hAnsi="Times New Roman" w:cs="Times New Roman"/>
          <w:b/>
        </w:rPr>
        <w:t>, imperialism</w:t>
      </w:r>
      <w:r w:rsidR="005F32E7" w:rsidRPr="00515DBF">
        <w:rPr>
          <w:rFonts w:ascii="Times New Roman" w:hAnsi="Times New Roman" w:cs="Times New Roman"/>
          <w:b/>
        </w:rPr>
        <w:t>, sovereignty</w:t>
      </w:r>
      <w:r w:rsidR="000E5DC5" w:rsidRPr="00515DBF">
        <w:rPr>
          <w:rFonts w:ascii="Times New Roman" w:hAnsi="Times New Roman" w:cs="Times New Roman"/>
          <w:b/>
        </w:rPr>
        <w:t xml:space="preserve"> </w:t>
      </w:r>
      <w:r w:rsidR="00C77814" w:rsidRPr="00515DBF">
        <w:rPr>
          <w:rFonts w:ascii="Times New Roman" w:hAnsi="Times New Roman" w:cs="Times New Roman"/>
          <w:b/>
        </w:rPr>
        <w:t xml:space="preserve">and </w:t>
      </w:r>
      <w:r w:rsidRPr="00515DBF">
        <w:rPr>
          <w:rFonts w:ascii="Times New Roman" w:hAnsi="Times New Roman" w:cs="Times New Roman"/>
          <w:b/>
        </w:rPr>
        <w:t>taxation</w:t>
      </w:r>
    </w:p>
    <w:p w14:paraId="3CBE0EDC" w14:textId="3DED94CD" w:rsidR="00864B2D" w:rsidRDefault="008C5EFA" w:rsidP="00BD00C6">
      <w:pPr>
        <w:spacing w:line="480" w:lineRule="auto"/>
        <w:jc w:val="both"/>
        <w:rPr>
          <w:rFonts w:ascii="Times New Roman" w:hAnsi="Times New Roman" w:cs="Times New Roman"/>
          <w:lang w:val="en-US"/>
        </w:rPr>
      </w:pPr>
      <w:r>
        <w:rPr>
          <w:rFonts w:ascii="Times New Roman" w:hAnsi="Times New Roman" w:cs="Times New Roman"/>
        </w:rPr>
        <w:t>A feature of i</w:t>
      </w:r>
      <w:r w:rsidR="00183713" w:rsidRPr="00515DBF">
        <w:rPr>
          <w:rFonts w:ascii="Times New Roman" w:hAnsi="Times New Roman" w:cs="Times New Roman"/>
        </w:rPr>
        <w:t xml:space="preserve">mperialism </w:t>
      </w:r>
      <w:r>
        <w:rPr>
          <w:rFonts w:ascii="Times New Roman" w:hAnsi="Times New Roman" w:cs="Times New Roman"/>
        </w:rPr>
        <w:t>is</w:t>
      </w:r>
      <w:r w:rsidR="00183713" w:rsidRPr="00515DBF">
        <w:rPr>
          <w:rFonts w:ascii="Times New Roman" w:hAnsi="Times New Roman" w:cs="Times New Roman"/>
        </w:rPr>
        <w:t xml:space="preserve"> the extra-territorial exertion of power </w:t>
      </w:r>
      <w:r w:rsidR="003F1510" w:rsidRPr="00515DBF">
        <w:rPr>
          <w:rFonts w:ascii="Times New Roman" w:hAnsi="Times New Roman" w:cs="Times New Roman"/>
        </w:rPr>
        <w:t xml:space="preserve">by a nation-state </w:t>
      </w:r>
      <w:r w:rsidR="00183713" w:rsidRPr="00515DBF">
        <w:rPr>
          <w:rFonts w:ascii="Times New Roman" w:hAnsi="Times New Roman" w:cs="Times New Roman"/>
        </w:rPr>
        <w:t>over another territory or polity in such a way to subordinate that territory and/or polity to the imperial power.</w:t>
      </w:r>
      <w:r w:rsidR="00183713" w:rsidRPr="00515DBF">
        <w:rPr>
          <w:rStyle w:val="EndnoteReference"/>
          <w:rFonts w:ascii="Times New Roman" w:hAnsi="Times New Roman" w:cs="Times New Roman"/>
        </w:rPr>
        <w:endnoteReference w:id="11"/>
      </w:r>
      <w:r w:rsidR="00183713" w:rsidRPr="00515DBF">
        <w:rPr>
          <w:rFonts w:ascii="Times New Roman" w:hAnsi="Times New Roman" w:cs="Times New Roman"/>
        </w:rPr>
        <w:t xml:space="preserve"> </w:t>
      </w:r>
      <w:r w:rsidR="00C77814" w:rsidRPr="00515DBF">
        <w:rPr>
          <w:rFonts w:ascii="Times New Roman" w:hAnsi="Times New Roman" w:cs="Times New Roman"/>
        </w:rPr>
        <w:t xml:space="preserve">In contrast, sovereign statehood </w:t>
      </w:r>
      <w:r w:rsidR="007A070B">
        <w:rPr>
          <w:rFonts w:ascii="Times New Roman" w:hAnsi="Times New Roman" w:cs="Times New Roman"/>
        </w:rPr>
        <w:t xml:space="preserve">has </w:t>
      </w:r>
      <w:r w:rsidR="00C77814" w:rsidRPr="00515DBF">
        <w:rPr>
          <w:rFonts w:ascii="Times New Roman" w:hAnsi="Times New Roman" w:cs="Times New Roman"/>
        </w:rPr>
        <w:t>been defined as '</w:t>
      </w:r>
      <w:r w:rsidR="00C77814" w:rsidRPr="00515DBF">
        <w:rPr>
          <w:rFonts w:ascii="Times New Roman" w:hAnsi="Times New Roman" w:cs="Times New Roman"/>
          <w:lang w:val="en-US"/>
        </w:rPr>
        <w:t>a system of political authority based on territory, mutual recognition, autonomy, and control.'</w:t>
      </w:r>
      <w:r w:rsidR="00C77814" w:rsidRPr="00515DBF">
        <w:rPr>
          <w:rStyle w:val="EndnoteReference"/>
          <w:rFonts w:ascii="Times New Roman" w:hAnsi="Times New Roman" w:cs="Times New Roman"/>
        </w:rPr>
        <w:endnoteReference w:id="12"/>
      </w:r>
      <w:r w:rsidR="00C77814" w:rsidRPr="00515DBF">
        <w:rPr>
          <w:rFonts w:ascii="Times New Roman" w:hAnsi="Times New Roman" w:cs="Times New Roman"/>
          <w:lang w:val="en-US"/>
        </w:rPr>
        <w:t xml:space="preserve"> </w:t>
      </w:r>
      <w:r w:rsidR="00183713" w:rsidRPr="00515DBF">
        <w:rPr>
          <w:rFonts w:ascii="Times New Roman" w:hAnsi="Times New Roman" w:cs="Times New Roman"/>
        </w:rPr>
        <w:t>Very clearly, then, territories that are subject to imperial powers</w:t>
      </w:r>
      <w:r w:rsidR="002B6AEC" w:rsidRPr="00515DBF">
        <w:rPr>
          <w:rFonts w:ascii="Times New Roman" w:hAnsi="Times New Roman" w:cs="Times New Roman"/>
        </w:rPr>
        <w:t xml:space="preserve"> </w:t>
      </w:r>
      <w:r w:rsidR="00183713" w:rsidRPr="00515DBF">
        <w:rPr>
          <w:rFonts w:ascii="Times New Roman" w:hAnsi="Times New Roman" w:cs="Times New Roman"/>
        </w:rPr>
        <w:t xml:space="preserve">are incapable of the 'ideal type' of sovereignty as identified above. However, </w:t>
      </w:r>
      <w:r w:rsidR="002B6AEC" w:rsidRPr="00515DBF">
        <w:rPr>
          <w:rFonts w:ascii="Times New Roman" w:hAnsi="Times New Roman" w:cs="Times New Roman"/>
        </w:rPr>
        <w:t>in practice</w:t>
      </w:r>
      <w:r w:rsidR="00183713" w:rsidRPr="00515DBF">
        <w:rPr>
          <w:rFonts w:ascii="Times New Roman" w:hAnsi="Times New Roman" w:cs="Times New Roman"/>
        </w:rPr>
        <w:t xml:space="preserve"> '</w:t>
      </w:r>
      <w:r w:rsidR="00183713" w:rsidRPr="00515DBF">
        <w:rPr>
          <w:rFonts w:ascii="Times New Roman" w:hAnsi="Times New Roman" w:cs="Times New Roman"/>
          <w:lang w:val="en-US"/>
        </w:rPr>
        <w:t>[</w:t>
      </w:r>
      <w:proofErr w:type="gramStart"/>
      <w:r w:rsidR="00183713" w:rsidRPr="00515DBF">
        <w:rPr>
          <w:rFonts w:ascii="Times New Roman" w:hAnsi="Times New Roman" w:cs="Times New Roman"/>
          <w:lang w:val="en-US"/>
        </w:rPr>
        <w:t>t]here</w:t>
      </w:r>
      <w:proofErr w:type="gramEnd"/>
      <w:r w:rsidR="00183713" w:rsidRPr="00515DBF">
        <w:rPr>
          <w:rFonts w:ascii="Times New Roman" w:hAnsi="Times New Roman" w:cs="Times New Roman"/>
          <w:lang w:val="en-US"/>
        </w:rPr>
        <w:t xml:space="preserve"> has never been some golden age for sovereignty. The sovereign state model has always been a cognitive script; its basic rules are widely understood but also frequently violated.'</w:t>
      </w:r>
      <w:r w:rsidR="00183713" w:rsidRPr="00515DBF">
        <w:rPr>
          <w:rStyle w:val="EndnoteReference"/>
          <w:rFonts w:ascii="Times New Roman" w:hAnsi="Times New Roman" w:cs="Times New Roman"/>
        </w:rPr>
        <w:endnoteReference w:id="13"/>
      </w:r>
      <w:r w:rsidR="00183713" w:rsidRPr="00515DBF">
        <w:rPr>
          <w:rFonts w:ascii="Times New Roman" w:hAnsi="Times New Roman" w:cs="Times New Roman"/>
          <w:lang w:val="en-US"/>
        </w:rPr>
        <w:t xml:space="preserve"> </w:t>
      </w:r>
      <w:r w:rsidR="000E5DC5" w:rsidRPr="00515DBF">
        <w:rPr>
          <w:rFonts w:ascii="Times New Roman" w:hAnsi="Times New Roman" w:cs="Times New Roman"/>
          <w:lang w:val="en-US"/>
        </w:rPr>
        <w:t xml:space="preserve">In the context of decolonization at the end of the British </w:t>
      </w:r>
      <w:r w:rsidR="007A070B" w:rsidRPr="00515DBF">
        <w:rPr>
          <w:rFonts w:ascii="Times New Roman" w:hAnsi="Times New Roman" w:cs="Times New Roman"/>
          <w:lang w:val="en-US"/>
        </w:rPr>
        <w:t>Empire</w:t>
      </w:r>
      <w:r w:rsidR="000E5DC5" w:rsidRPr="00515DBF">
        <w:rPr>
          <w:rFonts w:ascii="Times New Roman" w:hAnsi="Times New Roman" w:cs="Times New Roman"/>
          <w:lang w:val="en-US"/>
        </w:rPr>
        <w:t xml:space="preserve"> it is therefore useful to think of how late-empire colonial states were able </w:t>
      </w:r>
      <w:r w:rsidR="000C3F5B" w:rsidRPr="00515DBF">
        <w:rPr>
          <w:rFonts w:ascii="Times New Roman" w:hAnsi="Times New Roman" w:cs="Times New Roman"/>
          <w:lang w:val="en-US"/>
        </w:rPr>
        <w:t>to accrue</w:t>
      </w:r>
      <w:r w:rsidR="000E5DC5" w:rsidRPr="00515DBF">
        <w:rPr>
          <w:rFonts w:ascii="Times New Roman" w:hAnsi="Times New Roman" w:cs="Times New Roman"/>
          <w:lang w:val="en-US"/>
        </w:rPr>
        <w:t xml:space="preserve"> to themselves powers that independent states would usually have, and how this might cause friction or conflict between the metropole and the periphery.</w:t>
      </w:r>
      <w:r w:rsidR="006A0FA8" w:rsidRPr="006A0FA8">
        <w:rPr>
          <w:rFonts w:ascii="Times New Roman" w:hAnsi="Times New Roman" w:cs="Times New Roman"/>
          <w:lang w:val="en-US"/>
        </w:rPr>
        <w:t xml:space="preserve"> </w:t>
      </w:r>
      <w:r w:rsidR="006A0FA8">
        <w:rPr>
          <w:rFonts w:ascii="Times New Roman" w:hAnsi="Times New Roman" w:cs="Times New Roman"/>
          <w:lang w:val="en-US"/>
        </w:rPr>
        <w:t xml:space="preserve">In highlighting this we build on existing </w:t>
      </w:r>
      <w:r w:rsidR="00CF197D">
        <w:rPr>
          <w:rFonts w:ascii="Times New Roman" w:hAnsi="Times New Roman" w:cs="Times New Roman"/>
          <w:lang w:val="en-US"/>
        </w:rPr>
        <w:t xml:space="preserve">historical </w:t>
      </w:r>
      <w:r w:rsidR="006A0FA8">
        <w:rPr>
          <w:rFonts w:ascii="Times New Roman" w:hAnsi="Times New Roman" w:cs="Times New Roman"/>
          <w:lang w:val="en-US"/>
        </w:rPr>
        <w:t xml:space="preserve">literature led by White’s (2000) critique of Cain and Hopkins (2000) that shows that the interests and strategy of companies diverged sharply from British colonial policy after 1945, with corporate interests, already long alienated socially from the political and military elites, sometimes finding themselves hedging on the side of </w:t>
      </w:r>
      <w:proofErr w:type="spellStart"/>
      <w:r w:rsidR="006A0FA8">
        <w:rPr>
          <w:rFonts w:ascii="Times New Roman" w:hAnsi="Times New Roman" w:cs="Times New Roman"/>
          <w:lang w:val="en-US"/>
        </w:rPr>
        <w:t>decolonisation</w:t>
      </w:r>
      <w:proofErr w:type="spellEnd"/>
      <w:r w:rsidR="006A0FA8">
        <w:rPr>
          <w:rFonts w:ascii="Times New Roman" w:hAnsi="Times New Roman" w:cs="Times New Roman"/>
          <w:lang w:val="en-US"/>
        </w:rPr>
        <w:t>.</w:t>
      </w:r>
      <w:r w:rsidR="006A0FA8">
        <w:rPr>
          <w:rStyle w:val="EndnoteReference"/>
          <w:rFonts w:ascii="Times New Roman" w:hAnsi="Times New Roman" w:cs="Times New Roman"/>
          <w:lang w:val="en-US"/>
        </w:rPr>
        <w:endnoteReference w:id="14"/>
      </w:r>
      <w:r w:rsidR="006A0FA8">
        <w:rPr>
          <w:rFonts w:ascii="Times New Roman" w:hAnsi="Times New Roman" w:cs="Times New Roman"/>
          <w:lang w:val="en-US"/>
        </w:rPr>
        <w:t xml:space="preserve"> White’s work on the rubber industry in Malaya suggests that there was little cogency between the policies of </w:t>
      </w:r>
      <w:r w:rsidR="006A0FA8">
        <w:rPr>
          <w:rFonts w:ascii="Times New Roman" w:hAnsi="Times New Roman" w:cs="Times New Roman"/>
          <w:lang w:val="en-US"/>
        </w:rPr>
        <w:lastRenderedPageBreak/>
        <w:t>British rubber companies and the British government despite the high profile Malayan ‘emergency’, and the British military intervention there, allowing British agency houses to cling on in Malaysia until the early 1980s.</w:t>
      </w:r>
      <w:r w:rsidR="006A0FA8">
        <w:rPr>
          <w:rStyle w:val="EndnoteReference"/>
          <w:rFonts w:ascii="Times New Roman" w:hAnsi="Times New Roman" w:cs="Times New Roman"/>
          <w:lang w:val="en-US"/>
        </w:rPr>
        <w:endnoteReference w:id="15"/>
      </w:r>
      <w:r w:rsidR="006A0FA8">
        <w:rPr>
          <w:rFonts w:ascii="Times New Roman" w:hAnsi="Times New Roman" w:cs="Times New Roman"/>
          <w:lang w:val="en-US"/>
        </w:rPr>
        <w:t xml:space="preserve"> As we explore in more depth below, the Northern Rhodesian case</w:t>
      </w:r>
      <w:r w:rsidR="00FA1BD0">
        <w:rPr>
          <w:rFonts w:ascii="Times New Roman" w:hAnsi="Times New Roman" w:cs="Times New Roman"/>
          <w:lang w:val="en-US"/>
        </w:rPr>
        <w:t xml:space="preserve"> was a little different. T</w:t>
      </w:r>
      <w:r w:rsidR="00553E71">
        <w:rPr>
          <w:rFonts w:ascii="Times New Roman" w:hAnsi="Times New Roman" w:cs="Times New Roman"/>
          <w:lang w:val="en-US"/>
        </w:rPr>
        <w:t xml:space="preserve">he </w:t>
      </w:r>
      <w:r w:rsidR="006A0FA8">
        <w:rPr>
          <w:rFonts w:ascii="Times New Roman" w:hAnsi="Times New Roman" w:cs="Times New Roman"/>
          <w:lang w:val="en-US"/>
        </w:rPr>
        <w:t>w</w:t>
      </w:r>
      <w:r w:rsidR="00553E71">
        <w:rPr>
          <w:rFonts w:ascii="Times New Roman" w:hAnsi="Times New Roman" w:cs="Times New Roman"/>
          <w:lang w:val="en-US"/>
        </w:rPr>
        <w:t>hite settler minority attempted</w:t>
      </w:r>
      <w:r w:rsidR="006A0FA8">
        <w:rPr>
          <w:rFonts w:ascii="Times New Roman" w:hAnsi="Times New Roman" w:cs="Times New Roman"/>
          <w:lang w:val="en-US"/>
        </w:rPr>
        <w:t xml:space="preserve"> to maintain its own power status</w:t>
      </w:r>
      <w:r w:rsidR="00553E71">
        <w:rPr>
          <w:rFonts w:ascii="Times New Roman" w:hAnsi="Times New Roman" w:cs="Times New Roman"/>
          <w:lang w:val="en-US"/>
        </w:rPr>
        <w:t xml:space="preserve">, while “British” firms sought to exploit </w:t>
      </w:r>
      <w:r w:rsidR="00FA1BD0">
        <w:rPr>
          <w:rFonts w:ascii="Times New Roman" w:hAnsi="Times New Roman" w:cs="Times New Roman"/>
          <w:lang w:val="en-US"/>
        </w:rPr>
        <w:t xml:space="preserve">the situation </w:t>
      </w:r>
      <w:r w:rsidR="00553E71">
        <w:rPr>
          <w:rFonts w:ascii="Times New Roman" w:hAnsi="Times New Roman" w:cs="Times New Roman"/>
          <w:lang w:val="en-US"/>
        </w:rPr>
        <w:t>by attempting to</w:t>
      </w:r>
      <w:r w:rsidR="006A0FA8">
        <w:rPr>
          <w:rFonts w:ascii="Times New Roman" w:hAnsi="Times New Roman" w:cs="Times New Roman"/>
          <w:lang w:val="en-US"/>
        </w:rPr>
        <w:t xml:space="preserve"> play the interests of the British state off against those of the settlers.</w:t>
      </w:r>
      <w:r w:rsidR="006A0FA8">
        <w:rPr>
          <w:rStyle w:val="EndnoteReference"/>
          <w:rFonts w:ascii="Times New Roman" w:hAnsi="Times New Roman" w:cs="Times New Roman"/>
          <w:lang w:val="en-US"/>
        </w:rPr>
        <w:endnoteReference w:id="16"/>
      </w:r>
    </w:p>
    <w:p w14:paraId="5FEC776A" w14:textId="4187A327" w:rsidR="001E29FA" w:rsidRDefault="000E5DC5" w:rsidP="0057298E">
      <w:pPr>
        <w:spacing w:line="480" w:lineRule="auto"/>
        <w:ind w:firstLine="720"/>
        <w:jc w:val="both"/>
        <w:rPr>
          <w:rFonts w:ascii="Times New Roman" w:hAnsi="Times New Roman" w:cs="Times New Roman"/>
          <w:lang w:val="en-US"/>
        </w:rPr>
      </w:pPr>
      <w:r w:rsidRPr="00515DBF">
        <w:rPr>
          <w:rFonts w:ascii="Times New Roman" w:hAnsi="Times New Roman" w:cs="Times New Roman"/>
          <w:lang w:val="en-US"/>
        </w:rPr>
        <w:t xml:space="preserve">Taxation </w:t>
      </w:r>
      <w:r w:rsidR="00B55DF0" w:rsidRPr="00515DBF">
        <w:rPr>
          <w:rFonts w:ascii="Times New Roman" w:hAnsi="Times New Roman" w:cs="Times New Roman"/>
          <w:lang w:val="en-US"/>
        </w:rPr>
        <w:t>was</w:t>
      </w:r>
      <w:r w:rsidRPr="00515DBF">
        <w:rPr>
          <w:rFonts w:ascii="Times New Roman" w:hAnsi="Times New Roman" w:cs="Times New Roman"/>
          <w:lang w:val="en-US"/>
        </w:rPr>
        <w:t xml:space="preserve"> one such zone of interaction</w:t>
      </w:r>
      <w:r w:rsidR="00471710">
        <w:rPr>
          <w:rFonts w:ascii="Times New Roman" w:hAnsi="Times New Roman" w:cs="Times New Roman"/>
          <w:lang w:val="en-US"/>
        </w:rPr>
        <w:t xml:space="preserve"> </w:t>
      </w:r>
      <w:r w:rsidR="001E29FA">
        <w:rPr>
          <w:rFonts w:ascii="Times New Roman" w:hAnsi="Times New Roman" w:cs="Times New Roman"/>
          <w:lang w:val="en-US"/>
        </w:rPr>
        <w:t>where</w:t>
      </w:r>
      <w:r w:rsidR="00471710">
        <w:rPr>
          <w:rFonts w:ascii="Times New Roman" w:hAnsi="Times New Roman" w:cs="Times New Roman"/>
          <w:lang w:val="en-US"/>
        </w:rPr>
        <w:t xml:space="preserve"> </w:t>
      </w:r>
      <w:r w:rsidR="001E29FA">
        <w:rPr>
          <w:rFonts w:ascii="Times New Roman" w:hAnsi="Times New Roman" w:cs="Times New Roman"/>
          <w:lang w:val="en-US"/>
        </w:rPr>
        <w:t>different</w:t>
      </w:r>
      <w:r w:rsidR="00471710">
        <w:rPr>
          <w:rFonts w:ascii="Times New Roman" w:hAnsi="Times New Roman" w:cs="Times New Roman"/>
          <w:lang w:val="en-US"/>
        </w:rPr>
        <w:t xml:space="preserve"> interests </w:t>
      </w:r>
      <w:r w:rsidR="001E29FA">
        <w:rPr>
          <w:rFonts w:ascii="Times New Roman" w:hAnsi="Times New Roman" w:cs="Times New Roman"/>
          <w:lang w:val="en-US"/>
        </w:rPr>
        <w:t>competed for fiscal or financial advantage.</w:t>
      </w:r>
      <w:r w:rsidR="001E29FA" w:rsidRPr="001E29FA">
        <w:rPr>
          <w:rStyle w:val="EndnoteReference"/>
          <w:rFonts w:ascii="Times New Roman" w:hAnsi="Times New Roman" w:cs="Times New Roman"/>
          <w:lang w:val="en-US"/>
        </w:rPr>
        <w:t xml:space="preserve"> </w:t>
      </w:r>
      <w:r w:rsidR="00036455" w:rsidRPr="00515DBF">
        <w:rPr>
          <w:rFonts w:ascii="Times New Roman" w:hAnsi="Times New Roman" w:cs="Times New Roman"/>
          <w:lang w:val="en-US"/>
        </w:rPr>
        <w:t>Taxation and domicile relate directly to control and to the broader institutional context for specific businesses.</w:t>
      </w:r>
      <w:r w:rsidR="00AF6722">
        <w:rPr>
          <w:rStyle w:val="EndnoteReference"/>
          <w:rFonts w:ascii="Times New Roman" w:hAnsi="Times New Roman" w:cs="Times New Roman"/>
          <w:lang w:val="en-US"/>
        </w:rPr>
        <w:endnoteReference w:id="17"/>
      </w:r>
      <w:r w:rsidR="00036455" w:rsidRPr="00515DBF">
        <w:rPr>
          <w:rFonts w:ascii="Times New Roman" w:hAnsi="Times New Roman" w:cs="Times New Roman"/>
          <w:lang w:val="en-US"/>
        </w:rPr>
        <w:t xml:space="preserve"> The operations of those businesses must necessarily have implications for economic development, economic policy, local control, and national politics (especially when in sensitive or important areas of the economy, as was the case for copper mining in Northern Rhodesia). Therefore understanding the historical dynamics of the relationship between decolonization, national and imperial politics, and corporate strategy, in relation to international taxation is an important and under-researched question in imperial history and business history to which we contribute here. </w:t>
      </w:r>
      <w:r w:rsidR="00036455">
        <w:rPr>
          <w:rFonts w:ascii="Times New Roman" w:hAnsi="Times New Roman" w:cs="Times New Roman"/>
          <w:lang w:val="en-US"/>
        </w:rPr>
        <w:t xml:space="preserve"> </w:t>
      </w:r>
      <w:r w:rsidR="001E29FA" w:rsidRPr="00515DBF">
        <w:rPr>
          <w:rFonts w:ascii="Times New Roman" w:hAnsi="Times New Roman" w:cs="Times New Roman"/>
        </w:rPr>
        <w:t>Taxation is a contested terrain, as states variously seek to extract economic rents in order to pay for themselves and potentially control economic assets or to attract inward investment and boost economic growth.</w:t>
      </w:r>
      <w:r w:rsidR="001E29FA" w:rsidRPr="00515DBF">
        <w:rPr>
          <w:rStyle w:val="EndnoteReference"/>
          <w:rFonts w:ascii="Times New Roman" w:hAnsi="Times New Roman" w:cs="Times New Roman"/>
        </w:rPr>
        <w:endnoteReference w:id="18"/>
      </w:r>
      <w:r w:rsidR="001E29FA" w:rsidRPr="00515DBF">
        <w:rPr>
          <w:rFonts w:ascii="Times New Roman" w:hAnsi="Times New Roman" w:cs="Times New Roman"/>
        </w:rPr>
        <w:t xml:space="preserve"> Tax regimes reflect differing priorities, and at the level of political discourse, can create tensions both within and between states, as different actors seek to pursue different agendas through taxation policy and the application of policy in practice.</w:t>
      </w:r>
      <w:r w:rsidR="001E29FA" w:rsidRPr="00515DBF">
        <w:rPr>
          <w:rStyle w:val="EndnoteReference"/>
          <w:rFonts w:ascii="Times New Roman" w:hAnsi="Times New Roman" w:cs="Times New Roman"/>
        </w:rPr>
        <w:endnoteReference w:id="19"/>
      </w:r>
      <w:r w:rsidR="001E29FA" w:rsidRPr="00515DBF">
        <w:rPr>
          <w:rFonts w:ascii="Times New Roman" w:hAnsi="Times New Roman" w:cs="Times New Roman"/>
        </w:rPr>
        <w:t xml:space="preserve"> </w:t>
      </w:r>
      <w:r w:rsidR="001E29FA" w:rsidRPr="00515DBF">
        <w:rPr>
          <w:rFonts w:ascii="Times New Roman" w:hAnsi="Times New Roman" w:cs="Times New Roman"/>
          <w:lang w:val="en-US"/>
        </w:rPr>
        <w:t xml:space="preserve"> </w:t>
      </w:r>
      <w:r w:rsidR="001E29FA">
        <w:rPr>
          <w:rFonts w:ascii="Times New Roman" w:hAnsi="Times New Roman" w:cs="Times New Roman"/>
          <w:lang w:val="en-US"/>
        </w:rPr>
        <w:t xml:space="preserve">A particular problem for firms is the issue of international double taxation, where two states simultaneously </w:t>
      </w:r>
      <w:r w:rsidR="00796B48">
        <w:rPr>
          <w:rFonts w:ascii="Times New Roman" w:hAnsi="Times New Roman" w:cs="Times New Roman"/>
          <w:lang w:val="en-US"/>
        </w:rPr>
        <w:t xml:space="preserve">tax the same corporate income or </w:t>
      </w:r>
      <w:r w:rsidR="00796B48">
        <w:rPr>
          <w:rFonts w:ascii="Times New Roman" w:hAnsi="Times New Roman" w:cs="Times New Roman"/>
          <w:lang w:val="en-US"/>
        </w:rPr>
        <w:lastRenderedPageBreak/>
        <w:t>profits. The competing claims stem from the international separation of domicile and operation.</w:t>
      </w:r>
      <w:r w:rsidR="001E29FA" w:rsidRPr="00515DBF">
        <w:rPr>
          <w:rStyle w:val="EndnoteReference"/>
          <w:rFonts w:ascii="Times New Roman" w:hAnsi="Times New Roman" w:cs="Times New Roman"/>
          <w:lang w:val="en-US"/>
        </w:rPr>
        <w:endnoteReference w:id="20"/>
      </w:r>
      <w:r w:rsidR="00796B48">
        <w:rPr>
          <w:rFonts w:ascii="Times New Roman" w:hAnsi="Times New Roman" w:cs="Times New Roman"/>
          <w:lang w:val="en-US"/>
        </w:rPr>
        <w:t xml:space="preserve"> </w:t>
      </w:r>
      <w:r w:rsidR="00C65388">
        <w:rPr>
          <w:rFonts w:ascii="Times New Roman" w:hAnsi="Times New Roman" w:cs="Times New Roman"/>
          <w:lang w:val="en-US"/>
        </w:rPr>
        <w:t>This particularly affected FSCs reliant on capital-intensive host country activities as they sought to repatriate their profits.</w:t>
      </w:r>
      <w:r w:rsidR="00796B48">
        <w:rPr>
          <w:rStyle w:val="EndnoteReference"/>
          <w:rFonts w:ascii="Times New Roman" w:hAnsi="Times New Roman" w:cs="Times New Roman"/>
          <w:lang w:val="en-US"/>
        </w:rPr>
        <w:endnoteReference w:id="21"/>
      </w:r>
      <w:r w:rsidR="00C65388">
        <w:rPr>
          <w:rFonts w:ascii="Times New Roman" w:hAnsi="Times New Roman" w:cs="Times New Roman"/>
          <w:lang w:val="en-US"/>
        </w:rPr>
        <w:t xml:space="preserve"> </w:t>
      </w:r>
    </w:p>
    <w:p w14:paraId="671EF5AE" w14:textId="77F727F4" w:rsidR="001E29FA" w:rsidRPr="00E927A1" w:rsidRDefault="00796B48" w:rsidP="00E927A1">
      <w:pPr>
        <w:spacing w:line="480" w:lineRule="auto"/>
        <w:ind w:firstLine="720"/>
        <w:jc w:val="both"/>
        <w:rPr>
          <w:rFonts w:ascii="Times New Roman" w:hAnsi="Times New Roman" w:cs="Times New Roman"/>
        </w:rPr>
      </w:pPr>
      <w:r>
        <w:rPr>
          <w:rFonts w:ascii="Times New Roman" w:hAnsi="Times New Roman" w:cs="Times New Roman"/>
          <w:lang w:val="en-US"/>
        </w:rPr>
        <w:t xml:space="preserve">As </w:t>
      </w:r>
      <w:proofErr w:type="spellStart"/>
      <w:r>
        <w:rPr>
          <w:rFonts w:ascii="Times New Roman" w:hAnsi="Times New Roman" w:cs="Times New Roman"/>
          <w:lang w:val="en-US"/>
        </w:rPr>
        <w:t>Stockwell</w:t>
      </w:r>
      <w:proofErr w:type="spellEnd"/>
      <w:r>
        <w:rPr>
          <w:rFonts w:ascii="Times New Roman" w:hAnsi="Times New Roman" w:cs="Times New Roman"/>
          <w:lang w:val="en-US"/>
        </w:rPr>
        <w:t xml:space="preserve"> (2004) highlights, building on studies by Fieldhouse (1994), Wasserman (1976)</w:t>
      </w:r>
      <w:r w:rsidR="00CF197D">
        <w:rPr>
          <w:rFonts w:ascii="Times New Roman" w:hAnsi="Times New Roman" w:cs="Times New Roman"/>
          <w:lang w:val="en-US"/>
        </w:rPr>
        <w:t>,</w:t>
      </w:r>
      <w:r>
        <w:rPr>
          <w:rFonts w:ascii="Times New Roman" w:hAnsi="Times New Roman" w:cs="Times New Roman"/>
          <w:lang w:val="en-US"/>
        </w:rPr>
        <w:t xml:space="preserve"> and Leys (1975), the contest for statehood in Africa and Asia was mirrored by a contest for corporate domicile that did not necessarily reflect the interests of the metropole (i.e., the United Kingdom), which companies understood was in retreat</w:t>
      </w:r>
      <w:r w:rsidR="00036455">
        <w:rPr>
          <w:rFonts w:ascii="Times New Roman" w:hAnsi="Times New Roman" w:cs="Times New Roman"/>
          <w:lang w:val="en-US"/>
        </w:rPr>
        <w:t xml:space="preserve"> in the post-war period</w:t>
      </w:r>
      <w:r>
        <w:rPr>
          <w:rFonts w:ascii="Times New Roman" w:hAnsi="Times New Roman" w:cs="Times New Roman"/>
          <w:lang w:val="en-US"/>
        </w:rPr>
        <w:t>.</w:t>
      </w:r>
      <w:r>
        <w:rPr>
          <w:rStyle w:val="EndnoteReference"/>
          <w:rFonts w:ascii="Times New Roman" w:hAnsi="Times New Roman" w:cs="Times New Roman"/>
          <w:lang w:val="en-US"/>
        </w:rPr>
        <w:endnoteReference w:id="22"/>
      </w:r>
      <w:r>
        <w:rPr>
          <w:rFonts w:ascii="Times New Roman" w:hAnsi="Times New Roman" w:cs="Times New Roman"/>
          <w:lang w:val="en-US"/>
        </w:rPr>
        <w:t xml:space="preserve"> </w:t>
      </w:r>
      <w:r>
        <w:rPr>
          <w:rFonts w:ascii="Times New Roman" w:hAnsi="Times New Roman" w:cs="Times New Roman"/>
        </w:rPr>
        <w:t>Stockwell</w:t>
      </w:r>
      <w:r w:rsidRPr="000B19B6">
        <w:rPr>
          <w:rFonts w:ascii="Times New Roman" w:hAnsi="Times New Roman" w:cs="Times New Roman"/>
        </w:rPr>
        <w:t xml:space="preserve"> argues–based on an analysis of policy–that British colonial governments ‘frequently regarded double taxation arrangements as unsatisfactory in practice’.</w:t>
      </w:r>
      <w:r w:rsidRPr="000B19B6">
        <w:rPr>
          <w:rFonts w:ascii="Times New Roman" w:hAnsi="Times New Roman" w:cs="Times New Roman"/>
          <w:vertAlign w:val="superscript"/>
        </w:rPr>
        <w:endnoteReference w:id="23"/>
      </w:r>
      <w:r w:rsidRPr="000B19B6">
        <w:rPr>
          <w:rFonts w:ascii="Times New Roman" w:hAnsi="Times New Roman" w:cs="Times New Roman"/>
        </w:rPr>
        <w:t xml:space="preserve"> Stockwell further </w:t>
      </w:r>
      <w:r>
        <w:rPr>
          <w:rFonts w:ascii="Times New Roman" w:hAnsi="Times New Roman" w:cs="Times New Roman"/>
        </w:rPr>
        <w:t xml:space="preserve">observes that </w:t>
      </w:r>
      <w:r w:rsidRPr="000B19B6">
        <w:rPr>
          <w:rFonts w:ascii="Times New Roman" w:hAnsi="Times New Roman" w:cs="Times New Roman"/>
        </w:rPr>
        <w:t>this led to tensions between the different component actors in the colonial relationship, something also noted by Mollan and Tennent.</w:t>
      </w:r>
      <w:r w:rsidRPr="000B19B6">
        <w:rPr>
          <w:rFonts w:ascii="Times New Roman" w:hAnsi="Times New Roman" w:cs="Times New Roman"/>
          <w:vertAlign w:val="superscript"/>
        </w:rPr>
        <w:endnoteReference w:id="24"/>
      </w:r>
      <w:r w:rsidRPr="000B19B6">
        <w:rPr>
          <w:rFonts w:ascii="Times New Roman" w:hAnsi="Times New Roman" w:cs="Times New Roman"/>
        </w:rPr>
        <w:t xml:space="preserve"> </w:t>
      </w:r>
      <w:r w:rsidR="00036455">
        <w:rPr>
          <w:rFonts w:ascii="Times New Roman" w:hAnsi="Times New Roman" w:cs="Times New Roman"/>
          <w:lang w:val="en-US"/>
        </w:rPr>
        <w:t xml:space="preserve">The article by Mollan and Tennent colligates a large number of examples that are woven </w:t>
      </w:r>
      <w:r w:rsidR="00430857">
        <w:rPr>
          <w:rFonts w:ascii="Times New Roman" w:hAnsi="Times New Roman" w:cs="Times New Roman"/>
          <w:lang w:val="en-US"/>
        </w:rPr>
        <w:t xml:space="preserve">together </w:t>
      </w:r>
      <w:r w:rsidR="00036455">
        <w:rPr>
          <w:rFonts w:ascii="Times New Roman" w:hAnsi="Times New Roman" w:cs="Times New Roman"/>
          <w:lang w:val="en-US"/>
        </w:rPr>
        <w:t xml:space="preserve">into </w:t>
      </w:r>
      <w:r w:rsidR="00430857">
        <w:rPr>
          <w:rFonts w:ascii="Times New Roman" w:hAnsi="Times New Roman" w:cs="Times New Roman"/>
          <w:lang w:val="en-US"/>
        </w:rPr>
        <w:t>a</w:t>
      </w:r>
      <w:r w:rsidR="00036455">
        <w:rPr>
          <w:rFonts w:ascii="Times New Roman" w:hAnsi="Times New Roman" w:cs="Times New Roman"/>
          <w:lang w:val="en-US"/>
        </w:rPr>
        <w:t xml:space="preserve"> historical interpretation of the role that international </w:t>
      </w:r>
      <w:r w:rsidR="00430857">
        <w:rPr>
          <w:rFonts w:ascii="Times New Roman" w:hAnsi="Times New Roman" w:cs="Times New Roman"/>
          <w:lang w:val="en-US"/>
        </w:rPr>
        <w:t xml:space="preserve">taxation </w:t>
      </w:r>
      <w:r w:rsidR="00036455">
        <w:rPr>
          <w:rFonts w:ascii="Times New Roman" w:hAnsi="Times New Roman" w:cs="Times New Roman"/>
          <w:lang w:val="en-US"/>
        </w:rPr>
        <w:t>plays in the disappearance of British FSC</w:t>
      </w:r>
      <w:r w:rsidR="00430857">
        <w:rPr>
          <w:rFonts w:ascii="Times New Roman" w:hAnsi="Times New Roman" w:cs="Times New Roman"/>
          <w:lang w:val="en-US"/>
        </w:rPr>
        <w:t>s</w:t>
      </w:r>
      <w:r w:rsidR="00036455">
        <w:rPr>
          <w:rFonts w:ascii="Times New Roman" w:hAnsi="Times New Roman" w:cs="Times New Roman"/>
          <w:lang w:val="en-US"/>
        </w:rPr>
        <w:t>.  Their approach</w:t>
      </w:r>
      <w:r w:rsidR="000809FF">
        <w:rPr>
          <w:rFonts w:ascii="Times New Roman" w:hAnsi="Times New Roman" w:cs="Times New Roman"/>
          <w:lang w:val="en-US"/>
        </w:rPr>
        <w:t xml:space="preserve"> </w:t>
      </w:r>
      <w:r w:rsidR="00036455">
        <w:rPr>
          <w:rFonts w:ascii="Times New Roman" w:hAnsi="Times New Roman" w:cs="Times New Roman"/>
          <w:lang w:val="en-US"/>
        </w:rPr>
        <w:t>was confined to linked examples of firm behavior</w:t>
      </w:r>
      <w:r w:rsidR="000809FF">
        <w:rPr>
          <w:rFonts w:ascii="Times New Roman" w:hAnsi="Times New Roman" w:cs="Times New Roman"/>
          <w:lang w:val="en-US"/>
        </w:rPr>
        <w:t xml:space="preserve">, so their article offers </w:t>
      </w:r>
      <w:r w:rsidR="00036455">
        <w:rPr>
          <w:rFonts w:ascii="Times New Roman" w:hAnsi="Times New Roman" w:cs="Times New Roman"/>
          <w:lang w:val="en-US"/>
        </w:rPr>
        <w:t xml:space="preserve">limited insight into interior management decision-making processes. Whereas they provide a credible account of the general pattern, the contribution of this article is to look more closely at inside-the-firm decision-making, as well as governmental and political factors that were at work. </w:t>
      </w:r>
    </w:p>
    <w:p w14:paraId="4AC74329" w14:textId="503A1F32" w:rsidR="007070AC" w:rsidRPr="00515DBF" w:rsidRDefault="00183713" w:rsidP="00BD00C6">
      <w:pPr>
        <w:spacing w:line="480" w:lineRule="auto"/>
        <w:jc w:val="both"/>
        <w:rPr>
          <w:rFonts w:ascii="Times New Roman" w:hAnsi="Times New Roman" w:cs="Times New Roman"/>
          <w:lang w:val="en-US"/>
        </w:rPr>
      </w:pPr>
      <w:r w:rsidRPr="00515DBF">
        <w:rPr>
          <w:rFonts w:ascii="Times New Roman" w:hAnsi="Times New Roman" w:cs="Times New Roman"/>
          <w:lang w:val="en-US"/>
        </w:rPr>
        <w:tab/>
      </w:r>
      <w:r w:rsidR="007070AC" w:rsidRPr="00515DBF">
        <w:rPr>
          <w:rFonts w:ascii="Times New Roman" w:hAnsi="Times New Roman" w:cs="Times New Roman"/>
        </w:rPr>
        <w:t>The contest over the domicile of companies, and indeed their ability to switch residence, was shaped by the</w:t>
      </w:r>
      <w:r w:rsidR="00483A86" w:rsidRPr="00515DBF">
        <w:rPr>
          <w:rFonts w:ascii="Times New Roman" w:hAnsi="Times New Roman" w:cs="Times New Roman"/>
        </w:rPr>
        <w:t xml:space="preserve"> domestic UK</w:t>
      </w:r>
      <w:r w:rsidR="007070AC" w:rsidRPr="00515DBF">
        <w:rPr>
          <w:rFonts w:ascii="Times New Roman" w:hAnsi="Times New Roman" w:cs="Times New Roman"/>
        </w:rPr>
        <w:t xml:space="preserve"> policy-framework that had been created by the 1950s to control corporations in terms of tax and </w:t>
      </w:r>
      <w:r w:rsidR="00483A86" w:rsidRPr="00515DBF">
        <w:rPr>
          <w:rFonts w:ascii="Times New Roman" w:hAnsi="Times New Roman" w:cs="Times New Roman"/>
        </w:rPr>
        <w:t xml:space="preserve">domicile–specifically </w:t>
      </w:r>
      <w:r w:rsidR="007070AC" w:rsidRPr="00515DBF">
        <w:rPr>
          <w:rFonts w:ascii="Times New Roman" w:hAnsi="Times New Roman" w:cs="Times New Roman"/>
        </w:rPr>
        <w:t xml:space="preserve">Section 468 of the Income Tax Act 1952. During the Second World War regulations were imposed via the Defence (Finance) Regulations Act, 1939 </w:t>
      </w:r>
      <w:r w:rsidR="007070AC" w:rsidRPr="00515DBF">
        <w:rPr>
          <w:rFonts w:ascii="Times New Roman" w:hAnsi="Times New Roman" w:cs="Times New Roman"/>
        </w:rPr>
        <w:lastRenderedPageBreak/>
        <w:t xml:space="preserve">requiring Treasury </w:t>
      </w:r>
      <w:r w:rsidR="000C3F5B" w:rsidRPr="00515DBF">
        <w:rPr>
          <w:rFonts w:ascii="Times New Roman" w:hAnsi="Times New Roman" w:cs="Times New Roman"/>
        </w:rPr>
        <w:t>approval for</w:t>
      </w:r>
      <w:r w:rsidR="007070AC" w:rsidRPr="00515DBF">
        <w:rPr>
          <w:rFonts w:ascii="Times New Roman" w:hAnsi="Times New Roman" w:cs="Times New Roman"/>
        </w:rPr>
        <w:t xml:space="preserve"> any firm wishing to change domicile or location of management, something that was then reinforced via Section 20 (2) of the Exchange Control Act, 1947. According to the Treasury, 'this control was introduced not for tax reasons but primarily to prevent foreigners gaining a controlling interest in companies then owned by United Kingdom residents</w:t>
      </w:r>
      <w:r w:rsidR="0057298E">
        <w:rPr>
          <w:rFonts w:ascii="Times New Roman" w:hAnsi="Times New Roman" w:cs="Times New Roman"/>
        </w:rPr>
        <w:t>’</w:t>
      </w:r>
      <w:r w:rsidR="007070AC" w:rsidRPr="00515DBF">
        <w:rPr>
          <w:rFonts w:ascii="Times New Roman" w:hAnsi="Times New Roman" w:cs="Times New Roman"/>
        </w:rPr>
        <w:t>.</w:t>
      </w:r>
      <w:r w:rsidR="007070AC" w:rsidRPr="00515DBF">
        <w:rPr>
          <w:rStyle w:val="EndnoteReference"/>
          <w:rFonts w:ascii="Times New Roman" w:hAnsi="Times New Roman" w:cs="Times New Roman"/>
        </w:rPr>
        <w:endnoteReference w:id="25"/>
      </w:r>
      <w:r w:rsidR="007070AC" w:rsidRPr="00515DBF">
        <w:rPr>
          <w:rFonts w:ascii="Times New Roman" w:hAnsi="Times New Roman" w:cs="Times New Roman"/>
        </w:rPr>
        <w:t xml:space="preserve"> Nevertheless, from 1915 onwards the Inland Revenue had monitored where companies had migrated managerial control abroad. However, it was only in 1950 that there was an 'increasing tendency' for firms</w:t>
      </w:r>
      <w:r w:rsidR="00C65388">
        <w:rPr>
          <w:rFonts w:ascii="Times New Roman" w:hAnsi="Times New Roman" w:cs="Times New Roman"/>
        </w:rPr>
        <w:t xml:space="preserve"> (many of </w:t>
      </w:r>
      <w:r w:rsidR="00800B4A">
        <w:rPr>
          <w:rFonts w:ascii="Times New Roman" w:hAnsi="Times New Roman" w:cs="Times New Roman"/>
        </w:rPr>
        <w:t xml:space="preserve">which </w:t>
      </w:r>
      <w:r w:rsidR="00334533">
        <w:rPr>
          <w:rFonts w:ascii="Times New Roman" w:hAnsi="Times New Roman" w:cs="Times New Roman"/>
        </w:rPr>
        <w:t>were</w:t>
      </w:r>
      <w:r w:rsidR="00C65388">
        <w:rPr>
          <w:rFonts w:ascii="Times New Roman" w:hAnsi="Times New Roman" w:cs="Times New Roman"/>
        </w:rPr>
        <w:t xml:space="preserve"> FSCs)</w:t>
      </w:r>
      <w:r w:rsidR="007070AC" w:rsidRPr="00515DBF">
        <w:rPr>
          <w:rFonts w:ascii="Times New Roman" w:hAnsi="Times New Roman" w:cs="Times New Roman"/>
        </w:rPr>
        <w:t xml:space="preserve"> to move their location of management abroad, something that 'began to arouse serious official concern.'</w:t>
      </w:r>
      <w:r w:rsidR="007070AC" w:rsidRPr="00515DBF">
        <w:rPr>
          <w:rStyle w:val="EndnoteReference"/>
          <w:rFonts w:ascii="Times New Roman" w:hAnsi="Times New Roman" w:cs="Times New Roman"/>
        </w:rPr>
        <w:endnoteReference w:id="26"/>
      </w:r>
      <w:r w:rsidR="007070AC" w:rsidRPr="00515DBF">
        <w:rPr>
          <w:rFonts w:ascii="Times New Roman" w:hAnsi="Times New Roman" w:cs="Times New Roman"/>
        </w:rPr>
        <w:t xml:space="preserve"> Though the Inland Revenue, Treasury and Bank of England disliked this trend, there was initially no desire to enact legislation to prevent this. However, in October 1950 the Anglo-American group of mining companies</w:t>
      </w:r>
      <w:r w:rsidR="00334533">
        <w:rPr>
          <w:rFonts w:ascii="Times New Roman" w:hAnsi="Times New Roman" w:cs="Times New Roman"/>
        </w:rPr>
        <w:t>––</w:t>
      </w:r>
      <w:r w:rsidR="00C65388">
        <w:rPr>
          <w:rFonts w:ascii="Times New Roman" w:hAnsi="Times New Roman" w:cs="Times New Roman"/>
        </w:rPr>
        <w:t xml:space="preserve">then essentially an interlocking </w:t>
      </w:r>
      <w:r w:rsidR="00334533">
        <w:rPr>
          <w:rFonts w:ascii="Times New Roman" w:hAnsi="Times New Roman" w:cs="Times New Roman"/>
        </w:rPr>
        <w:t>network</w:t>
      </w:r>
      <w:r w:rsidR="00C65388">
        <w:rPr>
          <w:rFonts w:ascii="Times New Roman" w:hAnsi="Times New Roman" w:cs="Times New Roman"/>
        </w:rPr>
        <w:t xml:space="preserve"> of FSCs</w:t>
      </w:r>
      <w:r w:rsidR="00334533">
        <w:rPr>
          <w:rFonts w:ascii="Times New Roman" w:hAnsi="Times New Roman" w:cs="Times New Roman"/>
        </w:rPr>
        <w:t>––</w:t>
      </w:r>
      <w:r w:rsidR="007070AC" w:rsidRPr="00515DBF">
        <w:rPr>
          <w:rFonts w:ascii="Times New Roman" w:hAnsi="Times New Roman" w:cs="Times New Roman"/>
        </w:rPr>
        <w:t xml:space="preserve">announced that they were to move their domicile and management to </w:t>
      </w:r>
      <w:r w:rsidR="00483A86" w:rsidRPr="00515DBF">
        <w:rPr>
          <w:rFonts w:ascii="Times New Roman" w:hAnsi="Times New Roman" w:cs="Times New Roman"/>
        </w:rPr>
        <w:t>South Africa</w:t>
      </w:r>
      <w:r w:rsidR="007070AC" w:rsidRPr="00515DBF">
        <w:rPr>
          <w:rFonts w:ascii="Times New Roman" w:hAnsi="Times New Roman" w:cs="Times New Roman"/>
        </w:rPr>
        <w:t>, a decision that was publicly associated with taxation savings. So while in late 1950 the Inland Revenue continued to believe that 'nothing effective could be done ... to prevent the transfer of companies abroad' without seeking new powers from Parliament, by April 1951 this changed, leading to the Section 36 of the Finance Act 1951. This then became the Section 468 of the Income Tax Act 1952.</w:t>
      </w:r>
      <w:r w:rsidR="007070AC" w:rsidRPr="00515DBF">
        <w:rPr>
          <w:rStyle w:val="EndnoteReference"/>
          <w:rFonts w:ascii="Times New Roman" w:hAnsi="Times New Roman" w:cs="Times New Roman"/>
        </w:rPr>
        <w:endnoteReference w:id="27"/>
      </w:r>
      <w:r w:rsidR="007070AC" w:rsidRPr="00515DBF">
        <w:rPr>
          <w:rFonts w:ascii="Times New Roman" w:hAnsi="Times New Roman" w:cs="Times New Roman"/>
        </w:rPr>
        <w:t xml:space="preserve"> The reason for this legislation was 'the protection of the revenue', which is why the cases that were rejected tended to be made on ground of pure and egregious tax saving/avoidance.</w:t>
      </w:r>
      <w:r w:rsidR="007070AC" w:rsidRPr="00515DBF">
        <w:rPr>
          <w:rStyle w:val="EndnoteReference"/>
          <w:rFonts w:ascii="Times New Roman" w:hAnsi="Times New Roman" w:cs="Times New Roman"/>
        </w:rPr>
        <w:endnoteReference w:id="28"/>
      </w:r>
    </w:p>
    <w:p w14:paraId="2D810C72" w14:textId="77777777" w:rsidR="007070AC" w:rsidRDefault="007070AC" w:rsidP="00BD00C6">
      <w:pPr>
        <w:spacing w:line="480" w:lineRule="auto"/>
        <w:jc w:val="both"/>
        <w:rPr>
          <w:rFonts w:ascii="Times New Roman" w:hAnsi="Times New Roman" w:cs="Times New Roman"/>
          <w:lang w:val="en-US"/>
        </w:rPr>
      </w:pPr>
    </w:p>
    <w:p w14:paraId="3915B213" w14:textId="77777777" w:rsidR="00714A41" w:rsidRPr="00515DBF" w:rsidRDefault="00714A41" w:rsidP="00BD00C6">
      <w:pPr>
        <w:spacing w:line="480" w:lineRule="auto"/>
        <w:jc w:val="both"/>
        <w:rPr>
          <w:rFonts w:ascii="Times New Roman" w:hAnsi="Times New Roman" w:cs="Times New Roman"/>
          <w:lang w:val="en-US"/>
        </w:rPr>
      </w:pPr>
    </w:p>
    <w:p w14:paraId="65A6D4EA" w14:textId="65E755E5" w:rsidR="00183713" w:rsidRPr="00515DBF" w:rsidRDefault="00183713" w:rsidP="00BD00C6">
      <w:pPr>
        <w:spacing w:line="480" w:lineRule="auto"/>
        <w:jc w:val="both"/>
        <w:rPr>
          <w:rFonts w:ascii="Times New Roman" w:hAnsi="Times New Roman" w:cs="Times New Roman"/>
          <w:b/>
        </w:rPr>
      </w:pPr>
      <w:r w:rsidRPr="00515DBF">
        <w:rPr>
          <w:rFonts w:ascii="Times New Roman" w:hAnsi="Times New Roman" w:cs="Times New Roman"/>
          <w:b/>
        </w:rPr>
        <w:lastRenderedPageBreak/>
        <w:t xml:space="preserve">The political context: </w:t>
      </w:r>
      <w:r w:rsidR="007070AC" w:rsidRPr="00515DBF">
        <w:rPr>
          <w:rFonts w:ascii="Times New Roman" w:hAnsi="Times New Roman" w:cs="Times New Roman"/>
          <w:b/>
        </w:rPr>
        <w:t>Northern Rhodesia</w:t>
      </w:r>
      <w:r w:rsidR="007F763F" w:rsidRPr="00515DBF">
        <w:rPr>
          <w:rFonts w:ascii="Times New Roman" w:hAnsi="Times New Roman" w:cs="Times New Roman"/>
          <w:b/>
        </w:rPr>
        <w:t xml:space="preserve"> and</w:t>
      </w:r>
      <w:r w:rsidRPr="00515DBF">
        <w:rPr>
          <w:rFonts w:ascii="Times New Roman" w:hAnsi="Times New Roman" w:cs="Times New Roman"/>
          <w:b/>
        </w:rPr>
        <w:t xml:space="preserve"> settler politics</w:t>
      </w:r>
      <w:r w:rsidR="007F763F" w:rsidRPr="00515DBF">
        <w:rPr>
          <w:rFonts w:ascii="Times New Roman" w:hAnsi="Times New Roman" w:cs="Times New Roman"/>
          <w:b/>
        </w:rPr>
        <w:t xml:space="preserve"> before d</w:t>
      </w:r>
      <w:r w:rsidRPr="00515DBF">
        <w:rPr>
          <w:rFonts w:ascii="Times New Roman" w:hAnsi="Times New Roman" w:cs="Times New Roman"/>
          <w:b/>
        </w:rPr>
        <w:t>ecolonization</w:t>
      </w:r>
    </w:p>
    <w:p w14:paraId="3B3AACA2" w14:textId="15F77216"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 xml:space="preserve">Historically, the economic importance of copper mining to the regional economy meant that it was of strategic importance when the issue of closer association between </w:t>
      </w:r>
      <w:r w:rsidR="00E0718C">
        <w:rPr>
          <w:rFonts w:ascii="Times New Roman" w:hAnsi="Times New Roman" w:cs="Times New Roman"/>
        </w:rPr>
        <w:t>North</w:t>
      </w:r>
      <w:r w:rsidR="00636780">
        <w:rPr>
          <w:rFonts w:ascii="Times New Roman" w:hAnsi="Times New Roman" w:cs="Times New Roman"/>
        </w:rPr>
        <w:t>ern</w:t>
      </w:r>
      <w:r w:rsidR="00E0718C">
        <w:rPr>
          <w:rFonts w:ascii="Times New Roman" w:hAnsi="Times New Roman" w:cs="Times New Roman"/>
        </w:rPr>
        <w:t xml:space="preserve"> </w:t>
      </w:r>
      <w:r w:rsidR="00B84DE5">
        <w:rPr>
          <w:rFonts w:ascii="Times New Roman" w:hAnsi="Times New Roman" w:cs="Times New Roman"/>
        </w:rPr>
        <w:t>Rhodesia</w:t>
      </w:r>
      <w:r w:rsidR="00E757EC">
        <w:rPr>
          <w:rFonts w:ascii="Times New Roman" w:hAnsi="Times New Roman" w:cs="Times New Roman"/>
        </w:rPr>
        <w:t xml:space="preserve"> (Zambia from 1964) </w:t>
      </w:r>
      <w:r w:rsidR="00E0718C">
        <w:rPr>
          <w:rFonts w:ascii="Times New Roman" w:hAnsi="Times New Roman" w:cs="Times New Roman"/>
        </w:rPr>
        <w:t>and South</w:t>
      </w:r>
      <w:r w:rsidR="00636780">
        <w:rPr>
          <w:rFonts w:ascii="Times New Roman" w:hAnsi="Times New Roman" w:cs="Times New Roman"/>
        </w:rPr>
        <w:t>ern</w:t>
      </w:r>
      <w:r w:rsidR="00E0718C">
        <w:rPr>
          <w:rFonts w:ascii="Times New Roman" w:hAnsi="Times New Roman" w:cs="Times New Roman"/>
        </w:rPr>
        <w:t xml:space="preserve"> Rhodesia (simply Rhodesia from 1964</w:t>
      </w:r>
      <w:r w:rsidR="00E757EC">
        <w:rPr>
          <w:rFonts w:ascii="Times New Roman" w:hAnsi="Times New Roman" w:cs="Times New Roman"/>
        </w:rPr>
        <w:t>,</w:t>
      </w:r>
      <w:r w:rsidR="00E0718C">
        <w:rPr>
          <w:rFonts w:ascii="Times New Roman" w:hAnsi="Times New Roman" w:cs="Times New Roman"/>
        </w:rPr>
        <w:t xml:space="preserve"> and eventually Zimbabwe from 1980)</w:t>
      </w:r>
      <w:r w:rsidR="00E757EC">
        <w:rPr>
          <w:rFonts w:ascii="Times New Roman" w:hAnsi="Times New Roman" w:cs="Times New Roman"/>
        </w:rPr>
        <w:t xml:space="preserve"> </w:t>
      </w:r>
      <w:r w:rsidRPr="00515DBF">
        <w:rPr>
          <w:rFonts w:ascii="Times New Roman" w:hAnsi="Times New Roman" w:cs="Times New Roman"/>
        </w:rPr>
        <w:t>and Nyasaland</w:t>
      </w:r>
      <w:r w:rsidR="00D93468">
        <w:rPr>
          <w:rFonts w:ascii="Times New Roman" w:hAnsi="Times New Roman" w:cs="Times New Roman"/>
        </w:rPr>
        <w:t xml:space="preserve"> </w:t>
      </w:r>
      <w:r w:rsidR="00E0718C">
        <w:rPr>
          <w:rFonts w:ascii="Times New Roman" w:hAnsi="Times New Roman" w:cs="Times New Roman"/>
        </w:rPr>
        <w:t>(Malawi after 1964)</w:t>
      </w:r>
      <w:r w:rsidRPr="00515DBF">
        <w:rPr>
          <w:rFonts w:ascii="Times New Roman" w:hAnsi="Times New Roman" w:cs="Times New Roman"/>
        </w:rPr>
        <w:t xml:space="preserve"> came into focus after WWII.</w:t>
      </w:r>
      <w:r w:rsidR="00A47396" w:rsidRPr="00515DBF">
        <w:rPr>
          <w:rFonts w:ascii="Times New Roman" w:hAnsi="Times New Roman" w:cs="Times New Roman"/>
        </w:rPr>
        <w:t xml:space="preserve"> </w:t>
      </w:r>
      <w:r w:rsidRPr="00515DBF">
        <w:rPr>
          <w:rFonts w:ascii="Times New Roman" w:hAnsi="Times New Roman" w:cs="Times New Roman"/>
        </w:rPr>
        <w:t xml:space="preserve">In contrast to the trustee relationship between Colonial Office and </w:t>
      </w:r>
      <w:r w:rsidR="007A070B" w:rsidRPr="00515DBF">
        <w:rPr>
          <w:rFonts w:ascii="Times New Roman" w:hAnsi="Times New Roman" w:cs="Times New Roman"/>
        </w:rPr>
        <w:t>colon</w:t>
      </w:r>
      <w:r w:rsidR="007A070B">
        <w:rPr>
          <w:rFonts w:ascii="Times New Roman" w:hAnsi="Times New Roman" w:cs="Times New Roman"/>
        </w:rPr>
        <w:t>ies</w:t>
      </w:r>
      <w:r w:rsidR="007A070B" w:rsidRPr="00515DBF">
        <w:rPr>
          <w:rFonts w:ascii="Times New Roman" w:hAnsi="Times New Roman" w:cs="Times New Roman"/>
        </w:rPr>
        <w:t xml:space="preserve"> </w:t>
      </w:r>
      <w:r w:rsidRPr="00515DBF">
        <w:rPr>
          <w:rFonts w:ascii="Times New Roman" w:hAnsi="Times New Roman" w:cs="Times New Roman"/>
        </w:rPr>
        <w:t xml:space="preserve">elsewhere in sub-Saharan Africa, in central Africa the presence of </w:t>
      </w:r>
      <w:r w:rsidR="008E35BB">
        <w:rPr>
          <w:rFonts w:ascii="Times New Roman" w:hAnsi="Times New Roman" w:cs="Times New Roman"/>
        </w:rPr>
        <w:t xml:space="preserve">white </w:t>
      </w:r>
      <w:r w:rsidRPr="00515DBF">
        <w:rPr>
          <w:rFonts w:ascii="Times New Roman" w:hAnsi="Times New Roman" w:cs="Times New Roman"/>
        </w:rPr>
        <w:t>settlers changed the dynamics of local power. The Southern Rhodesian settlers had successfully campaigned for greater control of local policy in 1923 and this saw the subsequent formalisation of colour bar practices, land alienation, and the expansion of ‘native reserves’.</w:t>
      </w:r>
      <w:r w:rsidRPr="00515DBF">
        <w:rPr>
          <w:rStyle w:val="EndnoteReference"/>
          <w:rFonts w:ascii="Times New Roman" w:hAnsi="Times New Roman" w:cs="Times New Roman"/>
        </w:rPr>
        <w:endnoteReference w:id="29"/>
      </w:r>
      <w:r w:rsidRPr="00515DBF">
        <w:rPr>
          <w:rFonts w:ascii="Times New Roman" w:hAnsi="Times New Roman" w:cs="Times New Roman"/>
        </w:rPr>
        <w:t xml:space="preserve"> In Northern Rhodesia, the power of the so-called ‘</w:t>
      </w:r>
      <w:proofErr w:type="spellStart"/>
      <w:r w:rsidRPr="00515DBF">
        <w:rPr>
          <w:rFonts w:ascii="Times New Roman" w:hAnsi="Times New Roman" w:cs="Times New Roman"/>
        </w:rPr>
        <w:t>unofficials</w:t>
      </w:r>
      <w:proofErr w:type="spellEnd"/>
      <w:r w:rsidRPr="00515DBF">
        <w:rPr>
          <w:rFonts w:ascii="Times New Roman" w:hAnsi="Times New Roman" w:cs="Times New Roman"/>
        </w:rPr>
        <w:t>’ (unelected, universally white) members of the Legislative Council meant the local colonial administration often bowed to their will. The generally accepted tenet that the Colonial Office, and its local representative (the Governor) should retain a majority in</w:t>
      </w:r>
      <w:r w:rsidR="00A47396" w:rsidRPr="00515DBF">
        <w:rPr>
          <w:rFonts w:ascii="Times New Roman" w:hAnsi="Times New Roman" w:cs="Times New Roman"/>
        </w:rPr>
        <w:t xml:space="preserve"> local decision-making bodies ‘</w:t>
      </w:r>
      <w:r w:rsidRPr="00515DBF">
        <w:rPr>
          <w:rFonts w:ascii="Times New Roman" w:hAnsi="Times New Roman" w:cs="Times New Roman"/>
        </w:rPr>
        <w:t>was in fact gradually whittled away as Governors and senior officials bent their policies to meet the strong and constant pressure of local European opinion.’</w:t>
      </w:r>
      <w:r w:rsidRPr="00515DBF">
        <w:rPr>
          <w:rStyle w:val="EndnoteReference"/>
          <w:rFonts w:ascii="Times New Roman" w:hAnsi="Times New Roman" w:cs="Times New Roman"/>
        </w:rPr>
        <w:endnoteReference w:id="30"/>
      </w:r>
      <w:r w:rsidRPr="00515DBF">
        <w:rPr>
          <w:rFonts w:ascii="Times New Roman" w:hAnsi="Times New Roman" w:cs="Times New Roman"/>
        </w:rPr>
        <w:t xml:space="preserve"> Butler</w:t>
      </w:r>
      <w:r w:rsidR="00DA7C61">
        <w:rPr>
          <w:rFonts w:ascii="Times New Roman" w:hAnsi="Times New Roman" w:cs="Times New Roman"/>
        </w:rPr>
        <w:t xml:space="preserve"> (2007)</w:t>
      </w:r>
      <w:r w:rsidRPr="00515DBF">
        <w:rPr>
          <w:rFonts w:ascii="Times New Roman" w:hAnsi="Times New Roman" w:cs="Times New Roman"/>
        </w:rPr>
        <w:t xml:space="preserve"> argues that after 1948, a convention was </w:t>
      </w:r>
      <w:r w:rsidR="00D0495D" w:rsidRPr="00515DBF">
        <w:rPr>
          <w:rFonts w:ascii="Times New Roman" w:hAnsi="Times New Roman" w:cs="Times New Roman"/>
        </w:rPr>
        <w:t>adopted that the Governor should</w:t>
      </w:r>
      <w:r w:rsidRPr="00515DBF">
        <w:rPr>
          <w:rFonts w:ascii="Times New Roman" w:hAnsi="Times New Roman" w:cs="Times New Roman"/>
        </w:rPr>
        <w:t xml:space="preserve"> follow the agenda set by the </w:t>
      </w:r>
      <w:proofErr w:type="spellStart"/>
      <w:r w:rsidRPr="00515DBF">
        <w:rPr>
          <w:rFonts w:ascii="Times New Roman" w:hAnsi="Times New Roman" w:cs="Times New Roman"/>
        </w:rPr>
        <w:t>unofficials</w:t>
      </w:r>
      <w:proofErr w:type="spellEnd"/>
      <w:r w:rsidRPr="00515DBF">
        <w:rPr>
          <w:rFonts w:ascii="Times New Roman" w:hAnsi="Times New Roman" w:cs="Times New Roman"/>
        </w:rPr>
        <w:t xml:space="preserve">. In essence, this handed decision-making on certain issues to settlers. </w:t>
      </w:r>
      <w:r w:rsidR="00B84DE5">
        <w:rPr>
          <w:rFonts w:ascii="Times New Roman" w:hAnsi="Times New Roman" w:cs="Times New Roman"/>
        </w:rPr>
        <w:t>Af</w:t>
      </w:r>
      <w:r w:rsidRPr="00515DBF">
        <w:rPr>
          <w:rFonts w:ascii="Times New Roman" w:hAnsi="Times New Roman" w:cs="Times New Roman"/>
        </w:rPr>
        <w:t>ter this, it became ‘prudent for the mining companies to be sensitive towards key settler political aims which included …the continuing loss of mining revenue overseas.’</w:t>
      </w:r>
      <w:r w:rsidRPr="00515DBF">
        <w:rPr>
          <w:rStyle w:val="EndnoteReference"/>
          <w:rFonts w:ascii="Times New Roman" w:hAnsi="Times New Roman" w:cs="Times New Roman"/>
        </w:rPr>
        <w:endnoteReference w:id="31"/>
      </w:r>
      <w:r w:rsidRPr="00515DBF">
        <w:rPr>
          <w:rFonts w:ascii="Times New Roman" w:hAnsi="Times New Roman" w:cs="Times New Roman"/>
        </w:rPr>
        <w:t xml:space="preserve"> </w:t>
      </w:r>
    </w:p>
    <w:p w14:paraId="1DB96346" w14:textId="06FE8647" w:rsidR="00183713" w:rsidRPr="00F90252" w:rsidRDefault="00EA76EA" w:rsidP="0057298E">
      <w:pPr>
        <w:spacing w:line="480" w:lineRule="auto"/>
        <w:ind w:firstLine="720"/>
        <w:jc w:val="both"/>
        <w:rPr>
          <w:rFonts w:ascii="Times New Roman" w:hAnsi="Times New Roman" w:cs="Times New Roman"/>
        </w:rPr>
      </w:pPr>
      <w:r w:rsidRPr="00F90252">
        <w:rPr>
          <w:rFonts w:ascii="Times New Roman" w:hAnsi="Times New Roman" w:cs="Times New Roman"/>
        </w:rPr>
        <w:lastRenderedPageBreak/>
        <w:t xml:space="preserve">A strong settler lobby led by Sir Godfrey Huggins, Prime Minister of Southern Rhodesia, and Roy </w:t>
      </w:r>
      <w:proofErr w:type="spellStart"/>
      <w:r w:rsidRPr="00F90252">
        <w:rPr>
          <w:rFonts w:ascii="Times New Roman" w:hAnsi="Times New Roman" w:cs="Times New Roman"/>
        </w:rPr>
        <w:t>Welensky</w:t>
      </w:r>
      <w:proofErr w:type="spellEnd"/>
      <w:r w:rsidRPr="00F90252">
        <w:rPr>
          <w:rFonts w:ascii="Times New Roman" w:hAnsi="Times New Roman" w:cs="Times New Roman"/>
        </w:rPr>
        <w:t xml:space="preserve">, leader of the </w:t>
      </w:r>
      <w:proofErr w:type="spellStart"/>
      <w:r w:rsidRPr="00F90252">
        <w:rPr>
          <w:rFonts w:ascii="Times New Roman" w:hAnsi="Times New Roman" w:cs="Times New Roman"/>
        </w:rPr>
        <w:t>unofficials</w:t>
      </w:r>
      <w:proofErr w:type="spellEnd"/>
      <w:r w:rsidRPr="00F90252">
        <w:rPr>
          <w:rFonts w:ascii="Times New Roman" w:hAnsi="Times New Roman" w:cs="Times New Roman"/>
        </w:rPr>
        <w:t xml:space="preserve"> on Northern Rhodesia’s Legislative Council, initially campaigned for the political amalgamation of the </w:t>
      </w:r>
      <w:proofErr w:type="spellStart"/>
      <w:r w:rsidRPr="00F90252">
        <w:rPr>
          <w:rFonts w:ascii="Times New Roman" w:hAnsi="Times New Roman" w:cs="Times New Roman"/>
        </w:rPr>
        <w:t>Rhodesias</w:t>
      </w:r>
      <w:proofErr w:type="spellEnd"/>
      <w:r w:rsidR="00616355" w:rsidRPr="00F90252">
        <w:rPr>
          <w:rFonts w:ascii="Times New Roman" w:hAnsi="Times New Roman" w:cs="Times New Roman"/>
        </w:rPr>
        <w:t xml:space="preserve"> </w:t>
      </w:r>
      <w:r w:rsidR="00F90252" w:rsidRPr="00F90252">
        <w:rPr>
          <w:rFonts w:ascii="Times New Roman" w:hAnsi="Times New Roman" w:cs="Times New Roman"/>
        </w:rPr>
        <w:t>(</w:t>
      </w:r>
      <w:r w:rsidR="00502598" w:rsidRPr="00F90252">
        <w:rPr>
          <w:rFonts w:ascii="Times New Roman" w:hAnsi="Times New Roman" w:cs="Times New Roman"/>
        </w:rPr>
        <w:t>essentially giving</w:t>
      </w:r>
      <w:r w:rsidR="00616355" w:rsidRPr="00F90252">
        <w:rPr>
          <w:rFonts w:ascii="Times New Roman" w:hAnsi="Times New Roman" w:cs="Times New Roman"/>
        </w:rPr>
        <w:t xml:space="preserve"> </w:t>
      </w:r>
      <w:r w:rsidR="00183713" w:rsidRPr="00F90252">
        <w:rPr>
          <w:rFonts w:ascii="Times New Roman" w:hAnsi="Times New Roman" w:cs="Times New Roman"/>
        </w:rPr>
        <w:t xml:space="preserve">Northern Rhodesia </w:t>
      </w:r>
      <w:r w:rsidRPr="00F90252">
        <w:rPr>
          <w:rFonts w:ascii="Times New Roman" w:hAnsi="Times New Roman" w:cs="Times New Roman"/>
        </w:rPr>
        <w:t xml:space="preserve">with </w:t>
      </w:r>
      <w:r w:rsidR="00183713" w:rsidRPr="00F90252">
        <w:rPr>
          <w:rFonts w:ascii="Times New Roman" w:hAnsi="Times New Roman" w:cs="Times New Roman"/>
        </w:rPr>
        <w:t>the same rights as Southern Rhodesia gained in 1923</w:t>
      </w:r>
      <w:r w:rsidR="00F90252" w:rsidRPr="00F90252">
        <w:rPr>
          <w:rFonts w:ascii="Times New Roman" w:hAnsi="Times New Roman" w:cs="Times New Roman"/>
        </w:rPr>
        <w:t>)</w:t>
      </w:r>
      <w:r w:rsidRPr="00F90252">
        <w:rPr>
          <w:rFonts w:ascii="Times New Roman" w:hAnsi="Times New Roman" w:cs="Times New Roman"/>
        </w:rPr>
        <w:t>.</w:t>
      </w:r>
      <w:r w:rsidR="004C2277" w:rsidRPr="00F90252">
        <w:rPr>
          <w:rStyle w:val="EndnoteReference"/>
          <w:rFonts w:ascii="Times New Roman" w:hAnsi="Times New Roman" w:cs="Times New Roman"/>
        </w:rPr>
        <w:endnoteReference w:id="32"/>
      </w:r>
      <w:r w:rsidRPr="00F90252">
        <w:rPr>
          <w:rFonts w:ascii="Times New Roman" w:hAnsi="Times New Roman" w:cs="Times New Roman"/>
        </w:rPr>
        <w:t xml:space="preserve"> </w:t>
      </w:r>
      <w:r w:rsidR="007A070B" w:rsidRPr="00F90252">
        <w:rPr>
          <w:rFonts w:ascii="Times New Roman" w:hAnsi="Times New Roman" w:cs="Times New Roman"/>
        </w:rPr>
        <w:t>The British Government denied this</w:t>
      </w:r>
      <w:r w:rsidR="00183713" w:rsidRPr="00F90252">
        <w:rPr>
          <w:rFonts w:ascii="Times New Roman" w:hAnsi="Times New Roman" w:cs="Times New Roman"/>
        </w:rPr>
        <w:t xml:space="preserve"> on the grounds that it would abrogate their responsibility to the welfare of Northern Rhodesia’s African population.</w:t>
      </w:r>
      <w:r w:rsidRPr="00F90252">
        <w:rPr>
          <w:rStyle w:val="EndnoteReference"/>
          <w:rFonts w:ascii="Times New Roman" w:hAnsi="Times New Roman" w:cs="Times New Roman"/>
        </w:rPr>
        <w:endnoteReference w:id="33"/>
      </w:r>
      <w:r w:rsidR="00183713" w:rsidRPr="00F90252">
        <w:rPr>
          <w:rFonts w:ascii="Times New Roman" w:hAnsi="Times New Roman" w:cs="Times New Roman"/>
        </w:rPr>
        <w:t xml:space="preserve"> The settlers then pushed for a federal scheme to bring the </w:t>
      </w:r>
      <w:proofErr w:type="spellStart"/>
      <w:r w:rsidR="00183713" w:rsidRPr="00F90252">
        <w:rPr>
          <w:rFonts w:ascii="Times New Roman" w:hAnsi="Times New Roman" w:cs="Times New Roman"/>
        </w:rPr>
        <w:t>Rhodesias</w:t>
      </w:r>
      <w:proofErr w:type="spellEnd"/>
      <w:r w:rsidR="00183713" w:rsidRPr="00F90252">
        <w:rPr>
          <w:rFonts w:ascii="Times New Roman" w:hAnsi="Times New Roman" w:cs="Times New Roman"/>
        </w:rPr>
        <w:t xml:space="preserve"> together (the inclusion of Nyasaland was the idea of the British Government).</w:t>
      </w:r>
      <w:r w:rsidR="00183713" w:rsidRPr="00F90252">
        <w:rPr>
          <w:rStyle w:val="EndnoteReference"/>
          <w:rFonts w:ascii="Times New Roman" w:hAnsi="Times New Roman" w:cs="Times New Roman"/>
        </w:rPr>
        <w:endnoteReference w:id="34"/>
      </w:r>
      <w:r w:rsidR="00183713" w:rsidRPr="00F90252" w:rsidDel="00F53C8E">
        <w:rPr>
          <w:rFonts w:ascii="Times New Roman" w:hAnsi="Times New Roman" w:cs="Times New Roman"/>
        </w:rPr>
        <w:t xml:space="preserve"> </w:t>
      </w:r>
    </w:p>
    <w:p w14:paraId="77F4E115" w14:textId="0BF98308" w:rsidR="00B12CD2" w:rsidRPr="00515DBF" w:rsidRDefault="00B12CD2" w:rsidP="0057298E">
      <w:pPr>
        <w:spacing w:line="480" w:lineRule="auto"/>
        <w:ind w:firstLine="720"/>
        <w:jc w:val="both"/>
        <w:rPr>
          <w:rFonts w:ascii="Times New Roman" w:hAnsi="Times New Roman" w:cs="Times New Roman"/>
        </w:rPr>
      </w:pPr>
      <w:r w:rsidRPr="00F90252">
        <w:rPr>
          <w:rFonts w:ascii="Times New Roman" w:hAnsi="Times New Roman" w:cs="Times New Roman"/>
        </w:rPr>
        <w:t xml:space="preserve">The white settlers of the </w:t>
      </w:r>
      <w:proofErr w:type="spellStart"/>
      <w:r w:rsidRPr="00F90252">
        <w:rPr>
          <w:rFonts w:ascii="Times New Roman" w:hAnsi="Times New Roman" w:cs="Times New Roman"/>
        </w:rPr>
        <w:t>Rhodesias</w:t>
      </w:r>
      <w:proofErr w:type="spellEnd"/>
      <w:r w:rsidRPr="00F90252">
        <w:rPr>
          <w:rFonts w:ascii="Times New Roman" w:hAnsi="Times New Roman" w:cs="Times New Roman"/>
        </w:rPr>
        <w:t xml:space="preserve"> had pushed for closer association to maintain their privileged position in central Africa. Settler nationalism here was clearly defined by race, and, although falling short of the South African apartheid system, the colour bar existed in the </w:t>
      </w:r>
      <w:proofErr w:type="spellStart"/>
      <w:r w:rsidRPr="00F90252">
        <w:rPr>
          <w:rFonts w:ascii="Times New Roman" w:hAnsi="Times New Roman" w:cs="Times New Roman"/>
        </w:rPr>
        <w:t>Rhodesias</w:t>
      </w:r>
      <w:proofErr w:type="spellEnd"/>
      <w:r w:rsidRPr="00F90252">
        <w:rPr>
          <w:rFonts w:ascii="Times New Roman" w:hAnsi="Times New Roman" w:cs="Times New Roman"/>
        </w:rPr>
        <w:t xml:space="preserve"> especially in industrial sectors such as railways and mining, including the </w:t>
      </w:r>
      <w:proofErr w:type="spellStart"/>
      <w:r w:rsidRPr="00F90252">
        <w:rPr>
          <w:rFonts w:ascii="Times New Roman" w:hAnsi="Times New Roman" w:cs="Times New Roman"/>
        </w:rPr>
        <w:t>copperbelt</w:t>
      </w:r>
      <w:proofErr w:type="spellEnd"/>
      <w:r w:rsidRPr="00F90252">
        <w:rPr>
          <w:rFonts w:ascii="Times New Roman" w:hAnsi="Times New Roman" w:cs="Times New Roman"/>
        </w:rPr>
        <w:t>.</w:t>
      </w:r>
      <w:r w:rsidR="004C2277" w:rsidRPr="00F90252">
        <w:rPr>
          <w:rStyle w:val="EndnoteReference"/>
          <w:rFonts w:ascii="Times New Roman" w:hAnsi="Times New Roman" w:cs="Times New Roman"/>
        </w:rPr>
        <w:endnoteReference w:id="35"/>
      </w:r>
      <w:r w:rsidRPr="00F90252">
        <w:rPr>
          <w:rFonts w:ascii="Times New Roman" w:hAnsi="Times New Roman" w:cs="Times New Roman"/>
        </w:rPr>
        <w:t xml:space="preserve"> In these sectors the white working class settlers and their unions forced restrictions on occupations and levels of pay for African workers. </w:t>
      </w:r>
      <w:proofErr w:type="spellStart"/>
      <w:r w:rsidRPr="00F90252">
        <w:rPr>
          <w:rFonts w:ascii="Times New Roman" w:hAnsi="Times New Roman" w:cs="Times New Roman"/>
        </w:rPr>
        <w:t>Welensky</w:t>
      </w:r>
      <w:proofErr w:type="spellEnd"/>
      <w:r w:rsidRPr="00F90252">
        <w:rPr>
          <w:rFonts w:ascii="Times New Roman" w:hAnsi="Times New Roman" w:cs="Times New Roman"/>
        </w:rPr>
        <w:t xml:space="preserve"> himself had worked as a train driver and had formed the Rhodesian Labour Party in 1941.</w:t>
      </w:r>
      <w:r w:rsidR="004C2277" w:rsidRPr="00F90252">
        <w:rPr>
          <w:rStyle w:val="EndnoteReference"/>
          <w:rFonts w:ascii="Times New Roman" w:hAnsi="Times New Roman" w:cs="Times New Roman"/>
        </w:rPr>
        <w:endnoteReference w:id="36"/>
      </w:r>
      <w:r w:rsidRPr="00F90252">
        <w:rPr>
          <w:rFonts w:ascii="Times New Roman" w:hAnsi="Times New Roman" w:cs="Times New Roman"/>
        </w:rPr>
        <w:t xml:space="preserve"> He was determined that settlers’ rights would not </w:t>
      </w:r>
      <w:r w:rsidR="00CF55B0" w:rsidRPr="00F90252">
        <w:rPr>
          <w:rFonts w:ascii="Times New Roman" w:hAnsi="Times New Roman" w:cs="Times New Roman"/>
        </w:rPr>
        <w:t>be challenged in favour of cheaper African labour.</w:t>
      </w:r>
      <w:r w:rsidR="00CF55B0" w:rsidRPr="00F90252">
        <w:rPr>
          <w:rStyle w:val="EndnoteReference"/>
          <w:rFonts w:ascii="Times New Roman" w:hAnsi="Times New Roman" w:cs="Times New Roman"/>
        </w:rPr>
        <w:endnoteReference w:id="37"/>
      </w:r>
    </w:p>
    <w:p w14:paraId="71F67F70" w14:textId="3EA73031" w:rsidR="00183713" w:rsidRDefault="00183713" w:rsidP="0057298E">
      <w:pPr>
        <w:spacing w:line="480" w:lineRule="auto"/>
        <w:ind w:firstLine="720"/>
        <w:jc w:val="both"/>
        <w:rPr>
          <w:rFonts w:ascii="Times New Roman" w:hAnsi="Times New Roman" w:cs="Times New Roman"/>
        </w:rPr>
      </w:pPr>
      <w:r w:rsidRPr="00515DBF">
        <w:rPr>
          <w:rFonts w:ascii="Times New Roman" w:hAnsi="Times New Roman" w:cs="Times New Roman"/>
        </w:rPr>
        <w:t xml:space="preserve">The Federation of Rhodesia and Nyasaland (known also as the Central African Federation; CAF) was created in August 1953. This Federation </w:t>
      </w:r>
      <w:r w:rsidR="000C3F5B" w:rsidRPr="00515DBF">
        <w:rPr>
          <w:rFonts w:ascii="Times New Roman" w:hAnsi="Times New Roman" w:cs="Times New Roman"/>
        </w:rPr>
        <w:t>included</w:t>
      </w:r>
      <w:r w:rsidRPr="00515DBF">
        <w:rPr>
          <w:rFonts w:ascii="Times New Roman" w:hAnsi="Times New Roman" w:cs="Times New Roman"/>
        </w:rPr>
        <w:t xml:space="preserve"> Northern Rhodesia and Southern Rhodesia, as well as Nyasaland. Though Southern Rhodesia politically dominated the Federation, it was the Northern Rhodesian </w:t>
      </w:r>
      <w:proofErr w:type="spellStart"/>
      <w:r w:rsidRPr="00515DBF">
        <w:rPr>
          <w:rFonts w:ascii="Times New Roman" w:hAnsi="Times New Roman" w:cs="Times New Roman"/>
        </w:rPr>
        <w:t>copperbelt</w:t>
      </w:r>
      <w:proofErr w:type="spellEnd"/>
      <w:r w:rsidRPr="00515DBF">
        <w:rPr>
          <w:rFonts w:ascii="Times New Roman" w:hAnsi="Times New Roman" w:cs="Times New Roman"/>
        </w:rPr>
        <w:t xml:space="preserve"> that was expected to be the main export earner, and the economic dynamo of the new federal territory.</w:t>
      </w:r>
      <w:r w:rsidR="00C40C3F">
        <w:rPr>
          <w:rStyle w:val="EndnoteReference"/>
          <w:rFonts w:ascii="Times New Roman" w:hAnsi="Times New Roman" w:cs="Times New Roman"/>
        </w:rPr>
        <w:endnoteReference w:id="38"/>
      </w:r>
      <w:r w:rsidRPr="00515DBF">
        <w:rPr>
          <w:rFonts w:ascii="Times New Roman" w:hAnsi="Times New Roman" w:cs="Times New Roman"/>
        </w:rPr>
        <w:t xml:space="preserve"> Copper mining in Northern </w:t>
      </w:r>
      <w:r w:rsidRPr="00515DBF">
        <w:rPr>
          <w:rFonts w:ascii="Times New Roman" w:hAnsi="Times New Roman" w:cs="Times New Roman"/>
        </w:rPr>
        <w:lastRenderedPageBreak/>
        <w:t>Rhodesia had expanded rapidly from the 1930s onwards and in the immediate post-war years the Copperbelt was one of the world’s largest sources of copper ore.</w:t>
      </w:r>
      <w:r w:rsidRPr="00515DBF">
        <w:rPr>
          <w:rStyle w:val="EndnoteReference"/>
          <w:rFonts w:ascii="Times New Roman" w:hAnsi="Times New Roman" w:cs="Times New Roman"/>
        </w:rPr>
        <w:endnoteReference w:id="39"/>
      </w:r>
      <w:r w:rsidRPr="00515DBF">
        <w:rPr>
          <w:rFonts w:ascii="Times New Roman" w:hAnsi="Times New Roman" w:cs="Times New Roman"/>
        </w:rPr>
        <w:t xml:space="preserve"> Production </w:t>
      </w:r>
      <w:r w:rsidR="00CD6511">
        <w:rPr>
          <w:rFonts w:ascii="Times New Roman" w:hAnsi="Times New Roman" w:cs="Times New Roman"/>
        </w:rPr>
        <w:t xml:space="preserve">of refined copper </w:t>
      </w:r>
      <w:r w:rsidRPr="00515DBF">
        <w:rPr>
          <w:rFonts w:ascii="Times New Roman" w:hAnsi="Times New Roman" w:cs="Times New Roman"/>
        </w:rPr>
        <w:t>in the territory stood at 138,000 tons in 1936 and had increased to 183,000 tons by 1946.</w:t>
      </w:r>
      <w:r w:rsidRPr="00515DBF">
        <w:rPr>
          <w:rStyle w:val="EndnoteReference"/>
          <w:rFonts w:ascii="Times New Roman" w:hAnsi="Times New Roman" w:cs="Times New Roman"/>
        </w:rPr>
        <w:endnoteReference w:id="40"/>
      </w:r>
      <w:r w:rsidRPr="00515DBF">
        <w:rPr>
          <w:rFonts w:ascii="Times New Roman" w:hAnsi="Times New Roman" w:cs="Times New Roman"/>
        </w:rPr>
        <w:t xml:space="preserve"> As one of the most valuable commodities produced in the region, copper was very important to Britain’s dollar earning/saving policy, especially after the convertibility crisis in 1947, and it determined British policy in the region. However, problems of fuel supply and infrastructure impinged on the Copperbelt’s productivity. In 1949 the Colonial Office informed the Cabinet Committee on Colonial Development (CCCD) that poor availability of coal in the region was </w:t>
      </w:r>
      <w:r w:rsidR="006E5922">
        <w:rPr>
          <w:rFonts w:ascii="Times New Roman" w:hAnsi="Times New Roman" w:cs="Times New Roman"/>
        </w:rPr>
        <w:t>holding up</w:t>
      </w:r>
      <w:r w:rsidRPr="00515DBF">
        <w:rPr>
          <w:rFonts w:ascii="Times New Roman" w:hAnsi="Times New Roman" w:cs="Times New Roman"/>
        </w:rPr>
        <w:t xml:space="preserve"> the expansion of copper production.</w:t>
      </w:r>
      <w:r w:rsidRPr="00515DBF">
        <w:rPr>
          <w:rStyle w:val="EndnoteReference"/>
          <w:rFonts w:ascii="Times New Roman" w:hAnsi="Times New Roman" w:cs="Times New Roman"/>
        </w:rPr>
        <w:endnoteReference w:id="41"/>
      </w:r>
      <w:r w:rsidRPr="00515DBF">
        <w:rPr>
          <w:rFonts w:ascii="Times New Roman" w:hAnsi="Times New Roman" w:cs="Times New Roman"/>
        </w:rPr>
        <w:t xml:space="preserve"> The only coal supply came from the Wankie (Hwange) Colliery in </w:t>
      </w:r>
      <w:r w:rsidR="006E5922">
        <w:rPr>
          <w:rFonts w:ascii="Times New Roman" w:hAnsi="Times New Roman" w:cs="Times New Roman"/>
        </w:rPr>
        <w:t xml:space="preserve">neighbouring </w:t>
      </w:r>
      <w:r w:rsidRPr="00515DBF">
        <w:rPr>
          <w:rFonts w:ascii="Times New Roman" w:hAnsi="Times New Roman" w:cs="Times New Roman"/>
        </w:rPr>
        <w:t>Southern Rhodesia</w:t>
      </w:r>
      <w:r w:rsidR="006E5922">
        <w:rPr>
          <w:rFonts w:ascii="Times New Roman" w:hAnsi="Times New Roman" w:cs="Times New Roman"/>
        </w:rPr>
        <w:t xml:space="preserve">, </w:t>
      </w:r>
      <w:r w:rsidRPr="00515DBF">
        <w:rPr>
          <w:rFonts w:ascii="Times New Roman" w:hAnsi="Times New Roman" w:cs="Times New Roman"/>
        </w:rPr>
        <w:t>over six hundred miles away. The main problem was the slow production of coal at the colliery and the poor rail link between the two area</w:t>
      </w:r>
      <w:r w:rsidR="00714A41">
        <w:rPr>
          <w:rFonts w:ascii="Times New Roman" w:hAnsi="Times New Roman" w:cs="Times New Roman"/>
        </w:rPr>
        <w:t>s.</w:t>
      </w:r>
      <w:r w:rsidR="00714A41">
        <w:rPr>
          <w:rStyle w:val="EndnoteReference"/>
          <w:rFonts w:ascii="Times New Roman" w:hAnsi="Times New Roman" w:cs="Times New Roman"/>
        </w:rPr>
        <w:endnoteReference w:id="42"/>
      </w:r>
      <w:r w:rsidR="00714A41" w:rsidRPr="00515DBF">
        <w:rPr>
          <w:rFonts w:ascii="Times New Roman" w:hAnsi="Times New Roman" w:cs="Times New Roman"/>
        </w:rPr>
        <w:t xml:space="preserve"> </w:t>
      </w:r>
      <w:r w:rsidRPr="00515DBF">
        <w:rPr>
          <w:rFonts w:ascii="Times New Roman" w:hAnsi="Times New Roman" w:cs="Times New Roman"/>
        </w:rPr>
        <w:t>Development planners at the C</w:t>
      </w:r>
      <w:r w:rsidR="00714A41">
        <w:rPr>
          <w:rFonts w:ascii="Times New Roman" w:hAnsi="Times New Roman" w:cs="Times New Roman"/>
        </w:rPr>
        <w:t xml:space="preserve">olonial </w:t>
      </w:r>
      <w:r w:rsidRPr="00515DBF">
        <w:rPr>
          <w:rFonts w:ascii="Times New Roman" w:hAnsi="Times New Roman" w:cs="Times New Roman"/>
        </w:rPr>
        <w:t>O</w:t>
      </w:r>
      <w:r w:rsidR="00714A41">
        <w:rPr>
          <w:rFonts w:ascii="Times New Roman" w:hAnsi="Times New Roman" w:cs="Times New Roman"/>
        </w:rPr>
        <w:t>ffice</w:t>
      </w:r>
      <w:r w:rsidRPr="00515DBF">
        <w:rPr>
          <w:rFonts w:ascii="Times New Roman" w:hAnsi="Times New Roman" w:cs="Times New Roman"/>
        </w:rPr>
        <w:t xml:space="preserve"> argued for improvements due to copper’s importance as a “dollar earner and dollar saver” in the post 1947 economic climate.</w:t>
      </w:r>
      <w:r w:rsidRPr="00515DBF">
        <w:rPr>
          <w:rStyle w:val="EndnoteReference"/>
          <w:rFonts w:ascii="Times New Roman" w:hAnsi="Times New Roman" w:cs="Times New Roman"/>
        </w:rPr>
        <w:endnoteReference w:id="43"/>
      </w:r>
      <w:r w:rsidRPr="00515DBF">
        <w:rPr>
          <w:rFonts w:ascii="Times New Roman" w:hAnsi="Times New Roman" w:cs="Times New Roman"/>
        </w:rPr>
        <w:t xml:space="preserve"> Northern Rhodesia produced 213,000 tons of </w:t>
      </w:r>
      <w:r w:rsidR="00CD6511">
        <w:rPr>
          <w:rFonts w:ascii="Times New Roman" w:hAnsi="Times New Roman" w:cs="Times New Roman"/>
        </w:rPr>
        <w:t xml:space="preserve">refined </w:t>
      </w:r>
      <w:r w:rsidRPr="00515DBF">
        <w:rPr>
          <w:rFonts w:ascii="Times New Roman" w:hAnsi="Times New Roman" w:cs="Times New Roman"/>
        </w:rPr>
        <w:t xml:space="preserve">copper in 1948 and 250,000 tons in 1949, but supply commitments to the Union of South Africa, India, Australia, and Sweden, meant that the balance available was far short of British requirements for domestic needs. The </w:t>
      </w:r>
      <w:r w:rsidR="007F763F" w:rsidRPr="00515DBF">
        <w:rPr>
          <w:rFonts w:ascii="Times New Roman" w:hAnsi="Times New Roman" w:cs="Times New Roman"/>
        </w:rPr>
        <w:t>Colonial Office</w:t>
      </w:r>
      <w:r w:rsidRPr="00515DBF">
        <w:rPr>
          <w:rFonts w:ascii="Times New Roman" w:hAnsi="Times New Roman" w:cs="Times New Roman"/>
        </w:rPr>
        <w:t xml:space="preserve"> argued that any shortfall in British imports of Rhodesian copper would necessitate imports from hard currency areas and all effort should be made to increase production.</w:t>
      </w:r>
      <w:r w:rsidRPr="00515DBF">
        <w:rPr>
          <w:rStyle w:val="EndnoteReference"/>
          <w:rFonts w:ascii="Times New Roman" w:hAnsi="Times New Roman" w:cs="Times New Roman"/>
        </w:rPr>
        <w:endnoteReference w:id="44"/>
      </w:r>
      <w:r w:rsidRPr="00515DBF">
        <w:rPr>
          <w:rFonts w:ascii="Times New Roman" w:hAnsi="Times New Roman" w:cs="Times New Roman"/>
        </w:rPr>
        <w:t xml:space="preserve"> By 1955 copper made up 94% of Northern Rhodesia’s exports and was 64% of the value of exports from the CAF.</w:t>
      </w:r>
      <w:r w:rsidRPr="00515DBF">
        <w:rPr>
          <w:rStyle w:val="EndnoteReference"/>
          <w:rFonts w:ascii="Times New Roman" w:hAnsi="Times New Roman" w:cs="Times New Roman"/>
        </w:rPr>
        <w:endnoteReference w:id="45"/>
      </w:r>
      <w:r w:rsidRPr="00515DBF">
        <w:rPr>
          <w:rFonts w:ascii="Times New Roman" w:hAnsi="Times New Roman" w:cs="Times New Roman"/>
        </w:rPr>
        <w:t xml:space="preserve"> The planned development of Northern Rhodesia</w:t>
      </w:r>
      <w:r w:rsidR="00B12CD2" w:rsidRPr="00515DBF">
        <w:rPr>
          <w:rFonts w:ascii="Times New Roman" w:hAnsi="Times New Roman" w:cs="Times New Roman"/>
        </w:rPr>
        <w:t>, and by extension the CAF,</w:t>
      </w:r>
      <w:r w:rsidRPr="00515DBF">
        <w:rPr>
          <w:rFonts w:ascii="Times New Roman" w:hAnsi="Times New Roman" w:cs="Times New Roman"/>
        </w:rPr>
        <w:t xml:space="preserve"> was centred on the </w:t>
      </w:r>
      <w:proofErr w:type="spellStart"/>
      <w:r w:rsidRPr="00515DBF">
        <w:rPr>
          <w:rFonts w:ascii="Times New Roman" w:hAnsi="Times New Roman" w:cs="Times New Roman"/>
        </w:rPr>
        <w:t>copperbelt</w:t>
      </w:r>
      <w:proofErr w:type="spellEnd"/>
      <w:r w:rsidRPr="00515DBF">
        <w:rPr>
          <w:rFonts w:ascii="Times New Roman" w:hAnsi="Times New Roman" w:cs="Times New Roman"/>
        </w:rPr>
        <w:t xml:space="preserve">. </w:t>
      </w:r>
    </w:p>
    <w:p w14:paraId="5A73E533" w14:textId="77777777" w:rsidR="00515DBF" w:rsidRPr="00515DBF" w:rsidRDefault="00515DBF">
      <w:pPr>
        <w:spacing w:line="480" w:lineRule="auto"/>
        <w:jc w:val="both"/>
        <w:rPr>
          <w:rFonts w:ascii="Times New Roman" w:hAnsi="Times New Roman" w:cs="Times New Roman"/>
        </w:rPr>
      </w:pPr>
    </w:p>
    <w:p w14:paraId="01FED07F" w14:textId="487DC045" w:rsidR="00183713" w:rsidRPr="00515DBF" w:rsidRDefault="00183713" w:rsidP="00BD00C6">
      <w:pPr>
        <w:spacing w:line="480" w:lineRule="auto"/>
        <w:jc w:val="both"/>
        <w:rPr>
          <w:rFonts w:ascii="Times New Roman" w:hAnsi="Times New Roman" w:cs="Times New Roman"/>
          <w:b/>
        </w:rPr>
      </w:pPr>
      <w:r w:rsidRPr="00515DBF">
        <w:rPr>
          <w:rFonts w:ascii="Times New Roman" w:hAnsi="Times New Roman" w:cs="Times New Roman"/>
          <w:b/>
        </w:rPr>
        <w:t xml:space="preserve">The organizational </w:t>
      </w:r>
      <w:r w:rsidR="007070AC" w:rsidRPr="00515DBF">
        <w:rPr>
          <w:rFonts w:ascii="Times New Roman" w:hAnsi="Times New Roman" w:cs="Times New Roman"/>
          <w:b/>
        </w:rPr>
        <w:t xml:space="preserve">context: the </w:t>
      </w:r>
      <w:r w:rsidRPr="00515DBF">
        <w:rPr>
          <w:rFonts w:ascii="Times New Roman" w:hAnsi="Times New Roman" w:cs="Times New Roman"/>
          <w:b/>
        </w:rPr>
        <w:t>structure of the RST Group, c.1950-53</w:t>
      </w:r>
      <w:r w:rsidRPr="00515DBF">
        <w:rPr>
          <w:rStyle w:val="EndnoteReference"/>
          <w:rFonts w:ascii="Times New Roman" w:hAnsi="Times New Roman" w:cs="Times New Roman"/>
        </w:rPr>
        <w:endnoteReference w:id="46"/>
      </w:r>
    </w:p>
    <w:p w14:paraId="279142D9" w14:textId="50E08664" w:rsidR="00183713" w:rsidRPr="00515DBF" w:rsidRDefault="007A070B" w:rsidP="00BD00C6">
      <w:pPr>
        <w:spacing w:line="480" w:lineRule="auto"/>
        <w:jc w:val="both"/>
        <w:rPr>
          <w:rFonts w:ascii="Times New Roman" w:hAnsi="Times New Roman" w:cs="Times New Roman"/>
        </w:rPr>
      </w:pPr>
      <w:r w:rsidRPr="00515DBF">
        <w:rPr>
          <w:rFonts w:ascii="Times New Roman" w:hAnsi="Times New Roman" w:cs="Times New Roman"/>
        </w:rPr>
        <w:t>Two groups</w:t>
      </w:r>
      <w:r w:rsidR="00C65388">
        <w:rPr>
          <w:rFonts w:ascii="Times New Roman" w:hAnsi="Times New Roman" w:cs="Times New Roman"/>
        </w:rPr>
        <w:t xml:space="preserve"> of FSC like structures</w:t>
      </w:r>
      <w:r w:rsidRPr="00515DBF">
        <w:rPr>
          <w:rFonts w:ascii="Times New Roman" w:hAnsi="Times New Roman" w:cs="Times New Roman"/>
        </w:rPr>
        <w:t xml:space="preserve"> dominated the copper industry in Northern Rhodesia</w:t>
      </w:r>
      <w:r w:rsidR="00183713" w:rsidRPr="00515DBF">
        <w:rPr>
          <w:rFonts w:ascii="Times New Roman" w:hAnsi="Times New Roman" w:cs="Times New Roman"/>
        </w:rPr>
        <w:t>: Anglo American, and the Rhodesian Selection Trust (RST).</w:t>
      </w:r>
      <w:r w:rsidR="00183713" w:rsidRPr="00515DBF">
        <w:rPr>
          <w:rStyle w:val="EndnoteReference"/>
          <w:rFonts w:ascii="Times New Roman" w:hAnsi="Times New Roman" w:cs="Times New Roman"/>
        </w:rPr>
        <w:endnoteReference w:id="47"/>
      </w:r>
      <w:r w:rsidR="00183713" w:rsidRPr="00515DBF">
        <w:rPr>
          <w:rFonts w:ascii="Times New Roman" w:hAnsi="Times New Roman" w:cs="Times New Roman"/>
        </w:rPr>
        <w:t xml:space="preserve"> </w:t>
      </w:r>
      <w:r w:rsidR="00057C55" w:rsidRPr="00515DBF">
        <w:rPr>
          <w:rFonts w:ascii="Times New Roman" w:hAnsi="Times New Roman" w:cs="Times New Roman"/>
        </w:rPr>
        <w:t xml:space="preserve">RST had its origins in the Selection Trust group of companies that had been formed by </w:t>
      </w:r>
      <w:r w:rsidR="00DA7C61">
        <w:rPr>
          <w:rFonts w:ascii="Times New Roman" w:hAnsi="Times New Roman" w:cs="Times New Roman"/>
        </w:rPr>
        <w:t xml:space="preserve">the mining investment magnate </w:t>
      </w:r>
      <w:r w:rsidR="00057C55" w:rsidRPr="00515DBF">
        <w:rPr>
          <w:rFonts w:ascii="Times New Roman" w:hAnsi="Times New Roman" w:cs="Times New Roman"/>
        </w:rPr>
        <w:t>Chester Beatty in the early 20th Century. By the time of the events described here, the core of the group consisted of both mining companies,</w:t>
      </w:r>
      <w:r w:rsidR="00C65388">
        <w:rPr>
          <w:rFonts w:ascii="Times New Roman" w:hAnsi="Times New Roman" w:cs="Times New Roman"/>
        </w:rPr>
        <w:t xml:space="preserve"> on paper free-standing companies registered in the UK,</w:t>
      </w:r>
      <w:r w:rsidR="00057C55" w:rsidRPr="00515DBF">
        <w:rPr>
          <w:rFonts w:ascii="Times New Roman" w:hAnsi="Times New Roman" w:cs="Times New Roman"/>
        </w:rPr>
        <w:t xml:space="preserve"> and mining finance/holding companies that held investments in a complex of cross-owned assets (see Table 1 and Figure 1). </w:t>
      </w:r>
      <w:r w:rsidR="00183713" w:rsidRPr="00515DBF">
        <w:rPr>
          <w:rFonts w:ascii="Times New Roman" w:hAnsi="Times New Roman" w:cs="Times New Roman"/>
        </w:rPr>
        <w:t xml:space="preserve">It is commonly stated that </w:t>
      </w:r>
      <w:r w:rsidRPr="00515DBF">
        <w:rPr>
          <w:rFonts w:ascii="Times New Roman" w:hAnsi="Times New Roman" w:cs="Times New Roman"/>
        </w:rPr>
        <w:t>the American Metal Company (AMCO) controlled RST</w:t>
      </w:r>
      <w:r w:rsidR="00066483" w:rsidRPr="00515DBF">
        <w:rPr>
          <w:rStyle w:val="EndnoteReference"/>
          <w:rFonts w:ascii="Times New Roman" w:hAnsi="Times New Roman" w:cs="Times New Roman"/>
        </w:rPr>
        <w:endnoteReference w:id="48"/>
      </w:r>
      <w:r w:rsidR="00183713" w:rsidRPr="00515DBF">
        <w:rPr>
          <w:rFonts w:ascii="Times New Roman" w:hAnsi="Times New Roman" w:cs="Times New Roman"/>
        </w:rPr>
        <w:t xml:space="preserve">, though in fact both its governance structure and ownership structure reveal a more complex picture than the notion of a straightforward hierarchical relationship between the two. </w:t>
      </w:r>
    </w:p>
    <w:p w14:paraId="0013BAEE" w14:textId="77777777" w:rsidR="00183713" w:rsidRPr="00515DBF" w:rsidRDefault="00183713" w:rsidP="00BD00C6">
      <w:pPr>
        <w:spacing w:line="480" w:lineRule="auto"/>
        <w:jc w:val="both"/>
        <w:rPr>
          <w:rFonts w:ascii="Times New Roman" w:hAnsi="Times New Roman" w:cs="Times New Roman"/>
        </w:rPr>
      </w:pPr>
    </w:p>
    <w:p w14:paraId="102E928D" w14:textId="3F6D19AB"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&lt;&lt;Insert Figure 1 about here&gt;&gt;</w:t>
      </w:r>
    </w:p>
    <w:p w14:paraId="316F50AC" w14:textId="77777777" w:rsidR="00183713" w:rsidRPr="00515DBF" w:rsidRDefault="00183713" w:rsidP="00BD00C6">
      <w:pPr>
        <w:spacing w:line="480" w:lineRule="auto"/>
        <w:jc w:val="both"/>
        <w:rPr>
          <w:rFonts w:ascii="Times New Roman" w:hAnsi="Times New Roman" w:cs="Times New Roman"/>
        </w:rPr>
      </w:pPr>
    </w:p>
    <w:p w14:paraId="6B0C9DF7" w14:textId="675C0D0E" w:rsidR="00F26FF6" w:rsidRPr="00515DBF" w:rsidRDefault="00183713" w:rsidP="0057298E">
      <w:pPr>
        <w:spacing w:line="480" w:lineRule="auto"/>
        <w:ind w:firstLine="720"/>
        <w:jc w:val="both"/>
        <w:rPr>
          <w:rFonts w:ascii="Times New Roman" w:hAnsi="Times New Roman" w:cs="Times New Roman"/>
        </w:rPr>
      </w:pPr>
      <w:r w:rsidRPr="00515DBF">
        <w:rPr>
          <w:rFonts w:ascii="Times New Roman" w:hAnsi="Times New Roman" w:cs="Times New Roman"/>
        </w:rPr>
        <w:t xml:space="preserve">Figure 1 shows the nature of corporate control as diagrammatised by Ronald </w:t>
      </w: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in the </w:t>
      </w:r>
      <w:r w:rsidRPr="00515DBF">
        <w:rPr>
          <w:rFonts w:ascii="Times New Roman" w:hAnsi="Times New Roman" w:cs="Times New Roman"/>
          <w:i/>
        </w:rPr>
        <w:t>Financial Times</w:t>
      </w:r>
      <w:r w:rsidRPr="00515DBF">
        <w:rPr>
          <w:rFonts w:ascii="Times New Roman" w:hAnsi="Times New Roman" w:cs="Times New Roman"/>
        </w:rPr>
        <w:t xml:space="preserve"> in 1951. This demonstrates that though American Metal was a significant influence</w:t>
      </w:r>
      <w:bookmarkStart w:id="0" w:name="_GoBack"/>
      <w:bookmarkEnd w:id="0"/>
      <w:r w:rsidRPr="00515DBF">
        <w:rPr>
          <w:rFonts w:ascii="Times New Roman" w:hAnsi="Times New Roman" w:cs="Times New Roman"/>
        </w:rPr>
        <w:t>, the London based Selection Trust also was an important controlling holding company. Nonetheless, as Table 1 makes clear, the capital ownership of the group was generally (c. two thirds) held overseas, in point of fact in the United States, with the UK Treasury commenting that both the RST group and the Anglo-American group 'are controlled, or can be controlled, from the United States.'</w:t>
      </w:r>
      <w:r w:rsidRPr="00515DBF">
        <w:rPr>
          <w:rStyle w:val="EndnoteReference"/>
          <w:rFonts w:ascii="Times New Roman" w:hAnsi="Times New Roman" w:cs="Times New Roman"/>
        </w:rPr>
        <w:endnoteReference w:id="49"/>
      </w:r>
      <w:r w:rsidR="00F26FF6" w:rsidRPr="00515DBF">
        <w:rPr>
          <w:rFonts w:ascii="Times New Roman" w:hAnsi="Times New Roman" w:cs="Times New Roman"/>
        </w:rPr>
        <w:t xml:space="preserve"> The American Metal Company had first </w:t>
      </w:r>
      <w:r w:rsidR="00F26FF6" w:rsidRPr="00515DBF">
        <w:rPr>
          <w:rFonts w:ascii="Times New Roman" w:hAnsi="Times New Roman" w:cs="Times New Roman"/>
        </w:rPr>
        <w:lastRenderedPageBreak/>
        <w:t>invested in the RST group in the 1920s, and by the 1950s owned a controlling proportion of the equity capital.</w:t>
      </w:r>
      <w:r w:rsidR="00F26FF6" w:rsidRPr="00515DBF">
        <w:rPr>
          <w:rStyle w:val="EndnoteReference"/>
          <w:rFonts w:ascii="Times New Roman" w:hAnsi="Times New Roman" w:cs="Times New Roman"/>
        </w:rPr>
        <w:endnoteReference w:id="50"/>
      </w:r>
    </w:p>
    <w:p w14:paraId="511CA361" w14:textId="069A5DC9" w:rsidR="00183713" w:rsidRPr="00515DBF" w:rsidRDefault="00183713" w:rsidP="00BD00C6">
      <w:pPr>
        <w:spacing w:line="480" w:lineRule="auto"/>
        <w:jc w:val="both"/>
        <w:rPr>
          <w:rFonts w:ascii="Times New Roman" w:hAnsi="Times New Roman" w:cs="Times New Roman"/>
        </w:rPr>
      </w:pPr>
    </w:p>
    <w:p w14:paraId="08F8AC54" w14:textId="77777777" w:rsidR="00183713" w:rsidRPr="00515DBF" w:rsidRDefault="00183713" w:rsidP="00BD00C6">
      <w:pPr>
        <w:spacing w:line="480" w:lineRule="auto"/>
        <w:jc w:val="both"/>
        <w:rPr>
          <w:rFonts w:ascii="Times New Roman" w:hAnsi="Times New Roman" w:cs="Times New Roman"/>
        </w:rPr>
      </w:pPr>
    </w:p>
    <w:p w14:paraId="798A488E" w14:textId="0D4A5D62"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&lt;&lt;Insert Table 1 about here&gt;&gt;</w:t>
      </w:r>
    </w:p>
    <w:p w14:paraId="59D272C8" w14:textId="77777777" w:rsidR="00183713" w:rsidRPr="00515DBF" w:rsidRDefault="00183713" w:rsidP="00BD00C6">
      <w:pPr>
        <w:spacing w:line="480" w:lineRule="auto"/>
        <w:jc w:val="both"/>
        <w:rPr>
          <w:rFonts w:ascii="Times New Roman" w:hAnsi="Times New Roman" w:cs="Times New Roman"/>
        </w:rPr>
      </w:pPr>
    </w:p>
    <w:p w14:paraId="5DF12289" w14:textId="1041630F" w:rsidR="00183713" w:rsidRPr="00515DBF" w:rsidRDefault="00183713" w:rsidP="0057298E">
      <w:pPr>
        <w:spacing w:line="480" w:lineRule="auto"/>
        <w:ind w:firstLine="720"/>
        <w:jc w:val="both"/>
        <w:rPr>
          <w:rFonts w:ascii="Times New Roman" w:hAnsi="Times New Roman" w:cs="Times New Roman"/>
        </w:rPr>
      </w:pPr>
      <w:r w:rsidRPr="00515DBF">
        <w:rPr>
          <w:rFonts w:ascii="Times New Roman" w:hAnsi="Times New Roman" w:cs="Times New Roman"/>
        </w:rPr>
        <w:t>This then raises questions as to what constitutes a "British" company (or indeed the national designation multinational company) in the first place? If the site of the headquarters</w:t>
      </w:r>
      <w:r w:rsidR="00C65388">
        <w:rPr>
          <w:rFonts w:ascii="Times New Roman" w:hAnsi="Times New Roman" w:cs="Times New Roman"/>
        </w:rPr>
        <w:t>, and corporate registration,</w:t>
      </w:r>
      <w:r w:rsidRPr="00515DBF">
        <w:rPr>
          <w:rFonts w:ascii="Times New Roman" w:hAnsi="Times New Roman" w:cs="Times New Roman"/>
        </w:rPr>
        <w:t xml:space="preserve"> (in the case London) is different to the site of management and operations (Northern Rhodesia), which in turn is different to the chief locus of capital ownership and in this case </w:t>
      </w:r>
      <w:r w:rsidRPr="00515DBF">
        <w:rPr>
          <w:rFonts w:ascii="Times New Roman" w:hAnsi="Times New Roman" w:cs="Times New Roman"/>
          <w:i/>
        </w:rPr>
        <w:t>potential</w:t>
      </w:r>
      <w:r w:rsidRPr="00515DBF">
        <w:rPr>
          <w:rFonts w:ascii="Times New Roman" w:hAnsi="Times New Roman" w:cs="Times New Roman"/>
        </w:rPr>
        <w:t xml:space="preserve"> control (the United States), then at one level we might consider that we cannot meaningfully consider a firm to have national qualities at all (it might simply be described as a transnational firm). This said, however, it was clear in both the developmental, economic and decolonization context of Northern Rhodesian (and by extension the CAF), and the political and fiscal position of the United Kingdom, that the extent of sovereign control over the firms in question was of considerable importance, and this in turn came to shape the political and business discourse around switching domicile. </w:t>
      </w:r>
    </w:p>
    <w:p w14:paraId="562FDB73" w14:textId="01C9888F" w:rsidR="00183713" w:rsidRDefault="006724E8" w:rsidP="00BD00C6">
      <w:pPr>
        <w:spacing w:line="480" w:lineRule="auto"/>
        <w:jc w:val="both"/>
        <w:rPr>
          <w:rFonts w:ascii="Times New Roman" w:hAnsi="Times New Roman" w:cs="Times New Roman"/>
        </w:rPr>
      </w:pPr>
      <w:r w:rsidRPr="00515DBF">
        <w:rPr>
          <w:rFonts w:ascii="Times New Roman" w:hAnsi="Times New Roman" w:cs="Times New Roman"/>
        </w:rPr>
        <w:tab/>
      </w:r>
      <w:r w:rsidR="00183713" w:rsidRPr="00515DBF">
        <w:rPr>
          <w:rFonts w:ascii="Times New Roman" w:hAnsi="Times New Roman" w:cs="Times New Roman"/>
        </w:rPr>
        <w:t xml:space="preserve"> </w:t>
      </w:r>
    </w:p>
    <w:p w14:paraId="2B2CAC12" w14:textId="77777777" w:rsidR="00515DBF" w:rsidRPr="00515DBF" w:rsidRDefault="00515DBF" w:rsidP="00BD00C6">
      <w:pPr>
        <w:spacing w:line="480" w:lineRule="auto"/>
        <w:jc w:val="both"/>
        <w:rPr>
          <w:rFonts w:ascii="Times New Roman" w:hAnsi="Times New Roman" w:cs="Times New Roman"/>
        </w:rPr>
      </w:pPr>
    </w:p>
    <w:p w14:paraId="11BD39F9" w14:textId="1844D24F" w:rsidR="006724E8" w:rsidRPr="00515DBF" w:rsidRDefault="006724E8" w:rsidP="005F7748">
      <w:pPr>
        <w:spacing w:line="480" w:lineRule="auto"/>
        <w:jc w:val="both"/>
        <w:rPr>
          <w:rFonts w:ascii="Times New Roman" w:hAnsi="Times New Roman" w:cs="Times New Roman"/>
          <w:b/>
        </w:rPr>
      </w:pPr>
      <w:r w:rsidRPr="00515DBF">
        <w:rPr>
          <w:rFonts w:ascii="Times New Roman" w:hAnsi="Times New Roman" w:cs="Times New Roman"/>
          <w:b/>
        </w:rPr>
        <w:t>RST-</w:t>
      </w:r>
      <w:r w:rsidR="002E20FE" w:rsidRPr="00515DBF">
        <w:rPr>
          <w:rFonts w:ascii="Times New Roman" w:hAnsi="Times New Roman" w:cs="Times New Roman"/>
          <w:b/>
        </w:rPr>
        <w:t>AMCO</w:t>
      </w:r>
      <w:r w:rsidRPr="00515DBF">
        <w:rPr>
          <w:rFonts w:ascii="Times New Roman" w:hAnsi="Times New Roman" w:cs="Times New Roman"/>
          <w:b/>
        </w:rPr>
        <w:t xml:space="preserve"> Strategy</w:t>
      </w:r>
    </w:p>
    <w:p w14:paraId="4E4B8FFE" w14:textId="5C3D58B3" w:rsidR="00C24785" w:rsidRPr="00515DBF" w:rsidRDefault="00183713" w:rsidP="005F7748">
      <w:pPr>
        <w:spacing w:line="480" w:lineRule="auto"/>
        <w:jc w:val="both"/>
        <w:rPr>
          <w:rFonts w:ascii="Times New Roman" w:hAnsi="Times New Roman" w:cs="Times New Roman"/>
          <w:lang w:val="en-US"/>
        </w:rPr>
      </w:pPr>
      <w:r w:rsidRPr="00515DBF">
        <w:rPr>
          <w:rFonts w:ascii="Times New Roman" w:hAnsi="Times New Roman" w:cs="Times New Roman"/>
        </w:rPr>
        <w:t>The first question to ask is: why did the corporations wish to move domicile? Aside from the contextual increase in the burden of double taxation in this period</w:t>
      </w:r>
      <w:r w:rsidRPr="00515DBF">
        <w:rPr>
          <w:rStyle w:val="EndnoteReference"/>
          <w:rFonts w:ascii="Times New Roman" w:hAnsi="Times New Roman" w:cs="Times New Roman"/>
        </w:rPr>
        <w:endnoteReference w:id="51"/>
      </w:r>
      <w:r w:rsidR="00F26FF6" w:rsidRPr="00515DBF">
        <w:rPr>
          <w:rFonts w:ascii="Times New Roman" w:hAnsi="Times New Roman" w:cs="Times New Roman"/>
        </w:rPr>
        <w:t>, those involved in setting the strategic direction for the</w:t>
      </w:r>
      <w:r w:rsidRPr="00515DBF">
        <w:rPr>
          <w:rFonts w:ascii="Times New Roman" w:hAnsi="Times New Roman" w:cs="Times New Roman"/>
        </w:rPr>
        <w:t xml:space="preserve"> company </w:t>
      </w:r>
      <w:r w:rsidR="00F26FF6" w:rsidRPr="00515DBF">
        <w:rPr>
          <w:rFonts w:ascii="Times New Roman" w:hAnsi="Times New Roman" w:cs="Times New Roman"/>
        </w:rPr>
        <w:t xml:space="preserve">held </w:t>
      </w:r>
      <w:r w:rsidR="00F26FF6" w:rsidRPr="00515DBF">
        <w:rPr>
          <w:rFonts w:ascii="Times New Roman" w:hAnsi="Times New Roman" w:cs="Times New Roman"/>
        </w:rPr>
        <w:lastRenderedPageBreak/>
        <w:t xml:space="preserve">different views that had emerged over time. Immediately, following the switch of domicile of the Anglo-American group in 1950, the price of American Metal Company shares rose–which </w:t>
      </w:r>
      <w:r w:rsidR="00116CA8" w:rsidRPr="00515DBF">
        <w:rPr>
          <w:rFonts w:ascii="Times New Roman" w:hAnsi="Times New Roman" w:cs="Times New Roman"/>
        </w:rPr>
        <w:t>AMCO</w:t>
      </w:r>
      <w:r w:rsidR="00F26FF6" w:rsidRPr="00515DBF">
        <w:rPr>
          <w:rFonts w:ascii="Times New Roman" w:hAnsi="Times New Roman" w:cs="Times New Roman"/>
        </w:rPr>
        <w:t xml:space="preserve"> </w:t>
      </w:r>
      <w:r w:rsidR="009850F5" w:rsidRPr="00515DBF">
        <w:rPr>
          <w:rFonts w:ascii="Times New Roman" w:hAnsi="Times New Roman" w:cs="Times New Roman"/>
        </w:rPr>
        <w:t>executives</w:t>
      </w:r>
      <w:r w:rsidR="00F26FF6" w:rsidRPr="00515DBF">
        <w:rPr>
          <w:rFonts w:ascii="Times New Roman" w:hAnsi="Times New Roman" w:cs="Times New Roman"/>
        </w:rPr>
        <w:t xml:space="preserve"> believed was based on the expectation that the RST group would follow suit and this would lead to an improved </w:t>
      </w:r>
      <w:r w:rsidR="005F7748" w:rsidRPr="00515DBF">
        <w:rPr>
          <w:rFonts w:ascii="Times New Roman" w:hAnsi="Times New Roman" w:cs="Times New Roman"/>
        </w:rPr>
        <w:t>profit-earning position in relation to taxation.</w:t>
      </w:r>
      <w:r w:rsidR="005F7748" w:rsidRPr="00515DBF">
        <w:rPr>
          <w:rStyle w:val="EndnoteReference"/>
          <w:rFonts w:ascii="Times New Roman" w:hAnsi="Times New Roman" w:cs="Times New Roman"/>
        </w:rPr>
        <w:endnoteReference w:id="52"/>
      </w:r>
      <w:r w:rsidR="005F7748" w:rsidRPr="00515DBF">
        <w:rPr>
          <w:rFonts w:ascii="Times New Roman" w:hAnsi="Times New Roman" w:cs="Times New Roman"/>
        </w:rPr>
        <w:t xml:space="preserve"> Ronald </w:t>
      </w:r>
      <w:proofErr w:type="spellStart"/>
      <w:r w:rsidR="005F7748" w:rsidRPr="00515DBF">
        <w:rPr>
          <w:rFonts w:ascii="Times New Roman" w:hAnsi="Times New Roman" w:cs="Times New Roman"/>
        </w:rPr>
        <w:t>Prain</w:t>
      </w:r>
      <w:proofErr w:type="spellEnd"/>
      <w:r w:rsidR="005F7748" w:rsidRPr="00515DBF">
        <w:rPr>
          <w:rFonts w:ascii="Times New Roman" w:hAnsi="Times New Roman" w:cs="Times New Roman"/>
        </w:rPr>
        <w:t>–</w:t>
      </w:r>
      <w:r w:rsidR="009850F5" w:rsidRPr="00515DBF">
        <w:rPr>
          <w:rFonts w:ascii="Times New Roman" w:hAnsi="Times New Roman" w:cs="Times New Roman"/>
        </w:rPr>
        <w:t xml:space="preserve">chairman of </w:t>
      </w:r>
      <w:r w:rsidR="005F7748" w:rsidRPr="00515DBF">
        <w:rPr>
          <w:rFonts w:ascii="Times New Roman" w:hAnsi="Times New Roman" w:cs="Times New Roman"/>
        </w:rPr>
        <w:t>RST</w:t>
      </w:r>
      <w:r w:rsidR="009850F5" w:rsidRPr="00515DBF">
        <w:rPr>
          <w:rFonts w:ascii="Times New Roman" w:hAnsi="Times New Roman" w:cs="Times New Roman"/>
        </w:rPr>
        <w:t xml:space="preserve"> from mid 1950</w:t>
      </w:r>
      <w:r w:rsidR="009850F5" w:rsidRPr="00515DBF">
        <w:rPr>
          <w:rStyle w:val="EndnoteReference"/>
          <w:rFonts w:ascii="Times New Roman" w:hAnsi="Times New Roman" w:cs="Times New Roman"/>
        </w:rPr>
        <w:endnoteReference w:id="53"/>
      </w:r>
      <w:r w:rsidR="005F7748" w:rsidRPr="00515DBF">
        <w:rPr>
          <w:rFonts w:ascii="Times New Roman" w:hAnsi="Times New Roman" w:cs="Times New Roman"/>
        </w:rPr>
        <w:t xml:space="preserve">–did not agree with that analysis of </w:t>
      </w:r>
      <w:r w:rsidR="00116CA8" w:rsidRPr="00515DBF">
        <w:rPr>
          <w:rFonts w:ascii="Times New Roman" w:hAnsi="Times New Roman" w:cs="Times New Roman"/>
        </w:rPr>
        <w:t>AMCO's</w:t>
      </w:r>
      <w:r w:rsidR="005F7748" w:rsidRPr="00515DBF">
        <w:rPr>
          <w:rFonts w:ascii="Times New Roman" w:hAnsi="Times New Roman" w:cs="Times New Roman"/>
        </w:rPr>
        <w:t xml:space="preserve"> share price, and wrote in reply that 'o</w:t>
      </w:r>
      <w:proofErr w:type="spellStart"/>
      <w:r w:rsidR="005F7748" w:rsidRPr="00515DBF">
        <w:rPr>
          <w:rFonts w:ascii="Times New Roman" w:hAnsi="Times New Roman" w:cs="Times New Roman"/>
          <w:lang w:val="en-US"/>
        </w:rPr>
        <w:t>ur</w:t>
      </w:r>
      <w:proofErr w:type="spellEnd"/>
      <w:r w:rsidR="005F7748" w:rsidRPr="00515DBF">
        <w:rPr>
          <w:rFonts w:ascii="Times New Roman" w:hAnsi="Times New Roman" w:cs="Times New Roman"/>
          <w:lang w:val="en-US"/>
        </w:rPr>
        <w:t xml:space="preserve"> opinion in the office is definitely hardening against moving [domicile] and we know that if we agree with you on this attitude, we are assured in advance of considerable support in the City where already in the more responsible circles there is beginning to be some underground criticism of the Oppenheimer</w:t>
      </w:r>
      <w:r w:rsidR="00D15B2A">
        <w:rPr>
          <w:rFonts w:ascii="Times New Roman" w:hAnsi="Times New Roman" w:cs="Times New Roman"/>
          <w:lang w:val="en-US"/>
        </w:rPr>
        <w:t xml:space="preserve"> [the family which dominated Anglo-American]</w:t>
      </w:r>
      <w:r w:rsidR="005F7748" w:rsidRPr="00515DBF">
        <w:rPr>
          <w:rFonts w:ascii="Times New Roman" w:hAnsi="Times New Roman" w:cs="Times New Roman"/>
          <w:lang w:val="en-US"/>
        </w:rPr>
        <w:t xml:space="preserve"> attitude.'</w:t>
      </w:r>
      <w:r w:rsidR="005F7748" w:rsidRPr="00515DBF">
        <w:rPr>
          <w:rStyle w:val="EndnoteReference"/>
          <w:rFonts w:ascii="Times New Roman" w:hAnsi="Times New Roman" w:cs="Times New Roman"/>
          <w:lang w:val="en-US"/>
        </w:rPr>
        <w:endnoteReference w:id="54"/>
      </w:r>
    </w:p>
    <w:p w14:paraId="59E227A9" w14:textId="6678CFCA" w:rsidR="00AC76D8" w:rsidRPr="00515DBF" w:rsidRDefault="003E3D8F" w:rsidP="005F7748">
      <w:pPr>
        <w:spacing w:line="480" w:lineRule="auto"/>
        <w:jc w:val="both"/>
        <w:rPr>
          <w:rFonts w:ascii="Times New Roman" w:hAnsi="Times New Roman" w:cs="Times New Roman"/>
          <w:lang w:val="en-US"/>
        </w:rPr>
      </w:pPr>
      <w:r w:rsidRPr="00515DBF">
        <w:rPr>
          <w:rFonts w:ascii="Times New Roman" w:hAnsi="Times New Roman" w:cs="Times New Roman"/>
          <w:lang w:val="en-US"/>
        </w:rPr>
        <w:tab/>
      </w:r>
      <w:r w:rsidR="00D15B2A">
        <w:rPr>
          <w:rFonts w:ascii="Times New Roman" w:hAnsi="Times New Roman" w:cs="Times New Roman"/>
          <w:lang w:val="en-US"/>
        </w:rPr>
        <w:t xml:space="preserve">Harold </w:t>
      </w:r>
      <w:r w:rsidR="00C24785" w:rsidRPr="00515DBF">
        <w:rPr>
          <w:rFonts w:ascii="Times New Roman" w:hAnsi="Times New Roman" w:cs="Times New Roman"/>
          <w:lang w:val="en-US"/>
        </w:rPr>
        <w:t>Hochschild</w:t>
      </w:r>
      <w:r w:rsidR="00D15B2A">
        <w:rPr>
          <w:rFonts w:ascii="Times New Roman" w:hAnsi="Times New Roman" w:cs="Times New Roman"/>
          <w:lang w:val="en-US"/>
        </w:rPr>
        <w:t>, the President of AMCO,</w:t>
      </w:r>
      <w:r w:rsidR="00C24785" w:rsidRPr="00515DBF">
        <w:rPr>
          <w:rFonts w:ascii="Times New Roman" w:hAnsi="Times New Roman" w:cs="Times New Roman"/>
          <w:lang w:val="en-US"/>
        </w:rPr>
        <w:t xml:space="preserve"> and </w:t>
      </w:r>
      <w:proofErr w:type="spellStart"/>
      <w:r w:rsidR="00C24785" w:rsidRPr="00515DBF">
        <w:rPr>
          <w:rFonts w:ascii="Times New Roman" w:hAnsi="Times New Roman" w:cs="Times New Roman"/>
          <w:lang w:val="en-US"/>
        </w:rPr>
        <w:t>Prain</w:t>
      </w:r>
      <w:proofErr w:type="spellEnd"/>
      <w:r w:rsidR="00C24785" w:rsidRPr="00515DBF">
        <w:rPr>
          <w:rFonts w:ascii="Times New Roman" w:hAnsi="Times New Roman" w:cs="Times New Roman"/>
          <w:lang w:val="en-US"/>
        </w:rPr>
        <w:t xml:space="preserve"> </w:t>
      </w:r>
      <w:r w:rsidR="00940D38" w:rsidRPr="00515DBF">
        <w:rPr>
          <w:rFonts w:ascii="Times New Roman" w:hAnsi="Times New Roman" w:cs="Times New Roman"/>
          <w:lang w:val="en-US"/>
        </w:rPr>
        <w:t xml:space="preserve">were agreed that double taxation had made a significant </w:t>
      </w:r>
      <w:r w:rsidRPr="00515DBF">
        <w:rPr>
          <w:rFonts w:ascii="Times New Roman" w:hAnsi="Times New Roman" w:cs="Times New Roman"/>
          <w:lang w:val="en-US"/>
        </w:rPr>
        <w:t xml:space="preserve">negative </w:t>
      </w:r>
      <w:r w:rsidR="00940D38" w:rsidRPr="00515DBF">
        <w:rPr>
          <w:rFonts w:ascii="Times New Roman" w:hAnsi="Times New Roman" w:cs="Times New Roman"/>
          <w:lang w:val="en-US"/>
        </w:rPr>
        <w:t>impact on the profits of the Northern Rhodesian companies.</w:t>
      </w:r>
      <w:r w:rsidR="00940D38" w:rsidRPr="00515DBF">
        <w:rPr>
          <w:rStyle w:val="EndnoteReference"/>
          <w:rFonts w:ascii="Times New Roman" w:hAnsi="Times New Roman" w:cs="Times New Roman"/>
          <w:lang w:val="en-US"/>
        </w:rPr>
        <w:endnoteReference w:id="55"/>
      </w:r>
      <w:r w:rsidR="001716F1" w:rsidRPr="00515DBF">
        <w:rPr>
          <w:rFonts w:ascii="Times New Roman" w:hAnsi="Times New Roman" w:cs="Times New Roman"/>
          <w:lang w:val="en-US"/>
        </w:rPr>
        <w:t xml:space="preserve"> In a public hearing to the US Congress in early 1950 Hochschild described the system of tax treaty relief on double taxation as 'inadequate', noting that taxation resulted in profits being reduced by </w:t>
      </w:r>
      <w:r w:rsidR="006063DF" w:rsidRPr="00515DBF">
        <w:rPr>
          <w:rFonts w:ascii="Times New Roman" w:hAnsi="Times New Roman" w:cs="Times New Roman"/>
          <w:lang w:val="en-US"/>
        </w:rPr>
        <w:t xml:space="preserve">$0.75 on a dollar for Roan Antelope earnings, and $0.71 on the dollar for </w:t>
      </w:r>
      <w:proofErr w:type="spellStart"/>
      <w:r w:rsidR="006063DF" w:rsidRPr="00515DBF">
        <w:rPr>
          <w:rFonts w:ascii="Times New Roman" w:hAnsi="Times New Roman" w:cs="Times New Roman"/>
          <w:lang w:val="en-US"/>
        </w:rPr>
        <w:t>Mufulira</w:t>
      </w:r>
      <w:proofErr w:type="spellEnd"/>
      <w:r w:rsidR="006063DF" w:rsidRPr="00515DBF">
        <w:rPr>
          <w:rFonts w:ascii="Times New Roman" w:hAnsi="Times New Roman" w:cs="Times New Roman"/>
          <w:lang w:val="en-US"/>
        </w:rPr>
        <w:t xml:space="preserve"> earnings. Taxes were, he said, '</w:t>
      </w:r>
      <w:r w:rsidR="006063DF" w:rsidRPr="00515DBF">
        <w:rPr>
          <w:rFonts w:ascii="Times New Roman" w:hAnsi="Times New Roman" w:cs="Times New Roman"/>
        </w:rPr>
        <w:t>the greatest hazard and greatest handicap to American companies seeking to develop foreign mining areas.'</w:t>
      </w:r>
      <w:r w:rsidR="006063DF" w:rsidRPr="00515DBF">
        <w:rPr>
          <w:rStyle w:val="EndnoteReference"/>
          <w:rFonts w:ascii="Times New Roman" w:hAnsi="Times New Roman" w:cs="Times New Roman"/>
        </w:rPr>
        <w:endnoteReference w:id="56"/>
      </w:r>
      <w:r w:rsidR="006063DF" w:rsidRPr="00515DBF">
        <w:rPr>
          <w:rFonts w:ascii="Times New Roman" w:hAnsi="Times New Roman" w:cs="Times New Roman"/>
          <w:lang w:val="en-US"/>
        </w:rPr>
        <w:t xml:space="preserve"> </w:t>
      </w:r>
      <w:r w:rsidR="00116CA8" w:rsidRPr="00515DBF">
        <w:rPr>
          <w:rFonts w:ascii="Times New Roman" w:hAnsi="Times New Roman" w:cs="Times New Roman"/>
          <w:lang w:val="en-US"/>
        </w:rPr>
        <w:t>And, a</w:t>
      </w:r>
      <w:r w:rsidRPr="00515DBF">
        <w:rPr>
          <w:rFonts w:ascii="Times New Roman" w:hAnsi="Times New Roman" w:cs="Times New Roman"/>
          <w:lang w:val="en-US"/>
        </w:rPr>
        <w:t xml:space="preserve">s early as January 1951 </w:t>
      </w:r>
      <w:proofErr w:type="spellStart"/>
      <w:r w:rsidRPr="00515DBF">
        <w:rPr>
          <w:rFonts w:ascii="Times New Roman" w:hAnsi="Times New Roman" w:cs="Times New Roman"/>
          <w:lang w:val="en-US"/>
        </w:rPr>
        <w:t>Prain</w:t>
      </w:r>
      <w:proofErr w:type="spellEnd"/>
      <w:r w:rsidRPr="00515DBF">
        <w:rPr>
          <w:rFonts w:ascii="Times New Roman" w:hAnsi="Times New Roman" w:cs="Times New Roman"/>
          <w:lang w:val="en-US"/>
        </w:rPr>
        <w:t xml:space="preserve"> had discussions with the Bank of England</w:t>
      </w:r>
      <w:r w:rsidR="00C24785" w:rsidRPr="00515DBF">
        <w:rPr>
          <w:rFonts w:ascii="Times New Roman" w:hAnsi="Times New Roman" w:cs="Times New Roman"/>
          <w:lang w:val="en-US"/>
        </w:rPr>
        <w:t xml:space="preserve"> about the issue of changing domicile</w:t>
      </w:r>
      <w:r w:rsidR="006063DF" w:rsidRPr="00515DBF">
        <w:rPr>
          <w:rFonts w:ascii="Times New Roman" w:hAnsi="Times New Roman" w:cs="Times New Roman"/>
          <w:lang w:val="en-US"/>
        </w:rPr>
        <w:t xml:space="preserve"> in relation to taxation</w:t>
      </w:r>
      <w:r w:rsidR="00C24785" w:rsidRPr="00515DBF">
        <w:rPr>
          <w:rFonts w:ascii="Times New Roman" w:hAnsi="Times New Roman" w:cs="Times New Roman"/>
          <w:lang w:val="en-US"/>
        </w:rPr>
        <w:t>.</w:t>
      </w:r>
      <w:r w:rsidRPr="00515DBF">
        <w:rPr>
          <w:rStyle w:val="EndnoteReference"/>
          <w:rFonts w:ascii="Times New Roman" w:hAnsi="Times New Roman" w:cs="Times New Roman"/>
          <w:lang w:val="en-US"/>
        </w:rPr>
        <w:endnoteReference w:id="57"/>
      </w:r>
      <w:r w:rsidRPr="00515DBF">
        <w:rPr>
          <w:rFonts w:ascii="Times New Roman" w:hAnsi="Times New Roman" w:cs="Times New Roman"/>
          <w:lang w:val="en-US"/>
        </w:rPr>
        <w:t xml:space="preserve"> Nevertheless, at that time </w:t>
      </w:r>
      <w:proofErr w:type="spellStart"/>
      <w:r w:rsidRPr="00515DBF">
        <w:rPr>
          <w:rFonts w:ascii="Times New Roman" w:hAnsi="Times New Roman" w:cs="Times New Roman"/>
          <w:lang w:val="en-US"/>
        </w:rPr>
        <w:t>Prain</w:t>
      </w:r>
      <w:proofErr w:type="spellEnd"/>
      <w:r w:rsidRPr="00515DBF">
        <w:rPr>
          <w:rFonts w:ascii="Times New Roman" w:hAnsi="Times New Roman" w:cs="Times New Roman"/>
          <w:lang w:val="en-US"/>
        </w:rPr>
        <w:t xml:space="preserve"> believed that only operational management could be properly conducted from Northern Rhodesia, the implication </w:t>
      </w:r>
      <w:r w:rsidR="00116CA8" w:rsidRPr="00515DBF">
        <w:rPr>
          <w:rFonts w:ascii="Times New Roman" w:hAnsi="Times New Roman" w:cs="Times New Roman"/>
          <w:lang w:val="en-US"/>
        </w:rPr>
        <w:t xml:space="preserve">being </w:t>
      </w:r>
      <w:r w:rsidRPr="00515DBF">
        <w:rPr>
          <w:rFonts w:ascii="Times New Roman" w:hAnsi="Times New Roman" w:cs="Times New Roman"/>
          <w:lang w:val="en-US"/>
        </w:rPr>
        <w:t xml:space="preserve">that strategic management </w:t>
      </w:r>
      <w:r w:rsidR="006063DF" w:rsidRPr="00515DBF">
        <w:rPr>
          <w:rFonts w:ascii="Times New Roman" w:hAnsi="Times New Roman" w:cs="Times New Roman"/>
          <w:lang w:val="en-US"/>
        </w:rPr>
        <w:t>had to be</w:t>
      </w:r>
      <w:r w:rsidRPr="00515DBF">
        <w:rPr>
          <w:rFonts w:ascii="Times New Roman" w:hAnsi="Times New Roman" w:cs="Times New Roman"/>
          <w:lang w:val="en-US"/>
        </w:rPr>
        <w:t xml:space="preserve"> located in London.</w:t>
      </w:r>
      <w:r w:rsidRPr="00515DBF">
        <w:rPr>
          <w:rStyle w:val="EndnoteReference"/>
          <w:rFonts w:ascii="Times New Roman" w:hAnsi="Times New Roman" w:cs="Times New Roman"/>
          <w:lang w:val="en-US"/>
        </w:rPr>
        <w:endnoteReference w:id="58"/>
      </w:r>
      <w:r w:rsidR="001577D1" w:rsidRPr="00515DBF">
        <w:rPr>
          <w:rFonts w:ascii="Times New Roman" w:hAnsi="Times New Roman" w:cs="Times New Roman"/>
          <w:lang w:val="en-US"/>
        </w:rPr>
        <w:t xml:space="preserve"> </w:t>
      </w:r>
      <w:proofErr w:type="gramStart"/>
      <w:r w:rsidR="001577D1" w:rsidRPr="00515DBF">
        <w:rPr>
          <w:rFonts w:ascii="Times New Roman" w:hAnsi="Times New Roman" w:cs="Times New Roman"/>
          <w:lang w:val="en-US"/>
        </w:rPr>
        <w:t>Hochschild,</w:t>
      </w:r>
      <w:proofErr w:type="gramEnd"/>
      <w:r w:rsidR="001577D1" w:rsidRPr="00515DBF">
        <w:rPr>
          <w:rFonts w:ascii="Times New Roman" w:hAnsi="Times New Roman" w:cs="Times New Roman"/>
          <w:lang w:val="en-US"/>
        </w:rPr>
        <w:t xml:space="preserve"> however began to lay out a range of options </w:t>
      </w:r>
      <w:r w:rsidR="00116CA8" w:rsidRPr="00515DBF">
        <w:rPr>
          <w:rFonts w:ascii="Times New Roman" w:hAnsi="Times New Roman" w:cs="Times New Roman"/>
          <w:lang w:val="en-US"/>
        </w:rPr>
        <w:t>for consideration</w:t>
      </w:r>
      <w:r w:rsidR="006063DF" w:rsidRPr="00515DBF">
        <w:rPr>
          <w:rFonts w:ascii="Times New Roman" w:hAnsi="Times New Roman" w:cs="Times New Roman"/>
          <w:lang w:val="en-US"/>
        </w:rPr>
        <w:t xml:space="preserve"> to address the issue</w:t>
      </w:r>
      <w:r w:rsidR="001577D1" w:rsidRPr="00515DBF">
        <w:rPr>
          <w:rFonts w:ascii="Times New Roman" w:hAnsi="Times New Roman" w:cs="Times New Roman"/>
          <w:lang w:val="en-US"/>
        </w:rPr>
        <w:t xml:space="preserve">, including thinking about switching the head </w:t>
      </w:r>
      <w:r w:rsidR="001577D1" w:rsidRPr="00515DBF">
        <w:rPr>
          <w:rFonts w:ascii="Times New Roman" w:hAnsi="Times New Roman" w:cs="Times New Roman"/>
          <w:lang w:val="en-US"/>
        </w:rPr>
        <w:lastRenderedPageBreak/>
        <w:t>office to Bermuda–an emerging tax haven.</w:t>
      </w:r>
      <w:r w:rsidR="001577D1" w:rsidRPr="00515DBF">
        <w:rPr>
          <w:rStyle w:val="EndnoteReference"/>
          <w:rFonts w:ascii="Times New Roman" w:hAnsi="Times New Roman" w:cs="Times New Roman"/>
          <w:lang w:val="en-US"/>
        </w:rPr>
        <w:endnoteReference w:id="59"/>
      </w:r>
      <w:r w:rsidR="001577D1" w:rsidRPr="00515DBF">
        <w:rPr>
          <w:rFonts w:ascii="Times New Roman" w:hAnsi="Times New Roman" w:cs="Times New Roman"/>
          <w:lang w:val="en-US"/>
        </w:rPr>
        <w:t xml:space="preserve"> Alongside Bermuda, they also considered New York, Ireland, Southern Rhodesia and Northern Rhodesia.</w:t>
      </w:r>
      <w:r w:rsidR="00AD1AA6" w:rsidRPr="00515DBF">
        <w:rPr>
          <w:rStyle w:val="EndnoteReference"/>
          <w:rFonts w:ascii="Times New Roman" w:hAnsi="Times New Roman" w:cs="Times New Roman"/>
          <w:lang w:val="en-US"/>
        </w:rPr>
        <w:endnoteReference w:id="60"/>
      </w:r>
      <w:r w:rsidR="00AD1AA6" w:rsidRPr="00515DBF">
        <w:rPr>
          <w:rFonts w:ascii="Times New Roman" w:hAnsi="Times New Roman" w:cs="Times New Roman"/>
          <w:lang w:val="en-US"/>
        </w:rPr>
        <w:t xml:space="preserve"> </w:t>
      </w:r>
      <w:proofErr w:type="spellStart"/>
      <w:r w:rsidR="00422B79" w:rsidRPr="00515DBF">
        <w:rPr>
          <w:rFonts w:ascii="Times New Roman" w:hAnsi="Times New Roman" w:cs="Times New Roman"/>
          <w:lang w:val="en-US"/>
        </w:rPr>
        <w:t>Prain</w:t>
      </w:r>
      <w:proofErr w:type="spellEnd"/>
      <w:r w:rsidR="00422B79" w:rsidRPr="00515DBF">
        <w:rPr>
          <w:rFonts w:ascii="Times New Roman" w:hAnsi="Times New Roman" w:cs="Times New Roman"/>
          <w:lang w:val="en-US"/>
        </w:rPr>
        <w:t xml:space="preserve"> wrote to Hochschild dismissing both Bermuda and New York out of hand as 'wasting time'. '</w:t>
      </w:r>
      <w:r w:rsidR="00422B79" w:rsidRPr="00515DBF">
        <w:rPr>
          <w:rFonts w:ascii="Times New Roman" w:hAnsi="Times New Roman" w:cs="Times New Roman"/>
        </w:rPr>
        <w:t>These would be considered tax evasions with no possible pretence that the efficiency of the companies would be increased by such moves', he wrote.  'Any suggestion of such moves</w:t>
      </w:r>
      <w:r w:rsidR="005B7FE5" w:rsidRPr="00515DBF">
        <w:rPr>
          <w:rFonts w:ascii="Times New Roman" w:hAnsi="Times New Roman" w:cs="Times New Roman"/>
        </w:rPr>
        <w:t>', he concluded '[would] in the</w:t>
      </w:r>
      <w:r w:rsidR="00422B79" w:rsidRPr="00515DBF">
        <w:rPr>
          <w:rFonts w:ascii="Times New Roman" w:hAnsi="Times New Roman" w:cs="Times New Roman"/>
        </w:rPr>
        <w:t xml:space="preserve"> present political climate be considered frivolous</w:t>
      </w:r>
      <w:r w:rsidR="005B7FE5" w:rsidRPr="00515DBF">
        <w:rPr>
          <w:rFonts w:ascii="Times New Roman" w:hAnsi="Times New Roman" w:cs="Times New Roman"/>
        </w:rPr>
        <w:t xml:space="preserve"> and would be refused outright.'</w:t>
      </w:r>
      <w:r w:rsidR="00B62F98" w:rsidRPr="00515DBF">
        <w:rPr>
          <w:rStyle w:val="EndnoteReference"/>
          <w:rFonts w:ascii="Times New Roman" w:hAnsi="Times New Roman" w:cs="Times New Roman"/>
        </w:rPr>
        <w:endnoteReference w:id="61"/>
      </w:r>
      <w:r w:rsidR="00AC76D8" w:rsidRPr="00515DBF">
        <w:rPr>
          <w:rFonts w:ascii="Times New Roman" w:hAnsi="Times New Roman" w:cs="Times New Roman"/>
        </w:rPr>
        <w:t xml:space="preserve"> S</w:t>
      </w:r>
      <w:r w:rsidR="00AD1AA6" w:rsidRPr="00515DBF">
        <w:rPr>
          <w:rFonts w:ascii="Times New Roman" w:hAnsi="Times New Roman" w:cs="Times New Roman"/>
          <w:lang w:val="en-US"/>
        </w:rPr>
        <w:t xml:space="preserve">o, while </w:t>
      </w:r>
      <w:proofErr w:type="spellStart"/>
      <w:r w:rsidR="00AD1AA6" w:rsidRPr="00515DBF">
        <w:rPr>
          <w:rFonts w:ascii="Times New Roman" w:hAnsi="Times New Roman" w:cs="Times New Roman"/>
          <w:lang w:val="en-US"/>
        </w:rPr>
        <w:t>Prain's</w:t>
      </w:r>
      <w:proofErr w:type="spellEnd"/>
      <w:r w:rsidR="00AD1AA6" w:rsidRPr="00515DBF">
        <w:rPr>
          <w:rFonts w:ascii="Times New Roman" w:hAnsi="Times New Roman" w:cs="Times New Roman"/>
          <w:lang w:val="en-US"/>
        </w:rPr>
        <w:t xml:space="preserve"> view was more circumspect, by mid-1951 </w:t>
      </w:r>
      <w:r w:rsidR="003E118D" w:rsidRPr="00515DBF">
        <w:rPr>
          <w:rFonts w:ascii="Times New Roman" w:hAnsi="Times New Roman" w:cs="Times New Roman"/>
          <w:lang w:val="en-US"/>
        </w:rPr>
        <w:t>t</w:t>
      </w:r>
      <w:r w:rsidR="00AD1AA6" w:rsidRPr="00515DBF">
        <w:rPr>
          <w:rFonts w:ascii="Times New Roman" w:hAnsi="Times New Roman" w:cs="Times New Roman"/>
          <w:lang w:val="en-US"/>
        </w:rPr>
        <w:t>he A</w:t>
      </w:r>
      <w:r w:rsidR="00117FB9" w:rsidRPr="00515DBF">
        <w:rPr>
          <w:rFonts w:ascii="Times New Roman" w:hAnsi="Times New Roman" w:cs="Times New Roman"/>
          <w:lang w:val="en-US"/>
        </w:rPr>
        <w:t>MC</w:t>
      </w:r>
      <w:r w:rsidR="00116CA8" w:rsidRPr="00515DBF">
        <w:rPr>
          <w:rFonts w:ascii="Times New Roman" w:hAnsi="Times New Roman" w:cs="Times New Roman"/>
          <w:lang w:val="en-US"/>
        </w:rPr>
        <w:t>O</w:t>
      </w:r>
      <w:r w:rsidR="00AD1AA6" w:rsidRPr="00515DBF">
        <w:rPr>
          <w:rFonts w:ascii="Times New Roman" w:hAnsi="Times New Roman" w:cs="Times New Roman"/>
          <w:lang w:val="en-US"/>
        </w:rPr>
        <w:t xml:space="preserve"> position was that a domicile in Northern Rhodesia would be preferable.</w:t>
      </w:r>
      <w:r w:rsidR="00AD1AA6" w:rsidRPr="00515DBF">
        <w:rPr>
          <w:rStyle w:val="EndnoteReference"/>
          <w:rFonts w:ascii="Times New Roman" w:hAnsi="Times New Roman" w:cs="Times New Roman"/>
          <w:lang w:val="en-US"/>
        </w:rPr>
        <w:endnoteReference w:id="62"/>
      </w:r>
      <w:r w:rsidR="00AD1AA6" w:rsidRPr="00515DBF">
        <w:rPr>
          <w:rFonts w:ascii="Times New Roman" w:hAnsi="Times New Roman" w:cs="Times New Roman"/>
          <w:lang w:val="en-US"/>
        </w:rPr>
        <w:t xml:space="preserve"> </w:t>
      </w:r>
    </w:p>
    <w:p w14:paraId="24C56030" w14:textId="67EC2634" w:rsidR="00422B79" w:rsidRPr="00515DBF" w:rsidRDefault="00AC76D8" w:rsidP="005F7748">
      <w:pPr>
        <w:spacing w:line="480" w:lineRule="auto"/>
        <w:jc w:val="both"/>
        <w:rPr>
          <w:rFonts w:ascii="Times New Roman" w:hAnsi="Times New Roman" w:cs="Times New Roman"/>
        </w:rPr>
      </w:pPr>
      <w:r w:rsidRPr="00515DBF">
        <w:rPr>
          <w:rFonts w:ascii="Times New Roman" w:hAnsi="Times New Roman" w:cs="Times New Roman"/>
          <w:lang w:val="en-US"/>
        </w:rPr>
        <w:tab/>
      </w:r>
      <w:proofErr w:type="spellStart"/>
      <w:r w:rsidR="00AD1AA6" w:rsidRPr="00515DBF">
        <w:rPr>
          <w:rFonts w:ascii="Times New Roman" w:hAnsi="Times New Roman" w:cs="Times New Roman"/>
          <w:lang w:val="en-US"/>
        </w:rPr>
        <w:t>Prain's</w:t>
      </w:r>
      <w:proofErr w:type="spellEnd"/>
      <w:r w:rsidR="00AD1AA6" w:rsidRPr="00515DBF">
        <w:rPr>
          <w:rFonts w:ascii="Times New Roman" w:hAnsi="Times New Roman" w:cs="Times New Roman"/>
          <w:lang w:val="en-US"/>
        </w:rPr>
        <w:t xml:space="preserve"> view began to shift from mid 1951 onwards. First of all</w:t>
      </w:r>
      <w:r w:rsidR="00116CA8" w:rsidRPr="00515DBF">
        <w:rPr>
          <w:rFonts w:ascii="Times New Roman" w:hAnsi="Times New Roman" w:cs="Times New Roman"/>
          <w:lang w:val="en-US"/>
        </w:rPr>
        <w:t>,</w:t>
      </w:r>
      <w:r w:rsidR="00AD1AA6" w:rsidRPr="00515DBF">
        <w:rPr>
          <w:rFonts w:ascii="Times New Roman" w:hAnsi="Times New Roman" w:cs="Times New Roman"/>
          <w:lang w:val="en-US"/>
        </w:rPr>
        <w:t xml:space="preserve"> proposed ch</w:t>
      </w:r>
      <w:r w:rsidR="003E118D" w:rsidRPr="00515DBF">
        <w:rPr>
          <w:rFonts w:ascii="Times New Roman" w:hAnsi="Times New Roman" w:cs="Times New Roman"/>
          <w:lang w:val="en-US"/>
        </w:rPr>
        <w:t xml:space="preserve">anges to legislation </w:t>
      </w:r>
      <w:r w:rsidRPr="00515DBF">
        <w:rPr>
          <w:rFonts w:ascii="Times New Roman" w:hAnsi="Times New Roman" w:cs="Times New Roman"/>
          <w:lang w:val="en-US"/>
        </w:rPr>
        <w:t xml:space="preserve">relating to government control over the ability of corporations to shift domicile </w:t>
      </w:r>
      <w:r w:rsidR="003E118D" w:rsidRPr="00515DBF">
        <w:rPr>
          <w:rFonts w:ascii="Times New Roman" w:hAnsi="Times New Roman" w:cs="Times New Roman"/>
          <w:lang w:val="en-US"/>
        </w:rPr>
        <w:t xml:space="preserve">evidently </w:t>
      </w:r>
      <w:r w:rsidR="00AD1AA6" w:rsidRPr="00515DBF">
        <w:rPr>
          <w:rFonts w:ascii="Times New Roman" w:hAnsi="Times New Roman" w:cs="Times New Roman"/>
          <w:lang w:val="en-US"/>
        </w:rPr>
        <w:t>caused consternation</w:t>
      </w:r>
      <w:r w:rsidR="003E118D" w:rsidRPr="00515DBF">
        <w:rPr>
          <w:rFonts w:ascii="Times New Roman" w:hAnsi="Times New Roman" w:cs="Times New Roman"/>
          <w:lang w:val="en-US"/>
        </w:rPr>
        <w:t xml:space="preserve"> in the mining sector as a whole</w:t>
      </w:r>
      <w:r w:rsidRPr="00515DBF">
        <w:rPr>
          <w:rFonts w:ascii="Times New Roman" w:hAnsi="Times New Roman" w:cs="Times New Roman"/>
          <w:lang w:val="en-US"/>
        </w:rPr>
        <w:t xml:space="preserve">. </w:t>
      </w:r>
      <w:r w:rsidR="00116CA8" w:rsidRPr="00515DBF">
        <w:rPr>
          <w:rFonts w:ascii="Times New Roman" w:hAnsi="Times New Roman" w:cs="Times New Roman"/>
          <w:lang w:val="en-US"/>
        </w:rPr>
        <w:t>T</w:t>
      </w:r>
      <w:r w:rsidR="00AD1AA6" w:rsidRPr="00515DBF">
        <w:rPr>
          <w:rFonts w:ascii="Times New Roman" w:hAnsi="Times New Roman" w:cs="Times New Roman"/>
          <w:lang w:val="en-US"/>
        </w:rPr>
        <w:t>he British Overseas Mining Association–a special interest group</w:t>
      </w:r>
      <w:r w:rsidR="007A070B">
        <w:rPr>
          <w:rFonts w:ascii="Times New Roman" w:hAnsi="Times New Roman" w:cs="Times New Roman"/>
          <w:lang w:val="en-US"/>
        </w:rPr>
        <w:t xml:space="preserve"> chaired by </w:t>
      </w:r>
      <w:proofErr w:type="spellStart"/>
      <w:r w:rsidR="007A070B">
        <w:rPr>
          <w:rFonts w:ascii="Times New Roman" w:hAnsi="Times New Roman" w:cs="Times New Roman"/>
          <w:lang w:val="en-US"/>
        </w:rPr>
        <w:t>Prain</w:t>
      </w:r>
      <w:proofErr w:type="spellEnd"/>
      <w:r w:rsidR="00AD1AA6" w:rsidRPr="00515DBF">
        <w:rPr>
          <w:rFonts w:ascii="Times New Roman" w:hAnsi="Times New Roman" w:cs="Times New Roman"/>
          <w:lang w:val="en-US"/>
        </w:rPr>
        <w:t>–</w:t>
      </w:r>
      <w:r w:rsidR="00AD51A0" w:rsidRPr="00515DBF">
        <w:rPr>
          <w:rFonts w:ascii="Times New Roman" w:hAnsi="Times New Roman" w:cs="Times New Roman"/>
          <w:lang w:val="en-US"/>
        </w:rPr>
        <w:t>was</w:t>
      </w:r>
      <w:r w:rsidR="00AD1AA6" w:rsidRPr="00515DBF">
        <w:rPr>
          <w:rFonts w:ascii="Times New Roman" w:hAnsi="Times New Roman" w:cs="Times New Roman"/>
          <w:lang w:val="en-US"/>
        </w:rPr>
        <w:t xml:space="preserve"> engaged in lobbying against the powers proposed in the bill </w:t>
      </w:r>
      <w:r w:rsidR="003E118D" w:rsidRPr="00515DBF">
        <w:rPr>
          <w:rFonts w:ascii="Times New Roman" w:hAnsi="Times New Roman" w:cs="Times New Roman"/>
          <w:lang w:val="en-US"/>
        </w:rPr>
        <w:t>that</w:t>
      </w:r>
      <w:r w:rsidR="00AD1AA6" w:rsidRPr="00515DBF">
        <w:rPr>
          <w:rFonts w:ascii="Times New Roman" w:hAnsi="Times New Roman" w:cs="Times New Roman"/>
          <w:lang w:val="en-US"/>
        </w:rPr>
        <w:t xml:space="preserve"> led eventually to Section 468.</w:t>
      </w:r>
      <w:r w:rsidR="003E118D" w:rsidRPr="00515DBF">
        <w:rPr>
          <w:rStyle w:val="EndnoteReference"/>
          <w:rFonts w:ascii="Times New Roman" w:hAnsi="Times New Roman" w:cs="Times New Roman"/>
          <w:lang w:val="en-US"/>
        </w:rPr>
        <w:endnoteReference w:id="63"/>
      </w:r>
      <w:r w:rsidR="00AD1AA6" w:rsidRPr="00515DBF">
        <w:rPr>
          <w:rFonts w:ascii="Times New Roman" w:hAnsi="Times New Roman" w:cs="Times New Roman"/>
          <w:lang w:val="en-US"/>
        </w:rPr>
        <w:t xml:space="preserve"> </w:t>
      </w:r>
      <w:r w:rsidR="007A070B">
        <w:rPr>
          <w:rFonts w:ascii="Times New Roman" w:hAnsi="Times New Roman" w:cs="Times New Roman"/>
          <w:lang w:val="en-US"/>
        </w:rPr>
        <w:t>He</w:t>
      </w:r>
      <w:r w:rsidR="007A070B" w:rsidRPr="00515DBF">
        <w:rPr>
          <w:rFonts w:ascii="Times New Roman" w:hAnsi="Times New Roman" w:cs="Times New Roman"/>
          <w:lang w:val="en-US"/>
        </w:rPr>
        <w:t xml:space="preserve"> </w:t>
      </w:r>
      <w:r w:rsidR="003E118D" w:rsidRPr="00515DBF">
        <w:rPr>
          <w:rFonts w:ascii="Times New Roman" w:hAnsi="Times New Roman" w:cs="Times New Roman"/>
          <w:lang w:val="en-US"/>
        </w:rPr>
        <w:t xml:space="preserve">considered the bill to be 'the first </w:t>
      </w:r>
      <w:r w:rsidR="00224B98" w:rsidRPr="00515DBF">
        <w:rPr>
          <w:rFonts w:ascii="Times New Roman" w:hAnsi="Times New Roman" w:cs="Times New Roman"/>
          <w:lang w:val="en-US"/>
        </w:rPr>
        <w:t>departure</w:t>
      </w:r>
      <w:r w:rsidR="003E118D" w:rsidRPr="00515DBF">
        <w:rPr>
          <w:rFonts w:ascii="Times New Roman" w:hAnsi="Times New Roman" w:cs="Times New Roman"/>
          <w:lang w:val="en-US"/>
        </w:rPr>
        <w:t xml:space="preserve"> in the field of business freedom from the basic principles of Magna Carta.'</w:t>
      </w:r>
      <w:r w:rsidR="003E118D" w:rsidRPr="00515DBF">
        <w:rPr>
          <w:rStyle w:val="EndnoteReference"/>
          <w:rFonts w:ascii="Times New Roman" w:hAnsi="Times New Roman" w:cs="Times New Roman"/>
          <w:lang w:val="en-US"/>
        </w:rPr>
        <w:endnoteReference w:id="64"/>
      </w:r>
      <w:r w:rsidR="003E118D" w:rsidRPr="00515DBF">
        <w:rPr>
          <w:rFonts w:ascii="Times New Roman" w:hAnsi="Times New Roman" w:cs="Times New Roman"/>
          <w:lang w:val="en-US"/>
        </w:rPr>
        <w:t xml:space="preserve">, which–while perhaps overly dramatic–indicates the skepticism that some quarters of the business community had in relation to the post-war </w:t>
      </w:r>
      <w:proofErr w:type="spellStart"/>
      <w:r w:rsidR="003E118D" w:rsidRPr="00515DBF">
        <w:rPr>
          <w:rFonts w:ascii="Times New Roman" w:hAnsi="Times New Roman" w:cs="Times New Roman"/>
          <w:lang w:val="en-US"/>
        </w:rPr>
        <w:t>Labour</w:t>
      </w:r>
      <w:proofErr w:type="spellEnd"/>
      <w:r w:rsidR="003E118D" w:rsidRPr="00515DBF">
        <w:rPr>
          <w:rFonts w:ascii="Times New Roman" w:hAnsi="Times New Roman" w:cs="Times New Roman"/>
          <w:lang w:val="en-US"/>
        </w:rPr>
        <w:t xml:space="preserve"> government. </w:t>
      </w:r>
      <w:proofErr w:type="spellStart"/>
      <w:r w:rsidR="00AD1AA6" w:rsidRPr="00515DBF">
        <w:rPr>
          <w:rFonts w:ascii="Times New Roman" w:hAnsi="Times New Roman" w:cs="Times New Roman"/>
          <w:lang w:val="en-US"/>
        </w:rPr>
        <w:t>Prain</w:t>
      </w:r>
      <w:proofErr w:type="spellEnd"/>
      <w:r w:rsidR="00AD1AA6" w:rsidRPr="00515DBF">
        <w:rPr>
          <w:rFonts w:ascii="Times New Roman" w:hAnsi="Times New Roman" w:cs="Times New Roman"/>
          <w:lang w:val="en-US"/>
        </w:rPr>
        <w:t xml:space="preserve"> was scathing</w:t>
      </w:r>
      <w:r w:rsidR="00C57F6C" w:rsidRPr="00515DBF">
        <w:rPr>
          <w:rFonts w:ascii="Times New Roman" w:hAnsi="Times New Roman" w:cs="Times New Roman"/>
          <w:lang w:val="en-US"/>
        </w:rPr>
        <w:t xml:space="preserve"> </w:t>
      </w:r>
      <w:r w:rsidR="003E118D" w:rsidRPr="00515DBF">
        <w:rPr>
          <w:rFonts w:ascii="Times New Roman" w:hAnsi="Times New Roman" w:cs="Times New Roman"/>
          <w:lang w:val="en-US"/>
        </w:rPr>
        <w:t>in his assessment:</w:t>
      </w:r>
    </w:p>
    <w:p w14:paraId="5DF210C0" w14:textId="77777777" w:rsidR="00AD1AA6" w:rsidRPr="00515DBF" w:rsidRDefault="00AD1AA6" w:rsidP="005F7748">
      <w:pPr>
        <w:spacing w:line="480" w:lineRule="auto"/>
        <w:jc w:val="both"/>
        <w:rPr>
          <w:rFonts w:ascii="Times New Roman" w:hAnsi="Times New Roman" w:cs="Times New Roman"/>
          <w:lang w:val="en-US"/>
        </w:rPr>
      </w:pPr>
    </w:p>
    <w:p w14:paraId="6DB9CE4E" w14:textId="4E246C2E" w:rsidR="00C57F6C" w:rsidRPr="00515DBF" w:rsidRDefault="00C57F6C" w:rsidP="00C57F6C">
      <w:pPr>
        <w:spacing w:line="480" w:lineRule="auto"/>
        <w:ind w:left="567"/>
        <w:jc w:val="both"/>
        <w:rPr>
          <w:rFonts w:ascii="Times New Roman" w:hAnsi="Times New Roman" w:cs="Times New Roman"/>
          <w:lang w:val="en-US"/>
        </w:rPr>
      </w:pPr>
      <w:r w:rsidRPr="00515DBF">
        <w:rPr>
          <w:rFonts w:ascii="Times New Roman" w:hAnsi="Times New Roman" w:cs="Times New Roman"/>
          <w:lang w:val="en-US"/>
        </w:rPr>
        <w:t xml:space="preserve">It is impossible to retain any respect for a </w:t>
      </w:r>
      <w:proofErr w:type="gramStart"/>
      <w:r w:rsidRPr="00515DBF">
        <w:rPr>
          <w:rFonts w:ascii="Times New Roman" w:hAnsi="Times New Roman" w:cs="Times New Roman"/>
          <w:lang w:val="en-US"/>
        </w:rPr>
        <w:t>government which</w:t>
      </w:r>
      <w:proofErr w:type="gramEnd"/>
      <w:r w:rsidRPr="00515DBF">
        <w:rPr>
          <w:rFonts w:ascii="Times New Roman" w:hAnsi="Times New Roman" w:cs="Times New Roman"/>
          <w:lang w:val="en-US"/>
        </w:rPr>
        <w:t xml:space="preserve"> acts in this way. ... Government Departments we have talked to appear to assume that the Bill merely seeks to make it statutory to obtain Treasury consent and that such consent would be forthcoming. It is difficult to follow this reasoning because, in that case, why produce a Bill at all?</w:t>
      </w:r>
      <w:r w:rsidR="003E118D" w:rsidRPr="00515DBF">
        <w:rPr>
          <w:rStyle w:val="EndnoteReference"/>
          <w:rFonts w:ascii="Times New Roman" w:hAnsi="Times New Roman" w:cs="Times New Roman"/>
          <w:lang w:val="en-US"/>
        </w:rPr>
        <w:endnoteReference w:id="65"/>
      </w:r>
    </w:p>
    <w:p w14:paraId="530B25E6" w14:textId="77777777" w:rsidR="00C57F6C" w:rsidRPr="00515DBF" w:rsidRDefault="00C57F6C" w:rsidP="005F7748">
      <w:pPr>
        <w:spacing w:line="480" w:lineRule="auto"/>
        <w:jc w:val="both"/>
        <w:rPr>
          <w:rFonts w:ascii="Times New Roman" w:hAnsi="Times New Roman" w:cs="Times New Roman"/>
          <w:lang w:val="en-US"/>
        </w:rPr>
      </w:pPr>
    </w:p>
    <w:p w14:paraId="72A040B6" w14:textId="4DB090F9" w:rsidR="00224B98" w:rsidRPr="00515DBF" w:rsidRDefault="00224B98" w:rsidP="005F7748">
      <w:pPr>
        <w:spacing w:line="480" w:lineRule="auto"/>
        <w:jc w:val="both"/>
        <w:rPr>
          <w:rFonts w:ascii="Times New Roman" w:hAnsi="Times New Roman" w:cs="Times New Roman"/>
        </w:rPr>
      </w:pPr>
      <w:r w:rsidRPr="00515DBF">
        <w:rPr>
          <w:rFonts w:ascii="Times New Roman" w:hAnsi="Times New Roman" w:cs="Times New Roman"/>
          <w:lang w:val="en-US"/>
        </w:rPr>
        <w:t xml:space="preserve">Notwithstanding this, at this time </w:t>
      </w:r>
      <w:proofErr w:type="spellStart"/>
      <w:r w:rsidRPr="00515DBF">
        <w:rPr>
          <w:rFonts w:ascii="Times New Roman" w:hAnsi="Times New Roman" w:cs="Times New Roman"/>
          <w:lang w:val="en-US"/>
        </w:rPr>
        <w:t>Prain</w:t>
      </w:r>
      <w:proofErr w:type="spellEnd"/>
      <w:r w:rsidRPr="00515DBF">
        <w:rPr>
          <w:rFonts w:ascii="Times New Roman" w:hAnsi="Times New Roman" w:cs="Times New Roman"/>
          <w:lang w:val="en-US"/>
        </w:rPr>
        <w:t xml:space="preserve"> was </w:t>
      </w:r>
      <w:r w:rsidR="001425D7" w:rsidRPr="00515DBF">
        <w:rPr>
          <w:rFonts w:ascii="Times New Roman" w:hAnsi="Times New Roman" w:cs="Times New Roman"/>
          <w:lang w:val="en-US"/>
        </w:rPr>
        <w:t>against</w:t>
      </w:r>
      <w:r w:rsidRPr="00515DBF">
        <w:rPr>
          <w:rFonts w:ascii="Times New Roman" w:hAnsi="Times New Roman" w:cs="Times New Roman"/>
          <w:lang w:val="en-US"/>
        </w:rPr>
        <w:t xml:space="preserve"> shifting domicile on tax grounds, writing that '</w:t>
      </w:r>
      <w:r w:rsidRPr="00515DBF">
        <w:rPr>
          <w:rFonts w:ascii="Times New Roman" w:hAnsi="Times New Roman" w:cs="Times New Roman"/>
        </w:rPr>
        <w:t>we still have no recommendation other than we should stay here [in the UK].'</w:t>
      </w:r>
      <w:r w:rsidRPr="00515DBF">
        <w:rPr>
          <w:rStyle w:val="EndnoteReference"/>
          <w:rFonts w:ascii="Times New Roman" w:hAnsi="Times New Roman" w:cs="Times New Roman"/>
          <w:lang w:val="en-US"/>
        </w:rPr>
        <w:endnoteReference w:id="66"/>
      </w:r>
      <w:r w:rsidRPr="00515DBF">
        <w:rPr>
          <w:rFonts w:ascii="Times New Roman" w:hAnsi="Times New Roman" w:cs="Times New Roman"/>
        </w:rPr>
        <w:t xml:space="preserve"> </w:t>
      </w:r>
    </w:p>
    <w:p w14:paraId="15A7E5F8" w14:textId="6656F18E" w:rsidR="00224B98" w:rsidRPr="00515DBF" w:rsidRDefault="00224B98" w:rsidP="00224B98">
      <w:pPr>
        <w:spacing w:line="480" w:lineRule="auto"/>
        <w:jc w:val="both"/>
        <w:rPr>
          <w:rFonts w:ascii="Times New Roman" w:hAnsi="Times New Roman" w:cs="Times New Roman"/>
        </w:rPr>
      </w:pPr>
      <w:r w:rsidRPr="00515DBF">
        <w:rPr>
          <w:rFonts w:ascii="Times New Roman" w:hAnsi="Times New Roman" w:cs="Times New Roman"/>
        </w:rPr>
        <w:tab/>
        <w:t>Hochschild took a different view. 'May it not be wiser', he wrote, '</w:t>
      </w:r>
      <w:r w:rsidRPr="00515DBF">
        <w:rPr>
          <w:rFonts w:ascii="Times New Roman" w:hAnsi="Times New Roman" w:cs="Times New Roman"/>
          <w:lang w:val="en-US"/>
        </w:rPr>
        <w:t xml:space="preserve">to move while </w:t>
      </w:r>
      <w:r w:rsidR="00EE28C3" w:rsidRPr="00515DBF">
        <w:rPr>
          <w:rFonts w:ascii="Times New Roman" w:hAnsi="Times New Roman" w:cs="Times New Roman"/>
          <w:lang w:val="en-US"/>
        </w:rPr>
        <w:t xml:space="preserve">[the] </w:t>
      </w:r>
      <w:r w:rsidR="00116CA8" w:rsidRPr="00515DBF">
        <w:rPr>
          <w:rFonts w:ascii="Times New Roman" w:hAnsi="Times New Roman" w:cs="Times New Roman"/>
          <w:lang w:val="en-US"/>
        </w:rPr>
        <w:t xml:space="preserve">gate </w:t>
      </w:r>
      <w:r w:rsidR="00EE28C3" w:rsidRPr="00515DBF">
        <w:rPr>
          <w:rFonts w:ascii="Times New Roman" w:hAnsi="Times New Roman" w:cs="Times New Roman"/>
          <w:lang w:val="en-US"/>
        </w:rPr>
        <w:t xml:space="preserve">[is] </w:t>
      </w:r>
      <w:r w:rsidRPr="00515DBF">
        <w:rPr>
          <w:rFonts w:ascii="Times New Roman" w:hAnsi="Times New Roman" w:cs="Times New Roman"/>
          <w:lang w:val="en-US"/>
        </w:rPr>
        <w:t>still open and deal now with grave practical problems rather than be forced to try to do it in two or three years meantime having lost several million pounds in double taxation'?</w:t>
      </w:r>
      <w:r w:rsidRPr="00515DBF">
        <w:rPr>
          <w:rStyle w:val="EndnoteReference"/>
          <w:rFonts w:ascii="Times New Roman" w:hAnsi="Times New Roman" w:cs="Times New Roman"/>
          <w:lang w:val="en-US"/>
        </w:rPr>
        <w:endnoteReference w:id="67"/>
      </w:r>
      <w:r w:rsidR="00A24A76" w:rsidRPr="00515DBF">
        <w:rPr>
          <w:rFonts w:ascii="Times New Roman" w:hAnsi="Times New Roman" w:cs="Times New Roman"/>
          <w:lang w:val="en-US"/>
        </w:rPr>
        <w:t xml:space="preserve"> </w:t>
      </w:r>
      <w:r w:rsidR="0073272F" w:rsidRPr="00515DBF">
        <w:rPr>
          <w:rFonts w:ascii="Times New Roman" w:hAnsi="Times New Roman" w:cs="Times New Roman"/>
          <w:lang w:val="en-US"/>
        </w:rPr>
        <w:t xml:space="preserve">Across the </w:t>
      </w:r>
      <w:proofErr w:type="gramStart"/>
      <w:r w:rsidR="0073272F" w:rsidRPr="00515DBF">
        <w:rPr>
          <w:rFonts w:ascii="Times New Roman" w:hAnsi="Times New Roman" w:cs="Times New Roman"/>
          <w:lang w:val="en-US"/>
        </w:rPr>
        <w:t>Autumn</w:t>
      </w:r>
      <w:proofErr w:type="gramEnd"/>
      <w:r w:rsidR="0073272F" w:rsidRPr="00515DBF">
        <w:rPr>
          <w:rFonts w:ascii="Times New Roman" w:hAnsi="Times New Roman" w:cs="Times New Roman"/>
          <w:lang w:val="en-US"/>
        </w:rPr>
        <w:t xml:space="preserve"> of 1951 the two men continued the discussion about the optimal course of action. Eventually </w:t>
      </w:r>
      <w:proofErr w:type="spellStart"/>
      <w:r w:rsidR="0073272F" w:rsidRPr="00515DBF">
        <w:rPr>
          <w:rFonts w:ascii="Times New Roman" w:hAnsi="Times New Roman" w:cs="Times New Roman"/>
          <w:lang w:val="en-US"/>
        </w:rPr>
        <w:t>Prain</w:t>
      </w:r>
      <w:proofErr w:type="spellEnd"/>
      <w:r w:rsidR="0073272F" w:rsidRPr="00515DBF">
        <w:rPr>
          <w:rFonts w:ascii="Times New Roman" w:hAnsi="Times New Roman" w:cs="Times New Roman"/>
          <w:lang w:val="en-US"/>
        </w:rPr>
        <w:t xml:space="preserve"> shifted his position</w:t>
      </w:r>
      <w:r w:rsidR="00887C4B" w:rsidRPr="00515DBF">
        <w:rPr>
          <w:rFonts w:ascii="Times New Roman" w:hAnsi="Times New Roman" w:cs="Times New Roman"/>
          <w:lang w:val="en-US"/>
        </w:rPr>
        <w:t>, at face value</w:t>
      </w:r>
      <w:r w:rsidR="0073272F" w:rsidRPr="00515DBF">
        <w:rPr>
          <w:rFonts w:ascii="Times New Roman" w:hAnsi="Times New Roman" w:cs="Times New Roman"/>
          <w:lang w:val="en-US"/>
        </w:rPr>
        <w:t xml:space="preserve"> based on </w:t>
      </w:r>
      <w:r w:rsidR="007F72FE" w:rsidRPr="00515DBF">
        <w:rPr>
          <w:rFonts w:ascii="Times New Roman" w:hAnsi="Times New Roman" w:cs="Times New Roman"/>
          <w:lang w:val="en-US"/>
        </w:rPr>
        <w:t xml:space="preserve">two changing political contexts. The first was </w:t>
      </w:r>
      <w:r w:rsidR="00887C4B" w:rsidRPr="00515DBF">
        <w:rPr>
          <w:rFonts w:ascii="Times New Roman" w:hAnsi="Times New Roman" w:cs="Times New Roman"/>
          <w:lang w:val="en-US"/>
        </w:rPr>
        <w:t>in</w:t>
      </w:r>
      <w:r w:rsidR="007F72FE" w:rsidRPr="00515DBF">
        <w:rPr>
          <w:rFonts w:ascii="Times New Roman" w:hAnsi="Times New Roman" w:cs="Times New Roman"/>
          <w:lang w:val="en-US"/>
        </w:rPr>
        <w:t xml:space="preserve"> the UK. Reflecting on the impending General Election in the Autumn of 1951, </w:t>
      </w:r>
      <w:proofErr w:type="spellStart"/>
      <w:r w:rsidR="007F72FE" w:rsidRPr="00515DBF">
        <w:rPr>
          <w:rFonts w:ascii="Times New Roman" w:hAnsi="Times New Roman" w:cs="Times New Roman"/>
          <w:lang w:val="en-US"/>
        </w:rPr>
        <w:t>Prain</w:t>
      </w:r>
      <w:proofErr w:type="spellEnd"/>
      <w:r w:rsidR="007F72FE" w:rsidRPr="00515DBF">
        <w:rPr>
          <w:rFonts w:ascii="Times New Roman" w:hAnsi="Times New Roman" w:cs="Times New Roman"/>
          <w:lang w:val="en-US"/>
        </w:rPr>
        <w:t xml:space="preserve"> wrote that '</w:t>
      </w:r>
      <w:r w:rsidR="007F72FE" w:rsidRPr="00515DBF">
        <w:rPr>
          <w:rFonts w:ascii="Times New Roman" w:hAnsi="Times New Roman" w:cs="Times New Roman"/>
        </w:rPr>
        <w:t xml:space="preserve">if a Labour government is returned, it will be </w:t>
      </w:r>
      <w:r w:rsidR="007F72FE" w:rsidRPr="00F90252">
        <w:rPr>
          <w:rFonts w:ascii="Times New Roman" w:hAnsi="Times New Roman" w:cs="Times New Roman"/>
          <w:i/>
        </w:rPr>
        <w:t>prima facie</w:t>
      </w:r>
      <w:r w:rsidR="007F72FE" w:rsidRPr="00515DBF">
        <w:rPr>
          <w:rFonts w:ascii="Times New Roman" w:hAnsi="Times New Roman" w:cs="Times New Roman"/>
        </w:rPr>
        <w:t xml:space="preserve"> reason for seeking to change domicile, although it may be very difficult to effect, whereas if a Conservative Government is returned this be a </w:t>
      </w:r>
      <w:r w:rsidR="007F72FE" w:rsidRPr="00F90252">
        <w:rPr>
          <w:rFonts w:ascii="Times New Roman" w:hAnsi="Times New Roman" w:cs="Times New Roman"/>
          <w:i/>
        </w:rPr>
        <w:t>prima facie</w:t>
      </w:r>
      <w:r w:rsidR="007F72FE" w:rsidRPr="00515DBF">
        <w:rPr>
          <w:rFonts w:ascii="Times New Roman" w:hAnsi="Times New Roman" w:cs="Times New Roman"/>
        </w:rPr>
        <w:t xml:space="preserve"> reason for staying in England, although probably it will be easier to move domicile'.</w:t>
      </w:r>
      <w:r w:rsidR="007F72FE" w:rsidRPr="00515DBF">
        <w:rPr>
          <w:rStyle w:val="EndnoteReference"/>
          <w:rFonts w:ascii="Times New Roman" w:hAnsi="Times New Roman" w:cs="Times New Roman"/>
        </w:rPr>
        <w:t xml:space="preserve"> </w:t>
      </w:r>
      <w:r w:rsidR="007F72FE" w:rsidRPr="00515DBF">
        <w:rPr>
          <w:rStyle w:val="EndnoteReference"/>
          <w:rFonts w:ascii="Times New Roman" w:hAnsi="Times New Roman" w:cs="Times New Roman"/>
        </w:rPr>
        <w:endnoteReference w:id="68"/>
      </w:r>
      <w:r w:rsidR="007F72FE" w:rsidRPr="00515DBF">
        <w:rPr>
          <w:rFonts w:ascii="Times New Roman" w:hAnsi="Times New Roman" w:cs="Times New Roman"/>
        </w:rPr>
        <w:t xml:space="preserve"> The reason he gave being that he expected the regulations relating to domicile switching to be slackened in the event of a Conservative government.</w:t>
      </w:r>
      <w:r w:rsidR="007F72FE" w:rsidRPr="00515DBF">
        <w:rPr>
          <w:rStyle w:val="EndnoteReference"/>
          <w:rFonts w:ascii="Times New Roman" w:hAnsi="Times New Roman" w:cs="Times New Roman"/>
        </w:rPr>
        <w:endnoteReference w:id="69"/>
      </w:r>
      <w:r w:rsidR="007F72FE" w:rsidRPr="00515DBF">
        <w:rPr>
          <w:rFonts w:ascii="Times New Roman" w:hAnsi="Times New Roman" w:cs="Times New Roman"/>
        </w:rPr>
        <w:t xml:space="preserve"> Though a Conservative government was elected in October 1951, it did not result in the regulations changing. The second reason was related to the</w:t>
      </w:r>
      <w:r w:rsidR="00887C4B" w:rsidRPr="00515DBF">
        <w:rPr>
          <w:rFonts w:ascii="Times New Roman" w:hAnsi="Times New Roman" w:cs="Times New Roman"/>
        </w:rPr>
        <w:t xml:space="preserve"> politics in Northern Rhodesia:</w:t>
      </w:r>
    </w:p>
    <w:p w14:paraId="4A90490E" w14:textId="77777777" w:rsidR="00887C4B" w:rsidRPr="00515DBF" w:rsidRDefault="00887C4B" w:rsidP="00224B98">
      <w:pPr>
        <w:spacing w:line="480" w:lineRule="auto"/>
        <w:jc w:val="both"/>
        <w:rPr>
          <w:rFonts w:ascii="Times New Roman" w:hAnsi="Times New Roman" w:cs="Times New Roman"/>
        </w:rPr>
      </w:pPr>
    </w:p>
    <w:p w14:paraId="2F56D52B" w14:textId="3CAAF15E" w:rsidR="00887C4B" w:rsidRPr="00515DBF" w:rsidRDefault="00887C4B" w:rsidP="00887C4B">
      <w:pPr>
        <w:spacing w:line="480" w:lineRule="auto"/>
        <w:ind w:left="567"/>
        <w:jc w:val="both"/>
        <w:rPr>
          <w:rFonts w:ascii="Times New Roman" w:hAnsi="Times New Roman" w:cs="Times New Roman"/>
          <w:lang w:val="en-US"/>
        </w:rPr>
      </w:pPr>
      <w:r w:rsidRPr="00515DBF">
        <w:rPr>
          <w:rFonts w:ascii="Times New Roman" w:hAnsi="Times New Roman" w:cs="Times New Roman"/>
          <w:lang w:val="en-US"/>
        </w:rPr>
        <w:t>The most important of the factors is the future political set-up in this territory. We took our stand on domicile last year on political grounds, and have no reason to think that we were wrong. The political position seems to us to be of extreme importan</w:t>
      </w:r>
      <w:r w:rsidR="00EA3D5D">
        <w:rPr>
          <w:rFonts w:ascii="Times New Roman" w:hAnsi="Times New Roman" w:cs="Times New Roman"/>
          <w:lang w:val="en-US"/>
        </w:rPr>
        <w:t>ce</w:t>
      </w:r>
      <w:r w:rsidRPr="00515DBF">
        <w:rPr>
          <w:rFonts w:ascii="Times New Roman" w:hAnsi="Times New Roman" w:cs="Times New Roman"/>
          <w:lang w:val="en-US"/>
        </w:rPr>
        <w:t xml:space="preserve">, and to over-ride the tax considerations, </w:t>
      </w:r>
      <w:r w:rsidRPr="00515DBF">
        <w:rPr>
          <w:rFonts w:ascii="Times New Roman" w:hAnsi="Times New Roman" w:cs="Times New Roman"/>
          <w:lang w:val="en-US"/>
        </w:rPr>
        <w:lastRenderedPageBreak/>
        <w:t xml:space="preserve">which are important in the short-run but not always in the </w:t>
      </w:r>
      <w:proofErr w:type="gramStart"/>
      <w:r w:rsidRPr="00515DBF">
        <w:rPr>
          <w:rFonts w:ascii="Times New Roman" w:hAnsi="Times New Roman" w:cs="Times New Roman"/>
          <w:lang w:val="en-US"/>
        </w:rPr>
        <w:t>long-run</w:t>
      </w:r>
      <w:proofErr w:type="gramEnd"/>
      <w:r w:rsidRPr="00515DBF">
        <w:rPr>
          <w:rFonts w:ascii="Times New Roman" w:hAnsi="Times New Roman" w:cs="Times New Roman"/>
          <w:lang w:val="en-US"/>
        </w:rPr>
        <w:t xml:space="preserve">. .... </w:t>
      </w:r>
      <w:proofErr w:type="gramStart"/>
      <w:r w:rsidRPr="00515DBF">
        <w:rPr>
          <w:rFonts w:ascii="Times New Roman" w:hAnsi="Times New Roman" w:cs="Times New Roman"/>
          <w:lang w:val="en-US"/>
        </w:rPr>
        <w:t>it</w:t>
      </w:r>
      <w:proofErr w:type="gramEnd"/>
      <w:r w:rsidRPr="00515DBF">
        <w:rPr>
          <w:rFonts w:ascii="Times New Roman" w:hAnsi="Times New Roman" w:cs="Times New Roman"/>
          <w:lang w:val="en-US"/>
        </w:rPr>
        <w:t xml:space="preserve"> would achieve nothing to move domicile and save taxes for three or four years only to find as a result of political changes here to which we were then committed, the Mines might be </w:t>
      </w:r>
      <w:proofErr w:type="spellStart"/>
      <w:r w:rsidR="002A04FB" w:rsidRPr="00515DBF">
        <w:rPr>
          <w:rFonts w:ascii="Times New Roman" w:hAnsi="Times New Roman" w:cs="Times New Roman"/>
          <w:lang w:val="en-US"/>
        </w:rPr>
        <w:t>nationali</w:t>
      </w:r>
      <w:r w:rsidR="00044B3A">
        <w:rPr>
          <w:rFonts w:ascii="Times New Roman" w:hAnsi="Times New Roman" w:cs="Times New Roman"/>
          <w:lang w:val="en-US"/>
        </w:rPr>
        <w:t>s</w:t>
      </w:r>
      <w:r w:rsidR="002A04FB" w:rsidRPr="00515DBF">
        <w:rPr>
          <w:rFonts w:ascii="Times New Roman" w:hAnsi="Times New Roman" w:cs="Times New Roman"/>
          <w:lang w:val="en-US"/>
        </w:rPr>
        <w:t>ed</w:t>
      </w:r>
      <w:proofErr w:type="spellEnd"/>
      <w:r w:rsidRPr="00515DBF">
        <w:rPr>
          <w:rFonts w:ascii="Times New Roman" w:hAnsi="Times New Roman" w:cs="Times New Roman"/>
          <w:lang w:val="en-US"/>
        </w:rPr>
        <w:t xml:space="preserve"> and lost to us.</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70"/>
      </w:r>
    </w:p>
    <w:p w14:paraId="215B4647" w14:textId="77777777" w:rsidR="00887C4B" w:rsidRPr="00515DBF" w:rsidRDefault="00887C4B" w:rsidP="005F7748">
      <w:pPr>
        <w:spacing w:line="480" w:lineRule="auto"/>
        <w:jc w:val="both"/>
        <w:rPr>
          <w:rFonts w:ascii="Times New Roman" w:hAnsi="Times New Roman" w:cs="Times New Roman"/>
          <w:lang w:val="en-US"/>
        </w:rPr>
      </w:pPr>
    </w:p>
    <w:p w14:paraId="689B6BD5" w14:textId="5941CCAF" w:rsidR="00117FB9" w:rsidRPr="00515DBF" w:rsidRDefault="00887C4B" w:rsidP="005F7748">
      <w:pPr>
        <w:spacing w:line="480" w:lineRule="auto"/>
        <w:jc w:val="both"/>
        <w:rPr>
          <w:rFonts w:ascii="Times New Roman" w:hAnsi="Times New Roman" w:cs="Times New Roman"/>
        </w:rPr>
      </w:pPr>
      <w:proofErr w:type="spellStart"/>
      <w:r w:rsidRPr="00515DBF">
        <w:rPr>
          <w:rFonts w:ascii="Times New Roman" w:hAnsi="Times New Roman" w:cs="Times New Roman"/>
          <w:lang w:val="en-US"/>
        </w:rPr>
        <w:t>Prain</w:t>
      </w:r>
      <w:proofErr w:type="spellEnd"/>
      <w:r w:rsidRPr="00515DBF">
        <w:rPr>
          <w:rFonts w:ascii="Times New Roman" w:hAnsi="Times New Roman" w:cs="Times New Roman"/>
          <w:lang w:val="en-US"/>
        </w:rPr>
        <w:t xml:space="preserve"> ultimately concluded that any scenario in which a Conservative government </w:t>
      </w:r>
      <w:r w:rsidR="00320B19" w:rsidRPr="00515DBF">
        <w:rPr>
          <w:rFonts w:ascii="Times New Roman" w:hAnsi="Times New Roman" w:cs="Times New Roman"/>
          <w:lang w:val="en-US"/>
        </w:rPr>
        <w:t>was elected</w:t>
      </w:r>
      <w:r w:rsidR="00116CA8" w:rsidRPr="00515DBF">
        <w:rPr>
          <w:rFonts w:ascii="Times New Roman" w:hAnsi="Times New Roman" w:cs="Times New Roman"/>
          <w:lang w:val="en-US"/>
        </w:rPr>
        <w:t>,</w:t>
      </w:r>
      <w:r w:rsidR="00320B19" w:rsidRPr="00515DBF">
        <w:rPr>
          <w:rFonts w:ascii="Times New Roman" w:hAnsi="Times New Roman" w:cs="Times New Roman"/>
          <w:lang w:val="en-US"/>
        </w:rPr>
        <w:t xml:space="preserve"> an</w:t>
      </w:r>
      <w:r w:rsidR="00116CA8" w:rsidRPr="00515DBF">
        <w:rPr>
          <w:rFonts w:ascii="Times New Roman" w:hAnsi="Times New Roman" w:cs="Times New Roman"/>
          <w:lang w:val="en-US"/>
        </w:rPr>
        <w:t>d</w:t>
      </w:r>
      <w:r w:rsidR="00320B19" w:rsidRPr="00515DBF">
        <w:rPr>
          <w:rFonts w:ascii="Times New Roman" w:hAnsi="Times New Roman" w:cs="Times New Roman"/>
          <w:lang w:val="en-US"/>
        </w:rPr>
        <w:t xml:space="preserve"> amalgamation towards CAF was to occur</w:t>
      </w:r>
      <w:r w:rsidR="00116CA8" w:rsidRPr="00515DBF">
        <w:rPr>
          <w:rFonts w:ascii="Times New Roman" w:hAnsi="Times New Roman" w:cs="Times New Roman"/>
          <w:lang w:val="en-US"/>
        </w:rPr>
        <w:t>,</w:t>
      </w:r>
      <w:r w:rsidR="00320B19" w:rsidRPr="00515DBF">
        <w:rPr>
          <w:rFonts w:ascii="Times New Roman" w:hAnsi="Times New Roman" w:cs="Times New Roman"/>
          <w:lang w:val="en-US"/>
        </w:rPr>
        <w:t xml:space="preserve"> would lead to the RST group switching domicile.</w:t>
      </w:r>
      <w:r w:rsidR="00320B19" w:rsidRPr="00515DBF">
        <w:rPr>
          <w:rStyle w:val="EndnoteReference"/>
          <w:rFonts w:ascii="Times New Roman" w:hAnsi="Times New Roman" w:cs="Times New Roman"/>
        </w:rPr>
        <w:t xml:space="preserve"> </w:t>
      </w:r>
      <w:r w:rsidR="00320B19" w:rsidRPr="00515DBF">
        <w:rPr>
          <w:rStyle w:val="EndnoteReference"/>
          <w:rFonts w:ascii="Times New Roman" w:hAnsi="Times New Roman" w:cs="Times New Roman"/>
        </w:rPr>
        <w:endnoteReference w:id="71"/>
      </w:r>
      <w:r w:rsidR="00320B19" w:rsidRPr="00515DBF">
        <w:rPr>
          <w:rFonts w:ascii="Times New Roman" w:hAnsi="Times New Roman" w:cs="Times New Roman"/>
        </w:rPr>
        <w:t xml:space="preserve"> By November of 1951 </w:t>
      </w:r>
      <w:proofErr w:type="spellStart"/>
      <w:r w:rsidR="00320B19" w:rsidRPr="00515DBF">
        <w:rPr>
          <w:rFonts w:ascii="Times New Roman" w:hAnsi="Times New Roman" w:cs="Times New Roman"/>
        </w:rPr>
        <w:t>Prain</w:t>
      </w:r>
      <w:proofErr w:type="spellEnd"/>
      <w:r w:rsidR="00320B19" w:rsidRPr="00515DBF">
        <w:rPr>
          <w:rFonts w:ascii="Times New Roman" w:hAnsi="Times New Roman" w:cs="Times New Roman"/>
        </w:rPr>
        <w:t xml:space="preserve"> appeared to </w:t>
      </w:r>
      <w:r w:rsidR="00116CA8" w:rsidRPr="00515DBF">
        <w:rPr>
          <w:rFonts w:ascii="Times New Roman" w:hAnsi="Times New Roman" w:cs="Times New Roman"/>
        </w:rPr>
        <w:t>confirm</w:t>
      </w:r>
      <w:r w:rsidR="00320B19" w:rsidRPr="00515DBF">
        <w:rPr>
          <w:rFonts w:ascii="Times New Roman" w:hAnsi="Times New Roman" w:cs="Times New Roman"/>
        </w:rPr>
        <w:t xml:space="preserve"> this change of position to Hochschild</w:t>
      </w:r>
      <w:r w:rsidR="006063DF" w:rsidRPr="00515DBF">
        <w:rPr>
          <w:rFonts w:ascii="Times New Roman" w:hAnsi="Times New Roman" w:cs="Times New Roman"/>
        </w:rPr>
        <w:t>, stating</w:t>
      </w:r>
      <w:r w:rsidR="00320B19" w:rsidRPr="00515DBF">
        <w:rPr>
          <w:rFonts w:ascii="Times New Roman" w:hAnsi="Times New Roman" w:cs="Times New Roman"/>
        </w:rPr>
        <w:t xml:space="preserve"> that 'political events may now move in a direction where our views on domicile (which have been based predominately on political considerations) will no longer be in conflict with yours'.</w:t>
      </w:r>
      <w:r w:rsidR="00320B19" w:rsidRPr="00515DBF">
        <w:rPr>
          <w:rStyle w:val="EndnoteReference"/>
          <w:rFonts w:ascii="Times New Roman" w:hAnsi="Times New Roman" w:cs="Times New Roman"/>
        </w:rPr>
        <w:endnoteReference w:id="72"/>
      </w:r>
      <w:r w:rsidR="00955FB8" w:rsidRPr="00515DBF">
        <w:rPr>
          <w:rFonts w:ascii="Times New Roman" w:hAnsi="Times New Roman" w:cs="Times New Roman"/>
        </w:rPr>
        <w:t xml:space="preserve"> </w:t>
      </w:r>
    </w:p>
    <w:p w14:paraId="4E148F88" w14:textId="3A026E32" w:rsidR="00117FB9" w:rsidRPr="00515DBF" w:rsidRDefault="00117FB9" w:rsidP="00117FB9">
      <w:pPr>
        <w:spacing w:line="480" w:lineRule="auto"/>
        <w:jc w:val="both"/>
        <w:rPr>
          <w:rFonts w:ascii="Times New Roman" w:hAnsi="Times New Roman" w:cs="Times New Roman"/>
        </w:rPr>
      </w:pPr>
      <w:r w:rsidRPr="00515DBF">
        <w:rPr>
          <w:rFonts w:ascii="Times New Roman" w:hAnsi="Times New Roman" w:cs="Times New Roman"/>
        </w:rPr>
        <w:tab/>
      </w:r>
      <w:r w:rsidR="00955FB8" w:rsidRPr="00515DBF">
        <w:rPr>
          <w:rFonts w:ascii="Times New Roman" w:hAnsi="Times New Roman" w:cs="Times New Roman"/>
        </w:rPr>
        <w:t xml:space="preserve">The boards of Roan Antelope, </w:t>
      </w:r>
      <w:proofErr w:type="spellStart"/>
      <w:r w:rsidR="00955FB8" w:rsidRPr="00515DBF">
        <w:rPr>
          <w:rFonts w:ascii="Times New Roman" w:hAnsi="Times New Roman" w:cs="Times New Roman"/>
        </w:rPr>
        <w:t>Mufulira</w:t>
      </w:r>
      <w:proofErr w:type="spellEnd"/>
      <w:r w:rsidR="00955FB8" w:rsidRPr="00515DBF">
        <w:rPr>
          <w:rFonts w:ascii="Times New Roman" w:hAnsi="Times New Roman" w:cs="Times New Roman"/>
        </w:rPr>
        <w:t xml:space="preserve">, and RST agreed </w:t>
      </w:r>
      <w:r w:rsidR="00116CA8" w:rsidRPr="00515DBF">
        <w:rPr>
          <w:rFonts w:ascii="Times New Roman" w:hAnsi="Times New Roman" w:cs="Times New Roman"/>
        </w:rPr>
        <w:t>the</w:t>
      </w:r>
      <w:r w:rsidR="00955FB8" w:rsidRPr="00515DBF">
        <w:rPr>
          <w:rFonts w:ascii="Times New Roman" w:hAnsi="Times New Roman" w:cs="Times New Roman"/>
        </w:rPr>
        <w:t xml:space="preserve"> policy</w:t>
      </w:r>
      <w:r w:rsidR="00116CA8" w:rsidRPr="00515DBF">
        <w:rPr>
          <w:rFonts w:ascii="Times New Roman" w:hAnsi="Times New Roman" w:cs="Times New Roman"/>
        </w:rPr>
        <w:t xml:space="preserve"> of seeking to switch domicile</w:t>
      </w:r>
      <w:r w:rsidR="00955FB8" w:rsidRPr="00515DBF">
        <w:rPr>
          <w:rFonts w:ascii="Times New Roman" w:hAnsi="Times New Roman" w:cs="Times New Roman"/>
        </w:rPr>
        <w:t xml:space="preserve"> in January 1952.</w:t>
      </w:r>
      <w:r w:rsidR="006A54D9" w:rsidRPr="00515DBF">
        <w:rPr>
          <w:rStyle w:val="EndnoteReference"/>
          <w:rFonts w:ascii="Times New Roman" w:hAnsi="Times New Roman" w:cs="Times New Roman"/>
        </w:rPr>
        <w:endnoteReference w:id="73"/>
      </w:r>
      <w:r w:rsidRPr="00515DBF">
        <w:rPr>
          <w:rFonts w:ascii="Times New Roman" w:hAnsi="Times New Roman" w:cs="Times New Roman"/>
        </w:rPr>
        <w:t xml:space="preserve"> At the </w:t>
      </w:r>
      <w:r w:rsidR="00D93468">
        <w:rPr>
          <w:rFonts w:ascii="Times New Roman" w:hAnsi="Times New Roman" w:cs="Times New Roman"/>
        </w:rPr>
        <w:t xml:space="preserve">Annual General Meeting </w:t>
      </w:r>
      <w:r w:rsidRPr="00515DBF">
        <w:rPr>
          <w:rFonts w:ascii="Times New Roman" w:hAnsi="Times New Roman" w:cs="Times New Roman"/>
        </w:rPr>
        <w:t xml:space="preserve">of RST </w:t>
      </w: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w:t>
      </w:r>
      <w:r w:rsidR="00A96220" w:rsidRPr="00515DBF">
        <w:rPr>
          <w:rFonts w:ascii="Times New Roman" w:hAnsi="Times New Roman" w:cs="Times New Roman"/>
        </w:rPr>
        <w:t>publicly</w:t>
      </w:r>
      <w:r w:rsidRPr="00515DBF">
        <w:rPr>
          <w:rFonts w:ascii="Times New Roman" w:hAnsi="Times New Roman" w:cs="Times New Roman"/>
        </w:rPr>
        <w:t xml:space="preserve"> noted the change in direction, stating that:</w:t>
      </w:r>
    </w:p>
    <w:p w14:paraId="05D33EA9" w14:textId="77777777" w:rsidR="00117FB9" w:rsidRPr="00515DBF" w:rsidRDefault="00117FB9" w:rsidP="00117FB9">
      <w:pPr>
        <w:spacing w:line="480" w:lineRule="auto"/>
        <w:jc w:val="both"/>
        <w:rPr>
          <w:rFonts w:ascii="Times New Roman" w:hAnsi="Times New Roman" w:cs="Times New Roman"/>
        </w:rPr>
      </w:pPr>
    </w:p>
    <w:p w14:paraId="2246DC46" w14:textId="672FE9FD" w:rsidR="00116CA8" w:rsidRPr="00515DBF" w:rsidRDefault="00117FB9" w:rsidP="00EB7E75">
      <w:pPr>
        <w:spacing w:line="480" w:lineRule="auto"/>
        <w:ind w:left="567"/>
        <w:jc w:val="both"/>
        <w:rPr>
          <w:rFonts w:ascii="Times New Roman" w:hAnsi="Times New Roman" w:cs="Times New Roman"/>
        </w:rPr>
      </w:pPr>
      <w:r w:rsidRPr="00515DBF">
        <w:rPr>
          <w:rFonts w:ascii="Times New Roman" w:hAnsi="Times New Roman" w:cs="Times New Roman"/>
        </w:rPr>
        <w:t>Events appear to be moving rapidly towards a shift in the centre of political gravity for Northern Rhodesia affairs from the United Kingdom to Rhodesia. Such a change in the political picture may well create conditions under which we should consider it our duty both to our shareholders and to our country of production, and indirectly to the Commonwealth, to seek to locate our seat of control in Central Africa.</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74"/>
      </w:r>
    </w:p>
    <w:p w14:paraId="6D8E58F1" w14:textId="77777777" w:rsidR="00EB7E75" w:rsidRPr="00515DBF" w:rsidRDefault="00EB7E75" w:rsidP="00117FB9">
      <w:pPr>
        <w:spacing w:line="480" w:lineRule="auto"/>
        <w:jc w:val="both"/>
        <w:rPr>
          <w:rFonts w:ascii="Times New Roman" w:hAnsi="Times New Roman" w:cs="Times New Roman"/>
        </w:rPr>
      </w:pPr>
    </w:p>
    <w:p w14:paraId="212D2779" w14:textId="386B963A" w:rsidR="000621EF" w:rsidRPr="00515DBF" w:rsidRDefault="00EB7E75" w:rsidP="00BD00C6">
      <w:pPr>
        <w:spacing w:line="480" w:lineRule="auto"/>
        <w:jc w:val="both"/>
        <w:rPr>
          <w:rFonts w:ascii="Times New Roman" w:hAnsi="Times New Roman" w:cs="Times New Roman"/>
        </w:rPr>
      </w:pP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located the critical moment in the change in political gravity as being the Victoria Falls Conference in September 1951</w:t>
      </w:r>
      <w:r w:rsidR="00D93468">
        <w:rPr>
          <w:rFonts w:ascii="Times New Roman" w:hAnsi="Times New Roman" w:cs="Times New Roman"/>
        </w:rPr>
        <w:t>, at which</w:t>
      </w:r>
      <w:r w:rsidR="00D93468" w:rsidRPr="00697869">
        <w:rPr>
          <w:rFonts w:ascii="Times New Roman" w:hAnsi="Times New Roman" w:cs="Times New Roman"/>
        </w:rPr>
        <w:t xml:space="preserve"> </w:t>
      </w:r>
      <w:r w:rsidR="00D93468">
        <w:rPr>
          <w:rFonts w:ascii="Times New Roman" w:hAnsi="Times New Roman" w:cs="Times New Roman"/>
        </w:rPr>
        <w:t xml:space="preserve">the British government </w:t>
      </w:r>
      <w:r w:rsidR="00D93468">
        <w:rPr>
          <w:rFonts w:ascii="Times New Roman" w:hAnsi="Times New Roman" w:cs="Times New Roman"/>
        </w:rPr>
        <w:lastRenderedPageBreak/>
        <w:t xml:space="preserve">invited representatives of the </w:t>
      </w:r>
      <w:proofErr w:type="spellStart"/>
      <w:r w:rsidR="00D93468">
        <w:rPr>
          <w:rFonts w:ascii="Times New Roman" w:hAnsi="Times New Roman" w:cs="Times New Roman"/>
        </w:rPr>
        <w:t>Rhodesias</w:t>
      </w:r>
      <w:proofErr w:type="spellEnd"/>
      <w:r w:rsidR="00D93468" w:rsidRPr="00697869">
        <w:rPr>
          <w:rFonts w:ascii="Times New Roman" w:hAnsi="Times New Roman" w:cs="Times New Roman"/>
        </w:rPr>
        <w:t xml:space="preserve"> and Nyasaland to consider the draft proposals for federation produced by Colonial Office and Commonwealth Relations Office</w:t>
      </w:r>
      <w:r w:rsidRPr="00515DBF">
        <w:rPr>
          <w:rFonts w:ascii="Times New Roman" w:hAnsi="Times New Roman" w:cs="Times New Roman"/>
        </w:rPr>
        <w:t>.</w:t>
      </w:r>
      <w:r w:rsidRPr="00515DBF">
        <w:rPr>
          <w:rStyle w:val="EndnoteReference"/>
          <w:rFonts w:ascii="Times New Roman" w:hAnsi="Times New Roman" w:cs="Times New Roman"/>
        </w:rPr>
        <w:endnoteReference w:id="75"/>
      </w:r>
      <w:r w:rsidRPr="00515DBF">
        <w:rPr>
          <w:rFonts w:ascii="Times New Roman" w:hAnsi="Times New Roman" w:cs="Times New Roman"/>
        </w:rPr>
        <w:t xml:space="preserve"> </w:t>
      </w:r>
      <w:r w:rsidR="00117FB9" w:rsidRPr="00515DBF">
        <w:rPr>
          <w:rFonts w:ascii="Times New Roman" w:hAnsi="Times New Roman" w:cs="Times New Roman"/>
        </w:rPr>
        <w:t>Equally, however, it was acknowledged that there would be a taxation advantage to migrating, though the board were at pains to stress that the decision to attempt to migrate was not solely about taxation, something that had previously brought the board into dissonance with the shareholders who had wanted an earlier switch to save tax.</w:t>
      </w:r>
      <w:r w:rsidR="00117FB9" w:rsidRPr="00515DBF">
        <w:rPr>
          <w:rStyle w:val="EndnoteReference"/>
          <w:rFonts w:ascii="Times New Roman" w:hAnsi="Times New Roman" w:cs="Times New Roman"/>
        </w:rPr>
        <w:endnoteReference w:id="76"/>
      </w:r>
      <w:r w:rsidR="00117FB9" w:rsidRPr="00515DBF">
        <w:rPr>
          <w:rFonts w:ascii="Times New Roman" w:hAnsi="Times New Roman" w:cs="Times New Roman"/>
        </w:rPr>
        <w:t xml:space="preserve"> </w:t>
      </w:r>
    </w:p>
    <w:p w14:paraId="5666DE0E" w14:textId="50908058" w:rsidR="00183713" w:rsidRPr="00515DBF" w:rsidRDefault="000621EF" w:rsidP="00BD00C6">
      <w:pPr>
        <w:spacing w:line="480" w:lineRule="auto"/>
        <w:jc w:val="both"/>
        <w:rPr>
          <w:rFonts w:ascii="Times New Roman" w:hAnsi="Times New Roman" w:cs="Times New Roman"/>
        </w:rPr>
      </w:pPr>
      <w:r w:rsidRPr="00515DBF">
        <w:rPr>
          <w:rFonts w:ascii="Times New Roman" w:hAnsi="Times New Roman" w:cs="Times New Roman"/>
        </w:rPr>
        <w:tab/>
      </w:r>
      <w:r w:rsidR="00117FB9" w:rsidRPr="00515DBF">
        <w:rPr>
          <w:rFonts w:ascii="Times New Roman" w:hAnsi="Times New Roman" w:cs="Times New Roman"/>
        </w:rPr>
        <w:t>The Treasury were sceptical, stating that '[</w:t>
      </w:r>
      <w:proofErr w:type="gramStart"/>
      <w:r w:rsidR="00117FB9" w:rsidRPr="00515DBF">
        <w:rPr>
          <w:rFonts w:ascii="Times New Roman" w:hAnsi="Times New Roman" w:cs="Times New Roman"/>
        </w:rPr>
        <w:t>t]he</w:t>
      </w:r>
      <w:proofErr w:type="gramEnd"/>
      <w:r w:rsidR="00117FB9" w:rsidRPr="00515DBF">
        <w:rPr>
          <w:rFonts w:ascii="Times New Roman" w:hAnsi="Times New Roman" w:cs="Times New Roman"/>
        </w:rPr>
        <w:t xml:space="preserve"> companies have a total capital of nearly £30 million and very large reserves. Their businesses have expanded rapidly and continuously and it cannot reasonably be claimed that their progress has been hampered by United Kingdom taxation.'</w:t>
      </w:r>
      <w:r w:rsidR="00117FB9" w:rsidRPr="00515DBF">
        <w:rPr>
          <w:rStyle w:val="EndnoteReference"/>
          <w:rFonts w:ascii="Times New Roman" w:hAnsi="Times New Roman" w:cs="Times New Roman"/>
        </w:rPr>
        <w:endnoteReference w:id="77"/>
      </w:r>
      <w:r w:rsidR="00117FB9" w:rsidRPr="00515DBF">
        <w:rPr>
          <w:rFonts w:ascii="Times New Roman" w:hAnsi="Times New Roman" w:cs="Times New Roman"/>
        </w:rPr>
        <w:t xml:space="preserve"> </w:t>
      </w:r>
      <w:proofErr w:type="spellStart"/>
      <w:r w:rsidR="00117FB9" w:rsidRPr="00515DBF">
        <w:rPr>
          <w:rFonts w:ascii="Times New Roman" w:hAnsi="Times New Roman" w:cs="Times New Roman"/>
        </w:rPr>
        <w:t>Prain</w:t>
      </w:r>
      <w:proofErr w:type="spellEnd"/>
      <w:r w:rsidR="00117FB9" w:rsidRPr="00515DBF">
        <w:rPr>
          <w:rFonts w:ascii="Times New Roman" w:hAnsi="Times New Roman" w:cs="Times New Roman"/>
        </w:rPr>
        <w:t xml:space="preserve"> </w:t>
      </w:r>
      <w:r w:rsidRPr="00515DBF">
        <w:rPr>
          <w:rFonts w:ascii="Times New Roman" w:hAnsi="Times New Roman" w:cs="Times New Roman"/>
        </w:rPr>
        <w:t>argued to government that</w:t>
      </w:r>
      <w:r w:rsidR="00117FB9" w:rsidRPr="00515DBF">
        <w:rPr>
          <w:rFonts w:ascii="Times New Roman" w:hAnsi="Times New Roman" w:cs="Times New Roman"/>
        </w:rPr>
        <w:t xml:space="preserve"> reducing taxation was a relatively minor factor.</w:t>
      </w:r>
      <w:r w:rsidR="00117FB9" w:rsidRPr="00515DBF">
        <w:rPr>
          <w:rStyle w:val="EndnoteReference"/>
          <w:rFonts w:ascii="Times New Roman" w:hAnsi="Times New Roman" w:cs="Times New Roman"/>
        </w:rPr>
        <w:endnoteReference w:id="78"/>
      </w:r>
      <w:r w:rsidR="00117FB9" w:rsidRPr="00515DBF">
        <w:rPr>
          <w:rFonts w:ascii="Times New Roman" w:hAnsi="Times New Roman" w:cs="Times New Roman"/>
        </w:rPr>
        <w:t xml:space="preserve"> Speaking candidly to Julian Crossley, Chairman of Barclays (Dominions, Colonies, and Overseas)</w:t>
      </w:r>
      <w:r w:rsidR="00DA7C61">
        <w:rPr>
          <w:rFonts w:ascii="Times New Roman" w:hAnsi="Times New Roman" w:cs="Times New Roman"/>
        </w:rPr>
        <w:t>,</w:t>
      </w:r>
      <w:r w:rsidR="00117FB9" w:rsidRPr="00515DBF">
        <w:rPr>
          <w:rFonts w:ascii="Times New Roman" w:hAnsi="Times New Roman" w:cs="Times New Roman"/>
        </w:rPr>
        <w:t xml:space="preserve"> in January 1951, </w:t>
      </w:r>
      <w:proofErr w:type="spellStart"/>
      <w:r w:rsidR="00117FB9" w:rsidRPr="00515DBF">
        <w:rPr>
          <w:rFonts w:ascii="Times New Roman" w:hAnsi="Times New Roman" w:cs="Times New Roman"/>
        </w:rPr>
        <w:t>Prain</w:t>
      </w:r>
      <w:proofErr w:type="spellEnd"/>
      <w:r w:rsidR="00117FB9" w:rsidRPr="00515DBF">
        <w:rPr>
          <w:rFonts w:ascii="Times New Roman" w:hAnsi="Times New Roman" w:cs="Times New Roman"/>
        </w:rPr>
        <w:t xml:space="preserve"> </w:t>
      </w:r>
      <w:r w:rsidR="002E5C7B" w:rsidRPr="00515DBF">
        <w:rPr>
          <w:rFonts w:ascii="Times New Roman" w:hAnsi="Times New Roman" w:cs="Times New Roman"/>
        </w:rPr>
        <w:t>said</w:t>
      </w:r>
      <w:r w:rsidR="00117FB9" w:rsidRPr="00515DBF">
        <w:rPr>
          <w:rFonts w:ascii="Times New Roman" w:hAnsi="Times New Roman" w:cs="Times New Roman"/>
        </w:rPr>
        <w:t xml:space="preserve"> that that savings on the transfer of domicile for Roan Antelope would be much less than commonly expected, not amounting to more that £100,000 on the previous year’s figures.</w:t>
      </w:r>
      <w:r w:rsidR="00117FB9" w:rsidRPr="00515DBF">
        <w:rPr>
          <w:rStyle w:val="EndnoteReference"/>
          <w:rFonts w:ascii="Times New Roman" w:hAnsi="Times New Roman" w:cs="Times New Roman"/>
        </w:rPr>
        <w:endnoteReference w:id="79"/>
      </w:r>
      <w:r w:rsidR="00117FB9" w:rsidRPr="00515DBF">
        <w:rPr>
          <w:rFonts w:ascii="Times New Roman" w:hAnsi="Times New Roman" w:cs="Times New Roman"/>
        </w:rPr>
        <w:t xml:space="preserve"> However, the Treasury thought that this was 'difficult to believe' and that the announcement of the Excess Profits Levy</w:t>
      </w:r>
      <w:r w:rsidR="008812C3">
        <w:rPr>
          <w:rFonts w:ascii="Times New Roman" w:hAnsi="Times New Roman" w:cs="Times New Roman"/>
        </w:rPr>
        <w:t xml:space="preserve"> </w:t>
      </w:r>
      <w:r w:rsidR="00865B6A">
        <w:rPr>
          <w:rFonts w:ascii="Times New Roman" w:hAnsi="Times New Roman" w:cs="Times New Roman"/>
        </w:rPr>
        <w:t>(</w:t>
      </w:r>
      <w:r w:rsidR="008812C3">
        <w:rPr>
          <w:rFonts w:ascii="Times New Roman" w:hAnsi="Times New Roman" w:cs="Times New Roman"/>
        </w:rPr>
        <w:t>a Labour government tax which aimed to encourage reinvestment of profits into new production</w:t>
      </w:r>
      <w:r w:rsidR="00865B6A">
        <w:rPr>
          <w:rFonts w:ascii="Times New Roman" w:hAnsi="Times New Roman" w:cs="Times New Roman"/>
        </w:rPr>
        <w:t>)</w:t>
      </w:r>
      <w:r w:rsidR="008812C3">
        <w:rPr>
          <w:rStyle w:val="EndnoteReference"/>
          <w:rFonts w:ascii="Times New Roman" w:hAnsi="Times New Roman" w:cs="Times New Roman"/>
        </w:rPr>
        <w:endnoteReference w:id="80"/>
      </w:r>
      <w:r w:rsidR="00117FB9" w:rsidRPr="00515DBF">
        <w:rPr>
          <w:rFonts w:ascii="Times New Roman" w:hAnsi="Times New Roman" w:cs="Times New Roman"/>
        </w:rPr>
        <w:t xml:space="preserve"> had 'quicken[</w:t>
      </w:r>
      <w:proofErr w:type="spellStart"/>
      <w:r w:rsidR="00117FB9" w:rsidRPr="00515DBF">
        <w:rPr>
          <w:rFonts w:ascii="Times New Roman" w:hAnsi="Times New Roman" w:cs="Times New Roman"/>
        </w:rPr>
        <w:t>ed</w:t>
      </w:r>
      <w:proofErr w:type="spellEnd"/>
      <w:r w:rsidR="00117FB9" w:rsidRPr="00515DBF">
        <w:rPr>
          <w:rFonts w:ascii="Times New Roman" w:hAnsi="Times New Roman" w:cs="Times New Roman"/>
        </w:rPr>
        <w:t>] the directors' appreciation of the political factors calling for transfer.'</w:t>
      </w:r>
      <w:r w:rsidR="00117FB9" w:rsidRPr="00515DBF">
        <w:rPr>
          <w:rStyle w:val="EndnoteReference"/>
          <w:rFonts w:ascii="Times New Roman" w:hAnsi="Times New Roman" w:cs="Times New Roman"/>
        </w:rPr>
        <w:endnoteReference w:id="81"/>
      </w:r>
      <w:r w:rsidR="00117FB9" w:rsidRPr="00515DBF">
        <w:rPr>
          <w:rFonts w:ascii="Times New Roman" w:hAnsi="Times New Roman" w:cs="Times New Roman"/>
        </w:rPr>
        <w:t xml:space="preserve"> The Colonial Office further believed that the transfer would aid development of the colony, something that the Treasury also wanted, in particular by attracting American capital.</w:t>
      </w:r>
      <w:r w:rsidR="00117FB9" w:rsidRPr="00515DBF">
        <w:rPr>
          <w:rStyle w:val="EndnoteReference"/>
          <w:rFonts w:ascii="Times New Roman" w:hAnsi="Times New Roman" w:cs="Times New Roman"/>
        </w:rPr>
        <w:endnoteReference w:id="82"/>
      </w:r>
      <w:r w:rsidR="00117FB9" w:rsidRPr="00515DBF">
        <w:rPr>
          <w:rFonts w:ascii="Times New Roman" w:hAnsi="Times New Roman" w:cs="Times New Roman"/>
        </w:rPr>
        <w:t xml:space="preserve"> </w:t>
      </w:r>
    </w:p>
    <w:p w14:paraId="4DB55E2E" w14:textId="583696BB" w:rsidR="00183713" w:rsidRPr="00515DBF" w:rsidRDefault="00183713" w:rsidP="00BD00C6">
      <w:pPr>
        <w:tabs>
          <w:tab w:val="num" w:pos="720"/>
        </w:tabs>
        <w:spacing w:line="480" w:lineRule="auto"/>
        <w:jc w:val="both"/>
        <w:rPr>
          <w:rFonts w:ascii="Times New Roman" w:hAnsi="Times New Roman" w:cs="Times New Roman"/>
          <w:lang w:val="en-US"/>
        </w:rPr>
      </w:pPr>
      <w:r w:rsidRPr="00515DBF">
        <w:rPr>
          <w:rFonts w:ascii="Times New Roman" w:hAnsi="Times New Roman" w:cs="Times New Roman"/>
        </w:rPr>
        <w:tab/>
        <w:t xml:space="preserve">Within RST the corporate discourse was concerned with both tax saving </w:t>
      </w:r>
      <w:r w:rsidRPr="00515DBF">
        <w:rPr>
          <w:rFonts w:ascii="Times New Roman" w:hAnsi="Times New Roman" w:cs="Times New Roman"/>
          <w:i/>
        </w:rPr>
        <w:t>and</w:t>
      </w:r>
      <w:r w:rsidRPr="00515DBF">
        <w:rPr>
          <w:rFonts w:ascii="Times New Roman" w:hAnsi="Times New Roman" w:cs="Times New Roman"/>
        </w:rPr>
        <w:t xml:space="preserve"> getting ahead of likely political changes associated with the process of semi-</w:t>
      </w:r>
      <w:r w:rsidRPr="00515DBF">
        <w:rPr>
          <w:rFonts w:ascii="Times New Roman" w:hAnsi="Times New Roman" w:cs="Times New Roman"/>
        </w:rPr>
        <w:lastRenderedPageBreak/>
        <w:t>decolonization and federation. At the Annual General Meeting of the RST Ltd. on 14 December 195</w:t>
      </w:r>
      <w:r w:rsidR="001D57C3">
        <w:rPr>
          <w:rFonts w:ascii="Times New Roman" w:hAnsi="Times New Roman" w:cs="Times New Roman"/>
        </w:rPr>
        <w:t xml:space="preserve">0 Ronald </w:t>
      </w:r>
      <w:proofErr w:type="spellStart"/>
      <w:r w:rsidR="001D57C3">
        <w:rPr>
          <w:rFonts w:ascii="Times New Roman" w:hAnsi="Times New Roman" w:cs="Times New Roman"/>
        </w:rPr>
        <w:t>Prain</w:t>
      </w:r>
      <w:proofErr w:type="spellEnd"/>
      <w:r w:rsidR="001D57C3">
        <w:rPr>
          <w:rFonts w:ascii="Times New Roman" w:hAnsi="Times New Roman" w:cs="Times New Roman"/>
        </w:rPr>
        <w:t xml:space="preserve"> said that '</w:t>
      </w:r>
      <w:r w:rsidRPr="00515DBF">
        <w:rPr>
          <w:rFonts w:ascii="Times New Roman" w:hAnsi="Times New Roman" w:cs="Times New Roman"/>
        </w:rPr>
        <w:t xml:space="preserve">the tax savings which would accrue on transfer abroad, while substantial, cannot necessarily be regarded as permanent and are not in themselves a sufficient reason for abandoning our conception of how a Colonial mining enterprise should be conducted.' Yet by 1952 he was to argue that 'a change in domicile would </w:t>
      </w:r>
      <w:proofErr w:type="gramStart"/>
      <w:r w:rsidRPr="00515DBF">
        <w:rPr>
          <w:rFonts w:ascii="Times New Roman" w:hAnsi="Times New Roman" w:cs="Times New Roman"/>
        </w:rPr>
        <w:t>effect</w:t>
      </w:r>
      <w:proofErr w:type="gramEnd"/>
      <w:r w:rsidRPr="00515DBF">
        <w:rPr>
          <w:rFonts w:ascii="Times New Roman" w:hAnsi="Times New Roman" w:cs="Times New Roman"/>
        </w:rPr>
        <w:t xml:space="preserve"> impressively large savings in taxes for the company.'</w:t>
      </w:r>
      <w:r w:rsidRPr="00515DBF">
        <w:rPr>
          <w:rStyle w:val="EndnoteReference"/>
          <w:rFonts w:ascii="Times New Roman" w:hAnsi="Times New Roman" w:cs="Times New Roman"/>
        </w:rPr>
        <w:endnoteReference w:id="83"/>
      </w:r>
      <w:r w:rsidRPr="00515DBF">
        <w:rPr>
          <w:rFonts w:ascii="Times New Roman" w:hAnsi="Times New Roman" w:cs="Times New Roman"/>
        </w:rPr>
        <w:t xml:space="preserve"> Writing </w:t>
      </w:r>
      <w:r w:rsidR="00537E86" w:rsidRPr="00515DBF">
        <w:rPr>
          <w:rFonts w:ascii="Times New Roman" w:hAnsi="Times New Roman" w:cs="Times New Roman"/>
        </w:rPr>
        <w:t>early that year</w:t>
      </w:r>
      <w:r w:rsidRPr="00515DBF">
        <w:rPr>
          <w:rFonts w:ascii="Times New Roman" w:hAnsi="Times New Roman" w:cs="Times New Roman"/>
        </w:rPr>
        <w:t xml:space="preserve"> to the American parent company (AMCO) </w:t>
      </w: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noted that </w:t>
      </w:r>
      <w:r w:rsidRPr="00515DBF">
        <w:rPr>
          <w:rFonts w:ascii="Times New Roman" w:hAnsi="Times New Roman" w:cs="Times New Roman"/>
          <w:lang w:val="en-US"/>
        </w:rPr>
        <w:t xml:space="preserve">'it is unlikely that permission to move control would be granted today </w:t>
      </w:r>
      <w:r w:rsidRPr="00515DBF">
        <w:rPr>
          <w:rFonts w:ascii="Times New Roman" w:hAnsi="Times New Roman" w:cs="Times New Roman"/>
          <w:lang w:val="mr-IN"/>
        </w:rPr>
        <w:t>…</w:t>
      </w:r>
      <w:r w:rsidRPr="00515DBF">
        <w:rPr>
          <w:rFonts w:ascii="Times New Roman" w:hAnsi="Times New Roman" w:cs="Times New Roman"/>
        </w:rPr>
        <w:t xml:space="preserve"> [but] it will be difficult not to grant it after Federation talks.”</w:t>
      </w:r>
      <w:r w:rsidRPr="00515DBF">
        <w:rPr>
          <w:rStyle w:val="EndnoteReference"/>
          <w:rFonts w:ascii="Times New Roman" w:hAnsi="Times New Roman" w:cs="Times New Roman"/>
        </w:rPr>
        <w:endnoteReference w:id="84"/>
      </w:r>
      <w:r w:rsidRPr="00515DBF">
        <w:rPr>
          <w:rFonts w:ascii="Times New Roman" w:hAnsi="Times New Roman" w:cs="Times New Roman"/>
        </w:rPr>
        <w:t xml:space="preserve"> Within AMCO, however, the discourse was clearly around achieving a taxation saving</w:t>
      </w:r>
      <w:r w:rsidRPr="00515DBF">
        <w:rPr>
          <w:rFonts w:ascii="Times New Roman" w:hAnsi="Times New Roman" w:cs="Times New Roman"/>
          <w:lang w:val="en-US"/>
        </w:rPr>
        <w:t xml:space="preserve">, whereby a 'change of domicile will give us complete relief from multiple taxation </w:t>
      </w:r>
      <w:r w:rsidRPr="00515DBF">
        <w:rPr>
          <w:rFonts w:ascii="Times New Roman" w:hAnsi="Times New Roman" w:cs="Times New Roman"/>
          <w:lang w:val="mr-IN"/>
        </w:rPr>
        <w:t>…</w:t>
      </w:r>
      <w:r w:rsidRPr="00515DBF">
        <w:rPr>
          <w:rFonts w:ascii="Times New Roman" w:hAnsi="Times New Roman" w:cs="Times New Roman"/>
        </w:rPr>
        <w:t xml:space="preserve"> [this will be] </w:t>
      </w:r>
      <w:r w:rsidRPr="00515DBF">
        <w:rPr>
          <w:rFonts w:ascii="Times New Roman" w:hAnsi="Times New Roman" w:cs="Times New Roman"/>
          <w:lang w:val="en-US"/>
        </w:rPr>
        <w:t>of material benefit to AMCO”</w:t>
      </w:r>
      <w:r w:rsidRPr="00515DBF">
        <w:rPr>
          <w:rStyle w:val="EndnoteReference"/>
          <w:rFonts w:ascii="Times New Roman" w:hAnsi="Times New Roman" w:cs="Times New Roman"/>
        </w:rPr>
        <w:endnoteReference w:id="85"/>
      </w:r>
      <w:r w:rsidRPr="00515DBF">
        <w:rPr>
          <w:rFonts w:ascii="Times New Roman" w:hAnsi="Times New Roman" w:cs="Times New Roman"/>
          <w:lang w:val="en-US"/>
        </w:rPr>
        <w:t xml:space="preserve"> </w:t>
      </w:r>
    </w:p>
    <w:p w14:paraId="4B546AF1" w14:textId="77777777" w:rsidR="00EE28C3" w:rsidRPr="00515DBF" w:rsidRDefault="00EE28C3" w:rsidP="00EE28C3">
      <w:pPr>
        <w:spacing w:line="480" w:lineRule="auto"/>
        <w:jc w:val="both"/>
        <w:rPr>
          <w:rFonts w:ascii="Times New Roman" w:hAnsi="Times New Roman" w:cs="Times New Roman"/>
          <w:b/>
        </w:rPr>
      </w:pPr>
    </w:p>
    <w:p w14:paraId="5905B743" w14:textId="59E63755" w:rsidR="00EE28C3" w:rsidRPr="00515DBF" w:rsidRDefault="00EE28C3" w:rsidP="00EE28C3">
      <w:pPr>
        <w:spacing w:line="480" w:lineRule="auto"/>
        <w:jc w:val="both"/>
        <w:rPr>
          <w:rFonts w:ascii="Times New Roman" w:hAnsi="Times New Roman" w:cs="Times New Roman"/>
          <w:b/>
        </w:rPr>
      </w:pPr>
      <w:r w:rsidRPr="00515DBF">
        <w:rPr>
          <w:rFonts w:ascii="Times New Roman" w:hAnsi="Times New Roman" w:cs="Times New Roman"/>
          <w:b/>
        </w:rPr>
        <w:t>Government and politics</w:t>
      </w:r>
    </w:p>
    <w:p w14:paraId="50C53AA6" w14:textId="77777777" w:rsidR="00EE28C3" w:rsidRPr="00515DBF" w:rsidRDefault="00EE28C3" w:rsidP="00BD00C6">
      <w:pPr>
        <w:tabs>
          <w:tab w:val="num" w:pos="720"/>
        </w:tabs>
        <w:spacing w:line="480" w:lineRule="auto"/>
        <w:jc w:val="both"/>
        <w:rPr>
          <w:rFonts w:ascii="Times New Roman" w:hAnsi="Times New Roman" w:cs="Times New Roman"/>
          <w:lang w:val="en-US"/>
        </w:rPr>
      </w:pPr>
    </w:p>
    <w:p w14:paraId="5C16304D" w14:textId="14BF2259"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The political considerations themselves turned on two main elements, the first connected to domestic Northern Rhodesian political de</w:t>
      </w:r>
      <w:r w:rsidR="00D57F25" w:rsidRPr="00515DBF">
        <w:rPr>
          <w:rFonts w:ascii="Times New Roman" w:hAnsi="Times New Roman" w:cs="Times New Roman"/>
        </w:rPr>
        <w:t>velopment through federation</w:t>
      </w:r>
      <w:r w:rsidRPr="00515DBF">
        <w:rPr>
          <w:rFonts w:ascii="Times New Roman" w:hAnsi="Times New Roman" w:cs="Times New Roman"/>
        </w:rPr>
        <w:t>, and the second in relation to the likely drivers of economic development in relation to the sources of capital for investment.</w:t>
      </w:r>
      <w:r w:rsidRPr="00515DBF">
        <w:rPr>
          <w:rStyle w:val="EndnoteReference"/>
          <w:rFonts w:ascii="Times New Roman" w:hAnsi="Times New Roman" w:cs="Times New Roman"/>
        </w:rPr>
        <w:endnoteReference w:id="86"/>
      </w:r>
      <w:r w:rsidRPr="00515DBF">
        <w:rPr>
          <w:rFonts w:ascii="Times New Roman" w:hAnsi="Times New Roman" w:cs="Times New Roman"/>
        </w:rPr>
        <w:t xml:space="preserve"> In this respect, the Treasury took a </w:t>
      </w:r>
      <w:proofErr w:type="gramStart"/>
      <w:r w:rsidRPr="00515DBF">
        <w:rPr>
          <w:rFonts w:ascii="Times New Roman" w:hAnsi="Times New Roman" w:cs="Times New Roman"/>
        </w:rPr>
        <w:t>view which</w:t>
      </w:r>
      <w:proofErr w:type="gramEnd"/>
      <w:r w:rsidRPr="00515DBF">
        <w:rPr>
          <w:rFonts w:ascii="Times New Roman" w:hAnsi="Times New Roman" w:cs="Times New Roman"/>
        </w:rPr>
        <w:t xml:space="preserve"> reflected the diminished economic and political status of Britain in the wider world:</w:t>
      </w:r>
    </w:p>
    <w:p w14:paraId="6CAE8F94" w14:textId="77777777" w:rsidR="00183713" w:rsidRPr="00515DBF" w:rsidRDefault="00183713" w:rsidP="00BD00C6">
      <w:pPr>
        <w:spacing w:line="480" w:lineRule="auto"/>
        <w:jc w:val="both"/>
        <w:rPr>
          <w:rFonts w:ascii="Times New Roman" w:hAnsi="Times New Roman" w:cs="Times New Roman"/>
        </w:rPr>
      </w:pPr>
    </w:p>
    <w:p w14:paraId="135E842A" w14:textId="560550F8" w:rsidR="00183713" w:rsidRPr="00515DBF" w:rsidRDefault="00183713" w:rsidP="009A7ACB">
      <w:pPr>
        <w:spacing w:line="480" w:lineRule="auto"/>
        <w:ind w:left="567"/>
        <w:jc w:val="both"/>
        <w:rPr>
          <w:rFonts w:ascii="Times New Roman" w:hAnsi="Times New Roman" w:cs="Times New Roman"/>
        </w:rPr>
      </w:pPr>
      <w:r w:rsidRPr="00515DBF">
        <w:rPr>
          <w:rFonts w:ascii="Times New Roman" w:hAnsi="Times New Roman" w:cs="Times New Roman"/>
        </w:rPr>
        <w:t>[</w:t>
      </w:r>
      <w:proofErr w:type="gramStart"/>
      <w:r w:rsidRPr="00515DBF">
        <w:rPr>
          <w:rFonts w:ascii="Times New Roman" w:hAnsi="Times New Roman" w:cs="Times New Roman"/>
        </w:rPr>
        <w:t>I]t</w:t>
      </w:r>
      <w:proofErr w:type="gramEnd"/>
      <w:r w:rsidRPr="00515DBF">
        <w:rPr>
          <w:rFonts w:ascii="Times New Roman" w:hAnsi="Times New Roman" w:cs="Times New Roman"/>
        </w:rPr>
        <w:t xml:space="preserve"> is the policy of Her Majesty's Government to welcome the investment of American capital in the Commonwealth, in particular, on the conditions that it will be permanent and dollar earning or dollar saving.</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87"/>
      </w:r>
    </w:p>
    <w:p w14:paraId="2C010013" w14:textId="77777777" w:rsidR="00183713" w:rsidRPr="00515DBF" w:rsidRDefault="00183713" w:rsidP="00BD00C6">
      <w:pPr>
        <w:spacing w:line="480" w:lineRule="auto"/>
        <w:jc w:val="both"/>
        <w:rPr>
          <w:rFonts w:ascii="Times New Roman" w:hAnsi="Times New Roman" w:cs="Times New Roman"/>
        </w:rPr>
      </w:pPr>
    </w:p>
    <w:p w14:paraId="376C8F8C" w14:textId="42B5371C"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 xml:space="preserve">The Treasury further believed that the Northern </w:t>
      </w:r>
      <w:r w:rsidR="001425D7" w:rsidRPr="00515DBF">
        <w:rPr>
          <w:rFonts w:ascii="Times New Roman" w:hAnsi="Times New Roman" w:cs="Times New Roman"/>
        </w:rPr>
        <w:t>Rhodesian</w:t>
      </w:r>
      <w:r w:rsidRPr="00515DBF">
        <w:rPr>
          <w:rFonts w:ascii="Times New Roman" w:hAnsi="Times New Roman" w:cs="Times New Roman"/>
        </w:rPr>
        <w:t xml:space="preserve"> mining groups would get the capital investment they needed to expand production </w:t>
      </w:r>
      <w:r w:rsidR="00537E86" w:rsidRPr="00515DBF">
        <w:rPr>
          <w:rFonts w:ascii="Times New Roman" w:hAnsi="Times New Roman" w:cs="Times New Roman"/>
        </w:rPr>
        <w:t xml:space="preserve">from </w:t>
      </w:r>
      <w:r w:rsidRPr="00515DBF">
        <w:rPr>
          <w:rFonts w:ascii="Times New Roman" w:hAnsi="Times New Roman" w:cs="Times New Roman"/>
        </w:rPr>
        <w:t>the United States, and that they would do so 'more easily and cheaply if both [groups: Anglo-American and RST] are resident in Northern Rhodesia.'</w:t>
      </w:r>
      <w:r w:rsidRPr="00515DBF">
        <w:rPr>
          <w:rStyle w:val="EndnoteReference"/>
          <w:rFonts w:ascii="Times New Roman" w:hAnsi="Times New Roman" w:cs="Times New Roman"/>
        </w:rPr>
        <w:endnoteReference w:id="88"/>
      </w:r>
      <w:r w:rsidRPr="00515DBF">
        <w:rPr>
          <w:rFonts w:ascii="Times New Roman" w:hAnsi="Times New Roman" w:cs="Times New Roman"/>
        </w:rPr>
        <w:t xml:space="preserve"> </w:t>
      </w:r>
    </w:p>
    <w:p w14:paraId="666F9A0E" w14:textId="4FD27CAC"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The decision whether to allow RST to switch domicile was therefore not only about the impact of the corporation itself switching domiciles, or the perceived benefits and costs to business and the Northern Rhodesian/CAF economy, but also to the perception in London that allowing RST to switch would open the floodgates to similar switches, to the cost of the British tax base. 'It is arguable', one Treasury official wrote, 'that if these companies are allowed to migrate it will be virtually impossible to prevent anybody else of any importance from doing the same in future.'</w:t>
      </w:r>
      <w:r w:rsidRPr="00515DBF">
        <w:rPr>
          <w:rStyle w:val="EndnoteReference"/>
          <w:rFonts w:ascii="Times New Roman" w:hAnsi="Times New Roman" w:cs="Times New Roman"/>
        </w:rPr>
        <w:endnoteReference w:id="89"/>
      </w:r>
      <w:r w:rsidRPr="00515DBF">
        <w:rPr>
          <w:rFonts w:ascii="Times New Roman" w:hAnsi="Times New Roman" w:cs="Times New Roman"/>
        </w:rPr>
        <w:t xml:space="preserve"> The Treasury were concerned both with the wider impact that this would have on revenue, estimated to be perhaps as much as £100 million per year, but also to its impact on the City of London as a financial and commercial centre:</w:t>
      </w:r>
    </w:p>
    <w:p w14:paraId="6FE5A5A5" w14:textId="77777777" w:rsidR="00EE28C3" w:rsidRPr="00515DBF" w:rsidRDefault="00EE28C3" w:rsidP="009A7ACB">
      <w:pPr>
        <w:spacing w:line="480" w:lineRule="auto"/>
        <w:ind w:left="567"/>
        <w:jc w:val="both"/>
        <w:rPr>
          <w:rFonts w:ascii="Times New Roman" w:hAnsi="Times New Roman" w:cs="Times New Roman"/>
        </w:rPr>
      </w:pPr>
    </w:p>
    <w:p w14:paraId="62760465" w14:textId="223B712B" w:rsidR="00183713" w:rsidRPr="00515DBF" w:rsidRDefault="00183713" w:rsidP="009A7ACB">
      <w:pPr>
        <w:spacing w:line="480" w:lineRule="auto"/>
        <w:ind w:left="567"/>
        <w:jc w:val="both"/>
        <w:rPr>
          <w:rFonts w:ascii="Times New Roman" w:hAnsi="Times New Roman" w:cs="Times New Roman"/>
        </w:rPr>
      </w:pPr>
      <w:r w:rsidRPr="00515DBF">
        <w:rPr>
          <w:rFonts w:ascii="Times New Roman" w:hAnsi="Times New Roman" w:cs="Times New Roman"/>
        </w:rPr>
        <w:t>There are obvious advantages to the United Kingdom in companies having their "seat of management" here. The profits, the products, contracts for new equipment, shipping and insurance services, etc., all tend as a result to be dealt with through London; whereas once a company's headquarters are moved, the link with London becomes progressively weaker and local feeling sometimes tends to turn against the absentee owners.</w:t>
      </w:r>
      <w:r w:rsidRPr="00515DBF">
        <w:rPr>
          <w:rStyle w:val="EndnoteReference"/>
          <w:rFonts w:ascii="Times New Roman" w:hAnsi="Times New Roman" w:cs="Times New Roman"/>
        </w:rPr>
        <w:t xml:space="preserve"> </w:t>
      </w:r>
      <w:r w:rsidRPr="00515DBF">
        <w:rPr>
          <w:rFonts w:ascii="Times New Roman" w:hAnsi="Times New Roman" w:cs="Times New Roman"/>
        </w:rPr>
        <w:t xml:space="preserve">... In some respects, London as the financial centre of the Commonwealth is in a state of decline, and not only in the sense that the London market can no longer </w:t>
      </w:r>
      <w:r w:rsidRPr="00515DBF">
        <w:rPr>
          <w:rFonts w:ascii="Times New Roman" w:hAnsi="Times New Roman" w:cs="Times New Roman"/>
        </w:rPr>
        <w:lastRenderedPageBreak/>
        <w:t>meet all calls upon it for finance. Many companies have left or are leaving and nothing is coming from overseas to take their place.</w:t>
      </w:r>
      <w:r w:rsidRPr="00515DBF">
        <w:rPr>
          <w:rStyle w:val="EndnoteReference"/>
          <w:rFonts w:ascii="Times New Roman" w:hAnsi="Times New Roman" w:cs="Times New Roman"/>
        </w:rPr>
        <w:endnoteReference w:id="90"/>
      </w:r>
    </w:p>
    <w:p w14:paraId="64937373" w14:textId="77777777" w:rsidR="00183713" w:rsidRPr="00515DBF" w:rsidRDefault="00183713" w:rsidP="00BD00C6">
      <w:pPr>
        <w:spacing w:line="480" w:lineRule="auto"/>
        <w:jc w:val="both"/>
        <w:rPr>
          <w:rFonts w:ascii="Times New Roman" w:hAnsi="Times New Roman" w:cs="Times New Roman"/>
        </w:rPr>
      </w:pPr>
    </w:p>
    <w:p w14:paraId="11DE7165" w14:textId="5F566F2E"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The Colonial Office w</w:t>
      </w:r>
      <w:r w:rsidR="00714A41">
        <w:rPr>
          <w:rFonts w:ascii="Times New Roman" w:hAnsi="Times New Roman" w:cs="Times New Roman"/>
        </w:rPr>
        <w:t>as</w:t>
      </w:r>
      <w:r w:rsidRPr="00515DBF">
        <w:rPr>
          <w:rFonts w:ascii="Times New Roman" w:hAnsi="Times New Roman" w:cs="Times New Roman"/>
        </w:rPr>
        <w:t xml:space="preserve"> 'frankly hostile' to Section 468 believing that a 'change of residence [would] be beneficial to the Colony concerned' and would also attract capital into the colonies, in particular from the USA.</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91"/>
      </w:r>
      <w:r w:rsidRPr="00515DBF">
        <w:rPr>
          <w:rFonts w:ascii="Times New Roman" w:hAnsi="Times New Roman" w:cs="Times New Roman"/>
        </w:rPr>
        <w:t xml:space="preserve"> The Bank of England were similarly opposed to Section 468, stating that '[</w:t>
      </w:r>
      <w:proofErr w:type="gramStart"/>
      <w:r w:rsidRPr="00515DBF">
        <w:rPr>
          <w:rFonts w:ascii="Times New Roman" w:hAnsi="Times New Roman" w:cs="Times New Roman"/>
        </w:rPr>
        <w:t>v]</w:t>
      </w:r>
      <w:proofErr w:type="spellStart"/>
      <w:r w:rsidRPr="00515DBF">
        <w:rPr>
          <w:rFonts w:ascii="Times New Roman" w:hAnsi="Times New Roman" w:cs="Times New Roman"/>
        </w:rPr>
        <w:t>ery</w:t>
      </w:r>
      <w:proofErr w:type="spellEnd"/>
      <w:proofErr w:type="gramEnd"/>
      <w:r w:rsidRPr="00515DBF">
        <w:rPr>
          <w:rFonts w:ascii="Times New Roman" w:hAnsi="Times New Roman" w:cs="Times New Roman"/>
        </w:rPr>
        <w:t xml:space="preserve"> few companies ever want to move their headquarters to countries outside the Sterling area and those that do usually do so for pretty serious reasons, e.g. compliance with the nationalistic aspirations of the host country, which we hardly dare to resist'.</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92"/>
      </w:r>
      <w:r w:rsidRPr="00515DBF">
        <w:rPr>
          <w:rFonts w:ascii="Times New Roman" w:hAnsi="Times New Roman" w:cs="Times New Roman"/>
        </w:rPr>
        <w:t xml:space="preserve"> The Bank of England and Treasury were sceptical of reducing the freedom of movement within the Sterling Area, arguing that it would have negative consequences for the City:</w:t>
      </w:r>
    </w:p>
    <w:p w14:paraId="63597388" w14:textId="77777777" w:rsidR="00183713" w:rsidRPr="00515DBF" w:rsidRDefault="00183713" w:rsidP="00BD00C6">
      <w:pPr>
        <w:spacing w:line="480" w:lineRule="auto"/>
        <w:jc w:val="both"/>
        <w:rPr>
          <w:rFonts w:ascii="Times New Roman" w:hAnsi="Times New Roman" w:cs="Times New Roman"/>
        </w:rPr>
      </w:pPr>
    </w:p>
    <w:p w14:paraId="1DB0E62B" w14:textId="77777777" w:rsidR="00183713" w:rsidRPr="00515DBF" w:rsidRDefault="00183713" w:rsidP="009A7ACB">
      <w:pPr>
        <w:spacing w:line="480" w:lineRule="auto"/>
        <w:ind w:left="567"/>
        <w:jc w:val="both"/>
        <w:rPr>
          <w:rFonts w:ascii="Times New Roman" w:hAnsi="Times New Roman" w:cs="Times New Roman"/>
        </w:rPr>
      </w:pPr>
      <w:r w:rsidRPr="00515DBF">
        <w:rPr>
          <w:rFonts w:ascii="Times New Roman" w:hAnsi="Times New Roman" w:cs="Times New Roman"/>
        </w:rPr>
        <w:t>[</w:t>
      </w:r>
      <w:proofErr w:type="gramStart"/>
      <w:r w:rsidRPr="00515DBF">
        <w:rPr>
          <w:rFonts w:ascii="Times New Roman" w:hAnsi="Times New Roman" w:cs="Times New Roman"/>
        </w:rPr>
        <w:t>I]t</w:t>
      </w:r>
      <w:proofErr w:type="gramEnd"/>
      <w:r w:rsidRPr="00515DBF">
        <w:rPr>
          <w:rFonts w:ascii="Times New Roman" w:hAnsi="Times New Roman" w:cs="Times New Roman"/>
        </w:rPr>
        <w:t xml:space="preserve"> would in the long-run strike at the root of London as a financial centre for international business, that it would provoke existing business who would otherwise have been content to remain here to seek permission to migrate before worse befell, and that it would positively discourage any new businesses who might have been thinking of making their headquarters in London from doing so.</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93"/>
      </w:r>
    </w:p>
    <w:p w14:paraId="267AB51F" w14:textId="77777777" w:rsidR="00183713" w:rsidRPr="00515DBF" w:rsidRDefault="00183713" w:rsidP="00BD00C6">
      <w:pPr>
        <w:spacing w:line="480" w:lineRule="auto"/>
        <w:jc w:val="both"/>
        <w:rPr>
          <w:rFonts w:ascii="Times New Roman" w:hAnsi="Times New Roman" w:cs="Times New Roman"/>
        </w:rPr>
      </w:pPr>
    </w:p>
    <w:p w14:paraId="79B20BD5" w14:textId="3E7CEC01"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 later Treasury memorandum put the issue even more starkly:</w:t>
      </w:r>
    </w:p>
    <w:p w14:paraId="6078CB8D" w14:textId="77777777" w:rsidR="00183713" w:rsidRPr="00515DBF" w:rsidRDefault="00183713" w:rsidP="00BD00C6">
      <w:pPr>
        <w:spacing w:line="480" w:lineRule="auto"/>
        <w:jc w:val="both"/>
        <w:rPr>
          <w:rFonts w:ascii="Times New Roman" w:hAnsi="Times New Roman" w:cs="Times New Roman"/>
        </w:rPr>
      </w:pPr>
    </w:p>
    <w:p w14:paraId="1525B891" w14:textId="10BB09C9" w:rsidR="00183713" w:rsidRPr="00515DBF" w:rsidRDefault="00183713" w:rsidP="009A7ACB">
      <w:pPr>
        <w:spacing w:line="480" w:lineRule="auto"/>
        <w:ind w:left="567"/>
        <w:jc w:val="both"/>
        <w:rPr>
          <w:rFonts w:ascii="Times New Roman" w:hAnsi="Times New Roman" w:cs="Times New Roman"/>
        </w:rPr>
      </w:pPr>
      <w:r w:rsidRPr="00515DBF">
        <w:rPr>
          <w:rFonts w:ascii="Times New Roman" w:hAnsi="Times New Roman" w:cs="Times New Roman"/>
        </w:rPr>
        <w:t xml:space="preserve">In the old days there had been some advantage in registering a mining company in the City of London where it had available financial facilities </w:t>
      </w:r>
      <w:r w:rsidRPr="00515DBF">
        <w:rPr>
          <w:rFonts w:ascii="Times New Roman" w:hAnsi="Times New Roman" w:cs="Times New Roman"/>
        </w:rPr>
        <w:lastRenderedPageBreak/>
        <w:t>and the services of the shipping companies. In present circumstances no one of sound mind would</w:t>
      </w:r>
      <w:r w:rsidR="00865B6A">
        <w:rPr>
          <w:rFonts w:ascii="Times New Roman" w:hAnsi="Times New Roman" w:cs="Times New Roman"/>
        </w:rPr>
        <w:t xml:space="preserve"> </w:t>
      </w:r>
      <w:r w:rsidRPr="00515DBF">
        <w:rPr>
          <w:rFonts w:ascii="Times New Roman" w:hAnsi="Times New Roman" w:cs="Times New Roman"/>
        </w:rPr>
        <w:t>set up a new company in this country to extract minerals in the colonies–they would have all the profits taken by the United Kingdom Exchequer and would be subject to meticulous and unreasonable control in regard to the raising of capital and the like.</w:t>
      </w:r>
      <w:r w:rsidRPr="00515DBF">
        <w:rPr>
          <w:rStyle w:val="EndnoteReference"/>
          <w:rFonts w:ascii="Times New Roman" w:hAnsi="Times New Roman" w:cs="Times New Roman"/>
        </w:rPr>
        <w:endnoteReference w:id="94"/>
      </w:r>
    </w:p>
    <w:p w14:paraId="63264C12" w14:textId="77777777" w:rsidR="00183713" w:rsidRPr="00515DBF" w:rsidRDefault="00183713" w:rsidP="00BD00C6">
      <w:pPr>
        <w:spacing w:line="480" w:lineRule="auto"/>
        <w:jc w:val="both"/>
        <w:rPr>
          <w:rFonts w:ascii="Times New Roman" w:hAnsi="Times New Roman" w:cs="Times New Roman"/>
        </w:rPr>
      </w:pPr>
    </w:p>
    <w:p w14:paraId="34FD0E52" w14:textId="480DCA21"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The report argued that this amounted to a form of 'colonial exploitation' that was more 'severe' than a</w:t>
      </w:r>
      <w:r w:rsidR="001425D7" w:rsidRPr="00515DBF">
        <w:rPr>
          <w:rFonts w:ascii="Times New Roman" w:hAnsi="Times New Roman" w:cs="Times New Roman"/>
        </w:rPr>
        <w:t>ny that had existed in the past. In</w:t>
      </w:r>
      <w:r w:rsidRPr="00515DBF">
        <w:rPr>
          <w:rFonts w:ascii="Times New Roman" w:hAnsi="Times New Roman" w:cs="Times New Roman"/>
        </w:rPr>
        <w:t xml:space="preserve"> the context of growing awareness of the problems of colonialism, and in the midst of </w:t>
      </w:r>
      <w:r w:rsidR="004F259D" w:rsidRPr="00515DBF">
        <w:rPr>
          <w:rFonts w:ascii="Times New Roman" w:hAnsi="Times New Roman" w:cs="Times New Roman"/>
        </w:rPr>
        <w:t xml:space="preserve">wider moves towards </w:t>
      </w:r>
      <w:r w:rsidRPr="00515DBF">
        <w:rPr>
          <w:rFonts w:ascii="Times New Roman" w:hAnsi="Times New Roman" w:cs="Times New Roman"/>
        </w:rPr>
        <w:t xml:space="preserve">decolonization, </w:t>
      </w:r>
      <w:r w:rsidR="001425D7" w:rsidRPr="00515DBF">
        <w:rPr>
          <w:rFonts w:ascii="Times New Roman" w:hAnsi="Times New Roman" w:cs="Times New Roman"/>
        </w:rPr>
        <w:t xml:space="preserve">this </w:t>
      </w:r>
      <w:r w:rsidRPr="00515DBF">
        <w:rPr>
          <w:rFonts w:ascii="Times New Roman" w:hAnsi="Times New Roman" w:cs="Times New Roman"/>
        </w:rPr>
        <w:t>reveals the way in which the economic ministries of the British government considered the imperial role that business ought to play in empire, and the benefits that it should accrue.</w:t>
      </w:r>
      <w:r w:rsidRPr="00515DBF">
        <w:rPr>
          <w:rStyle w:val="EndnoteReference"/>
          <w:rFonts w:ascii="Times New Roman" w:hAnsi="Times New Roman" w:cs="Times New Roman"/>
        </w:rPr>
        <w:endnoteReference w:id="95"/>
      </w:r>
    </w:p>
    <w:p w14:paraId="576CD261" w14:textId="5299C0EC"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 xml:space="preserve">So it was that the specific issue of the Selection Trust companies was heavily bound up with issue of high policy at a moment of both economic and imperial decline. In fact, though Section 468 and previous measures had been in existence since the late 1930s, for 501 applications to transfer residence, </w:t>
      </w:r>
      <w:r w:rsidR="00201430">
        <w:rPr>
          <w:rFonts w:ascii="Times New Roman" w:hAnsi="Times New Roman" w:cs="Times New Roman"/>
        </w:rPr>
        <w:t xml:space="preserve">as table 2 shows, </w:t>
      </w:r>
      <w:r w:rsidRPr="00515DBF">
        <w:rPr>
          <w:rFonts w:ascii="Times New Roman" w:hAnsi="Times New Roman" w:cs="Times New Roman"/>
        </w:rPr>
        <w:t>only nine had ever been refused.</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96"/>
      </w:r>
      <w:r w:rsidRPr="00515DBF">
        <w:rPr>
          <w:rFonts w:ascii="Times New Roman" w:hAnsi="Times New Roman" w:cs="Times New Roman"/>
        </w:rPr>
        <w:t xml:space="preserve"> Where </w:t>
      </w:r>
      <w:r w:rsidR="005E370A">
        <w:rPr>
          <w:rFonts w:ascii="Times New Roman" w:hAnsi="Times New Roman" w:cs="Times New Roman"/>
        </w:rPr>
        <w:t>companie</w:t>
      </w:r>
      <w:r w:rsidRPr="00515DBF">
        <w:rPr>
          <w:rFonts w:ascii="Times New Roman" w:hAnsi="Times New Roman" w:cs="Times New Roman"/>
        </w:rPr>
        <w:t>s were rejected it was largely connected to being mainly motivated by a taxation reductions.</w:t>
      </w:r>
      <w:r w:rsidRPr="00515DBF">
        <w:rPr>
          <w:rStyle w:val="EndnoteReference"/>
          <w:rFonts w:ascii="Times New Roman" w:hAnsi="Times New Roman" w:cs="Times New Roman"/>
        </w:rPr>
        <w:endnoteReference w:id="97"/>
      </w:r>
    </w:p>
    <w:p w14:paraId="7933932B" w14:textId="77777777" w:rsidR="00183713" w:rsidRPr="00515DBF" w:rsidRDefault="00183713" w:rsidP="00BD00C6">
      <w:pPr>
        <w:spacing w:line="480" w:lineRule="auto"/>
        <w:jc w:val="both"/>
        <w:rPr>
          <w:rFonts w:ascii="Times New Roman" w:hAnsi="Times New Roman" w:cs="Times New Roman"/>
        </w:rPr>
      </w:pPr>
    </w:p>
    <w:p w14:paraId="33229D4A" w14:textId="18D1F299"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&lt;&lt;</w:t>
      </w:r>
      <w:proofErr w:type="gramStart"/>
      <w:r w:rsidRPr="00515DBF">
        <w:rPr>
          <w:rFonts w:ascii="Times New Roman" w:hAnsi="Times New Roman" w:cs="Times New Roman"/>
        </w:rPr>
        <w:t>Table  2</w:t>
      </w:r>
      <w:proofErr w:type="gramEnd"/>
      <w:r w:rsidRPr="00515DBF">
        <w:rPr>
          <w:rFonts w:ascii="Times New Roman" w:hAnsi="Times New Roman" w:cs="Times New Roman"/>
        </w:rPr>
        <w:t xml:space="preserve"> about here&gt;&gt;</w:t>
      </w:r>
    </w:p>
    <w:p w14:paraId="42250719" w14:textId="77777777" w:rsidR="00183713" w:rsidRPr="00515DBF" w:rsidRDefault="00183713" w:rsidP="00BD00C6">
      <w:pPr>
        <w:spacing w:line="480" w:lineRule="auto"/>
        <w:jc w:val="both"/>
        <w:rPr>
          <w:rFonts w:ascii="Times New Roman" w:hAnsi="Times New Roman" w:cs="Times New Roman"/>
        </w:rPr>
      </w:pPr>
    </w:p>
    <w:p w14:paraId="51F8DFB9" w14:textId="119F4A30"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 xml:space="preserve">The Inland Revenue took the view that if the Selection Trust </w:t>
      </w:r>
      <w:proofErr w:type="gramStart"/>
      <w:r w:rsidRPr="00515DBF">
        <w:rPr>
          <w:rFonts w:ascii="Times New Roman" w:hAnsi="Times New Roman" w:cs="Times New Roman"/>
        </w:rPr>
        <w:t>w</w:t>
      </w:r>
      <w:r w:rsidR="001425D7" w:rsidRPr="00515DBF">
        <w:rPr>
          <w:rFonts w:ascii="Times New Roman" w:hAnsi="Times New Roman" w:cs="Times New Roman"/>
        </w:rPr>
        <w:t>as</w:t>
      </w:r>
      <w:proofErr w:type="gramEnd"/>
      <w:r w:rsidRPr="00515DBF">
        <w:rPr>
          <w:rFonts w:ascii="Times New Roman" w:hAnsi="Times New Roman" w:cs="Times New Roman"/>
        </w:rPr>
        <w:t xml:space="preserve"> given permission to transfer residence, it would open the floodgates and lead to the effective end of the powers enshrined in Section 468.</w:t>
      </w:r>
      <w:r w:rsidRPr="00515DBF">
        <w:rPr>
          <w:rStyle w:val="EndnoteReference"/>
          <w:rFonts w:ascii="Times New Roman" w:hAnsi="Times New Roman" w:cs="Times New Roman"/>
        </w:rPr>
        <w:endnoteReference w:id="98"/>
      </w:r>
      <w:r w:rsidRPr="00515DBF">
        <w:rPr>
          <w:rFonts w:ascii="Times New Roman" w:hAnsi="Times New Roman" w:cs="Times New Roman"/>
        </w:rPr>
        <w:t xml:space="preserve"> They noted that the transfer of management in firms to Northern Rhodesia in 1950 had by 1952 led </w:t>
      </w:r>
      <w:r w:rsidRPr="00515DBF">
        <w:rPr>
          <w:rFonts w:ascii="Times New Roman" w:hAnsi="Times New Roman" w:cs="Times New Roman"/>
        </w:rPr>
        <w:lastRenderedPageBreak/>
        <w:t>them to seek to transfer the whole registration, and that 'the transfer of the seat of management and control tends to only the first step on a rather slippery slope.'</w:t>
      </w:r>
      <w:r w:rsidRPr="00515DBF">
        <w:rPr>
          <w:rStyle w:val="EndnoteReference"/>
          <w:rFonts w:ascii="Times New Roman" w:hAnsi="Times New Roman" w:cs="Times New Roman"/>
        </w:rPr>
        <w:endnoteReference w:id="99"/>
      </w:r>
      <w:r w:rsidRPr="00515DBF">
        <w:rPr>
          <w:rFonts w:ascii="Times New Roman" w:hAnsi="Times New Roman" w:cs="Times New Roman"/>
        </w:rPr>
        <w:t xml:space="preserve"> The Treasury in contrast were clear that it would be to the benefit of the Sterling Area if companies were free to move within </w:t>
      </w:r>
      <w:r w:rsidR="001425D7" w:rsidRPr="00515DBF">
        <w:rPr>
          <w:rFonts w:ascii="Times New Roman" w:hAnsi="Times New Roman" w:cs="Times New Roman"/>
        </w:rPr>
        <w:t>it</w:t>
      </w:r>
      <w:r w:rsidRPr="00515DBF">
        <w:rPr>
          <w:rFonts w:ascii="Times New Roman" w:hAnsi="Times New Roman" w:cs="Times New Roman"/>
        </w:rPr>
        <w:t xml:space="preserve"> as they liked, but against this was weighed the impact on the City and the loss to tax revenue. Here, the issue of colonial development did not count for much against income concerns: 'even the "development" considerations cannot be said to be so important or certain as to outweigh the need to safeguard such an amount of revenue.'</w:t>
      </w:r>
      <w:r w:rsidRPr="00515DBF">
        <w:rPr>
          <w:rStyle w:val="EndnoteReference"/>
          <w:rFonts w:ascii="Times New Roman" w:hAnsi="Times New Roman" w:cs="Times New Roman"/>
        </w:rPr>
        <w:endnoteReference w:id="100"/>
      </w:r>
      <w:r w:rsidRPr="00515DBF">
        <w:rPr>
          <w:rFonts w:ascii="Times New Roman" w:hAnsi="Times New Roman" w:cs="Times New Roman"/>
        </w:rPr>
        <w:t xml:space="preserve"> The argument put forward by the Colonial Office, Northern Rhodesian government, and by </w:t>
      </w:r>
      <w:proofErr w:type="spellStart"/>
      <w:r w:rsidRPr="00515DBF">
        <w:rPr>
          <w:rFonts w:ascii="Times New Roman" w:hAnsi="Times New Roman" w:cs="Times New Roman"/>
        </w:rPr>
        <w:t>Welensky</w:t>
      </w:r>
      <w:proofErr w:type="spellEnd"/>
      <w:r w:rsidRPr="00515DBF">
        <w:rPr>
          <w:rFonts w:ascii="Times New Roman" w:hAnsi="Times New Roman" w:cs="Times New Roman"/>
        </w:rPr>
        <w:t xml:space="preserve"> on behalf of the </w:t>
      </w:r>
      <w:r w:rsidR="004F259D" w:rsidRPr="00515DBF">
        <w:rPr>
          <w:rFonts w:ascii="Times New Roman" w:hAnsi="Times New Roman" w:cs="Times New Roman"/>
        </w:rPr>
        <w:t xml:space="preserve">white </w:t>
      </w:r>
      <w:r w:rsidRPr="00515DBF">
        <w:rPr>
          <w:rFonts w:ascii="Times New Roman" w:hAnsi="Times New Roman" w:cs="Times New Roman"/>
        </w:rPr>
        <w:t>labour unions was that it was of 'practical importance to have these enterprises domiciled on the spot.'</w:t>
      </w:r>
      <w:r w:rsidRPr="00515DBF">
        <w:rPr>
          <w:rStyle w:val="EndnoteReference"/>
          <w:rFonts w:ascii="Times New Roman" w:hAnsi="Times New Roman" w:cs="Times New Roman"/>
        </w:rPr>
        <w:endnoteReference w:id="101"/>
      </w:r>
      <w:r w:rsidRPr="00515DBF">
        <w:rPr>
          <w:rFonts w:ascii="Times New Roman" w:hAnsi="Times New Roman" w:cs="Times New Roman"/>
        </w:rPr>
        <w:t xml:space="preserve"> </w:t>
      </w:r>
    </w:p>
    <w:p w14:paraId="53AB8CC1" w14:textId="77777777" w:rsidR="00183713" w:rsidRPr="00515DBF" w:rsidRDefault="00183713" w:rsidP="00BD00C6">
      <w:pPr>
        <w:spacing w:line="480" w:lineRule="auto"/>
        <w:jc w:val="both"/>
        <w:rPr>
          <w:rFonts w:ascii="Times New Roman" w:hAnsi="Times New Roman" w:cs="Times New Roman"/>
        </w:rPr>
      </w:pPr>
    </w:p>
    <w:p w14:paraId="3A254707" w14:textId="6BD20082" w:rsidR="00EE28C3" w:rsidRPr="00515DBF" w:rsidRDefault="002D7AAE" w:rsidP="00BD00C6">
      <w:pPr>
        <w:spacing w:line="480" w:lineRule="auto"/>
        <w:jc w:val="both"/>
        <w:rPr>
          <w:rFonts w:ascii="Times New Roman" w:hAnsi="Times New Roman" w:cs="Times New Roman"/>
        </w:rPr>
      </w:pPr>
      <w:r w:rsidRPr="00515DBF">
        <w:rPr>
          <w:rFonts w:ascii="Times New Roman" w:hAnsi="Times New Roman" w:cs="Times New Roman"/>
        </w:rPr>
        <w:t xml:space="preserve">At the local level, </w:t>
      </w:r>
      <w:r w:rsidR="004F259D" w:rsidRPr="00515DBF">
        <w:rPr>
          <w:rFonts w:ascii="Times New Roman" w:hAnsi="Times New Roman" w:cs="Times New Roman"/>
        </w:rPr>
        <w:t>Northern Rhodesia’s strong settler lobby</w:t>
      </w:r>
      <w:r w:rsidRPr="00515DBF">
        <w:rPr>
          <w:rFonts w:ascii="Times New Roman" w:hAnsi="Times New Roman" w:cs="Times New Roman"/>
        </w:rPr>
        <w:t xml:space="preserve">, led by </w:t>
      </w:r>
      <w:proofErr w:type="spellStart"/>
      <w:r w:rsidRPr="00515DBF">
        <w:rPr>
          <w:rFonts w:ascii="Times New Roman" w:hAnsi="Times New Roman" w:cs="Times New Roman"/>
        </w:rPr>
        <w:t>Welensky</w:t>
      </w:r>
      <w:proofErr w:type="spellEnd"/>
      <w:proofErr w:type="gramStart"/>
      <w:r w:rsidRPr="00515DBF">
        <w:rPr>
          <w:rFonts w:ascii="Times New Roman" w:hAnsi="Times New Roman" w:cs="Times New Roman"/>
        </w:rPr>
        <w:t xml:space="preserve">, </w:t>
      </w:r>
      <w:r w:rsidR="00A53B0D" w:rsidRPr="00515DBF">
        <w:rPr>
          <w:rFonts w:ascii="Times New Roman" w:hAnsi="Times New Roman" w:cs="Times New Roman"/>
        </w:rPr>
        <w:t xml:space="preserve"> had</w:t>
      </w:r>
      <w:proofErr w:type="gramEnd"/>
      <w:r w:rsidR="00A53B0D" w:rsidRPr="00515DBF">
        <w:rPr>
          <w:rFonts w:ascii="Times New Roman" w:hAnsi="Times New Roman" w:cs="Times New Roman"/>
        </w:rPr>
        <w:t xml:space="preserve"> effectively gambled that federation would </w:t>
      </w:r>
      <w:r w:rsidRPr="00515DBF">
        <w:rPr>
          <w:rFonts w:ascii="Times New Roman" w:hAnsi="Times New Roman" w:cs="Times New Roman"/>
        </w:rPr>
        <w:t xml:space="preserve">preserve the </w:t>
      </w:r>
      <w:r w:rsidR="0019353D" w:rsidRPr="00515DBF">
        <w:rPr>
          <w:rFonts w:ascii="Times New Roman" w:hAnsi="Times New Roman" w:cs="Times New Roman"/>
        </w:rPr>
        <w:t xml:space="preserve">status of white settlers in the </w:t>
      </w:r>
      <w:proofErr w:type="spellStart"/>
      <w:r w:rsidR="0019353D" w:rsidRPr="00515DBF">
        <w:rPr>
          <w:rFonts w:ascii="Times New Roman" w:hAnsi="Times New Roman" w:cs="Times New Roman"/>
        </w:rPr>
        <w:t>Rhodesias</w:t>
      </w:r>
      <w:proofErr w:type="spellEnd"/>
      <w:r w:rsidR="0019353D" w:rsidRPr="00515DBF">
        <w:rPr>
          <w:rFonts w:ascii="Times New Roman" w:hAnsi="Times New Roman" w:cs="Times New Roman"/>
        </w:rPr>
        <w:t xml:space="preserve">. For </w:t>
      </w:r>
      <w:proofErr w:type="spellStart"/>
      <w:r w:rsidR="0019353D" w:rsidRPr="00515DBF">
        <w:rPr>
          <w:rFonts w:ascii="Times New Roman" w:hAnsi="Times New Roman" w:cs="Times New Roman"/>
        </w:rPr>
        <w:t>Welensky</w:t>
      </w:r>
      <w:proofErr w:type="spellEnd"/>
      <w:r w:rsidR="0019353D" w:rsidRPr="00515DBF">
        <w:rPr>
          <w:rFonts w:ascii="Times New Roman" w:hAnsi="Times New Roman" w:cs="Times New Roman"/>
        </w:rPr>
        <w:t xml:space="preserve"> and Godfrey Huggins, Prime Minister of Southern Rhodesia, federation needed to prove itself quickly to the British Government, where scepticism about the scheme among liberals was still high.</w:t>
      </w:r>
      <w:r w:rsidR="008A1DDA" w:rsidRPr="00515DBF">
        <w:rPr>
          <w:rStyle w:val="EndnoteReference"/>
          <w:rFonts w:ascii="Times New Roman" w:hAnsi="Times New Roman" w:cs="Times New Roman"/>
        </w:rPr>
        <w:endnoteReference w:id="102"/>
      </w:r>
      <w:r w:rsidR="008A1DDA" w:rsidRPr="00515DBF">
        <w:rPr>
          <w:rFonts w:ascii="Times New Roman" w:hAnsi="Times New Roman" w:cs="Times New Roman"/>
        </w:rPr>
        <w:t xml:space="preserve"> </w:t>
      </w:r>
      <w:r w:rsidR="004F259D" w:rsidRPr="00515DBF">
        <w:rPr>
          <w:rFonts w:ascii="Times New Roman" w:hAnsi="Times New Roman" w:cs="Times New Roman"/>
        </w:rPr>
        <w:t xml:space="preserve"> </w:t>
      </w:r>
      <w:proofErr w:type="spellStart"/>
      <w:r w:rsidR="00EE28C3" w:rsidRPr="00515DBF">
        <w:rPr>
          <w:rFonts w:ascii="Times New Roman" w:hAnsi="Times New Roman" w:cs="Times New Roman"/>
        </w:rPr>
        <w:t>Welensky</w:t>
      </w:r>
      <w:proofErr w:type="spellEnd"/>
      <w:r w:rsidR="00EE28C3" w:rsidRPr="00515DBF">
        <w:rPr>
          <w:rFonts w:ascii="Times New Roman" w:hAnsi="Times New Roman" w:cs="Times New Roman"/>
        </w:rPr>
        <w:t xml:space="preserve"> wrote to Ronald </w:t>
      </w:r>
      <w:proofErr w:type="spellStart"/>
      <w:r w:rsidR="00EE28C3" w:rsidRPr="00515DBF">
        <w:rPr>
          <w:rFonts w:ascii="Times New Roman" w:hAnsi="Times New Roman" w:cs="Times New Roman"/>
        </w:rPr>
        <w:t>Prain</w:t>
      </w:r>
      <w:proofErr w:type="spellEnd"/>
      <w:r w:rsidR="00EE28C3" w:rsidRPr="00515DBF">
        <w:rPr>
          <w:rFonts w:ascii="Times New Roman" w:hAnsi="Times New Roman" w:cs="Times New Roman"/>
        </w:rPr>
        <w:t xml:space="preserve"> in May 1952 to indicate the settler perspective of seeking more local control by the colonial state. 'I do not think it is satisfactory', he wrote 'that Companies which contribute largely to Northern Rhodesia's revenue should be controlled from outside the territory, nor that the Boards of such large employers of labour within the territory should not be readily available for consultation by the Government.'</w:t>
      </w:r>
      <w:r w:rsidR="00EE28C3" w:rsidRPr="00515DBF">
        <w:rPr>
          <w:rStyle w:val="EndnoteReference"/>
          <w:rFonts w:ascii="Times New Roman" w:hAnsi="Times New Roman" w:cs="Times New Roman"/>
        </w:rPr>
        <w:endnoteReference w:id="103"/>
      </w:r>
      <w:r w:rsidR="00EE28C3" w:rsidRPr="00515DBF">
        <w:rPr>
          <w:rFonts w:ascii="Times New Roman" w:hAnsi="Times New Roman" w:cs="Times New Roman"/>
        </w:rPr>
        <w:t xml:space="preserve"> The Colonial Office wrote of </w:t>
      </w:r>
      <w:proofErr w:type="spellStart"/>
      <w:r w:rsidR="00EE28C3" w:rsidRPr="00515DBF">
        <w:rPr>
          <w:rFonts w:ascii="Times New Roman" w:hAnsi="Times New Roman" w:cs="Times New Roman"/>
        </w:rPr>
        <w:t>Welensky</w:t>
      </w:r>
      <w:proofErr w:type="spellEnd"/>
      <w:r w:rsidR="00EE28C3" w:rsidRPr="00515DBF">
        <w:rPr>
          <w:rFonts w:ascii="Times New Roman" w:hAnsi="Times New Roman" w:cs="Times New Roman"/>
        </w:rPr>
        <w:t xml:space="preserve"> that 'one never quite knows whether Mr. </w:t>
      </w:r>
      <w:proofErr w:type="spellStart"/>
      <w:r w:rsidR="00EE28C3" w:rsidRPr="00515DBF">
        <w:rPr>
          <w:rFonts w:ascii="Times New Roman" w:hAnsi="Times New Roman" w:cs="Times New Roman"/>
        </w:rPr>
        <w:t>Welensky</w:t>
      </w:r>
      <w:proofErr w:type="spellEnd"/>
      <w:r w:rsidR="00EE28C3" w:rsidRPr="00515DBF">
        <w:rPr>
          <w:rFonts w:ascii="Times New Roman" w:hAnsi="Times New Roman" w:cs="Times New Roman"/>
        </w:rPr>
        <w:t xml:space="preserve"> is in Government or in Opposition. He is certainly an avowed opponent of "Whitehall </w:t>
      </w:r>
      <w:r w:rsidR="00EE28C3" w:rsidRPr="00515DBF">
        <w:rPr>
          <w:rFonts w:ascii="Times New Roman" w:hAnsi="Times New Roman" w:cs="Times New Roman"/>
        </w:rPr>
        <w:lastRenderedPageBreak/>
        <w:t>rule". He is a bit self-important and rather touchy but susceptible to flattery.'</w:t>
      </w:r>
      <w:r w:rsidR="00EE28C3" w:rsidRPr="00515DBF">
        <w:rPr>
          <w:rStyle w:val="EndnoteReference"/>
          <w:rFonts w:ascii="Times New Roman" w:hAnsi="Times New Roman" w:cs="Times New Roman"/>
        </w:rPr>
        <w:endnoteReference w:id="104"/>
      </w:r>
      <w:r w:rsidR="00EE28C3" w:rsidRPr="00515DBF">
        <w:rPr>
          <w:rFonts w:ascii="Times New Roman" w:hAnsi="Times New Roman" w:cs="Times New Roman"/>
        </w:rPr>
        <w:t xml:space="preserve"> </w:t>
      </w:r>
      <w:proofErr w:type="spellStart"/>
      <w:r w:rsidR="00EE28C3" w:rsidRPr="00515DBF">
        <w:rPr>
          <w:rFonts w:ascii="Times New Roman" w:hAnsi="Times New Roman" w:cs="Times New Roman"/>
        </w:rPr>
        <w:t>Welensky</w:t>
      </w:r>
      <w:proofErr w:type="spellEnd"/>
      <w:r w:rsidR="00EE28C3" w:rsidRPr="00515DBF">
        <w:rPr>
          <w:rFonts w:ascii="Times New Roman" w:hAnsi="Times New Roman" w:cs="Times New Roman"/>
        </w:rPr>
        <w:t xml:space="preserve"> may have played a key role in changing </w:t>
      </w:r>
      <w:proofErr w:type="spellStart"/>
      <w:r w:rsidR="00EE28C3" w:rsidRPr="00515DBF">
        <w:rPr>
          <w:rFonts w:ascii="Times New Roman" w:hAnsi="Times New Roman" w:cs="Times New Roman"/>
        </w:rPr>
        <w:t>Prain's</w:t>
      </w:r>
      <w:proofErr w:type="spellEnd"/>
      <w:r w:rsidR="00EE28C3" w:rsidRPr="00515DBF">
        <w:rPr>
          <w:rFonts w:ascii="Times New Roman" w:hAnsi="Times New Roman" w:cs="Times New Roman"/>
        </w:rPr>
        <w:t xml:space="preserve"> mind on the domicile issue after a visit by </w:t>
      </w:r>
      <w:proofErr w:type="spellStart"/>
      <w:r w:rsidR="00EE28C3" w:rsidRPr="00515DBF">
        <w:rPr>
          <w:rFonts w:ascii="Times New Roman" w:hAnsi="Times New Roman" w:cs="Times New Roman"/>
        </w:rPr>
        <w:t>Prain</w:t>
      </w:r>
      <w:proofErr w:type="spellEnd"/>
      <w:r w:rsidR="00EE28C3" w:rsidRPr="00515DBF">
        <w:rPr>
          <w:rFonts w:ascii="Times New Roman" w:hAnsi="Times New Roman" w:cs="Times New Roman"/>
        </w:rPr>
        <w:t xml:space="preserve"> to Rhodesia in the first half of 1952, prior to the May application to transfer residence, probably connected to the potential for more harmonious management-labour relations if the firm were managed locally, a point that </w:t>
      </w:r>
      <w:proofErr w:type="spellStart"/>
      <w:r w:rsidR="00EE28C3" w:rsidRPr="00515DBF">
        <w:rPr>
          <w:rFonts w:ascii="Times New Roman" w:hAnsi="Times New Roman" w:cs="Times New Roman"/>
        </w:rPr>
        <w:t>Welensky</w:t>
      </w:r>
      <w:proofErr w:type="spellEnd"/>
      <w:r w:rsidR="00EE28C3" w:rsidRPr="00515DBF">
        <w:rPr>
          <w:rFonts w:ascii="Times New Roman" w:hAnsi="Times New Roman" w:cs="Times New Roman"/>
        </w:rPr>
        <w:t xml:space="preserve"> made in person to the Chancellor of the Exchequer in January 1953.</w:t>
      </w:r>
      <w:r w:rsidR="00EE28C3" w:rsidRPr="00515DBF">
        <w:rPr>
          <w:rStyle w:val="EndnoteReference"/>
          <w:rFonts w:ascii="Times New Roman" w:hAnsi="Times New Roman" w:cs="Times New Roman"/>
        </w:rPr>
        <w:endnoteReference w:id="105"/>
      </w:r>
      <w:r w:rsidR="00A20DFF" w:rsidRPr="00515DBF">
        <w:rPr>
          <w:rFonts w:ascii="Times New Roman" w:hAnsi="Times New Roman" w:cs="Times New Roman"/>
        </w:rPr>
        <w:t xml:space="preserve"> </w:t>
      </w:r>
    </w:p>
    <w:p w14:paraId="4322B2E1" w14:textId="77777777" w:rsidR="00EE28C3" w:rsidRPr="00515DBF" w:rsidRDefault="00EE28C3" w:rsidP="00BD00C6">
      <w:pPr>
        <w:spacing w:line="480" w:lineRule="auto"/>
        <w:jc w:val="both"/>
        <w:rPr>
          <w:rFonts w:ascii="Times New Roman" w:hAnsi="Times New Roman" w:cs="Times New Roman"/>
        </w:rPr>
      </w:pPr>
    </w:p>
    <w:p w14:paraId="7743AC11" w14:textId="2DB5B4C9" w:rsidR="00183713" w:rsidRPr="00515DBF" w:rsidRDefault="00183713" w:rsidP="00BD00C6">
      <w:pPr>
        <w:spacing w:line="480" w:lineRule="auto"/>
        <w:jc w:val="both"/>
        <w:rPr>
          <w:rFonts w:ascii="Times New Roman" w:hAnsi="Times New Roman" w:cs="Times New Roman"/>
          <w:b/>
        </w:rPr>
      </w:pPr>
      <w:r w:rsidRPr="00515DBF">
        <w:rPr>
          <w:rFonts w:ascii="Times New Roman" w:hAnsi="Times New Roman" w:cs="Times New Roman"/>
          <w:b/>
        </w:rPr>
        <w:t xml:space="preserve">The </w:t>
      </w:r>
      <w:proofErr w:type="gramStart"/>
      <w:r w:rsidRPr="00515DBF">
        <w:rPr>
          <w:rFonts w:ascii="Times New Roman" w:hAnsi="Times New Roman" w:cs="Times New Roman"/>
          <w:b/>
        </w:rPr>
        <w:t>end-game</w:t>
      </w:r>
      <w:proofErr w:type="gramEnd"/>
    </w:p>
    <w:p w14:paraId="7A2CEDDA" w14:textId="21D2F3BF"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 xml:space="preserve">By December 1952 Ronald </w:t>
      </w: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had become impatient and had contacted the Treasury to find out why the decision on allowing the companies to move was not forthcoming.</w:t>
      </w:r>
      <w:r w:rsidRPr="00515DBF">
        <w:rPr>
          <w:rStyle w:val="EndnoteReference"/>
          <w:rFonts w:ascii="Times New Roman" w:hAnsi="Times New Roman" w:cs="Times New Roman"/>
        </w:rPr>
        <w:endnoteReference w:id="106"/>
      </w:r>
      <w:r w:rsidRPr="00515DBF">
        <w:rPr>
          <w:rFonts w:ascii="Times New Roman" w:hAnsi="Times New Roman" w:cs="Times New Roman"/>
        </w:rPr>
        <w:t xml:space="preserve"> Shortly after the Colonial Offic</w:t>
      </w:r>
      <w:r w:rsidR="00EE28C3" w:rsidRPr="00515DBF">
        <w:rPr>
          <w:rFonts w:ascii="Times New Roman" w:hAnsi="Times New Roman" w:cs="Times New Roman"/>
        </w:rPr>
        <w:t>e</w:t>
      </w:r>
      <w:r w:rsidRPr="00515DBF">
        <w:rPr>
          <w:rFonts w:ascii="Times New Roman" w:hAnsi="Times New Roman" w:cs="Times New Roman"/>
        </w:rPr>
        <w:t xml:space="preserve"> wrote to R</w:t>
      </w:r>
      <w:r w:rsidR="00F70997" w:rsidRPr="00515DBF">
        <w:rPr>
          <w:rFonts w:ascii="Times New Roman" w:hAnsi="Times New Roman" w:cs="Times New Roman"/>
        </w:rPr>
        <w:t xml:space="preserve">. </w:t>
      </w:r>
      <w:r w:rsidR="00EE28C3" w:rsidRPr="00515DBF">
        <w:rPr>
          <w:rFonts w:ascii="Times New Roman" w:hAnsi="Times New Roman" w:cs="Times New Roman"/>
        </w:rPr>
        <w:t>A</w:t>
      </w:r>
      <w:r w:rsidR="00F70997" w:rsidRPr="00515DBF">
        <w:rPr>
          <w:rFonts w:ascii="Times New Roman" w:hAnsi="Times New Roman" w:cs="Times New Roman"/>
        </w:rPr>
        <w:t xml:space="preserve">. </w:t>
      </w:r>
      <w:r w:rsidRPr="00515DBF">
        <w:rPr>
          <w:rFonts w:ascii="Times New Roman" w:hAnsi="Times New Roman" w:cs="Times New Roman"/>
        </w:rPr>
        <w:t xml:space="preserve"> </w:t>
      </w:r>
      <w:proofErr w:type="gramStart"/>
      <w:r w:rsidRPr="00515DBF">
        <w:rPr>
          <w:rFonts w:ascii="Times New Roman" w:hAnsi="Times New Roman" w:cs="Times New Roman"/>
        </w:rPr>
        <w:t>Butler, the Chancellor of the Exchequer</w:t>
      </w:r>
      <w:r w:rsidR="00DA7C61">
        <w:rPr>
          <w:rFonts w:ascii="Times New Roman" w:hAnsi="Times New Roman" w:cs="Times New Roman"/>
        </w:rPr>
        <w:t xml:space="preserve"> of the United Kingdom</w:t>
      </w:r>
      <w:r w:rsidR="00EE28C3" w:rsidRPr="00515DBF">
        <w:rPr>
          <w:rFonts w:ascii="Times New Roman" w:hAnsi="Times New Roman" w:cs="Times New Roman"/>
        </w:rPr>
        <w:t>,</w:t>
      </w:r>
      <w:r w:rsidRPr="00515DBF">
        <w:rPr>
          <w:rFonts w:ascii="Times New Roman" w:hAnsi="Times New Roman" w:cs="Times New Roman"/>
        </w:rPr>
        <w:t xml:space="preserve"> to </w:t>
      </w:r>
      <w:r w:rsidR="00EE28C3" w:rsidRPr="00515DBF">
        <w:rPr>
          <w:rFonts w:ascii="Times New Roman" w:hAnsi="Times New Roman" w:cs="Times New Roman"/>
        </w:rPr>
        <w:t>exert</w:t>
      </w:r>
      <w:r w:rsidRPr="00515DBF">
        <w:rPr>
          <w:rFonts w:ascii="Times New Roman" w:hAnsi="Times New Roman" w:cs="Times New Roman"/>
        </w:rPr>
        <w:t xml:space="preserve"> similar pressure on </w:t>
      </w:r>
      <w:r w:rsidR="00EE28C3" w:rsidRPr="00515DBF">
        <w:rPr>
          <w:rFonts w:ascii="Times New Roman" w:hAnsi="Times New Roman" w:cs="Times New Roman"/>
        </w:rPr>
        <w:t>the Treasury</w:t>
      </w:r>
      <w:r w:rsidRPr="00515DBF">
        <w:rPr>
          <w:rFonts w:ascii="Times New Roman" w:hAnsi="Times New Roman" w:cs="Times New Roman"/>
        </w:rPr>
        <w:t xml:space="preserve"> for the relative slowness of the decision, explaining that both </w:t>
      </w:r>
      <w:proofErr w:type="spellStart"/>
      <w:r w:rsidRPr="00515DBF">
        <w:rPr>
          <w:rFonts w:ascii="Times New Roman" w:hAnsi="Times New Roman" w:cs="Times New Roman"/>
        </w:rPr>
        <w:t>Prain</w:t>
      </w:r>
      <w:proofErr w:type="spellEnd"/>
      <w:r w:rsidRPr="00515DBF">
        <w:rPr>
          <w:rFonts w:ascii="Times New Roman" w:hAnsi="Times New Roman" w:cs="Times New Roman"/>
        </w:rPr>
        <w:t xml:space="preserve"> and </w:t>
      </w:r>
      <w:proofErr w:type="spellStart"/>
      <w:r w:rsidRPr="00515DBF">
        <w:rPr>
          <w:rFonts w:ascii="Times New Roman" w:hAnsi="Times New Roman" w:cs="Times New Roman"/>
        </w:rPr>
        <w:t>Welensky</w:t>
      </w:r>
      <w:proofErr w:type="spellEnd"/>
      <w:r w:rsidRPr="00515DBF">
        <w:rPr>
          <w:rFonts w:ascii="Times New Roman" w:hAnsi="Times New Roman" w:cs="Times New Roman"/>
        </w:rPr>
        <w:t xml:space="preserve"> were concerned that no decision had been made.</w:t>
      </w:r>
      <w:proofErr w:type="gramEnd"/>
      <w:r w:rsidRPr="00515DBF">
        <w:rPr>
          <w:rStyle w:val="EndnoteReference"/>
          <w:rFonts w:ascii="Times New Roman" w:hAnsi="Times New Roman" w:cs="Times New Roman"/>
        </w:rPr>
        <w:endnoteReference w:id="107"/>
      </w:r>
      <w:r w:rsidRPr="00515DBF">
        <w:rPr>
          <w:rFonts w:ascii="Times New Roman" w:hAnsi="Times New Roman" w:cs="Times New Roman"/>
        </w:rPr>
        <w:t xml:space="preserve"> In fact the Advisory Panel under Lord Kennet</w:t>
      </w:r>
      <w:r w:rsidR="0051680F">
        <w:rPr>
          <w:rFonts w:ascii="Times New Roman" w:hAnsi="Times New Roman" w:cs="Times New Roman"/>
        </w:rPr>
        <w:t xml:space="preserve"> (then Chairman of the Capital Issues Committee of the UK Treasury)</w:t>
      </w:r>
      <w:r w:rsidRPr="00515DBF">
        <w:rPr>
          <w:rFonts w:ascii="Times New Roman" w:hAnsi="Times New Roman" w:cs="Times New Roman"/>
        </w:rPr>
        <w:t xml:space="preserve"> had made their recommendation in favour of allowing the transfer by October of 1952, writing to the Revenue asking them to drop their objections.</w:t>
      </w:r>
      <w:r w:rsidRPr="00515DBF">
        <w:rPr>
          <w:rStyle w:val="EndnoteReference"/>
          <w:rFonts w:ascii="Times New Roman" w:hAnsi="Times New Roman" w:cs="Times New Roman"/>
        </w:rPr>
        <w:endnoteReference w:id="108"/>
      </w:r>
      <w:r w:rsidRPr="00515DBF">
        <w:rPr>
          <w:rFonts w:ascii="Times New Roman" w:hAnsi="Times New Roman" w:cs="Times New Roman"/>
        </w:rPr>
        <w:t xml:space="preserve"> However, the Treasury remained unsure of how to proceed:</w:t>
      </w:r>
    </w:p>
    <w:p w14:paraId="28ADB0C5" w14:textId="77777777" w:rsidR="00183713" w:rsidRPr="00515DBF" w:rsidRDefault="00183713" w:rsidP="00BD00C6">
      <w:pPr>
        <w:spacing w:line="480" w:lineRule="auto"/>
        <w:jc w:val="both"/>
        <w:rPr>
          <w:rFonts w:ascii="Times New Roman" w:hAnsi="Times New Roman" w:cs="Times New Roman"/>
        </w:rPr>
      </w:pPr>
    </w:p>
    <w:p w14:paraId="2A6330B0" w14:textId="04D33A53" w:rsidR="00183713" w:rsidRPr="00515DBF" w:rsidRDefault="00183713" w:rsidP="00BD00C6">
      <w:pPr>
        <w:spacing w:line="480" w:lineRule="auto"/>
        <w:ind w:left="567"/>
        <w:jc w:val="both"/>
        <w:rPr>
          <w:rFonts w:ascii="Times New Roman" w:hAnsi="Times New Roman" w:cs="Times New Roman"/>
        </w:rPr>
      </w:pPr>
      <w:r w:rsidRPr="00515DBF">
        <w:rPr>
          <w:rFonts w:ascii="Times New Roman" w:hAnsi="Times New Roman" w:cs="Times New Roman"/>
        </w:rPr>
        <w:t xml:space="preserve">The loss of revenue apart, it is in general a matter for regret that so many enterprises created or established </w:t>
      </w:r>
      <w:r w:rsidR="00F70997" w:rsidRPr="00515DBF">
        <w:rPr>
          <w:rFonts w:ascii="Times New Roman" w:hAnsi="Times New Roman" w:cs="Times New Roman"/>
        </w:rPr>
        <w:t>in the</w:t>
      </w:r>
      <w:r w:rsidRPr="00515DBF">
        <w:rPr>
          <w:rFonts w:ascii="Times New Roman" w:hAnsi="Times New Roman" w:cs="Times New Roman"/>
        </w:rPr>
        <w:t xml:space="preserve"> United Kingdom should find it necessary, or at least advantageous, to move their seats of control and management elsewhere. Where the desire to migrate generally arises from </w:t>
      </w:r>
      <w:r w:rsidRPr="00515DBF">
        <w:rPr>
          <w:rFonts w:ascii="Times New Roman" w:hAnsi="Times New Roman" w:cs="Times New Roman"/>
        </w:rPr>
        <w:lastRenderedPageBreak/>
        <w:t xml:space="preserve">other causes than the weight of UK taxation, it is probable (ignoring the loss of revenue) that </w:t>
      </w:r>
      <w:proofErr w:type="gramStart"/>
      <w:r w:rsidRPr="00515DBF">
        <w:rPr>
          <w:rFonts w:ascii="Times New Roman" w:hAnsi="Times New Roman" w:cs="Times New Roman"/>
        </w:rPr>
        <w:t>the least damage would be done to the interests of the United Kingdom by allowing companies to pursue their own best interests</w:t>
      </w:r>
      <w:proofErr w:type="gramEnd"/>
      <w:r w:rsidRPr="00515DBF">
        <w:rPr>
          <w:rFonts w:ascii="Times New Roman" w:hAnsi="Times New Roman" w:cs="Times New Roman"/>
        </w:rPr>
        <w:t>. But where the principle</w:t>
      </w:r>
      <w:r w:rsidR="00CD6511">
        <w:rPr>
          <w:rFonts w:ascii="Times New Roman" w:hAnsi="Times New Roman" w:cs="Times New Roman"/>
        </w:rPr>
        <w:t xml:space="preserve"> [</w:t>
      </w:r>
      <w:r w:rsidR="00DC09DA">
        <w:rPr>
          <w:rFonts w:ascii="Times New Roman" w:hAnsi="Times New Roman" w:cs="Times New Roman"/>
        </w:rPr>
        <w:t>sic</w:t>
      </w:r>
      <w:r w:rsidR="00CD6511">
        <w:rPr>
          <w:rFonts w:ascii="Times New Roman" w:hAnsi="Times New Roman" w:cs="Times New Roman"/>
        </w:rPr>
        <w:t>]</w:t>
      </w:r>
      <w:r w:rsidRPr="00515DBF">
        <w:rPr>
          <w:rFonts w:ascii="Times New Roman" w:hAnsi="Times New Roman" w:cs="Times New Roman"/>
        </w:rPr>
        <w:t xml:space="preserve"> motive for migration is the avoidance of tax, the matter assumes a different aspect.</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109"/>
      </w:r>
    </w:p>
    <w:p w14:paraId="3A4F8F7A" w14:textId="77777777" w:rsidR="00183713" w:rsidRPr="00515DBF" w:rsidRDefault="00183713" w:rsidP="00BD00C6">
      <w:pPr>
        <w:spacing w:line="480" w:lineRule="auto"/>
        <w:jc w:val="both"/>
        <w:rPr>
          <w:rFonts w:ascii="Times New Roman" w:hAnsi="Times New Roman" w:cs="Times New Roman"/>
        </w:rPr>
      </w:pPr>
    </w:p>
    <w:p w14:paraId="1940165C" w14:textId="77777777"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As the report noted 'both motives are frequently at work in the one case' and 'the decisive motive cannot be objectively determined but it can be inferred'. This placed the UK government in the slightly unusual position of trying to judge strategic motivation, but where under the legislation–designed to preserve revenue–the weight of taxation being the main concern.</w:t>
      </w:r>
      <w:r w:rsidRPr="00515DBF">
        <w:rPr>
          <w:rStyle w:val="EndnoteReference"/>
          <w:rFonts w:ascii="Times New Roman" w:hAnsi="Times New Roman" w:cs="Times New Roman"/>
        </w:rPr>
        <w:endnoteReference w:id="110"/>
      </w:r>
      <w:r w:rsidRPr="00515DBF">
        <w:rPr>
          <w:rFonts w:ascii="Times New Roman" w:hAnsi="Times New Roman" w:cs="Times New Roman"/>
        </w:rPr>
        <w:t xml:space="preserve"> </w:t>
      </w:r>
    </w:p>
    <w:p w14:paraId="73C20D50" w14:textId="1291AD12"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 xml:space="preserve">One initial option the Treasury considered was to just allow </w:t>
      </w:r>
      <w:proofErr w:type="spellStart"/>
      <w:r w:rsidRPr="00515DBF">
        <w:rPr>
          <w:rFonts w:ascii="Times New Roman" w:hAnsi="Times New Roman" w:cs="Times New Roman"/>
        </w:rPr>
        <w:t>Chibuluma</w:t>
      </w:r>
      <w:proofErr w:type="spellEnd"/>
      <w:r w:rsidRPr="00515DBF">
        <w:rPr>
          <w:rFonts w:ascii="Times New Roman" w:hAnsi="Times New Roman" w:cs="Times New Roman"/>
        </w:rPr>
        <w:t xml:space="preserve"> Mines Limited to migrate because the Inland Revenue had no objections, largely because it generated no tax income for the revenue.</w:t>
      </w:r>
      <w:r w:rsidRPr="00515DBF">
        <w:rPr>
          <w:rStyle w:val="EndnoteReference"/>
          <w:rFonts w:ascii="Times New Roman" w:hAnsi="Times New Roman" w:cs="Times New Roman"/>
        </w:rPr>
        <w:endnoteReference w:id="111"/>
      </w:r>
      <w:r w:rsidRPr="00515DBF">
        <w:rPr>
          <w:rFonts w:ascii="Times New Roman" w:hAnsi="Times New Roman" w:cs="Times New Roman"/>
        </w:rPr>
        <w:t xml:space="preserve"> The Treasury clearly believed that the loss to the revenue and the gain to the companies–by 1953 estimated to be £5.5million per annum–</w:t>
      </w:r>
      <w:r w:rsidR="0088379A">
        <w:rPr>
          <w:rFonts w:ascii="Times New Roman" w:hAnsi="Times New Roman" w:cs="Times New Roman"/>
        </w:rPr>
        <w:t>that</w:t>
      </w:r>
      <w:r w:rsidR="0088379A" w:rsidRPr="00515DBF">
        <w:rPr>
          <w:rFonts w:ascii="Times New Roman" w:hAnsi="Times New Roman" w:cs="Times New Roman"/>
        </w:rPr>
        <w:t xml:space="preserve"> </w:t>
      </w:r>
      <w:r w:rsidRPr="00515DBF">
        <w:rPr>
          <w:rFonts w:ascii="Times New Roman" w:hAnsi="Times New Roman" w:cs="Times New Roman"/>
        </w:rPr>
        <w:t xml:space="preserve">'despite the group's denials’ </w:t>
      </w:r>
      <w:r w:rsidR="0088379A" w:rsidRPr="00515DBF">
        <w:rPr>
          <w:rFonts w:ascii="Times New Roman" w:hAnsi="Times New Roman" w:cs="Times New Roman"/>
        </w:rPr>
        <w:t>was ‘a major factor</w:t>
      </w:r>
      <w:r w:rsidRPr="00515DBF">
        <w:rPr>
          <w:rFonts w:ascii="Times New Roman" w:hAnsi="Times New Roman" w:cs="Times New Roman"/>
        </w:rPr>
        <w:t xml:space="preserve"> behind the application.'</w:t>
      </w:r>
      <w:r w:rsidRPr="00515DBF">
        <w:rPr>
          <w:rStyle w:val="EndnoteReference"/>
          <w:rFonts w:ascii="Times New Roman" w:hAnsi="Times New Roman" w:cs="Times New Roman"/>
        </w:rPr>
        <w:endnoteReference w:id="112"/>
      </w:r>
      <w:r w:rsidRPr="00515DBF">
        <w:rPr>
          <w:rFonts w:ascii="Times New Roman" w:hAnsi="Times New Roman" w:cs="Times New Roman"/>
        </w:rPr>
        <w:t xml:space="preserve"> The government in Northern Rhodesia and the Colonial Office in London, however, remained </w:t>
      </w:r>
      <w:r w:rsidR="005E370A">
        <w:rPr>
          <w:rFonts w:ascii="Times New Roman" w:hAnsi="Times New Roman" w:cs="Times New Roman"/>
        </w:rPr>
        <w:t>of the opinion that all of the companie</w:t>
      </w:r>
      <w:r w:rsidRPr="00515DBF">
        <w:rPr>
          <w:rFonts w:ascii="Times New Roman" w:hAnsi="Times New Roman" w:cs="Times New Roman"/>
        </w:rPr>
        <w:t>s ought to be able to migrate.</w:t>
      </w:r>
      <w:r w:rsidRPr="00515DBF">
        <w:rPr>
          <w:rStyle w:val="EndnoteReference"/>
          <w:rFonts w:ascii="Times New Roman" w:hAnsi="Times New Roman" w:cs="Times New Roman"/>
        </w:rPr>
        <w:endnoteReference w:id="113"/>
      </w:r>
      <w:r w:rsidRPr="00515DBF">
        <w:rPr>
          <w:rFonts w:ascii="Times New Roman" w:hAnsi="Times New Roman" w:cs="Times New Roman"/>
        </w:rPr>
        <w:t xml:space="preserve"> Eventually, by March 1953 that view prevailed, and the Chancellor of the Exchequer decided to allow all of the copper companies to transfer domicile.</w:t>
      </w:r>
      <w:r w:rsidRPr="00515DBF">
        <w:rPr>
          <w:rStyle w:val="EndnoteReference"/>
          <w:rFonts w:ascii="Times New Roman" w:hAnsi="Times New Roman" w:cs="Times New Roman"/>
        </w:rPr>
        <w:endnoteReference w:id="114"/>
      </w:r>
      <w:r w:rsidRPr="00515DBF">
        <w:rPr>
          <w:rFonts w:ascii="Times New Roman" w:hAnsi="Times New Roman" w:cs="Times New Roman"/>
        </w:rPr>
        <w:t xml:space="preserve"> Oliver </w:t>
      </w:r>
      <w:proofErr w:type="spellStart"/>
      <w:r w:rsidRPr="00515DBF">
        <w:rPr>
          <w:rFonts w:ascii="Times New Roman" w:hAnsi="Times New Roman" w:cs="Times New Roman"/>
        </w:rPr>
        <w:t>Lyttelton</w:t>
      </w:r>
      <w:proofErr w:type="spellEnd"/>
      <w:r w:rsidRPr="00515DBF">
        <w:rPr>
          <w:rFonts w:ascii="Times New Roman" w:hAnsi="Times New Roman" w:cs="Times New Roman"/>
        </w:rPr>
        <w:t>, the Colonial Secretary wrote to R</w:t>
      </w:r>
      <w:r w:rsidR="00F70997" w:rsidRPr="00515DBF">
        <w:rPr>
          <w:rFonts w:ascii="Times New Roman" w:hAnsi="Times New Roman" w:cs="Times New Roman"/>
        </w:rPr>
        <w:t xml:space="preserve">. </w:t>
      </w:r>
      <w:r w:rsidRPr="00515DBF">
        <w:rPr>
          <w:rFonts w:ascii="Times New Roman" w:hAnsi="Times New Roman" w:cs="Times New Roman"/>
        </w:rPr>
        <w:t>A</w:t>
      </w:r>
      <w:r w:rsidR="00F70997" w:rsidRPr="00515DBF">
        <w:rPr>
          <w:rFonts w:ascii="Times New Roman" w:hAnsi="Times New Roman" w:cs="Times New Roman"/>
        </w:rPr>
        <w:t xml:space="preserve">. </w:t>
      </w:r>
      <w:r w:rsidRPr="00515DBF">
        <w:rPr>
          <w:rFonts w:ascii="Times New Roman" w:hAnsi="Times New Roman" w:cs="Times New Roman"/>
        </w:rPr>
        <w:t>Butler</w:t>
      </w:r>
      <w:r w:rsidR="00F70997" w:rsidRPr="00515DBF">
        <w:rPr>
          <w:rFonts w:ascii="Times New Roman" w:hAnsi="Times New Roman" w:cs="Times New Roman"/>
        </w:rPr>
        <w:t xml:space="preserve"> </w:t>
      </w:r>
      <w:r w:rsidRPr="00515DBF">
        <w:rPr>
          <w:rFonts w:ascii="Times New Roman" w:hAnsi="Times New Roman" w:cs="Times New Roman"/>
        </w:rPr>
        <w:t xml:space="preserve">to say he was 'very happy' about the decision, also commenting that he thought it was 'a major matter of imperial policy'. Scrawled in the margin, </w:t>
      </w:r>
      <w:r w:rsidR="00F70997" w:rsidRPr="00515DBF">
        <w:rPr>
          <w:rFonts w:ascii="Times New Roman" w:hAnsi="Times New Roman" w:cs="Times New Roman"/>
        </w:rPr>
        <w:t xml:space="preserve">was </w:t>
      </w:r>
      <w:r w:rsidRPr="00515DBF">
        <w:rPr>
          <w:rFonts w:ascii="Times New Roman" w:hAnsi="Times New Roman" w:cs="Times New Roman"/>
        </w:rPr>
        <w:t>one word: 'Hooray.'</w:t>
      </w:r>
      <w:r w:rsidRPr="00515DBF">
        <w:rPr>
          <w:rStyle w:val="EndnoteReference"/>
          <w:rFonts w:ascii="Times New Roman" w:hAnsi="Times New Roman" w:cs="Times New Roman"/>
        </w:rPr>
        <w:endnoteReference w:id="115"/>
      </w:r>
    </w:p>
    <w:p w14:paraId="36329C64" w14:textId="77777777" w:rsidR="00183713" w:rsidRPr="00515DBF" w:rsidRDefault="00183713" w:rsidP="00BD00C6">
      <w:pPr>
        <w:spacing w:line="480" w:lineRule="auto"/>
        <w:jc w:val="both"/>
        <w:rPr>
          <w:rFonts w:ascii="Times New Roman" w:hAnsi="Times New Roman" w:cs="Times New Roman"/>
        </w:rPr>
      </w:pPr>
    </w:p>
    <w:p w14:paraId="16F805C1" w14:textId="331D20FB" w:rsidR="00183713" w:rsidRPr="00515DBF" w:rsidRDefault="00183713" w:rsidP="00697869">
      <w:pPr>
        <w:rPr>
          <w:rFonts w:ascii="Times New Roman" w:hAnsi="Times New Roman" w:cs="Times New Roman"/>
          <w:b/>
        </w:rPr>
      </w:pPr>
      <w:r w:rsidRPr="00515DBF">
        <w:rPr>
          <w:rFonts w:ascii="Times New Roman" w:hAnsi="Times New Roman" w:cs="Times New Roman"/>
          <w:b/>
        </w:rPr>
        <w:lastRenderedPageBreak/>
        <w:t>Conclusions</w:t>
      </w:r>
    </w:p>
    <w:p w14:paraId="50DE4BDC" w14:textId="3EA5C257" w:rsidR="00183713" w:rsidRPr="00515DBF" w:rsidRDefault="00183713" w:rsidP="00BD00C6">
      <w:pPr>
        <w:spacing w:line="480" w:lineRule="auto"/>
        <w:jc w:val="both"/>
        <w:rPr>
          <w:rFonts w:ascii="Times New Roman" w:hAnsi="Times New Roman" w:cs="Times New Roman"/>
        </w:rPr>
      </w:pPr>
    </w:p>
    <w:p w14:paraId="59FB6209" w14:textId="10287E59" w:rsidR="00183713" w:rsidRPr="00515DBF" w:rsidRDefault="00F70997" w:rsidP="00BD00C6">
      <w:pPr>
        <w:spacing w:line="480" w:lineRule="auto"/>
        <w:jc w:val="both"/>
        <w:rPr>
          <w:rFonts w:ascii="Times New Roman" w:hAnsi="Times New Roman" w:cs="Times New Roman"/>
        </w:rPr>
      </w:pPr>
      <w:r w:rsidRPr="00515DBF">
        <w:rPr>
          <w:rFonts w:ascii="Times New Roman" w:hAnsi="Times New Roman" w:cs="Times New Roman"/>
        </w:rPr>
        <w:t>The core purpose of</w:t>
      </w:r>
      <w:r w:rsidR="00183713" w:rsidRPr="00515DBF">
        <w:rPr>
          <w:rFonts w:ascii="Times New Roman" w:hAnsi="Times New Roman" w:cs="Times New Roman"/>
        </w:rPr>
        <w:t xml:space="preserve"> this SI </w:t>
      </w:r>
      <w:r w:rsidRPr="00515DBF">
        <w:rPr>
          <w:rFonts w:ascii="Times New Roman" w:hAnsi="Times New Roman" w:cs="Times New Roman"/>
        </w:rPr>
        <w:t>is to</w:t>
      </w:r>
      <w:r w:rsidR="00183713" w:rsidRPr="00515DBF">
        <w:rPr>
          <w:rFonts w:ascii="Times New Roman" w:hAnsi="Times New Roman" w:cs="Times New Roman"/>
        </w:rPr>
        <w:t xml:space="preserve"> examine the importance of "nationality" to corporations. The overarching interpretation that we have developed here is to emphasise how notions of nationality reflect and describe a political and economic terrain that corporations have to negotiate. This sits outside the firms themselves but comes to affect behaviour within firms, as they interact with the changing external environment.  This article makes a number of contributions to the historical literature relating to both the nationality and internationality of the corporation. </w:t>
      </w:r>
    </w:p>
    <w:p w14:paraId="75178DC6" w14:textId="5F852F86"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 xml:space="preserve">First the sovereignty puncturing nature of international investment (and on the ground, international business) as part </w:t>
      </w:r>
      <w:r w:rsidR="00F70997" w:rsidRPr="00515DBF">
        <w:rPr>
          <w:rFonts w:ascii="Times New Roman" w:hAnsi="Times New Roman" w:cs="Times New Roman"/>
        </w:rPr>
        <w:t xml:space="preserve">of </w:t>
      </w:r>
      <w:r w:rsidRPr="00515DBF">
        <w:rPr>
          <w:rFonts w:ascii="Times New Roman" w:hAnsi="Times New Roman" w:cs="Times New Roman"/>
        </w:rPr>
        <w:t>im</w:t>
      </w:r>
      <w:r w:rsidR="00714A41">
        <w:rPr>
          <w:rFonts w:ascii="Times New Roman" w:hAnsi="Times New Roman" w:cs="Times New Roman"/>
        </w:rPr>
        <w:t>perial processes means that</w:t>
      </w:r>
      <w:r w:rsidRPr="00515DBF">
        <w:rPr>
          <w:rFonts w:ascii="Times New Roman" w:hAnsi="Times New Roman" w:cs="Times New Roman"/>
        </w:rPr>
        <w:t xml:space="preserve"> investment (the businesses) can become both a site of de-colonial conflict, and also a venue where broader structural changes in international political-economic power play out. With reference to the Selection Trust companies in CAF we see that in a number of ways. In the context of the 'periphery'–in the CAF–</w:t>
      </w:r>
      <w:proofErr w:type="spellStart"/>
      <w:r w:rsidRPr="00515DBF">
        <w:rPr>
          <w:rFonts w:ascii="Times New Roman" w:hAnsi="Times New Roman" w:cs="Times New Roman"/>
        </w:rPr>
        <w:t>Welensky's</w:t>
      </w:r>
      <w:proofErr w:type="spellEnd"/>
      <w:r w:rsidRPr="00515DBF">
        <w:rPr>
          <w:rFonts w:ascii="Times New Roman" w:hAnsi="Times New Roman" w:cs="Times New Roman"/>
        </w:rPr>
        <w:t xml:space="preserve"> settler nationalism led the colonial government to seek effective control of an economic asset of strategic importance to the viability of the CAF. In this way the "nationality" of the firm became important within that political discourse: if it was a </w:t>
      </w:r>
      <w:r w:rsidR="00A86F85">
        <w:rPr>
          <w:rFonts w:ascii="Times New Roman" w:hAnsi="Times New Roman" w:cs="Times New Roman"/>
        </w:rPr>
        <w:t>“</w:t>
      </w:r>
      <w:r w:rsidRPr="00515DBF">
        <w:rPr>
          <w:rFonts w:ascii="Times New Roman" w:hAnsi="Times New Roman" w:cs="Times New Roman"/>
        </w:rPr>
        <w:t>British</w:t>
      </w:r>
      <w:r w:rsidR="00A86F85">
        <w:rPr>
          <w:rFonts w:ascii="Times New Roman" w:hAnsi="Times New Roman" w:cs="Times New Roman"/>
        </w:rPr>
        <w:t>”</w:t>
      </w:r>
      <w:r w:rsidRPr="00515DBF">
        <w:rPr>
          <w:rFonts w:ascii="Times New Roman" w:hAnsi="Times New Roman" w:cs="Times New Roman"/>
        </w:rPr>
        <w:t xml:space="preserve"> firm based in the UK then Northern Rhodesian political interests would have less power; if the company could move its domicile (change "nationality") then it would lead to an increase in power in that colony. This should not be seen as decolonization per se, but as disintegration as the settler colonialists sought to develop the economy and consolidate their power in </w:t>
      </w:r>
      <w:r w:rsidRPr="00515DBF">
        <w:rPr>
          <w:rFonts w:ascii="Times New Roman" w:hAnsi="Times New Roman" w:cs="Times New Roman"/>
          <w:i/>
        </w:rPr>
        <w:t>their own</w:t>
      </w:r>
      <w:r w:rsidRPr="00515DBF">
        <w:rPr>
          <w:rFonts w:ascii="Times New Roman" w:hAnsi="Times New Roman" w:cs="Times New Roman"/>
        </w:rPr>
        <w:t xml:space="preserve"> interests. </w:t>
      </w:r>
    </w:p>
    <w:p w14:paraId="7353BC85" w14:textId="6BEE024B"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lastRenderedPageBreak/>
        <w:tab/>
        <w:t xml:space="preserve">Second, the ability of jurisdictions (which are aspects of sovereign power) to exert control over corporate entities is also of importance. Legislation passed to prevent corporate migration </w:t>
      </w:r>
      <w:r w:rsidR="007F72FE" w:rsidRPr="00515DBF">
        <w:rPr>
          <w:rFonts w:ascii="Times New Roman" w:hAnsi="Times New Roman" w:cs="Times New Roman"/>
        </w:rPr>
        <w:t>from</w:t>
      </w:r>
      <w:r w:rsidRPr="00515DBF">
        <w:rPr>
          <w:rFonts w:ascii="Times New Roman" w:hAnsi="Times New Roman" w:cs="Times New Roman"/>
        </w:rPr>
        <w:t xml:space="preserve"> the UK </w:t>
      </w:r>
      <w:r w:rsidR="001D57C3">
        <w:rPr>
          <w:rFonts w:ascii="Times New Roman" w:hAnsi="Times New Roman" w:cs="Times New Roman"/>
        </w:rPr>
        <w:t>did not point</w:t>
      </w:r>
      <w:r w:rsidRPr="00515DBF">
        <w:rPr>
          <w:rFonts w:ascii="Times New Roman" w:hAnsi="Times New Roman" w:cs="Times New Roman"/>
        </w:rPr>
        <w:t xml:space="preserve"> to economic strength but to economic weakness</w:t>
      </w:r>
      <w:r w:rsidR="001D57C3">
        <w:rPr>
          <w:rFonts w:ascii="Times New Roman" w:hAnsi="Times New Roman" w:cs="Times New Roman"/>
        </w:rPr>
        <w:t>,</w:t>
      </w:r>
      <w:r w:rsidRPr="00515DBF">
        <w:rPr>
          <w:rFonts w:ascii="Times New Roman" w:hAnsi="Times New Roman" w:cs="Times New Roman"/>
        </w:rPr>
        <w:t xml:space="preserve"> transferred to the policy domain as a defensive measure. The sense that the decline of Britain economically–particularly the decline of the City of London–marks both the structural inability of Britain to exercise its power imperially, and also explains why firms might want to move away from the UK. At the same time, the political bargains that corporations might strike locally (in a gradually decolonizing world) represents both the increase to sovereignty in those domains, and a structural shift away from British capitalist-imperialist power, to American capitalist power–which can be argued as imperialist also from a structural (and sometimes intentional) perspective also. Nevertheless, the ability of gradually decolonising states, such as Northern Rhodesia, to increasingly assert their sovereign power over the corporations that operated within their borders show how the "core" was withering and the "periphery" was increasingly able to take control. Within the process at the heart of government in the UK we see a contest for different views of the best ways to proceed in the (British) national interest, which is weighed against the needs of colonial development, tax revenue, and international politics. This guards against notions of monolithic unitary intent and </w:t>
      </w:r>
      <w:proofErr w:type="spellStart"/>
      <w:r w:rsidRPr="00515DBF">
        <w:rPr>
          <w:rFonts w:ascii="Times New Roman" w:hAnsi="Times New Roman" w:cs="Times New Roman"/>
        </w:rPr>
        <w:t>synecdochical</w:t>
      </w:r>
      <w:proofErr w:type="spellEnd"/>
      <w:r w:rsidRPr="00515DBF">
        <w:rPr>
          <w:rFonts w:ascii="Times New Roman" w:hAnsi="Times New Roman" w:cs="Times New Roman"/>
        </w:rPr>
        <w:t xml:space="preserve"> ways of describing the position of actors. It also speaks to the tensions and difficulties that the </w:t>
      </w:r>
      <w:r w:rsidR="00286A7A" w:rsidRPr="00515DBF">
        <w:rPr>
          <w:rFonts w:ascii="Times New Roman" w:hAnsi="Times New Roman" w:cs="Times New Roman"/>
        </w:rPr>
        <w:t>British</w:t>
      </w:r>
      <w:r w:rsidRPr="00515DBF">
        <w:rPr>
          <w:rFonts w:ascii="Times New Roman" w:hAnsi="Times New Roman" w:cs="Times New Roman"/>
        </w:rPr>
        <w:t xml:space="preserve"> government as a whole had to deal with at a moment of economic and imperial decline. Indeed, the concerns about the impact of taxation on British international business led to the creation of the Royal Commission on Taxation of Profits and Income that ultimately led to the creation of the Overseas Trading </w:t>
      </w:r>
      <w:r w:rsidRPr="00515DBF">
        <w:rPr>
          <w:rFonts w:ascii="Times New Roman" w:hAnsi="Times New Roman" w:cs="Times New Roman"/>
        </w:rPr>
        <w:lastRenderedPageBreak/>
        <w:t>Company tax status for British overseas business, about which considerably more need to be known.</w:t>
      </w:r>
      <w:r w:rsidRPr="00515DBF">
        <w:rPr>
          <w:rStyle w:val="EndnoteReference"/>
          <w:rFonts w:ascii="Times New Roman" w:hAnsi="Times New Roman" w:cs="Times New Roman"/>
        </w:rPr>
        <w:t xml:space="preserve"> </w:t>
      </w:r>
      <w:r w:rsidRPr="00515DBF">
        <w:rPr>
          <w:rStyle w:val="EndnoteReference"/>
          <w:rFonts w:ascii="Times New Roman" w:hAnsi="Times New Roman" w:cs="Times New Roman"/>
        </w:rPr>
        <w:endnoteReference w:id="116"/>
      </w:r>
    </w:p>
    <w:p w14:paraId="1CFE022B" w14:textId="0FCE36A5" w:rsidR="00183713" w:rsidRPr="00515DBF" w:rsidRDefault="00183713" w:rsidP="00BD00C6">
      <w:pPr>
        <w:spacing w:line="480" w:lineRule="auto"/>
        <w:jc w:val="both"/>
        <w:rPr>
          <w:rFonts w:ascii="Times New Roman" w:hAnsi="Times New Roman" w:cs="Times New Roman"/>
        </w:rPr>
      </w:pPr>
      <w:r w:rsidRPr="00515DBF">
        <w:rPr>
          <w:rFonts w:ascii="Times New Roman" w:hAnsi="Times New Roman" w:cs="Times New Roman"/>
        </w:rPr>
        <w:tab/>
        <w:t>Third, we turn to the corporations as actors in the process narrated her</w:t>
      </w:r>
      <w:r w:rsidR="00F70997" w:rsidRPr="00515DBF">
        <w:rPr>
          <w:rFonts w:ascii="Times New Roman" w:hAnsi="Times New Roman" w:cs="Times New Roman"/>
        </w:rPr>
        <w:t>e</w:t>
      </w:r>
      <w:r w:rsidRPr="00515DBF">
        <w:rPr>
          <w:rFonts w:ascii="Times New Roman" w:hAnsi="Times New Roman" w:cs="Times New Roman"/>
        </w:rPr>
        <w:t>. Here we can see opportunism, a desire to align with the nascent political powers (in this case both the USA and the CAF, and away from Britain) and evidence of the footloose nature of capital. Here we understand being footloose in terms of the ability to shift domicile (clearly mines cannot move!). This was mediated by the need to articulate with, and integrate into, power structures that were defined nationally–including gaining access to "American" capital.</w:t>
      </w:r>
      <w:r w:rsidR="005F5D50">
        <w:rPr>
          <w:rFonts w:ascii="Times New Roman" w:hAnsi="Times New Roman" w:cs="Times New Roman"/>
        </w:rPr>
        <w:t xml:space="preserve">  </w:t>
      </w:r>
      <w:r w:rsidR="00147962">
        <w:rPr>
          <w:rFonts w:ascii="Times New Roman" w:hAnsi="Times New Roman" w:cs="Times New Roman"/>
        </w:rPr>
        <w:t xml:space="preserve">It nevertheless also represents the ability of the RST group to adapt and mutate </w:t>
      </w:r>
      <w:r w:rsidR="005F5D50">
        <w:rPr>
          <w:rFonts w:ascii="Times New Roman" w:hAnsi="Times New Roman" w:cs="Times New Roman"/>
        </w:rPr>
        <w:t xml:space="preserve">from a </w:t>
      </w:r>
      <w:r w:rsidRPr="00515DBF">
        <w:rPr>
          <w:rFonts w:ascii="Times New Roman" w:hAnsi="Times New Roman" w:cs="Times New Roman"/>
        </w:rPr>
        <w:t>"British" business into something more "international" or, perhaps, to becom</w:t>
      </w:r>
      <w:r w:rsidR="005F5D50">
        <w:rPr>
          <w:rFonts w:ascii="Times New Roman" w:hAnsi="Times New Roman" w:cs="Times New Roman"/>
        </w:rPr>
        <w:t>ing</w:t>
      </w:r>
      <w:r w:rsidRPr="00515DBF">
        <w:rPr>
          <w:rFonts w:ascii="Times New Roman" w:hAnsi="Times New Roman" w:cs="Times New Roman"/>
        </w:rPr>
        <w:t xml:space="preserve"> more obviously </w:t>
      </w:r>
      <w:r w:rsidR="00BB63AC">
        <w:rPr>
          <w:rFonts w:ascii="Times New Roman" w:hAnsi="Times New Roman" w:cs="Times New Roman"/>
        </w:rPr>
        <w:t>“</w:t>
      </w:r>
      <w:r w:rsidRPr="00515DBF">
        <w:rPr>
          <w:rFonts w:ascii="Times New Roman" w:hAnsi="Times New Roman" w:cs="Times New Roman"/>
        </w:rPr>
        <w:t>American</w:t>
      </w:r>
      <w:r w:rsidR="00BB63AC">
        <w:rPr>
          <w:rFonts w:ascii="Times New Roman" w:hAnsi="Times New Roman" w:cs="Times New Roman"/>
        </w:rPr>
        <w:t>”</w:t>
      </w:r>
      <w:r w:rsidRPr="00515DBF">
        <w:rPr>
          <w:rFonts w:ascii="Times New Roman" w:hAnsi="Times New Roman" w:cs="Times New Roman"/>
        </w:rPr>
        <w:t>, since the companies in question</w:t>
      </w:r>
      <w:r w:rsidR="00A86F85">
        <w:rPr>
          <w:rFonts w:ascii="Times New Roman" w:hAnsi="Times New Roman" w:cs="Times New Roman"/>
        </w:rPr>
        <w:t xml:space="preserve"> were subsidiaries of American corporations</w:t>
      </w:r>
      <w:r w:rsidRPr="00515DBF">
        <w:rPr>
          <w:rFonts w:ascii="Times New Roman" w:hAnsi="Times New Roman" w:cs="Times New Roman"/>
        </w:rPr>
        <w:t>, at least nominally.</w:t>
      </w:r>
    </w:p>
    <w:p w14:paraId="3A80D7A1" w14:textId="31F2BA50" w:rsidR="00C71159" w:rsidRPr="00515DBF" w:rsidRDefault="00183713" w:rsidP="00BD00C6">
      <w:pPr>
        <w:spacing w:line="480" w:lineRule="auto"/>
        <w:jc w:val="both"/>
        <w:rPr>
          <w:rFonts w:ascii="Times New Roman" w:hAnsi="Times New Roman" w:cs="Times New Roman"/>
        </w:rPr>
        <w:sectPr w:rsidR="00C71159" w:rsidRPr="00515DBF" w:rsidSect="00FC53FE">
          <w:headerReference w:type="even" r:id="rId9"/>
          <w:headerReference w:type="default" r:id="rId10"/>
          <w:footerReference w:type="even" r:id="rId11"/>
          <w:footerReference w:type="default" r:id="rId12"/>
          <w:headerReference w:type="first" r:id="rId13"/>
          <w:footerReference w:type="first" r:id="rId14"/>
          <w:endnotePr>
            <w:numFmt w:val="decimal"/>
          </w:endnotePr>
          <w:pgSz w:w="11900" w:h="16840"/>
          <w:pgMar w:top="1440" w:right="2261" w:bottom="1440" w:left="1800" w:header="708" w:footer="708" w:gutter="0"/>
          <w:cols w:space="708"/>
          <w:docGrid w:linePitch="360"/>
        </w:sectPr>
      </w:pPr>
      <w:r w:rsidRPr="00515DBF">
        <w:rPr>
          <w:rFonts w:ascii="Times New Roman" w:hAnsi="Times New Roman" w:cs="Times New Roman"/>
        </w:rPr>
        <w:tab/>
        <w:t xml:space="preserve">And fourth, this case also serves as an </w:t>
      </w:r>
      <w:r w:rsidR="00810D5C">
        <w:rPr>
          <w:rFonts w:ascii="Times New Roman" w:hAnsi="Times New Roman" w:cs="Times New Roman"/>
        </w:rPr>
        <w:t xml:space="preserve">empirically evidenced </w:t>
      </w:r>
      <w:r w:rsidRPr="00515DBF">
        <w:rPr>
          <w:rFonts w:ascii="Times New Roman" w:hAnsi="Times New Roman" w:cs="Times New Roman"/>
        </w:rPr>
        <w:t>example of the decline</w:t>
      </w:r>
      <w:r w:rsidR="00BB63AC">
        <w:rPr>
          <w:rFonts w:ascii="Times New Roman" w:hAnsi="Times New Roman" w:cs="Times New Roman"/>
        </w:rPr>
        <w:t>/disappearance</w:t>
      </w:r>
      <w:r w:rsidRPr="00515DBF">
        <w:rPr>
          <w:rFonts w:ascii="Times New Roman" w:hAnsi="Times New Roman" w:cs="Times New Roman"/>
        </w:rPr>
        <w:t xml:space="preserve"> of the British FSC, not only in terms of what happened to specific firms, but also what happened to </w:t>
      </w:r>
      <w:r w:rsidR="00810D5C" w:rsidRPr="00515DBF">
        <w:rPr>
          <w:rFonts w:ascii="Times New Roman" w:hAnsi="Times New Roman" w:cs="Times New Roman"/>
        </w:rPr>
        <w:t>th</w:t>
      </w:r>
      <w:r w:rsidR="00810D5C">
        <w:rPr>
          <w:rFonts w:ascii="Times New Roman" w:hAnsi="Times New Roman" w:cs="Times New Roman"/>
        </w:rPr>
        <w:t xml:space="preserve">is </w:t>
      </w:r>
      <w:r w:rsidR="00BB63AC">
        <w:rPr>
          <w:rFonts w:ascii="Times New Roman" w:hAnsi="Times New Roman" w:cs="Times New Roman"/>
        </w:rPr>
        <w:t>specific</w:t>
      </w:r>
      <w:r w:rsidR="00810D5C" w:rsidRPr="00515DBF">
        <w:rPr>
          <w:rFonts w:ascii="Times New Roman" w:hAnsi="Times New Roman" w:cs="Times New Roman"/>
        </w:rPr>
        <w:t xml:space="preserve"> </w:t>
      </w:r>
      <w:r w:rsidRPr="00515DBF">
        <w:rPr>
          <w:rFonts w:ascii="Times New Roman" w:hAnsi="Times New Roman" w:cs="Times New Roman"/>
        </w:rPr>
        <w:t>mode of international organization: it was from a place and moment in historical time that were declining and decaying respectively, a product of unique historical conditions that–in the changing international political-economy of the post-war and decolonizing world–no longer held a reason to exis</w:t>
      </w:r>
      <w:r w:rsidR="00AA2F61">
        <w:rPr>
          <w:rFonts w:ascii="Times New Roman" w:hAnsi="Times New Roman" w:cs="Times New Roman"/>
        </w:rPr>
        <w:t xml:space="preserve">t. </w:t>
      </w:r>
      <w:r w:rsidR="00BB63AC">
        <w:rPr>
          <w:rFonts w:ascii="Times New Roman" w:hAnsi="Times New Roman" w:cs="Times New Roman"/>
        </w:rPr>
        <w:t xml:space="preserve">The City of London had become less attractive as a ‘headquarters city’ as the international capital markets for new international businesses diminished, and the </w:t>
      </w:r>
      <w:r w:rsidR="00AA2F61">
        <w:rPr>
          <w:rFonts w:ascii="Times New Roman" w:hAnsi="Times New Roman" w:cs="Times New Roman"/>
        </w:rPr>
        <w:t xml:space="preserve">networks </w:t>
      </w:r>
      <w:r w:rsidR="00BB63AC">
        <w:rPr>
          <w:rFonts w:ascii="Times New Roman" w:hAnsi="Times New Roman" w:cs="Times New Roman"/>
        </w:rPr>
        <w:t>of the professional and commercial services that had</w:t>
      </w:r>
      <w:r w:rsidR="00AA2F61">
        <w:rPr>
          <w:rFonts w:ascii="Times New Roman" w:hAnsi="Times New Roman" w:cs="Times New Roman"/>
        </w:rPr>
        <w:t xml:space="preserve"> helped to </w:t>
      </w:r>
      <w:r w:rsidR="00BB63AC">
        <w:rPr>
          <w:rFonts w:ascii="Times New Roman" w:hAnsi="Times New Roman" w:cs="Times New Roman"/>
        </w:rPr>
        <w:t>create</w:t>
      </w:r>
      <w:r w:rsidR="00361184">
        <w:rPr>
          <w:rFonts w:ascii="Times New Roman" w:hAnsi="Times New Roman" w:cs="Times New Roman"/>
        </w:rPr>
        <w:t xml:space="preserve"> </w:t>
      </w:r>
      <w:r w:rsidR="00BB63AC">
        <w:rPr>
          <w:rFonts w:ascii="Times New Roman" w:hAnsi="Times New Roman" w:cs="Times New Roman"/>
        </w:rPr>
        <w:t>FSCs themselves gradually disappeared.</w:t>
      </w:r>
      <w:r w:rsidR="00344AB0">
        <w:rPr>
          <w:rStyle w:val="EndnoteReference"/>
          <w:rFonts w:ascii="Times New Roman" w:hAnsi="Times New Roman" w:cs="Times New Roman"/>
        </w:rPr>
        <w:endnoteReference w:id="117"/>
      </w:r>
      <w:r w:rsidR="00BB63AC">
        <w:rPr>
          <w:rFonts w:ascii="Times New Roman" w:hAnsi="Times New Roman" w:cs="Times New Roman"/>
        </w:rPr>
        <w:t xml:space="preserve"> International </w:t>
      </w:r>
      <w:r w:rsidR="00361184">
        <w:rPr>
          <w:rFonts w:ascii="Times New Roman" w:hAnsi="Times New Roman" w:cs="Times New Roman"/>
        </w:rPr>
        <w:t>double</w:t>
      </w:r>
      <w:r w:rsidR="00AA2F61">
        <w:rPr>
          <w:rFonts w:ascii="Times New Roman" w:hAnsi="Times New Roman" w:cs="Times New Roman"/>
        </w:rPr>
        <w:t xml:space="preserve"> taxation together with the political forces unleashed by decolonisation essentially encouraged the movement of domicile </w:t>
      </w:r>
      <w:r w:rsidR="00AA2F61">
        <w:rPr>
          <w:rFonts w:ascii="Times New Roman" w:hAnsi="Times New Roman" w:cs="Times New Roman"/>
        </w:rPr>
        <w:lastRenderedPageBreak/>
        <w:t xml:space="preserve">away from the metropole in the extractive industries </w:t>
      </w:r>
      <w:r w:rsidR="00BB63AC">
        <w:rPr>
          <w:rFonts w:ascii="Times New Roman" w:hAnsi="Times New Roman" w:cs="Times New Roman"/>
        </w:rPr>
        <w:t>that had accounted for so much of pre-1914 era international investment</w:t>
      </w:r>
      <w:r w:rsidR="00AA2F61">
        <w:rPr>
          <w:rFonts w:ascii="Times New Roman" w:hAnsi="Times New Roman" w:cs="Times New Roman"/>
        </w:rPr>
        <w:t xml:space="preserve">. </w:t>
      </w:r>
      <w:r w:rsidR="00BB63AC">
        <w:rPr>
          <w:rFonts w:ascii="Times New Roman" w:hAnsi="Times New Roman" w:cs="Times New Roman"/>
        </w:rPr>
        <w:t xml:space="preserve">In these conditions, </w:t>
      </w:r>
      <w:r w:rsidR="003F203A">
        <w:rPr>
          <w:rFonts w:ascii="Times New Roman" w:hAnsi="Times New Roman" w:cs="Times New Roman"/>
        </w:rPr>
        <w:t>t</w:t>
      </w:r>
      <w:r w:rsidR="00AA2F61">
        <w:rPr>
          <w:rFonts w:ascii="Times New Roman" w:hAnsi="Times New Roman" w:cs="Times New Roman"/>
        </w:rPr>
        <w:t xml:space="preserve">he competitive advantage of </w:t>
      </w:r>
      <w:r w:rsidR="00BB63AC">
        <w:rPr>
          <w:rFonts w:ascii="Times New Roman" w:hAnsi="Times New Roman" w:cs="Times New Roman"/>
        </w:rPr>
        <w:t>the FSC organizational</w:t>
      </w:r>
      <w:r w:rsidR="00AA2F61">
        <w:rPr>
          <w:rFonts w:ascii="Times New Roman" w:hAnsi="Times New Roman" w:cs="Times New Roman"/>
        </w:rPr>
        <w:t xml:space="preserve"> form</w:t>
      </w:r>
      <w:r w:rsidR="00BB63AC">
        <w:rPr>
          <w:rFonts w:ascii="Times New Roman" w:hAnsi="Times New Roman" w:cs="Times New Roman"/>
        </w:rPr>
        <w:t>–especially in international mining–</w:t>
      </w:r>
      <w:r w:rsidR="00AA2F61">
        <w:rPr>
          <w:rFonts w:ascii="Times New Roman" w:hAnsi="Times New Roman" w:cs="Times New Roman"/>
        </w:rPr>
        <w:t xml:space="preserve"> </w:t>
      </w:r>
      <w:r w:rsidR="00361184">
        <w:rPr>
          <w:rFonts w:ascii="Times New Roman" w:hAnsi="Times New Roman" w:cs="Times New Roman"/>
        </w:rPr>
        <w:t>h</w:t>
      </w:r>
      <w:r w:rsidR="00AA2F61">
        <w:rPr>
          <w:rFonts w:ascii="Times New Roman" w:hAnsi="Times New Roman" w:cs="Times New Roman"/>
        </w:rPr>
        <w:t xml:space="preserve">ad been </w:t>
      </w:r>
      <w:r w:rsidR="00BB63AC">
        <w:rPr>
          <w:rFonts w:ascii="Times New Roman" w:hAnsi="Times New Roman" w:cs="Times New Roman"/>
        </w:rPr>
        <w:t>critically undermined</w:t>
      </w:r>
      <w:r w:rsidR="00AA2F61">
        <w:rPr>
          <w:rFonts w:ascii="Times New Roman" w:hAnsi="Times New Roman" w:cs="Times New Roman"/>
        </w:rPr>
        <w:t>.</w:t>
      </w:r>
      <w:r w:rsidR="00301532">
        <w:rPr>
          <w:rFonts w:ascii="Times New Roman" w:hAnsi="Times New Roman" w:cs="Times New Roman"/>
        </w:rPr>
        <w:t xml:space="preserve"> </w:t>
      </w:r>
      <w:r w:rsidR="00D45C97">
        <w:rPr>
          <w:rFonts w:ascii="Times New Roman" w:hAnsi="Times New Roman" w:cs="Times New Roman"/>
        </w:rPr>
        <w:t>Therefore, the interpretation</w:t>
      </w:r>
      <w:r w:rsidR="00301532">
        <w:rPr>
          <w:rFonts w:ascii="Times New Roman" w:hAnsi="Times New Roman" w:cs="Times New Roman"/>
        </w:rPr>
        <w:t xml:space="preserve"> </w:t>
      </w:r>
      <w:r w:rsidR="00D45C97">
        <w:rPr>
          <w:rFonts w:ascii="Times New Roman" w:hAnsi="Times New Roman" w:cs="Times New Roman"/>
        </w:rPr>
        <w:t>made by Wilkins (1998) and Mollan and Tennent (2015) that the disappearance/decline</w:t>
      </w:r>
      <w:r w:rsidR="00301532">
        <w:rPr>
          <w:rFonts w:ascii="Times New Roman" w:hAnsi="Times New Roman" w:cs="Times New Roman"/>
        </w:rPr>
        <w:t xml:space="preserve"> of the FSC was caused </w:t>
      </w:r>
      <w:r w:rsidR="00D45C97">
        <w:rPr>
          <w:rFonts w:ascii="Times New Roman" w:hAnsi="Times New Roman" w:cs="Times New Roman"/>
        </w:rPr>
        <w:t xml:space="preserve">(at least in part) </w:t>
      </w:r>
      <w:r w:rsidR="00301532">
        <w:rPr>
          <w:rFonts w:ascii="Times New Roman" w:hAnsi="Times New Roman" w:cs="Times New Roman"/>
        </w:rPr>
        <w:t xml:space="preserve">by the impact of international </w:t>
      </w:r>
      <w:r w:rsidR="00986801">
        <w:rPr>
          <w:rFonts w:ascii="Times New Roman" w:hAnsi="Times New Roman" w:cs="Times New Roman"/>
        </w:rPr>
        <w:t>taxation is essentially correct.</w:t>
      </w:r>
      <w:r w:rsidR="00301532">
        <w:rPr>
          <w:rFonts w:ascii="Times New Roman" w:hAnsi="Times New Roman" w:cs="Times New Roman"/>
        </w:rPr>
        <w:t xml:space="preserve"> </w:t>
      </w:r>
      <w:r w:rsidR="00986801">
        <w:rPr>
          <w:rFonts w:ascii="Times New Roman" w:hAnsi="Times New Roman" w:cs="Times New Roman"/>
        </w:rPr>
        <w:t xml:space="preserve">By looking more deeply through a case study our contribution is to demonstrate </w:t>
      </w:r>
      <w:r w:rsidR="00301532">
        <w:rPr>
          <w:rFonts w:ascii="Times New Roman" w:hAnsi="Times New Roman" w:cs="Times New Roman"/>
        </w:rPr>
        <w:t xml:space="preserve">how </w:t>
      </w:r>
      <w:proofErr w:type="gramStart"/>
      <w:r w:rsidR="00986801">
        <w:rPr>
          <w:rFonts w:ascii="Times New Roman" w:hAnsi="Times New Roman" w:cs="Times New Roman"/>
        </w:rPr>
        <w:t>this</w:t>
      </w:r>
      <w:r w:rsidR="00301532">
        <w:rPr>
          <w:rFonts w:ascii="Times New Roman" w:hAnsi="Times New Roman" w:cs="Times New Roman"/>
        </w:rPr>
        <w:t xml:space="preserve"> was mediated by both </w:t>
      </w:r>
      <w:r w:rsidR="00271C5A">
        <w:rPr>
          <w:rFonts w:ascii="Times New Roman" w:hAnsi="Times New Roman" w:cs="Times New Roman"/>
        </w:rPr>
        <w:t>political</w:t>
      </w:r>
      <w:r w:rsidR="00986801">
        <w:rPr>
          <w:rFonts w:ascii="Times New Roman" w:hAnsi="Times New Roman" w:cs="Times New Roman"/>
        </w:rPr>
        <w:t xml:space="preserve"> and </w:t>
      </w:r>
      <w:r w:rsidR="00301532">
        <w:rPr>
          <w:rFonts w:ascii="Times New Roman" w:hAnsi="Times New Roman" w:cs="Times New Roman"/>
        </w:rPr>
        <w:t>governmental processes</w:t>
      </w:r>
      <w:r w:rsidR="00986801">
        <w:rPr>
          <w:rFonts w:ascii="Times New Roman" w:hAnsi="Times New Roman" w:cs="Times New Roman"/>
        </w:rPr>
        <w:t>, and economic factors</w:t>
      </w:r>
      <w:proofErr w:type="gramEnd"/>
      <w:r w:rsidR="00986801">
        <w:rPr>
          <w:rFonts w:ascii="Times New Roman" w:hAnsi="Times New Roman" w:cs="Times New Roman"/>
        </w:rPr>
        <w:t>.</w:t>
      </w:r>
      <w:r w:rsidR="00301532">
        <w:rPr>
          <w:rFonts w:ascii="Times New Roman" w:hAnsi="Times New Roman" w:cs="Times New Roman"/>
        </w:rPr>
        <w:t xml:space="preserve"> </w:t>
      </w:r>
      <w:r w:rsidR="00C41399">
        <w:rPr>
          <w:rFonts w:ascii="Times New Roman" w:hAnsi="Times New Roman" w:cs="Times New Roman"/>
        </w:rPr>
        <w:t xml:space="preserve">As we </w:t>
      </w:r>
      <w:r w:rsidR="00D45C97">
        <w:rPr>
          <w:rFonts w:ascii="Times New Roman" w:hAnsi="Times New Roman" w:cs="Times New Roman"/>
        </w:rPr>
        <w:t xml:space="preserve">also </w:t>
      </w:r>
      <w:r w:rsidR="00C41399">
        <w:rPr>
          <w:rFonts w:ascii="Times New Roman" w:hAnsi="Times New Roman" w:cs="Times New Roman"/>
        </w:rPr>
        <w:t>not</w:t>
      </w:r>
      <w:r w:rsidR="00D45C97">
        <w:rPr>
          <w:rFonts w:ascii="Times New Roman" w:hAnsi="Times New Roman" w:cs="Times New Roman"/>
        </w:rPr>
        <w:t>e</w:t>
      </w:r>
      <w:r w:rsidR="00C41399">
        <w:rPr>
          <w:rFonts w:ascii="Times New Roman" w:hAnsi="Times New Roman" w:cs="Times New Roman"/>
        </w:rPr>
        <w:t xml:space="preserve"> in this article, a large number of </w:t>
      </w:r>
      <w:r w:rsidR="008C5851">
        <w:rPr>
          <w:rFonts w:ascii="Times New Roman" w:hAnsi="Times New Roman" w:cs="Times New Roman"/>
        </w:rPr>
        <w:t xml:space="preserve">other </w:t>
      </w:r>
      <w:r w:rsidR="00C41399">
        <w:rPr>
          <w:rFonts w:ascii="Times New Roman" w:hAnsi="Times New Roman" w:cs="Times New Roman"/>
        </w:rPr>
        <w:t xml:space="preserve">firms and subsidiaries changed domicile in the post-war period, </w:t>
      </w:r>
      <w:r w:rsidR="00D45C97">
        <w:rPr>
          <w:rFonts w:ascii="Times New Roman" w:hAnsi="Times New Roman" w:cs="Times New Roman"/>
        </w:rPr>
        <w:t xml:space="preserve">but little is known about </w:t>
      </w:r>
      <w:r w:rsidR="008C5851">
        <w:rPr>
          <w:rFonts w:ascii="Times New Roman" w:hAnsi="Times New Roman" w:cs="Times New Roman"/>
        </w:rPr>
        <w:t>what factors influenced those changes</w:t>
      </w:r>
      <w:r w:rsidR="00C41399">
        <w:rPr>
          <w:rFonts w:ascii="Times New Roman" w:hAnsi="Times New Roman" w:cs="Times New Roman"/>
        </w:rPr>
        <w:t xml:space="preserve">. There is therefore substantial scope for new research to explore these </w:t>
      </w:r>
      <w:r w:rsidR="008C5851">
        <w:rPr>
          <w:rFonts w:ascii="Times New Roman" w:hAnsi="Times New Roman" w:cs="Times New Roman"/>
        </w:rPr>
        <w:t>additional</w:t>
      </w:r>
      <w:r w:rsidR="00C41399">
        <w:rPr>
          <w:rFonts w:ascii="Times New Roman" w:hAnsi="Times New Roman" w:cs="Times New Roman"/>
        </w:rPr>
        <w:t xml:space="preserve"> cases, and in so doing helping to further address the historiography of the FSC</w:t>
      </w:r>
      <w:r w:rsidR="00D45C97">
        <w:rPr>
          <w:rFonts w:ascii="Times New Roman" w:hAnsi="Times New Roman" w:cs="Times New Roman"/>
        </w:rPr>
        <w:t>,</w:t>
      </w:r>
      <w:r w:rsidR="00C41399">
        <w:rPr>
          <w:rFonts w:ascii="Times New Roman" w:hAnsi="Times New Roman" w:cs="Times New Roman"/>
        </w:rPr>
        <w:t xml:space="preserve"> as well as to develop a theoretically </w:t>
      </w:r>
      <w:r w:rsidR="00D45C97">
        <w:rPr>
          <w:rFonts w:ascii="Times New Roman" w:hAnsi="Times New Roman" w:cs="Times New Roman"/>
        </w:rPr>
        <w:t>robust</w:t>
      </w:r>
      <w:r w:rsidR="00C41399">
        <w:rPr>
          <w:rFonts w:ascii="Times New Roman" w:hAnsi="Times New Roman" w:cs="Times New Roman"/>
        </w:rPr>
        <w:t xml:space="preserve"> account of the structural and spatial changes to the organizational forms of international business in </w:t>
      </w:r>
      <w:r w:rsidR="003F203A">
        <w:rPr>
          <w:rFonts w:ascii="Times New Roman" w:hAnsi="Times New Roman" w:cs="Times New Roman"/>
        </w:rPr>
        <w:t>the post-war period</w:t>
      </w:r>
      <w:r w:rsidR="00C41399">
        <w:rPr>
          <w:rFonts w:ascii="Times New Roman" w:hAnsi="Times New Roman" w:cs="Times New Roman"/>
        </w:rPr>
        <w:t xml:space="preserve">. </w:t>
      </w:r>
    </w:p>
    <w:p w14:paraId="29C98FBC" w14:textId="1D487618" w:rsidR="008A3FBB" w:rsidRPr="00515DBF" w:rsidRDefault="003A694B" w:rsidP="00BD00C6">
      <w:pPr>
        <w:spacing w:line="480" w:lineRule="auto"/>
        <w:jc w:val="both"/>
        <w:rPr>
          <w:rFonts w:ascii="Times New Roman" w:hAnsi="Times New Roman" w:cs="Times New Roman"/>
          <w:b/>
        </w:rPr>
      </w:pPr>
      <w:r w:rsidRPr="00515DBF">
        <w:rPr>
          <w:rFonts w:ascii="Times New Roman" w:hAnsi="Times New Roman" w:cs="Times New Roman"/>
          <w:b/>
        </w:rPr>
        <w:lastRenderedPageBreak/>
        <w:t>References</w:t>
      </w:r>
    </w:p>
    <w:p w14:paraId="349BF744" w14:textId="77777777" w:rsidR="003A694B" w:rsidRPr="00515DBF" w:rsidRDefault="003A694B" w:rsidP="00BD00C6">
      <w:pPr>
        <w:spacing w:line="480" w:lineRule="auto"/>
        <w:jc w:val="both"/>
        <w:rPr>
          <w:rFonts w:ascii="Times New Roman" w:hAnsi="Times New Roman" w:cs="Times New Roman"/>
        </w:rPr>
      </w:pPr>
    </w:p>
    <w:p w14:paraId="432743DA" w14:textId="707C37B4"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Belich, James. </w:t>
      </w:r>
      <w:r w:rsidRPr="00515DBF">
        <w:rPr>
          <w:rFonts w:ascii="Times New Roman" w:hAnsi="Times New Roman" w:cs="Times New Roman"/>
          <w:i/>
          <w:iCs/>
          <w:noProof/>
          <w:lang w:val="en-US"/>
        </w:rPr>
        <w:t>Replenishing the Earth: The Settler Revolution and the Rise of the Angloworld</w:t>
      </w:r>
      <w:r w:rsidRPr="00515DBF">
        <w:rPr>
          <w:rFonts w:ascii="Times New Roman" w:hAnsi="Times New Roman" w:cs="Times New Roman"/>
          <w:noProof/>
          <w:lang w:val="en-US"/>
        </w:rPr>
        <w:t>. Oxford University Press, 2011.</w:t>
      </w:r>
    </w:p>
    <w:p w14:paraId="5462D2F8" w14:textId="14E23D02"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Boughey, David. “British Overseas Railways as Free-Standing Companies, 1900–1915.” </w:t>
      </w:r>
      <w:r w:rsidRPr="00515DBF">
        <w:rPr>
          <w:rFonts w:ascii="Times New Roman" w:hAnsi="Times New Roman" w:cs="Times New Roman"/>
          <w:i/>
          <w:iCs/>
          <w:noProof/>
          <w:lang w:val="en-US"/>
        </w:rPr>
        <w:t>Business History</w:t>
      </w:r>
      <w:r w:rsidR="00613638" w:rsidRPr="00515DBF">
        <w:rPr>
          <w:rFonts w:ascii="Times New Roman" w:hAnsi="Times New Roman" w:cs="Times New Roman"/>
          <w:noProof/>
          <w:lang w:val="en-US"/>
        </w:rPr>
        <w:t xml:space="preserve"> 51, no. 3 (May 2009): 484–500</w:t>
      </w:r>
      <w:r w:rsidRPr="00515DBF">
        <w:rPr>
          <w:rFonts w:ascii="Times New Roman" w:hAnsi="Times New Roman" w:cs="Times New Roman"/>
          <w:noProof/>
          <w:lang w:val="en-US"/>
        </w:rPr>
        <w:t>.</w:t>
      </w:r>
    </w:p>
    <w:p w14:paraId="6E444696" w14:textId="04434947"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Butler, L. J. “Business and British Decolonisation: Sir Ronald Prain, the Mining Industry and the Central African Federation.” </w:t>
      </w:r>
      <w:r w:rsidRPr="00515DBF">
        <w:rPr>
          <w:rFonts w:ascii="Times New Roman" w:hAnsi="Times New Roman" w:cs="Times New Roman"/>
          <w:i/>
          <w:iCs/>
          <w:noProof/>
          <w:lang w:val="en-US"/>
        </w:rPr>
        <w:t>The Journal of Imperial and Commonwealth History</w:t>
      </w:r>
      <w:r w:rsidRPr="00515DBF">
        <w:rPr>
          <w:rFonts w:ascii="Times New Roman" w:hAnsi="Times New Roman" w:cs="Times New Roman"/>
          <w:noProof/>
          <w:lang w:val="en-US"/>
        </w:rPr>
        <w:t xml:space="preserve"> 35,</w:t>
      </w:r>
      <w:r w:rsidR="00613638" w:rsidRPr="00515DBF">
        <w:rPr>
          <w:rFonts w:ascii="Times New Roman" w:hAnsi="Times New Roman" w:cs="Times New Roman"/>
          <w:noProof/>
          <w:lang w:val="en-US"/>
        </w:rPr>
        <w:t xml:space="preserve"> no. 3 (September 2007): 459–84</w:t>
      </w:r>
      <w:r w:rsidRPr="00515DBF">
        <w:rPr>
          <w:rFonts w:ascii="Times New Roman" w:hAnsi="Times New Roman" w:cs="Times New Roman"/>
          <w:noProof/>
          <w:lang w:val="en-US"/>
        </w:rPr>
        <w:t>.</w:t>
      </w:r>
    </w:p>
    <w:p w14:paraId="245EED6E" w14:textId="5E8DC33C" w:rsidR="009033AF" w:rsidRPr="00515DBF" w:rsidRDefault="009033AF"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9033AF">
        <w:rPr>
          <w:rFonts w:ascii="Times New Roman" w:hAnsi="Times New Roman" w:cs="Times New Roman"/>
          <w:noProof/>
        </w:rPr>
        <w:t xml:space="preserve">L. J. Butler </w:t>
      </w:r>
      <w:r w:rsidRPr="009033AF">
        <w:rPr>
          <w:rFonts w:ascii="Times New Roman" w:hAnsi="Times New Roman" w:cs="Times New Roman"/>
          <w:i/>
          <w:noProof/>
        </w:rPr>
        <w:t>Copper Empire: Mining and the Colonial State in Northern Rhodesia, c.1930 – 1964</w:t>
      </w:r>
      <w:r>
        <w:rPr>
          <w:rFonts w:ascii="Times New Roman" w:hAnsi="Times New Roman" w:cs="Times New Roman"/>
          <w:noProof/>
        </w:rPr>
        <w:t xml:space="preserve">. </w:t>
      </w:r>
      <w:r w:rsidRPr="009033AF">
        <w:rPr>
          <w:rFonts w:ascii="Times New Roman" w:hAnsi="Times New Roman" w:cs="Times New Roman"/>
          <w:noProof/>
        </w:rPr>
        <w:t>Basingstoke: Palgrave, 2007</w:t>
      </w:r>
      <w:r>
        <w:rPr>
          <w:rFonts w:ascii="Times New Roman" w:hAnsi="Times New Roman" w:cs="Times New Roman"/>
          <w:noProof/>
        </w:rPr>
        <w:t>.</w:t>
      </w:r>
    </w:p>
    <w:p w14:paraId="4C54E82B"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Cain, Peter J., and Anthony G. Hopkins. </w:t>
      </w:r>
      <w:r w:rsidRPr="00515DBF">
        <w:rPr>
          <w:rFonts w:ascii="Times New Roman" w:hAnsi="Times New Roman" w:cs="Times New Roman"/>
          <w:i/>
          <w:iCs/>
          <w:noProof/>
          <w:lang w:val="en-US"/>
        </w:rPr>
        <w:t>British Imperialism: 1688-2000</w:t>
      </w:r>
      <w:r w:rsidRPr="00515DBF">
        <w:rPr>
          <w:rFonts w:ascii="Times New Roman" w:hAnsi="Times New Roman" w:cs="Times New Roman"/>
          <w:noProof/>
          <w:lang w:val="en-US"/>
        </w:rPr>
        <w:t>. London: Pearson Education, 2002.</w:t>
      </w:r>
    </w:p>
    <w:p w14:paraId="705BA73D"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Casson, Mark. “An Economic Theory of the Free-Standing Company.” In </w:t>
      </w:r>
      <w:r w:rsidRPr="00515DBF">
        <w:rPr>
          <w:rFonts w:ascii="Times New Roman" w:hAnsi="Times New Roman" w:cs="Times New Roman"/>
          <w:i/>
          <w:iCs/>
          <w:noProof/>
          <w:lang w:val="en-US"/>
        </w:rPr>
        <w:t>The Free Standing Company in the World Economy, 1830-1996</w:t>
      </w:r>
      <w:r w:rsidRPr="00515DBF">
        <w:rPr>
          <w:rFonts w:ascii="Times New Roman" w:hAnsi="Times New Roman" w:cs="Times New Roman"/>
          <w:noProof/>
          <w:lang w:val="en-US"/>
        </w:rPr>
        <w:t>, edited by Mira Wilkins and Harm Schröter, 99–128. Oxford: Oxford University Press, 1998.</w:t>
      </w:r>
    </w:p>
    <w:p w14:paraId="072BC567" w14:textId="4D20E481"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Casson, Mark</w:t>
      </w:r>
      <w:r w:rsidR="003A7416" w:rsidRPr="00515DBF">
        <w:rPr>
          <w:rFonts w:ascii="Times New Roman" w:hAnsi="Times New Roman" w:cs="Times New Roman"/>
          <w:noProof/>
          <w:lang w:val="en-US"/>
        </w:rPr>
        <w:t xml:space="preserve">. “Institutional Diversity in Overseas Enterprise: Explaining the Free-Standing Company.” </w:t>
      </w:r>
      <w:r w:rsidR="003A7416" w:rsidRPr="00515DBF">
        <w:rPr>
          <w:rFonts w:ascii="Times New Roman" w:hAnsi="Times New Roman" w:cs="Times New Roman"/>
          <w:i/>
          <w:iCs/>
          <w:noProof/>
          <w:lang w:val="en-US"/>
        </w:rPr>
        <w:t>Business History</w:t>
      </w:r>
      <w:r w:rsidR="003A7416" w:rsidRPr="00515DBF">
        <w:rPr>
          <w:rFonts w:ascii="Times New Roman" w:hAnsi="Times New Roman" w:cs="Times New Roman"/>
          <w:noProof/>
          <w:lang w:val="en-US"/>
        </w:rPr>
        <w:t xml:space="preserve"> 36, no. 4 (1994): 95–108.</w:t>
      </w:r>
    </w:p>
    <w:p w14:paraId="3540A5CF"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Chandler, Alfred. </w:t>
      </w:r>
      <w:r w:rsidRPr="00515DBF">
        <w:rPr>
          <w:rFonts w:ascii="Times New Roman" w:hAnsi="Times New Roman" w:cs="Times New Roman"/>
          <w:i/>
          <w:iCs/>
          <w:noProof/>
          <w:lang w:val="en-US"/>
        </w:rPr>
        <w:t>Scale and Scope: The Dynamics of Industrial Capitalism</w:t>
      </w:r>
      <w:r w:rsidRPr="00515DBF">
        <w:rPr>
          <w:rFonts w:ascii="Times New Roman" w:hAnsi="Times New Roman" w:cs="Times New Roman"/>
          <w:noProof/>
          <w:lang w:val="en-US"/>
        </w:rPr>
        <w:t>. Cambridge MA: Harvard University Press, 1990.</w:t>
      </w:r>
    </w:p>
    <w:p w14:paraId="0C25C22E"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Chapman, Stanley. “British</w:t>
      </w:r>
      <w:r w:rsidRPr="00515DBF">
        <w:rPr>
          <w:rFonts w:ascii="Noteworthy Light" w:hAnsi="Noteworthy Light" w:cs="Noteworthy Light"/>
          <w:noProof/>
          <w:lang w:val="en-US"/>
        </w:rPr>
        <w:t>‐</w:t>
      </w:r>
      <w:r w:rsidRPr="00515DBF">
        <w:rPr>
          <w:rFonts w:ascii="Times New Roman" w:hAnsi="Times New Roman" w:cs="Times New Roman"/>
          <w:noProof/>
          <w:lang w:val="en-US"/>
        </w:rPr>
        <w:t xml:space="preserve">Based Investment Groups Before 1914.” </w:t>
      </w:r>
      <w:r w:rsidRPr="00515DBF">
        <w:rPr>
          <w:rFonts w:ascii="Times New Roman" w:hAnsi="Times New Roman" w:cs="Times New Roman"/>
          <w:i/>
          <w:iCs/>
          <w:noProof/>
          <w:lang w:val="en-US"/>
        </w:rPr>
        <w:t>The Economic History Review</w:t>
      </w:r>
      <w:r w:rsidRPr="00515DBF">
        <w:rPr>
          <w:rFonts w:ascii="Times New Roman" w:hAnsi="Times New Roman" w:cs="Times New Roman"/>
          <w:noProof/>
          <w:lang w:val="en-US"/>
        </w:rPr>
        <w:t xml:space="preserve"> 38, no. 2 (1985): 230–47.</w:t>
      </w:r>
    </w:p>
    <w:p w14:paraId="1F97193B" w14:textId="30D6E072"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Cini, Michelle, and Nieves Pérez-Solórzano Borragán. </w:t>
      </w:r>
      <w:r w:rsidRPr="00515DBF">
        <w:rPr>
          <w:rFonts w:ascii="Times New Roman" w:hAnsi="Times New Roman" w:cs="Times New Roman"/>
          <w:i/>
          <w:iCs/>
          <w:noProof/>
          <w:lang w:val="en-US"/>
        </w:rPr>
        <w:t>European Union Politics</w:t>
      </w:r>
      <w:r w:rsidRPr="00515DBF">
        <w:rPr>
          <w:rFonts w:ascii="Times New Roman" w:hAnsi="Times New Roman" w:cs="Times New Roman"/>
          <w:noProof/>
          <w:lang w:val="en-US"/>
        </w:rPr>
        <w:t xml:space="preserve">. </w:t>
      </w:r>
      <w:r w:rsidR="00AF6556">
        <w:rPr>
          <w:rFonts w:ascii="Times New Roman" w:hAnsi="Times New Roman" w:cs="Times New Roman"/>
          <w:noProof/>
          <w:lang w:val="en-US"/>
        </w:rPr>
        <w:t xml:space="preserve">Oxford: </w:t>
      </w:r>
      <w:r w:rsidRPr="00515DBF">
        <w:rPr>
          <w:rFonts w:ascii="Times New Roman" w:hAnsi="Times New Roman" w:cs="Times New Roman"/>
          <w:noProof/>
          <w:lang w:val="en-US"/>
        </w:rPr>
        <w:t>Oxford University Press, 2013.</w:t>
      </w:r>
    </w:p>
    <w:p w14:paraId="38AF9CB6" w14:textId="08A7FDB0" w:rsidR="00AF6556" w:rsidRPr="00515DBF" w:rsidRDefault="00AF655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AF6556">
        <w:rPr>
          <w:rFonts w:ascii="Times New Roman" w:hAnsi="Times New Roman" w:cs="Times New Roman"/>
          <w:noProof/>
        </w:rPr>
        <w:lastRenderedPageBreak/>
        <w:t>Cohen</w:t>
      </w:r>
      <w:r>
        <w:rPr>
          <w:rFonts w:ascii="Times New Roman" w:hAnsi="Times New Roman" w:cs="Times New Roman"/>
          <w:noProof/>
        </w:rPr>
        <w:t xml:space="preserve">, </w:t>
      </w:r>
      <w:r w:rsidRPr="00AF6556">
        <w:rPr>
          <w:rFonts w:ascii="Times New Roman" w:hAnsi="Times New Roman" w:cs="Times New Roman"/>
          <w:noProof/>
        </w:rPr>
        <w:t>Andrew</w:t>
      </w:r>
      <w:r>
        <w:rPr>
          <w:rFonts w:ascii="Times New Roman" w:hAnsi="Times New Roman" w:cs="Times New Roman"/>
          <w:noProof/>
        </w:rPr>
        <w:t xml:space="preserve">, </w:t>
      </w:r>
      <w:r w:rsidRPr="00F90252">
        <w:rPr>
          <w:rFonts w:ascii="Times New Roman" w:hAnsi="Times New Roman" w:cs="Times New Roman"/>
          <w:i/>
          <w:noProof/>
        </w:rPr>
        <w:t>The politics and economics of decolonization in Africa: The failed experiment of the Central African Federation</w:t>
      </w:r>
      <w:r>
        <w:rPr>
          <w:rFonts w:ascii="Times New Roman" w:hAnsi="Times New Roman" w:cs="Times New Roman"/>
          <w:noProof/>
        </w:rPr>
        <w:t xml:space="preserve">, </w:t>
      </w:r>
      <w:r w:rsidRPr="00AF6556">
        <w:rPr>
          <w:rFonts w:ascii="Times New Roman" w:hAnsi="Times New Roman" w:cs="Times New Roman"/>
          <w:noProof/>
        </w:rPr>
        <w:t>London</w:t>
      </w:r>
      <w:r>
        <w:rPr>
          <w:rFonts w:ascii="Times New Roman" w:hAnsi="Times New Roman" w:cs="Times New Roman"/>
          <w:noProof/>
        </w:rPr>
        <w:t xml:space="preserve">: </w:t>
      </w:r>
      <w:r w:rsidRPr="00AF6556">
        <w:rPr>
          <w:rFonts w:ascii="Times New Roman" w:hAnsi="Times New Roman" w:cs="Times New Roman"/>
          <w:noProof/>
        </w:rPr>
        <w:t>I B Tauris 2017</w:t>
      </w:r>
      <w:r>
        <w:rPr>
          <w:rFonts w:ascii="Times New Roman" w:hAnsi="Times New Roman" w:cs="Times New Roman"/>
          <w:noProof/>
        </w:rPr>
        <w:t>.</w:t>
      </w:r>
    </w:p>
    <w:p w14:paraId="02AFC0F5"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Collins, Julie H, and Douglas A Shackelford. “Corporate Domicile and Average Effective Tax Rates: The Cases of Canada, Japan, the United Kingdom, and the United States.” </w:t>
      </w:r>
      <w:r w:rsidRPr="00515DBF">
        <w:rPr>
          <w:rFonts w:ascii="Times New Roman" w:hAnsi="Times New Roman" w:cs="Times New Roman"/>
          <w:i/>
          <w:iCs/>
          <w:noProof/>
          <w:lang w:val="en-US"/>
        </w:rPr>
        <w:t>International Tax and Public Finance</w:t>
      </w:r>
      <w:r w:rsidRPr="00515DBF">
        <w:rPr>
          <w:rFonts w:ascii="Times New Roman" w:hAnsi="Times New Roman" w:cs="Times New Roman"/>
          <w:noProof/>
          <w:lang w:val="en-US"/>
        </w:rPr>
        <w:t xml:space="preserve"> 2, no. 1 (1995): 55–83.</w:t>
      </w:r>
    </w:p>
    <w:p w14:paraId="2B8A2649" w14:textId="2F31AF3B"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Corley, T. a. B. “Free-Standing Companies, Their Financing, and Internalisation Theory.” </w:t>
      </w:r>
      <w:r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3</w:t>
      </w:r>
      <w:r w:rsidR="00613638" w:rsidRPr="00515DBF">
        <w:rPr>
          <w:rFonts w:ascii="Times New Roman" w:hAnsi="Times New Roman" w:cs="Times New Roman"/>
          <w:noProof/>
          <w:lang w:val="en-US"/>
        </w:rPr>
        <w:t>6, no. 4 (October 1994): 109–17</w:t>
      </w:r>
      <w:r w:rsidRPr="00515DBF">
        <w:rPr>
          <w:rFonts w:ascii="Times New Roman" w:hAnsi="Times New Roman" w:cs="Times New Roman"/>
          <w:noProof/>
          <w:lang w:val="en-US"/>
        </w:rPr>
        <w:t>.</w:t>
      </w:r>
    </w:p>
    <w:p w14:paraId="6DEB899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Daunton, Martin. </w:t>
      </w:r>
      <w:r w:rsidRPr="00515DBF">
        <w:rPr>
          <w:rFonts w:ascii="Times New Roman" w:hAnsi="Times New Roman" w:cs="Times New Roman"/>
          <w:i/>
          <w:iCs/>
          <w:noProof/>
          <w:lang w:val="en-US"/>
        </w:rPr>
        <w:t>Just Taxes: The Politics of Taxation in Britain, 1914-1979</w:t>
      </w:r>
      <w:r w:rsidRPr="00515DBF">
        <w:rPr>
          <w:rFonts w:ascii="Times New Roman" w:hAnsi="Times New Roman" w:cs="Times New Roman"/>
          <w:noProof/>
          <w:lang w:val="en-US"/>
        </w:rPr>
        <w:t>. Cambridge: Cambridge University Press, 2007.</w:t>
      </w:r>
    </w:p>
    <w:p w14:paraId="000AA394"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Davis, Lance. “The Late Nineteenth-Century British Imperialist: Specification, Quantification and Controlled Conjectures.” In </w:t>
      </w:r>
      <w:r w:rsidRPr="00515DBF">
        <w:rPr>
          <w:rFonts w:ascii="Times New Roman" w:hAnsi="Times New Roman" w:cs="Times New Roman"/>
          <w:i/>
          <w:iCs/>
          <w:noProof/>
          <w:lang w:val="en-US"/>
        </w:rPr>
        <w:t>Gentlemanly Capitalism and British Imperialism</w:t>
      </w:r>
      <w:r w:rsidRPr="00515DBF">
        <w:rPr>
          <w:rFonts w:ascii="Times New Roman" w:hAnsi="Times New Roman" w:cs="Times New Roman"/>
          <w:noProof/>
          <w:lang w:val="en-US"/>
        </w:rPr>
        <w:t>, edited by Raymond E. Dumett, 82–112. London: Longman, 1999.</w:t>
      </w:r>
    </w:p>
    <w:p w14:paraId="333214F2"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Davis, Lance, and Robert Huttenback. </w:t>
      </w:r>
      <w:r w:rsidRPr="00515DBF">
        <w:rPr>
          <w:rFonts w:ascii="Times New Roman" w:hAnsi="Times New Roman" w:cs="Times New Roman"/>
          <w:i/>
          <w:iCs/>
          <w:noProof/>
          <w:lang w:val="en-US"/>
        </w:rPr>
        <w:t>Mammon and the Pursuit of Empire: The Political Economy of British Imperialism, 1860-1912</w:t>
      </w:r>
      <w:r w:rsidRPr="00515DBF">
        <w:rPr>
          <w:rFonts w:ascii="Times New Roman" w:hAnsi="Times New Roman" w:cs="Times New Roman"/>
          <w:noProof/>
          <w:lang w:val="en-US"/>
        </w:rPr>
        <w:t>. Cambridge: Cambridge University Press, 1986.</w:t>
      </w:r>
    </w:p>
    <w:p w14:paraId="235A59E4"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De Landa, Manuel. </w:t>
      </w:r>
      <w:r w:rsidRPr="00515DBF">
        <w:rPr>
          <w:rFonts w:ascii="Times New Roman" w:hAnsi="Times New Roman" w:cs="Times New Roman"/>
          <w:i/>
          <w:iCs/>
          <w:noProof/>
          <w:lang w:val="en-US"/>
        </w:rPr>
        <w:t>A Thousand Years of Nonlinear History</w:t>
      </w:r>
      <w:r w:rsidRPr="00515DBF">
        <w:rPr>
          <w:rFonts w:ascii="Times New Roman" w:hAnsi="Times New Roman" w:cs="Times New Roman"/>
          <w:noProof/>
          <w:lang w:val="en-US"/>
        </w:rPr>
        <w:t>. Zone Books New York, 1997.</w:t>
      </w:r>
    </w:p>
    <w:p w14:paraId="5C373600"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Doyle, Michael W. </w:t>
      </w:r>
      <w:r w:rsidRPr="00515DBF">
        <w:rPr>
          <w:rFonts w:ascii="Times New Roman" w:hAnsi="Times New Roman" w:cs="Times New Roman"/>
          <w:i/>
          <w:iCs/>
          <w:noProof/>
          <w:lang w:val="en-US"/>
        </w:rPr>
        <w:t>Empires</w:t>
      </w:r>
      <w:r w:rsidRPr="00515DBF">
        <w:rPr>
          <w:rFonts w:ascii="Times New Roman" w:hAnsi="Times New Roman" w:cs="Times New Roman"/>
          <w:noProof/>
          <w:lang w:val="en-US"/>
        </w:rPr>
        <w:t>. Cornell University Press, 1986.</w:t>
      </w:r>
    </w:p>
    <w:p w14:paraId="4D1F845A"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Edelstein, Michael. “Foreign Investment and Accumulation, 1860-1914.” In </w:t>
      </w:r>
      <w:r w:rsidRPr="00515DBF">
        <w:rPr>
          <w:rFonts w:ascii="Times New Roman" w:hAnsi="Times New Roman" w:cs="Times New Roman"/>
          <w:i/>
          <w:iCs/>
          <w:noProof/>
          <w:lang w:val="en-US"/>
        </w:rPr>
        <w:t>The Economic History of Britain since 1700, Volume Two: 1860-1939</w:t>
      </w:r>
      <w:r w:rsidRPr="00515DBF">
        <w:rPr>
          <w:rFonts w:ascii="Times New Roman" w:hAnsi="Times New Roman" w:cs="Times New Roman"/>
          <w:noProof/>
          <w:lang w:val="en-US"/>
        </w:rPr>
        <w:t>, edited by R Floud and D McCloskey, 173–96. Cambridge, 1994.</w:t>
      </w:r>
    </w:p>
    <w:p w14:paraId="4D254F2E"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Eden, Lorraine. “Taxes, Transfer Pricing and the Multinational Enterprise.” In </w:t>
      </w:r>
      <w:r w:rsidRPr="00515DBF">
        <w:rPr>
          <w:rFonts w:ascii="Times New Roman" w:hAnsi="Times New Roman" w:cs="Times New Roman"/>
          <w:i/>
          <w:iCs/>
          <w:noProof/>
          <w:lang w:val="en-US"/>
        </w:rPr>
        <w:lastRenderedPageBreak/>
        <w:t>The Handbook of International Business</w:t>
      </w:r>
      <w:r w:rsidRPr="00515DBF">
        <w:rPr>
          <w:rFonts w:ascii="Times New Roman" w:hAnsi="Times New Roman" w:cs="Times New Roman"/>
          <w:noProof/>
          <w:lang w:val="en-US"/>
        </w:rPr>
        <w:t>, edited by Alan Rugman and Thomas Brewer, 591–619. Oxford, 2001.</w:t>
      </w:r>
    </w:p>
    <w:p w14:paraId="2B5B736D" w14:textId="008945EF"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Eden, Lorraine</w:t>
      </w:r>
      <w:r w:rsidR="003A7416" w:rsidRPr="00515DBF">
        <w:rPr>
          <w:rFonts w:ascii="Times New Roman" w:hAnsi="Times New Roman" w:cs="Times New Roman"/>
          <w:noProof/>
          <w:lang w:val="en-US"/>
        </w:rPr>
        <w:t xml:space="preserve">. </w:t>
      </w:r>
      <w:r w:rsidR="003A7416" w:rsidRPr="00515DBF">
        <w:rPr>
          <w:rFonts w:ascii="Times New Roman" w:hAnsi="Times New Roman" w:cs="Times New Roman"/>
          <w:i/>
          <w:iCs/>
          <w:noProof/>
          <w:lang w:val="en-US"/>
        </w:rPr>
        <w:t>Taxing Multinationals: Transfer Pricing and Corporate Income Taxation in North America</w:t>
      </w:r>
      <w:r w:rsidR="003A7416" w:rsidRPr="00515DBF">
        <w:rPr>
          <w:rFonts w:ascii="Times New Roman" w:hAnsi="Times New Roman" w:cs="Times New Roman"/>
          <w:noProof/>
          <w:lang w:val="en-US"/>
        </w:rPr>
        <w:t>. Toronto: University of Toronto Press, 1998.</w:t>
      </w:r>
    </w:p>
    <w:p w14:paraId="6E67DCA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Eden, Lorraine, Stefanie Lenway, and Douglas A Schuler. “From the Obsolescing Bargain to the Political Bargaining Model.” In </w:t>
      </w:r>
      <w:r w:rsidRPr="00515DBF">
        <w:rPr>
          <w:rFonts w:ascii="Times New Roman" w:hAnsi="Times New Roman" w:cs="Times New Roman"/>
          <w:i/>
          <w:iCs/>
          <w:noProof/>
          <w:lang w:val="en-US"/>
        </w:rPr>
        <w:t>Academy of International Business Annual Meetings, Stockholm, Sweden, July</w:t>
      </w:r>
      <w:r w:rsidRPr="00515DBF">
        <w:rPr>
          <w:rFonts w:ascii="Times New Roman" w:hAnsi="Times New Roman" w:cs="Times New Roman"/>
          <w:noProof/>
          <w:lang w:val="en-US"/>
        </w:rPr>
        <w:t>, 2004.</w:t>
      </w:r>
    </w:p>
    <w:p w14:paraId="218924DA"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Fieldhouse, David Kenneth. </w:t>
      </w:r>
      <w:r w:rsidRPr="00515DBF">
        <w:rPr>
          <w:rFonts w:ascii="Times New Roman" w:hAnsi="Times New Roman" w:cs="Times New Roman"/>
          <w:i/>
          <w:iCs/>
          <w:noProof/>
          <w:lang w:val="en-US"/>
        </w:rPr>
        <w:t>Black Africa 1945-1980: Economic Decolonization and Arrested Development</w:t>
      </w:r>
      <w:r w:rsidRPr="00515DBF">
        <w:rPr>
          <w:rFonts w:ascii="Times New Roman" w:hAnsi="Times New Roman" w:cs="Times New Roman"/>
          <w:noProof/>
          <w:lang w:val="en-US"/>
        </w:rPr>
        <w:t>. London: Routledge, 1986.</w:t>
      </w:r>
    </w:p>
    <w:p w14:paraId="25577093" w14:textId="0F203901"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Fieldhouse, David Kenneth. </w:t>
      </w:r>
      <w:r w:rsidR="003A7416" w:rsidRPr="00515DBF">
        <w:rPr>
          <w:rFonts w:ascii="Times New Roman" w:hAnsi="Times New Roman" w:cs="Times New Roman"/>
          <w:noProof/>
          <w:lang w:val="en-US"/>
        </w:rPr>
        <w:t xml:space="preserve"> </w:t>
      </w:r>
      <w:r w:rsidR="003A7416" w:rsidRPr="00515DBF">
        <w:rPr>
          <w:rFonts w:ascii="Times New Roman" w:hAnsi="Times New Roman" w:cs="Times New Roman"/>
          <w:i/>
          <w:iCs/>
          <w:noProof/>
          <w:lang w:val="en-US"/>
        </w:rPr>
        <w:t>The West and the Third World: Trade, Colonialism, Dependence, and Development</w:t>
      </w:r>
      <w:r w:rsidR="003A7416" w:rsidRPr="00515DBF">
        <w:rPr>
          <w:rFonts w:ascii="Times New Roman" w:hAnsi="Times New Roman" w:cs="Times New Roman"/>
          <w:noProof/>
          <w:lang w:val="en-US"/>
        </w:rPr>
        <w:t>. Oxford: Blackwell, 1999.</w:t>
      </w:r>
    </w:p>
    <w:p w14:paraId="268685C7" w14:textId="148D8124"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Gerriets, Marilyn. “The Rise and Fall of a Free-Standing Company in Nova Scotia: The General Mining Association.” </w:t>
      </w:r>
      <w:r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34, no. 3 (1992): 16–48.</w:t>
      </w:r>
    </w:p>
    <w:p w14:paraId="139FEFDD" w14:textId="376F89EC" w:rsidR="009033AF" w:rsidRPr="00515DBF" w:rsidRDefault="009033AF"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9033AF">
        <w:rPr>
          <w:rFonts w:ascii="Times New Roman" w:hAnsi="Times New Roman" w:cs="Times New Roman"/>
          <w:noProof/>
        </w:rPr>
        <w:t>Gray</w:t>
      </w:r>
      <w:r>
        <w:rPr>
          <w:rFonts w:ascii="Times New Roman" w:hAnsi="Times New Roman" w:cs="Times New Roman"/>
          <w:noProof/>
        </w:rPr>
        <w:t xml:space="preserve">, </w:t>
      </w:r>
      <w:r w:rsidRPr="009033AF">
        <w:rPr>
          <w:rFonts w:ascii="Times New Roman" w:hAnsi="Times New Roman" w:cs="Times New Roman"/>
          <w:noProof/>
        </w:rPr>
        <w:t xml:space="preserve">Richard </w:t>
      </w:r>
      <w:r w:rsidRPr="00F90252">
        <w:rPr>
          <w:rFonts w:ascii="Times New Roman" w:hAnsi="Times New Roman" w:cs="Times New Roman"/>
          <w:i/>
          <w:noProof/>
        </w:rPr>
        <w:t>The two nations: Aspects of the development of race relations in the Rhodesias and Nyasaland</w:t>
      </w:r>
      <w:r>
        <w:rPr>
          <w:rFonts w:ascii="Times New Roman" w:hAnsi="Times New Roman" w:cs="Times New Roman"/>
          <w:noProof/>
        </w:rPr>
        <w:t xml:space="preserve">. </w:t>
      </w:r>
      <w:r w:rsidRPr="009033AF">
        <w:rPr>
          <w:rFonts w:ascii="Times New Roman" w:hAnsi="Times New Roman" w:cs="Times New Roman"/>
          <w:noProof/>
        </w:rPr>
        <w:t>Oxford</w:t>
      </w:r>
      <w:r>
        <w:rPr>
          <w:rFonts w:ascii="Times New Roman" w:hAnsi="Times New Roman" w:cs="Times New Roman"/>
          <w:noProof/>
        </w:rPr>
        <w:t xml:space="preserve">: </w:t>
      </w:r>
      <w:r w:rsidRPr="009033AF">
        <w:rPr>
          <w:rFonts w:ascii="Times New Roman" w:hAnsi="Times New Roman" w:cs="Times New Roman"/>
          <w:noProof/>
        </w:rPr>
        <w:t>Oxford University Press, 1960</w:t>
      </w:r>
      <w:r>
        <w:rPr>
          <w:rFonts w:ascii="Times New Roman" w:hAnsi="Times New Roman" w:cs="Times New Roman"/>
          <w:noProof/>
        </w:rPr>
        <w:t>.</w:t>
      </w:r>
    </w:p>
    <w:p w14:paraId="11C6FCFC" w14:textId="201C391C"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Greenhill, Robert G. “Investment Group, Free-Standing Company or Multinational? Brazilian Warrant, 1909–52.” </w:t>
      </w:r>
      <w:r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37, no. 1 (January 1995): 86–111. </w:t>
      </w:r>
    </w:p>
    <w:p w14:paraId="19E4134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Greenhill, Robert G. “Investment Group, Free-Standing Company or Multinational? Brazilian Warrant, 1909–52.” </w:t>
      </w:r>
      <w:r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37, no. 1 (1995): 86–111.</w:t>
      </w:r>
    </w:p>
    <w:p w14:paraId="5DC492C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Havinden, Michael Ashley, and David George Meredith. </w:t>
      </w:r>
      <w:r w:rsidRPr="00515DBF">
        <w:rPr>
          <w:rFonts w:ascii="Times New Roman" w:hAnsi="Times New Roman" w:cs="Times New Roman"/>
          <w:i/>
          <w:iCs/>
          <w:noProof/>
          <w:lang w:val="en-US"/>
        </w:rPr>
        <w:t>Colonialism and Development: Britain and Its Tropical Colonies 1850-1960</w:t>
      </w:r>
      <w:r w:rsidRPr="00515DBF">
        <w:rPr>
          <w:rFonts w:ascii="Times New Roman" w:hAnsi="Times New Roman" w:cs="Times New Roman"/>
          <w:noProof/>
          <w:lang w:val="en-US"/>
        </w:rPr>
        <w:t>. London: Routledge, 1993.</w:t>
      </w:r>
    </w:p>
    <w:p w14:paraId="59401CDC"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lastRenderedPageBreak/>
        <w:t xml:space="preserve">Hellman, Joel S, Geraint Jones, and Daniel Kaufmann. “Seize the State, Seize the Day: State Capture and Influence in Transition Economies.” </w:t>
      </w:r>
      <w:r w:rsidRPr="00515DBF">
        <w:rPr>
          <w:rFonts w:ascii="Times New Roman" w:hAnsi="Times New Roman" w:cs="Times New Roman"/>
          <w:i/>
          <w:iCs/>
          <w:noProof/>
          <w:lang w:val="en-US"/>
        </w:rPr>
        <w:t>Journal of Comparative Economics</w:t>
      </w:r>
      <w:r w:rsidRPr="00515DBF">
        <w:rPr>
          <w:rFonts w:ascii="Times New Roman" w:hAnsi="Times New Roman" w:cs="Times New Roman"/>
          <w:noProof/>
          <w:lang w:val="en-US"/>
        </w:rPr>
        <w:t xml:space="preserve"> 31, no. 4 (2003): 751–73.</w:t>
      </w:r>
    </w:p>
    <w:p w14:paraId="0B9FF6B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Hennart, Jean-Francois. “Transaction-Cost Theory and the Free-Standing Firm.” In </w:t>
      </w:r>
      <w:r w:rsidRPr="00515DBF">
        <w:rPr>
          <w:rFonts w:ascii="Times New Roman" w:hAnsi="Times New Roman" w:cs="Times New Roman"/>
          <w:i/>
          <w:iCs/>
          <w:noProof/>
          <w:lang w:val="en-US"/>
        </w:rPr>
        <w:t>The Free Standing Company in the World Economy, 1830-1996</w:t>
      </w:r>
      <w:r w:rsidRPr="00515DBF">
        <w:rPr>
          <w:rFonts w:ascii="Times New Roman" w:hAnsi="Times New Roman" w:cs="Times New Roman"/>
          <w:noProof/>
          <w:lang w:val="en-US"/>
        </w:rPr>
        <w:t>, edited by Mira Wilkins and Harm Schröter, 65–98. Oxford: Oxford University Press, 1998.</w:t>
      </w:r>
    </w:p>
    <w:p w14:paraId="12C8BFAC"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Hobson, John Atkinson. </w:t>
      </w:r>
      <w:r w:rsidRPr="00515DBF">
        <w:rPr>
          <w:rFonts w:ascii="Times New Roman" w:hAnsi="Times New Roman" w:cs="Times New Roman"/>
          <w:i/>
          <w:iCs/>
          <w:noProof/>
          <w:lang w:val="en-US"/>
        </w:rPr>
        <w:t>Imperialism: A Study</w:t>
      </w:r>
      <w:r w:rsidRPr="00515DBF">
        <w:rPr>
          <w:rFonts w:ascii="Times New Roman" w:hAnsi="Times New Roman" w:cs="Times New Roman"/>
          <w:noProof/>
          <w:lang w:val="en-US"/>
        </w:rPr>
        <w:t>. London, 1902.</w:t>
      </w:r>
    </w:p>
    <w:p w14:paraId="3A6DE042"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Houston, Tom, and John H. Dunning. </w:t>
      </w:r>
      <w:r w:rsidRPr="00515DBF">
        <w:rPr>
          <w:rFonts w:ascii="Times New Roman" w:hAnsi="Times New Roman" w:cs="Times New Roman"/>
          <w:i/>
          <w:iCs/>
          <w:noProof/>
          <w:lang w:val="en-US"/>
        </w:rPr>
        <w:t>UK Industry Abroad</w:t>
      </w:r>
      <w:r w:rsidRPr="00515DBF">
        <w:rPr>
          <w:rFonts w:ascii="Times New Roman" w:hAnsi="Times New Roman" w:cs="Times New Roman"/>
          <w:noProof/>
          <w:lang w:val="en-US"/>
        </w:rPr>
        <w:t>. London: Financial Times, 1976.</w:t>
      </w:r>
    </w:p>
    <w:p w14:paraId="2441155A"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Jones, Charles. “’Business Imperialism’and Argentina, 1875-1900: A Theoretical Note.” </w:t>
      </w:r>
      <w:r w:rsidRPr="00515DBF">
        <w:rPr>
          <w:rFonts w:ascii="Times New Roman" w:hAnsi="Times New Roman" w:cs="Times New Roman"/>
          <w:i/>
          <w:iCs/>
          <w:noProof/>
          <w:lang w:val="en-US"/>
        </w:rPr>
        <w:t>Journal of Latin American Studies</w:t>
      </w:r>
      <w:r w:rsidRPr="00515DBF">
        <w:rPr>
          <w:rFonts w:ascii="Times New Roman" w:hAnsi="Times New Roman" w:cs="Times New Roman"/>
          <w:noProof/>
          <w:lang w:val="en-US"/>
        </w:rPr>
        <w:t xml:space="preserve"> 12, no. 2 (1980): 437–44.</w:t>
      </w:r>
    </w:p>
    <w:p w14:paraId="6FDCDB35" w14:textId="1850AAED"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Jones, Charles. </w:t>
      </w:r>
      <w:r w:rsidR="003A7416" w:rsidRPr="00515DBF">
        <w:rPr>
          <w:rFonts w:ascii="Times New Roman" w:hAnsi="Times New Roman" w:cs="Times New Roman"/>
          <w:noProof/>
          <w:lang w:val="en-US"/>
        </w:rPr>
        <w:t xml:space="preserve"> “Commercial Banks and Mortgage Companies.” In </w:t>
      </w:r>
      <w:r w:rsidR="003A7416" w:rsidRPr="00515DBF">
        <w:rPr>
          <w:rFonts w:ascii="Times New Roman" w:hAnsi="Times New Roman" w:cs="Times New Roman"/>
          <w:i/>
          <w:iCs/>
          <w:noProof/>
          <w:lang w:val="en-US"/>
        </w:rPr>
        <w:t>Business Imperialism, 1840-1930: An Enquiry Based on British Experience in Latin America</w:t>
      </w:r>
      <w:r w:rsidR="003A7416" w:rsidRPr="00515DBF">
        <w:rPr>
          <w:rFonts w:ascii="Times New Roman" w:hAnsi="Times New Roman" w:cs="Times New Roman"/>
          <w:noProof/>
          <w:lang w:val="en-US"/>
        </w:rPr>
        <w:t>, edited by D.C.M. Platt, 17–52. Oxford: Clarendon Press, 1977.</w:t>
      </w:r>
    </w:p>
    <w:p w14:paraId="06D28555" w14:textId="1EAB2DF2"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Jones, Charles. </w:t>
      </w:r>
      <w:r w:rsidR="003A7416" w:rsidRPr="00515DBF">
        <w:rPr>
          <w:rFonts w:ascii="Times New Roman" w:hAnsi="Times New Roman" w:cs="Times New Roman"/>
          <w:noProof/>
          <w:lang w:val="en-US"/>
        </w:rPr>
        <w:t xml:space="preserve"> “Institutional Forms of British Foreign Direct Investment in South America.” </w:t>
      </w:r>
      <w:r w:rsidR="003A7416"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39, no. 2 (April 1997): 21–41.</w:t>
      </w:r>
    </w:p>
    <w:p w14:paraId="5551B1C5"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Jones, Geoffrey. “British Overseas Banks as Free-Standing Companies, 1830-1996.” In </w:t>
      </w:r>
      <w:r w:rsidRPr="00515DBF">
        <w:rPr>
          <w:rFonts w:ascii="Times New Roman" w:hAnsi="Times New Roman" w:cs="Times New Roman"/>
          <w:i/>
          <w:iCs/>
          <w:noProof/>
          <w:lang w:val="en-US"/>
        </w:rPr>
        <w:t>The Free Standing Company in the World Economy, 1830-1996</w:t>
      </w:r>
      <w:r w:rsidRPr="00515DBF">
        <w:rPr>
          <w:rFonts w:ascii="Times New Roman" w:hAnsi="Times New Roman" w:cs="Times New Roman"/>
          <w:noProof/>
          <w:lang w:val="en-US"/>
        </w:rPr>
        <w:t>, edited by Mira Wilkins and Harm Schröter, 344–60. Oxford: Oxford University Press, 1998.</w:t>
      </w:r>
    </w:p>
    <w:p w14:paraId="3A1DACA2" w14:textId="6358BC11"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Jones, Stuart. “Origins, Growth and Concentration of Bank Capital in South Africa, 1860–92.” </w:t>
      </w:r>
      <w:r w:rsidRPr="00515DBF">
        <w:rPr>
          <w:rFonts w:ascii="Times New Roman" w:hAnsi="Times New Roman" w:cs="Times New Roman"/>
          <w:i/>
          <w:iCs/>
          <w:noProof/>
          <w:lang w:val="en-US"/>
        </w:rPr>
        <w:t>Business History</w:t>
      </w:r>
      <w:r w:rsidR="00613638" w:rsidRPr="00515DBF">
        <w:rPr>
          <w:rFonts w:ascii="Times New Roman" w:hAnsi="Times New Roman" w:cs="Times New Roman"/>
          <w:noProof/>
          <w:lang w:val="en-US"/>
        </w:rPr>
        <w:t xml:space="preserve"> 36, no. 3 (July 1994): 62–80</w:t>
      </w:r>
      <w:r w:rsidRPr="00515DBF">
        <w:rPr>
          <w:rFonts w:ascii="Times New Roman" w:hAnsi="Times New Roman" w:cs="Times New Roman"/>
          <w:noProof/>
          <w:lang w:val="en-US"/>
        </w:rPr>
        <w:t>.</w:t>
      </w:r>
    </w:p>
    <w:p w14:paraId="1F748311"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Kenwood, George, and Alan Lougheed. </w:t>
      </w:r>
      <w:r w:rsidRPr="00515DBF">
        <w:rPr>
          <w:rFonts w:ascii="Times New Roman" w:hAnsi="Times New Roman" w:cs="Times New Roman"/>
          <w:i/>
          <w:iCs/>
          <w:noProof/>
          <w:lang w:val="en-US"/>
        </w:rPr>
        <w:t>Growth of the International Economy 1820-2000: An Introductory Text</w:t>
      </w:r>
      <w:r w:rsidRPr="00515DBF">
        <w:rPr>
          <w:rFonts w:ascii="Times New Roman" w:hAnsi="Times New Roman" w:cs="Times New Roman"/>
          <w:noProof/>
          <w:lang w:val="en-US"/>
        </w:rPr>
        <w:t>. London: Routledge, 1999.</w:t>
      </w:r>
    </w:p>
    <w:p w14:paraId="53D4F034"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lastRenderedPageBreak/>
        <w:t xml:space="preserve">Klein, Naomi. </w:t>
      </w:r>
      <w:r w:rsidRPr="00515DBF">
        <w:rPr>
          <w:rFonts w:ascii="Times New Roman" w:hAnsi="Times New Roman" w:cs="Times New Roman"/>
          <w:i/>
          <w:iCs/>
          <w:noProof/>
          <w:lang w:val="en-US"/>
        </w:rPr>
        <w:t>No Logo: Taking on the Brand Bullies</w:t>
      </w:r>
      <w:r w:rsidRPr="00515DBF">
        <w:rPr>
          <w:rFonts w:ascii="Times New Roman" w:hAnsi="Times New Roman" w:cs="Times New Roman"/>
          <w:noProof/>
          <w:lang w:val="en-US"/>
        </w:rPr>
        <w:t>. New York: Picador, 1999.</w:t>
      </w:r>
    </w:p>
    <w:p w14:paraId="2B0FCA3E"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Krasner, Stephen D. “Rethinking the Sovereign State Model.” </w:t>
      </w:r>
      <w:r w:rsidRPr="00515DBF">
        <w:rPr>
          <w:rFonts w:ascii="Times New Roman" w:hAnsi="Times New Roman" w:cs="Times New Roman"/>
          <w:i/>
          <w:iCs/>
          <w:noProof/>
          <w:lang w:val="en-US"/>
        </w:rPr>
        <w:t>Review of International Studies</w:t>
      </w:r>
      <w:r w:rsidRPr="00515DBF">
        <w:rPr>
          <w:rFonts w:ascii="Times New Roman" w:hAnsi="Times New Roman" w:cs="Times New Roman"/>
          <w:noProof/>
          <w:lang w:val="en-US"/>
        </w:rPr>
        <w:t xml:space="preserve"> 27 (2001): 17–42.</w:t>
      </w:r>
    </w:p>
    <w:p w14:paraId="17CE6DB7"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Kubicek, Robert V. </w:t>
      </w:r>
      <w:r w:rsidRPr="00515DBF">
        <w:rPr>
          <w:rFonts w:ascii="Times New Roman" w:hAnsi="Times New Roman" w:cs="Times New Roman"/>
          <w:i/>
          <w:iCs/>
          <w:noProof/>
          <w:lang w:val="en-US"/>
        </w:rPr>
        <w:t>Economic Imperialism in Theory and Practice: The Case of South African Gold Mining Finance 1886-1914</w:t>
      </w:r>
      <w:r w:rsidRPr="00515DBF">
        <w:rPr>
          <w:rFonts w:ascii="Times New Roman" w:hAnsi="Times New Roman" w:cs="Times New Roman"/>
          <w:noProof/>
          <w:lang w:val="en-US"/>
        </w:rPr>
        <w:t>. Durham, NC: Duke University Press, 1979.</w:t>
      </w:r>
    </w:p>
    <w:p w14:paraId="6553BA01"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Lenin, Vladimir Ilʹich. </w:t>
      </w:r>
      <w:r w:rsidRPr="00515DBF">
        <w:rPr>
          <w:rFonts w:ascii="Times New Roman" w:hAnsi="Times New Roman" w:cs="Times New Roman"/>
          <w:i/>
          <w:iCs/>
          <w:noProof/>
          <w:lang w:val="en-US"/>
        </w:rPr>
        <w:t>Imperialism: The Highest Stage of Capitalism</w:t>
      </w:r>
      <w:r w:rsidRPr="00515DBF">
        <w:rPr>
          <w:rFonts w:ascii="Times New Roman" w:hAnsi="Times New Roman" w:cs="Times New Roman"/>
          <w:noProof/>
          <w:lang w:val="en-US"/>
        </w:rPr>
        <w:t>. Resistance Books, 1999.</w:t>
      </w:r>
    </w:p>
    <w:p w14:paraId="58139EDD"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Michie, Ranald. </w:t>
      </w:r>
      <w:r w:rsidRPr="00515DBF">
        <w:rPr>
          <w:rFonts w:ascii="Times New Roman" w:hAnsi="Times New Roman" w:cs="Times New Roman"/>
          <w:i/>
          <w:iCs/>
          <w:noProof/>
          <w:lang w:val="en-US"/>
        </w:rPr>
        <w:t>The City of London: Continuity and Change since 1850</w:t>
      </w:r>
      <w:r w:rsidRPr="00515DBF">
        <w:rPr>
          <w:rFonts w:ascii="Times New Roman" w:hAnsi="Times New Roman" w:cs="Times New Roman"/>
          <w:noProof/>
          <w:lang w:val="en-US"/>
        </w:rPr>
        <w:t>. London: Macmillan, 1991.</w:t>
      </w:r>
    </w:p>
    <w:p w14:paraId="03C270B6"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Miller, Rory. “British Free-Standing Companies on the West Coast of South America.” In </w:t>
      </w:r>
      <w:r w:rsidRPr="00515DBF">
        <w:rPr>
          <w:rFonts w:ascii="Times New Roman" w:hAnsi="Times New Roman" w:cs="Times New Roman"/>
          <w:i/>
          <w:iCs/>
          <w:noProof/>
          <w:lang w:val="en-US"/>
        </w:rPr>
        <w:t>The Free Standing Company in the World Economy, 1830-1996</w:t>
      </w:r>
      <w:r w:rsidRPr="00515DBF">
        <w:rPr>
          <w:rFonts w:ascii="Times New Roman" w:hAnsi="Times New Roman" w:cs="Times New Roman"/>
          <w:noProof/>
          <w:lang w:val="en-US"/>
        </w:rPr>
        <w:t>, edited by Mira Wilkins and Harm Schröter, 218–51. Oxford: Oxford University Press, 1998.</w:t>
      </w:r>
    </w:p>
    <w:p w14:paraId="556AA339" w14:textId="7384E467"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Miller, Rory.</w:t>
      </w:r>
      <w:r w:rsidR="003A7416" w:rsidRPr="00515DBF">
        <w:rPr>
          <w:rFonts w:ascii="Times New Roman" w:hAnsi="Times New Roman" w:cs="Times New Roman"/>
          <w:noProof/>
          <w:lang w:val="en-US"/>
        </w:rPr>
        <w:t xml:space="preserve"> “Informal Empire in Latin America.” </w:t>
      </w:r>
      <w:r w:rsidR="003A7416" w:rsidRPr="00515DBF">
        <w:rPr>
          <w:rFonts w:ascii="Times New Roman" w:hAnsi="Times New Roman" w:cs="Times New Roman"/>
          <w:i/>
          <w:iCs/>
          <w:noProof/>
          <w:lang w:val="en-US"/>
        </w:rPr>
        <w:t>Winks, Robin W., The Oxford History of the British Empire</w:t>
      </w:r>
      <w:r w:rsidR="003A7416" w:rsidRPr="00515DBF">
        <w:rPr>
          <w:rFonts w:ascii="Times New Roman" w:hAnsi="Times New Roman" w:cs="Times New Roman"/>
          <w:noProof/>
          <w:lang w:val="en-US"/>
        </w:rPr>
        <w:t xml:space="preserve"> 5 (1999).</w:t>
      </w:r>
    </w:p>
    <w:p w14:paraId="7704A8E1"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Mollan, Simon. “Business Failure, Capital Investment and Information: Mining Companies in the Anglo-Egyptian Sudan, 1900–13.” </w:t>
      </w:r>
      <w:r w:rsidRPr="00515DBF">
        <w:rPr>
          <w:rFonts w:ascii="Times New Roman" w:hAnsi="Times New Roman" w:cs="Times New Roman"/>
          <w:i/>
          <w:iCs/>
          <w:noProof/>
          <w:lang w:val="en-US"/>
        </w:rPr>
        <w:t>The Journal of Imperial and Commonwealth History</w:t>
      </w:r>
      <w:r w:rsidRPr="00515DBF">
        <w:rPr>
          <w:rFonts w:ascii="Times New Roman" w:hAnsi="Times New Roman" w:cs="Times New Roman"/>
          <w:noProof/>
          <w:lang w:val="en-US"/>
        </w:rPr>
        <w:t xml:space="preserve"> 37, no. 2 (2009): 229–48.</w:t>
      </w:r>
    </w:p>
    <w:p w14:paraId="638DB3F2" w14:textId="7442BFFB" w:rsidR="00303B90" w:rsidRPr="00F90252" w:rsidRDefault="00303B90" w:rsidP="00303B90">
      <w:pPr>
        <w:widowControl w:val="0"/>
        <w:autoSpaceDE w:val="0"/>
        <w:autoSpaceDN w:val="0"/>
        <w:adjustRightInd w:val="0"/>
        <w:spacing w:line="480" w:lineRule="auto"/>
        <w:ind w:left="480" w:hanging="480"/>
        <w:rPr>
          <w:rFonts w:ascii="Times New Roman" w:hAnsi="Times New Roman" w:cs="Times New Roman"/>
          <w:noProof/>
        </w:rPr>
      </w:pPr>
      <w:r w:rsidRPr="00303B90">
        <w:rPr>
          <w:rFonts w:ascii="Times New Roman" w:hAnsi="Times New Roman" w:cs="Times New Roman"/>
          <w:noProof/>
        </w:rPr>
        <w:t xml:space="preserve">Mollan, Simon. 2010. “S. Hoffnung and Co: The Case of a Market Intermediary in Australia, 1851-1980.” </w:t>
      </w:r>
      <w:r w:rsidRPr="00303B90">
        <w:rPr>
          <w:rFonts w:ascii="Times New Roman" w:hAnsi="Times New Roman" w:cs="Times New Roman"/>
          <w:i/>
          <w:iCs/>
          <w:noProof/>
        </w:rPr>
        <w:t>Consumption, Markets and Culture</w:t>
      </w:r>
      <w:r w:rsidRPr="00303B90">
        <w:rPr>
          <w:rFonts w:ascii="Times New Roman" w:hAnsi="Times New Roman" w:cs="Times New Roman"/>
          <w:noProof/>
        </w:rPr>
        <w:t xml:space="preserve"> 13 (1): 7–30.</w:t>
      </w:r>
    </w:p>
    <w:p w14:paraId="7C683977" w14:textId="457196F2" w:rsidR="00303B90" w:rsidRPr="00515DBF" w:rsidRDefault="00613638" w:rsidP="00303B90">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Mollan, Simon.</w:t>
      </w:r>
      <w:r w:rsidR="003A7416" w:rsidRPr="00515DBF">
        <w:rPr>
          <w:rFonts w:ascii="Times New Roman" w:hAnsi="Times New Roman" w:cs="Times New Roman"/>
          <w:noProof/>
          <w:lang w:val="en-US"/>
        </w:rPr>
        <w:t xml:space="preserve"> “The Free-Standing Company: A ‘zombie’ Theory of International Business History?” </w:t>
      </w:r>
      <w:r w:rsidR="003A7416" w:rsidRPr="00515DBF">
        <w:rPr>
          <w:rFonts w:ascii="Times New Roman" w:hAnsi="Times New Roman" w:cs="Times New Roman"/>
          <w:i/>
          <w:iCs/>
          <w:noProof/>
          <w:lang w:val="en-US"/>
        </w:rPr>
        <w:t>Journal of Management History</w:t>
      </w:r>
      <w:r w:rsidR="003A7416" w:rsidRPr="00515DBF">
        <w:rPr>
          <w:rFonts w:ascii="Times New Roman" w:hAnsi="Times New Roman" w:cs="Times New Roman"/>
          <w:noProof/>
          <w:lang w:val="en-US"/>
        </w:rPr>
        <w:t xml:space="preserve"> 22, no. 2 (2018): 156–73.</w:t>
      </w:r>
    </w:p>
    <w:p w14:paraId="523D696D"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Mollan, Simon, and David K. Kelsey. “An Overview of the Business History of </w:t>
      </w:r>
      <w:r w:rsidRPr="00515DBF">
        <w:rPr>
          <w:rFonts w:ascii="Times New Roman" w:hAnsi="Times New Roman" w:cs="Times New Roman"/>
          <w:noProof/>
          <w:lang w:val="en-US"/>
        </w:rPr>
        <w:lastRenderedPageBreak/>
        <w:t xml:space="preserve">the International Mining Industry.” In </w:t>
      </w:r>
      <w:r w:rsidRPr="00515DBF">
        <w:rPr>
          <w:rFonts w:ascii="Times New Roman" w:hAnsi="Times New Roman" w:cs="Times New Roman"/>
          <w:i/>
          <w:iCs/>
          <w:noProof/>
          <w:lang w:val="en-US"/>
        </w:rPr>
        <w:t>Contemporary Issues in Mining</w:t>
      </w:r>
      <w:r w:rsidRPr="00515DBF">
        <w:rPr>
          <w:rFonts w:ascii="Times New Roman" w:hAnsi="Times New Roman" w:cs="Times New Roman"/>
          <w:noProof/>
          <w:lang w:val="en-US"/>
        </w:rPr>
        <w:t>, edited by Nigel Finch. Sydney: Palgrave Macmillan, 2012.</w:t>
      </w:r>
    </w:p>
    <w:p w14:paraId="19025FAE" w14:textId="7F093804"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Mollan, Simon, and Ranald Michie. “The City of London as an International Commercial and Financial Center since 1900.” </w:t>
      </w:r>
      <w:r w:rsidRPr="00515DBF">
        <w:rPr>
          <w:rFonts w:ascii="Times New Roman" w:hAnsi="Times New Roman" w:cs="Times New Roman"/>
          <w:i/>
          <w:iCs/>
          <w:noProof/>
          <w:lang w:val="en-US"/>
        </w:rPr>
        <w:t>Enterprise and Society</w:t>
      </w:r>
      <w:r w:rsidRPr="00515DBF">
        <w:rPr>
          <w:rFonts w:ascii="Times New Roman" w:hAnsi="Times New Roman" w:cs="Times New Roman"/>
          <w:noProof/>
          <w:lang w:val="en-US"/>
        </w:rPr>
        <w:t xml:space="preserve"> 13, n</w:t>
      </w:r>
      <w:r w:rsidR="00613638" w:rsidRPr="00515DBF">
        <w:rPr>
          <w:rFonts w:ascii="Times New Roman" w:hAnsi="Times New Roman" w:cs="Times New Roman"/>
          <w:noProof/>
          <w:lang w:val="en-US"/>
        </w:rPr>
        <w:t>o. 3 (January 27, 2012): 538–87</w:t>
      </w:r>
      <w:r w:rsidRPr="00515DBF">
        <w:rPr>
          <w:rFonts w:ascii="Times New Roman" w:hAnsi="Times New Roman" w:cs="Times New Roman"/>
          <w:noProof/>
          <w:lang w:val="en-US"/>
        </w:rPr>
        <w:t>.</w:t>
      </w:r>
    </w:p>
    <w:p w14:paraId="0B1D4AF7" w14:textId="43417EE6"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Mollan, Simon, and Kevin Tennent. “International Taxation and Corporate Strategy: Evidence from British Overseas Business, circa 1900–1965.” </w:t>
      </w:r>
      <w:r w:rsidRPr="00515DBF">
        <w:rPr>
          <w:rFonts w:ascii="Times New Roman" w:hAnsi="Times New Roman" w:cs="Times New Roman"/>
          <w:i/>
          <w:iCs/>
          <w:noProof/>
          <w:lang w:val="en-US"/>
        </w:rPr>
        <w:t>Business History</w:t>
      </w:r>
      <w:r w:rsidR="00613638" w:rsidRPr="00515DBF">
        <w:rPr>
          <w:rFonts w:ascii="Times New Roman" w:hAnsi="Times New Roman" w:cs="Times New Roman"/>
          <w:noProof/>
          <w:lang w:val="en-US"/>
        </w:rPr>
        <w:t xml:space="preserve"> 57, no. 7 (2015): 1–28</w:t>
      </w:r>
      <w:r w:rsidRPr="00515DBF">
        <w:rPr>
          <w:rFonts w:ascii="Times New Roman" w:hAnsi="Times New Roman" w:cs="Times New Roman"/>
          <w:noProof/>
          <w:lang w:val="en-US"/>
        </w:rPr>
        <w:t>.</w:t>
      </w:r>
    </w:p>
    <w:p w14:paraId="7DD19468"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Moraña, Mabel, Enrique D Dussel, and Carlos A Jáuregui. </w:t>
      </w:r>
      <w:r w:rsidRPr="00515DBF">
        <w:rPr>
          <w:rFonts w:ascii="Times New Roman" w:hAnsi="Times New Roman" w:cs="Times New Roman"/>
          <w:i/>
          <w:iCs/>
          <w:noProof/>
          <w:lang w:val="en-US"/>
        </w:rPr>
        <w:t>Coloniality at Large: Latin America and the Postcolonial Debate</w:t>
      </w:r>
      <w:r w:rsidRPr="00515DBF">
        <w:rPr>
          <w:rFonts w:ascii="Times New Roman" w:hAnsi="Times New Roman" w:cs="Times New Roman"/>
          <w:noProof/>
          <w:lang w:val="en-US"/>
        </w:rPr>
        <w:t>. Duke University Press, 2008.</w:t>
      </w:r>
    </w:p>
    <w:p w14:paraId="6C376033"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Motyl, Alexander J. </w:t>
      </w:r>
      <w:r w:rsidRPr="00515DBF">
        <w:rPr>
          <w:rFonts w:ascii="Times New Roman" w:hAnsi="Times New Roman" w:cs="Times New Roman"/>
          <w:i/>
          <w:iCs/>
          <w:noProof/>
          <w:lang w:val="en-US"/>
        </w:rPr>
        <w:t>Imperial Ends: The Decay, Collapse, and Revival of Empires</w:t>
      </w:r>
      <w:r w:rsidRPr="00515DBF">
        <w:rPr>
          <w:rFonts w:ascii="Times New Roman" w:hAnsi="Times New Roman" w:cs="Times New Roman"/>
          <w:noProof/>
          <w:lang w:val="en-US"/>
        </w:rPr>
        <w:t>. New York: Columbia University Press, 2013.</w:t>
      </w:r>
    </w:p>
    <w:p w14:paraId="23727FA3"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Newton, Scott. </w:t>
      </w:r>
      <w:r w:rsidRPr="00515DBF">
        <w:rPr>
          <w:rFonts w:ascii="Times New Roman" w:hAnsi="Times New Roman" w:cs="Times New Roman"/>
          <w:i/>
          <w:iCs/>
          <w:noProof/>
          <w:lang w:val="en-US"/>
        </w:rPr>
        <w:t>The Global Economy, 1944-2000: The Limits of Ideology</w:t>
      </w:r>
      <w:r w:rsidRPr="00515DBF">
        <w:rPr>
          <w:rFonts w:ascii="Times New Roman" w:hAnsi="Times New Roman" w:cs="Times New Roman"/>
          <w:noProof/>
          <w:lang w:val="en-US"/>
        </w:rPr>
        <w:t>. Arnold London, 2004.</w:t>
      </w:r>
    </w:p>
    <w:p w14:paraId="7A975479"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Paris, Roland. “The Globalization of Taxation? Electronic Commerce and the Transformation of the State.” </w:t>
      </w:r>
      <w:r w:rsidRPr="00515DBF">
        <w:rPr>
          <w:rFonts w:ascii="Times New Roman" w:hAnsi="Times New Roman" w:cs="Times New Roman"/>
          <w:i/>
          <w:iCs/>
          <w:noProof/>
          <w:lang w:val="en-US"/>
        </w:rPr>
        <w:t>International Studies Quarterly</w:t>
      </w:r>
      <w:r w:rsidRPr="00515DBF">
        <w:rPr>
          <w:rFonts w:ascii="Times New Roman" w:hAnsi="Times New Roman" w:cs="Times New Roman"/>
          <w:noProof/>
          <w:lang w:val="en-US"/>
        </w:rPr>
        <w:t xml:space="preserve"> 47, no. 2 (2003): 153–82.</w:t>
      </w:r>
    </w:p>
    <w:p w14:paraId="1A909202"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Piccotto, Sol. “Slicing a Shadow: Business Taxation in an International Framework.” In </w:t>
      </w:r>
      <w:r w:rsidRPr="00515DBF">
        <w:rPr>
          <w:rFonts w:ascii="Times New Roman" w:hAnsi="Times New Roman" w:cs="Times New Roman"/>
          <w:i/>
          <w:iCs/>
          <w:noProof/>
          <w:lang w:val="en-US"/>
        </w:rPr>
        <w:t>Capitalism, Culture and Economic Regulation</w:t>
      </w:r>
      <w:r w:rsidRPr="00515DBF">
        <w:rPr>
          <w:rFonts w:ascii="Times New Roman" w:hAnsi="Times New Roman" w:cs="Times New Roman"/>
          <w:noProof/>
          <w:lang w:val="en-US"/>
        </w:rPr>
        <w:t>, edited by L. Hancher and M. Moran, 11–47. Oxford: Clarendon Press, 1989.</w:t>
      </w:r>
    </w:p>
    <w:p w14:paraId="373E0781"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Platt, D.C.M. </w:t>
      </w:r>
      <w:r w:rsidRPr="00515DBF">
        <w:rPr>
          <w:rFonts w:ascii="Times New Roman" w:hAnsi="Times New Roman" w:cs="Times New Roman"/>
          <w:i/>
          <w:iCs/>
          <w:noProof/>
          <w:lang w:val="en-US"/>
        </w:rPr>
        <w:t>Business Imperialism, 1840-1930: An Inquiry Based on British Experience in Latin America</w:t>
      </w:r>
      <w:r w:rsidRPr="00515DBF">
        <w:rPr>
          <w:rFonts w:ascii="Times New Roman" w:hAnsi="Times New Roman" w:cs="Times New Roman"/>
          <w:noProof/>
          <w:lang w:val="en-US"/>
        </w:rPr>
        <w:t>. Oxford: Clarendon Press, 1977.</w:t>
      </w:r>
    </w:p>
    <w:p w14:paraId="61B2C337"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Pollard, Sidney. “Capital Exports, 1870–1914 Harmful or Beneficial?*.” </w:t>
      </w:r>
      <w:r w:rsidRPr="00515DBF">
        <w:rPr>
          <w:rFonts w:ascii="Times New Roman" w:hAnsi="Times New Roman" w:cs="Times New Roman"/>
          <w:i/>
          <w:iCs/>
          <w:noProof/>
          <w:lang w:val="en-US"/>
        </w:rPr>
        <w:t>The Economic History Review</w:t>
      </w:r>
      <w:r w:rsidRPr="00515DBF">
        <w:rPr>
          <w:rFonts w:ascii="Times New Roman" w:hAnsi="Times New Roman" w:cs="Times New Roman"/>
          <w:noProof/>
          <w:lang w:val="en-US"/>
        </w:rPr>
        <w:t xml:space="preserve"> 38, no. 4 (1985): 489–514.</w:t>
      </w:r>
    </w:p>
    <w:p w14:paraId="21F80FA4"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Profeta, P., and S. Scabrosetti. </w:t>
      </w:r>
      <w:r w:rsidRPr="00515DBF">
        <w:rPr>
          <w:rFonts w:ascii="Times New Roman" w:hAnsi="Times New Roman" w:cs="Times New Roman"/>
          <w:i/>
          <w:iCs/>
          <w:noProof/>
          <w:lang w:val="en-US"/>
        </w:rPr>
        <w:t xml:space="preserve">The Political Economy of Taxation: Lessons from </w:t>
      </w:r>
      <w:r w:rsidRPr="00515DBF">
        <w:rPr>
          <w:rFonts w:ascii="Times New Roman" w:hAnsi="Times New Roman" w:cs="Times New Roman"/>
          <w:i/>
          <w:iCs/>
          <w:noProof/>
          <w:lang w:val="en-US"/>
        </w:rPr>
        <w:lastRenderedPageBreak/>
        <w:t>Developing Countries</w:t>
      </w:r>
      <w:r w:rsidRPr="00515DBF">
        <w:rPr>
          <w:rFonts w:ascii="Times New Roman" w:hAnsi="Times New Roman" w:cs="Times New Roman"/>
          <w:noProof/>
          <w:lang w:val="en-US"/>
        </w:rPr>
        <w:t>. Cheltenham: Edward Elgar, 2010.</w:t>
      </w:r>
    </w:p>
    <w:p w14:paraId="447CC751" w14:textId="76F4DC9C"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Razin, Assaf, and Joel Slemrod. “Introduction.” In </w:t>
      </w:r>
      <w:r w:rsidRPr="00515DBF">
        <w:rPr>
          <w:rFonts w:ascii="Times New Roman" w:hAnsi="Times New Roman" w:cs="Times New Roman"/>
          <w:i/>
          <w:iCs/>
          <w:noProof/>
          <w:lang w:val="en-US"/>
        </w:rPr>
        <w:t>Taxation in the Global Economy</w:t>
      </w:r>
      <w:r w:rsidRPr="00515DBF">
        <w:rPr>
          <w:rFonts w:ascii="Times New Roman" w:hAnsi="Times New Roman" w:cs="Times New Roman"/>
          <w:noProof/>
          <w:lang w:val="en-US"/>
        </w:rPr>
        <w:t>, edited by Assaf Razin and Joel Slemrod, 1–11. Chicago: University of Chicago Press, 1990.</w:t>
      </w:r>
    </w:p>
    <w:p w14:paraId="2AC03785" w14:textId="1117A96C" w:rsidR="003776B1" w:rsidRPr="00515DBF" w:rsidRDefault="003776B1"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3776B1">
        <w:rPr>
          <w:rFonts w:ascii="Times New Roman" w:hAnsi="Times New Roman" w:cs="Times New Roman"/>
          <w:noProof/>
        </w:rPr>
        <w:t>Schenk, Catherine</w:t>
      </w:r>
      <w:r>
        <w:rPr>
          <w:rFonts w:ascii="Times New Roman" w:hAnsi="Times New Roman" w:cs="Times New Roman"/>
          <w:noProof/>
        </w:rPr>
        <w:t>.</w:t>
      </w:r>
      <w:r w:rsidRPr="003776B1">
        <w:rPr>
          <w:rFonts w:ascii="Times New Roman" w:hAnsi="Times New Roman" w:cs="Times New Roman"/>
          <w:noProof/>
        </w:rPr>
        <w:t xml:space="preserve"> </w:t>
      </w:r>
      <w:r w:rsidRPr="003776B1">
        <w:rPr>
          <w:rFonts w:ascii="Times New Roman" w:hAnsi="Times New Roman" w:cs="Times New Roman"/>
          <w:i/>
          <w:iCs/>
          <w:noProof/>
        </w:rPr>
        <w:t xml:space="preserve">Britain and the Sterling Area – From devaluation to convertibility in the 1950’s. </w:t>
      </w:r>
      <w:r w:rsidRPr="003776B1">
        <w:rPr>
          <w:rFonts w:ascii="Times New Roman" w:hAnsi="Times New Roman" w:cs="Times New Roman"/>
          <w:iCs/>
          <w:noProof/>
        </w:rPr>
        <w:t>London:</w:t>
      </w:r>
      <w:r w:rsidRPr="003776B1">
        <w:rPr>
          <w:rFonts w:ascii="Times New Roman" w:hAnsi="Times New Roman" w:cs="Times New Roman"/>
          <w:i/>
          <w:iCs/>
          <w:noProof/>
        </w:rPr>
        <w:t xml:space="preserve"> </w:t>
      </w:r>
      <w:r w:rsidRPr="003776B1">
        <w:rPr>
          <w:rFonts w:ascii="Times New Roman" w:hAnsi="Times New Roman" w:cs="Times New Roman"/>
          <w:noProof/>
        </w:rPr>
        <w:t>Routledge, 1994</w:t>
      </w:r>
      <w:r w:rsidR="00142231">
        <w:rPr>
          <w:rFonts w:ascii="Times New Roman" w:hAnsi="Times New Roman" w:cs="Times New Roman"/>
          <w:noProof/>
        </w:rPr>
        <w:t>.</w:t>
      </w:r>
    </w:p>
    <w:p w14:paraId="01F745DF"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Shah, Anwar, and Joel Slemrod. “Do Taxes Matter for Foreign Direct Investment?” </w:t>
      </w:r>
      <w:r w:rsidRPr="00515DBF">
        <w:rPr>
          <w:rFonts w:ascii="Times New Roman" w:hAnsi="Times New Roman" w:cs="Times New Roman"/>
          <w:i/>
          <w:iCs/>
          <w:noProof/>
          <w:lang w:val="en-US"/>
        </w:rPr>
        <w:t>The World Bank Economic Review</w:t>
      </w:r>
      <w:r w:rsidRPr="00515DBF">
        <w:rPr>
          <w:rFonts w:ascii="Times New Roman" w:hAnsi="Times New Roman" w:cs="Times New Roman"/>
          <w:noProof/>
          <w:lang w:val="en-US"/>
        </w:rPr>
        <w:t xml:space="preserve"> 5, no. 3 (1991): 473–91.</w:t>
      </w:r>
    </w:p>
    <w:p w14:paraId="06402E84" w14:textId="521B1CB6"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Stanciu, Laura. “Free-Standing Companies in the Oil Sector in Romania and Poland Before 1948: Typologies and Competencies.” </w:t>
      </w:r>
      <w:r w:rsidRPr="00515DBF">
        <w:rPr>
          <w:rFonts w:ascii="Times New Roman" w:hAnsi="Times New Roman" w:cs="Times New Roman"/>
          <w:i/>
          <w:iCs/>
          <w:noProof/>
          <w:lang w:val="en-US"/>
        </w:rPr>
        <w:t>Business History</w:t>
      </w:r>
      <w:r w:rsidRPr="00515DBF">
        <w:rPr>
          <w:rFonts w:ascii="Times New Roman" w:hAnsi="Times New Roman" w:cs="Times New Roman"/>
          <w:noProof/>
          <w:lang w:val="en-US"/>
        </w:rPr>
        <w:t xml:space="preserve"> 4</w:t>
      </w:r>
      <w:r w:rsidR="00613638" w:rsidRPr="00515DBF">
        <w:rPr>
          <w:rFonts w:ascii="Times New Roman" w:hAnsi="Times New Roman" w:cs="Times New Roman"/>
          <w:noProof/>
          <w:lang w:val="en-US"/>
        </w:rPr>
        <w:t>2, no. 4 (October 2000): 27–66.</w:t>
      </w:r>
    </w:p>
    <w:p w14:paraId="674541C3" w14:textId="77777777"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Stanford, David R. </w:t>
      </w:r>
      <w:r w:rsidRPr="00515DBF">
        <w:rPr>
          <w:rFonts w:ascii="Times New Roman" w:hAnsi="Times New Roman" w:cs="Times New Roman"/>
          <w:i/>
          <w:iCs/>
          <w:noProof/>
          <w:lang w:val="en-US"/>
        </w:rPr>
        <w:t>Overseas Trade Corporations</w:t>
      </w:r>
      <w:r w:rsidRPr="00515DBF">
        <w:rPr>
          <w:rFonts w:ascii="Times New Roman" w:hAnsi="Times New Roman" w:cs="Times New Roman"/>
          <w:noProof/>
          <w:lang w:val="en-US"/>
        </w:rPr>
        <w:t>. London: Sweet and Maxwell, 1958.</w:t>
      </w:r>
    </w:p>
    <w:p w14:paraId="01C4C9F5" w14:textId="6AF47952" w:rsidR="00084C13" w:rsidRDefault="00084C13" w:rsidP="00084C13">
      <w:pPr>
        <w:widowControl w:val="0"/>
        <w:autoSpaceDE w:val="0"/>
        <w:autoSpaceDN w:val="0"/>
        <w:adjustRightInd w:val="0"/>
        <w:spacing w:line="480" w:lineRule="auto"/>
        <w:ind w:left="480" w:hanging="480"/>
        <w:rPr>
          <w:rFonts w:ascii="Times New Roman" w:hAnsi="Times New Roman" w:cs="Times New Roman"/>
          <w:noProof/>
          <w:lang w:val="en-US"/>
        </w:rPr>
      </w:pPr>
      <w:r w:rsidRPr="00084C13">
        <w:rPr>
          <w:rFonts w:ascii="Times New Roman" w:hAnsi="Times New Roman" w:cs="Times New Roman"/>
          <w:noProof/>
          <w:lang w:val="en-US"/>
        </w:rPr>
        <w:t xml:space="preserve">Steele, </w:t>
      </w:r>
      <w:r>
        <w:rPr>
          <w:rFonts w:ascii="Times New Roman" w:hAnsi="Times New Roman" w:cs="Times New Roman"/>
          <w:noProof/>
          <w:lang w:val="en-US"/>
        </w:rPr>
        <w:t xml:space="preserve">Murray. </w:t>
      </w:r>
      <w:r w:rsidRPr="00084C13">
        <w:rPr>
          <w:rFonts w:ascii="Times New Roman" w:hAnsi="Times New Roman" w:cs="Times New Roman"/>
          <w:noProof/>
          <w:lang w:val="en-US"/>
        </w:rPr>
        <w:t>“Labour and the Central African Federation: Paternalism, Partnership and Black Nationalism, 1951 – 60” in The British Labour Movement and Imperialism (with Foreword by Tony Benn) edited by Billy Frank</w:t>
      </w:r>
      <w:r>
        <w:rPr>
          <w:rFonts w:ascii="Times New Roman" w:hAnsi="Times New Roman" w:cs="Times New Roman"/>
          <w:noProof/>
          <w:lang w:val="en-US"/>
        </w:rPr>
        <w:t>, Craig Horner and David Stewart.</w:t>
      </w:r>
      <w:r w:rsidRPr="00084C13">
        <w:rPr>
          <w:rFonts w:ascii="Times New Roman" w:hAnsi="Times New Roman" w:cs="Times New Roman"/>
          <w:noProof/>
          <w:lang w:val="en-US"/>
        </w:rPr>
        <w:t xml:space="preserve"> Newcastle upon Tyne: Cambridge Scholars, 2010</w:t>
      </w:r>
    </w:p>
    <w:p w14:paraId="6089343A" w14:textId="20E3E424" w:rsidR="00084C13" w:rsidRPr="00515DBF" w:rsidRDefault="00084C13" w:rsidP="00084C13">
      <w:pPr>
        <w:widowControl w:val="0"/>
        <w:autoSpaceDE w:val="0"/>
        <w:autoSpaceDN w:val="0"/>
        <w:adjustRightInd w:val="0"/>
        <w:spacing w:line="480" w:lineRule="auto"/>
        <w:ind w:left="480" w:hanging="480"/>
        <w:rPr>
          <w:rFonts w:ascii="Times New Roman" w:hAnsi="Times New Roman" w:cs="Times New Roman"/>
          <w:noProof/>
          <w:lang w:val="en-US"/>
        </w:rPr>
      </w:pPr>
      <w:r w:rsidRPr="00084C13">
        <w:rPr>
          <w:rFonts w:ascii="Times New Roman" w:hAnsi="Times New Roman" w:cs="Times New Roman"/>
          <w:noProof/>
        </w:rPr>
        <w:t xml:space="preserve">Somerville, </w:t>
      </w:r>
      <w:r>
        <w:rPr>
          <w:rFonts w:ascii="Times New Roman" w:hAnsi="Times New Roman" w:cs="Times New Roman"/>
          <w:noProof/>
        </w:rPr>
        <w:t xml:space="preserve">J. J. B. </w:t>
      </w:r>
      <w:r w:rsidRPr="00084C13">
        <w:rPr>
          <w:rFonts w:ascii="Times New Roman" w:hAnsi="Times New Roman" w:cs="Times New Roman"/>
          <w:noProof/>
        </w:rPr>
        <w:t xml:space="preserve">“The Central African Federation,” </w:t>
      </w:r>
      <w:r w:rsidRPr="00084C13">
        <w:rPr>
          <w:rFonts w:ascii="Times New Roman" w:hAnsi="Times New Roman" w:cs="Times New Roman"/>
          <w:i/>
          <w:noProof/>
        </w:rPr>
        <w:t>International Affairs</w:t>
      </w:r>
      <w:r w:rsidRPr="00084C13">
        <w:rPr>
          <w:rFonts w:ascii="Times New Roman" w:hAnsi="Times New Roman" w:cs="Times New Roman"/>
          <w:noProof/>
        </w:rPr>
        <w:t xml:space="preserve"> Vol. 39, No. 3 (1963)</w:t>
      </w:r>
    </w:p>
    <w:p w14:paraId="66F8D56E"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Stockwell, Sarah. “Trade, Empire, and the Fiscal Context of Imperial Business during Decolonization.” </w:t>
      </w:r>
      <w:r w:rsidRPr="00515DBF">
        <w:rPr>
          <w:rFonts w:ascii="Times New Roman" w:hAnsi="Times New Roman" w:cs="Times New Roman"/>
          <w:i/>
          <w:iCs/>
          <w:noProof/>
          <w:lang w:val="en-US"/>
        </w:rPr>
        <w:t>Economic History Review</w:t>
      </w:r>
      <w:r w:rsidRPr="00515DBF">
        <w:rPr>
          <w:rFonts w:ascii="Times New Roman" w:hAnsi="Times New Roman" w:cs="Times New Roman"/>
          <w:noProof/>
          <w:lang w:val="en-US"/>
        </w:rPr>
        <w:t xml:space="preserve"> 57, no. 1 (2004): 142–60.</w:t>
      </w:r>
    </w:p>
    <w:p w14:paraId="7320DAB0" w14:textId="54764EEE"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Tennent, Kevin. “Management and the Free-Standing Company: The New Zealand and Australia Land Company c . 1866–1900.” </w:t>
      </w:r>
      <w:r w:rsidRPr="00515DBF">
        <w:rPr>
          <w:rFonts w:ascii="Times New Roman" w:hAnsi="Times New Roman" w:cs="Times New Roman"/>
          <w:i/>
          <w:iCs/>
          <w:noProof/>
          <w:lang w:val="en-US"/>
        </w:rPr>
        <w:t xml:space="preserve">The Journal of </w:t>
      </w:r>
      <w:r w:rsidRPr="00515DBF">
        <w:rPr>
          <w:rFonts w:ascii="Times New Roman" w:hAnsi="Times New Roman" w:cs="Times New Roman"/>
          <w:i/>
          <w:iCs/>
          <w:noProof/>
          <w:lang w:val="en-US"/>
        </w:rPr>
        <w:lastRenderedPageBreak/>
        <w:t>Imperial and Commonwealth History</w:t>
      </w:r>
      <w:r w:rsidR="00613638" w:rsidRPr="00515DBF">
        <w:rPr>
          <w:rFonts w:ascii="Times New Roman" w:hAnsi="Times New Roman" w:cs="Times New Roman"/>
          <w:noProof/>
          <w:lang w:val="en-US"/>
        </w:rPr>
        <w:t xml:space="preserve"> 41, no. 1 (March 2013): 81–97.</w:t>
      </w:r>
    </w:p>
    <w:p w14:paraId="4E728A32" w14:textId="382FAE3F"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Tennent, Kevin.</w:t>
      </w:r>
      <w:r w:rsidR="003A7416" w:rsidRPr="00515DBF">
        <w:rPr>
          <w:rFonts w:ascii="Times New Roman" w:hAnsi="Times New Roman" w:cs="Times New Roman"/>
          <w:noProof/>
          <w:lang w:val="en-US"/>
        </w:rPr>
        <w:t xml:space="preserve"> “Owned, Monitored, but Not Always Controlled: Understanding the Success and Failure of Scottish Free-Standing Companies, 1862-1910.” The London School of Economics and Political Science (LSE), 2009.</w:t>
      </w:r>
    </w:p>
    <w:p w14:paraId="1B2C8E89" w14:textId="1EBBB9CE" w:rsidR="003A7416"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Tignor, Robert L. </w:t>
      </w:r>
      <w:r w:rsidRPr="00515DBF">
        <w:rPr>
          <w:rFonts w:ascii="Times New Roman" w:hAnsi="Times New Roman" w:cs="Times New Roman"/>
          <w:i/>
          <w:iCs/>
          <w:noProof/>
          <w:lang w:val="en-US"/>
        </w:rPr>
        <w:t>Capitalism and Nationalism at the End of Empire: State and Business in Decolonizing Egypt, Nigeria, and Kenya, 1945-1963</w:t>
      </w:r>
      <w:r w:rsidRPr="00515DBF">
        <w:rPr>
          <w:rFonts w:ascii="Times New Roman" w:hAnsi="Times New Roman" w:cs="Times New Roman"/>
          <w:noProof/>
          <w:lang w:val="en-US"/>
        </w:rPr>
        <w:t>. Princeton, NJ: Princeton University Press, 1998.</w:t>
      </w:r>
    </w:p>
    <w:p w14:paraId="22D3D2ED" w14:textId="63F20D4E" w:rsidR="004D5A29" w:rsidRPr="00F90252" w:rsidRDefault="004D5A29" w:rsidP="004D5A29">
      <w:pPr>
        <w:widowControl w:val="0"/>
        <w:autoSpaceDE w:val="0"/>
        <w:autoSpaceDN w:val="0"/>
        <w:adjustRightInd w:val="0"/>
        <w:spacing w:line="480" w:lineRule="auto"/>
        <w:ind w:left="480" w:hanging="480"/>
        <w:rPr>
          <w:rFonts w:ascii="Times New Roman" w:hAnsi="Times New Roman" w:cs="Times New Roman"/>
          <w:noProof/>
        </w:rPr>
      </w:pPr>
      <w:r w:rsidRPr="004D5A29">
        <w:rPr>
          <w:rFonts w:ascii="Times New Roman" w:hAnsi="Times New Roman" w:cs="Times New Roman"/>
          <w:noProof/>
        </w:rPr>
        <w:t xml:space="preserve">Tomlinson, Jim. </w:t>
      </w:r>
      <w:r w:rsidRPr="004D5A29">
        <w:rPr>
          <w:rFonts w:ascii="Times New Roman" w:hAnsi="Times New Roman" w:cs="Times New Roman"/>
          <w:i/>
          <w:iCs/>
          <w:noProof/>
        </w:rPr>
        <w:t>Managing the Economy, Managing the People: Narratives of Economic Life in Britain from Beveridge to Brexit</w:t>
      </w:r>
      <w:r w:rsidRPr="004D5A29">
        <w:rPr>
          <w:rFonts w:ascii="Times New Roman" w:hAnsi="Times New Roman" w:cs="Times New Roman"/>
          <w:noProof/>
        </w:rPr>
        <w:t>. Oxford: Oxford University Press</w:t>
      </w:r>
      <w:r>
        <w:rPr>
          <w:rFonts w:ascii="Times New Roman" w:hAnsi="Times New Roman" w:cs="Times New Roman"/>
          <w:noProof/>
        </w:rPr>
        <w:t>, 2017</w:t>
      </w:r>
      <w:r w:rsidRPr="004D5A29">
        <w:rPr>
          <w:rFonts w:ascii="Times New Roman" w:hAnsi="Times New Roman" w:cs="Times New Roman"/>
          <w:noProof/>
        </w:rPr>
        <w:t>.</w:t>
      </w:r>
    </w:p>
    <w:p w14:paraId="1764E69A"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White, Nicholas J. </w:t>
      </w:r>
      <w:r w:rsidRPr="00515DBF">
        <w:rPr>
          <w:rFonts w:ascii="Times New Roman" w:hAnsi="Times New Roman" w:cs="Times New Roman"/>
          <w:i/>
          <w:iCs/>
          <w:noProof/>
          <w:lang w:val="en-US"/>
        </w:rPr>
        <w:t>British Business in Post-Colonial Malaysia, 1957-70: “Neo-Colonialism” or “Disengagement”?</w:t>
      </w:r>
      <w:r w:rsidRPr="00515DBF">
        <w:rPr>
          <w:rFonts w:ascii="Times New Roman" w:hAnsi="Times New Roman" w:cs="Times New Roman"/>
          <w:noProof/>
          <w:lang w:val="en-US"/>
        </w:rPr>
        <w:t xml:space="preserve"> Abingdon: Routledge Curzon, 2004.</w:t>
      </w:r>
    </w:p>
    <w:p w14:paraId="14EF6AB4" w14:textId="1245CB2A"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Wilkins, Mira. “The Free-Standing Company, 1870-1914: An Important Type of British Foreign Direct Investment.” </w:t>
      </w:r>
      <w:r w:rsidRPr="00515DBF">
        <w:rPr>
          <w:rFonts w:ascii="Times New Roman" w:hAnsi="Times New Roman" w:cs="Times New Roman"/>
          <w:i/>
          <w:iCs/>
          <w:noProof/>
          <w:lang w:val="en-US"/>
        </w:rPr>
        <w:t>The Economic History Review</w:t>
      </w:r>
      <w:r w:rsidRPr="00515DBF">
        <w:rPr>
          <w:rFonts w:ascii="Times New Roman" w:hAnsi="Times New Roman" w:cs="Times New Roman"/>
          <w:noProof/>
          <w:lang w:val="en-US"/>
        </w:rPr>
        <w:t>, New Se</w:t>
      </w:r>
      <w:r w:rsidR="00613638" w:rsidRPr="00515DBF">
        <w:rPr>
          <w:rFonts w:ascii="Times New Roman" w:hAnsi="Times New Roman" w:cs="Times New Roman"/>
          <w:noProof/>
          <w:lang w:val="en-US"/>
        </w:rPr>
        <w:t>ries, 41, no. 2 (1988): 259–82.</w:t>
      </w:r>
    </w:p>
    <w:p w14:paraId="3FDD3D2E" w14:textId="6EAB0098" w:rsidR="003A7416" w:rsidRPr="00515DBF" w:rsidRDefault="00613638"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Wilkins, Mira.</w:t>
      </w:r>
      <w:r w:rsidR="003A7416" w:rsidRPr="00515DBF">
        <w:rPr>
          <w:rFonts w:ascii="Times New Roman" w:hAnsi="Times New Roman" w:cs="Times New Roman"/>
          <w:noProof/>
          <w:lang w:val="en-US"/>
        </w:rPr>
        <w:t xml:space="preserve"> “The Free-Standing Company Revisited.” In </w:t>
      </w:r>
      <w:r w:rsidR="003A7416" w:rsidRPr="00515DBF">
        <w:rPr>
          <w:rFonts w:ascii="Times New Roman" w:hAnsi="Times New Roman" w:cs="Times New Roman"/>
          <w:i/>
          <w:iCs/>
          <w:noProof/>
          <w:lang w:val="en-US"/>
        </w:rPr>
        <w:t>The Free Standing Company in the World Economy, 1830-1996</w:t>
      </w:r>
      <w:r w:rsidR="003A7416" w:rsidRPr="00515DBF">
        <w:rPr>
          <w:rFonts w:ascii="Times New Roman" w:hAnsi="Times New Roman" w:cs="Times New Roman"/>
          <w:noProof/>
          <w:lang w:val="en-US"/>
        </w:rPr>
        <w:t>, edited by Mira Wilkins and Harm Schröter, 3–66. Oxford: Oxford University Press, 1998.</w:t>
      </w:r>
    </w:p>
    <w:p w14:paraId="2580D39F" w14:textId="77777777" w:rsidR="003A7416" w:rsidRPr="00515DBF"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Wilkins, Mira, and Frank Ernest Hill. </w:t>
      </w:r>
      <w:r w:rsidRPr="00515DBF">
        <w:rPr>
          <w:rFonts w:ascii="Times New Roman" w:hAnsi="Times New Roman" w:cs="Times New Roman"/>
          <w:i/>
          <w:iCs/>
          <w:noProof/>
          <w:lang w:val="en-US"/>
        </w:rPr>
        <w:t>American Business Abroad: Ford on Six Continents</w:t>
      </w:r>
      <w:r w:rsidRPr="00515DBF">
        <w:rPr>
          <w:rFonts w:ascii="Times New Roman" w:hAnsi="Times New Roman" w:cs="Times New Roman"/>
          <w:noProof/>
          <w:lang w:val="en-US"/>
        </w:rPr>
        <w:t>. Detroit: Wayne State University Press, 1964.</w:t>
      </w:r>
    </w:p>
    <w:p w14:paraId="62463ECF" w14:textId="6AEE6071" w:rsidR="007E5C93" w:rsidRDefault="003A7416" w:rsidP="003A7416">
      <w:pPr>
        <w:widowControl w:val="0"/>
        <w:autoSpaceDE w:val="0"/>
        <w:autoSpaceDN w:val="0"/>
        <w:adjustRightInd w:val="0"/>
        <w:spacing w:line="480" w:lineRule="auto"/>
        <w:ind w:left="480" w:hanging="480"/>
        <w:rPr>
          <w:rFonts w:ascii="Times New Roman" w:hAnsi="Times New Roman" w:cs="Times New Roman"/>
          <w:noProof/>
          <w:lang w:val="en-US"/>
        </w:rPr>
      </w:pPr>
      <w:r w:rsidRPr="00515DBF">
        <w:rPr>
          <w:rFonts w:ascii="Times New Roman" w:hAnsi="Times New Roman" w:cs="Times New Roman"/>
          <w:noProof/>
          <w:lang w:val="en-US"/>
        </w:rPr>
        <w:t xml:space="preserve">Wilkins, Mira, and Harm Schröter. </w:t>
      </w:r>
      <w:r w:rsidRPr="00515DBF">
        <w:rPr>
          <w:rFonts w:ascii="Times New Roman" w:hAnsi="Times New Roman" w:cs="Times New Roman"/>
          <w:i/>
          <w:iCs/>
          <w:noProof/>
          <w:lang w:val="en-US"/>
        </w:rPr>
        <w:t>The Free-Standing Company in the World Economy, 1830-1996</w:t>
      </w:r>
      <w:r w:rsidRPr="00515DBF">
        <w:rPr>
          <w:rFonts w:ascii="Times New Roman" w:hAnsi="Times New Roman" w:cs="Times New Roman"/>
          <w:noProof/>
          <w:lang w:val="en-US"/>
        </w:rPr>
        <w:t>. Edited by Mira Wilkins and Harm Schröter. Oxford Uni. Oxford, 1998.</w:t>
      </w:r>
    </w:p>
    <w:p w14:paraId="0992904D" w14:textId="533D3C05" w:rsidR="006B3F0B" w:rsidRDefault="006B3F0B" w:rsidP="007E5C93">
      <w:pPr>
        <w:widowControl w:val="0"/>
        <w:autoSpaceDE w:val="0"/>
        <w:autoSpaceDN w:val="0"/>
        <w:adjustRightInd w:val="0"/>
        <w:spacing w:line="480" w:lineRule="auto"/>
        <w:ind w:left="480" w:hanging="480"/>
      </w:pPr>
      <w:proofErr w:type="spellStart"/>
      <w:r>
        <w:t>Yacob</w:t>
      </w:r>
      <w:proofErr w:type="spellEnd"/>
      <w:r>
        <w:t xml:space="preserve">, </w:t>
      </w:r>
      <w:proofErr w:type="spellStart"/>
      <w:r>
        <w:t>Shakila</w:t>
      </w:r>
      <w:proofErr w:type="spellEnd"/>
      <w:r>
        <w:t xml:space="preserve">, and Nicholas J. White. 2010. “The ‘unfinished Business’ of Malaysia’s Decolonisation: The Origins of the Guthrie ‘Dawn Raid.’” </w:t>
      </w:r>
      <w:proofErr w:type="gramStart"/>
      <w:r>
        <w:rPr>
          <w:i/>
          <w:iCs/>
        </w:rPr>
        <w:lastRenderedPageBreak/>
        <w:t>Modern Asian Studies</w:t>
      </w:r>
      <w:r>
        <w:t xml:space="preserve"> 44 (5): 919–60.</w:t>
      </w:r>
      <w:proofErr w:type="gramEnd"/>
      <w:r>
        <w:t xml:space="preserve"> </w:t>
      </w:r>
    </w:p>
    <w:p w14:paraId="25518790" w14:textId="77777777" w:rsidR="00BD00C6" w:rsidRPr="00515DBF" w:rsidRDefault="00BD00C6">
      <w:pPr>
        <w:rPr>
          <w:rFonts w:ascii="Times New Roman" w:hAnsi="Times New Roman" w:cs="Times New Roman"/>
        </w:rPr>
      </w:pPr>
    </w:p>
    <w:sectPr w:rsidR="00BD00C6" w:rsidRPr="00515DBF" w:rsidSect="00FC53FE">
      <w:endnotePr>
        <w:numFmt w:val="decimal"/>
      </w:endnotePr>
      <w:pgSz w:w="11900" w:h="16840"/>
      <w:pgMar w:top="1440" w:right="2261"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9FAFD" w14:textId="77777777" w:rsidR="00107873" w:rsidRDefault="00107873" w:rsidP="00961702">
      <w:r>
        <w:separator/>
      </w:r>
    </w:p>
  </w:endnote>
  <w:endnote w:type="continuationSeparator" w:id="0">
    <w:p w14:paraId="20E05C2D" w14:textId="77777777" w:rsidR="00107873" w:rsidRDefault="00107873" w:rsidP="00961702">
      <w:r>
        <w:continuationSeparator/>
      </w:r>
    </w:p>
  </w:endnote>
  <w:endnote w:id="1">
    <w:p w14:paraId="133A285F" w14:textId="2C6ECDEC" w:rsidR="00107873" w:rsidRPr="00732579" w:rsidRDefault="00107873">
      <w:pPr>
        <w:pStyle w:val="EndnoteText"/>
        <w:rPr>
          <w:lang w:val="en-US"/>
        </w:rPr>
      </w:pPr>
      <w:r>
        <w:rPr>
          <w:rStyle w:val="EndnoteReference"/>
        </w:rPr>
        <w:endnoteRef/>
      </w:r>
      <w:r>
        <w:t xml:space="preserve"> </w:t>
      </w:r>
      <w:r w:rsidRPr="00F90252">
        <w:rPr>
          <w:rFonts w:cs="Times New Roman"/>
          <w:noProof/>
        </w:rPr>
        <w:t>Sidney Pollard, “Capital Exports, 1</w:t>
      </w:r>
      <w:r>
        <w:rPr>
          <w:rFonts w:cs="Times New Roman"/>
          <w:noProof/>
        </w:rPr>
        <w:t>870–1914 Harmful or Beneficial?</w:t>
      </w:r>
      <w:r w:rsidRPr="00F90252">
        <w:rPr>
          <w:rFonts w:cs="Times New Roman"/>
          <w:noProof/>
        </w:rPr>
        <w:t xml:space="preserve">,” </w:t>
      </w:r>
      <w:r w:rsidRPr="00F90252">
        <w:rPr>
          <w:rFonts w:cs="Times New Roman"/>
          <w:i/>
          <w:noProof/>
        </w:rPr>
        <w:t>The Economic History Review</w:t>
      </w:r>
      <w:r w:rsidRPr="00F90252">
        <w:rPr>
          <w:rFonts w:cs="Times New Roman"/>
          <w:noProof/>
        </w:rPr>
        <w:t xml:space="preserve"> 38, no. 4 (1985): 489–514; Michael Edelstein, “Foreign Investment and Accumulation, 1860-1914,” in </w:t>
      </w:r>
      <w:r w:rsidRPr="00F90252">
        <w:rPr>
          <w:rFonts w:cs="Times New Roman"/>
          <w:i/>
          <w:noProof/>
        </w:rPr>
        <w:t>The Economic History of Britain since 1700, Volume Two: 1860-1939</w:t>
      </w:r>
      <w:r w:rsidRPr="00F90252">
        <w:rPr>
          <w:rFonts w:cs="Times New Roman"/>
          <w:noProof/>
        </w:rPr>
        <w:t>, ed. R</w:t>
      </w:r>
      <w:r>
        <w:rPr>
          <w:rFonts w:cs="Times New Roman"/>
          <w:noProof/>
        </w:rPr>
        <w:t>.</w:t>
      </w:r>
      <w:r w:rsidRPr="00F90252">
        <w:rPr>
          <w:rFonts w:cs="Times New Roman"/>
          <w:noProof/>
        </w:rPr>
        <w:t xml:space="preserve"> Floud and D</w:t>
      </w:r>
      <w:r>
        <w:rPr>
          <w:rFonts w:cs="Times New Roman"/>
          <w:noProof/>
        </w:rPr>
        <w:t>.</w:t>
      </w:r>
      <w:r w:rsidRPr="00F90252">
        <w:rPr>
          <w:rFonts w:cs="Times New Roman"/>
          <w:noProof/>
        </w:rPr>
        <w:t xml:space="preserve"> McCloskey (Cambridge</w:t>
      </w:r>
      <w:r>
        <w:rPr>
          <w:rFonts w:cs="Times New Roman"/>
          <w:noProof/>
        </w:rPr>
        <w:t>: Cambridge University Press</w:t>
      </w:r>
      <w:r w:rsidRPr="00F90252">
        <w:rPr>
          <w:rFonts w:cs="Times New Roman"/>
          <w:noProof/>
        </w:rPr>
        <w:t xml:space="preserve">, 1994), 173–96; Lance Davis and Robert Huttenback, </w:t>
      </w:r>
      <w:r w:rsidRPr="00F90252">
        <w:rPr>
          <w:rFonts w:cs="Times New Roman"/>
          <w:i/>
          <w:noProof/>
        </w:rPr>
        <w:t>Mammon and the Pursuit of Empire: The Political Economy of British Imperialism, 1860-1912</w:t>
      </w:r>
      <w:r w:rsidRPr="00F90252">
        <w:rPr>
          <w:rFonts w:cs="Times New Roman"/>
          <w:noProof/>
        </w:rPr>
        <w:t xml:space="preserve"> (Cambridge: Cambridge University Press, 1986); Lance Davis, “The Late Nineteenth-Century British Imperialist: Specification, Quantification and Controlled Conjectures,” in </w:t>
      </w:r>
      <w:r w:rsidRPr="00F90252">
        <w:rPr>
          <w:rFonts w:cs="Times New Roman"/>
          <w:i/>
          <w:noProof/>
        </w:rPr>
        <w:t>Gentlemanly Capitalism and British Imperialism</w:t>
      </w:r>
      <w:r w:rsidRPr="00F90252">
        <w:rPr>
          <w:rFonts w:cs="Times New Roman"/>
          <w:noProof/>
        </w:rPr>
        <w:t>, ed. Raymond E. Dumett (London: Longman, 1999), 82–112.</w:t>
      </w:r>
    </w:p>
  </w:endnote>
  <w:endnote w:id="2">
    <w:p w14:paraId="5045A301" w14:textId="50EA7BD4" w:rsidR="00107873" w:rsidRPr="00F90252" w:rsidRDefault="00107873">
      <w:pPr>
        <w:pStyle w:val="EndnoteText"/>
        <w:contextualSpacing/>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Mira Wilkins, “The Free-Standing Company, 1870-1914: An Important Type of British Foreign Direct Investment,” </w:t>
      </w:r>
      <w:r w:rsidRPr="00F90252">
        <w:rPr>
          <w:rFonts w:cs="Times New Roman"/>
          <w:i/>
          <w:noProof/>
        </w:rPr>
        <w:t>The Economic History Review</w:t>
      </w:r>
      <w:r w:rsidRPr="00F90252">
        <w:rPr>
          <w:rFonts w:cs="Times New Roman"/>
          <w:noProof/>
        </w:rPr>
        <w:t>, New Series, 41, no. 2 (1988)</w:t>
      </w:r>
      <w:r>
        <w:rPr>
          <w:rFonts w:cs="Times New Roman"/>
          <w:noProof/>
        </w:rPr>
        <w:t>,</w:t>
      </w:r>
      <w:r w:rsidRPr="00F90252">
        <w:rPr>
          <w:rFonts w:cs="Times New Roman"/>
          <w:noProof/>
        </w:rPr>
        <w:t xml:space="preserve"> 259–82; Mira Wilkins, “The Free-Standing Company Revisited,” in </w:t>
      </w:r>
      <w:r w:rsidRPr="00F90252">
        <w:rPr>
          <w:rFonts w:cs="Times New Roman"/>
          <w:i/>
          <w:noProof/>
        </w:rPr>
        <w:t>The Free Standing Company in the World Economy, 1830-1996</w:t>
      </w:r>
      <w:r w:rsidRPr="00F90252">
        <w:rPr>
          <w:rFonts w:cs="Times New Roman"/>
          <w:noProof/>
        </w:rPr>
        <w:t xml:space="preserve">, ed. Mira Wilkins and Harm Schröter (Oxford: Oxford University Press, 1998), 3–66; For an overview of the development of this concept in international business history see: Tom Houston and John H. Dunning, </w:t>
      </w:r>
      <w:r w:rsidRPr="00F90252">
        <w:rPr>
          <w:rFonts w:cs="Times New Roman"/>
          <w:i/>
          <w:noProof/>
        </w:rPr>
        <w:t>UK Industry Abroad</w:t>
      </w:r>
      <w:r w:rsidRPr="00F90252">
        <w:rPr>
          <w:rFonts w:cs="Times New Roman"/>
          <w:noProof/>
        </w:rPr>
        <w:t xml:space="preserve"> (London: Financial Times, 1976); Stanley Chapman, “British</w:t>
      </w:r>
      <w:r w:rsidRPr="00F90252">
        <w:rPr>
          <w:rFonts w:cs="Noteworthy Light" w:hint="eastAsia"/>
          <w:noProof/>
        </w:rPr>
        <w:t>‐</w:t>
      </w:r>
      <w:r w:rsidRPr="00F90252">
        <w:rPr>
          <w:rFonts w:cs="Times New Roman"/>
          <w:noProof/>
        </w:rPr>
        <w:t xml:space="preserve">Based Investment Groups Before 1914,” </w:t>
      </w:r>
      <w:r w:rsidRPr="00F90252">
        <w:rPr>
          <w:rFonts w:cs="Times New Roman"/>
          <w:i/>
          <w:noProof/>
        </w:rPr>
        <w:t>The Economic History Review</w:t>
      </w:r>
      <w:r w:rsidRPr="00F90252">
        <w:rPr>
          <w:rFonts w:cs="Times New Roman"/>
          <w:noProof/>
        </w:rPr>
        <w:t xml:space="preserve"> 38, no. 2 (1985): 230–47; Simon Mollan, “The Free-Standing Company: A ‘zombie’ Theory of International Business History?,” </w:t>
      </w:r>
      <w:r w:rsidRPr="00F90252">
        <w:rPr>
          <w:rFonts w:cs="Times New Roman"/>
          <w:i/>
          <w:noProof/>
        </w:rPr>
        <w:t>Journal of Management History</w:t>
      </w:r>
      <w:r w:rsidRPr="00F90252">
        <w:rPr>
          <w:rFonts w:cs="Times New Roman"/>
          <w:noProof/>
        </w:rPr>
        <w:t xml:space="preserve"> 22, no. 2 (2018): 156–73.</w:t>
      </w:r>
    </w:p>
  </w:endnote>
  <w:endnote w:id="3">
    <w:p w14:paraId="015D5D43" w14:textId="438F560B"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Ranald Michie, </w:t>
      </w:r>
      <w:r w:rsidRPr="00F90252">
        <w:rPr>
          <w:rFonts w:cs="Times New Roman"/>
          <w:i/>
          <w:noProof/>
        </w:rPr>
        <w:t>The City of London: Continuity and Change since 1850</w:t>
      </w:r>
      <w:r w:rsidRPr="00F90252">
        <w:rPr>
          <w:rFonts w:cs="Times New Roman"/>
          <w:noProof/>
        </w:rPr>
        <w:t xml:space="preserve"> (London: Macmillan, 1991); Simon Mollan and Ranald Michie, “The City of London as an International Commercial and Financial Center since 1900,” </w:t>
      </w:r>
      <w:r w:rsidRPr="00F90252">
        <w:rPr>
          <w:rFonts w:cs="Times New Roman"/>
          <w:i/>
          <w:noProof/>
        </w:rPr>
        <w:t>Enterprise and Society</w:t>
      </w:r>
      <w:r w:rsidRPr="00F90252">
        <w:rPr>
          <w:rFonts w:cs="Times New Roman"/>
          <w:noProof/>
        </w:rPr>
        <w:t xml:space="preserve"> 13, no. 3 (January 27, 2012): 538–87,; Kevin Tennent, “Owned, Monitored, but Not Always Controlled: Understanding the Success and Failure of Scottish Free-Standing Companies, 1862-1910” (The London School of Economics and Political Science (LSE), 2009).</w:t>
      </w:r>
    </w:p>
  </w:endnote>
  <w:endnote w:id="4">
    <w:p w14:paraId="17AC135B" w14:textId="5DA6B8A1"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Rory Miller, “British Free-Standing Companies on the West Coast of South America,” in </w:t>
      </w:r>
      <w:r w:rsidRPr="00F90252">
        <w:rPr>
          <w:rFonts w:cs="Times New Roman"/>
          <w:i/>
          <w:noProof/>
        </w:rPr>
        <w:t>The Free Standing Company in the World Economy, 1830-1996</w:t>
      </w:r>
      <w:r w:rsidRPr="00F90252">
        <w:rPr>
          <w:rFonts w:cs="Times New Roman"/>
          <w:noProof/>
        </w:rPr>
        <w:t xml:space="preserve">, ed. Mira Wilkins and Harm Schröter (Oxford: Oxford University Press, 1998), 218–51; Simon Mollan and David K. Kelsey, “An Overview of the Business History of the International Mining Industry,” in </w:t>
      </w:r>
      <w:r w:rsidRPr="00F90252">
        <w:rPr>
          <w:rFonts w:cs="Times New Roman"/>
          <w:i/>
          <w:noProof/>
        </w:rPr>
        <w:t>Contemporary Issues in Mining</w:t>
      </w:r>
      <w:r w:rsidRPr="00F90252">
        <w:rPr>
          <w:rFonts w:cs="Times New Roman"/>
          <w:noProof/>
        </w:rPr>
        <w:t xml:space="preserve">, ed. Nigel Finch (Sydney: Palgrave Macmillan, 2012); Stanciu, “Free-Standing Companies in the Oil Sector in Romania and Poland Before 1948: Typologies and Competencies”; Tennent, “Owned, Monitored, but Not Always Controlled: Understanding the Success and Failure of Scottish Free-Standing Companies, 1862-1910”; Kevin Tennent, “Management and the Free-Standing Company: The New Zealand and Australia Land Company c . 1866–1900,” </w:t>
      </w:r>
      <w:r w:rsidRPr="00F90252">
        <w:rPr>
          <w:rFonts w:cs="Times New Roman"/>
          <w:i/>
          <w:noProof/>
        </w:rPr>
        <w:t>The Journal of Imperial and Commonwealth History</w:t>
      </w:r>
      <w:r w:rsidRPr="00F90252">
        <w:rPr>
          <w:rFonts w:cs="Times New Roman"/>
          <w:noProof/>
        </w:rPr>
        <w:t xml:space="preserve"> 41, no. 1 (March 2013): 81–97; David Boughey, “British Overseas Railways as Free-Standing Companies, 1900–1915,” </w:t>
      </w:r>
      <w:r w:rsidRPr="00F90252">
        <w:rPr>
          <w:rFonts w:cs="Times New Roman"/>
          <w:i/>
          <w:noProof/>
        </w:rPr>
        <w:t>Business History</w:t>
      </w:r>
      <w:r w:rsidRPr="00F90252">
        <w:rPr>
          <w:rFonts w:cs="Times New Roman"/>
          <w:noProof/>
        </w:rPr>
        <w:t xml:space="preserve"> 51, no. 3 (May 2009): 484–500; Simon Mollan, “Business Failure, Capital Investment and Information: Mining Companies in the Anglo-Egyptian Sudan, 1900–13,” </w:t>
      </w:r>
      <w:r w:rsidRPr="00F90252">
        <w:rPr>
          <w:rFonts w:cs="Times New Roman"/>
          <w:i/>
          <w:noProof/>
        </w:rPr>
        <w:t>The Journal of Imperial and Commonwealth History</w:t>
      </w:r>
      <w:r w:rsidRPr="00F90252">
        <w:rPr>
          <w:rFonts w:cs="Times New Roman"/>
          <w:noProof/>
        </w:rPr>
        <w:t xml:space="preserve"> 37, no. 2 (2009): 229–48; Charles Jones, “Commercial Banks and Mortgage Companies,” in </w:t>
      </w:r>
      <w:r w:rsidRPr="00F90252">
        <w:rPr>
          <w:rFonts w:cs="Times New Roman"/>
          <w:i/>
          <w:noProof/>
        </w:rPr>
        <w:t>Business Imperialism, 1840-1930: An Enquiry Based on British Experience in Latin America</w:t>
      </w:r>
      <w:r w:rsidRPr="00F90252">
        <w:rPr>
          <w:rFonts w:cs="Times New Roman"/>
          <w:noProof/>
        </w:rPr>
        <w:t xml:space="preserve">, ed. D.C.M. Platt (Oxford: Clarendon Press, 1977), 17–52; Charles Jones, “Institutional Forms of British Foreign Direct Investment in South America,” </w:t>
      </w:r>
      <w:r w:rsidRPr="00F90252">
        <w:rPr>
          <w:rFonts w:cs="Times New Roman"/>
          <w:i/>
          <w:noProof/>
        </w:rPr>
        <w:t>Business History</w:t>
      </w:r>
      <w:r w:rsidRPr="00F90252">
        <w:rPr>
          <w:rFonts w:cs="Times New Roman"/>
          <w:noProof/>
        </w:rPr>
        <w:t xml:space="preserve"> 39, no. 2 (April 1997): 21–41; Stuart Jones, “Origins, Growth and Concentration of Bank Capital in South Africa, 1860–92,” </w:t>
      </w:r>
      <w:r w:rsidRPr="00F90252">
        <w:rPr>
          <w:rFonts w:cs="Times New Roman"/>
          <w:i/>
          <w:noProof/>
        </w:rPr>
        <w:t>Business History</w:t>
      </w:r>
      <w:r w:rsidRPr="00F90252">
        <w:rPr>
          <w:rFonts w:cs="Times New Roman"/>
          <w:noProof/>
        </w:rPr>
        <w:t xml:space="preserve"> 36, no. 3 (July 1994): 62–80; Geoffrey Jones, “British Overseas Banks as Free-Standing Companies, 1830-1996,” in </w:t>
      </w:r>
      <w:r w:rsidRPr="00F90252">
        <w:rPr>
          <w:rFonts w:cs="Times New Roman"/>
          <w:i/>
          <w:noProof/>
        </w:rPr>
        <w:t>The Free Standing Company in the World Economy, 1830-1996</w:t>
      </w:r>
      <w:r w:rsidRPr="00F90252">
        <w:rPr>
          <w:rFonts w:cs="Times New Roman"/>
          <w:noProof/>
        </w:rPr>
        <w:t xml:space="preserve">, ed. Mira Wilkins and Harm Schröter (Oxford: Oxford University Press, 1998), 344–60; Robert G Greenhill, “Investment Group, Free-Standing Company or Multinational? Brazilian Warrant, 1909–52,” </w:t>
      </w:r>
      <w:r w:rsidRPr="00F90252">
        <w:rPr>
          <w:rFonts w:cs="Times New Roman"/>
          <w:i/>
          <w:noProof/>
        </w:rPr>
        <w:t>Business History</w:t>
      </w:r>
      <w:r w:rsidRPr="00F90252">
        <w:rPr>
          <w:rFonts w:cs="Times New Roman"/>
          <w:noProof/>
        </w:rPr>
        <w:t xml:space="preserve"> 37, no. 1 (1995): 86–111; Marilyn Gerriets, “The Rise and Fall of a Free-Standing Company in Nova Scotia: The General Mining Association,” </w:t>
      </w:r>
      <w:r w:rsidRPr="00F90252">
        <w:rPr>
          <w:rFonts w:cs="Times New Roman"/>
          <w:i/>
          <w:noProof/>
        </w:rPr>
        <w:t>Business History</w:t>
      </w:r>
      <w:r w:rsidRPr="00F90252">
        <w:rPr>
          <w:rFonts w:cs="Times New Roman"/>
          <w:noProof/>
        </w:rPr>
        <w:t xml:space="preserve"> 34, no. 3 (1992): 16–48.</w:t>
      </w:r>
    </w:p>
  </w:endnote>
  <w:endnote w:id="5">
    <w:p w14:paraId="04FAB8E8" w14:textId="01B4397D" w:rsidR="00107873" w:rsidRPr="00F90252" w:rsidRDefault="00107873" w:rsidP="00466012">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Wilkins, “The Free-Standing Company Revisited”; Mark Casson, “Institutional Diversity in Overseas Enterprise: Explaining the Free-Standing Company,” </w:t>
      </w:r>
      <w:r w:rsidRPr="00F90252">
        <w:rPr>
          <w:rFonts w:cs="Times New Roman"/>
          <w:i/>
          <w:noProof/>
        </w:rPr>
        <w:t>Business History</w:t>
      </w:r>
      <w:r w:rsidRPr="00F90252">
        <w:rPr>
          <w:rFonts w:cs="Times New Roman"/>
          <w:noProof/>
        </w:rPr>
        <w:t xml:space="preserve"> 36, no. 4 (1994): 95–108; Mark Casson, “An Economic Theory of the Free-Standing Company,” in </w:t>
      </w:r>
      <w:r w:rsidRPr="00F90252">
        <w:rPr>
          <w:rFonts w:cs="Times New Roman"/>
          <w:i/>
          <w:noProof/>
        </w:rPr>
        <w:t>The Free Standing Company in the World Economy, 1830-1996</w:t>
      </w:r>
      <w:r w:rsidRPr="00F90252">
        <w:rPr>
          <w:rFonts w:cs="Times New Roman"/>
          <w:noProof/>
        </w:rPr>
        <w:t xml:space="preserve">, ed. Mira Wilkins and Harm Schröter (Oxford: Oxford University Press, 1998), 99–128; Jean-Francois Hennart, “Transaction-Cost Theory and the Free-Standing Firm,” in </w:t>
      </w:r>
      <w:r w:rsidRPr="00F90252">
        <w:rPr>
          <w:rFonts w:cs="Times New Roman"/>
          <w:i/>
          <w:noProof/>
        </w:rPr>
        <w:t>The Free Standing Company in the World Economy, 1830-1996</w:t>
      </w:r>
      <w:r w:rsidRPr="00F90252">
        <w:rPr>
          <w:rFonts w:cs="Times New Roman"/>
          <w:noProof/>
        </w:rPr>
        <w:t xml:space="preserve">, ed. Mira Wilkins and Harm Schröter (Oxford: Oxford University Press, 1998), 65–98; T. a. B. Corley, “Free-Standing Companies, Their Financing, and Internalisation Theory,” </w:t>
      </w:r>
      <w:r w:rsidRPr="00F90252">
        <w:rPr>
          <w:rFonts w:cs="Times New Roman"/>
          <w:i/>
          <w:noProof/>
        </w:rPr>
        <w:t>Business History</w:t>
      </w:r>
      <w:r w:rsidRPr="00F90252">
        <w:rPr>
          <w:rFonts w:cs="Times New Roman"/>
          <w:noProof/>
        </w:rPr>
        <w:t xml:space="preserve"> 36, no. 4 (October 1994): 109–17.</w:t>
      </w:r>
    </w:p>
  </w:endnote>
  <w:endnote w:id="6">
    <w:p w14:paraId="0CB43881" w14:textId="2CD7AB3D"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Wilkins, “The Free-Standing Company Revisited.”</w:t>
      </w:r>
      <w:r w:rsidRPr="00F90252">
        <w:rPr>
          <w:rFonts w:cs="Times New Roman"/>
        </w:rPr>
        <w:t>.</w:t>
      </w:r>
    </w:p>
  </w:endnote>
  <w:endnote w:id="7">
    <w:p w14:paraId="2353570D" w14:textId="1FE7E256"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Simon Mollan and Kevin Tennent, “International Taxation and Corporate Strategy: Evidence from British Overseas Business, circa 1900–1965,” </w:t>
      </w:r>
      <w:r w:rsidRPr="00F90252">
        <w:rPr>
          <w:rFonts w:cs="Times New Roman"/>
          <w:i/>
          <w:noProof/>
        </w:rPr>
        <w:t>Business History</w:t>
      </w:r>
      <w:r w:rsidRPr="00F90252">
        <w:rPr>
          <w:rFonts w:cs="Times New Roman"/>
          <w:noProof/>
        </w:rPr>
        <w:t xml:space="preserve"> 57, no. 7 (2015): 1–28.</w:t>
      </w:r>
    </w:p>
  </w:endnote>
  <w:endnote w:id="8">
    <w:p w14:paraId="70EC92A2" w14:textId="77777777" w:rsidR="00107873" w:rsidRPr="00F90252" w:rsidRDefault="00107873" w:rsidP="001B54B6">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'Mr Drake: Item 3 and Item 4', 12 February 1953.</w:t>
      </w:r>
    </w:p>
  </w:endnote>
  <w:endnote w:id="9">
    <w:p w14:paraId="3EC256C0" w14:textId="77777777" w:rsidR="00107873" w:rsidRPr="00F90252" w:rsidRDefault="00107873" w:rsidP="001B54B6">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 xml:space="preserve">LSE Archives, SELECTION TRUST/2009/110 - Selection Secretariat Ltd - Minute Book, 1943-1954, Minutes of 21st Board Meeting Held at the Registered Office on Thursday 18 June 1953; SELECTION TRUST/2009/44 - Board Meeting Minutes, 1950-1956, 217th Board Meeting, 5 February 1953; </w:t>
      </w:r>
      <w:r w:rsidRPr="00F90252">
        <w:rPr>
          <w:rFonts w:cs="Times New Roman"/>
        </w:rPr>
        <w:t>222nd Board Meeting, 4 June 1953.</w:t>
      </w:r>
    </w:p>
  </w:endnote>
  <w:endnote w:id="10">
    <w:p w14:paraId="240884A5" w14:textId="77777777" w:rsidR="00107873" w:rsidRPr="00F90252" w:rsidRDefault="00107873" w:rsidP="006B34B6">
      <w:pPr>
        <w:pStyle w:val="EndnoteText"/>
        <w:rPr>
          <w:rFonts w:cs="Times New Roman"/>
          <w:lang w:val="en-US"/>
        </w:rPr>
      </w:pPr>
      <w:r w:rsidRPr="00F90252">
        <w:rPr>
          <w:rStyle w:val="EndnoteReference"/>
          <w:rFonts w:cs="Times New Roman"/>
        </w:rPr>
        <w:endnoteRef/>
      </w:r>
      <w:r w:rsidRPr="00F90252">
        <w:rPr>
          <w:rFonts w:cs="Times New Roman"/>
        </w:rPr>
        <w:t xml:space="preserve"> NA T233/2161 Minute Sheet 'S. 468 Income Tax Act 1952: Rhodesian Selection Trust and Associated Companies', written by Mr. Hunter Johnson, 31 July 1952.</w:t>
      </w:r>
    </w:p>
  </w:endnote>
  <w:endnote w:id="11">
    <w:p w14:paraId="5DDCC4C5" w14:textId="16C43781"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Alexander J Motyl, </w:t>
      </w:r>
      <w:r w:rsidRPr="00F90252">
        <w:rPr>
          <w:rFonts w:cs="Times New Roman"/>
          <w:i/>
          <w:noProof/>
        </w:rPr>
        <w:t>Imperial Ends: The Decay, Collapse, and Revival of Empires</w:t>
      </w:r>
      <w:r w:rsidRPr="00F90252">
        <w:rPr>
          <w:rFonts w:cs="Times New Roman"/>
          <w:noProof/>
        </w:rPr>
        <w:t xml:space="preserve"> (New York: Columbia University Press, 2013); Michael W Doyle, </w:t>
      </w:r>
      <w:r w:rsidRPr="00F90252">
        <w:rPr>
          <w:rFonts w:cs="Times New Roman"/>
          <w:i/>
          <w:noProof/>
        </w:rPr>
        <w:t>Empires</w:t>
      </w:r>
      <w:r w:rsidRPr="00F90252">
        <w:rPr>
          <w:rFonts w:cs="Times New Roman"/>
          <w:noProof/>
        </w:rPr>
        <w:t xml:space="preserve"> (Cornell University Press, 1986).</w:t>
      </w:r>
    </w:p>
  </w:endnote>
  <w:endnote w:id="12">
    <w:p w14:paraId="0A1934B2" w14:textId="3EEF6843" w:rsidR="00107873" w:rsidRPr="00F90252" w:rsidRDefault="00107873" w:rsidP="00C77814">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lang w:val="en-US"/>
        </w:rPr>
        <w:t xml:space="preserve">Stephen D Krasner, “Rethinking the Sovereign State Model,” </w:t>
      </w:r>
      <w:r w:rsidRPr="00F90252">
        <w:rPr>
          <w:rFonts w:cs="Times New Roman"/>
          <w:i/>
          <w:noProof/>
          <w:lang w:val="en-US"/>
        </w:rPr>
        <w:t>Review of International Studies</w:t>
      </w:r>
      <w:r w:rsidRPr="00F90252">
        <w:rPr>
          <w:rFonts w:cs="Times New Roman"/>
          <w:noProof/>
          <w:lang w:val="en-US"/>
        </w:rPr>
        <w:t xml:space="preserve"> 27 (2001): 18.</w:t>
      </w:r>
    </w:p>
  </w:endnote>
  <w:endnote w:id="13">
    <w:p w14:paraId="4E8051B2" w14:textId="768013E4"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lang w:val="en-US"/>
        </w:rPr>
        <w:t>Ibid., 17.</w:t>
      </w:r>
    </w:p>
  </w:endnote>
  <w:endnote w:id="14">
    <w:p w14:paraId="5E58E072" w14:textId="77777777" w:rsidR="00107873" w:rsidRPr="00760D8B" w:rsidRDefault="00107873" w:rsidP="006A0FA8">
      <w:pPr>
        <w:pStyle w:val="EndnoteText"/>
        <w:rPr>
          <w:lang w:val="en-US"/>
        </w:rPr>
      </w:pPr>
      <w:r w:rsidRPr="00622C1F">
        <w:rPr>
          <w:rStyle w:val="EndnoteReference"/>
        </w:rPr>
        <w:endnoteRef/>
      </w:r>
      <w:r w:rsidRPr="00622C1F">
        <w:t xml:space="preserve"> </w:t>
      </w:r>
      <w:r w:rsidRPr="00622C1F">
        <w:rPr>
          <w:lang w:val="en-US"/>
        </w:rPr>
        <w:t xml:space="preserve">N. J. White, </w:t>
      </w:r>
      <w:r w:rsidRPr="005A57ED">
        <w:rPr>
          <w:lang w:val="en-US"/>
        </w:rPr>
        <w:t>The business and the politics of decolonization: the British exp</w:t>
      </w:r>
      <w:r w:rsidRPr="005D4DD2">
        <w:rPr>
          <w:lang w:val="en-US"/>
        </w:rPr>
        <w:t xml:space="preserve">erience in the twentieth century. </w:t>
      </w:r>
      <w:r w:rsidRPr="005D4DD2">
        <w:rPr>
          <w:i/>
          <w:lang w:val="en-US"/>
        </w:rPr>
        <w:t>Economic History Review</w:t>
      </w:r>
      <w:r w:rsidRPr="005D4DD2">
        <w:rPr>
          <w:lang w:val="en-US"/>
        </w:rPr>
        <w:t xml:space="preserve"> 53, vol. 3 (2000), pp. </w:t>
      </w:r>
      <w:r w:rsidRPr="00760D8B">
        <w:rPr>
          <w:lang w:val="en-US"/>
        </w:rPr>
        <w:t xml:space="preserve">544-564.  Cain, P. J. and Hopkins, A. G., </w:t>
      </w:r>
      <w:r w:rsidRPr="00760D8B">
        <w:rPr>
          <w:i/>
          <w:lang w:val="en-US"/>
        </w:rPr>
        <w:t>British Imperialism, 1688-2000</w:t>
      </w:r>
      <w:r w:rsidRPr="00760D8B">
        <w:rPr>
          <w:lang w:val="en-US"/>
        </w:rPr>
        <w:t>, (Harlow: London, 2001).</w:t>
      </w:r>
    </w:p>
  </w:endnote>
  <w:endnote w:id="15">
    <w:p w14:paraId="12A752A1" w14:textId="77777777" w:rsidR="00107873" w:rsidRPr="00760D8B" w:rsidRDefault="00107873" w:rsidP="006A0FA8">
      <w:pPr>
        <w:pStyle w:val="EndnoteText"/>
        <w:rPr>
          <w:lang w:val="en-US"/>
        </w:rPr>
      </w:pPr>
      <w:r w:rsidRPr="00622C1F">
        <w:rPr>
          <w:rStyle w:val="EndnoteReference"/>
        </w:rPr>
        <w:endnoteRef/>
      </w:r>
      <w:r w:rsidRPr="00622C1F">
        <w:t xml:space="preserve"> </w:t>
      </w:r>
      <w:r w:rsidRPr="00622C1F">
        <w:rPr>
          <w:lang w:val="en-US"/>
        </w:rPr>
        <w:t>N. J. White</w:t>
      </w:r>
      <w:r w:rsidRPr="005A57ED">
        <w:rPr>
          <w:lang w:val="en-US"/>
        </w:rPr>
        <w:t xml:space="preserve">, ‘Government and business divided: Malaya 1945 – 57’, </w:t>
      </w:r>
      <w:r w:rsidRPr="005D4DD2">
        <w:rPr>
          <w:i/>
          <w:lang w:val="en-US"/>
        </w:rPr>
        <w:t>Journal of Imperial and Commonwealth History</w:t>
      </w:r>
      <w:r w:rsidRPr="005D4DD2">
        <w:rPr>
          <w:lang w:val="en-US"/>
        </w:rPr>
        <w:t>, 22 (May 1994). See also Nicholas J. White, ‘Gentlemanly capitalism and empire in the twentieth century: the forgotten case of Malaya, 1914 – 1965’ in Raymo</w:t>
      </w:r>
      <w:r w:rsidRPr="00760D8B">
        <w:rPr>
          <w:lang w:val="en-US"/>
        </w:rPr>
        <w:t xml:space="preserve">nd E, Dumett, </w:t>
      </w:r>
      <w:r w:rsidRPr="00760D8B">
        <w:rPr>
          <w:i/>
          <w:lang w:val="en-US"/>
        </w:rPr>
        <w:t>Gentlemanly capitalism and British Imperialism: The New Debate on Empire</w:t>
      </w:r>
      <w:r w:rsidRPr="00760D8B">
        <w:rPr>
          <w:lang w:val="en-US"/>
        </w:rPr>
        <w:t xml:space="preserve"> (London: Longman, 1999) pp. 184 – 188; S. Yacob and N. J. White, The ‘Unfinished Business’ of Malaysia’s Decolonisation: The Origins of the Guthrie ‘Dawn Raid’, </w:t>
      </w:r>
      <w:r w:rsidRPr="00760D8B">
        <w:rPr>
          <w:i/>
          <w:lang w:val="en-US"/>
        </w:rPr>
        <w:t xml:space="preserve">Modern Asian Studies, </w:t>
      </w:r>
      <w:r w:rsidRPr="00760D8B">
        <w:rPr>
          <w:lang w:val="en-US"/>
        </w:rPr>
        <w:t>44, no. 5 (2010), pp. 919-960.</w:t>
      </w:r>
    </w:p>
  </w:endnote>
  <w:endnote w:id="16">
    <w:p w14:paraId="38199C77" w14:textId="77777777" w:rsidR="00107873" w:rsidRPr="00622C1F" w:rsidRDefault="00107873" w:rsidP="006A0FA8">
      <w:pPr>
        <w:pStyle w:val="EndnoteText"/>
        <w:rPr>
          <w:lang w:val="en-US"/>
        </w:rPr>
      </w:pPr>
      <w:r w:rsidRPr="00622C1F">
        <w:rPr>
          <w:rStyle w:val="EndnoteReference"/>
        </w:rPr>
        <w:endnoteRef/>
      </w:r>
      <w:r w:rsidRPr="00622C1F">
        <w:t xml:space="preserve"> </w:t>
      </w:r>
      <w:r w:rsidRPr="00F90252">
        <w:t xml:space="preserve">L. J. Butler </w:t>
      </w:r>
      <w:r w:rsidRPr="00F90252">
        <w:rPr>
          <w:i/>
        </w:rPr>
        <w:t>Copper Empire: Mining and the Colonial State in Northern Rhodesia, c.1930 – 1964</w:t>
      </w:r>
      <w:r w:rsidRPr="00F90252">
        <w:t xml:space="preserve"> (Basingstoke: Palgrave, 2007), pp. 202-203.</w:t>
      </w:r>
    </w:p>
  </w:endnote>
  <w:endnote w:id="17">
    <w:p w14:paraId="43568F5F" w14:textId="2FCC4615" w:rsidR="00107873" w:rsidRPr="00760D8B" w:rsidRDefault="00107873">
      <w:pPr>
        <w:pStyle w:val="EndnoteText"/>
      </w:pPr>
      <w:r w:rsidRPr="00622C1F">
        <w:rPr>
          <w:rStyle w:val="EndnoteReference"/>
        </w:rPr>
        <w:endnoteRef/>
      </w:r>
      <w:r w:rsidRPr="00622C1F">
        <w:t xml:space="preserve"> The existing historical literature</w:t>
      </w:r>
      <w:r w:rsidRPr="005A57ED">
        <w:t xml:space="preserve"> </w:t>
      </w:r>
      <w:r w:rsidRPr="005D4DD2">
        <w:t>on changes to domcile is limited, but indicates</w:t>
      </w:r>
      <w:r w:rsidRPr="00760D8B">
        <w:t xml:space="preserve"> that the context for changes varied considerably. For example one article indicates that Australia refused to allow a wholesale trading firm to relocate domicile from the UK to Australia in the 1970s because of insufficient equity holding in Australia. See </w:t>
      </w:r>
      <w:r w:rsidRPr="00760D8B">
        <w:rPr>
          <w:rFonts w:ascii="Calibri" w:hAnsi="Calibri" w:cs="Calibri"/>
        </w:rPr>
        <w:t>﻿</w:t>
      </w:r>
      <w:r w:rsidRPr="00760D8B">
        <w:t xml:space="preserve">Mollan, Simon. 2010. “S. Hoffnung and Co: The Case of a Market Intermediary in Australia, 1851-1980.” Consumption, Markets and Culture 13 (1): 7–30. Dissimilarly, in Malaya in the 1970s, rubber firms were forced to change domicile as a result of government policy despite hostility from the board of directors. See </w:t>
      </w:r>
      <w:r w:rsidRPr="00760D8B">
        <w:rPr>
          <w:rFonts w:ascii="Calibri" w:hAnsi="Calibri" w:cs="Calibri"/>
        </w:rPr>
        <w:t>﻿</w:t>
      </w:r>
      <w:r w:rsidRPr="00760D8B">
        <w:t xml:space="preserve">Yacob, Shakila, and Nicholas J. White. 2010. “The ‘unfinished Business’ of Malaysia’s Decolonisation: The Origins of the Guthrie ‘Dawn Raid.’” </w:t>
      </w:r>
      <w:proofErr w:type="gramStart"/>
      <w:r w:rsidRPr="00760D8B">
        <w:t>Modern Asian Studies 44 (5): 919–60.</w:t>
      </w:r>
      <w:proofErr w:type="gramEnd"/>
      <w:r w:rsidRPr="00760D8B">
        <w:t xml:space="preserve"> What both articles reveal is that changes of domicile were contingent on political processes that had the capacity to frustrate the intentions of management. </w:t>
      </w:r>
    </w:p>
  </w:endnote>
  <w:endnote w:id="18">
    <w:p w14:paraId="49F6928C" w14:textId="77777777" w:rsidR="00107873" w:rsidRPr="00F90252" w:rsidRDefault="00107873" w:rsidP="001E29FA">
      <w:pPr>
        <w:pStyle w:val="EndnoteText"/>
        <w:contextualSpacing/>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Lorraine Eden, </w:t>
      </w:r>
      <w:r w:rsidRPr="00F90252">
        <w:rPr>
          <w:rFonts w:cs="Times New Roman"/>
          <w:i/>
          <w:noProof/>
        </w:rPr>
        <w:t>Taxing Multinationals: Transfer Pricing and Corporate Income Taxation in North America</w:t>
      </w:r>
      <w:r w:rsidRPr="00F90252">
        <w:rPr>
          <w:rFonts w:cs="Times New Roman"/>
          <w:noProof/>
        </w:rPr>
        <w:t xml:space="preserve"> (Toronto: University of Toronto Press, 1998); Lorraine Eden, “Taxes, Transfer Pricing and the Multinational Enterprise,” in </w:t>
      </w:r>
      <w:r w:rsidRPr="00F90252">
        <w:rPr>
          <w:rFonts w:cs="Times New Roman"/>
          <w:i/>
          <w:noProof/>
        </w:rPr>
        <w:t>The Handbook of International Business</w:t>
      </w:r>
      <w:r w:rsidRPr="00F90252">
        <w:rPr>
          <w:rFonts w:cs="Times New Roman"/>
          <w:noProof/>
        </w:rPr>
        <w:t xml:space="preserve">, ed. Alan Rugman and Thomas Brewer (Oxford, 2001), 591–619; Anwar Shah and Joel Slemrod, “Do Taxes Matter for Foreign Direct Investment?,” </w:t>
      </w:r>
      <w:r w:rsidRPr="00F90252">
        <w:rPr>
          <w:rFonts w:cs="Times New Roman"/>
          <w:i/>
          <w:noProof/>
        </w:rPr>
        <w:t>The World Bank Economic Review</w:t>
      </w:r>
      <w:r w:rsidRPr="00F90252">
        <w:rPr>
          <w:rFonts w:cs="Times New Roman"/>
          <w:noProof/>
        </w:rPr>
        <w:t xml:space="preserve"> 5, no. 3 (1991): 473–91; Assaf Razin and Joel Slemrod, “Introduction,” in </w:t>
      </w:r>
      <w:r w:rsidRPr="00F90252">
        <w:rPr>
          <w:rFonts w:cs="Times New Roman"/>
          <w:i/>
          <w:noProof/>
        </w:rPr>
        <w:t>Taxation in the Global Economy</w:t>
      </w:r>
      <w:r w:rsidRPr="00F90252">
        <w:rPr>
          <w:rFonts w:cs="Times New Roman"/>
          <w:noProof/>
        </w:rPr>
        <w:t xml:space="preserve">, ed. Assaf Razin and Joel Slemrod (Chicago: University of Chicago Press, 1990), 1–11; Mollan and Tennent, “International Taxation and Corporate Strategy: Evidence from British Overseas Business, circa 1900–1965”; Michael Ashley Havinden and David George Meredith, </w:t>
      </w:r>
      <w:r w:rsidRPr="00F90252">
        <w:rPr>
          <w:rFonts w:cs="Times New Roman"/>
          <w:i/>
          <w:noProof/>
        </w:rPr>
        <w:t>Colonialism and Development: Britain and Its Tropical Colonies 1850-1960</w:t>
      </w:r>
      <w:r w:rsidRPr="00F90252">
        <w:rPr>
          <w:rFonts w:cs="Times New Roman"/>
          <w:noProof/>
        </w:rPr>
        <w:t xml:space="preserve"> (London: Routledge, 1993).</w:t>
      </w:r>
    </w:p>
  </w:endnote>
  <w:endnote w:id="19">
    <w:p w14:paraId="1360D795" w14:textId="77777777" w:rsidR="00107873" w:rsidRPr="00F90252" w:rsidRDefault="00107873" w:rsidP="001E29FA">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 xml:space="preserve">P. Profeta and S. Scabrosetti, </w:t>
      </w:r>
      <w:r w:rsidRPr="00F90252">
        <w:rPr>
          <w:rFonts w:cs="Times New Roman"/>
          <w:i/>
          <w:noProof/>
        </w:rPr>
        <w:t>The Political Economy of Taxation: Lessons from Developing Countries</w:t>
      </w:r>
      <w:r w:rsidRPr="00F90252">
        <w:rPr>
          <w:rFonts w:cs="Times New Roman"/>
          <w:noProof/>
        </w:rPr>
        <w:t xml:space="preserve"> (Cheltenham: Edward Elgar, 2010); Martin Daunton, </w:t>
      </w:r>
      <w:r w:rsidRPr="00F90252">
        <w:rPr>
          <w:rFonts w:cs="Times New Roman"/>
          <w:i/>
          <w:noProof/>
        </w:rPr>
        <w:t>Just Taxes: The Politics of Taxation in Britain, 1914-1979</w:t>
      </w:r>
      <w:r w:rsidRPr="00F90252">
        <w:rPr>
          <w:rFonts w:cs="Times New Roman"/>
          <w:noProof/>
        </w:rPr>
        <w:t xml:space="preserve"> (Cambridge: Cambridge University Press, 2007); Sol Piccotto, “Slicing a Shadow: Business Taxation in an International Framework,” in </w:t>
      </w:r>
      <w:r w:rsidRPr="00F90252">
        <w:rPr>
          <w:rFonts w:cs="Times New Roman"/>
          <w:i/>
          <w:noProof/>
        </w:rPr>
        <w:t>Capitalism, Culture and Economic Regulation</w:t>
      </w:r>
      <w:r w:rsidRPr="00F90252">
        <w:rPr>
          <w:rFonts w:cs="Times New Roman"/>
          <w:noProof/>
        </w:rPr>
        <w:t xml:space="preserve">, ed. L. Hancher and M. Moran (Oxford: Clarendon Press, 1989), 11–47; Roland Paris, “The Globalization of Taxation? Electronic Commerce and the Transformation of the State,” </w:t>
      </w:r>
      <w:r w:rsidRPr="00F90252">
        <w:rPr>
          <w:rFonts w:cs="Times New Roman"/>
          <w:i/>
          <w:noProof/>
        </w:rPr>
        <w:t>International Studies Quarterly</w:t>
      </w:r>
      <w:r w:rsidRPr="00F90252">
        <w:rPr>
          <w:rFonts w:cs="Times New Roman"/>
          <w:noProof/>
        </w:rPr>
        <w:t xml:space="preserve"> 47, no. 2 (2003): 153–82.</w:t>
      </w:r>
      <w:r w:rsidRPr="00F90252">
        <w:rPr>
          <w:rFonts w:cs="Times New Roman"/>
        </w:rPr>
        <w:t xml:space="preserve"> </w:t>
      </w:r>
      <w:r w:rsidRPr="00F90252">
        <w:rPr>
          <w:rFonts w:cs="Times New Roman"/>
          <w:noProof/>
        </w:rPr>
        <w:t xml:space="preserve">Julie H Collins and Douglas A Shackelford, “Corporate Domicile and Average Effective Tax Rates: The Cases of Canada, Japan, the United Kingdom, and the United States,” </w:t>
      </w:r>
      <w:r w:rsidRPr="00F90252">
        <w:rPr>
          <w:rFonts w:cs="Times New Roman"/>
          <w:i/>
          <w:noProof/>
        </w:rPr>
        <w:t>International Tax and Public Finance</w:t>
      </w:r>
      <w:r w:rsidRPr="00F90252">
        <w:rPr>
          <w:rFonts w:cs="Times New Roman"/>
          <w:noProof/>
        </w:rPr>
        <w:t xml:space="preserve"> 2, no. 1 (1995): 55–83.</w:t>
      </w:r>
    </w:p>
  </w:endnote>
  <w:endnote w:id="20">
    <w:p w14:paraId="558A62D6" w14:textId="77777777" w:rsidR="00107873" w:rsidRPr="00F90252" w:rsidRDefault="00107873" w:rsidP="001E29FA">
      <w:pPr>
        <w:widowControl w:val="0"/>
        <w:autoSpaceDE w:val="0"/>
        <w:autoSpaceDN w:val="0"/>
        <w:adjustRightInd w:val="0"/>
        <w:contextualSpacing/>
        <w:rPr>
          <w:rFonts w:cs="Times New Roman"/>
          <w:highlight w:val="yellow"/>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 xml:space="preserve">For a discussion of the origins of double taxation see Rixen, Thomas. </w:t>
      </w:r>
      <w:proofErr w:type="gramStart"/>
      <w:r w:rsidRPr="00F90252">
        <w:rPr>
          <w:rFonts w:cs="Times New Roman"/>
          <w:i/>
          <w:lang w:val="en-US"/>
        </w:rPr>
        <w:t>The Political Economy of International Tax Governance</w:t>
      </w:r>
      <w:r w:rsidRPr="00F90252">
        <w:rPr>
          <w:rFonts w:cs="Times New Roman"/>
          <w:lang w:val="en-US"/>
        </w:rPr>
        <w:t>.</w:t>
      </w:r>
      <w:proofErr w:type="gramEnd"/>
      <w:r w:rsidRPr="00F90252">
        <w:rPr>
          <w:rFonts w:cs="Times New Roman"/>
          <w:lang w:val="en-US"/>
        </w:rPr>
        <w:t xml:space="preserve"> Basingstoke: Palgrave Macmillan, 1998</w:t>
      </w:r>
      <w:proofErr w:type="gramStart"/>
      <w:r w:rsidRPr="00F90252">
        <w:rPr>
          <w:rFonts w:cs="Times New Roman"/>
          <w:lang w:val="en-US"/>
        </w:rPr>
        <w:t>.</w:t>
      </w:r>
      <w:r w:rsidRPr="00F90252">
        <w:rPr>
          <w:rFonts w:ascii="MS Mincho" w:eastAsia="MS Mincho" w:hAnsi="MS Mincho" w:cs="MS Mincho"/>
          <w:lang w:val="en-US"/>
        </w:rPr>
        <w:t> </w:t>
      </w:r>
      <w:proofErr w:type="gramEnd"/>
      <w:r w:rsidRPr="00F90252">
        <w:rPr>
          <w:rFonts w:cs="Times New Roman"/>
          <w:lang w:val="en-US"/>
        </w:rPr>
        <w:t xml:space="preserve">For the impact of double taxation on FSCs see Mollan and Tennent (2015). For the development of taxation in Northern Rhodesia, see Butler, </w:t>
      </w:r>
      <w:r w:rsidRPr="00F90252">
        <w:rPr>
          <w:rFonts w:cs="Times New Roman"/>
          <w:i/>
          <w:lang w:val="en-US"/>
        </w:rPr>
        <w:t>Copper Empire</w:t>
      </w:r>
      <w:r w:rsidRPr="00F90252">
        <w:rPr>
          <w:rFonts w:cs="Times New Roman"/>
          <w:lang w:val="en-US"/>
        </w:rPr>
        <w:t>, 196-198.</w:t>
      </w:r>
    </w:p>
  </w:endnote>
  <w:endnote w:id="21">
    <w:p w14:paraId="1CC99427" w14:textId="0DFF03EE" w:rsidR="00107873" w:rsidRPr="005A57ED" w:rsidRDefault="00107873">
      <w:pPr>
        <w:pStyle w:val="EndnoteText"/>
      </w:pPr>
      <w:r w:rsidRPr="00622C1F">
        <w:rPr>
          <w:rStyle w:val="EndnoteReference"/>
        </w:rPr>
        <w:endnoteRef/>
      </w:r>
      <w:r w:rsidRPr="00622C1F">
        <w:t xml:space="preserve"> See Mollan and Tennent (2015), passim.</w:t>
      </w:r>
    </w:p>
  </w:endnote>
  <w:endnote w:id="22">
    <w:p w14:paraId="52DDD848" w14:textId="0BE0BB0E" w:rsidR="00107873" w:rsidRPr="003776B1" w:rsidRDefault="00107873" w:rsidP="00796B48">
      <w:pPr>
        <w:pStyle w:val="EndnoteText"/>
        <w:rPr>
          <w:lang w:val="en-US"/>
        </w:rPr>
      </w:pPr>
      <w:r w:rsidRPr="00622C1F">
        <w:rPr>
          <w:rStyle w:val="EndnoteReference"/>
        </w:rPr>
        <w:endnoteRef/>
      </w:r>
      <w:r w:rsidRPr="00622C1F">
        <w:t xml:space="preserve"> </w:t>
      </w:r>
      <w:r w:rsidRPr="00F90252">
        <w:rPr>
          <w:rFonts w:cs="Times New Roman"/>
          <w:noProof/>
          <w:lang w:val="en-US"/>
        </w:rPr>
        <w:t>Stockwell, S</w:t>
      </w:r>
      <w:r>
        <w:rPr>
          <w:rFonts w:cs="Times New Roman"/>
          <w:noProof/>
          <w:lang w:val="en-US"/>
        </w:rPr>
        <w:t>arah</w:t>
      </w:r>
      <w:r w:rsidRPr="00F90252">
        <w:rPr>
          <w:rFonts w:cs="Times New Roman"/>
          <w:noProof/>
          <w:lang w:val="en-US"/>
        </w:rPr>
        <w:t xml:space="preserve">. </w:t>
      </w:r>
      <w:proofErr w:type="gramStart"/>
      <w:r w:rsidRPr="00F90252">
        <w:rPr>
          <w:rFonts w:cs="Times New Roman"/>
          <w:noProof/>
          <w:lang w:val="en-US"/>
        </w:rPr>
        <w:t xml:space="preserve">“Trade, Empire, and the Fiscal Context of Imperial Business during Decolonization,” </w:t>
      </w:r>
      <w:r w:rsidRPr="00F90252">
        <w:rPr>
          <w:rFonts w:cs="Times New Roman"/>
          <w:i/>
          <w:noProof/>
          <w:lang w:val="en-US"/>
        </w:rPr>
        <w:t>Economic History Review</w:t>
      </w:r>
      <w:r w:rsidRPr="00F90252">
        <w:rPr>
          <w:rFonts w:cs="Times New Roman"/>
          <w:noProof/>
          <w:lang w:val="en-US"/>
        </w:rPr>
        <w:t xml:space="preserve"> 57, no. 1 (2004): 142–60; </w:t>
      </w:r>
      <w:r w:rsidRPr="00622C1F">
        <w:t>D. K. Fieldhouse.</w:t>
      </w:r>
      <w:proofErr w:type="gramEnd"/>
      <w:r w:rsidRPr="00622C1F">
        <w:t xml:space="preserve"> "Merchant capital and econ</w:t>
      </w:r>
      <w:r w:rsidRPr="005A57ED">
        <w:t>omic decolonization: The united Africa company 1929-1987." </w:t>
      </w:r>
      <w:r w:rsidRPr="005D4DD2">
        <w:t>(</w:t>
      </w:r>
      <w:r w:rsidRPr="005D4DD2">
        <w:rPr>
          <w:iCs/>
        </w:rPr>
        <w:t>Oxford: OUP</w:t>
      </w:r>
      <w:r w:rsidRPr="005D4DD2">
        <w:rPr>
          <w:i/>
          <w:iCs/>
        </w:rPr>
        <w:t>,</w:t>
      </w:r>
      <w:r w:rsidRPr="005D4DD2">
        <w:t xml:space="preserve"> 1994); C. Leys, </w:t>
      </w:r>
      <w:r w:rsidRPr="004C2277">
        <w:rPr>
          <w:i/>
          <w:iCs/>
        </w:rPr>
        <w:t>Underdevelopment in Kenya: The Political Economy of neo-colonialism</w:t>
      </w:r>
      <w:r w:rsidRPr="004C2277">
        <w:t>. (London, Heinemann, 1975</w:t>
      </w:r>
      <w:r w:rsidRPr="00B158CC">
        <w:t>)</w:t>
      </w:r>
      <w:r w:rsidRPr="00760D8B">
        <w:t>; G. Wasserman, </w:t>
      </w:r>
      <w:r w:rsidRPr="00760D8B">
        <w:rPr>
          <w:i/>
          <w:iCs/>
        </w:rPr>
        <w:t xml:space="preserve">Politics of </w:t>
      </w:r>
      <w:proofErr w:type="gramStart"/>
      <w:r w:rsidRPr="00760D8B">
        <w:rPr>
          <w:i/>
          <w:iCs/>
        </w:rPr>
        <w:t>Decolonization :</w:t>
      </w:r>
      <w:proofErr w:type="gramEnd"/>
      <w:r w:rsidRPr="00760D8B">
        <w:rPr>
          <w:i/>
          <w:iCs/>
        </w:rPr>
        <w:t xml:space="preserve"> Kenya, Europeans and the Land Issue, 1960-1965 </w:t>
      </w:r>
      <w:r w:rsidRPr="00760D8B">
        <w:rPr>
          <w:iCs/>
        </w:rPr>
        <w:t>(</w:t>
      </w:r>
      <w:r w:rsidRPr="00760D8B">
        <w:t xml:space="preserve">Cambridge: Cambridge </w:t>
      </w:r>
      <w:r w:rsidRPr="003776B1">
        <w:t>University Press, 1976).</w:t>
      </w:r>
    </w:p>
  </w:endnote>
  <w:endnote w:id="23">
    <w:p w14:paraId="23BF3686" w14:textId="28C3F857" w:rsidR="00107873" w:rsidRPr="003776B1" w:rsidRDefault="00107873" w:rsidP="00796B48">
      <w:pPr>
        <w:pStyle w:val="EndnoteText"/>
      </w:pPr>
      <w:r w:rsidRPr="003776B1">
        <w:rPr>
          <w:rStyle w:val="EndnoteReference"/>
        </w:rPr>
        <w:endnoteRef/>
      </w:r>
      <w:r w:rsidRPr="003776B1">
        <w:t xml:space="preserve"> </w:t>
      </w:r>
      <w:proofErr w:type="gramStart"/>
      <w:r w:rsidRPr="003776B1">
        <w:t>Stockwell</w:t>
      </w:r>
      <w:r w:rsidRPr="00F90252">
        <w:t xml:space="preserve"> (2004)</w:t>
      </w:r>
      <w:r w:rsidRPr="003776B1">
        <w:t>, p.147.</w:t>
      </w:r>
      <w:proofErr w:type="gramEnd"/>
    </w:p>
  </w:endnote>
  <w:endnote w:id="24">
    <w:p w14:paraId="799B6986" w14:textId="6E225E6F" w:rsidR="00107873" w:rsidRPr="00622C1F" w:rsidRDefault="00107873" w:rsidP="00796B48">
      <w:pPr>
        <w:pStyle w:val="EndnoteText"/>
      </w:pPr>
      <w:r w:rsidRPr="003776B1">
        <w:rPr>
          <w:rStyle w:val="EndnoteReference"/>
        </w:rPr>
        <w:endnoteRef/>
      </w:r>
      <w:r w:rsidRPr="003776B1">
        <w:t xml:space="preserve"> </w:t>
      </w:r>
      <w:proofErr w:type="gramStart"/>
      <w:r w:rsidRPr="003776B1">
        <w:t xml:space="preserve">Stockwell, </w:t>
      </w:r>
      <w:r w:rsidRPr="00F90252">
        <w:t>ibid</w:t>
      </w:r>
      <w:r w:rsidRPr="003776B1">
        <w:t>; Mollan and Tennent</w:t>
      </w:r>
      <w:r w:rsidRPr="00F90252">
        <w:t xml:space="preserve"> (2015)</w:t>
      </w:r>
      <w:r w:rsidRPr="003776B1">
        <w:t>, p.1065.</w:t>
      </w:r>
      <w:proofErr w:type="gramEnd"/>
    </w:p>
  </w:endnote>
  <w:endnote w:id="25">
    <w:p w14:paraId="0C5CF473" w14:textId="77777777" w:rsidR="00107873" w:rsidRPr="00F90252" w:rsidRDefault="00107873" w:rsidP="007070A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Draft Memo on S. 468 Income Tax Act, 1952, n.d.</w:t>
      </w:r>
      <w:proofErr w:type="gramEnd"/>
    </w:p>
  </w:endnote>
  <w:endnote w:id="26">
    <w:p w14:paraId="651AA4C9" w14:textId="77777777" w:rsidR="00107873" w:rsidRPr="00F90252" w:rsidRDefault="00107873" w:rsidP="007070A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Draft Memo on S. 468 Income Tax Act, 1952, n.d.</w:t>
      </w:r>
      <w:proofErr w:type="gramEnd"/>
    </w:p>
  </w:endnote>
  <w:endnote w:id="27">
    <w:p w14:paraId="4A309806" w14:textId="77777777" w:rsidR="00107873" w:rsidRPr="00F90252" w:rsidRDefault="00107873" w:rsidP="007070A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Draft Memo on S. 468 Income Tax Act, 1952, n.d.</w:t>
      </w:r>
      <w:proofErr w:type="gramEnd"/>
    </w:p>
  </w:endnote>
  <w:endnote w:id="28">
    <w:p w14:paraId="4544F253" w14:textId="77777777" w:rsidR="00107873" w:rsidRPr="00F90252" w:rsidRDefault="00107873" w:rsidP="007070A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The Migration of Companies (S. 468 of the Income Tax Act, 1952), 20 January 1953.</w:t>
      </w:r>
    </w:p>
  </w:endnote>
  <w:endnote w:id="29">
    <w:p w14:paraId="6EB1E320" w14:textId="0822BE2E" w:rsidR="00107873" w:rsidRPr="00F90252" w:rsidRDefault="00107873">
      <w:pPr>
        <w:pStyle w:val="EndnoteText"/>
        <w:rPr>
          <w:rFonts w:cs="Times New Roman"/>
        </w:rPr>
      </w:pPr>
      <w:r w:rsidRPr="00F90252">
        <w:rPr>
          <w:rStyle w:val="EndnoteReference"/>
          <w:rFonts w:cs="Times New Roman"/>
        </w:rPr>
        <w:endnoteRef/>
      </w:r>
      <w:r w:rsidRPr="00F90252">
        <w:rPr>
          <w:rFonts w:cs="Times New Roman"/>
        </w:rPr>
        <w:t xml:space="preserve"> The British Government theoretically retained responsibility for Southern Rhodesia’s ‘Native Department’, however, after the granting of ‘responsible government’ in 1923 the British government did not interfere with any legislation put forward. See Andrew Cohen, ‘</w:t>
      </w:r>
      <w:proofErr w:type="gramStart"/>
      <w:r w:rsidRPr="00F90252">
        <w:rPr>
          <w:rFonts w:cs="Times New Roman"/>
        </w:rPr>
        <w:t>The</w:t>
      </w:r>
      <w:proofErr w:type="gramEnd"/>
      <w:r w:rsidRPr="00F90252">
        <w:rPr>
          <w:rFonts w:cs="Times New Roman"/>
        </w:rPr>
        <w:t xml:space="preserve"> politics and economics of decolonization in Africa: The failed experiment of the Central African Federation (London, I B Tauris 2017) pp.31 – 33; and Richard Gray ‘The two nations: Aspects of the development of race relations in the Rhodesias and Nyasaland (Oxford: Oxford University Press, 1960) pp. 12 – 16.</w:t>
      </w:r>
    </w:p>
  </w:endnote>
  <w:endnote w:id="30">
    <w:p w14:paraId="4E33ABEC" w14:textId="37E69113" w:rsidR="00107873" w:rsidRPr="00F90252" w:rsidRDefault="00107873" w:rsidP="00FC53FE">
      <w:pPr>
        <w:pStyle w:val="EndnoteText"/>
        <w:rPr>
          <w:rFonts w:cs="Times New Roman"/>
        </w:rPr>
      </w:pPr>
      <w:r w:rsidRPr="00F90252">
        <w:rPr>
          <w:rStyle w:val="EndnoteReference"/>
          <w:rFonts w:cs="Times New Roman"/>
        </w:rPr>
        <w:endnoteRef/>
      </w:r>
      <w:r w:rsidRPr="00F90252">
        <w:rPr>
          <w:rFonts w:cs="Times New Roman"/>
        </w:rPr>
        <w:t xml:space="preserve"> Cranford Pratt, ‘British Colonial Policy in Africa’ in </w:t>
      </w:r>
      <w:r w:rsidRPr="00F90252">
        <w:rPr>
          <w:rFonts w:cs="Times New Roman"/>
          <w:noProof/>
        </w:rPr>
        <w:t>Colin Leys and Cranfor</w:t>
      </w:r>
      <w:r>
        <w:rPr>
          <w:rFonts w:cs="Times New Roman"/>
          <w:noProof/>
        </w:rPr>
        <w:t>d</w:t>
      </w:r>
      <w:r w:rsidRPr="00F90252">
        <w:rPr>
          <w:rFonts w:cs="Times New Roman"/>
          <w:noProof/>
        </w:rPr>
        <w:t xml:space="preserve"> Pratt (eds.), </w:t>
      </w:r>
      <w:r w:rsidRPr="00F90252">
        <w:rPr>
          <w:rFonts w:cs="Times New Roman"/>
          <w:i/>
          <w:noProof/>
        </w:rPr>
        <w:t>A New Deal in Central Africa</w:t>
      </w:r>
      <w:r w:rsidRPr="00F90252">
        <w:rPr>
          <w:rFonts w:cs="Times New Roman"/>
          <w:noProof/>
        </w:rPr>
        <w:t xml:space="preserve"> (Heineman, 1960) p.42 </w:t>
      </w:r>
    </w:p>
  </w:endnote>
  <w:endnote w:id="31">
    <w:p w14:paraId="183D578C" w14:textId="6E6F0F65" w:rsidR="00107873" w:rsidRPr="00F90252" w:rsidRDefault="00107873" w:rsidP="00C420BF">
      <w:pPr>
        <w:pStyle w:val="EndnoteText"/>
        <w:rPr>
          <w:rFonts w:cs="Times New Roman"/>
          <w:lang w:val="en-US"/>
        </w:rPr>
      </w:pPr>
      <w:r w:rsidRPr="00F90252">
        <w:rPr>
          <w:rStyle w:val="EndnoteReference"/>
          <w:rFonts w:cs="Times New Roman"/>
        </w:rPr>
        <w:endnoteRef/>
      </w:r>
      <w:r w:rsidRPr="00F90252">
        <w:rPr>
          <w:rFonts w:cs="Times New Roman"/>
        </w:rPr>
        <w:t xml:space="preserve"> L. J. Butler </w:t>
      </w:r>
      <w:r w:rsidRPr="00F90252">
        <w:rPr>
          <w:rFonts w:cs="Times New Roman"/>
          <w:i/>
        </w:rPr>
        <w:t>Copper Empire: Mining and the Colonial State in Northern Rhodesia, c.1930 – 1964</w:t>
      </w:r>
      <w:r w:rsidRPr="00F90252">
        <w:rPr>
          <w:rFonts w:cs="Times New Roman"/>
        </w:rPr>
        <w:t xml:space="preserve"> (Basingstoke: Palgrave, 2007), </w:t>
      </w:r>
      <w:r>
        <w:rPr>
          <w:rFonts w:cs="Times New Roman"/>
        </w:rPr>
        <w:t>p.</w:t>
      </w:r>
      <w:r w:rsidRPr="00F90252">
        <w:rPr>
          <w:rFonts w:cs="Times New Roman"/>
        </w:rPr>
        <w:t>202.</w:t>
      </w:r>
    </w:p>
  </w:endnote>
  <w:endnote w:id="32">
    <w:p w14:paraId="1E8D09C4" w14:textId="4D5E3AFE" w:rsidR="00107873" w:rsidRPr="00F90252" w:rsidRDefault="00107873" w:rsidP="00F90252">
      <w:pPr>
        <w:rPr>
          <w:rFonts w:ascii="Times New Roman" w:hAnsi="Times New Roman" w:cs="Times New Roman"/>
        </w:rPr>
      </w:pPr>
      <w:r>
        <w:rPr>
          <w:rStyle w:val="EndnoteReference"/>
        </w:rPr>
        <w:endnoteRef/>
      </w:r>
      <w:r>
        <w:t xml:space="preserve"> </w:t>
      </w:r>
      <w:r>
        <w:rPr>
          <w:rFonts w:ascii="Times New Roman" w:hAnsi="Times New Roman" w:cs="Times New Roman"/>
        </w:rPr>
        <w:t>J. J. B. Somerville, “</w:t>
      </w:r>
      <w:r w:rsidRPr="00CA3D5F">
        <w:rPr>
          <w:rFonts w:ascii="Times New Roman" w:hAnsi="Times New Roman" w:cs="Times New Roman"/>
        </w:rPr>
        <w:t>The Central African Federation</w:t>
      </w:r>
      <w:r>
        <w:rPr>
          <w:rFonts w:ascii="Times New Roman" w:hAnsi="Times New Roman" w:cs="Times New Roman"/>
        </w:rPr>
        <w:t xml:space="preserve">,” </w:t>
      </w:r>
      <w:r w:rsidRPr="00966657">
        <w:rPr>
          <w:rFonts w:ascii="Times New Roman" w:hAnsi="Times New Roman" w:cs="Times New Roman"/>
          <w:i/>
        </w:rPr>
        <w:t>International Affairs</w:t>
      </w:r>
      <w:r w:rsidRPr="00CA3D5F">
        <w:rPr>
          <w:rFonts w:ascii="Times New Roman" w:hAnsi="Times New Roman" w:cs="Times New Roman"/>
        </w:rPr>
        <w:t xml:space="preserve"> Vol. 39, No. 3</w:t>
      </w:r>
      <w:r>
        <w:rPr>
          <w:rFonts w:ascii="Times New Roman" w:hAnsi="Times New Roman" w:cs="Times New Roman"/>
        </w:rPr>
        <w:t xml:space="preserve"> (1963) pp. 387-389 </w:t>
      </w:r>
    </w:p>
  </w:endnote>
  <w:endnote w:id="33">
    <w:p w14:paraId="20F39674" w14:textId="23D1BCCD" w:rsidR="00107873" w:rsidRPr="00F90252" w:rsidRDefault="00107873">
      <w:pPr>
        <w:pStyle w:val="EndnoteText"/>
        <w:rPr>
          <w:rFonts w:cs="Times New Roman"/>
        </w:rPr>
      </w:pPr>
      <w:r w:rsidRPr="00F90252">
        <w:rPr>
          <w:rStyle w:val="EndnoteReference"/>
          <w:rFonts w:cs="Times New Roman"/>
        </w:rPr>
        <w:endnoteRef/>
      </w:r>
      <w:r w:rsidRPr="00F90252">
        <w:rPr>
          <w:rFonts w:cs="Times New Roman"/>
        </w:rPr>
        <w:t xml:space="preserve"> Sir Roy Welensky ‘</w:t>
      </w:r>
      <w:r w:rsidRPr="00F90252">
        <w:rPr>
          <w:rFonts w:cs="Times New Roman"/>
          <w:i/>
        </w:rPr>
        <w:t>Welensky’s 4000 days: The life and death of the Federation of Rhodesia and Nyasaland</w:t>
      </w:r>
      <w:r w:rsidRPr="00F90252">
        <w:rPr>
          <w:rFonts w:cs="Times New Roman"/>
        </w:rPr>
        <w:t>’ (London, Collins: 1964), pp. 22-24</w:t>
      </w:r>
    </w:p>
  </w:endnote>
  <w:endnote w:id="34">
    <w:p w14:paraId="17EC044A" w14:textId="5C371716" w:rsidR="00107873" w:rsidRPr="00F90252" w:rsidRDefault="00107873">
      <w:pPr>
        <w:pStyle w:val="EndnoteText"/>
        <w:rPr>
          <w:rFonts w:cs="Times New Roman"/>
        </w:rPr>
      </w:pPr>
      <w:r w:rsidRPr="00F90252">
        <w:rPr>
          <w:rStyle w:val="EndnoteReference"/>
          <w:rFonts w:cs="Times New Roman"/>
        </w:rPr>
        <w:endnoteRef/>
      </w:r>
      <w:r w:rsidRPr="00F90252">
        <w:rPr>
          <w:rFonts w:cs="Times New Roman"/>
        </w:rPr>
        <w:t xml:space="preserve"> Welensky ‘</w:t>
      </w:r>
      <w:r w:rsidRPr="00F90252">
        <w:rPr>
          <w:rFonts w:cs="Times New Roman"/>
          <w:i/>
        </w:rPr>
        <w:t>Welensky’s 4000 days</w:t>
      </w:r>
      <w:r>
        <w:rPr>
          <w:rFonts w:cs="Times New Roman"/>
          <w:i/>
        </w:rPr>
        <w:t>’</w:t>
      </w:r>
      <w:r w:rsidRPr="00F90252">
        <w:rPr>
          <w:rFonts w:cs="Times New Roman"/>
          <w:i/>
        </w:rPr>
        <w:t xml:space="preserve">, </w:t>
      </w:r>
      <w:r>
        <w:rPr>
          <w:rFonts w:cs="Times New Roman"/>
        </w:rPr>
        <w:t>pp.</w:t>
      </w:r>
      <w:r w:rsidRPr="00F90252">
        <w:rPr>
          <w:rFonts w:cs="Times New Roman"/>
        </w:rPr>
        <w:t>21-44</w:t>
      </w:r>
    </w:p>
  </w:endnote>
  <w:endnote w:id="35">
    <w:p w14:paraId="053367FF" w14:textId="1DDEA198" w:rsidR="00107873" w:rsidRPr="00F90252" w:rsidRDefault="00107873" w:rsidP="00F90252">
      <w:pPr>
        <w:rPr>
          <w:rFonts w:ascii="Times New Roman" w:hAnsi="Times New Roman" w:cs="Times New Roman"/>
        </w:rPr>
      </w:pPr>
      <w:r>
        <w:rPr>
          <w:rStyle w:val="EndnoteReference"/>
        </w:rPr>
        <w:endnoteRef/>
      </w:r>
      <w:r>
        <w:t xml:space="preserve"> </w:t>
      </w:r>
      <w:r>
        <w:rPr>
          <w:lang w:val="en-US"/>
        </w:rPr>
        <w:t>Murray Steele, ‘</w:t>
      </w:r>
      <w:r w:rsidRPr="000F1E25">
        <w:rPr>
          <w:lang w:val="en-US"/>
        </w:rPr>
        <w:t>L</w:t>
      </w:r>
      <w:r>
        <w:rPr>
          <w:lang w:val="en-US"/>
        </w:rPr>
        <w:t>abour and the</w:t>
      </w:r>
      <w:r w:rsidRPr="000F1E25">
        <w:rPr>
          <w:lang w:val="en-US"/>
        </w:rPr>
        <w:t xml:space="preserve"> C</w:t>
      </w:r>
      <w:r>
        <w:rPr>
          <w:lang w:val="en-US"/>
        </w:rPr>
        <w:t xml:space="preserve">entral African Federation: Paternalism, Partnership and Black Nationalism, 1951 – 60’ in Frank </w:t>
      </w:r>
      <w:r>
        <w:rPr>
          <w:i/>
          <w:lang w:val="en-US"/>
        </w:rPr>
        <w:t>et al</w:t>
      </w:r>
      <w:r>
        <w:rPr>
          <w:lang w:val="en-US"/>
        </w:rPr>
        <w:t xml:space="preserve"> (ed.) </w:t>
      </w:r>
      <w:r w:rsidRPr="000F1E25">
        <w:rPr>
          <w:i/>
          <w:lang w:val="en-US"/>
        </w:rPr>
        <w:t>The British Labour Movement and Imperialism (with Foreword by Tony Benn)</w:t>
      </w:r>
      <w:r>
        <w:rPr>
          <w:lang w:val="en-US"/>
        </w:rPr>
        <w:t xml:space="preserve"> (Newcastle upon Tyne: Cambridge Scholars, 2010) pp. 132-137, </w:t>
      </w:r>
      <w:r w:rsidRPr="003C32C0">
        <w:rPr>
          <w:rFonts w:cs="Times New Roman"/>
        </w:rPr>
        <w:t>Cohen, ‘The politics and economics of decolonization in Africa</w:t>
      </w:r>
      <w:r>
        <w:rPr>
          <w:rFonts w:cs="Times New Roman"/>
        </w:rPr>
        <w:t>’ p.6</w:t>
      </w:r>
    </w:p>
  </w:endnote>
  <w:endnote w:id="36">
    <w:p w14:paraId="077120EB" w14:textId="105DCDB3" w:rsidR="00107873" w:rsidRDefault="00107873">
      <w:pPr>
        <w:pStyle w:val="EndnoteText"/>
      </w:pPr>
      <w:r w:rsidRPr="00F90252">
        <w:rPr>
          <w:rStyle w:val="EndnoteReference"/>
        </w:rPr>
        <w:endnoteRef/>
      </w:r>
      <w:r w:rsidRPr="00F90252">
        <w:t xml:space="preserve"> </w:t>
      </w:r>
      <w:r w:rsidRPr="003C32C0">
        <w:rPr>
          <w:rFonts w:cs="Times New Roman"/>
        </w:rPr>
        <w:t>Cohen, ‘The politics and economics of decolonization in Africa</w:t>
      </w:r>
      <w:r>
        <w:rPr>
          <w:rFonts w:cs="Times New Roman"/>
        </w:rPr>
        <w:t>’ p.57</w:t>
      </w:r>
    </w:p>
  </w:endnote>
  <w:endnote w:id="37">
    <w:p w14:paraId="71449822" w14:textId="5D611F5E" w:rsidR="00107873" w:rsidRPr="00F90252" w:rsidRDefault="00107873">
      <w:pPr>
        <w:pStyle w:val="EndnoteText"/>
        <w:rPr>
          <w:rFonts w:cs="Times New Roman"/>
        </w:rPr>
      </w:pPr>
      <w:r w:rsidRPr="00F90252">
        <w:rPr>
          <w:rStyle w:val="EndnoteReference"/>
          <w:rFonts w:cs="Times New Roman"/>
        </w:rPr>
        <w:endnoteRef/>
      </w:r>
      <w:r w:rsidRPr="00F90252">
        <w:rPr>
          <w:rFonts w:cs="Times New Roman"/>
        </w:rPr>
        <w:t xml:space="preserve"> </w:t>
      </w:r>
      <w:r>
        <w:rPr>
          <w:rFonts w:cs="Times New Roman"/>
        </w:rPr>
        <w:t>‘Sir Roy Welensky’ [</w:t>
      </w:r>
      <w:r w:rsidRPr="00F90252">
        <w:rPr>
          <w:rFonts w:cs="Times New Roman"/>
        </w:rPr>
        <w:t xml:space="preserve">Obituary] </w:t>
      </w:r>
      <w:r w:rsidRPr="00F90252">
        <w:rPr>
          <w:rFonts w:cs="Times New Roman"/>
          <w:i/>
        </w:rPr>
        <w:t>The Daily Telegraph</w:t>
      </w:r>
      <w:r w:rsidRPr="00F90252">
        <w:rPr>
          <w:rFonts w:cs="Times New Roman"/>
        </w:rPr>
        <w:t xml:space="preserve"> 06/12/1991</w:t>
      </w:r>
      <w:r>
        <w:rPr>
          <w:rFonts w:cs="Times New Roman"/>
        </w:rPr>
        <w:t xml:space="preserve"> p.19</w:t>
      </w:r>
    </w:p>
  </w:endnote>
  <w:endnote w:id="38">
    <w:p w14:paraId="5D44E9B7" w14:textId="3AB21E77" w:rsidR="00107873" w:rsidRPr="00C40C3F" w:rsidRDefault="00107873">
      <w:pPr>
        <w:pStyle w:val="EndnoteText"/>
        <w:rPr>
          <w:lang w:val="en-US"/>
        </w:rPr>
      </w:pPr>
      <w:r>
        <w:rPr>
          <w:rStyle w:val="EndnoteReference"/>
        </w:rPr>
        <w:endnoteRef/>
      </w:r>
      <w:r>
        <w:t xml:space="preserve"> </w:t>
      </w:r>
      <w:r w:rsidRPr="00F90252">
        <w:rPr>
          <w:rFonts w:cs="Times New Roman"/>
        </w:rPr>
        <w:t xml:space="preserve">L. J. Butler </w:t>
      </w:r>
      <w:r w:rsidRPr="00F90252">
        <w:rPr>
          <w:rFonts w:cs="Times New Roman"/>
          <w:i/>
        </w:rPr>
        <w:t>Copper Empire: Mining and the Colonial State in Northern Rhodesia, c.1930 – 1964</w:t>
      </w:r>
      <w:r w:rsidRPr="00F90252">
        <w:rPr>
          <w:rFonts w:cs="Times New Roman"/>
        </w:rPr>
        <w:t xml:space="preserve"> (Basingstoke: Palgrave, 2007), </w:t>
      </w:r>
      <w:r>
        <w:rPr>
          <w:rFonts w:cs="Times New Roman"/>
        </w:rPr>
        <w:t>p.210</w:t>
      </w:r>
    </w:p>
  </w:endnote>
  <w:endnote w:id="39">
    <w:p w14:paraId="70E4170E" w14:textId="68B5B6B6"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lang w:val="en-US"/>
        </w:rPr>
        <w:t xml:space="preserve">L. J. Butler, “Business and British Decolonisation: Sir Ronald Prain, the Mining Industry and the Central African Federation,” </w:t>
      </w:r>
      <w:r w:rsidRPr="00F90252">
        <w:rPr>
          <w:rFonts w:cs="Times New Roman"/>
          <w:i/>
          <w:noProof/>
          <w:lang w:val="en-US"/>
        </w:rPr>
        <w:t>The Journal of Imperial and Commonwealth History</w:t>
      </w:r>
      <w:r w:rsidRPr="00F90252">
        <w:rPr>
          <w:rFonts w:cs="Times New Roman"/>
          <w:noProof/>
          <w:lang w:val="en-US"/>
        </w:rPr>
        <w:t xml:space="preserve"> 35, no. 3 (September 2007): 460.</w:t>
      </w:r>
    </w:p>
  </w:endnote>
  <w:endnote w:id="40">
    <w:p w14:paraId="1B86288D" w14:textId="598348C7" w:rsidR="00107873" w:rsidRPr="00F90252" w:rsidRDefault="00107873" w:rsidP="00B97168">
      <w:pPr>
        <w:pStyle w:val="EndnoteText"/>
        <w:rPr>
          <w:rFonts w:cs="Times New Roman"/>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CO852/868/1 Colonial Economic Development Council (CEDC) Papers and Minutes - Draft Interim Report of the Colonial Development Working Party 1948.</w:t>
      </w:r>
      <w:proofErr w:type="gramEnd"/>
    </w:p>
  </w:endnote>
  <w:endnote w:id="41">
    <w:p w14:paraId="04CE798D" w14:textId="19503A27" w:rsidR="00107873" w:rsidRPr="00F90252" w:rsidRDefault="00107873" w:rsidP="00F90252">
      <w:r w:rsidRPr="00F90252">
        <w:rPr>
          <w:rStyle w:val="EndnoteReference"/>
          <w:rFonts w:cs="Times New Roman"/>
        </w:rPr>
        <w:endnoteRef/>
      </w:r>
      <w:r w:rsidRPr="00F90252">
        <w:rPr>
          <w:rFonts w:cs="Times New Roman"/>
        </w:rPr>
        <w:t xml:space="preserve"> NA CAB/134/66 Colonial Office Memo to CCCD </w:t>
      </w:r>
      <w:r w:rsidRPr="00F90252">
        <w:rPr>
          <w:rFonts w:cs="Times New Roman"/>
          <w:iCs/>
        </w:rPr>
        <w:t xml:space="preserve">‘Coal for the Copperbelt in Northern Rhodesia’, </w:t>
      </w:r>
      <w:r w:rsidRPr="00F90252">
        <w:rPr>
          <w:rFonts w:cs="Times New Roman"/>
        </w:rPr>
        <w:t xml:space="preserve">17 September 1949.  </w:t>
      </w:r>
      <w:proofErr w:type="gramStart"/>
      <w:r w:rsidRPr="00F90252">
        <w:rPr>
          <w:rFonts w:cs="Times New Roman"/>
        </w:rPr>
        <w:t>CAB/134/66</w:t>
      </w:r>
      <w:r w:rsidRPr="00445EB3">
        <w:rPr>
          <w:rFonts w:cs="Times New Roman"/>
        </w:rPr>
        <w:t xml:space="preserve">; </w:t>
      </w:r>
      <w:r w:rsidRPr="00F90252">
        <w:rPr>
          <w:rFonts w:cs="Arial"/>
          <w:color w:val="000000"/>
          <w:shd w:val="clear" w:color="auto" w:fill="FFFFFF"/>
        </w:rPr>
        <w:t>Catherine Schenk, </w:t>
      </w:r>
      <w:r w:rsidRPr="00F90252">
        <w:rPr>
          <w:rFonts w:cs="Arial"/>
          <w:i/>
          <w:iCs/>
          <w:color w:val="000000"/>
          <w:shd w:val="clear" w:color="auto" w:fill="FFFFFF"/>
        </w:rPr>
        <w:t>Britain and the Sterling Area – From devaluation to convertibility in the 1950’s.</w:t>
      </w:r>
      <w:proofErr w:type="gramEnd"/>
      <w:r w:rsidRPr="00F90252">
        <w:rPr>
          <w:rFonts w:cs="Arial"/>
          <w:i/>
          <w:iCs/>
          <w:color w:val="000000"/>
          <w:shd w:val="clear" w:color="auto" w:fill="FFFFFF"/>
        </w:rPr>
        <w:t xml:space="preserve"> </w:t>
      </w:r>
      <w:r w:rsidRPr="00F90252">
        <w:rPr>
          <w:rFonts w:cs="Arial"/>
          <w:iCs/>
          <w:color w:val="000000"/>
          <w:shd w:val="clear" w:color="auto" w:fill="FFFFFF"/>
        </w:rPr>
        <w:t>London:</w:t>
      </w:r>
      <w:r w:rsidRPr="00F90252">
        <w:rPr>
          <w:rFonts w:cs="Arial"/>
          <w:i/>
          <w:iCs/>
          <w:color w:val="000000"/>
          <w:shd w:val="clear" w:color="auto" w:fill="FFFFFF"/>
        </w:rPr>
        <w:t xml:space="preserve"> </w:t>
      </w:r>
      <w:r w:rsidRPr="00F90252">
        <w:rPr>
          <w:rFonts w:cs="Arial"/>
          <w:color w:val="000000"/>
          <w:shd w:val="clear" w:color="auto" w:fill="FFFFFF"/>
        </w:rPr>
        <w:t xml:space="preserve">Routledge, 1994, pp. 8, 35 – 41; </w:t>
      </w:r>
      <w:r w:rsidRPr="00F90252">
        <w:rPr>
          <w:rFonts w:ascii="Calibri" w:hAnsi="Calibri" w:cs="Calibri"/>
          <w:color w:val="000000"/>
          <w:shd w:val="clear" w:color="auto" w:fill="FFFFFF"/>
        </w:rPr>
        <w:t>﻿</w:t>
      </w:r>
      <w:r w:rsidRPr="00F90252">
        <w:rPr>
          <w:rFonts w:cs="Arial"/>
          <w:color w:val="000000"/>
          <w:shd w:val="clear" w:color="auto" w:fill="FFFFFF"/>
        </w:rPr>
        <w:t>Tomlinson, Jim</w:t>
      </w:r>
      <w:r>
        <w:rPr>
          <w:rFonts w:cs="Arial"/>
          <w:color w:val="000000"/>
          <w:shd w:val="clear" w:color="auto" w:fill="FFFFFF"/>
        </w:rPr>
        <w:t xml:space="preserve">. </w:t>
      </w:r>
      <w:r w:rsidRPr="00F90252">
        <w:rPr>
          <w:rFonts w:cs="Arial"/>
          <w:i/>
          <w:color w:val="000000"/>
          <w:shd w:val="clear" w:color="auto" w:fill="FFFFFF"/>
        </w:rPr>
        <w:t>Managing the Economy, Managing the People: Narratives of Economic Life in Britain from Beveridge to Brexit</w:t>
      </w:r>
      <w:r w:rsidRPr="00F90252">
        <w:rPr>
          <w:rFonts w:cs="Arial"/>
          <w:color w:val="000000"/>
          <w:shd w:val="clear" w:color="auto" w:fill="FFFFFF"/>
        </w:rPr>
        <w:t>. Oxford: Oxford University Press</w:t>
      </w:r>
      <w:r>
        <w:rPr>
          <w:rFonts w:cs="Arial"/>
          <w:color w:val="000000"/>
          <w:shd w:val="clear" w:color="auto" w:fill="FFFFFF"/>
        </w:rPr>
        <w:t>, 2017, pp.206-213.</w:t>
      </w:r>
    </w:p>
  </w:endnote>
  <w:endnote w:id="42">
    <w:p w14:paraId="5687BC99" w14:textId="66287E03" w:rsidR="00107873" w:rsidRPr="00714A41" w:rsidRDefault="00107873">
      <w:pPr>
        <w:pStyle w:val="EndnoteText"/>
        <w:rPr>
          <w:lang w:val="en-US"/>
        </w:rPr>
      </w:pPr>
      <w:r>
        <w:rPr>
          <w:rStyle w:val="EndnoteReference"/>
        </w:rPr>
        <w:endnoteRef/>
      </w:r>
      <w:r>
        <w:t xml:space="preserve"> Barclays Group Archive (BGA) </w:t>
      </w:r>
      <w:r w:rsidRPr="00F90252">
        <w:rPr>
          <w:rFonts w:cs="Times New Roman"/>
        </w:rPr>
        <w:t xml:space="preserve">ACC 80/3671 ‘Chairman’s notes on Rhodesian visit February/March 1950’. On a visit to the </w:t>
      </w:r>
      <w:proofErr w:type="spellStart"/>
      <w:r w:rsidRPr="00F90252">
        <w:rPr>
          <w:rFonts w:cs="Times New Roman"/>
        </w:rPr>
        <w:t>Rhodesias</w:t>
      </w:r>
      <w:proofErr w:type="spellEnd"/>
      <w:r w:rsidRPr="00F90252">
        <w:rPr>
          <w:rFonts w:cs="Times New Roman"/>
        </w:rPr>
        <w:t xml:space="preserve"> in 1950, Julian </w:t>
      </w:r>
      <w:proofErr w:type="spellStart"/>
      <w:r w:rsidRPr="00F90252">
        <w:rPr>
          <w:rFonts w:cs="Times New Roman"/>
        </w:rPr>
        <w:t>Crossley</w:t>
      </w:r>
      <w:proofErr w:type="spellEnd"/>
      <w:r w:rsidRPr="00F90252">
        <w:rPr>
          <w:rFonts w:cs="Times New Roman"/>
        </w:rPr>
        <w:t xml:space="preserve">, Chairman Barclays DCO, noted that the dramatic rise in white immigration to Southern Rhodesia since the war had seen the population double since in 1939.  He believed this was a contributory factor to the colonies slow economic progress due to the increased demand on resources. This was demonstrated by the principal municipal power </w:t>
      </w:r>
      <w:proofErr w:type="gramStart"/>
      <w:r w:rsidRPr="00F90252">
        <w:rPr>
          <w:rFonts w:cs="Times New Roman"/>
        </w:rPr>
        <w:t>station which regularly had</w:t>
      </w:r>
      <w:proofErr w:type="gramEnd"/>
      <w:r w:rsidRPr="00F90252">
        <w:rPr>
          <w:rFonts w:cs="Times New Roman"/>
        </w:rPr>
        <w:t xml:space="preserve"> only 24 hou</w:t>
      </w:r>
      <w:r>
        <w:rPr>
          <w:rFonts w:cs="Times New Roman"/>
        </w:rPr>
        <w:t>rs supply of fuel on hand.</w:t>
      </w:r>
    </w:p>
  </w:endnote>
  <w:endnote w:id="43">
    <w:p w14:paraId="76BDBC52" w14:textId="001338AB" w:rsidR="00107873" w:rsidRPr="00F90252" w:rsidRDefault="00107873" w:rsidP="00B97168">
      <w:pPr>
        <w:pStyle w:val="EndnoteText"/>
        <w:rPr>
          <w:rFonts w:cs="Times New Roman"/>
          <w:iCs/>
        </w:rPr>
      </w:pPr>
      <w:r w:rsidRPr="00F90252">
        <w:rPr>
          <w:rStyle w:val="EndnoteReference"/>
          <w:rFonts w:cs="Times New Roman"/>
        </w:rPr>
        <w:endnoteRef/>
      </w:r>
      <w:r w:rsidRPr="00F90252">
        <w:rPr>
          <w:rFonts w:cs="Times New Roman"/>
        </w:rPr>
        <w:t xml:space="preserve"> NA CAB/134/66. Colonial Office Memo to CCCD </w:t>
      </w:r>
      <w:r w:rsidRPr="00F90252">
        <w:rPr>
          <w:rFonts w:cs="Times New Roman"/>
          <w:iCs/>
        </w:rPr>
        <w:t xml:space="preserve">‘Coal for the Copperbelt in Northern Rhodesia’, </w:t>
      </w:r>
      <w:r w:rsidRPr="00F90252">
        <w:rPr>
          <w:rFonts w:cs="Times New Roman"/>
        </w:rPr>
        <w:t xml:space="preserve">17 September 1949.  </w:t>
      </w:r>
    </w:p>
  </w:endnote>
  <w:endnote w:id="44">
    <w:p w14:paraId="30196997" w14:textId="72C0F98F" w:rsidR="00107873" w:rsidRPr="00F90252" w:rsidRDefault="00107873" w:rsidP="00B97168">
      <w:pPr>
        <w:pStyle w:val="EndnoteText"/>
        <w:rPr>
          <w:rFonts w:cs="Times New Roman"/>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CAB/134/66 Minutes of CCCD Meeting, 13 January 1950.</w:t>
      </w:r>
      <w:proofErr w:type="gramEnd"/>
      <w:r w:rsidRPr="00F90252">
        <w:rPr>
          <w:rFonts w:cs="Times New Roman"/>
        </w:rPr>
        <w:t xml:space="preserve"> </w:t>
      </w:r>
    </w:p>
  </w:endnote>
  <w:endnote w:id="45">
    <w:p w14:paraId="18BDF2FD" w14:textId="0F1454CB" w:rsidR="00107873" w:rsidRPr="00F90252" w:rsidRDefault="00107873" w:rsidP="00232AEA">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rPr>
        <w:t xml:space="preserve">BGA </w:t>
      </w:r>
      <w:r w:rsidRPr="00F90252">
        <w:rPr>
          <w:rFonts w:cs="Times New Roman"/>
        </w:rPr>
        <w:t xml:space="preserve">ACC80/3624 ‘The position of copper in the federal economy’, speech by R. L. Prain, O.B.E at the Bulawayo National Affairs </w:t>
      </w:r>
      <w:r>
        <w:rPr>
          <w:rFonts w:cs="Times New Roman"/>
        </w:rPr>
        <w:t>Association, 22 May 1956.</w:t>
      </w:r>
      <w:proofErr w:type="gramEnd"/>
    </w:p>
  </w:endnote>
  <w:endnote w:id="46">
    <w:p w14:paraId="525CDF9A" w14:textId="66C0E8E7" w:rsidR="00107873" w:rsidRPr="00F90252" w:rsidRDefault="00107873" w:rsidP="00232AEA">
      <w:pPr>
        <w:pStyle w:val="EndnoteText"/>
        <w:rPr>
          <w:rFonts w:cs="Times New Roman"/>
        </w:rPr>
      </w:pPr>
      <w:r w:rsidRPr="00F90252">
        <w:rPr>
          <w:rStyle w:val="EndnoteReference"/>
          <w:rFonts w:cs="Times New Roman"/>
        </w:rPr>
        <w:endnoteRef/>
      </w:r>
      <w:r w:rsidRPr="00F90252">
        <w:rPr>
          <w:rFonts w:cs="Times New Roman"/>
        </w:rPr>
        <w:t xml:space="preserve">Source: </w:t>
      </w:r>
      <w:r w:rsidRPr="00F90252">
        <w:rPr>
          <w:rFonts w:cs="Times New Roman"/>
          <w:i/>
        </w:rPr>
        <w:t>The Financial Times</w:t>
      </w:r>
      <w:r w:rsidRPr="00F90252">
        <w:rPr>
          <w:rFonts w:cs="Times New Roman"/>
        </w:rPr>
        <w:t>, 1 June 1953, 1. Article by Ronald Prain, ‘The Growth of the Copperbelt in Northern Rhodesia’.</w:t>
      </w:r>
    </w:p>
  </w:endnote>
  <w:endnote w:id="47">
    <w:p w14:paraId="039ED651" w14:textId="7438A57A"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rPr>
        <w:t>Butler, “Business and British Decolonisation: Sir Ronald Prain, the Mining Industry and the Central African Federation,” 460.</w:t>
      </w:r>
    </w:p>
  </w:endnote>
  <w:endnote w:id="48">
    <w:p w14:paraId="156F7C40" w14:textId="00908D0C"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lang w:val="en-US"/>
        </w:rPr>
        <w:t xml:space="preserve">Butler, </w:t>
      </w:r>
      <w:r w:rsidRPr="00F90252">
        <w:rPr>
          <w:rFonts w:cs="Times New Roman"/>
          <w:i/>
          <w:lang w:val="en-US"/>
        </w:rPr>
        <w:t>Copper Empire</w:t>
      </w:r>
      <w:r w:rsidRPr="00F90252">
        <w:rPr>
          <w:rFonts w:cs="Times New Roman"/>
          <w:lang w:val="en-US"/>
        </w:rPr>
        <w:t>, passim.</w:t>
      </w:r>
      <w:proofErr w:type="gramEnd"/>
    </w:p>
  </w:endnote>
  <w:endnote w:id="49">
    <w:p w14:paraId="766BEC0C" w14:textId="35299723"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'Note of Reasons for the Advisory Panel's Recommendation' by R.H. Binder, 23 October 1952.</w:t>
      </w:r>
    </w:p>
  </w:endnote>
  <w:endnote w:id="50">
    <w:p w14:paraId="5E15048A" w14:textId="268FBB9A" w:rsidR="00107873" w:rsidRPr="00F90252" w:rsidRDefault="00107873" w:rsidP="00F26FF6">
      <w:pPr>
        <w:rPr>
          <w:rFonts w:cs="Times New Roman"/>
        </w:rPr>
      </w:pPr>
      <w:r w:rsidRPr="00F90252">
        <w:rPr>
          <w:rStyle w:val="EndnoteReference"/>
          <w:rFonts w:cs="Times New Roman"/>
        </w:rPr>
        <w:endnoteRef/>
      </w:r>
      <w:r w:rsidRPr="00F90252">
        <w:rPr>
          <w:rFonts w:cs="Times New Roman"/>
        </w:rPr>
        <w:t xml:space="preserve"> </w:t>
      </w:r>
      <w:proofErr w:type="gramStart"/>
      <w:r w:rsidRPr="00F90252">
        <w:rPr>
          <w:rFonts w:cs="Times New Roman"/>
        </w:rPr>
        <w:t xml:space="preserve">American Heritage Centre (AHC), University of Wyoming, Ronald </w:t>
      </w:r>
      <w:r>
        <w:rPr>
          <w:rFonts w:cs="Times New Roman"/>
        </w:rPr>
        <w:t xml:space="preserve">AHC </w:t>
      </w:r>
      <w:proofErr w:type="spellStart"/>
      <w:r>
        <w:rPr>
          <w:rFonts w:cs="Times New Roman"/>
        </w:rPr>
        <w:t>Prain</w:t>
      </w:r>
      <w:proofErr w:type="spellEnd"/>
      <w:r>
        <w:rPr>
          <w:rFonts w:cs="Times New Roman"/>
        </w:rPr>
        <w:t xml:space="preserve"> Papers,</w:t>
      </w:r>
      <w:r w:rsidRPr="00F90252">
        <w:rPr>
          <w:rFonts w:cs="Times New Roman"/>
        </w:rPr>
        <w:t xml:space="preserve"> 8753-84-09-17</w:t>
      </w:r>
      <w:r>
        <w:rPr>
          <w:rFonts w:cs="Times New Roman"/>
        </w:rPr>
        <w:t xml:space="preserve"> </w:t>
      </w:r>
      <w:r w:rsidRPr="00F90252">
        <w:rPr>
          <w:rFonts w:cs="Times New Roman"/>
        </w:rPr>
        <w:t>(hereafter</w:t>
      </w:r>
      <w:r>
        <w:rPr>
          <w:rFonts w:cs="Times New Roman"/>
        </w:rPr>
        <w:t xml:space="preserve"> AHC </w:t>
      </w:r>
      <w:proofErr w:type="spellStart"/>
      <w:r>
        <w:rPr>
          <w:rFonts w:cs="Times New Roman"/>
        </w:rPr>
        <w:t>AHC</w:t>
      </w:r>
      <w:proofErr w:type="spellEnd"/>
      <w:r>
        <w:rPr>
          <w:rFonts w:cs="Times New Roman"/>
        </w:rPr>
        <w:t xml:space="preserve"> </w:t>
      </w:r>
      <w:proofErr w:type="spellStart"/>
      <w:r>
        <w:rPr>
          <w:rFonts w:cs="Times New Roman"/>
        </w:rPr>
        <w:t>Prain</w:t>
      </w:r>
      <w:proofErr w:type="spellEnd"/>
      <w:r>
        <w:rPr>
          <w:rFonts w:cs="Times New Roman"/>
        </w:rPr>
        <w:t xml:space="preserve"> Papers), Box 1,</w:t>
      </w:r>
      <w:r w:rsidRPr="00F90252">
        <w:rPr>
          <w:rFonts w:cs="Times New Roman"/>
        </w:rPr>
        <w:t xml:space="preserve"> File AMCO.</w:t>
      </w:r>
      <w:proofErr w:type="gramEnd"/>
      <w:r w:rsidRPr="00F90252">
        <w:rPr>
          <w:rFonts w:cs="Times New Roman"/>
        </w:rPr>
        <w:t xml:space="preserve"> Harold K. Hochschild Correspondence, 1950-1951, Statement of Harold Hochschild (hereafter Hochschild), Chairman and President of The American Metal Company, Ltd - Submitted to The Committee on Ways and Means House of Representatives, Friday February 10, 1950.</w:t>
      </w:r>
    </w:p>
  </w:endnote>
  <w:endnote w:id="51">
    <w:p w14:paraId="109CE4D8" w14:textId="5F9F59F4"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noProof/>
          <w:lang w:val="en-US"/>
        </w:rPr>
        <w:t>Mollan and Tennent, “International Taxation and Corporate Strategy: Evidence from British Overseas Business, circa 1900–1965.”</w:t>
      </w:r>
    </w:p>
  </w:endnote>
  <w:endnote w:id="52">
    <w:p w14:paraId="11FC3F01" w14:textId="73C93D89" w:rsidR="00107873" w:rsidRPr="00F90252" w:rsidRDefault="00107873" w:rsidP="005F7748">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rPr>
        <w:t xml:space="preserve">AHC </w:t>
      </w:r>
      <w:proofErr w:type="spellStart"/>
      <w:r>
        <w:rPr>
          <w:rFonts w:cs="Times New Roman"/>
        </w:rPr>
        <w:t>Prain</w:t>
      </w:r>
      <w:proofErr w:type="spellEnd"/>
      <w:r>
        <w:rPr>
          <w:rFonts w:cs="Times New Roman"/>
        </w:rPr>
        <w:t xml:space="preserve"> Papers</w:t>
      </w:r>
      <w:r w:rsidRPr="00F90252">
        <w:rPr>
          <w:rFonts w:cs="Times New Roman"/>
        </w:rPr>
        <w:t>.</w:t>
      </w:r>
      <w:proofErr w:type="gramEnd"/>
      <w:r w:rsidRPr="00F90252">
        <w:rPr>
          <w:rFonts w:cs="Times New Roman"/>
        </w:rPr>
        <w:t xml:space="preserve"> Box 1. File AMCO. Hochschild Correspondence, 1950-1951, Letter from Hochschild to Ronald Prain, 17 October 1950.</w:t>
      </w:r>
    </w:p>
  </w:endnote>
  <w:endnote w:id="53">
    <w:p w14:paraId="3D485E3A" w14:textId="6D8B3CC0" w:rsidR="00107873" w:rsidRPr="00F90252" w:rsidRDefault="00107873" w:rsidP="009850F5">
      <w:pPr>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Telegram from from Prain to Hochschild, 6 June 1950.</w:t>
      </w:r>
    </w:p>
  </w:endnote>
  <w:endnote w:id="54">
    <w:p w14:paraId="3841F6B3" w14:textId="3E87ABF9" w:rsidR="00107873" w:rsidRPr="00F90252" w:rsidRDefault="00107873" w:rsidP="005F7748">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rPr>
        <w:t xml:space="preserve">AHC </w:t>
      </w:r>
      <w:proofErr w:type="spellStart"/>
      <w:r>
        <w:rPr>
          <w:rFonts w:cs="Times New Roman"/>
        </w:rPr>
        <w:t>Prain</w:t>
      </w:r>
      <w:proofErr w:type="spellEnd"/>
      <w:r>
        <w:rPr>
          <w:rFonts w:cs="Times New Roman"/>
        </w:rPr>
        <w:t xml:space="preserve"> Papers</w:t>
      </w:r>
      <w:r w:rsidRPr="00F90252">
        <w:rPr>
          <w:rFonts w:cs="Times New Roman"/>
        </w:rPr>
        <w:t>.</w:t>
      </w:r>
      <w:proofErr w:type="gramEnd"/>
      <w:r w:rsidRPr="00F90252">
        <w:rPr>
          <w:rFonts w:cs="Times New Roman"/>
        </w:rPr>
        <w:t xml:space="preserve"> Box 1. File AMCO. Hochschild Correspondence, 1950-1951, Letter from Prain to Hochschild, 20 October 1950. </w:t>
      </w:r>
    </w:p>
  </w:endnote>
  <w:endnote w:id="55">
    <w:p w14:paraId="7296BD08" w14:textId="4229FE9F" w:rsidR="00107873" w:rsidRPr="00F90252" w:rsidRDefault="00107873" w:rsidP="00940D38">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w:t>
      </w:r>
      <w:r w:rsidRPr="00F90252">
        <w:rPr>
          <w:rFonts w:cs="Times New Roman"/>
          <w:b/>
          <w:lang w:val="en-US"/>
        </w:rPr>
        <w:t xml:space="preserve"> </w:t>
      </w:r>
      <w:r w:rsidRPr="00F90252">
        <w:rPr>
          <w:rFonts w:cs="Times New Roman"/>
        </w:rPr>
        <w:t>Letter from Harold Hochschild to Ronald Prain, 5 January 1950; Letter from Prain to Hochschild, 11 June 1950.</w:t>
      </w:r>
    </w:p>
  </w:endnote>
  <w:endnote w:id="56">
    <w:p w14:paraId="12B0C2B7" w14:textId="5FA5E0FA" w:rsidR="00107873" w:rsidRPr="00F90252" w:rsidRDefault="00107873" w:rsidP="006063DF">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Statement of Hochschild, - Submitted to The Committee on Ways and Means House of Representatives, Friday February 10, 1950.</w:t>
      </w:r>
    </w:p>
  </w:endnote>
  <w:endnote w:id="57">
    <w:p w14:paraId="0F7B3C80" w14:textId="25C17FDC" w:rsidR="00107873" w:rsidRPr="00F90252" w:rsidRDefault="00107873" w:rsidP="003E3D8F">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Letter from Hochschild to Prain, 4 January 1951.</w:t>
      </w:r>
    </w:p>
  </w:endnote>
  <w:endnote w:id="58">
    <w:p w14:paraId="31A27F3F" w14:textId="04ECD7E6" w:rsidR="00107873" w:rsidRPr="00F90252" w:rsidRDefault="00107873" w:rsidP="003E3D8F">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Letter from Prain to Hochschild, 31 January 1951.</w:t>
      </w:r>
    </w:p>
  </w:endnote>
  <w:endnote w:id="59">
    <w:p w14:paraId="74C1BC70" w14:textId="1F591A87" w:rsidR="00107873" w:rsidRPr="00F90252" w:rsidRDefault="00107873" w:rsidP="001577D1">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Letter from Hochschild to Prain, 17 April 1951.</w:t>
      </w:r>
    </w:p>
  </w:endnote>
  <w:endnote w:id="60">
    <w:p w14:paraId="58081E81" w14:textId="249E1F79" w:rsidR="00107873" w:rsidRPr="00F90252" w:rsidRDefault="00107873" w:rsidP="00AD1AA6">
      <w:pPr>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Memorandum by Wm Bringhurst  "Domicile - Rhodesian Companies", 25 April 1951.</w:t>
      </w:r>
    </w:p>
  </w:endnote>
  <w:endnote w:id="61">
    <w:p w14:paraId="7BB257BD" w14:textId="2A2E4703"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Letter from </w:t>
      </w:r>
      <w:r w:rsidRPr="00F90252">
        <w:rPr>
          <w:rFonts w:cs="Times New Roman"/>
        </w:rPr>
        <w:t>Prain to Hochschild, 3 May 1951.</w:t>
      </w:r>
    </w:p>
  </w:endnote>
  <w:endnote w:id="62">
    <w:p w14:paraId="06573BDA" w14:textId="25D507C3" w:rsidR="00107873" w:rsidRPr="00F90252" w:rsidRDefault="00107873" w:rsidP="00AD1AA6">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Memorandum by Wm Bringhurst  "Domicile - Rhodesian Companies", 25 April 1951.</w:t>
      </w:r>
    </w:p>
  </w:endnote>
  <w:endnote w:id="63">
    <w:p w14:paraId="5E92C009" w14:textId="67F6D702" w:rsidR="00107873" w:rsidRPr="00F90252" w:rsidRDefault="00107873" w:rsidP="003E118D">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Ronald Prain to Harold Hochschild, 7 May 1951.</w:t>
      </w:r>
    </w:p>
  </w:endnote>
  <w:endnote w:id="64">
    <w:p w14:paraId="27FB31F5" w14:textId="1D57137E" w:rsidR="00107873" w:rsidRPr="00F90252" w:rsidRDefault="00107873" w:rsidP="003E118D">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65">
    <w:p w14:paraId="4F55E8C3" w14:textId="014108CC" w:rsidR="00107873" w:rsidRPr="00F90252" w:rsidRDefault="00107873" w:rsidP="003E118D">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66">
    <w:p w14:paraId="46701268" w14:textId="61601042" w:rsidR="00107873" w:rsidRPr="00F90252" w:rsidRDefault="00107873" w:rsidP="00224B98">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67">
    <w:p w14:paraId="0234EB5B" w14:textId="29F19F85" w:rsidR="00107873" w:rsidRPr="00F90252" w:rsidRDefault="00107873" w:rsidP="00224B98">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Telegram from Hochschild to Prain, 15 June 1951.</w:t>
      </w:r>
    </w:p>
  </w:endnote>
  <w:endnote w:id="68">
    <w:p w14:paraId="23ACBBF8" w14:textId="44C19AD8" w:rsidR="00107873" w:rsidRPr="00F90252" w:rsidRDefault="00107873" w:rsidP="007F72FE">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 </w:t>
      </w:r>
      <w:r w:rsidRPr="00F90252">
        <w:rPr>
          <w:rFonts w:cs="Times New Roman"/>
        </w:rPr>
        <w:t>Prain, Notes on Domicile, 29 September 1951.</w:t>
      </w:r>
    </w:p>
  </w:endnote>
  <w:endnote w:id="69">
    <w:p w14:paraId="4AAD24F1" w14:textId="317ACB72" w:rsidR="00107873" w:rsidRPr="00F90252" w:rsidRDefault="00107873" w:rsidP="007F72FE">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70">
    <w:p w14:paraId="148E7378" w14:textId="409790C8" w:rsidR="00107873" w:rsidRPr="00F90252" w:rsidRDefault="00107873" w:rsidP="00887C4B">
      <w:pPr>
        <w:rPr>
          <w:rFonts w:cs="Times New Roman"/>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71">
    <w:p w14:paraId="2D35BCDA" w14:textId="7904C1B5" w:rsidR="00107873" w:rsidRPr="00F90252" w:rsidRDefault="00107873" w:rsidP="00320B19">
      <w:pPr>
        <w:rPr>
          <w:rFonts w:cs="Times New Roman"/>
        </w:rPr>
      </w:pPr>
      <w:r w:rsidRPr="00F90252">
        <w:rPr>
          <w:rStyle w:val="EndnoteReference"/>
          <w:rFonts w:cs="Times New Roman"/>
        </w:rPr>
        <w:endnoteRef/>
      </w:r>
      <w:r w:rsidRPr="00F90252">
        <w:rPr>
          <w:rFonts w:cs="Times New Roman"/>
          <w:lang w:val="en-US"/>
        </w:rPr>
        <w:t>Ibid.</w:t>
      </w:r>
    </w:p>
  </w:endnote>
  <w:endnote w:id="72">
    <w:p w14:paraId="37DD80D8" w14:textId="7F900121" w:rsidR="00107873" w:rsidRPr="00F90252" w:rsidRDefault="00107873" w:rsidP="00320B19">
      <w:pPr>
        <w:rPr>
          <w:rFonts w:cs="Times New Roman"/>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1950-1951</w:t>
      </w:r>
      <w:r w:rsidRPr="00F90252">
        <w:rPr>
          <w:rFonts w:cs="Times New Roman"/>
        </w:rPr>
        <w:t>: Letter from Prain to Hochschild, 7 November 1951.</w:t>
      </w:r>
    </w:p>
  </w:endnote>
  <w:endnote w:id="73">
    <w:p w14:paraId="4F60E100" w14:textId="51B7A388"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1952-54: Letter from </w:t>
      </w:r>
      <w:r w:rsidRPr="00F90252">
        <w:rPr>
          <w:rFonts w:cs="Times New Roman"/>
        </w:rPr>
        <w:t>Prain to Hochschild, 10 January 1952.</w:t>
      </w:r>
    </w:p>
  </w:endnote>
  <w:endnote w:id="74">
    <w:p w14:paraId="6405F564" w14:textId="77777777" w:rsidR="00107873" w:rsidRPr="00F90252" w:rsidRDefault="00107873" w:rsidP="00117FB9">
      <w:pPr>
        <w:rPr>
          <w:rFonts w:cs="Times New Roman"/>
        </w:rPr>
      </w:pPr>
      <w:r w:rsidRPr="00F90252">
        <w:rPr>
          <w:rStyle w:val="EndnoteReference"/>
          <w:rFonts w:cs="Times New Roman"/>
        </w:rPr>
        <w:endnoteRef/>
      </w:r>
      <w:r w:rsidRPr="00F90252">
        <w:rPr>
          <w:rFonts w:cs="Times New Roman"/>
        </w:rPr>
        <w:t xml:space="preserve"> NA T233/2161 - Section 468 of Income Tax Act (Migration of Companies): review of policy with special reference to Rhodesian Selection Trust, and Holland, Hannen and Cubitts (1952), 'Statement from Chairman 8 Jan 1952 with the Directors Report and Accounts for the year ending 30 June 1951.'</w:t>
      </w:r>
    </w:p>
  </w:endnote>
  <w:endnote w:id="75">
    <w:p w14:paraId="6350DC91" w14:textId="398F91AA" w:rsidR="00107873" w:rsidRPr="00F90252" w:rsidRDefault="00107873" w:rsidP="00EB7E75">
      <w:pPr>
        <w:rPr>
          <w:rFonts w:cs="Times New Roman"/>
        </w:rPr>
      </w:pPr>
      <w:r w:rsidRPr="00F90252">
        <w:rPr>
          <w:rStyle w:val="EndnoteReference"/>
          <w:rFonts w:cs="Times New Roman"/>
        </w:rPr>
        <w:endnoteRef/>
      </w:r>
      <w:r w:rsidRPr="00F90252">
        <w:rPr>
          <w:rFonts w:cs="Times New Roman"/>
        </w:rPr>
        <w:t xml:space="preserve"> NA T233/2161 - Section 468 of Income Tax Act (Migration of Companies): review of policy with special reference to Rhodesian Selection Trust, and Holland, Hannen and Cubitts (1952). CAB/129/45 ‘Closer Association in Central Africa: Memorandum by the Secretary of State for the Colonies and Secretary of State for Commonwealth Relations’, 3 May 1951. </w:t>
      </w:r>
      <w:proofErr w:type="gramStart"/>
      <w:r w:rsidRPr="00F90252">
        <w:rPr>
          <w:rFonts w:cs="Times New Roman"/>
        </w:rPr>
        <w:t>was</w:t>
      </w:r>
      <w:proofErr w:type="gramEnd"/>
    </w:p>
  </w:endnote>
  <w:endnote w:id="76">
    <w:p w14:paraId="0B416065" w14:textId="77777777" w:rsidR="00107873" w:rsidRPr="00F90252" w:rsidRDefault="00107873" w:rsidP="00117FB9">
      <w:pPr>
        <w:rPr>
          <w:rFonts w:cs="Times New Roman"/>
        </w:rPr>
      </w:pPr>
      <w:r w:rsidRPr="00F90252">
        <w:rPr>
          <w:rStyle w:val="EndnoteReference"/>
          <w:rFonts w:cs="Times New Roman"/>
        </w:rPr>
        <w:endnoteRef/>
      </w:r>
      <w:r w:rsidRPr="00F90252">
        <w:rPr>
          <w:rFonts w:cs="Times New Roman"/>
        </w:rPr>
        <w:t xml:space="preserve"> NA T233/2161 - Section 468 of Income Tax Act (Migration of Companies): review of policy with special reference to Rhodesian Selection Trust, and Holland, Hannen and Cubitts (1952).</w:t>
      </w:r>
    </w:p>
  </w:endnote>
  <w:endnote w:id="77">
    <w:p w14:paraId="661BB2B8" w14:textId="77777777" w:rsidR="00107873" w:rsidRPr="00F90252" w:rsidRDefault="00107873" w:rsidP="00117FB9">
      <w:pPr>
        <w:rPr>
          <w:rFonts w:cs="Times New Roman"/>
          <w:b/>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Advisory Panel Meeting, Rhodesian Selection Trust and Associated Companies (1952).</w:t>
      </w:r>
      <w:proofErr w:type="gramEnd"/>
    </w:p>
  </w:endnote>
  <w:endnote w:id="78">
    <w:p w14:paraId="4FA4273E" w14:textId="07ABF94F" w:rsidR="00107873" w:rsidRPr="00F90252" w:rsidRDefault="00107873" w:rsidP="00117FB9">
      <w:pPr>
        <w:pStyle w:val="EndnoteText"/>
        <w:rPr>
          <w:rFonts w:cs="Times New Roman"/>
          <w:lang w:val="en-US"/>
        </w:rPr>
      </w:pPr>
      <w:r w:rsidRPr="00F90252">
        <w:rPr>
          <w:rStyle w:val="EndnoteReference"/>
          <w:rFonts w:cs="Times New Roman"/>
        </w:rPr>
        <w:endnoteRef/>
      </w:r>
      <w:r w:rsidRPr="00F90252">
        <w:rPr>
          <w:rFonts w:cs="Times New Roman"/>
        </w:rPr>
        <w:t xml:space="preserve"> Ibid.</w:t>
      </w:r>
    </w:p>
  </w:endnote>
  <w:endnote w:id="79">
    <w:p w14:paraId="67824CAA" w14:textId="243D18AA" w:rsidR="00107873" w:rsidRPr="00F90252" w:rsidRDefault="00107873" w:rsidP="00117FB9">
      <w:pPr>
        <w:pStyle w:val="EndnoteText"/>
        <w:rPr>
          <w:rFonts w:cs="Times New Roman"/>
          <w:lang w:val="en-US"/>
        </w:rPr>
      </w:pPr>
      <w:r w:rsidRPr="00F90252">
        <w:rPr>
          <w:rStyle w:val="EndnoteReference"/>
          <w:rFonts w:cs="Times New Roman"/>
        </w:rPr>
        <w:endnoteRef/>
      </w:r>
      <w:r w:rsidRPr="00F90252">
        <w:rPr>
          <w:rFonts w:cs="Times New Roman"/>
        </w:rPr>
        <w:t xml:space="preserve"> </w:t>
      </w:r>
      <w:r>
        <w:rPr>
          <w:rFonts w:cs="Times New Roman"/>
        </w:rPr>
        <w:t xml:space="preserve">BGA </w:t>
      </w:r>
      <w:r w:rsidRPr="00F90252">
        <w:rPr>
          <w:rFonts w:cs="Times New Roman"/>
        </w:rPr>
        <w:t>ACC38/0209 Julian Crossley, Chairman of Barclays Bank (Dominions, Colonies and Overse</w:t>
      </w:r>
      <w:r>
        <w:rPr>
          <w:rFonts w:cs="Times New Roman"/>
        </w:rPr>
        <w:t>as) Diary, 19 January 1951.</w:t>
      </w:r>
    </w:p>
  </w:endnote>
  <w:endnote w:id="80">
    <w:p w14:paraId="1369BC40" w14:textId="2B63311D" w:rsidR="00107873" w:rsidRPr="00F90252" w:rsidRDefault="00107873">
      <w:pPr>
        <w:pStyle w:val="EndnoteText"/>
        <w:rPr>
          <w:lang w:val="en-US"/>
        </w:rPr>
      </w:pPr>
      <w:r w:rsidRPr="00622C1F">
        <w:rPr>
          <w:rStyle w:val="EndnoteReference"/>
        </w:rPr>
        <w:endnoteRef/>
      </w:r>
      <w:r w:rsidRPr="00622C1F">
        <w:t xml:space="preserve"> </w:t>
      </w:r>
      <w:r w:rsidRPr="005A57ED">
        <w:rPr>
          <w:lang w:val="en-US"/>
        </w:rPr>
        <w:t xml:space="preserve">For an explanation of excess profits tax policies under the Labor government see </w:t>
      </w:r>
      <w:r w:rsidRPr="005D4DD2">
        <w:rPr>
          <w:lang w:val="en-US"/>
        </w:rPr>
        <w:t xml:space="preserve">M. Daunton, </w:t>
      </w:r>
      <w:r w:rsidRPr="005D4DD2">
        <w:rPr>
          <w:i/>
          <w:lang w:val="en-US"/>
        </w:rPr>
        <w:t>Just Taxes: The Politics of Taxation in Britain, 1914-1979</w:t>
      </w:r>
      <w:r w:rsidRPr="004C2277">
        <w:rPr>
          <w:lang w:val="en-US"/>
        </w:rPr>
        <w:t>, (Cambridge, Cambridge University Press, 2002)</w:t>
      </w:r>
      <w:r w:rsidRPr="00B158CC">
        <w:rPr>
          <w:lang w:val="en-US"/>
        </w:rPr>
        <w:t>,</w:t>
      </w:r>
      <w:r w:rsidRPr="00044B3A">
        <w:rPr>
          <w:lang w:val="en-US"/>
        </w:rPr>
        <w:t xml:space="preserve"> </w:t>
      </w:r>
      <w:r w:rsidRPr="00865B6A">
        <w:rPr>
          <w:lang w:val="en-US"/>
        </w:rPr>
        <w:t>pp. 200-203.</w:t>
      </w:r>
    </w:p>
  </w:endnote>
  <w:endnote w:id="81">
    <w:p w14:paraId="0CC3F91E" w14:textId="77777777" w:rsidR="00107873" w:rsidRPr="00F90252" w:rsidRDefault="00107873" w:rsidP="00117FB9">
      <w:pPr>
        <w:rPr>
          <w:rFonts w:cs="Times New Roman"/>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Advisory Panel Meeting, Rhodesian Selection Trust and Associated Companies (1952).</w:t>
      </w:r>
      <w:proofErr w:type="gramEnd"/>
    </w:p>
  </w:endnote>
  <w:endnote w:id="82">
    <w:p w14:paraId="5538A1D4" w14:textId="6912EA54" w:rsidR="00107873" w:rsidRPr="00F90252" w:rsidRDefault="00107873" w:rsidP="00117FB9">
      <w:pPr>
        <w:rPr>
          <w:rFonts w:cs="Times New Roman"/>
        </w:rPr>
      </w:pPr>
      <w:r w:rsidRPr="00F90252">
        <w:rPr>
          <w:rStyle w:val="EndnoteReference"/>
          <w:rFonts w:cs="Times New Roman"/>
        </w:rPr>
        <w:endnoteRef/>
      </w:r>
      <w:r w:rsidRPr="00F90252">
        <w:rPr>
          <w:rFonts w:cs="Times New Roman"/>
        </w:rPr>
        <w:t xml:space="preserve"> NA T233/2161 Memo 'Sir Bernard Gilbert', 30 July 1952; NA T233/2161 Memo to Mr Compton, 28 August 1952.</w:t>
      </w:r>
    </w:p>
  </w:endnote>
  <w:endnote w:id="83">
    <w:p w14:paraId="2A1DEBFB" w14:textId="3BBBA2F3"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“Roan Antelope Copper Mines Ltd,” The Times [London, England], 4 February 1952, 8.</w:t>
      </w:r>
    </w:p>
  </w:endnote>
  <w:endnote w:id="84">
    <w:p w14:paraId="2FD28719" w14:textId="3E458E80"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w:t>
      </w:r>
      <w:proofErr w:type="gramStart"/>
      <w:r w:rsidRPr="00F90252">
        <w:rPr>
          <w:rFonts w:cs="Times New Roman"/>
          <w:lang w:val="en-US"/>
        </w:rPr>
        <w:t>..</w:t>
      </w:r>
      <w:proofErr w:type="gramEnd"/>
      <w:r w:rsidRPr="00F90252">
        <w:rPr>
          <w:rFonts w:cs="Times New Roman"/>
          <w:lang w:val="en-US"/>
        </w:rPr>
        <w:t xml:space="preserve"> Hochschild Correspondence, 1952-54: Prain to Hochschild 10 January 1952.</w:t>
      </w:r>
    </w:p>
  </w:endnote>
  <w:endnote w:id="85">
    <w:p w14:paraId="1FC02B88" w14:textId="6511FBCA"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Pr>
          <w:rFonts w:cs="Times New Roman"/>
          <w:lang w:val="en-US"/>
        </w:rPr>
        <w:t xml:space="preserve">AHC </w:t>
      </w:r>
      <w:proofErr w:type="spellStart"/>
      <w:r>
        <w:rPr>
          <w:rFonts w:cs="Times New Roman"/>
          <w:lang w:val="en-US"/>
        </w:rPr>
        <w:t>Prain</w:t>
      </w:r>
      <w:proofErr w:type="spellEnd"/>
      <w:r>
        <w:rPr>
          <w:rFonts w:cs="Times New Roman"/>
          <w:lang w:val="en-US"/>
        </w:rPr>
        <w:t xml:space="preserve"> Papers</w:t>
      </w:r>
      <w:r w:rsidRPr="00F90252">
        <w:rPr>
          <w:rFonts w:cs="Times New Roman"/>
          <w:lang w:val="en-US"/>
        </w:rPr>
        <w:t>.</w:t>
      </w:r>
      <w:proofErr w:type="gramEnd"/>
      <w:r w:rsidRPr="00F90252">
        <w:rPr>
          <w:rFonts w:cs="Times New Roman"/>
          <w:lang w:val="en-US"/>
        </w:rPr>
        <w:t xml:space="preserve"> Box 1. File AMCO. Hochschild Correspondence, 1952-54: </w:t>
      </w:r>
      <w:r w:rsidRPr="00F90252">
        <w:rPr>
          <w:rFonts w:cs="Times New Roman"/>
        </w:rPr>
        <w:t>Bringhurst to Hinves, 21 January 1952.</w:t>
      </w:r>
    </w:p>
  </w:endnote>
  <w:endnote w:id="86">
    <w:p w14:paraId="7F65D4AB" w14:textId="23195FD6" w:rsidR="00107873" w:rsidRPr="00F90252" w:rsidRDefault="0010787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'Note of Reasons for the Advisory Panel's Recommendation' by R.H. Binder, 23 October 1952.</w:t>
      </w:r>
    </w:p>
  </w:endnote>
  <w:endnote w:id="87">
    <w:p w14:paraId="1A269A97" w14:textId="4613026C" w:rsidR="00107873" w:rsidRPr="00F90252" w:rsidRDefault="00107873" w:rsidP="006F6F06">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88">
    <w:p w14:paraId="125F4317" w14:textId="5189085B" w:rsidR="00107873" w:rsidRPr="00F90252" w:rsidRDefault="00107873" w:rsidP="006F6F06">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89">
    <w:p w14:paraId="6F9BEB4F" w14:textId="77777777" w:rsidR="00107873" w:rsidRPr="00F90252" w:rsidRDefault="00107873" w:rsidP="004231A6">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'Mr Drake: Item 3 and Item 4', 12 February 1953.</w:t>
      </w:r>
    </w:p>
  </w:endnote>
  <w:endnote w:id="90">
    <w:p w14:paraId="3D2BC55E"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Draft Memo on S. 468 Income Tax Act, 1952, n.d.</w:t>
      </w:r>
      <w:proofErr w:type="gramEnd"/>
    </w:p>
  </w:endnote>
  <w:endnote w:id="91">
    <w:p w14:paraId="533F85A2"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NA T233/2161 Draft Memo on S. 468 Income Tax Act, 1952, n.d.</w:t>
      </w:r>
      <w:proofErr w:type="gramStart"/>
      <w:r w:rsidRPr="00F90252">
        <w:rPr>
          <w:rFonts w:cs="Times New Roman"/>
        </w:rPr>
        <w:t>;</w:t>
      </w:r>
      <w:proofErr w:type="gramEnd"/>
      <w:r w:rsidRPr="00F90252">
        <w:rPr>
          <w:rFonts w:cs="Times New Roman"/>
        </w:rPr>
        <w:t xml:space="preserve"> NA T233/2161 U.S. Capital Investment in the Commonwealth, 28 August 1952.</w:t>
      </w:r>
    </w:p>
  </w:endnote>
  <w:endnote w:id="92">
    <w:p w14:paraId="46F67390"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NA T233/2161 Letter to Mr Lees, 26 November 1952.</w:t>
      </w:r>
    </w:p>
  </w:endnote>
  <w:endnote w:id="93">
    <w:p w14:paraId="77BC41BD"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NA T233/2161 Memo on S. 468 Income Tax Act, 1952.</w:t>
      </w:r>
    </w:p>
  </w:endnote>
  <w:endnote w:id="94">
    <w:p w14:paraId="0C32D51E"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Confidential Memo, 23 January 1953.</w:t>
      </w:r>
    </w:p>
  </w:endnote>
  <w:endnote w:id="95">
    <w:p w14:paraId="15269147" w14:textId="09F1FA84"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96">
    <w:p w14:paraId="03A01F2C" w14:textId="74E73055"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Memo on S. 468 Income Tax Act, 1952.</w:t>
      </w:r>
    </w:p>
  </w:endnote>
  <w:endnote w:id="97">
    <w:p w14:paraId="30D88E50"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 xml:space="preserve">NA T233/2162 Memo on S. 468 Income Tax Act, 1952 - </w:t>
      </w:r>
      <w:proofErr w:type="gramStart"/>
      <w:r w:rsidRPr="00F90252">
        <w:rPr>
          <w:rFonts w:cs="Times New Roman"/>
          <w:lang w:val="en-US"/>
        </w:rPr>
        <w:t>Appendix  3</w:t>
      </w:r>
      <w:proofErr w:type="gramEnd"/>
      <w:r w:rsidRPr="00F90252">
        <w:rPr>
          <w:rFonts w:cs="Times New Roman"/>
          <w:lang w:val="en-US"/>
        </w:rPr>
        <w:t>,</w:t>
      </w:r>
    </w:p>
  </w:endnote>
  <w:endnote w:id="98">
    <w:p w14:paraId="4C86B1BE"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Mr Compton, Migration of Companies, 4 December 1952.</w:t>
      </w:r>
    </w:p>
  </w:endnote>
  <w:endnote w:id="99">
    <w:p w14:paraId="665D9392" w14:textId="4131785A"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100">
    <w:p w14:paraId="2EF3482B"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Mr Leslie Rowan, Migration of Companies from the U.K., 17 December 1952.</w:t>
      </w:r>
    </w:p>
  </w:endnote>
  <w:endnote w:id="101">
    <w:p w14:paraId="46246453" w14:textId="369EEE04" w:rsidR="00107873" w:rsidRPr="00F90252" w:rsidRDefault="00107873" w:rsidP="00DF748C">
      <w:pPr>
        <w:rPr>
          <w:rFonts w:cs="Times New Roman"/>
        </w:rPr>
      </w:pPr>
      <w:r w:rsidRPr="00F90252">
        <w:rPr>
          <w:rStyle w:val="EndnoteReference"/>
          <w:rFonts w:cs="Times New Roman"/>
        </w:rPr>
        <w:endnoteRef/>
      </w:r>
      <w:r w:rsidRPr="00F90252">
        <w:rPr>
          <w:rFonts w:cs="Times New Roman"/>
        </w:rPr>
        <w:t xml:space="preserve"> </w:t>
      </w:r>
      <w:proofErr w:type="gramStart"/>
      <w:r w:rsidRPr="00F90252">
        <w:rPr>
          <w:rFonts w:cs="Times New Roman"/>
        </w:rPr>
        <w:t>NA T233/2161 Advisory Panel Meeting, Rhodesian Selection Trust and Associated Companies (1952).</w:t>
      </w:r>
      <w:proofErr w:type="gramEnd"/>
      <w:r w:rsidRPr="00F90252">
        <w:rPr>
          <w:rFonts w:cs="Times New Roman"/>
        </w:rPr>
        <w:t xml:space="preserve"> Welensky became leader of the ‘unofficials’ within Northern Rhodesia’s Legislative Council in 1945. He was a strong proponent for amalgamation and became the Federation’s Minister for Transport at its creation and eventually Prime Minister in 1956. </w:t>
      </w:r>
    </w:p>
  </w:endnote>
  <w:endnote w:id="102">
    <w:p w14:paraId="24B69784" w14:textId="4037A528" w:rsidR="00107873" w:rsidRPr="00F90252" w:rsidRDefault="00107873">
      <w:pPr>
        <w:pStyle w:val="EndnoteText"/>
        <w:rPr>
          <w:rFonts w:cs="Times New Roman"/>
        </w:rPr>
      </w:pPr>
      <w:r w:rsidRPr="00F90252">
        <w:rPr>
          <w:rStyle w:val="EndnoteReference"/>
          <w:rFonts w:cs="Times New Roman"/>
        </w:rPr>
        <w:endnoteRef/>
      </w:r>
      <w:r w:rsidRPr="00F90252">
        <w:rPr>
          <w:rFonts w:cs="Times New Roman"/>
        </w:rPr>
        <w:t xml:space="preserve"> Andrew Cohen, ‘The politics and economics of decolonization in Africa: The failed experiment of the Central African Federation (London, I B Tauris 2017) p.40</w:t>
      </w:r>
    </w:p>
  </w:endnote>
  <w:endnote w:id="103">
    <w:p w14:paraId="4E2B8692" w14:textId="77777777" w:rsidR="00107873" w:rsidRPr="00F90252" w:rsidRDefault="00107873" w:rsidP="00EE28C3">
      <w:pPr>
        <w:rPr>
          <w:rFonts w:cs="Times New Roman"/>
        </w:rPr>
      </w:pPr>
      <w:r w:rsidRPr="00F90252">
        <w:rPr>
          <w:rStyle w:val="EndnoteReference"/>
          <w:rFonts w:cs="Times New Roman"/>
        </w:rPr>
        <w:endnoteRef/>
      </w:r>
      <w:r w:rsidRPr="00F90252">
        <w:rPr>
          <w:rFonts w:cs="Times New Roman"/>
        </w:rPr>
        <w:t xml:space="preserve"> NA T233/2161 Roy Welensky to Ronald Prain, 5 May 1952.</w:t>
      </w:r>
    </w:p>
  </w:endnote>
  <w:endnote w:id="104">
    <w:p w14:paraId="76D66115" w14:textId="77777777" w:rsidR="00107873" w:rsidRPr="00F90252" w:rsidRDefault="00107873" w:rsidP="00EE28C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E. Melville, Colonial Office, to H.L. Jenkyns, Treasury, 29 January 1952.</w:t>
      </w:r>
    </w:p>
  </w:endnote>
  <w:endnote w:id="105">
    <w:p w14:paraId="19575EDD" w14:textId="77777777" w:rsidR="00107873" w:rsidRPr="00F90252" w:rsidRDefault="00107873" w:rsidP="00EE28C3">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'Welensky', 29 Janaury, 1952; NA T233/2162 W. Armstrong, Treasury, to E. Melville, Colonial Office, 2 February 1953.</w:t>
      </w:r>
    </w:p>
  </w:endnote>
  <w:endnote w:id="106">
    <w:p w14:paraId="0D63FB5F"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J.A.R Pimlott to St J. Trend, 5 December 1952</w:t>
      </w:r>
      <w:proofErr w:type="gramStart"/>
      <w:r w:rsidRPr="00F90252">
        <w:rPr>
          <w:rFonts w:cs="Times New Roman"/>
          <w:lang w:val="en-US"/>
        </w:rPr>
        <w:t>;</w:t>
      </w:r>
      <w:proofErr w:type="gramEnd"/>
      <w:r w:rsidRPr="00F90252">
        <w:rPr>
          <w:rFonts w:cs="Times New Roman"/>
          <w:lang w:val="en-US"/>
        </w:rPr>
        <w:t xml:space="preserve"> NA T233/2162 St J. Trend to J.A.R, Pimlott, 11 December 1952.</w:t>
      </w:r>
    </w:p>
  </w:endnote>
  <w:endnote w:id="107">
    <w:p w14:paraId="4FAF2009"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Oliver Lyttelton, Colonial Office to R.A. Butler, Treasury, 18 December 1952; NA T233/2162 R.A. Butler, Treasury to Oliver Lyttelton, Colonial Office, 23 December 1952.</w:t>
      </w:r>
    </w:p>
  </w:endnote>
  <w:endnote w:id="108">
    <w:p w14:paraId="0C6CDFC6"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 xml:space="preserve">NA T233/2162 'Note of reasons for the Advisory Panel's recommendation', 23 </w:t>
      </w:r>
      <w:proofErr w:type="gramStart"/>
      <w:r w:rsidRPr="00F90252">
        <w:rPr>
          <w:rFonts w:cs="Times New Roman"/>
          <w:lang w:val="en-US"/>
        </w:rPr>
        <w:t>October,</w:t>
      </w:r>
      <w:proofErr w:type="gramEnd"/>
      <w:r w:rsidRPr="00F90252">
        <w:rPr>
          <w:rFonts w:cs="Times New Roman"/>
          <w:lang w:val="en-US"/>
        </w:rPr>
        <w:t xml:space="preserve"> 1952; NA T233/2161 S.L. Lees (Treasury) to R.C Nicholas (Inland Revenue), 29 September 1952.</w:t>
      </w:r>
    </w:p>
  </w:endnote>
  <w:endnote w:id="109">
    <w:p w14:paraId="47D174FD"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The Migration of Companies (S. 468 of the Income Tax Act, 1952), 20 January 1953.</w:t>
      </w:r>
    </w:p>
  </w:endnote>
  <w:endnote w:id="110">
    <w:p w14:paraId="4981E161" w14:textId="1833C2F9"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Ibid.</w:t>
      </w:r>
    </w:p>
  </w:endnote>
  <w:endnote w:id="111">
    <w:p w14:paraId="16B02D6B"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lang w:val="en-US"/>
        </w:rPr>
        <w:t>NA T233/2162 The Migration of Companies (S. 468 of the Income Tax Act, 1952), 20 January 1953; NA T233/2162 'Draft Letter to R.L. Prain', n.d.</w:t>
      </w:r>
      <w:proofErr w:type="gramEnd"/>
    </w:p>
  </w:endnote>
  <w:endnote w:id="112">
    <w:p w14:paraId="7FCB19EA"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Memo, 19 January 1953.</w:t>
      </w:r>
    </w:p>
  </w:endnote>
  <w:endnote w:id="113">
    <w:p w14:paraId="2DAE211E"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proofErr w:type="gramStart"/>
      <w:r w:rsidRPr="00F90252">
        <w:rPr>
          <w:rFonts w:cs="Times New Roman"/>
          <w:lang w:val="en-US"/>
        </w:rPr>
        <w:t>NA T233/2162 Mr Trend, 'Income Tax Act, 1952.</w:t>
      </w:r>
      <w:proofErr w:type="gramEnd"/>
      <w:r w:rsidRPr="00F90252">
        <w:rPr>
          <w:rFonts w:cs="Times New Roman"/>
          <w:lang w:val="en-US"/>
        </w:rPr>
        <w:t xml:space="preserve"> Section 468. Relations with the Colonial Office', 27 January 1953.</w:t>
      </w:r>
    </w:p>
  </w:endnote>
  <w:endnote w:id="114">
    <w:p w14:paraId="0C394029"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John Boyd Carpenter, Treasury, to Oliver Lyttelton, Colonial Office, 3 March 1953; NA T233/2162 Letter to from Mr Compton to Lord Kennet, 6 March 1953; NA T233/2162 Letter from Lord Kennet to Mr Compton, 6 March 1953.</w:t>
      </w:r>
    </w:p>
  </w:endnote>
  <w:endnote w:id="115">
    <w:p w14:paraId="0B5F2A95" w14:textId="77777777" w:rsidR="00107873" w:rsidRPr="00F90252" w:rsidRDefault="00107873" w:rsidP="00DF748C">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NA T233/2162 Oliver Lyttelton, Colonial Secretary, to RAB Butler, Chancellor of the Exchequer, 17 March 1953.</w:t>
      </w:r>
    </w:p>
  </w:endnote>
  <w:endnote w:id="116">
    <w:p w14:paraId="7CFE4629" w14:textId="75B8C8DC" w:rsidR="00107873" w:rsidRPr="00F90252" w:rsidRDefault="00107873" w:rsidP="00AE6575">
      <w:pPr>
        <w:pStyle w:val="EndnoteText"/>
        <w:rPr>
          <w:rFonts w:cs="Times New Roman"/>
          <w:lang w:val="en-US"/>
        </w:rPr>
      </w:pPr>
      <w:r w:rsidRPr="00F90252">
        <w:rPr>
          <w:rStyle w:val="EndnoteReference"/>
          <w:rFonts w:cs="Times New Roman"/>
        </w:rPr>
        <w:endnoteRef/>
      </w:r>
      <w:r w:rsidRPr="00F90252">
        <w:rPr>
          <w:rFonts w:cs="Times New Roman"/>
        </w:rPr>
        <w:t xml:space="preserve"> </w:t>
      </w:r>
      <w:r w:rsidRPr="00F90252">
        <w:rPr>
          <w:rFonts w:cs="Times New Roman"/>
          <w:lang w:val="en-US"/>
        </w:rPr>
        <w:t xml:space="preserve">NA T233/2162 The Migration of Companies (S. 468 of the Income Tax Act, 1952), 20 January 1953; </w:t>
      </w:r>
      <w:r w:rsidRPr="00F90252">
        <w:rPr>
          <w:rFonts w:cs="Times New Roman"/>
          <w:noProof/>
          <w:lang w:val="en-US"/>
        </w:rPr>
        <w:t xml:space="preserve">David R. Stanford, </w:t>
      </w:r>
      <w:r w:rsidRPr="00F90252">
        <w:rPr>
          <w:rFonts w:cs="Times New Roman"/>
          <w:i/>
          <w:noProof/>
          <w:lang w:val="en-US"/>
        </w:rPr>
        <w:t>Overseas Trade Corporations</w:t>
      </w:r>
      <w:r w:rsidRPr="00F90252">
        <w:rPr>
          <w:rFonts w:cs="Times New Roman"/>
          <w:noProof/>
          <w:lang w:val="en-US"/>
        </w:rPr>
        <w:t xml:space="preserve"> (London: Sweet and Maxwell, 1958); Sarah Stockwell, “Trade, Empire, and the Fiscal Context of Imperial Business during Decolonization,” </w:t>
      </w:r>
      <w:r w:rsidRPr="00F90252">
        <w:rPr>
          <w:rFonts w:cs="Times New Roman"/>
          <w:i/>
          <w:noProof/>
          <w:lang w:val="en-US"/>
        </w:rPr>
        <w:t>Economic History Review</w:t>
      </w:r>
      <w:r w:rsidRPr="00F90252">
        <w:rPr>
          <w:rFonts w:cs="Times New Roman"/>
          <w:noProof/>
          <w:lang w:val="en-US"/>
        </w:rPr>
        <w:t xml:space="preserve"> 57, no. 1 (2004): 142–60.</w:t>
      </w:r>
    </w:p>
  </w:endnote>
  <w:endnote w:id="117">
    <w:p w14:paraId="5132D368" w14:textId="6B5F212D" w:rsidR="00107873" w:rsidRPr="00344AB0" w:rsidRDefault="00107873" w:rsidP="00344AB0">
      <w:pPr>
        <w:pStyle w:val="EndnoteText"/>
      </w:pPr>
      <w:r>
        <w:rPr>
          <w:rStyle w:val="EndnoteReference"/>
        </w:rPr>
        <w:endnoteRef/>
      </w:r>
      <w:r>
        <w:t xml:space="preserve"> See </w:t>
      </w:r>
      <w:r w:rsidRPr="00344AB0">
        <w:t xml:space="preserve">Michie, Ranald. </w:t>
      </w:r>
      <w:r w:rsidRPr="00344AB0">
        <w:rPr>
          <w:i/>
          <w:iCs/>
        </w:rPr>
        <w:t>The London Stock Exchange: A History</w:t>
      </w:r>
      <w:r w:rsidRPr="00344AB0">
        <w:t xml:space="preserve">. </w:t>
      </w:r>
      <w:proofErr w:type="gramStart"/>
      <w:r w:rsidRPr="00344AB0">
        <w:t>Oxford: Oxford University Press</w:t>
      </w:r>
      <w:r>
        <w:t xml:space="preserve">, 1999, especially pages 235-286; </w:t>
      </w:r>
      <w:r w:rsidRPr="00344AB0">
        <w:t>Mollan, Simon, and Ranald Michie.</w:t>
      </w:r>
      <w:proofErr w:type="gramEnd"/>
      <w:r w:rsidRPr="00344AB0">
        <w:t xml:space="preserve"> 2012. “The City of London as an International Commercial and Financial Center since 1900.” </w:t>
      </w:r>
      <w:proofErr w:type="gramStart"/>
      <w:r w:rsidRPr="00344AB0">
        <w:rPr>
          <w:i/>
          <w:iCs/>
        </w:rPr>
        <w:t>Enterprise and Society</w:t>
      </w:r>
      <w:r w:rsidRPr="00344AB0">
        <w:t xml:space="preserve"> 13 (3): 538–87.</w:t>
      </w:r>
      <w:proofErr w:type="gramEnd"/>
      <w:r w:rsidRPr="00344AB0">
        <w:t xml:space="preserve"> </w:t>
      </w:r>
    </w:p>
    <w:p w14:paraId="689FE8F8" w14:textId="39C76644" w:rsidR="00107873" w:rsidRDefault="0010787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Noteworthy Light">
    <w:panose1 w:val="02000400000000000000"/>
    <w:charset w:val="00"/>
    <w:family w:val="auto"/>
    <w:pitch w:val="variable"/>
    <w:sig w:usb0="8000006F" w:usb1="08000048" w:usb2="14600000" w:usb3="00000000" w:csb0="00000111"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28B147" w14:textId="77777777" w:rsidR="00107873" w:rsidRDefault="00107873" w:rsidP="00062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92B10" w14:textId="77777777" w:rsidR="00107873" w:rsidRDefault="00107873" w:rsidP="000621E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259E0D" w14:textId="38D488C1" w:rsidR="00107873" w:rsidRDefault="00107873" w:rsidP="000621E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052">
      <w:rPr>
        <w:rStyle w:val="PageNumber"/>
        <w:noProof/>
      </w:rPr>
      <w:t>14</w:t>
    </w:r>
    <w:r>
      <w:rPr>
        <w:rStyle w:val="PageNumber"/>
      </w:rPr>
      <w:fldChar w:fldCharType="end"/>
    </w:r>
  </w:p>
  <w:p w14:paraId="39432B59" w14:textId="77777777" w:rsidR="00107873" w:rsidRDefault="00107873" w:rsidP="000621EF">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BCC63F" w14:textId="77777777" w:rsidR="00107873" w:rsidRDefault="0010787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64BF98" w14:textId="77777777" w:rsidR="00107873" w:rsidRDefault="00107873" w:rsidP="00961702">
      <w:r>
        <w:separator/>
      </w:r>
    </w:p>
  </w:footnote>
  <w:footnote w:type="continuationSeparator" w:id="0">
    <w:p w14:paraId="67E46912" w14:textId="77777777" w:rsidR="00107873" w:rsidRDefault="00107873" w:rsidP="0096170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3EE36" w14:textId="7ACFC7E0" w:rsidR="00107873" w:rsidRDefault="00107873">
    <w:pPr>
      <w:pStyle w:val="Header"/>
    </w:pPr>
    <w:r>
      <w:rPr>
        <w:noProof/>
        <w:lang w:val="en-US"/>
      </w:rPr>
      <mc:AlternateContent>
        <mc:Choice Requires="wps">
          <w:drawing>
            <wp:anchor distT="0" distB="0" distL="114300" distR="114300" simplePos="0" relativeHeight="251661312" behindDoc="0" locked="0" layoutInCell="1" allowOverlap="1" wp14:anchorId="6B4EF2D1" wp14:editId="0AC9CD25">
              <wp:simplePos x="0" y="0"/>
              <wp:positionH relativeFrom="column">
                <wp:posOffset>0</wp:posOffset>
              </wp:positionH>
              <wp:positionV relativeFrom="paragraph">
                <wp:posOffset>0</wp:posOffset>
              </wp:positionV>
              <wp:extent cx="914400" cy="914400"/>
              <wp:effectExtent l="0" t="0" r="0" b="0"/>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DE5A878" id="_x0000_t202" coordsize="21600,21600" o:spt="202" path="m,l,21600r21600,l21600,xe">
              <v:stroke joinstyle="miter"/>
              <v:path gradientshapeok="t" o:connecttype="rect"/>
            </v:shapetype>
            <v:shape id="WordArt 2" o:spid="_x0000_s1026" type="#_x0000_t202" style="position:absolute;margin-left:0;margin-top:0;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" filled="f" stroked="f">
              <o:lock v:ext="edit" text="t" shapetype="t"/>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E439F" w14:textId="2BAD67DC" w:rsidR="00107873" w:rsidRDefault="00107873">
    <w:pPr>
      <w:pStyle w:val="Header"/>
    </w:pPr>
    <w:r>
      <w:rPr>
        <w:noProof/>
        <w:lang w:val="en-US"/>
      </w:rPr>
      <mc:AlternateContent>
        <mc:Choice Requires="wps">
          <w:drawing>
            <wp:anchor distT="0" distB="0" distL="114300" distR="114300" simplePos="0" relativeHeight="251659264" behindDoc="0" locked="0" layoutInCell="1" allowOverlap="1" wp14:anchorId="4EC62427" wp14:editId="1E9A975C">
              <wp:simplePos x="0" y="0"/>
              <wp:positionH relativeFrom="column">
                <wp:posOffset>0</wp:posOffset>
              </wp:positionH>
              <wp:positionV relativeFrom="paragraph">
                <wp:posOffset>0</wp:posOffset>
              </wp:positionV>
              <wp:extent cx="914400" cy="914400"/>
              <wp:effectExtent l="0" t="0" r="0" b="0"/>
              <wp:wrapNone/>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43862DF" id="_x0000_t202" coordsize="21600,21600" o:spt="202" path="m,l,21600r21600,l21600,xe">
              <v:stroke joinstyle="miter"/>
              <v:path gradientshapeok="t" o:connecttype="rect"/>
            </v:shapetype>
            <v:shape id="WordArt 1" o:spid="_x0000_s1026" type="#_x0000_t202" style="position:absolute;margin-left:0;margin-top:0;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" filled="f" stroked="f">
              <o:lock v:ext="edit" text="t" shapetype="t"/>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5064C" w14:textId="7708B355" w:rsidR="00107873" w:rsidRDefault="00107873">
    <w:pPr>
      <w:pStyle w:val="Header"/>
    </w:pPr>
    <w:r>
      <w:rPr>
        <w:noProof/>
        <w:lang w:val="en-US"/>
      </w:rPr>
      <mc:AlternateContent>
        <mc:Choice Requires="wps">
          <w:drawing>
            <wp:anchor distT="0" distB="0" distL="114300" distR="114300" simplePos="0" relativeHeight="251663360" behindDoc="0" locked="0" layoutInCell="1" allowOverlap="1" wp14:anchorId="2265B91F" wp14:editId="1CBF6EC1">
              <wp:simplePos x="0" y="0"/>
              <wp:positionH relativeFrom="column">
                <wp:posOffset>0</wp:posOffset>
              </wp:positionH>
              <wp:positionV relativeFrom="paragraph">
                <wp:posOffset>0</wp:posOffset>
              </wp:positionV>
              <wp:extent cx="914400" cy="9144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9144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A1D33DF" id="_x0000_t202" coordsize="21600,21600" o:spt="202" path="m,l,21600r21600,l21600,xe">
              <v:stroke joinstyle="miter"/>
              <v:path gradientshapeok="t" o:connecttype="rect"/>
            </v:shapetype>
            <v:shape id="WordArt 3" o:spid="_x0000_s1026" type="#_x0000_t202" style="position:absolute;margin-left:0;margin-top:0;width:1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" filled="f" stroked="f">
              <o:lock v:ext="edit" text="t" shapetype="t"/>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3D20"/>
    <w:multiLevelType w:val="hybridMultilevel"/>
    <w:tmpl w:val="611AB3DA"/>
    <w:lvl w:ilvl="0" w:tplc="3FA2B1B8">
      <w:start w:val="1"/>
      <w:numFmt w:val="bullet"/>
      <w:lvlText w:val="•"/>
      <w:lvlJc w:val="left"/>
      <w:pPr>
        <w:tabs>
          <w:tab w:val="num" w:pos="720"/>
        </w:tabs>
        <w:ind w:left="720" w:hanging="360"/>
      </w:pPr>
      <w:rPr>
        <w:rFonts w:ascii="Arial" w:hAnsi="Arial" w:hint="default"/>
      </w:rPr>
    </w:lvl>
    <w:lvl w:ilvl="1" w:tplc="6C00D4AC" w:tentative="1">
      <w:start w:val="1"/>
      <w:numFmt w:val="bullet"/>
      <w:lvlText w:val="•"/>
      <w:lvlJc w:val="left"/>
      <w:pPr>
        <w:tabs>
          <w:tab w:val="num" w:pos="1440"/>
        </w:tabs>
        <w:ind w:left="1440" w:hanging="360"/>
      </w:pPr>
      <w:rPr>
        <w:rFonts w:ascii="Arial" w:hAnsi="Arial" w:hint="default"/>
      </w:rPr>
    </w:lvl>
    <w:lvl w:ilvl="2" w:tplc="78083440" w:tentative="1">
      <w:start w:val="1"/>
      <w:numFmt w:val="bullet"/>
      <w:lvlText w:val="•"/>
      <w:lvlJc w:val="left"/>
      <w:pPr>
        <w:tabs>
          <w:tab w:val="num" w:pos="2160"/>
        </w:tabs>
        <w:ind w:left="2160" w:hanging="360"/>
      </w:pPr>
      <w:rPr>
        <w:rFonts w:ascii="Arial" w:hAnsi="Arial" w:hint="default"/>
      </w:rPr>
    </w:lvl>
    <w:lvl w:ilvl="3" w:tplc="D53AB1D8" w:tentative="1">
      <w:start w:val="1"/>
      <w:numFmt w:val="bullet"/>
      <w:lvlText w:val="•"/>
      <w:lvlJc w:val="left"/>
      <w:pPr>
        <w:tabs>
          <w:tab w:val="num" w:pos="2880"/>
        </w:tabs>
        <w:ind w:left="2880" w:hanging="360"/>
      </w:pPr>
      <w:rPr>
        <w:rFonts w:ascii="Arial" w:hAnsi="Arial" w:hint="default"/>
      </w:rPr>
    </w:lvl>
    <w:lvl w:ilvl="4" w:tplc="2B9E9666" w:tentative="1">
      <w:start w:val="1"/>
      <w:numFmt w:val="bullet"/>
      <w:lvlText w:val="•"/>
      <w:lvlJc w:val="left"/>
      <w:pPr>
        <w:tabs>
          <w:tab w:val="num" w:pos="3600"/>
        </w:tabs>
        <w:ind w:left="3600" w:hanging="360"/>
      </w:pPr>
      <w:rPr>
        <w:rFonts w:ascii="Arial" w:hAnsi="Arial" w:hint="default"/>
      </w:rPr>
    </w:lvl>
    <w:lvl w:ilvl="5" w:tplc="6AFA7486" w:tentative="1">
      <w:start w:val="1"/>
      <w:numFmt w:val="bullet"/>
      <w:lvlText w:val="•"/>
      <w:lvlJc w:val="left"/>
      <w:pPr>
        <w:tabs>
          <w:tab w:val="num" w:pos="4320"/>
        </w:tabs>
        <w:ind w:left="4320" w:hanging="360"/>
      </w:pPr>
      <w:rPr>
        <w:rFonts w:ascii="Arial" w:hAnsi="Arial" w:hint="default"/>
      </w:rPr>
    </w:lvl>
    <w:lvl w:ilvl="6" w:tplc="A6DA8278" w:tentative="1">
      <w:start w:val="1"/>
      <w:numFmt w:val="bullet"/>
      <w:lvlText w:val="•"/>
      <w:lvlJc w:val="left"/>
      <w:pPr>
        <w:tabs>
          <w:tab w:val="num" w:pos="5040"/>
        </w:tabs>
        <w:ind w:left="5040" w:hanging="360"/>
      </w:pPr>
      <w:rPr>
        <w:rFonts w:ascii="Arial" w:hAnsi="Arial" w:hint="default"/>
      </w:rPr>
    </w:lvl>
    <w:lvl w:ilvl="7" w:tplc="BA34F4D8" w:tentative="1">
      <w:start w:val="1"/>
      <w:numFmt w:val="bullet"/>
      <w:lvlText w:val="•"/>
      <w:lvlJc w:val="left"/>
      <w:pPr>
        <w:tabs>
          <w:tab w:val="num" w:pos="5760"/>
        </w:tabs>
        <w:ind w:left="5760" w:hanging="360"/>
      </w:pPr>
      <w:rPr>
        <w:rFonts w:ascii="Arial" w:hAnsi="Arial" w:hint="default"/>
      </w:rPr>
    </w:lvl>
    <w:lvl w:ilvl="8" w:tplc="A2CAB5EA" w:tentative="1">
      <w:start w:val="1"/>
      <w:numFmt w:val="bullet"/>
      <w:lvlText w:val="•"/>
      <w:lvlJc w:val="left"/>
      <w:pPr>
        <w:tabs>
          <w:tab w:val="num" w:pos="6480"/>
        </w:tabs>
        <w:ind w:left="6480" w:hanging="360"/>
      </w:pPr>
      <w:rPr>
        <w:rFonts w:ascii="Arial" w:hAnsi="Arial" w:hint="default"/>
      </w:rPr>
    </w:lvl>
  </w:abstractNum>
  <w:abstractNum w:abstractNumId="1">
    <w:nsid w:val="22F5396D"/>
    <w:multiLevelType w:val="hybridMultilevel"/>
    <w:tmpl w:val="D0747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B905BC"/>
    <w:multiLevelType w:val="hybridMultilevel"/>
    <w:tmpl w:val="49ACCBA6"/>
    <w:lvl w:ilvl="0" w:tplc="2716DA56">
      <w:start w:val="1"/>
      <w:numFmt w:val="bullet"/>
      <w:lvlText w:val="–"/>
      <w:lvlJc w:val="left"/>
      <w:pPr>
        <w:tabs>
          <w:tab w:val="num" w:pos="720"/>
        </w:tabs>
        <w:ind w:left="720" w:hanging="360"/>
      </w:pPr>
      <w:rPr>
        <w:rFonts w:ascii="Arial" w:hAnsi="Arial" w:hint="default"/>
      </w:rPr>
    </w:lvl>
    <w:lvl w:ilvl="1" w:tplc="A68E311C">
      <w:start w:val="1"/>
      <w:numFmt w:val="bullet"/>
      <w:lvlText w:val="–"/>
      <w:lvlJc w:val="left"/>
      <w:pPr>
        <w:tabs>
          <w:tab w:val="num" w:pos="1440"/>
        </w:tabs>
        <w:ind w:left="1440" w:hanging="360"/>
      </w:pPr>
      <w:rPr>
        <w:rFonts w:ascii="Arial" w:hAnsi="Arial" w:hint="default"/>
      </w:rPr>
    </w:lvl>
    <w:lvl w:ilvl="2" w:tplc="7F0A0566" w:tentative="1">
      <w:start w:val="1"/>
      <w:numFmt w:val="bullet"/>
      <w:lvlText w:val="–"/>
      <w:lvlJc w:val="left"/>
      <w:pPr>
        <w:tabs>
          <w:tab w:val="num" w:pos="2160"/>
        </w:tabs>
        <w:ind w:left="2160" w:hanging="360"/>
      </w:pPr>
      <w:rPr>
        <w:rFonts w:ascii="Arial" w:hAnsi="Arial" w:hint="default"/>
      </w:rPr>
    </w:lvl>
    <w:lvl w:ilvl="3" w:tplc="9412EB88" w:tentative="1">
      <w:start w:val="1"/>
      <w:numFmt w:val="bullet"/>
      <w:lvlText w:val="–"/>
      <w:lvlJc w:val="left"/>
      <w:pPr>
        <w:tabs>
          <w:tab w:val="num" w:pos="2880"/>
        </w:tabs>
        <w:ind w:left="2880" w:hanging="360"/>
      </w:pPr>
      <w:rPr>
        <w:rFonts w:ascii="Arial" w:hAnsi="Arial" w:hint="default"/>
      </w:rPr>
    </w:lvl>
    <w:lvl w:ilvl="4" w:tplc="42E6DF08" w:tentative="1">
      <w:start w:val="1"/>
      <w:numFmt w:val="bullet"/>
      <w:lvlText w:val="–"/>
      <w:lvlJc w:val="left"/>
      <w:pPr>
        <w:tabs>
          <w:tab w:val="num" w:pos="3600"/>
        </w:tabs>
        <w:ind w:left="3600" w:hanging="360"/>
      </w:pPr>
      <w:rPr>
        <w:rFonts w:ascii="Arial" w:hAnsi="Arial" w:hint="default"/>
      </w:rPr>
    </w:lvl>
    <w:lvl w:ilvl="5" w:tplc="F8CAFA5C" w:tentative="1">
      <w:start w:val="1"/>
      <w:numFmt w:val="bullet"/>
      <w:lvlText w:val="–"/>
      <w:lvlJc w:val="left"/>
      <w:pPr>
        <w:tabs>
          <w:tab w:val="num" w:pos="4320"/>
        </w:tabs>
        <w:ind w:left="4320" w:hanging="360"/>
      </w:pPr>
      <w:rPr>
        <w:rFonts w:ascii="Arial" w:hAnsi="Arial" w:hint="default"/>
      </w:rPr>
    </w:lvl>
    <w:lvl w:ilvl="6" w:tplc="307ED9FC" w:tentative="1">
      <w:start w:val="1"/>
      <w:numFmt w:val="bullet"/>
      <w:lvlText w:val="–"/>
      <w:lvlJc w:val="left"/>
      <w:pPr>
        <w:tabs>
          <w:tab w:val="num" w:pos="5040"/>
        </w:tabs>
        <w:ind w:left="5040" w:hanging="360"/>
      </w:pPr>
      <w:rPr>
        <w:rFonts w:ascii="Arial" w:hAnsi="Arial" w:hint="default"/>
      </w:rPr>
    </w:lvl>
    <w:lvl w:ilvl="7" w:tplc="46DAAB32" w:tentative="1">
      <w:start w:val="1"/>
      <w:numFmt w:val="bullet"/>
      <w:lvlText w:val="–"/>
      <w:lvlJc w:val="left"/>
      <w:pPr>
        <w:tabs>
          <w:tab w:val="num" w:pos="5760"/>
        </w:tabs>
        <w:ind w:left="5760" w:hanging="360"/>
      </w:pPr>
      <w:rPr>
        <w:rFonts w:ascii="Arial" w:hAnsi="Arial" w:hint="default"/>
      </w:rPr>
    </w:lvl>
    <w:lvl w:ilvl="8" w:tplc="46E2D8D0" w:tentative="1">
      <w:start w:val="1"/>
      <w:numFmt w:val="bullet"/>
      <w:lvlText w:val="–"/>
      <w:lvlJc w:val="left"/>
      <w:pPr>
        <w:tabs>
          <w:tab w:val="num" w:pos="6480"/>
        </w:tabs>
        <w:ind w:left="6480" w:hanging="360"/>
      </w:pPr>
      <w:rPr>
        <w:rFonts w:ascii="Arial" w:hAnsi="Arial" w:hint="default"/>
      </w:rPr>
    </w:lvl>
  </w:abstractNum>
  <w:abstractNum w:abstractNumId="3">
    <w:nsid w:val="635752F5"/>
    <w:multiLevelType w:val="hybridMultilevel"/>
    <w:tmpl w:val="A906F6CE"/>
    <w:lvl w:ilvl="0" w:tplc="F22E895E">
      <w:start w:val="1"/>
      <w:numFmt w:val="bullet"/>
      <w:lvlText w:val="•"/>
      <w:lvlJc w:val="left"/>
      <w:pPr>
        <w:tabs>
          <w:tab w:val="num" w:pos="720"/>
        </w:tabs>
        <w:ind w:left="720" w:hanging="360"/>
      </w:pPr>
      <w:rPr>
        <w:rFonts w:ascii="Arial" w:hAnsi="Arial" w:hint="default"/>
      </w:rPr>
    </w:lvl>
    <w:lvl w:ilvl="1" w:tplc="3EF0CFE2">
      <w:numFmt w:val="bullet"/>
      <w:lvlText w:val="–"/>
      <w:lvlJc w:val="left"/>
      <w:pPr>
        <w:tabs>
          <w:tab w:val="num" w:pos="1440"/>
        </w:tabs>
        <w:ind w:left="1440" w:hanging="360"/>
      </w:pPr>
      <w:rPr>
        <w:rFonts w:ascii="Arial" w:hAnsi="Arial" w:hint="default"/>
      </w:rPr>
    </w:lvl>
    <w:lvl w:ilvl="2" w:tplc="C1DCC4AA" w:tentative="1">
      <w:start w:val="1"/>
      <w:numFmt w:val="bullet"/>
      <w:lvlText w:val="•"/>
      <w:lvlJc w:val="left"/>
      <w:pPr>
        <w:tabs>
          <w:tab w:val="num" w:pos="2160"/>
        </w:tabs>
        <w:ind w:left="2160" w:hanging="360"/>
      </w:pPr>
      <w:rPr>
        <w:rFonts w:ascii="Arial" w:hAnsi="Arial" w:hint="default"/>
      </w:rPr>
    </w:lvl>
    <w:lvl w:ilvl="3" w:tplc="6A1C0E62" w:tentative="1">
      <w:start w:val="1"/>
      <w:numFmt w:val="bullet"/>
      <w:lvlText w:val="•"/>
      <w:lvlJc w:val="left"/>
      <w:pPr>
        <w:tabs>
          <w:tab w:val="num" w:pos="2880"/>
        </w:tabs>
        <w:ind w:left="2880" w:hanging="360"/>
      </w:pPr>
      <w:rPr>
        <w:rFonts w:ascii="Arial" w:hAnsi="Arial" w:hint="default"/>
      </w:rPr>
    </w:lvl>
    <w:lvl w:ilvl="4" w:tplc="4C06E8A8" w:tentative="1">
      <w:start w:val="1"/>
      <w:numFmt w:val="bullet"/>
      <w:lvlText w:val="•"/>
      <w:lvlJc w:val="left"/>
      <w:pPr>
        <w:tabs>
          <w:tab w:val="num" w:pos="3600"/>
        </w:tabs>
        <w:ind w:left="3600" w:hanging="360"/>
      </w:pPr>
      <w:rPr>
        <w:rFonts w:ascii="Arial" w:hAnsi="Arial" w:hint="default"/>
      </w:rPr>
    </w:lvl>
    <w:lvl w:ilvl="5" w:tplc="FCF61528" w:tentative="1">
      <w:start w:val="1"/>
      <w:numFmt w:val="bullet"/>
      <w:lvlText w:val="•"/>
      <w:lvlJc w:val="left"/>
      <w:pPr>
        <w:tabs>
          <w:tab w:val="num" w:pos="4320"/>
        </w:tabs>
        <w:ind w:left="4320" w:hanging="360"/>
      </w:pPr>
      <w:rPr>
        <w:rFonts w:ascii="Arial" w:hAnsi="Arial" w:hint="default"/>
      </w:rPr>
    </w:lvl>
    <w:lvl w:ilvl="6" w:tplc="E06C49D0" w:tentative="1">
      <w:start w:val="1"/>
      <w:numFmt w:val="bullet"/>
      <w:lvlText w:val="•"/>
      <w:lvlJc w:val="left"/>
      <w:pPr>
        <w:tabs>
          <w:tab w:val="num" w:pos="5040"/>
        </w:tabs>
        <w:ind w:left="5040" w:hanging="360"/>
      </w:pPr>
      <w:rPr>
        <w:rFonts w:ascii="Arial" w:hAnsi="Arial" w:hint="default"/>
      </w:rPr>
    </w:lvl>
    <w:lvl w:ilvl="7" w:tplc="491ACC56" w:tentative="1">
      <w:start w:val="1"/>
      <w:numFmt w:val="bullet"/>
      <w:lvlText w:val="•"/>
      <w:lvlJc w:val="left"/>
      <w:pPr>
        <w:tabs>
          <w:tab w:val="num" w:pos="5760"/>
        </w:tabs>
        <w:ind w:left="5760" w:hanging="360"/>
      </w:pPr>
      <w:rPr>
        <w:rFonts w:ascii="Arial" w:hAnsi="Arial" w:hint="default"/>
      </w:rPr>
    </w:lvl>
    <w:lvl w:ilvl="8" w:tplc="88B63D1C" w:tentative="1">
      <w:start w:val="1"/>
      <w:numFmt w:val="bullet"/>
      <w:lvlText w:val="•"/>
      <w:lvlJc w:val="left"/>
      <w:pPr>
        <w:tabs>
          <w:tab w:val="num" w:pos="6480"/>
        </w:tabs>
        <w:ind w:left="6480" w:hanging="360"/>
      </w:pPr>
      <w:rPr>
        <w:rFonts w:ascii="Arial" w:hAnsi="Arial" w:hint="default"/>
      </w:rPr>
    </w:lvl>
  </w:abstractNum>
  <w:abstractNum w:abstractNumId="4">
    <w:nsid w:val="67F90DA1"/>
    <w:multiLevelType w:val="hybridMultilevel"/>
    <w:tmpl w:val="10A6FF8C"/>
    <w:lvl w:ilvl="0" w:tplc="2ABA6D62">
      <w:start w:val="1"/>
      <w:numFmt w:val="bullet"/>
      <w:lvlText w:val="–"/>
      <w:lvlJc w:val="left"/>
      <w:pPr>
        <w:tabs>
          <w:tab w:val="num" w:pos="720"/>
        </w:tabs>
        <w:ind w:left="720" w:hanging="360"/>
      </w:pPr>
      <w:rPr>
        <w:rFonts w:ascii="Arial" w:hAnsi="Arial" w:hint="default"/>
      </w:rPr>
    </w:lvl>
    <w:lvl w:ilvl="1" w:tplc="DC58C27A">
      <w:start w:val="1"/>
      <w:numFmt w:val="bullet"/>
      <w:lvlText w:val="–"/>
      <w:lvlJc w:val="left"/>
      <w:pPr>
        <w:tabs>
          <w:tab w:val="num" w:pos="1440"/>
        </w:tabs>
        <w:ind w:left="1440" w:hanging="360"/>
      </w:pPr>
      <w:rPr>
        <w:rFonts w:ascii="Arial" w:hAnsi="Arial" w:hint="default"/>
      </w:rPr>
    </w:lvl>
    <w:lvl w:ilvl="2" w:tplc="6612322A" w:tentative="1">
      <w:start w:val="1"/>
      <w:numFmt w:val="bullet"/>
      <w:lvlText w:val="–"/>
      <w:lvlJc w:val="left"/>
      <w:pPr>
        <w:tabs>
          <w:tab w:val="num" w:pos="2160"/>
        </w:tabs>
        <w:ind w:left="2160" w:hanging="360"/>
      </w:pPr>
      <w:rPr>
        <w:rFonts w:ascii="Arial" w:hAnsi="Arial" w:hint="default"/>
      </w:rPr>
    </w:lvl>
    <w:lvl w:ilvl="3" w:tplc="DF7C3DEA" w:tentative="1">
      <w:start w:val="1"/>
      <w:numFmt w:val="bullet"/>
      <w:lvlText w:val="–"/>
      <w:lvlJc w:val="left"/>
      <w:pPr>
        <w:tabs>
          <w:tab w:val="num" w:pos="2880"/>
        </w:tabs>
        <w:ind w:left="2880" w:hanging="360"/>
      </w:pPr>
      <w:rPr>
        <w:rFonts w:ascii="Arial" w:hAnsi="Arial" w:hint="default"/>
      </w:rPr>
    </w:lvl>
    <w:lvl w:ilvl="4" w:tplc="AA3EA98C" w:tentative="1">
      <w:start w:val="1"/>
      <w:numFmt w:val="bullet"/>
      <w:lvlText w:val="–"/>
      <w:lvlJc w:val="left"/>
      <w:pPr>
        <w:tabs>
          <w:tab w:val="num" w:pos="3600"/>
        </w:tabs>
        <w:ind w:left="3600" w:hanging="360"/>
      </w:pPr>
      <w:rPr>
        <w:rFonts w:ascii="Arial" w:hAnsi="Arial" w:hint="default"/>
      </w:rPr>
    </w:lvl>
    <w:lvl w:ilvl="5" w:tplc="EF701BA4" w:tentative="1">
      <w:start w:val="1"/>
      <w:numFmt w:val="bullet"/>
      <w:lvlText w:val="–"/>
      <w:lvlJc w:val="left"/>
      <w:pPr>
        <w:tabs>
          <w:tab w:val="num" w:pos="4320"/>
        </w:tabs>
        <w:ind w:left="4320" w:hanging="360"/>
      </w:pPr>
      <w:rPr>
        <w:rFonts w:ascii="Arial" w:hAnsi="Arial" w:hint="default"/>
      </w:rPr>
    </w:lvl>
    <w:lvl w:ilvl="6" w:tplc="DBF62052" w:tentative="1">
      <w:start w:val="1"/>
      <w:numFmt w:val="bullet"/>
      <w:lvlText w:val="–"/>
      <w:lvlJc w:val="left"/>
      <w:pPr>
        <w:tabs>
          <w:tab w:val="num" w:pos="5040"/>
        </w:tabs>
        <w:ind w:left="5040" w:hanging="360"/>
      </w:pPr>
      <w:rPr>
        <w:rFonts w:ascii="Arial" w:hAnsi="Arial" w:hint="default"/>
      </w:rPr>
    </w:lvl>
    <w:lvl w:ilvl="7" w:tplc="6D6079D8" w:tentative="1">
      <w:start w:val="1"/>
      <w:numFmt w:val="bullet"/>
      <w:lvlText w:val="–"/>
      <w:lvlJc w:val="left"/>
      <w:pPr>
        <w:tabs>
          <w:tab w:val="num" w:pos="5760"/>
        </w:tabs>
        <w:ind w:left="5760" w:hanging="360"/>
      </w:pPr>
      <w:rPr>
        <w:rFonts w:ascii="Arial" w:hAnsi="Arial" w:hint="default"/>
      </w:rPr>
    </w:lvl>
    <w:lvl w:ilvl="8" w:tplc="B5A615F4" w:tentative="1">
      <w:start w:val="1"/>
      <w:numFmt w:val="bullet"/>
      <w:lvlText w:val="–"/>
      <w:lvlJc w:val="left"/>
      <w:pPr>
        <w:tabs>
          <w:tab w:val="num" w:pos="6480"/>
        </w:tabs>
        <w:ind w:left="6480" w:hanging="360"/>
      </w:pPr>
      <w:rPr>
        <w:rFonts w:ascii="Arial" w:hAnsi="Arial" w:hint="default"/>
      </w:rPr>
    </w:lvl>
  </w:abstractNum>
  <w:abstractNum w:abstractNumId="5">
    <w:nsid w:val="77DD3ACD"/>
    <w:multiLevelType w:val="hybridMultilevel"/>
    <w:tmpl w:val="2AFA3032"/>
    <w:lvl w:ilvl="0" w:tplc="7C542A64">
      <w:start w:val="1"/>
      <w:numFmt w:val="bullet"/>
      <w:lvlText w:val="•"/>
      <w:lvlJc w:val="left"/>
      <w:pPr>
        <w:tabs>
          <w:tab w:val="num" w:pos="720"/>
        </w:tabs>
        <w:ind w:left="720" w:hanging="360"/>
      </w:pPr>
      <w:rPr>
        <w:rFonts w:ascii="Arial" w:hAnsi="Arial" w:hint="default"/>
      </w:rPr>
    </w:lvl>
    <w:lvl w:ilvl="1" w:tplc="A2C4DEBA">
      <w:numFmt w:val="bullet"/>
      <w:lvlText w:val="–"/>
      <w:lvlJc w:val="left"/>
      <w:pPr>
        <w:tabs>
          <w:tab w:val="num" w:pos="1440"/>
        </w:tabs>
        <w:ind w:left="1440" w:hanging="360"/>
      </w:pPr>
      <w:rPr>
        <w:rFonts w:ascii="Arial" w:hAnsi="Arial" w:hint="default"/>
      </w:rPr>
    </w:lvl>
    <w:lvl w:ilvl="2" w:tplc="19E273DE" w:tentative="1">
      <w:start w:val="1"/>
      <w:numFmt w:val="bullet"/>
      <w:lvlText w:val="•"/>
      <w:lvlJc w:val="left"/>
      <w:pPr>
        <w:tabs>
          <w:tab w:val="num" w:pos="2160"/>
        </w:tabs>
        <w:ind w:left="2160" w:hanging="360"/>
      </w:pPr>
      <w:rPr>
        <w:rFonts w:ascii="Arial" w:hAnsi="Arial" w:hint="default"/>
      </w:rPr>
    </w:lvl>
    <w:lvl w:ilvl="3" w:tplc="8740222A" w:tentative="1">
      <w:start w:val="1"/>
      <w:numFmt w:val="bullet"/>
      <w:lvlText w:val="•"/>
      <w:lvlJc w:val="left"/>
      <w:pPr>
        <w:tabs>
          <w:tab w:val="num" w:pos="2880"/>
        </w:tabs>
        <w:ind w:left="2880" w:hanging="360"/>
      </w:pPr>
      <w:rPr>
        <w:rFonts w:ascii="Arial" w:hAnsi="Arial" w:hint="default"/>
      </w:rPr>
    </w:lvl>
    <w:lvl w:ilvl="4" w:tplc="F7F8A2A0" w:tentative="1">
      <w:start w:val="1"/>
      <w:numFmt w:val="bullet"/>
      <w:lvlText w:val="•"/>
      <w:lvlJc w:val="left"/>
      <w:pPr>
        <w:tabs>
          <w:tab w:val="num" w:pos="3600"/>
        </w:tabs>
        <w:ind w:left="3600" w:hanging="360"/>
      </w:pPr>
      <w:rPr>
        <w:rFonts w:ascii="Arial" w:hAnsi="Arial" w:hint="default"/>
      </w:rPr>
    </w:lvl>
    <w:lvl w:ilvl="5" w:tplc="84B0FB88" w:tentative="1">
      <w:start w:val="1"/>
      <w:numFmt w:val="bullet"/>
      <w:lvlText w:val="•"/>
      <w:lvlJc w:val="left"/>
      <w:pPr>
        <w:tabs>
          <w:tab w:val="num" w:pos="4320"/>
        </w:tabs>
        <w:ind w:left="4320" w:hanging="360"/>
      </w:pPr>
      <w:rPr>
        <w:rFonts w:ascii="Arial" w:hAnsi="Arial" w:hint="default"/>
      </w:rPr>
    </w:lvl>
    <w:lvl w:ilvl="6" w:tplc="2CC85CDE" w:tentative="1">
      <w:start w:val="1"/>
      <w:numFmt w:val="bullet"/>
      <w:lvlText w:val="•"/>
      <w:lvlJc w:val="left"/>
      <w:pPr>
        <w:tabs>
          <w:tab w:val="num" w:pos="5040"/>
        </w:tabs>
        <w:ind w:left="5040" w:hanging="360"/>
      </w:pPr>
      <w:rPr>
        <w:rFonts w:ascii="Arial" w:hAnsi="Arial" w:hint="default"/>
      </w:rPr>
    </w:lvl>
    <w:lvl w:ilvl="7" w:tplc="0BAAE846" w:tentative="1">
      <w:start w:val="1"/>
      <w:numFmt w:val="bullet"/>
      <w:lvlText w:val="•"/>
      <w:lvlJc w:val="left"/>
      <w:pPr>
        <w:tabs>
          <w:tab w:val="num" w:pos="5760"/>
        </w:tabs>
        <w:ind w:left="5760" w:hanging="360"/>
      </w:pPr>
      <w:rPr>
        <w:rFonts w:ascii="Arial" w:hAnsi="Arial" w:hint="default"/>
      </w:rPr>
    </w:lvl>
    <w:lvl w:ilvl="8" w:tplc="51546720"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FBB"/>
    <w:rsid w:val="00001CB3"/>
    <w:rsid w:val="0000699E"/>
    <w:rsid w:val="0000792B"/>
    <w:rsid w:val="00020B63"/>
    <w:rsid w:val="00024200"/>
    <w:rsid w:val="00025297"/>
    <w:rsid w:val="00026E1D"/>
    <w:rsid w:val="00036455"/>
    <w:rsid w:val="00040CAF"/>
    <w:rsid w:val="0004180F"/>
    <w:rsid w:val="00044B3A"/>
    <w:rsid w:val="00046CB1"/>
    <w:rsid w:val="000503A4"/>
    <w:rsid w:val="00057C55"/>
    <w:rsid w:val="000621EF"/>
    <w:rsid w:val="000625DB"/>
    <w:rsid w:val="00066483"/>
    <w:rsid w:val="00075503"/>
    <w:rsid w:val="000809FF"/>
    <w:rsid w:val="00084C13"/>
    <w:rsid w:val="0009174C"/>
    <w:rsid w:val="000B19B6"/>
    <w:rsid w:val="000C0180"/>
    <w:rsid w:val="000C3F5B"/>
    <w:rsid w:val="000C722A"/>
    <w:rsid w:val="000D0219"/>
    <w:rsid w:val="000D0A13"/>
    <w:rsid w:val="000D2906"/>
    <w:rsid w:val="000D2F09"/>
    <w:rsid w:val="000D3D75"/>
    <w:rsid w:val="000D4099"/>
    <w:rsid w:val="000E1033"/>
    <w:rsid w:val="000E5DC5"/>
    <w:rsid w:val="00107873"/>
    <w:rsid w:val="00114A70"/>
    <w:rsid w:val="00116CA8"/>
    <w:rsid w:val="00117FB9"/>
    <w:rsid w:val="00134BB3"/>
    <w:rsid w:val="0013545D"/>
    <w:rsid w:val="00142231"/>
    <w:rsid w:val="001425D7"/>
    <w:rsid w:val="00146B4C"/>
    <w:rsid w:val="00147962"/>
    <w:rsid w:val="001577D1"/>
    <w:rsid w:val="001716F1"/>
    <w:rsid w:val="00174B7C"/>
    <w:rsid w:val="00183713"/>
    <w:rsid w:val="001916AA"/>
    <w:rsid w:val="001919EF"/>
    <w:rsid w:val="0019353D"/>
    <w:rsid w:val="001B2FF6"/>
    <w:rsid w:val="001B54B6"/>
    <w:rsid w:val="001C340B"/>
    <w:rsid w:val="001C5765"/>
    <w:rsid w:val="001C590E"/>
    <w:rsid w:val="001C64BC"/>
    <w:rsid w:val="001D1093"/>
    <w:rsid w:val="001D16F6"/>
    <w:rsid w:val="001D57C3"/>
    <w:rsid w:val="001E18D3"/>
    <w:rsid w:val="001E29FA"/>
    <w:rsid w:val="001E2A32"/>
    <w:rsid w:val="00201430"/>
    <w:rsid w:val="0020186D"/>
    <w:rsid w:val="00212CCB"/>
    <w:rsid w:val="0022420F"/>
    <w:rsid w:val="00224B98"/>
    <w:rsid w:val="00227E60"/>
    <w:rsid w:val="00232AEA"/>
    <w:rsid w:val="00237ACF"/>
    <w:rsid w:val="00240778"/>
    <w:rsid w:val="00240986"/>
    <w:rsid w:val="002508C3"/>
    <w:rsid w:val="002568F0"/>
    <w:rsid w:val="00256AB7"/>
    <w:rsid w:val="00262D20"/>
    <w:rsid w:val="00264234"/>
    <w:rsid w:val="0026431B"/>
    <w:rsid w:val="00266ECA"/>
    <w:rsid w:val="00271C5A"/>
    <w:rsid w:val="00272F22"/>
    <w:rsid w:val="00277E75"/>
    <w:rsid w:val="00286A7A"/>
    <w:rsid w:val="00293203"/>
    <w:rsid w:val="00295326"/>
    <w:rsid w:val="00296900"/>
    <w:rsid w:val="002A04FB"/>
    <w:rsid w:val="002A0905"/>
    <w:rsid w:val="002A4DE3"/>
    <w:rsid w:val="002B525C"/>
    <w:rsid w:val="002B6AEC"/>
    <w:rsid w:val="002D7AAE"/>
    <w:rsid w:val="002E0C17"/>
    <w:rsid w:val="002E1501"/>
    <w:rsid w:val="002E20FE"/>
    <w:rsid w:val="002E52E0"/>
    <w:rsid w:val="002E5C7B"/>
    <w:rsid w:val="002E72EA"/>
    <w:rsid w:val="00301532"/>
    <w:rsid w:val="00303B90"/>
    <w:rsid w:val="00320170"/>
    <w:rsid w:val="00320B19"/>
    <w:rsid w:val="00327814"/>
    <w:rsid w:val="00332364"/>
    <w:rsid w:val="00333847"/>
    <w:rsid w:val="00334533"/>
    <w:rsid w:val="00344AB0"/>
    <w:rsid w:val="00350DFB"/>
    <w:rsid w:val="003605C8"/>
    <w:rsid w:val="00361184"/>
    <w:rsid w:val="00362C3A"/>
    <w:rsid w:val="00365A5F"/>
    <w:rsid w:val="003776B1"/>
    <w:rsid w:val="00380301"/>
    <w:rsid w:val="003A3955"/>
    <w:rsid w:val="003A694B"/>
    <w:rsid w:val="003A7416"/>
    <w:rsid w:val="003B1FBA"/>
    <w:rsid w:val="003C1144"/>
    <w:rsid w:val="003C2A39"/>
    <w:rsid w:val="003E118D"/>
    <w:rsid w:val="003E3D8F"/>
    <w:rsid w:val="003F1510"/>
    <w:rsid w:val="003F203A"/>
    <w:rsid w:val="003F6AB9"/>
    <w:rsid w:val="004011A4"/>
    <w:rsid w:val="0041720F"/>
    <w:rsid w:val="00422B79"/>
    <w:rsid w:val="004231A6"/>
    <w:rsid w:val="00424CA3"/>
    <w:rsid w:val="0043068E"/>
    <w:rsid w:val="00430857"/>
    <w:rsid w:val="0043727C"/>
    <w:rsid w:val="00445019"/>
    <w:rsid w:val="00445EB3"/>
    <w:rsid w:val="00446A22"/>
    <w:rsid w:val="00446D1C"/>
    <w:rsid w:val="00460CEA"/>
    <w:rsid w:val="00462526"/>
    <w:rsid w:val="00466012"/>
    <w:rsid w:val="00471710"/>
    <w:rsid w:val="00473C1B"/>
    <w:rsid w:val="00475978"/>
    <w:rsid w:val="00483A86"/>
    <w:rsid w:val="004A4671"/>
    <w:rsid w:val="004B1378"/>
    <w:rsid w:val="004C2277"/>
    <w:rsid w:val="004C2AE8"/>
    <w:rsid w:val="004C5221"/>
    <w:rsid w:val="004C5DFC"/>
    <w:rsid w:val="004D145E"/>
    <w:rsid w:val="004D5A29"/>
    <w:rsid w:val="004E2DEA"/>
    <w:rsid w:val="004F259D"/>
    <w:rsid w:val="004F3A95"/>
    <w:rsid w:val="004F79ED"/>
    <w:rsid w:val="00502598"/>
    <w:rsid w:val="00511CDA"/>
    <w:rsid w:val="00515DBF"/>
    <w:rsid w:val="0051680F"/>
    <w:rsid w:val="0053358D"/>
    <w:rsid w:val="00537E86"/>
    <w:rsid w:val="00553920"/>
    <w:rsid w:val="00553E71"/>
    <w:rsid w:val="00564BA2"/>
    <w:rsid w:val="00571091"/>
    <w:rsid w:val="00572074"/>
    <w:rsid w:val="0057298E"/>
    <w:rsid w:val="00574D97"/>
    <w:rsid w:val="00583D4F"/>
    <w:rsid w:val="00585BEE"/>
    <w:rsid w:val="00586E7C"/>
    <w:rsid w:val="005957A8"/>
    <w:rsid w:val="005A57ED"/>
    <w:rsid w:val="005B7FE5"/>
    <w:rsid w:val="005D4152"/>
    <w:rsid w:val="005D4DD2"/>
    <w:rsid w:val="005E370A"/>
    <w:rsid w:val="005E4C80"/>
    <w:rsid w:val="005E7E66"/>
    <w:rsid w:val="005F0408"/>
    <w:rsid w:val="005F32E7"/>
    <w:rsid w:val="005F3437"/>
    <w:rsid w:val="005F36E1"/>
    <w:rsid w:val="005F5D50"/>
    <w:rsid w:val="005F7748"/>
    <w:rsid w:val="006014E8"/>
    <w:rsid w:val="00603EF0"/>
    <w:rsid w:val="006063DF"/>
    <w:rsid w:val="00606646"/>
    <w:rsid w:val="00612622"/>
    <w:rsid w:val="00612E64"/>
    <w:rsid w:val="00613638"/>
    <w:rsid w:val="00615EE2"/>
    <w:rsid w:val="00616355"/>
    <w:rsid w:val="00622C1F"/>
    <w:rsid w:val="006251F8"/>
    <w:rsid w:val="00626729"/>
    <w:rsid w:val="00636780"/>
    <w:rsid w:val="00651B44"/>
    <w:rsid w:val="006617F9"/>
    <w:rsid w:val="00665B65"/>
    <w:rsid w:val="00670EC9"/>
    <w:rsid w:val="006724E8"/>
    <w:rsid w:val="00672EF1"/>
    <w:rsid w:val="00691E4F"/>
    <w:rsid w:val="0069443F"/>
    <w:rsid w:val="0069756E"/>
    <w:rsid w:val="00697869"/>
    <w:rsid w:val="006A09B6"/>
    <w:rsid w:val="006A0FA8"/>
    <w:rsid w:val="006A54D9"/>
    <w:rsid w:val="006A5A62"/>
    <w:rsid w:val="006B05F7"/>
    <w:rsid w:val="006B08CE"/>
    <w:rsid w:val="006B1FC2"/>
    <w:rsid w:val="006B34B6"/>
    <w:rsid w:val="006B3F0B"/>
    <w:rsid w:val="006B405A"/>
    <w:rsid w:val="006D43CB"/>
    <w:rsid w:val="006E1423"/>
    <w:rsid w:val="006E21D5"/>
    <w:rsid w:val="006E5922"/>
    <w:rsid w:val="006F213D"/>
    <w:rsid w:val="006F6F06"/>
    <w:rsid w:val="006F7921"/>
    <w:rsid w:val="007070AC"/>
    <w:rsid w:val="00714A41"/>
    <w:rsid w:val="007276A0"/>
    <w:rsid w:val="00732579"/>
    <w:rsid w:val="0073272F"/>
    <w:rsid w:val="00744DB7"/>
    <w:rsid w:val="00750C18"/>
    <w:rsid w:val="00752E37"/>
    <w:rsid w:val="00756694"/>
    <w:rsid w:val="00760D8B"/>
    <w:rsid w:val="0077258D"/>
    <w:rsid w:val="00776B90"/>
    <w:rsid w:val="00782693"/>
    <w:rsid w:val="00790651"/>
    <w:rsid w:val="00791E76"/>
    <w:rsid w:val="007957B2"/>
    <w:rsid w:val="00796B48"/>
    <w:rsid w:val="00797C18"/>
    <w:rsid w:val="007A070B"/>
    <w:rsid w:val="007A2CFD"/>
    <w:rsid w:val="007A6052"/>
    <w:rsid w:val="007A644A"/>
    <w:rsid w:val="007B291B"/>
    <w:rsid w:val="007B73D1"/>
    <w:rsid w:val="007C214B"/>
    <w:rsid w:val="007C23F4"/>
    <w:rsid w:val="007C478E"/>
    <w:rsid w:val="007C7DEF"/>
    <w:rsid w:val="007D4E82"/>
    <w:rsid w:val="007D787B"/>
    <w:rsid w:val="007E0DC1"/>
    <w:rsid w:val="007E3E69"/>
    <w:rsid w:val="007E5C93"/>
    <w:rsid w:val="007F3387"/>
    <w:rsid w:val="007F72FE"/>
    <w:rsid w:val="007F763F"/>
    <w:rsid w:val="00800B4A"/>
    <w:rsid w:val="00810D5C"/>
    <w:rsid w:val="00824AC2"/>
    <w:rsid w:val="00826348"/>
    <w:rsid w:val="0083437E"/>
    <w:rsid w:val="00836513"/>
    <w:rsid w:val="008423C8"/>
    <w:rsid w:val="00843CC4"/>
    <w:rsid w:val="008513A8"/>
    <w:rsid w:val="00862697"/>
    <w:rsid w:val="00862AD6"/>
    <w:rsid w:val="0086483B"/>
    <w:rsid w:val="00864B2D"/>
    <w:rsid w:val="00865B6A"/>
    <w:rsid w:val="00874229"/>
    <w:rsid w:val="008812C3"/>
    <w:rsid w:val="0088379A"/>
    <w:rsid w:val="00884921"/>
    <w:rsid w:val="008854F1"/>
    <w:rsid w:val="00887056"/>
    <w:rsid w:val="00887C4B"/>
    <w:rsid w:val="008A1465"/>
    <w:rsid w:val="008A1DDA"/>
    <w:rsid w:val="008A3C5B"/>
    <w:rsid w:val="008A3FBB"/>
    <w:rsid w:val="008A7B3A"/>
    <w:rsid w:val="008C199C"/>
    <w:rsid w:val="008C55DE"/>
    <w:rsid w:val="008C5851"/>
    <w:rsid w:val="008C5EFA"/>
    <w:rsid w:val="008C7A82"/>
    <w:rsid w:val="008D451F"/>
    <w:rsid w:val="008E35BB"/>
    <w:rsid w:val="008F0E71"/>
    <w:rsid w:val="008F5F49"/>
    <w:rsid w:val="009033AF"/>
    <w:rsid w:val="0091057B"/>
    <w:rsid w:val="00911F35"/>
    <w:rsid w:val="00940D38"/>
    <w:rsid w:val="00944C15"/>
    <w:rsid w:val="00955FB8"/>
    <w:rsid w:val="00961702"/>
    <w:rsid w:val="0096636F"/>
    <w:rsid w:val="00966A97"/>
    <w:rsid w:val="00982209"/>
    <w:rsid w:val="009850F5"/>
    <w:rsid w:val="00985E0C"/>
    <w:rsid w:val="00986801"/>
    <w:rsid w:val="009A5DAA"/>
    <w:rsid w:val="009A7ACB"/>
    <w:rsid w:val="009B7DEF"/>
    <w:rsid w:val="009C0105"/>
    <w:rsid w:val="009C2457"/>
    <w:rsid w:val="009D132C"/>
    <w:rsid w:val="009D229E"/>
    <w:rsid w:val="009D2886"/>
    <w:rsid w:val="009E1A3D"/>
    <w:rsid w:val="009F2401"/>
    <w:rsid w:val="009F6C03"/>
    <w:rsid w:val="009F7281"/>
    <w:rsid w:val="009F7AE1"/>
    <w:rsid w:val="00A02FE6"/>
    <w:rsid w:val="00A05795"/>
    <w:rsid w:val="00A11C8E"/>
    <w:rsid w:val="00A12374"/>
    <w:rsid w:val="00A141C6"/>
    <w:rsid w:val="00A20DFF"/>
    <w:rsid w:val="00A24A76"/>
    <w:rsid w:val="00A25B01"/>
    <w:rsid w:val="00A40BBF"/>
    <w:rsid w:val="00A41754"/>
    <w:rsid w:val="00A47396"/>
    <w:rsid w:val="00A53B0D"/>
    <w:rsid w:val="00A86F85"/>
    <w:rsid w:val="00A87C7E"/>
    <w:rsid w:val="00A96220"/>
    <w:rsid w:val="00AA2F61"/>
    <w:rsid w:val="00AA60BB"/>
    <w:rsid w:val="00AC0450"/>
    <w:rsid w:val="00AC68A3"/>
    <w:rsid w:val="00AC76D8"/>
    <w:rsid w:val="00AD1500"/>
    <w:rsid w:val="00AD1AA6"/>
    <w:rsid w:val="00AD51A0"/>
    <w:rsid w:val="00AD5E0E"/>
    <w:rsid w:val="00AD6803"/>
    <w:rsid w:val="00AD6F4B"/>
    <w:rsid w:val="00AE0AA3"/>
    <w:rsid w:val="00AE6575"/>
    <w:rsid w:val="00AF0D39"/>
    <w:rsid w:val="00AF3701"/>
    <w:rsid w:val="00AF5D6B"/>
    <w:rsid w:val="00AF6556"/>
    <w:rsid w:val="00AF6722"/>
    <w:rsid w:val="00B01739"/>
    <w:rsid w:val="00B10DAB"/>
    <w:rsid w:val="00B115C8"/>
    <w:rsid w:val="00B12CD2"/>
    <w:rsid w:val="00B13482"/>
    <w:rsid w:val="00B13DA5"/>
    <w:rsid w:val="00B158CC"/>
    <w:rsid w:val="00B46A66"/>
    <w:rsid w:val="00B5208C"/>
    <w:rsid w:val="00B55285"/>
    <w:rsid w:val="00B55DF0"/>
    <w:rsid w:val="00B62F98"/>
    <w:rsid w:val="00B64EF5"/>
    <w:rsid w:val="00B73D69"/>
    <w:rsid w:val="00B75FD6"/>
    <w:rsid w:val="00B76094"/>
    <w:rsid w:val="00B84DE5"/>
    <w:rsid w:val="00B92214"/>
    <w:rsid w:val="00B93E33"/>
    <w:rsid w:val="00B95669"/>
    <w:rsid w:val="00B967E6"/>
    <w:rsid w:val="00B97168"/>
    <w:rsid w:val="00BA4B73"/>
    <w:rsid w:val="00BA5B01"/>
    <w:rsid w:val="00BB63AC"/>
    <w:rsid w:val="00BC46B5"/>
    <w:rsid w:val="00BC4CB2"/>
    <w:rsid w:val="00BC78DA"/>
    <w:rsid w:val="00BD00C6"/>
    <w:rsid w:val="00BD29E8"/>
    <w:rsid w:val="00BE177D"/>
    <w:rsid w:val="00BE3395"/>
    <w:rsid w:val="00BE34DA"/>
    <w:rsid w:val="00C0368E"/>
    <w:rsid w:val="00C12B11"/>
    <w:rsid w:val="00C15F52"/>
    <w:rsid w:val="00C20859"/>
    <w:rsid w:val="00C24785"/>
    <w:rsid w:val="00C31DE7"/>
    <w:rsid w:val="00C40C3F"/>
    <w:rsid w:val="00C40E67"/>
    <w:rsid w:val="00C41399"/>
    <w:rsid w:val="00C420BF"/>
    <w:rsid w:val="00C47AEA"/>
    <w:rsid w:val="00C54549"/>
    <w:rsid w:val="00C54726"/>
    <w:rsid w:val="00C57F6C"/>
    <w:rsid w:val="00C60B41"/>
    <w:rsid w:val="00C65388"/>
    <w:rsid w:val="00C66797"/>
    <w:rsid w:val="00C71159"/>
    <w:rsid w:val="00C747C2"/>
    <w:rsid w:val="00C75518"/>
    <w:rsid w:val="00C77814"/>
    <w:rsid w:val="00C84199"/>
    <w:rsid w:val="00C855F7"/>
    <w:rsid w:val="00C91E08"/>
    <w:rsid w:val="00C92CB9"/>
    <w:rsid w:val="00C957AF"/>
    <w:rsid w:val="00CA1D97"/>
    <w:rsid w:val="00CA233F"/>
    <w:rsid w:val="00CA3C3E"/>
    <w:rsid w:val="00CA3D52"/>
    <w:rsid w:val="00CB3F3E"/>
    <w:rsid w:val="00CB5BA4"/>
    <w:rsid w:val="00CC4765"/>
    <w:rsid w:val="00CC6F98"/>
    <w:rsid w:val="00CD2FF1"/>
    <w:rsid w:val="00CD49DD"/>
    <w:rsid w:val="00CD6511"/>
    <w:rsid w:val="00CE594D"/>
    <w:rsid w:val="00CF197D"/>
    <w:rsid w:val="00CF55B0"/>
    <w:rsid w:val="00CF6BCC"/>
    <w:rsid w:val="00D02F10"/>
    <w:rsid w:val="00D036E4"/>
    <w:rsid w:val="00D0495D"/>
    <w:rsid w:val="00D06E76"/>
    <w:rsid w:val="00D1064D"/>
    <w:rsid w:val="00D13E07"/>
    <w:rsid w:val="00D15B2A"/>
    <w:rsid w:val="00D16D82"/>
    <w:rsid w:val="00D24650"/>
    <w:rsid w:val="00D402D3"/>
    <w:rsid w:val="00D45C97"/>
    <w:rsid w:val="00D507C7"/>
    <w:rsid w:val="00D54285"/>
    <w:rsid w:val="00D57E7D"/>
    <w:rsid w:val="00D57F25"/>
    <w:rsid w:val="00D71815"/>
    <w:rsid w:val="00D71D7C"/>
    <w:rsid w:val="00D74BA4"/>
    <w:rsid w:val="00D93320"/>
    <w:rsid w:val="00D93468"/>
    <w:rsid w:val="00D93896"/>
    <w:rsid w:val="00D95BE4"/>
    <w:rsid w:val="00D9729D"/>
    <w:rsid w:val="00DA003C"/>
    <w:rsid w:val="00DA2436"/>
    <w:rsid w:val="00DA5988"/>
    <w:rsid w:val="00DA7C61"/>
    <w:rsid w:val="00DB184B"/>
    <w:rsid w:val="00DB6492"/>
    <w:rsid w:val="00DC0846"/>
    <w:rsid w:val="00DC09DA"/>
    <w:rsid w:val="00DE48F1"/>
    <w:rsid w:val="00DF16EF"/>
    <w:rsid w:val="00DF748C"/>
    <w:rsid w:val="00DF7BF0"/>
    <w:rsid w:val="00DF7D6F"/>
    <w:rsid w:val="00E0718C"/>
    <w:rsid w:val="00E07999"/>
    <w:rsid w:val="00E13AF0"/>
    <w:rsid w:val="00E22968"/>
    <w:rsid w:val="00E25771"/>
    <w:rsid w:val="00E2657C"/>
    <w:rsid w:val="00E26599"/>
    <w:rsid w:val="00E30E4A"/>
    <w:rsid w:val="00E36D4F"/>
    <w:rsid w:val="00E419F1"/>
    <w:rsid w:val="00E4726C"/>
    <w:rsid w:val="00E47851"/>
    <w:rsid w:val="00E5344B"/>
    <w:rsid w:val="00E66EB1"/>
    <w:rsid w:val="00E718BB"/>
    <w:rsid w:val="00E74883"/>
    <w:rsid w:val="00E757EC"/>
    <w:rsid w:val="00E84914"/>
    <w:rsid w:val="00E927A1"/>
    <w:rsid w:val="00E9376F"/>
    <w:rsid w:val="00E97645"/>
    <w:rsid w:val="00EA1C12"/>
    <w:rsid w:val="00EA2B37"/>
    <w:rsid w:val="00EA3D5D"/>
    <w:rsid w:val="00EA4E31"/>
    <w:rsid w:val="00EA76EA"/>
    <w:rsid w:val="00EA7E0F"/>
    <w:rsid w:val="00EB3954"/>
    <w:rsid w:val="00EB3D27"/>
    <w:rsid w:val="00EB42A8"/>
    <w:rsid w:val="00EB546D"/>
    <w:rsid w:val="00EB7E75"/>
    <w:rsid w:val="00EC41A3"/>
    <w:rsid w:val="00EC7783"/>
    <w:rsid w:val="00ED2479"/>
    <w:rsid w:val="00EE0AD7"/>
    <w:rsid w:val="00EE16F4"/>
    <w:rsid w:val="00EE28C3"/>
    <w:rsid w:val="00F0180D"/>
    <w:rsid w:val="00F03CB3"/>
    <w:rsid w:val="00F03E3A"/>
    <w:rsid w:val="00F15BAF"/>
    <w:rsid w:val="00F20C20"/>
    <w:rsid w:val="00F25877"/>
    <w:rsid w:val="00F262E8"/>
    <w:rsid w:val="00F26FF6"/>
    <w:rsid w:val="00F3448A"/>
    <w:rsid w:val="00F37D83"/>
    <w:rsid w:val="00F40F3E"/>
    <w:rsid w:val="00F42337"/>
    <w:rsid w:val="00F46C51"/>
    <w:rsid w:val="00F53103"/>
    <w:rsid w:val="00F53C8E"/>
    <w:rsid w:val="00F70997"/>
    <w:rsid w:val="00F75C14"/>
    <w:rsid w:val="00F7733C"/>
    <w:rsid w:val="00F80DE1"/>
    <w:rsid w:val="00F90252"/>
    <w:rsid w:val="00F914FF"/>
    <w:rsid w:val="00F96E65"/>
    <w:rsid w:val="00FA1BD0"/>
    <w:rsid w:val="00FA3EF6"/>
    <w:rsid w:val="00FA5574"/>
    <w:rsid w:val="00FA6D12"/>
    <w:rsid w:val="00FC53FE"/>
    <w:rsid w:val="00FD0997"/>
    <w:rsid w:val="00FF1F40"/>
    <w:rsid w:val="00FF30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CD0A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61702"/>
  </w:style>
  <w:style w:type="character" w:customStyle="1" w:styleId="FootnoteTextChar">
    <w:name w:val="Footnote Text Char"/>
    <w:basedOn w:val="DefaultParagraphFont"/>
    <w:link w:val="FootnoteText"/>
    <w:uiPriority w:val="99"/>
    <w:rsid w:val="00961702"/>
  </w:style>
  <w:style w:type="character" w:styleId="FootnoteReference">
    <w:name w:val="footnote reference"/>
    <w:basedOn w:val="DefaultParagraphFont"/>
    <w:uiPriority w:val="99"/>
    <w:unhideWhenUsed/>
    <w:rsid w:val="00961702"/>
    <w:rPr>
      <w:vertAlign w:val="superscript"/>
    </w:rPr>
  </w:style>
  <w:style w:type="paragraph" w:styleId="BalloonText">
    <w:name w:val="Balloon Text"/>
    <w:basedOn w:val="Normal"/>
    <w:link w:val="BalloonTextChar"/>
    <w:uiPriority w:val="99"/>
    <w:semiHidden/>
    <w:unhideWhenUsed/>
    <w:rsid w:val="00C15F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F52"/>
    <w:rPr>
      <w:rFonts w:ascii="Lucida Grande" w:hAnsi="Lucida Grande" w:cs="Lucida Grande"/>
      <w:sz w:val="18"/>
      <w:szCs w:val="18"/>
    </w:rPr>
  </w:style>
  <w:style w:type="paragraph" w:styleId="EndnoteText">
    <w:name w:val="endnote text"/>
    <w:basedOn w:val="Normal"/>
    <w:link w:val="EndnoteTextChar"/>
    <w:uiPriority w:val="99"/>
    <w:unhideWhenUsed/>
    <w:rsid w:val="008C55DE"/>
  </w:style>
  <w:style w:type="character" w:customStyle="1" w:styleId="EndnoteTextChar">
    <w:name w:val="Endnote Text Char"/>
    <w:basedOn w:val="DefaultParagraphFont"/>
    <w:link w:val="EndnoteText"/>
    <w:uiPriority w:val="99"/>
    <w:rsid w:val="008C55DE"/>
  </w:style>
  <w:style w:type="character" w:styleId="EndnoteReference">
    <w:name w:val="endnote reference"/>
    <w:basedOn w:val="DefaultParagraphFont"/>
    <w:uiPriority w:val="99"/>
    <w:unhideWhenUsed/>
    <w:rsid w:val="008C55DE"/>
    <w:rPr>
      <w:vertAlign w:val="superscript"/>
    </w:rPr>
  </w:style>
  <w:style w:type="paragraph" w:styleId="Header">
    <w:name w:val="header"/>
    <w:basedOn w:val="Normal"/>
    <w:link w:val="HeaderChar"/>
    <w:uiPriority w:val="99"/>
    <w:unhideWhenUsed/>
    <w:rsid w:val="00D1064D"/>
    <w:pPr>
      <w:tabs>
        <w:tab w:val="center" w:pos="4320"/>
        <w:tab w:val="right" w:pos="8640"/>
      </w:tabs>
    </w:pPr>
  </w:style>
  <w:style w:type="character" w:customStyle="1" w:styleId="HeaderChar">
    <w:name w:val="Header Char"/>
    <w:basedOn w:val="DefaultParagraphFont"/>
    <w:link w:val="Header"/>
    <w:uiPriority w:val="99"/>
    <w:rsid w:val="00D1064D"/>
  </w:style>
  <w:style w:type="paragraph" w:styleId="Footer">
    <w:name w:val="footer"/>
    <w:basedOn w:val="Normal"/>
    <w:link w:val="FooterChar"/>
    <w:uiPriority w:val="99"/>
    <w:unhideWhenUsed/>
    <w:rsid w:val="00D1064D"/>
    <w:pPr>
      <w:tabs>
        <w:tab w:val="center" w:pos="4320"/>
        <w:tab w:val="right" w:pos="8640"/>
      </w:tabs>
    </w:pPr>
  </w:style>
  <w:style w:type="character" w:customStyle="1" w:styleId="FooterChar">
    <w:name w:val="Footer Char"/>
    <w:basedOn w:val="DefaultParagraphFont"/>
    <w:link w:val="Footer"/>
    <w:uiPriority w:val="99"/>
    <w:rsid w:val="00D1064D"/>
  </w:style>
  <w:style w:type="character" w:styleId="CommentReference">
    <w:name w:val="annotation reference"/>
    <w:basedOn w:val="DefaultParagraphFont"/>
    <w:uiPriority w:val="99"/>
    <w:semiHidden/>
    <w:unhideWhenUsed/>
    <w:rsid w:val="008A7B3A"/>
    <w:rPr>
      <w:sz w:val="18"/>
      <w:szCs w:val="18"/>
    </w:rPr>
  </w:style>
  <w:style w:type="paragraph" w:styleId="CommentText">
    <w:name w:val="annotation text"/>
    <w:basedOn w:val="Normal"/>
    <w:link w:val="CommentTextChar"/>
    <w:uiPriority w:val="99"/>
    <w:semiHidden/>
    <w:unhideWhenUsed/>
    <w:rsid w:val="008A7B3A"/>
  </w:style>
  <w:style w:type="character" w:customStyle="1" w:styleId="CommentTextChar">
    <w:name w:val="Comment Text Char"/>
    <w:basedOn w:val="DefaultParagraphFont"/>
    <w:link w:val="CommentText"/>
    <w:uiPriority w:val="99"/>
    <w:semiHidden/>
    <w:rsid w:val="008A7B3A"/>
  </w:style>
  <w:style w:type="paragraph" w:styleId="CommentSubject">
    <w:name w:val="annotation subject"/>
    <w:basedOn w:val="CommentText"/>
    <w:next w:val="CommentText"/>
    <w:link w:val="CommentSubjectChar"/>
    <w:uiPriority w:val="99"/>
    <w:semiHidden/>
    <w:unhideWhenUsed/>
    <w:rsid w:val="008A7B3A"/>
    <w:rPr>
      <w:b/>
      <w:bCs/>
      <w:sz w:val="20"/>
      <w:szCs w:val="20"/>
    </w:rPr>
  </w:style>
  <w:style w:type="character" w:customStyle="1" w:styleId="CommentSubjectChar">
    <w:name w:val="Comment Subject Char"/>
    <w:basedOn w:val="CommentTextChar"/>
    <w:link w:val="CommentSubject"/>
    <w:uiPriority w:val="99"/>
    <w:semiHidden/>
    <w:rsid w:val="008A7B3A"/>
    <w:rPr>
      <w:b/>
      <w:bCs/>
      <w:sz w:val="20"/>
      <w:szCs w:val="20"/>
    </w:rPr>
  </w:style>
  <w:style w:type="paragraph" w:styleId="ListParagraph">
    <w:name w:val="List Paragraph"/>
    <w:basedOn w:val="Normal"/>
    <w:uiPriority w:val="34"/>
    <w:qFormat/>
    <w:rsid w:val="00E97645"/>
    <w:pPr>
      <w:ind w:left="720"/>
      <w:contextualSpacing/>
    </w:pPr>
  </w:style>
  <w:style w:type="character" w:styleId="PageNumber">
    <w:name w:val="page number"/>
    <w:basedOn w:val="DefaultParagraphFont"/>
    <w:uiPriority w:val="99"/>
    <w:semiHidden/>
    <w:unhideWhenUsed/>
    <w:rsid w:val="000621EF"/>
  </w:style>
  <w:style w:type="paragraph" w:styleId="Revision">
    <w:name w:val="Revision"/>
    <w:hidden/>
    <w:uiPriority w:val="99"/>
    <w:semiHidden/>
    <w:rsid w:val="007A070B"/>
  </w:style>
  <w:style w:type="paragraph" w:styleId="NormalWeb">
    <w:name w:val="Normal (Web)"/>
    <w:basedOn w:val="Normal"/>
    <w:uiPriority w:val="99"/>
    <w:semiHidden/>
    <w:unhideWhenUsed/>
    <w:rsid w:val="006B3F0B"/>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961702"/>
  </w:style>
  <w:style w:type="character" w:customStyle="1" w:styleId="FootnoteTextChar">
    <w:name w:val="Footnote Text Char"/>
    <w:basedOn w:val="DefaultParagraphFont"/>
    <w:link w:val="FootnoteText"/>
    <w:uiPriority w:val="99"/>
    <w:rsid w:val="00961702"/>
  </w:style>
  <w:style w:type="character" w:styleId="FootnoteReference">
    <w:name w:val="footnote reference"/>
    <w:basedOn w:val="DefaultParagraphFont"/>
    <w:uiPriority w:val="99"/>
    <w:unhideWhenUsed/>
    <w:rsid w:val="00961702"/>
    <w:rPr>
      <w:vertAlign w:val="superscript"/>
    </w:rPr>
  </w:style>
  <w:style w:type="paragraph" w:styleId="BalloonText">
    <w:name w:val="Balloon Text"/>
    <w:basedOn w:val="Normal"/>
    <w:link w:val="BalloonTextChar"/>
    <w:uiPriority w:val="99"/>
    <w:semiHidden/>
    <w:unhideWhenUsed/>
    <w:rsid w:val="00C15F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F52"/>
    <w:rPr>
      <w:rFonts w:ascii="Lucida Grande" w:hAnsi="Lucida Grande" w:cs="Lucida Grande"/>
      <w:sz w:val="18"/>
      <w:szCs w:val="18"/>
    </w:rPr>
  </w:style>
  <w:style w:type="paragraph" w:styleId="EndnoteText">
    <w:name w:val="endnote text"/>
    <w:basedOn w:val="Normal"/>
    <w:link w:val="EndnoteTextChar"/>
    <w:uiPriority w:val="99"/>
    <w:unhideWhenUsed/>
    <w:rsid w:val="008C55DE"/>
  </w:style>
  <w:style w:type="character" w:customStyle="1" w:styleId="EndnoteTextChar">
    <w:name w:val="Endnote Text Char"/>
    <w:basedOn w:val="DefaultParagraphFont"/>
    <w:link w:val="EndnoteText"/>
    <w:uiPriority w:val="99"/>
    <w:rsid w:val="008C55DE"/>
  </w:style>
  <w:style w:type="character" w:styleId="EndnoteReference">
    <w:name w:val="endnote reference"/>
    <w:basedOn w:val="DefaultParagraphFont"/>
    <w:uiPriority w:val="99"/>
    <w:unhideWhenUsed/>
    <w:rsid w:val="008C55DE"/>
    <w:rPr>
      <w:vertAlign w:val="superscript"/>
    </w:rPr>
  </w:style>
  <w:style w:type="paragraph" w:styleId="Header">
    <w:name w:val="header"/>
    <w:basedOn w:val="Normal"/>
    <w:link w:val="HeaderChar"/>
    <w:uiPriority w:val="99"/>
    <w:unhideWhenUsed/>
    <w:rsid w:val="00D1064D"/>
    <w:pPr>
      <w:tabs>
        <w:tab w:val="center" w:pos="4320"/>
        <w:tab w:val="right" w:pos="8640"/>
      </w:tabs>
    </w:pPr>
  </w:style>
  <w:style w:type="character" w:customStyle="1" w:styleId="HeaderChar">
    <w:name w:val="Header Char"/>
    <w:basedOn w:val="DefaultParagraphFont"/>
    <w:link w:val="Header"/>
    <w:uiPriority w:val="99"/>
    <w:rsid w:val="00D1064D"/>
  </w:style>
  <w:style w:type="paragraph" w:styleId="Footer">
    <w:name w:val="footer"/>
    <w:basedOn w:val="Normal"/>
    <w:link w:val="FooterChar"/>
    <w:uiPriority w:val="99"/>
    <w:unhideWhenUsed/>
    <w:rsid w:val="00D1064D"/>
    <w:pPr>
      <w:tabs>
        <w:tab w:val="center" w:pos="4320"/>
        <w:tab w:val="right" w:pos="8640"/>
      </w:tabs>
    </w:pPr>
  </w:style>
  <w:style w:type="character" w:customStyle="1" w:styleId="FooterChar">
    <w:name w:val="Footer Char"/>
    <w:basedOn w:val="DefaultParagraphFont"/>
    <w:link w:val="Footer"/>
    <w:uiPriority w:val="99"/>
    <w:rsid w:val="00D1064D"/>
  </w:style>
  <w:style w:type="character" w:styleId="CommentReference">
    <w:name w:val="annotation reference"/>
    <w:basedOn w:val="DefaultParagraphFont"/>
    <w:uiPriority w:val="99"/>
    <w:semiHidden/>
    <w:unhideWhenUsed/>
    <w:rsid w:val="008A7B3A"/>
    <w:rPr>
      <w:sz w:val="18"/>
      <w:szCs w:val="18"/>
    </w:rPr>
  </w:style>
  <w:style w:type="paragraph" w:styleId="CommentText">
    <w:name w:val="annotation text"/>
    <w:basedOn w:val="Normal"/>
    <w:link w:val="CommentTextChar"/>
    <w:uiPriority w:val="99"/>
    <w:semiHidden/>
    <w:unhideWhenUsed/>
    <w:rsid w:val="008A7B3A"/>
  </w:style>
  <w:style w:type="character" w:customStyle="1" w:styleId="CommentTextChar">
    <w:name w:val="Comment Text Char"/>
    <w:basedOn w:val="DefaultParagraphFont"/>
    <w:link w:val="CommentText"/>
    <w:uiPriority w:val="99"/>
    <w:semiHidden/>
    <w:rsid w:val="008A7B3A"/>
  </w:style>
  <w:style w:type="paragraph" w:styleId="CommentSubject">
    <w:name w:val="annotation subject"/>
    <w:basedOn w:val="CommentText"/>
    <w:next w:val="CommentText"/>
    <w:link w:val="CommentSubjectChar"/>
    <w:uiPriority w:val="99"/>
    <w:semiHidden/>
    <w:unhideWhenUsed/>
    <w:rsid w:val="008A7B3A"/>
    <w:rPr>
      <w:b/>
      <w:bCs/>
      <w:sz w:val="20"/>
      <w:szCs w:val="20"/>
    </w:rPr>
  </w:style>
  <w:style w:type="character" w:customStyle="1" w:styleId="CommentSubjectChar">
    <w:name w:val="Comment Subject Char"/>
    <w:basedOn w:val="CommentTextChar"/>
    <w:link w:val="CommentSubject"/>
    <w:uiPriority w:val="99"/>
    <w:semiHidden/>
    <w:rsid w:val="008A7B3A"/>
    <w:rPr>
      <w:b/>
      <w:bCs/>
      <w:sz w:val="20"/>
      <w:szCs w:val="20"/>
    </w:rPr>
  </w:style>
  <w:style w:type="paragraph" w:styleId="ListParagraph">
    <w:name w:val="List Paragraph"/>
    <w:basedOn w:val="Normal"/>
    <w:uiPriority w:val="34"/>
    <w:qFormat/>
    <w:rsid w:val="00E97645"/>
    <w:pPr>
      <w:ind w:left="720"/>
      <w:contextualSpacing/>
    </w:pPr>
  </w:style>
  <w:style w:type="character" w:styleId="PageNumber">
    <w:name w:val="page number"/>
    <w:basedOn w:val="DefaultParagraphFont"/>
    <w:uiPriority w:val="99"/>
    <w:semiHidden/>
    <w:unhideWhenUsed/>
    <w:rsid w:val="000621EF"/>
  </w:style>
  <w:style w:type="paragraph" w:styleId="Revision">
    <w:name w:val="Revision"/>
    <w:hidden/>
    <w:uiPriority w:val="99"/>
    <w:semiHidden/>
    <w:rsid w:val="007A070B"/>
  </w:style>
  <w:style w:type="paragraph" w:styleId="NormalWeb">
    <w:name w:val="Normal (Web)"/>
    <w:basedOn w:val="Normal"/>
    <w:uiPriority w:val="99"/>
    <w:semiHidden/>
    <w:unhideWhenUsed/>
    <w:rsid w:val="006B3F0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7214">
      <w:bodyDiv w:val="1"/>
      <w:marLeft w:val="0"/>
      <w:marRight w:val="0"/>
      <w:marTop w:val="0"/>
      <w:marBottom w:val="0"/>
      <w:divBdr>
        <w:top w:val="none" w:sz="0" w:space="0" w:color="auto"/>
        <w:left w:val="none" w:sz="0" w:space="0" w:color="auto"/>
        <w:bottom w:val="none" w:sz="0" w:space="0" w:color="auto"/>
        <w:right w:val="none" w:sz="0" w:space="0" w:color="auto"/>
      </w:divBdr>
    </w:div>
    <w:div w:id="148598982">
      <w:bodyDiv w:val="1"/>
      <w:marLeft w:val="0"/>
      <w:marRight w:val="0"/>
      <w:marTop w:val="0"/>
      <w:marBottom w:val="0"/>
      <w:divBdr>
        <w:top w:val="none" w:sz="0" w:space="0" w:color="auto"/>
        <w:left w:val="none" w:sz="0" w:space="0" w:color="auto"/>
        <w:bottom w:val="none" w:sz="0" w:space="0" w:color="auto"/>
        <w:right w:val="none" w:sz="0" w:space="0" w:color="auto"/>
      </w:divBdr>
    </w:div>
    <w:div w:id="238682536">
      <w:bodyDiv w:val="1"/>
      <w:marLeft w:val="0"/>
      <w:marRight w:val="0"/>
      <w:marTop w:val="0"/>
      <w:marBottom w:val="0"/>
      <w:divBdr>
        <w:top w:val="none" w:sz="0" w:space="0" w:color="auto"/>
        <w:left w:val="none" w:sz="0" w:space="0" w:color="auto"/>
        <w:bottom w:val="none" w:sz="0" w:space="0" w:color="auto"/>
        <w:right w:val="none" w:sz="0" w:space="0" w:color="auto"/>
      </w:divBdr>
    </w:div>
    <w:div w:id="395013988">
      <w:bodyDiv w:val="1"/>
      <w:marLeft w:val="0"/>
      <w:marRight w:val="0"/>
      <w:marTop w:val="0"/>
      <w:marBottom w:val="0"/>
      <w:divBdr>
        <w:top w:val="none" w:sz="0" w:space="0" w:color="auto"/>
        <w:left w:val="none" w:sz="0" w:space="0" w:color="auto"/>
        <w:bottom w:val="none" w:sz="0" w:space="0" w:color="auto"/>
        <w:right w:val="none" w:sz="0" w:space="0" w:color="auto"/>
      </w:divBdr>
    </w:div>
    <w:div w:id="634726399">
      <w:bodyDiv w:val="1"/>
      <w:marLeft w:val="0"/>
      <w:marRight w:val="0"/>
      <w:marTop w:val="0"/>
      <w:marBottom w:val="0"/>
      <w:divBdr>
        <w:top w:val="none" w:sz="0" w:space="0" w:color="auto"/>
        <w:left w:val="none" w:sz="0" w:space="0" w:color="auto"/>
        <w:bottom w:val="none" w:sz="0" w:space="0" w:color="auto"/>
        <w:right w:val="none" w:sz="0" w:space="0" w:color="auto"/>
      </w:divBdr>
    </w:div>
    <w:div w:id="835876675">
      <w:bodyDiv w:val="1"/>
      <w:marLeft w:val="0"/>
      <w:marRight w:val="0"/>
      <w:marTop w:val="0"/>
      <w:marBottom w:val="0"/>
      <w:divBdr>
        <w:top w:val="none" w:sz="0" w:space="0" w:color="auto"/>
        <w:left w:val="none" w:sz="0" w:space="0" w:color="auto"/>
        <w:bottom w:val="none" w:sz="0" w:space="0" w:color="auto"/>
        <w:right w:val="none" w:sz="0" w:space="0" w:color="auto"/>
      </w:divBdr>
    </w:div>
    <w:div w:id="965895005">
      <w:bodyDiv w:val="1"/>
      <w:marLeft w:val="0"/>
      <w:marRight w:val="0"/>
      <w:marTop w:val="0"/>
      <w:marBottom w:val="0"/>
      <w:divBdr>
        <w:top w:val="none" w:sz="0" w:space="0" w:color="auto"/>
        <w:left w:val="none" w:sz="0" w:space="0" w:color="auto"/>
        <w:bottom w:val="none" w:sz="0" w:space="0" w:color="auto"/>
        <w:right w:val="none" w:sz="0" w:space="0" w:color="auto"/>
      </w:divBdr>
    </w:div>
    <w:div w:id="969633249">
      <w:bodyDiv w:val="1"/>
      <w:marLeft w:val="0"/>
      <w:marRight w:val="0"/>
      <w:marTop w:val="0"/>
      <w:marBottom w:val="0"/>
      <w:divBdr>
        <w:top w:val="none" w:sz="0" w:space="0" w:color="auto"/>
        <w:left w:val="none" w:sz="0" w:space="0" w:color="auto"/>
        <w:bottom w:val="none" w:sz="0" w:space="0" w:color="auto"/>
        <w:right w:val="none" w:sz="0" w:space="0" w:color="auto"/>
      </w:divBdr>
      <w:divsChild>
        <w:div w:id="73282281">
          <w:marLeft w:val="547"/>
          <w:marRight w:val="0"/>
          <w:marTop w:val="96"/>
          <w:marBottom w:val="0"/>
          <w:divBdr>
            <w:top w:val="none" w:sz="0" w:space="0" w:color="auto"/>
            <w:left w:val="none" w:sz="0" w:space="0" w:color="auto"/>
            <w:bottom w:val="none" w:sz="0" w:space="0" w:color="auto"/>
            <w:right w:val="none" w:sz="0" w:space="0" w:color="auto"/>
          </w:divBdr>
        </w:div>
        <w:div w:id="1094590064">
          <w:marLeft w:val="547"/>
          <w:marRight w:val="0"/>
          <w:marTop w:val="96"/>
          <w:marBottom w:val="0"/>
          <w:divBdr>
            <w:top w:val="none" w:sz="0" w:space="0" w:color="auto"/>
            <w:left w:val="none" w:sz="0" w:space="0" w:color="auto"/>
            <w:bottom w:val="none" w:sz="0" w:space="0" w:color="auto"/>
            <w:right w:val="none" w:sz="0" w:space="0" w:color="auto"/>
          </w:divBdr>
        </w:div>
      </w:divsChild>
    </w:div>
    <w:div w:id="1021735208">
      <w:bodyDiv w:val="1"/>
      <w:marLeft w:val="0"/>
      <w:marRight w:val="0"/>
      <w:marTop w:val="0"/>
      <w:marBottom w:val="0"/>
      <w:divBdr>
        <w:top w:val="none" w:sz="0" w:space="0" w:color="auto"/>
        <w:left w:val="none" w:sz="0" w:space="0" w:color="auto"/>
        <w:bottom w:val="none" w:sz="0" w:space="0" w:color="auto"/>
        <w:right w:val="none" w:sz="0" w:space="0" w:color="auto"/>
      </w:divBdr>
    </w:div>
    <w:div w:id="1521895569">
      <w:bodyDiv w:val="1"/>
      <w:marLeft w:val="0"/>
      <w:marRight w:val="0"/>
      <w:marTop w:val="0"/>
      <w:marBottom w:val="0"/>
      <w:divBdr>
        <w:top w:val="none" w:sz="0" w:space="0" w:color="auto"/>
        <w:left w:val="none" w:sz="0" w:space="0" w:color="auto"/>
        <w:bottom w:val="none" w:sz="0" w:space="0" w:color="auto"/>
        <w:right w:val="none" w:sz="0" w:space="0" w:color="auto"/>
      </w:divBdr>
    </w:div>
    <w:div w:id="1627199528">
      <w:bodyDiv w:val="1"/>
      <w:marLeft w:val="0"/>
      <w:marRight w:val="0"/>
      <w:marTop w:val="0"/>
      <w:marBottom w:val="0"/>
      <w:divBdr>
        <w:top w:val="none" w:sz="0" w:space="0" w:color="auto"/>
        <w:left w:val="none" w:sz="0" w:space="0" w:color="auto"/>
        <w:bottom w:val="none" w:sz="0" w:space="0" w:color="auto"/>
        <w:right w:val="none" w:sz="0" w:space="0" w:color="auto"/>
      </w:divBdr>
    </w:div>
    <w:div w:id="1772554622">
      <w:bodyDiv w:val="1"/>
      <w:marLeft w:val="0"/>
      <w:marRight w:val="0"/>
      <w:marTop w:val="0"/>
      <w:marBottom w:val="0"/>
      <w:divBdr>
        <w:top w:val="none" w:sz="0" w:space="0" w:color="auto"/>
        <w:left w:val="none" w:sz="0" w:space="0" w:color="auto"/>
        <w:bottom w:val="none" w:sz="0" w:space="0" w:color="auto"/>
        <w:right w:val="none" w:sz="0" w:space="0" w:color="auto"/>
      </w:divBdr>
      <w:divsChild>
        <w:div w:id="181282355">
          <w:marLeft w:val="547"/>
          <w:marRight w:val="0"/>
          <w:marTop w:val="130"/>
          <w:marBottom w:val="0"/>
          <w:divBdr>
            <w:top w:val="none" w:sz="0" w:space="0" w:color="auto"/>
            <w:left w:val="none" w:sz="0" w:space="0" w:color="auto"/>
            <w:bottom w:val="none" w:sz="0" w:space="0" w:color="auto"/>
            <w:right w:val="none" w:sz="0" w:space="0" w:color="auto"/>
          </w:divBdr>
        </w:div>
        <w:div w:id="483200020">
          <w:marLeft w:val="547"/>
          <w:marRight w:val="0"/>
          <w:marTop w:val="130"/>
          <w:marBottom w:val="0"/>
          <w:divBdr>
            <w:top w:val="none" w:sz="0" w:space="0" w:color="auto"/>
            <w:left w:val="none" w:sz="0" w:space="0" w:color="auto"/>
            <w:bottom w:val="none" w:sz="0" w:space="0" w:color="auto"/>
            <w:right w:val="none" w:sz="0" w:space="0" w:color="auto"/>
          </w:divBdr>
        </w:div>
        <w:div w:id="654067026">
          <w:marLeft w:val="1166"/>
          <w:marRight w:val="0"/>
          <w:marTop w:val="115"/>
          <w:marBottom w:val="0"/>
          <w:divBdr>
            <w:top w:val="none" w:sz="0" w:space="0" w:color="auto"/>
            <w:left w:val="none" w:sz="0" w:space="0" w:color="auto"/>
            <w:bottom w:val="none" w:sz="0" w:space="0" w:color="auto"/>
            <w:right w:val="none" w:sz="0" w:space="0" w:color="auto"/>
          </w:divBdr>
        </w:div>
        <w:div w:id="1054691946">
          <w:marLeft w:val="547"/>
          <w:marRight w:val="0"/>
          <w:marTop w:val="130"/>
          <w:marBottom w:val="0"/>
          <w:divBdr>
            <w:top w:val="none" w:sz="0" w:space="0" w:color="auto"/>
            <w:left w:val="none" w:sz="0" w:space="0" w:color="auto"/>
            <w:bottom w:val="none" w:sz="0" w:space="0" w:color="auto"/>
            <w:right w:val="none" w:sz="0" w:space="0" w:color="auto"/>
          </w:divBdr>
        </w:div>
        <w:div w:id="1234927137">
          <w:marLeft w:val="547"/>
          <w:marRight w:val="0"/>
          <w:marTop w:val="130"/>
          <w:marBottom w:val="0"/>
          <w:divBdr>
            <w:top w:val="none" w:sz="0" w:space="0" w:color="auto"/>
            <w:left w:val="none" w:sz="0" w:space="0" w:color="auto"/>
            <w:bottom w:val="none" w:sz="0" w:space="0" w:color="auto"/>
            <w:right w:val="none" w:sz="0" w:space="0" w:color="auto"/>
          </w:divBdr>
        </w:div>
        <w:div w:id="1448045314">
          <w:marLeft w:val="1166"/>
          <w:marRight w:val="0"/>
          <w:marTop w:val="115"/>
          <w:marBottom w:val="0"/>
          <w:divBdr>
            <w:top w:val="none" w:sz="0" w:space="0" w:color="auto"/>
            <w:left w:val="none" w:sz="0" w:space="0" w:color="auto"/>
            <w:bottom w:val="none" w:sz="0" w:space="0" w:color="auto"/>
            <w:right w:val="none" w:sz="0" w:space="0" w:color="auto"/>
          </w:divBdr>
        </w:div>
        <w:div w:id="1558317496">
          <w:marLeft w:val="547"/>
          <w:marRight w:val="0"/>
          <w:marTop w:val="130"/>
          <w:marBottom w:val="0"/>
          <w:divBdr>
            <w:top w:val="none" w:sz="0" w:space="0" w:color="auto"/>
            <w:left w:val="none" w:sz="0" w:space="0" w:color="auto"/>
            <w:bottom w:val="none" w:sz="0" w:space="0" w:color="auto"/>
            <w:right w:val="none" w:sz="0" w:space="0" w:color="auto"/>
          </w:divBdr>
        </w:div>
        <w:div w:id="1680767033">
          <w:marLeft w:val="1166"/>
          <w:marRight w:val="0"/>
          <w:marTop w:val="115"/>
          <w:marBottom w:val="0"/>
          <w:divBdr>
            <w:top w:val="none" w:sz="0" w:space="0" w:color="auto"/>
            <w:left w:val="none" w:sz="0" w:space="0" w:color="auto"/>
            <w:bottom w:val="none" w:sz="0" w:space="0" w:color="auto"/>
            <w:right w:val="none" w:sz="0" w:space="0" w:color="auto"/>
          </w:divBdr>
        </w:div>
        <w:div w:id="1682318801">
          <w:marLeft w:val="547"/>
          <w:marRight w:val="0"/>
          <w:marTop w:val="130"/>
          <w:marBottom w:val="0"/>
          <w:divBdr>
            <w:top w:val="none" w:sz="0" w:space="0" w:color="auto"/>
            <w:left w:val="none" w:sz="0" w:space="0" w:color="auto"/>
            <w:bottom w:val="none" w:sz="0" w:space="0" w:color="auto"/>
            <w:right w:val="none" w:sz="0" w:space="0" w:color="auto"/>
          </w:divBdr>
        </w:div>
        <w:div w:id="1922375048">
          <w:marLeft w:val="547"/>
          <w:marRight w:val="0"/>
          <w:marTop w:val="130"/>
          <w:marBottom w:val="0"/>
          <w:divBdr>
            <w:top w:val="none" w:sz="0" w:space="0" w:color="auto"/>
            <w:left w:val="none" w:sz="0" w:space="0" w:color="auto"/>
            <w:bottom w:val="none" w:sz="0" w:space="0" w:color="auto"/>
            <w:right w:val="none" w:sz="0" w:space="0" w:color="auto"/>
          </w:divBdr>
        </w:div>
        <w:div w:id="2005206239">
          <w:marLeft w:val="1166"/>
          <w:marRight w:val="0"/>
          <w:marTop w:val="115"/>
          <w:marBottom w:val="0"/>
          <w:divBdr>
            <w:top w:val="none" w:sz="0" w:space="0" w:color="auto"/>
            <w:left w:val="none" w:sz="0" w:space="0" w:color="auto"/>
            <w:bottom w:val="none" w:sz="0" w:space="0" w:color="auto"/>
            <w:right w:val="none" w:sz="0" w:space="0" w:color="auto"/>
          </w:divBdr>
        </w:div>
        <w:div w:id="2014644523">
          <w:marLeft w:val="547"/>
          <w:marRight w:val="0"/>
          <w:marTop w:val="130"/>
          <w:marBottom w:val="0"/>
          <w:divBdr>
            <w:top w:val="none" w:sz="0" w:space="0" w:color="auto"/>
            <w:left w:val="none" w:sz="0" w:space="0" w:color="auto"/>
            <w:bottom w:val="none" w:sz="0" w:space="0" w:color="auto"/>
            <w:right w:val="none" w:sz="0" w:space="0" w:color="auto"/>
          </w:divBdr>
        </w:div>
      </w:divsChild>
    </w:div>
    <w:div w:id="1790583936">
      <w:bodyDiv w:val="1"/>
      <w:marLeft w:val="0"/>
      <w:marRight w:val="0"/>
      <w:marTop w:val="0"/>
      <w:marBottom w:val="0"/>
      <w:divBdr>
        <w:top w:val="none" w:sz="0" w:space="0" w:color="auto"/>
        <w:left w:val="none" w:sz="0" w:space="0" w:color="auto"/>
        <w:bottom w:val="none" w:sz="0" w:space="0" w:color="auto"/>
        <w:right w:val="none" w:sz="0" w:space="0" w:color="auto"/>
      </w:divBdr>
    </w:div>
    <w:div w:id="212083453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23A707-2CBD-B743-A801-C95D5672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47</Pages>
  <Words>9465</Words>
  <Characters>52069</Characters>
  <Application>Microsoft Macintosh Word</Application>
  <DocSecurity>0</DocSecurity>
  <Lines>914</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Mollan</dc:creator>
  <cp:keywords/>
  <dc:description/>
  <cp:lastModifiedBy>Kevin Tennent</cp:lastModifiedBy>
  <cp:revision>3</cp:revision>
  <cp:lastPrinted>2019-07-02T08:58:00Z</cp:lastPrinted>
  <dcterms:created xsi:type="dcterms:W3CDTF">2020-04-03T15:57:00Z</dcterms:created>
  <dcterms:modified xsi:type="dcterms:W3CDTF">2020-04-03T16:46:00Z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16th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16th edition (full note)</vt:lpwstr>
  </property>
  <property fmtid="{D5CDD505-2E9C-101B-9397-08002B2CF9AE}" pid="16" name="Mendeley Recent Style Id 6_1">
    <vt:lpwstr>http://www.zotero.org/styles/chicago-note-bibliography</vt:lpwstr>
  </property>
  <property fmtid="{D5CDD505-2E9C-101B-9397-08002B2CF9AE}" pid="17" name="Mendeley Recent Style Name 6_1">
    <vt:lpwstr>Chicago Manual of Style 16th edition (note)</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7th edition</vt:lpwstr>
  </property>
  <property fmtid="{D5CDD505-2E9C-101B-9397-08002B2CF9AE}" pid="24" name="Mendeley Unique User Id_1">
    <vt:lpwstr>767e672a-1c98-3349-a29f-6b5dd6329429</vt:lpwstr>
  </property>
</Properties>
</file>