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B6C9F" w14:textId="379BCF56" w:rsidR="00AF2962" w:rsidRPr="008C0324" w:rsidRDefault="00DC2781" w:rsidP="00613F09">
      <w:pPr>
        <w:pStyle w:val="Title"/>
        <w:rPr>
          <w:rFonts w:ascii="Times New Roman" w:hAnsi="Times New Roman" w:cs="Times New Roman"/>
          <w:sz w:val="52"/>
        </w:rPr>
      </w:pPr>
      <w:r w:rsidRPr="008C0324">
        <w:rPr>
          <w:rFonts w:ascii="Times New Roman" w:hAnsi="Times New Roman" w:cs="Times New Roman"/>
          <w:sz w:val="52"/>
        </w:rPr>
        <w:t>Explor</w:t>
      </w:r>
      <w:r w:rsidR="0089056F" w:rsidRPr="008C0324">
        <w:rPr>
          <w:rFonts w:ascii="Times New Roman" w:hAnsi="Times New Roman" w:cs="Times New Roman"/>
          <w:sz w:val="52"/>
        </w:rPr>
        <w:t>ation of</w:t>
      </w:r>
      <w:r w:rsidRPr="008C0324">
        <w:rPr>
          <w:rFonts w:ascii="Times New Roman" w:hAnsi="Times New Roman" w:cs="Times New Roman"/>
          <w:sz w:val="52"/>
        </w:rPr>
        <w:t xml:space="preserve"> a N</w:t>
      </w:r>
      <w:bookmarkStart w:id="0" w:name="_GoBack"/>
      <w:bookmarkEnd w:id="0"/>
      <w:r w:rsidRPr="008C0324">
        <w:rPr>
          <w:rFonts w:ascii="Times New Roman" w:hAnsi="Times New Roman" w:cs="Times New Roman"/>
          <w:sz w:val="52"/>
        </w:rPr>
        <w:t xml:space="preserve">ovel Preventative </w:t>
      </w:r>
      <w:r w:rsidR="00A45718" w:rsidRPr="008C0324">
        <w:rPr>
          <w:rFonts w:ascii="Times New Roman" w:hAnsi="Times New Roman" w:cs="Times New Roman"/>
          <w:sz w:val="52"/>
        </w:rPr>
        <w:t>Policing</w:t>
      </w:r>
      <w:r w:rsidRPr="008C0324">
        <w:rPr>
          <w:rFonts w:ascii="Times New Roman" w:hAnsi="Times New Roman" w:cs="Times New Roman"/>
          <w:sz w:val="52"/>
        </w:rPr>
        <w:t xml:space="preserve"> Approach </w:t>
      </w:r>
      <w:r w:rsidR="00794E59" w:rsidRPr="008C0324">
        <w:rPr>
          <w:rFonts w:ascii="Times New Roman" w:hAnsi="Times New Roman" w:cs="Times New Roman"/>
          <w:sz w:val="52"/>
        </w:rPr>
        <w:t xml:space="preserve">in the United Kingdom </w:t>
      </w:r>
      <w:r w:rsidRPr="008C0324">
        <w:rPr>
          <w:rFonts w:ascii="Times New Roman" w:hAnsi="Times New Roman" w:cs="Times New Roman"/>
          <w:sz w:val="52"/>
        </w:rPr>
        <w:t xml:space="preserve">to Adverse </w:t>
      </w:r>
      <w:r w:rsidR="00AF2962" w:rsidRPr="008C0324">
        <w:rPr>
          <w:rFonts w:ascii="Times New Roman" w:hAnsi="Times New Roman" w:cs="Times New Roman"/>
          <w:sz w:val="52"/>
        </w:rPr>
        <w:t>Childhood</w:t>
      </w:r>
      <w:r w:rsidRPr="008C0324">
        <w:rPr>
          <w:rFonts w:ascii="Times New Roman" w:hAnsi="Times New Roman" w:cs="Times New Roman"/>
          <w:sz w:val="52"/>
        </w:rPr>
        <w:t xml:space="preserve"> Experiences</w:t>
      </w:r>
      <w:r w:rsidR="00B477BD" w:rsidRPr="008C0324">
        <w:rPr>
          <w:rFonts w:ascii="Times New Roman" w:hAnsi="Times New Roman" w:cs="Times New Roman"/>
          <w:sz w:val="52"/>
        </w:rPr>
        <w:t xml:space="preserve"> (ACEs)</w:t>
      </w:r>
    </w:p>
    <w:p w14:paraId="6F6DDD7F" w14:textId="64D7475F" w:rsidR="00403636" w:rsidRPr="008C0324" w:rsidRDefault="00403636" w:rsidP="00403636">
      <w:pPr>
        <w:rPr>
          <w:rFonts w:ascii="Times New Roman" w:hAnsi="Times New Roman" w:cs="Times New Roman"/>
        </w:rPr>
      </w:pPr>
    </w:p>
    <w:p w14:paraId="31D9F9A1" w14:textId="4F3E97CC" w:rsidR="00403636" w:rsidRPr="002A316F" w:rsidRDefault="00403636" w:rsidP="00403636">
      <w:pPr>
        <w:spacing w:line="480" w:lineRule="auto"/>
        <w:rPr>
          <w:rFonts w:ascii="Times New Roman" w:hAnsi="Times New Roman" w:cs="Times New Roman"/>
        </w:rPr>
      </w:pPr>
      <w:r w:rsidRPr="002A316F">
        <w:rPr>
          <w:rFonts w:ascii="Times New Roman" w:hAnsi="Times New Roman" w:cs="Times New Roman"/>
        </w:rPr>
        <w:t>A</w:t>
      </w:r>
      <w:r w:rsidR="00034AE9">
        <w:rPr>
          <w:rFonts w:ascii="Times New Roman" w:hAnsi="Times New Roman" w:cs="Times New Roman"/>
        </w:rPr>
        <w:t xml:space="preserve"> qualitative exploration</w:t>
      </w:r>
      <w:r w:rsidRPr="002A316F">
        <w:rPr>
          <w:rFonts w:ascii="Times New Roman" w:hAnsi="Times New Roman" w:cs="Times New Roman"/>
        </w:rPr>
        <w:t xml:space="preserve"> of a novel policing solution for ACEs</w:t>
      </w:r>
    </w:p>
    <w:p w14:paraId="35B22F71" w14:textId="18E1551B" w:rsidR="00EB3F6B" w:rsidRPr="00B313E7" w:rsidRDefault="005810D8" w:rsidP="007D0CC7">
      <w:pPr>
        <w:pStyle w:val="Heading1"/>
        <w:spacing w:line="480" w:lineRule="auto"/>
        <w:rPr>
          <w:rFonts w:ascii="Times New Roman" w:hAnsi="Times New Roman" w:cs="Times New Roman"/>
        </w:rPr>
      </w:pPr>
      <w:bookmarkStart w:id="1" w:name="_Toc515579297"/>
      <w:r w:rsidRPr="00B313E7">
        <w:rPr>
          <w:rFonts w:ascii="Times New Roman" w:hAnsi="Times New Roman" w:cs="Times New Roman"/>
        </w:rPr>
        <w:t>Abstract</w:t>
      </w:r>
      <w:bookmarkEnd w:id="1"/>
    </w:p>
    <w:p w14:paraId="2AF168ED" w14:textId="632745C2" w:rsidR="00D96839" w:rsidRPr="002A316F" w:rsidRDefault="007D0CC7" w:rsidP="007F779A">
      <w:pPr>
        <w:spacing w:line="480" w:lineRule="auto"/>
        <w:rPr>
          <w:rFonts w:ascii="Times New Roman" w:hAnsi="Times New Roman" w:cs="Times New Roman"/>
        </w:rPr>
      </w:pPr>
      <w:r w:rsidRPr="00D06237">
        <w:rPr>
          <w:rFonts w:ascii="Times New Roman" w:hAnsi="Times New Roman" w:cs="Times New Roman"/>
        </w:rPr>
        <w:t>Adverse childhood experiences</w:t>
      </w:r>
      <w:r w:rsidRPr="00D06237">
        <w:rPr>
          <w:rFonts w:ascii="Times New Roman" w:hAnsi="Times New Roman" w:cs="Times New Roman"/>
          <w:b/>
        </w:rPr>
        <w:t xml:space="preserve"> (</w:t>
      </w:r>
      <w:r w:rsidRPr="00D06237">
        <w:rPr>
          <w:rFonts w:ascii="Times New Roman" w:hAnsi="Times New Roman" w:cs="Times New Roman"/>
        </w:rPr>
        <w:t xml:space="preserve">ACEs) have been </w:t>
      </w:r>
      <w:r w:rsidRPr="00EB5D10">
        <w:rPr>
          <w:rFonts w:ascii="Times New Roman" w:hAnsi="Times New Roman" w:cs="Times New Roman"/>
        </w:rPr>
        <w:t>associated with negative mental and physical health consequences. Neighbo</w:t>
      </w:r>
      <w:r w:rsidR="000D10A3" w:rsidRPr="00A753CD">
        <w:rPr>
          <w:rFonts w:ascii="Times New Roman" w:hAnsi="Times New Roman" w:cs="Times New Roman"/>
        </w:rPr>
        <w:t>u</w:t>
      </w:r>
      <w:r w:rsidRPr="00A753CD">
        <w:rPr>
          <w:rFonts w:ascii="Times New Roman" w:hAnsi="Times New Roman" w:cs="Times New Roman"/>
        </w:rPr>
        <w:t xml:space="preserve">rhood police officers (NPOs) are </w:t>
      </w:r>
      <w:r w:rsidR="00917A1A" w:rsidRPr="00A753CD">
        <w:rPr>
          <w:rFonts w:ascii="Times New Roman" w:hAnsi="Times New Roman" w:cs="Times New Roman"/>
        </w:rPr>
        <w:t xml:space="preserve">thought </w:t>
      </w:r>
      <w:r w:rsidRPr="00A753CD">
        <w:rPr>
          <w:rFonts w:ascii="Times New Roman" w:hAnsi="Times New Roman" w:cs="Times New Roman"/>
        </w:rPr>
        <w:t>to be well placed to identify and support children experiencing ACE</w:t>
      </w:r>
      <w:r w:rsidR="000D10A3" w:rsidRPr="00034AE9">
        <w:rPr>
          <w:rFonts w:ascii="Times New Roman" w:hAnsi="Times New Roman" w:cs="Times New Roman"/>
        </w:rPr>
        <w:t>s</w:t>
      </w:r>
      <w:r w:rsidR="00772894" w:rsidRPr="00034AE9">
        <w:rPr>
          <w:rFonts w:ascii="Times New Roman" w:hAnsi="Times New Roman" w:cs="Times New Roman"/>
        </w:rPr>
        <w:t xml:space="preserve">. </w:t>
      </w:r>
      <w:r w:rsidR="00034AE9">
        <w:rPr>
          <w:rFonts w:ascii="Times New Roman" w:hAnsi="Times New Roman" w:cs="Times New Roman"/>
        </w:rPr>
        <w:t>Within this paper, we describe</w:t>
      </w:r>
      <w:r w:rsidRPr="00034AE9">
        <w:rPr>
          <w:rFonts w:ascii="Times New Roman" w:hAnsi="Times New Roman" w:cs="Times New Roman"/>
        </w:rPr>
        <w:t xml:space="preserve"> a</w:t>
      </w:r>
      <w:r w:rsidR="00034AE9">
        <w:rPr>
          <w:rFonts w:ascii="Times New Roman" w:hAnsi="Times New Roman" w:cs="Times New Roman"/>
        </w:rPr>
        <w:t xml:space="preserve"> qualitative exploration of an</w:t>
      </w:r>
      <w:r w:rsidRPr="00034AE9">
        <w:rPr>
          <w:rFonts w:ascii="Times New Roman" w:hAnsi="Times New Roman" w:cs="Times New Roman"/>
        </w:rPr>
        <w:t xml:space="preserve"> </w:t>
      </w:r>
      <w:r w:rsidR="00DB5170" w:rsidRPr="00034AE9">
        <w:rPr>
          <w:rFonts w:ascii="Times New Roman" w:hAnsi="Times New Roman" w:cs="Times New Roman"/>
        </w:rPr>
        <w:t>initiative</w:t>
      </w:r>
      <w:r w:rsidR="00DB0928" w:rsidRPr="00034AE9">
        <w:rPr>
          <w:rFonts w:ascii="Times New Roman" w:hAnsi="Times New Roman" w:cs="Times New Roman"/>
        </w:rPr>
        <w:t xml:space="preserve"> deployed by a large UK police force which aimed to</w:t>
      </w:r>
      <w:r w:rsidRPr="00034AE9">
        <w:rPr>
          <w:rFonts w:ascii="Times New Roman" w:hAnsi="Times New Roman" w:cs="Times New Roman"/>
        </w:rPr>
        <w:t xml:space="preserve"> </w:t>
      </w:r>
      <w:r w:rsidR="00772894" w:rsidRPr="00034AE9">
        <w:rPr>
          <w:rFonts w:ascii="Times New Roman" w:hAnsi="Times New Roman" w:cs="Times New Roman"/>
        </w:rPr>
        <w:t>aid early identification of young people with ACEs using police data</w:t>
      </w:r>
      <w:r w:rsidRPr="00034AE9">
        <w:rPr>
          <w:rFonts w:ascii="Times New Roman" w:hAnsi="Times New Roman" w:cs="Times New Roman"/>
        </w:rPr>
        <w:t xml:space="preserve"> and</w:t>
      </w:r>
      <w:r w:rsidR="00DB0928" w:rsidRPr="00034AE9">
        <w:rPr>
          <w:rFonts w:ascii="Times New Roman" w:hAnsi="Times New Roman" w:cs="Times New Roman"/>
        </w:rPr>
        <w:t xml:space="preserve"> provide</w:t>
      </w:r>
      <w:r w:rsidRPr="00034AE9">
        <w:rPr>
          <w:rFonts w:ascii="Times New Roman" w:hAnsi="Times New Roman" w:cs="Times New Roman"/>
        </w:rPr>
        <w:t xml:space="preserve"> </w:t>
      </w:r>
      <w:r w:rsidR="00772894" w:rsidRPr="00034AE9">
        <w:rPr>
          <w:rFonts w:ascii="Times New Roman" w:hAnsi="Times New Roman" w:cs="Times New Roman"/>
        </w:rPr>
        <w:t xml:space="preserve">subsequent </w:t>
      </w:r>
      <w:r w:rsidRPr="00034AE9">
        <w:rPr>
          <w:rFonts w:ascii="Times New Roman" w:hAnsi="Times New Roman" w:cs="Times New Roman"/>
        </w:rPr>
        <w:t xml:space="preserve">support </w:t>
      </w:r>
      <w:r w:rsidR="00772894" w:rsidRPr="00034AE9">
        <w:rPr>
          <w:rFonts w:ascii="Times New Roman" w:hAnsi="Times New Roman" w:cs="Times New Roman"/>
        </w:rPr>
        <w:t>given by NPOs</w:t>
      </w:r>
      <w:r w:rsidRPr="00034AE9">
        <w:rPr>
          <w:rFonts w:ascii="Times New Roman" w:hAnsi="Times New Roman" w:cs="Times New Roman"/>
        </w:rPr>
        <w:t>. A thematic analysis was conducted using transcripts from three focus groups of NPOs, supplemented by questionnaires. Key themes identified in both sets of data offer reflections for policing and other public service provision seeking to target on the basis of ACEs, including: limitations in the usefulness of police data to identify c</w:t>
      </w:r>
      <w:r w:rsidRPr="001473C6">
        <w:rPr>
          <w:rFonts w:ascii="Times New Roman" w:hAnsi="Times New Roman" w:cs="Times New Roman"/>
        </w:rPr>
        <w:t xml:space="preserve">hildhood adversity; challenges </w:t>
      </w:r>
      <w:r w:rsidR="00DB0928" w:rsidRPr="001D1134">
        <w:rPr>
          <w:rFonts w:ascii="Times New Roman" w:hAnsi="Times New Roman" w:cs="Times New Roman"/>
        </w:rPr>
        <w:t>using</w:t>
      </w:r>
      <w:r w:rsidRPr="001D1134">
        <w:rPr>
          <w:rFonts w:ascii="Times New Roman" w:hAnsi="Times New Roman" w:cs="Times New Roman"/>
        </w:rPr>
        <w:t xml:space="preserve"> the ACEs framework as a means to target such ‘early intervention’; and debates regarding the appropriate role of the police in supporting young people in adversity. Prior to replication of this intervention elsewhere</w:t>
      </w:r>
      <w:r w:rsidR="00C467E4" w:rsidRPr="002A316F">
        <w:rPr>
          <w:rFonts w:ascii="Times New Roman" w:hAnsi="Times New Roman" w:cs="Times New Roman"/>
        </w:rPr>
        <w:t>,</w:t>
      </w:r>
      <w:r w:rsidRPr="002A316F">
        <w:rPr>
          <w:rFonts w:ascii="Times New Roman" w:hAnsi="Times New Roman" w:cs="Times New Roman"/>
        </w:rPr>
        <w:t xml:space="preserve"> there are several points to consider; whether police data alone is sufficient in identifying ACEs; ensuring clarity regarding the role of the public sector agencies in such intervention; and an apt measure of success for the scheme.</w:t>
      </w:r>
    </w:p>
    <w:p w14:paraId="6B059FA6" w14:textId="51CA9892" w:rsidR="00403636" w:rsidRPr="00E30636" w:rsidRDefault="00403636" w:rsidP="00403636">
      <w:pPr>
        <w:pStyle w:val="Heading1"/>
        <w:rPr>
          <w:rFonts w:ascii="Times New Roman" w:hAnsi="Times New Roman" w:cs="Times New Roman"/>
        </w:rPr>
      </w:pPr>
    </w:p>
    <w:p w14:paraId="644BEDC8" w14:textId="76D6F7D9" w:rsidR="00403636" w:rsidRPr="00E30636" w:rsidRDefault="00403636" w:rsidP="00403636">
      <w:pPr>
        <w:pStyle w:val="Heading1"/>
        <w:rPr>
          <w:rFonts w:ascii="Times New Roman" w:hAnsi="Times New Roman" w:cs="Times New Roman"/>
        </w:rPr>
      </w:pPr>
      <w:r w:rsidRPr="00E30636">
        <w:rPr>
          <w:rFonts w:ascii="Times New Roman" w:hAnsi="Times New Roman" w:cs="Times New Roman"/>
        </w:rPr>
        <w:t xml:space="preserve">Key practitioner </w:t>
      </w:r>
      <w:r w:rsidR="00C467E4" w:rsidRPr="00E30636">
        <w:rPr>
          <w:rFonts w:ascii="Times New Roman" w:hAnsi="Times New Roman" w:cs="Times New Roman"/>
        </w:rPr>
        <w:t>messages</w:t>
      </w:r>
    </w:p>
    <w:p w14:paraId="0F39C768" w14:textId="529C03DA" w:rsidR="00403636" w:rsidRPr="00D06237" w:rsidRDefault="00403636" w:rsidP="008A14F6">
      <w:pPr>
        <w:pStyle w:val="ListParagraph"/>
        <w:numPr>
          <w:ilvl w:val="0"/>
          <w:numId w:val="4"/>
        </w:numPr>
        <w:spacing w:line="480" w:lineRule="auto"/>
        <w:rPr>
          <w:rFonts w:ascii="Times New Roman" w:hAnsi="Times New Roman" w:cs="Times New Roman"/>
        </w:rPr>
      </w:pPr>
      <w:r w:rsidRPr="002A316F">
        <w:rPr>
          <w:rFonts w:ascii="Times New Roman" w:hAnsi="Times New Roman" w:cs="Times New Roman"/>
        </w:rPr>
        <w:t>Modelling using</w:t>
      </w:r>
      <w:r w:rsidR="008A14F6" w:rsidRPr="002A316F">
        <w:rPr>
          <w:rFonts w:ascii="Times New Roman" w:hAnsi="Times New Roman" w:cs="Times New Roman"/>
        </w:rPr>
        <w:t xml:space="preserve"> only</w:t>
      </w:r>
      <w:r w:rsidRPr="002A316F">
        <w:rPr>
          <w:rFonts w:ascii="Times New Roman" w:hAnsi="Times New Roman" w:cs="Times New Roman"/>
        </w:rPr>
        <w:t xml:space="preserve"> police data can provide insight into the population of children who may have suffered from ACEs</w:t>
      </w:r>
      <w:r w:rsidR="00C15106" w:rsidRPr="00B313E7">
        <w:rPr>
          <w:rFonts w:ascii="Times New Roman" w:hAnsi="Times New Roman" w:cs="Times New Roman"/>
        </w:rPr>
        <w:t xml:space="preserve"> but</w:t>
      </w:r>
      <w:r w:rsidRPr="00B313E7">
        <w:rPr>
          <w:rFonts w:ascii="Times New Roman" w:hAnsi="Times New Roman" w:cs="Times New Roman"/>
        </w:rPr>
        <w:t xml:space="preserve"> may not provide </w:t>
      </w:r>
      <w:r w:rsidR="005647B3">
        <w:rPr>
          <w:rFonts w:ascii="Times New Roman" w:hAnsi="Times New Roman" w:cs="Times New Roman"/>
        </w:rPr>
        <w:t xml:space="preserve">significant </w:t>
      </w:r>
      <w:r w:rsidRPr="00B313E7">
        <w:rPr>
          <w:rFonts w:ascii="Times New Roman" w:hAnsi="Times New Roman" w:cs="Times New Roman"/>
        </w:rPr>
        <w:t>opportunities for early intervention</w:t>
      </w:r>
    </w:p>
    <w:p w14:paraId="02CF1AC4" w14:textId="74C3F215" w:rsidR="008A14F6" w:rsidRPr="001473C6" w:rsidRDefault="00403636" w:rsidP="008A14F6">
      <w:pPr>
        <w:pStyle w:val="ListParagraph"/>
        <w:numPr>
          <w:ilvl w:val="0"/>
          <w:numId w:val="4"/>
        </w:numPr>
        <w:spacing w:line="480" w:lineRule="auto"/>
        <w:rPr>
          <w:rFonts w:ascii="Times New Roman" w:hAnsi="Times New Roman" w:cs="Times New Roman"/>
        </w:rPr>
      </w:pPr>
      <w:r w:rsidRPr="00EB5D10">
        <w:rPr>
          <w:rFonts w:ascii="Times New Roman" w:hAnsi="Times New Roman" w:cs="Times New Roman"/>
        </w:rPr>
        <w:t xml:space="preserve">There is </w:t>
      </w:r>
      <w:r w:rsidR="008A14F6" w:rsidRPr="00EB5D10">
        <w:rPr>
          <w:rFonts w:ascii="Times New Roman" w:hAnsi="Times New Roman" w:cs="Times New Roman"/>
        </w:rPr>
        <w:t>a clear need for defini</w:t>
      </w:r>
      <w:r w:rsidR="00C15106" w:rsidRPr="00A753CD">
        <w:rPr>
          <w:rFonts w:ascii="Times New Roman" w:hAnsi="Times New Roman" w:cs="Times New Roman"/>
        </w:rPr>
        <w:t>ng</w:t>
      </w:r>
      <w:r w:rsidR="008A14F6" w:rsidRPr="00A753CD">
        <w:rPr>
          <w:rFonts w:ascii="Times New Roman" w:hAnsi="Times New Roman" w:cs="Times New Roman"/>
        </w:rPr>
        <w:t xml:space="preserve"> the role of UK police forces in the delivery of early intervention</w:t>
      </w:r>
    </w:p>
    <w:p w14:paraId="46375B29" w14:textId="1C2AF54F" w:rsidR="00403636" w:rsidRPr="002A316F" w:rsidRDefault="008A14F6" w:rsidP="008A14F6">
      <w:pPr>
        <w:pStyle w:val="ListParagraph"/>
        <w:numPr>
          <w:ilvl w:val="0"/>
          <w:numId w:val="4"/>
        </w:numPr>
        <w:spacing w:line="480" w:lineRule="auto"/>
        <w:rPr>
          <w:rFonts w:ascii="Times New Roman" w:hAnsi="Times New Roman" w:cs="Times New Roman"/>
        </w:rPr>
      </w:pPr>
      <w:r w:rsidRPr="002A316F">
        <w:rPr>
          <w:rFonts w:ascii="Times New Roman" w:hAnsi="Times New Roman" w:cs="Times New Roman"/>
        </w:rPr>
        <w:t>It is evident that multi-agency working/data sharing is crucial to preventing the duplication of referrals and interventions conducted with young people who have experienced ACEs</w:t>
      </w:r>
    </w:p>
    <w:p w14:paraId="77F13BF7" w14:textId="77777777" w:rsidR="00403636" w:rsidRPr="002A316F" w:rsidRDefault="00403636" w:rsidP="007F779A">
      <w:pPr>
        <w:spacing w:line="480" w:lineRule="auto"/>
        <w:rPr>
          <w:rFonts w:ascii="Times New Roman" w:hAnsi="Times New Roman" w:cs="Times New Roman"/>
        </w:rPr>
      </w:pPr>
    </w:p>
    <w:p w14:paraId="45297C9F" w14:textId="10990699" w:rsidR="00F176D1" w:rsidRPr="002A316F" w:rsidRDefault="00F176D1" w:rsidP="00D96839">
      <w:pPr>
        <w:pStyle w:val="Heading1"/>
        <w:spacing w:line="480" w:lineRule="auto"/>
        <w:rPr>
          <w:rFonts w:ascii="Times New Roman" w:hAnsi="Times New Roman" w:cs="Times New Roman"/>
        </w:rPr>
      </w:pPr>
      <w:r w:rsidRPr="002A316F">
        <w:rPr>
          <w:rFonts w:ascii="Times New Roman" w:hAnsi="Times New Roman" w:cs="Times New Roman"/>
        </w:rPr>
        <w:t>Keywords</w:t>
      </w:r>
    </w:p>
    <w:p w14:paraId="639EB720" w14:textId="77777777" w:rsidR="00F176D1" w:rsidRPr="002A316F" w:rsidRDefault="00F176D1" w:rsidP="007F779A">
      <w:pPr>
        <w:spacing w:line="480" w:lineRule="auto"/>
        <w:rPr>
          <w:rFonts w:ascii="Times New Roman" w:hAnsi="Times New Roman" w:cs="Times New Roman"/>
        </w:rPr>
      </w:pPr>
      <w:r w:rsidRPr="002A316F">
        <w:rPr>
          <w:rFonts w:ascii="Times New Roman" w:hAnsi="Times New Roman" w:cs="Times New Roman"/>
        </w:rPr>
        <w:t>Child maltreatment</w:t>
      </w:r>
    </w:p>
    <w:p w14:paraId="5AE43EE2" w14:textId="77777777" w:rsidR="00F176D1" w:rsidRPr="002A316F" w:rsidRDefault="00F176D1" w:rsidP="007F779A">
      <w:pPr>
        <w:spacing w:line="480" w:lineRule="auto"/>
        <w:rPr>
          <w:rFonts w:ascii="Times New Roman" w:hAnsi="Times New Roman" w:cs="Times New Roman"/>
        </w:rPr>
      </w:pPr>
      <w:r w:rsidRPr="002A316F">
        <w:rPr>
          <w:rFonts w:ascii="Times New Roman" w:hAnsi="Times New Roman" w:cs="Times New Roman"/>
        </w:rPr>
        <w:t>Adverse Childhood Experiences</w:t>
      </w:r>
    </w:p>
    <w:p w14:paraId="0E5ED4EC" w14:textId="77777777" w:rsidR="00F176D1" w:rsidRPr="002A316F" w:rsidRDefault="00F176D1" w:rsidP="007F779A">
      <w:pPr>
        <w:spacing w:line="480" w:lineRule="auto"/>
        <w:rPr>
          <w:rFonts w:ascii="Times New Roman" w:hAnsi="Times New Roman" w:cs="Times New Roman"/>
        </w:rPr>
      </w:pPr>
      <w:r w:rsidRPr="002A316F">
        <w:rPr>
          <w:rFonts w:ascii="Times New Roman" w:hAnsi="Times New Roman" w:cs="Times New Roman"/>
        </w:rPr>
        <w:t>Prevention</w:t>
      </w:r>
    </w:p>
    <w:p w14:paraId="13AE0438" w14:textId="73C46020" w:rsidR="00715C5B" w:rsidRPr="002A316F" w:rsidRDefault="00C45687" w:rsidP="00D96839">
      <w:pPr>
        <w:spacing w:line="480" w:lineRule="auto"/>
        <w:rPr>
          <w:rFonts w:ascii="Times New Roman" w:hAnsi="Times New Roman" w:cs="Times New Roman"/>
        </w:rPr>
      </w:pPr>
      <w:r w:rsidRPr="002A316F">
        <w:rPr>
          <w:rFonts w:ascii="Times New Roman" w:hAnsi="Times New Roman" w:cs="Times New Roman"/>
        </w:rPr>
        <w:t>Policing</w:t>
      </w:r>
      <w:bookmarkStart w:id="2" w:name="_Toc515579298"/>
    </w:p>
    <w:p w14:paraId="0B5DA9B3" w14:textId="35D50A89" w:rsidR="00A45718" w:rsidRPr="002A316F" w:rsidRDefault="005810D8" w:rsidP="00555EF0">
      <w:pPr>
        <w:pStyle w:val="Heading1"/>
        <w:spacing w:line="480" w:lineRule="auto"/>
        <w:rPr>
          <w:rFonts w:ascii="Times New Roman" w:hAnsi="Times New Roman" w:cs="Times New Roman"/>
        </w:rPr>
      </w:pPr>
      <w:r w:rsidRPr="002A316F">
        <w:rPr>
          <w:rFonts w:ascii="Times New Roman" w:hAnsi="Times New Roman" w:cs="Times New Roman"/>
        </w:rPr>
        <w:t>Background</w:t>
      </w:r>
      <w:bookmarkEnd w:id="2"/>
    </w:p>
    <w:p w14:paraId="5BBFE650" w14:textId="069A6D29" w:rsidR="00751F2E" w:rsidRPr="002A316F" w:rsidRDefault="005810D8" w:rsidP="007F779A">
      <w:pPr>
        <w:spacing w:line="480" w:lineRule="auto"/>
        <w:rPr>
          <w:rFonts w:ascii="Times New Roman" w:hAnsi="Times New Roman" w:cs="Times New Roman"/>
        </w:rPr>
      </w:pPr>
      <w:r w:rsidRPr="002A316F">
        <w:rPr>
          <w:rFonts w:ascii="Times New Roman" w:hAnsi="Times New Roman" w:cs="Times New Roman"/>
          <w:color w:val="000000" w:themeColor="text1"/>
        </w:rPr>
        <w:t xml:space="preserve">Researchers, policymakers and service providers are increasingly interested in the impact of </w:t>
      </w:r>
      <w:r w:rsidR="00715C5B" w:rsidRPr="002A316F">
        <w:rPr>
          <w:rFonts w:ascii="Times New Roman" w:hAnsi="Times New Roman" w:cs="Times New Roman"/>
          <w:color w:val="000000" w:themeColor="text1"/>
        </w:rPr>
        <w:t xml:space="preserve">adversity during </w:t>
      </w:r>
      <w:r w:rsidRPr="002A316F">
        <w:rPr>
          <w:rFonts w:ascii="Times New Roman" w:hAnsi="Times New Roman" w:cs="Times New Roman"/>
          <w:color w:val="000000" w:themeColor="text1"/>
        </w:rPr>
        <w:t xml:space="preserve">early life experiences on future life </w:t>
      </w:r>
      <w:r w:rsidR="00C37870" w:rsidRPr="002A316F">
        <w:rPr>
          <w:rFonts w:ascii="Times New Roman" w:hAnsi="Times New Roman" w:cs="Times New Roman"/>
          <w:color w:val="000000" w:themeColor="text1"/>
        </w:rPr>
        <w:t>outcomes</w:t>
      </w:r>
      <w:r w:rsidR="00715C5B" w:rsidRPr="002A316F">
        <w:rPr>
          <w:rFonts w:ascii="Times New Roman" w:hAnsi="Times New Roman" w:cs="Times New Roman"/>
          <w:color w:val="000000" w:themeColor="text1"/>
        </w:rPr>
        <w:t>, and the potential of ‘early intervention’ to prevent such outcomes</w:t>
      </w:r>
      <w:r w:rsidR="000B6828" w:rsidRPr="002A316F">
        <w:rPr>
          <w:rFonts w:ascii="Times New Roman" w:hAnsi="Times New Roman" w:cs="Times New Roman"/>
          <w:color w:val="000000" w:themeColor="text1"/>
        </w:rPr>
        <w:t xml:space="preserve"> </w:t>
      </w:r>
      <w:r w:rsidR="000B6828" w:rsidRPr="002A316F">
        <w:rPr>
          <w:rFonts w:ascii="Times New Roman" w:hAnsi="Times New Roman" w:cs="Times New Roman"/>
          <w:color w:val="000000" w:themeColor="text1"/>
        </w:rPr>
        <w:fldChar w:fldCharType="begin" w:fldLock="1"/>
      </w:r>
      <w:r w:rsidR="00D06237">
        <w:rPr>
          <w:rFonts w:ascii="Times New Roman" w:hAnsi="Times New Roman" w:cs="Times New Roman"/>
          <w:color w:val="000000" w:themeColor="text1"/>
        </w:rPr>
        <w:instrText>ADDIN CSL_CITATION {"citationItems":[{"id":"ITEM-1","itemData":{"DOI":"10.1186/1741-7015-12-72","ISSN":"1741-7015","PMID":"24886026","abstract":"BACKGROUND Epidemiological and biomedical evidence link adverse childhood experiences (ACEs) with health-harming behaviors and the development of non-communicable disease in adults. Investment in interventions to improve early life experiences requires empirical evidence on levels of childhood adversity and the proportion of HHBs potentially avoided should such adversity be addressed. METHODS A nationally representative survey of English residents aged 18 to 69 (n = 3,885) was undertaken during the period April to July 2013. Individuals were categorized according to the number of ACEs experienced. Modeling identified the proportions of HHBs (early sexual initiation, unintended teenage pregnancy, smoking, binge drinking, drug use, violence victimization, violence perpetration, incarceration, poor diet, low levels of physical exercise) independently associated with ACEs at national population levels. RESULTS Almost half (47%) of individuals experienced at least one of the nine ACEs. Prevalence of childhood sexual, physical, and verbal abuse was 6.3%, 14.8%, and 18.2% respectively (population-adjusted). After correcting for sociodemographics, ACE counts predicted all HHBs, e.g. (0 versus 4+ ACEs, adjusted odds ratios (95% confidence intervals)): smoking 3.29 (2.54 to 4.27); violence perpetration 7.71 (4.90 to 12.14); unintended teenage pregnancy 5.86 (3.93 to 8.74). Modeling suggested that 11.9% of binge drinking, 13.6% of poor diet, 22.7% of smoking, 52.0% of violence perpetration, 58.7% of heroin/crack cocaine use, and 37.6% of unintended teenage pregnancy prevalence nationally could be attributed to ACEs. CONCLUSIONS Stable and protective childhoods are critical factors in the development of resilience to health-harming behaviors in England. Interventions to reduce ACEs are available and sustainable, with nurturing childhoods supporting the adoption of health-benefiting behaviors and ultimately the provision of positive childhood environments for future generations.","author":[{"dropping-particle":"","family":"Bellis","given":"Mark A","non-dropping-particle":"","parse-names":false,"suffix":""},{"dropping-particle":"","family":"Hughes","given":"Karen","non-dropping-particle":"","parse-names":false,"suffix":""},{"dropping-particle":"","family":"Leckenby","given":"Nicola","non-dropping-particle":"","parse-names":false,"suffix":""},{"dropping-particle":"","family":"Perkins","given":"Clare","non-dropping-particle":"","parse-names":false,"suffix":""},{"dropping-particle":"","family":"Lowey","given":"Helen","non-dropping-particle":"","parse-names":false,"suffix":""}],"container-title":"BMC Medicine","id":"ITEM-1","issue":"1","issued":{"date-parts":[["2014","12","2"]]},"page":"72","title":"National household survey of adverse childhood experiences and their relationship with resilience to health-harming behaviors in England","type":"article-journal","volume":"12"},"uris":["http://www.mendeley.com/documents/?uuid=fb116922-1042-3e65-bc03-c18dd3158d2c"]},{"id":"ITEM-2","itemData":{"author":[{"dropping-particle":"","family":"UCL Institute of Health Equity","given":"","non-dropping-particle":"","parse-names":false,"suffix":""}],"id":"ITEM-2","issued":{"date-parts":[["2015"]]},"title":"The impact of adverse experiences in the home on the health of children and young people, and inequalities in prevalence and effects The impact of adverse experiences in the home on the health of children and young people, and inequalities in prevalence and effects 3","type":"report"},"uris":["http://www.mendeley.com/documents/?uuid=900b1b9b-d898-3ba8-90fb-2833db6c6395"]},{"id":"ITEM-3","itemData":{"author":[{"dropping-particle":"","family":"Couper","given":"Sarah","non-dropping-particle":"","parse-names":false,"suffix":""},{"dropping-particle":"","family":"Mackie","given":"Phil","non-dropping-particle":"","parse-names":false,"suffix":""}],"id":"ITEM-3","issued":{"date-parts":[["2016"]]},"title":"Scottish Public Health Network (ScotPHN) 'Polishing the Diamonds' Addressing Adverse Childhood Experiences in Scotland","type":"report"},"uris":["http://www.mendeley.com/documents/?uuid=2333dd49-a4f3-3d61-9651-6907cd47142d"]},{"id":"ITEM-4","itemData":{"author":[{"dropping-particle":"","family":"Public Health Wales","given":"","non-dropping-particle":"","parse-names":false,"suffix":""}],"id":"ITEM-4","issued":{"date-parts":[["2015"]]},"title":"Adverse Childhood Experiences and their impact on health-harming behaviours in the Welsh adult population Welsh Adverse Childhood Experiences (ACE) Study","type":"article-journal"},"uris":["http://www.mendeley.com/documents/?uuid=8935e0e7-99c3-375b-a6fb-d3532bde991c"]}],"mendeley":{"formattedCitation":"(Bellis &lt;i&gt;et al.&lt;/i&gt;, 2014; Public Health Wales, 2015; UCL Institute of Health Equity, 2015; Couper and Mackie, 2016)","plainTextFormattedCitation":"(Bellis et al., 2014; Public Health Wales, 2015; UCL Institute of Health Equity, 2015; Couper and Mackie, 2016)","previouslyFormattedCitation":"(Bellis &lt;i&gt;et al.&lt;/i&gt;, 2014; Public Health Wales, 2015; UCL Institute of Health Equity, 2015; Couper and Mackie, 2016)"},"properties":{"noteIndex":0},"schema":"https://github.com/citation-style-language/schema/raw/master/csl-citation.json"}</w:instrText>
      </w:r>
      <w:r w:rsidR="000B6828" w:rsidRPr="00E30636">
        <w:rPr>
          <w:rFonts w:ascii="Times New Roman" w:hAnsi="Times New Roman" w:cs="Times New Roman"/>
          <w:color w:val="000000" w:themeColor="text1"/>
        </w:rPr>
        <w:fldChar w:fldCharType="separate"/>
      </w:r>
      <w:r w:rsidR="00B313E7" w:rsidRPr="00B313E7">
        <w:rPr>
          <w:rFonts w:ascii="Times New Roman" w:hAnsi="Times New Roman" w:cs="Times New Roman"/>
          <w:noProof/>
          <w:color w:val="000000" w:themeColor="text1"/>
        </w:rPr>
        <w:t xml:space="preserve">(Bellis </w:t>
      </w:r>
      <w:r w:rsidR="00B313E7" w:rsidRPr="00B313E7">
        <w:rPr>
          <w:rFonts w:ascii="Times New Roman" w:hAnsi="Times New Roman" w:cs="Times New Roman"/>
          <w:i/>
          <w:noProof/>
          <w:color w:val="000000" w:themeColor="text1"/>
        </w:rPr>
        <w:t>et al.</w:t>
      </w:r>
      <w:r w:rsidR="00B313E7" w:rsidRPr="00B313E7">
        <w:rPr>
          <w:rFonts w:ascii="Times New Roman" w:hAnsi="Times New Roman" w:cs="Times New Roman"/>
          <w:noProof/>
          <w:color w:val="000000" w:themeColor="text1"/>
        </w:rPr>
        <w:t>, 2014; Public Health Wales, 2015; UCL Institute of Health Equity, 2015; Couper and Mackie, 2016)</w:t>
      </w:r>
      <w:r w:rsidR="000B6828" w:rsidRPr="002A316F">
        <w:rPr>
          <w:rFonts w:ascii="Times New Roman" w:hAnsi="Times New Roman" w:cs="Times New Roman"/>
          <w:color w:val="000000" w:themeColor="text1"/>
        </w:rPr>
        <w:fldChar w:fldCharType="end"/>
      </w:r>
      <w:r w:rsidRPr="002A316F">
        <w:rPr>
          <w:rFonts w:ascii="Times New Roman" w:hAnsi="Times New Roman" w:cs="Times New Roman"/>
          <w:color w:val="000000" w:themeColor="text1"/>
        </w:rPr>
        <w:t>.</w:t>
      </w:r>
      <w:r w:rsidR="000B6828" w:rsidRPr="002A316F">
        <w:rPr>
          <w:rFonts w:ascii="Times New Roman" w:hAnsi="Times New Roman" w:cs="Times New Roman"/>
          <w:color w:val="000000" w:themeColor="text1"/>
        </w:rPr>
        <w:t xml:space="preserve"> </w:t>
      </w:r>
      <w:r w:rsidRPr="002A316F">
        <w:rPr>
          <w:rFonts w:ascii="Times New Roman" w:hAnsi="Times New Roman" w:cs="Times New Roman"/>
          <w:color w:val="000000" w:themeColor="text1"/>
        </w:rPr>
        <w:t xml:space="preserve"> </w:t>
      </w:r>
      <w:r w:rsidR="005C4709" w:rsidRPr="002A316F">
        <w:rPr>
          <w:rFonts w:ascii="Times New Roman" w:hAnsi="Times New Roman" w:cs="Times New Roman"/>
          <w:color w:val="000000" w:themeColor="text1"/>
        </w:rPr>
        <w:t xml:space="preserve">A </w:t>
      </w:r>
      <w:r w:rsidR="00A45718" w:rsidRPr="00B313E7">
        <w:rPr>
          <w:rFonts w:ascii="Times New Roman" w:hAnsi="Times New Roman" w:cs="Times New Roman"/>
          <w:color w:val="000000" w:themeColor="text1"/>
        </w:rPr>
        <w:t>dominant</w:t>
      </w:r>
      <w:r w:rsidRPr="00B313E7">
        <w:rPr>
          <w:rFonts w:ascii="Times New Roman" w:hAnsi="Times New Roman" w:cs="Times New Roman"/>
          <w:color w:val="000000" w:themeColor="text1"/>
        </w:rPr>
        <w:t xml:space="preserve"> framework for understanding this relationship is that </w:t>
      </w:r>
      <w:r w:rsidR="00EA27A5" w:rsidRPr="00D06237">
        <w:rPr>
          <w:rFonts w:ascii="Times New Roman" w:hAnsi="Times New Roman" w:cs="Times New Roman"/>
          <w:color w:val="000000" w:themeColor="text1"/>
        </w:rPr>
        <w:t>derived from</w:t>
      </w:r>
      <w:r w:rsidRPr="00D06237">
        <w:rPr>
          <w:rFonts w:ascii="Times New Roman" w:hAnsi="Times New Roman" w:cs="Times New Roman"/>
          <w:color w:val="000000" w:themeColor="text1"/>
        </w:rPr>
        <w:t xml:space="preserve"> the Adverse Childhood Experiences (ACEs) study, undertaken by </w:t>
      </w:r>
      <w:r w:rsidR="00024E99" w:rsidRPr="002A316F">
        <w:rPr>
          <w:rFonts w:ascii="Times New Roman" w:hAnsi="Times New Roman" w:cs="Times New Roman"/>
          <w:color w:val="000000" w:themeColor="text1"/>
        </w:rPr>
        <w:fldChar w:fldCharType="begin" w:fldLock="1"/>
      </w:r>
      <w:r w:rsidR="00D06237">
        <w:rPr>
          <w:rFonts w:ascii="Times New Roman" w:hAnsi="Times New Roman" w:cs="Times New Roman"/>
          <w:color w:val="000000" w:themeColor="text1"/>
        </w:rPr>
        <w:instrText>ADDIN CSL_CITATION {"citationItems":[{"id":"ITEM-1","itemData":{"ISSN":"0749-3797","PMID":"9635069","abstract":"BACKGROUND The relationship of health risk behavior and disease in adulthood to the breadth of exposure to childhood emotional, physical, or sexual abuse, and household dysfunction during childhood has not previously been described. METHODS A questionnaire about adverse childhood experiences was mailed to 13,494 adults who had completed a standardized medical evaluation at a large HMO; 9,508 (70.5%) responded. Seven categories of adverse childhood experiences were studied: psychological, physical, or sexual abuse; violence against mother; or living with household members who were substance abusers, mentally ill or suicidal, or ever imprisoned. The number of categories of these adverse childhood experiences was then compared to measures of adult risk behavior, health status, and disease. Logistic regression was used to adjust for effects of demographic factors on the association between the cumulative number of categories of childhood exposures (range: 0-7) and risk factors for the leading causes of death in adult life. RESULTS More than half of respondents reported at least one, and one-fourth reported &gt; or = 2 categories of childhood exposures. We found a graded relationship between the number of categories of childhood exposure and each of the adult health risk behaviors and diseases that were studied (P &lt; .001). Persons who had experienced four or more categories of childhood exposure, compared to those who had experienced none, had 4- to 12-fold increased health risks for alcoholism, drug abuse, depression, and suicide attempt; a 2- to 4-fold increase in smoking, poor self-rated health, &gt; or = 50 sexual intercourse partners, and sexually transmitted disease; and 1.4- to 1.6-fold increase in physical inactivity and severe obesity. The number of categories of adverse childhood exposures showed a graded relationship to the presence of adult diseases including ischemic heart disease, cancer, chronic lung disease, skeletal fractures, and liver disease. The seven categories of adverse childhood experiences were strongly interrelated and persons with multiple categories of childhood exposure were likely to have multiple health risk factors later in life. CONCLUSIONS We found a strong graded relationship between the breadth of exposure to abuse or household dysfunction during childhood and multiple risk factors for several of the leading causes of death in adults.","author":[{"dropping-particle":"","family":"Felitti","given":"V J","non-dropping-particle":"","parse-names":false,"suffix":""},{"dropping-particle":"","family":"Anda","given":"R F","non-dropping-particle":"","parse-names":false,"suffix":""},{"dropping-particle":"","family":"Nordenberg","given":"D","non-dropping-particle":"","parse-names":false,"suffix":""},{"dropping-particle":"","family":"Williamson","given":"D F","non-dropping-particle":"","parse-names":false,"suffix":""},{"dropping-particle":"","family":"Spitz","given":"A M","non-dropping-particle":"","parse-names":false,"suffix":""},{"dropping-particle":"","family":"Edwards","given":"V","non-dropping-particle":"","parse-names":false,"suffix":""},{"dropping-particle":"","family":"Koss","given":"M P","non-dropping-particle":"","parse-names":false,"suffix":""},{"dropping-particle":"","family":"Marks","given":"J S","non-dropping-particle":"","parse-names":false,"suffix":""}],"container-title":"American journal of preventive medicine","id":"ITEM-1","issue":"4","issued":{"date-parts":[["1998","5"]]},"page":"245-58","title":"Relationship of childhood abuse and household dysfunction to many of the leading causes of death in adults. The Adverse Childhood Experiences (ACE) Study.","type":"article-journal","volume":"14"},"uris":["http://www.mendeley.com/documents/?uuid=884c835d-f00b-3b18-b7c1-6c49b61bc27a"]}],"mendeley":{"formattedCitation":"(Felitti &lt;i&gt;et al.&lt;/i&gt;, 1998)","manualFormatting":" Felitti et al. (1998)","plainTextFormattedCitation":"(Felitti et al., 1998)","previouslyFormattedCitation":"(Felitti &lt;i&gt;et al.&lt;/i&gt;, 1998)"},"properties":{"noteIndex":0},"schema":"https://github.com/citation-style-language/schema/raw/master/csl-citation.json"}</w:instrText>
      </w:r>
      <w:r w:rsidR="00024E99" w:rsidRPr="00E30636">
        <w:rPr>
          <w:rFonts w:ascii="Times New Roman" w:hAnsi="Times New Roman" w:cs="Times New Roman"/>
          <w:color w:val="000000" w:themeColor="text1"/>
        </w:rPr>
        <w:fldChar w:fldCharType="separate"/>
      </w:r>
      <w:r w:rsidR="00024E99" w:rsidRPr="002A316F">
        <w:rPr>
          <w:rFonts w:ascii="Times New Roman" w:hAnsi="Times New Roman" w:cs="Times New Roman"/>
          <w:noProof/>
          <w:color w:val="000000" w:themeColor="text1"/>
        </w:rPr>
        <w:t xml:space="preserve"> Felitti et al. (1998)</w:t>
      </w:r>
      <w:r w:rsidR="00024E99" w:rsidRPr="002A316F">
        <w:rPr>
          <w:rFonts w:ascii="Times New Roman" w:hAnsi="Times New Roman" w:cs="Times New Roman"/>
          <w:color w:val="000000" w:themeColor="text1"/>
        </w:rPr>
        <w:fldChar w:fldCharType="end"/>
      </w:r>
      <w:r w:rsidRPr="002A316F">
        <w:rPr>
          <w:rFonts w:ascii="Times New Roman" w:hAnsi="Times New Roman" w:cs="Times New Roman"/>
          <w:color w:val="000000" w:themeColor="text1"/>
        </w:rPr>
        <w:t xml:space="preserve">. </w:t>
      </w:r>
      <w:r w:rsidR="00674048" w:rsidRPr="002A316F">
        <w:rPr>
          <w:rFonts w:ascii="Times New Roman" w:hAnsi="Times New Roman" w:cs="Times New Roman"/>
        </w:rPr>
        <w:t xml:space="preserve">The </w:t>
      </w:r>
      <w:r w:rsidR="00674048" w:rsidRPr="002A316F">
        <w:rPr>
          <w:rFonts w:ascii="Times New Roman" w:hAnsi="Times New Roman" w:cs="Times New Roman"/>
        </w:rPr>
        <w:lastRenderedPageBreak/>
        <w:t>ACEs study</w:t>
      </w:r>
      <w:r w:rsidR="002A316F">
        <w:rPr>
          <w:rFonts w:ascii="Times New Roman" w:hAnsi="Times New Roman" w:cs="Times New Roman"/>
        </w:rPr>
        <w:t xml:space="preserve"> originally</w:t>
      </w:r>
      <w:r w:rsidR="00674048" w:rsidRPr="002A316F">
        <w:rPr>
          <w:rFonts w:ascii="Times New Roman" w:hAnsi="Times New Roman" w:cs="Times New Roman"/>
        </w:rPr>
        <w:t xml:space="preserve"> identified</w:t>
      </w:r>
      <w:r w:rsidR="00EA27A5" w:rsidRPr="002A316F">
        <w:rPr>
          <w:rFonts w:ascii="Times New Roman" w:hAnsi="Times New Roman" w:cs="Times New Roman"/>
        </w:rPr>
        <w:t xml:space="preserve"> </w:t>
      </w:r>
      <w:r w:rsidR="002A316F">
        <w:rPr>
          <w:rFonts w:ascii="Times New Roman" w:hAnsi="Times New Roman" w:cs="Times New Roman"/>
        </w:rPr>
        <w:t>seven</w:t>
      </w:r>
      <w:r w:rsidR="002A316F" w:rsidRPr="002A316F">
        <w:rPr>
          <w:rFonts w:ascii="Times New Roman" w:hAnsi="Times New Roman" w:cs="Times New Roman"/>
        </w:rPr>
        <w:t xml:space="preserve"> </w:t>
      </w:r>
      <w:r w:rsidR="00EA27A5" w:rsidRPr="002A316F">
        <w:rPr>
          <w:rFonts w:ascii="Times New Roman" w:hAnsi="Times New Roman" w:cs="Times New Roman"/>
        </w:rPr>
        <w:t xml:space="preserve">areas </w:t>
      </w:r>
      <w:r w:rsidR="00674048" w:rsidRPr="002A316F">
        <w:rPr>
          <w:rFonts w:ascii="Times New Roman" w:hAnsi="Times New Roman" w:cs="Times New Roman"/>
        </w:rPr>
        <w:t>relating to direct abuse or household dysfunction</w:t>
      </w:r>
      <w:r w:rsidR="00B313E7">
        <w:rPr>
          <w:rFonts w:ascii="Times New Roman" w:hAnsi="Times New Roman" w:cs="Times New Roman"/>
        </w:rPr>
        <w:t xml:space="preserve"> before the researchers added in further questions on neglect and trauma to describe 10 ACEs in total </w:t>
      </w:r>
      <w:r w:rsidR="00B313E7">
        <w:rPr>
          <w:rFonts w:ascii="Times New Roman" w:hAnsi="Times New Roman" w:cs="Times New Roman"/>
        </w:rPr>
        <w:fldChar w:fldCharType="begin" w:fldLock="1"/>
      </w:r>
      <w:r w:rsidR="00D06237">
        <w:rPr>
          <w:rFonts w:ascii="Times New Roman" w:hAnsi="Times New Roman" w:cs="Times New Roman"/>
        </w:rPr>
        <w:instrText>ADDIN CSL_CITATION {"citationItems":[{"id":"ITEM-1","itemData":{"URL":"https://acestoohigh.com/2012/10/03/the-adverse-childhood-experiences-study-the-largest-most-important-public-health-study-you-never-heard-of-began-in-an-obesity-clinic/","accessed":{"date-parts":[["2019","11","17"]]},"author":[{"dropping-particle":"","family":"Stevens","given":"Jane Ellen","non-dropping-particle":"","parse-names":false,"suffix":""}],"id":"ITEM-1","issued":{"date-parts":[["2012"]]},"title":"The Adverse Childhood Experiences Study — the largest, most important public health study you never heard of — began in an obesity clinic « ACEs Too High","type":"webpage"},"uris":["http://www.mendeley.com/documents/?uuid=884a2a6e-8b71-3a7e-8bba-6f76b4b9ca5f"]}],"mendeley":{"formattedCitation":"(Stevens, 2012)","plainTextFormattedCitation":"(Stevens, 2012)","previouslyFormattedCitation":"(Stevens, 2012)"},"properties":{"noteIndex":0},"schema":"https://github.com/citation-style-language/schema/raw/master/csl-citation.json"}</w:instrText>
      </w:r>
      <w:r w:rsidR="00B313E7">
        <w:rPr>
          <w:rFonts w:ascii="Times New Roman" w:hAnsi="Times New Roman" w:cs="Times New Roman"/>
        </w:rPr>
        <w:fldChar w:fldCharType="separate"/>
      </w:r>
      <w:r w:rsidR="00B313E7" w:rsidRPr="00B313E7">
        <w:rPr>
          <w:rFonts w:ascii="Times New Roman" w:hAnsi="Times New Roman" w:cs="Times New Roman"/>
          <w:noProof/>
        </w:rPr>
        <w:t>(Stevens, 2012)</w:t>
      </w:r>
      <w:r w:rsidR="00B313E7">
        <w:rPr>
          <w:rFonts w:ascii="Times New Roman" w:hAnsi="Times New Roman" w:cs="Times New Roman"/>
        </w:rPr>
        <w:fldChar w:fldCharType="end"/>
      </w:r>
      <w:r w:rsidR="00674048" w:rsidRPr="002A316F">
        <w:rPr>
          <w:rFonts w:ascii="Times New Roman" w:hAnsi="Times New Roman" w:cs="Times New Roman"/>
        </w:rPr>
        <w:t>.</w:t>
      </w:r>
      <w:r w:rsidR="00EA27A5" w:rsidRPr="002A316F">
        <w:rPr>
          <w:rFonts w:ascii="Times New Roman" w:hAnsi="Times New Roman" w:cs="Times New Roman"/>
        </w:rPr>
        <w:t xml:space="preserve"> </w:t>
      </w:r>
      <w:r w:rsidR="00751F2E" w:rsidRPr="002A316F">
        <w:rPr>
          <w:rFonts w:ascii="Times New Roman" w:hAnsi="Times New Roman" w:cs="Times New Roman"/>
          <w:color w:val="000000" w:themeColor="text1"/>
        </w:rPr>
        <w:t>The initial</w:t>
      </w:r>
      <w:r w:rsidR="00EA27A5" w:rsidRPr="002A316F">
        <w:rPr>
          <w:rFonts w:ascii="Times New Roman" w:hAnsi="Times New Roman" w:cs="Times New Roman"/>
          <w:color w:val="000000" w:themeColor="text1"/>
        </w:rPr>
        <w:t xml:space="preserve"> </w:t>
      </w:r>
      <w:r w:rsidRPr="002A316F">
        <w:rPr>
          <w:rFonts w:ascii="Times New Roman" w:hAnsi="Times New Roman" w:cs="Times New Roman"/>
          <w:color w:val="000000" w:themeColor="text1"/>
        </w:rPr>
        <w:t>ACEs</w:t>
      </w:r>
      <w:r w:rsidR="00751F2E" w:rsidRPr="002A316F">
        <w:rPr>
          <w:rFonts w:ascii="Times New Roman" w:hAnsi="Times New Roman" w:cs="Times New Roman"/>
          <w:color w:val="000000" w:themeColor="text1"/>
        </w:rPr>
        <w:t xml:space="preserve"> study</w:t>
      </w:r>
      <w:r w:rsidRPr="002A316F">
        <w:rPr>
          <w:rFonts w:ascii="Times New Roman" w:hAnsi="Times New Roman" w:cs="Times New Roman"/>
          <w:color w:val="000000" w:themeColor="text1"/>
        </w:rPr>
        <w:t xml:space="preserve"> </w:t>
      </w:r>
      <w:r w:rsidR="00751F2E" w:rsidRPr="00B313E7">
        <w:rPr>
          <w:rFonts w:ascii="Times New Roman" w:hAnsi="Times New Roman" w:cs="Times New Roman"/>
          <w:color w:val="000000" w:themeColor="text1"/>
        </w:rPr>
        <w:t xml:space="preserve">identified that </w:t>
      </w:r>
      <w:r w:rsidR="0086715E">
        <w:rPr>
          <w:rFonts w:ascii="Times New Roman" w:hAnsi="Times New Roman" w:cs="Times New Roman"/>
          <w:color w:val="000000" w:themeColor="text1"/>
        </w:rPr>
        <w:t>experiencing one or more</w:t>
      </w:r>
      <w:r w:rsidR="00751F2E" w:rsidRPr="00B313E7">
        <w:rPr>
          <w:rFonts w:ascii="Times New Roman" w:hAnsi="Times New Roman" w:cs="Times New Roman"/>
          <w:color w:val="000000" w:themeColor="text1"/>
        </w:rPr>
        <w:t xml:space="preserve"> of these ACEs could lead to</w:t>
      </w:r>
      <w:r w:rsidRPr="00B313E7">
        <w:rPr>
          <w:rFonts w:ascii="Times New Roman" w:hAnsi="Times New Roman" w:cs="Times New Roman"/>
          <w:color w:val="000000" w:themeColor="text1"/>
        </w:rPr>
        <w:t xml:space="preserve"> negative long-term health and social outcomes </w:t>
      </w:r>
      <w:r w:rsidR="007D2FC6" w:rsidRPr="002A316F">
        <w:rPr>
          <w:rFonts w:ascii="Times New Roman" w:hAnsi="Times New Roman" w:cs="Times New Roman"/>
          <w:color w:val="000000" w:themeColor="text1"/>
        </w:rPr>
        <w:fldChar w:fldCharType="begin" w:fldLock="1"/>
      </w:r>
      <w:r w:rsidR="00D06237">
        <w:rPr>
          <w:rFonts w:ascii="Times New Roman" w:hAnsi="Times New Roman" w:cs="Times New Roman"/>
          <w:color w:val="000000" w:themeColor="text1"/>
        </w:rPr>
        <w:instrText>ADDIN CSL_CITATION {"citationItems":[{"id":"ITEM-1","itemData":{"ISSN":"0749-3797","PMID":"9635069","abstract":"BACKGROUND The relationship of health risk behavior and disease in adulthood to the breadth of exposure to childhood emotional, physical, or sexual abuse, and household dysfunction during childhood has not previously been described. METHODS A questionnaire about adverse childhood experiences was mailed to 13,494 adults who had completed a standardized medical evaluation at a large HMO; 9,508 (70.5%) responded. Seven categories of adverse childhood experiences were studied: psychological, physical, or sexual abuse; violence against mother; or living with household members who were substance abusers, mentally ill or suicidal, or ever imprisoned. The number of categories of these adverse childhood experiences was then compared to measures of adult risk behavior, health status, and disease. Logistic regression was used to adjust for effects of demographic factors on the association between the cumulative number of categories of childhood exposures (range: 0-7) and risk factors for the leading causes of death in adult life. RESULTS More than half of respondents reported at least one, and one-fourth reported &gt; or = 2 categories of childhood exposures. We found a graded relationship between the number of categories of childhood exposure and each of the adult health risk behaviors and diseases that were studied (P &lt; .001). Persons who had experienced four or more categories of childhood exposure, compared to those who had experienced none, had 4- to 12-fold increased health risks for alcoholism, drug abuse, depression, and suicide attempt; a 2- to 4-fold increase in smoking, poor self-rated health, &gt; or = 50 sexual intercourse partners, and sexually transmitted disease; and 1.4- to 1.6-fold increase in physical inactivity and severe obesity. The number of categories of adverse childhood exposures showed a graded relationship to the presence of adult diseases including ischemic heart disease, cancer, chronic lung disease, skeletal fractures, and liver disease. The seven categories of adverse childhood experiences were strongly interrelated and persons with multiple categories of childhood exposure were likely to have multiple health risk factors later in life. CONCLUSIONS We found a strong graded relationship between the breadth of exposure to abuse or household dysfunction during childhood and multiple risk factors for several of the leading causes of death in adults.","author":[{"dropping-particle":"","family":"Felitti","given":"V J","non-dropping-particle":"","parse-names":false,"suffix":""},{"dropping-particle":"","family":"Anda","given":"R F","non-dropping-particle":"","parse-names":false,"suffix":""},{"dropping-particle":"","family":"Nordenberg","given":"D","non-dropping-particle":"","parse-names":false,"suffix":""},{"dropping-particle":"","family":"Williamson","given":"D F","non-dropping-particle":"","parse-names":false,"suffix":""},{"dropping-particle":"","family":"Spitz","given":"A M","non-dropping-particle":"","parse-names":false,"suffix":""},{"dropping-particle":"","family":"Edwards","given":"V","non-dropping-particle":"","parse-names":false,"suffix":""},{"dropping-particle":"","family":"Koss","given":"M P","non-dropping-particle":"","parse-names":false,"suffix":""},{"dropping-particle":"","family":"Marks","given":"J S","non-dropping-particle":"","parse-names":false,"suffix":""}],"container-title":"American journal of preventive medicine","id":"ITEM-1","issue":"4","issued":{"date-parts":[["1998","5"]]},"page":"245-58","title":"Relationship of childhood abuse and household dysfunction to many of the leading causes of death in adults. The Adverse Childhood Experiences (ACE) Study.","type":"article-journal","volume":"14"},"uris":["http://www.mendeley.com/documents/?uuid=884c835d-f00b-3b18-b7c1-6c49b61bc27a"]}],"mendeley":{"formattedCitation":"(Felitti &lt;i&gt;et al.&lt;/i&gt;, 1998)","plainTextFormattedCitation":"(Felitti et al., 1998)","previouslyFormattedCitation":"(Felitti &lt;i&gt;et al.&lt;/i&gt;, 1998)"},"properties":{"noteIndex":0},"schema":"https://github.com/citation-style-language/schema/raw/master/csl-citation.json"}</w:instrText>
      </w:r>
      <w:r w:rsidR="007D2FC6" w:rsidRPr="00E30636">
        <w:rPr>
          <w:rFonts w:ascii="Times New Roman" w:hAnsi="Times New Roman" w:cs="Times New Roman"/>
          <w:color w:val="000000" w:themeColor="text1"/>
        </w:rPr>
        <w:fldChar w:fldCharType="separate"/>
      </w:r>
      <w:r w:rsidR="00B313E7" w:rsidRPr="00B313E7">
        <w:rPr>
          <w:rFonts w:ascii="Times New Roman" w:hAnsi="Times New Roman" w:cs="Times New Roman"/>
          <w:noProof/>
          <w:color w:val="000000" w:themeColor="text1"/>
        </w:rPr>
        <w:t xml:space="preserve">(Felitti </w:t>
      </w:r>
      <w:r w:rsidR="00B313E7" w:rsidRPr="00B313E7">
        <w:rPr>
          <w:rFonts w:ascii="Times New Roman" w:hAnsi="Times New Roman" w:cs="Times New Roman"/>
          <w:i/>
          <w:noProof/>
          <w:color w:val="000000" w:themeColor="text1"/>
        </w:rPr>
        <w:t>et al.</w:t>
      </w:r>
      <w:r w:rsidR="00B313E7" w:rsidRPr="00B313E7">
        <w:rPr>
          <w:rFonts w:ascii="Times New Roman" w:hAnsi="Times New Roman" w:cs="Times New Roman"/>
          <w:noProof/>
          <w:color w:val="000000" w:themeColor="text1"/>
        </w:rPr>
        <w:t>, 1998)</w:t>
      </w:r>
      <w:r w:rsidR="007D2FC6" w:rsidRPr="002A316F">
        <w:rPr>
          <w:rFonts w:ascii="Times New Roman" w:hAnsi="Times New Roman" w:cs="Times New Roman"/>
          <w:color w:val="000000" w:themeColor="text1"/>
        </w:rPr>
        <w:fldChar w:fldCharType="end"/>
      </w:r>
      <w:r w:rsidRPr="002A316F">
        <w:rPr>
          <w:rFonts w:ascii="Times New Roman" w:hAnsi="Times New Roman" w:cs="Times New Roman"/>
          <w:color w:val="000000" w:themeColor="text1"/>
        </w:rPr>
        <w:t>.</w:t>
      </w:r>
      <w:r w:rsidR="00751F2E" w:rsidRPr="002A316F">
        <w:rPr>
          <w:rFonts w:ascii="Times New Roman" w:hAnsi="Times New Roman" w:cs="Times New Roman"/>
          <w:color w:val="000000" w:themeColor="text1"/>
        </w:rPr>
        <w:t xml:space="preserve"> A recent systematic review has identified that cumulative exposure to four or more of these ACEs increased the risk of developing a wide variety of negative mental and physical outcomes </w:t>
      </w:r>
      <w:r w:rsidR="00751F2E" w:rsidRPr="002A316F">
        <w:rPr>
          <w:rFonts w:ascii="Times New Roman" w:hAnsi="Times New Roman" w:cs="Times New Roman"/>
          <w:color w:val="000000" w:themeColor="text1"/>
        </w:rPr>
        <w:fldChar w:fldCharType="begin" w:fldLock="1"/>
      </w:r>
      <w:r w:rsidR="00D06237">
        <w:rPr>
          <w:rFonts w:ascii="Times New Roman" w:hAnsi="Times New Roman" w:cs="Times New Roman"/>
          <w:color w:val="000000" w:themeColor="text1"/>
        </w:rPr>
        <w:instrText>ADDIN CSL_CITATION {"citationItems":[{"id":"ITEM-1","itemData":{"DOI":"10.1016/S2468-2667(17)30118-4","ISSN":"24682667","PMID":"29253477","abstract":"BACKGROUND A growing body of research identifies the harmful effects that adverse childhood experiences (ACEs; occurring during childhood or adolescence; eg, child maltreatment or exposure to domestic violence) have on health throughout life. Studies have quantified such effects for individual ACEs. However, ACEs frequently co-occur and no synthesis of findings from studies measuring the effect of multiple ACE types has been done. METHODS In this systematic review and meta-analysis, we searched five electronic databases for cross-sectional, case-control, or cohort studies published up to May 6, 2016, reporting risks of health outcomes, consisting of substance use, sexual health, mental health, weight and physical exercise, violence, and physical health status and conditions, associated with multiple ACEs. We selected articles that presented risk estimates for individuals with at least four ACEs compared with those with none for outcomes with sufficient data for meta-analysis (at least four populations). Included studies also focused on adults aged at least 18 years with a sample size of at least 100. We excluded studies based on high-risk or clinical populations. We extracted data from published reports. We calculated pooled odds ratios (ORs) using a random-effects model. FINDINGS Of 11 621 references identified by the search, 37 included studies provided risk estimates for 23 outcomes, with a total of 253 719 participants. Individuals with at least four ACEs were at increased risk of all health outcomes compared with individuals with no ACEs. Associations were weak or modest for physical inactivity, overweight or obesity, and diabetes (ORs of less than two); moderate for smoking, heavy alcohol use, poor self-rated health, cancer, heart disease, and respiratory disease (ORs of two to three), strong for sexual risk taking, mental ill health, and problematic alcohol use (ORs of more than three to six), and strongest for problematic drug use and interpersonal and self-directed violence (ORs of more than seven). We identified considerable heterogeneity (I2of &gt;75%) between estimates for almost half of the outcomes. INTERPRETATION To have multiple ACEs is a major risk factor for many health conditions. The outcomes most strongly associated with multiple ACEs represent ACE risks for the next generation (eg, violence, mental illness, and substance use). To sustain improvements in public health requires a shift in focus to include prevention of ACEs, resilience …","author":[{"dropping-particle":"","family":"Hughes","given":"Karen","non-dropping-particle":"","parse-names":false,"suffix":""},{"dropping-particle":"","family":"Bellis","given":"Mark A","non-dropping-particle":"","parse-names":false,"suffix":""},{"dropping-particle":"","family":"Hardcastle","given":"Katherine A","non-dropping-particle":"","parse-names":false,"suffix":""},{"dropping-particle":"","family":"Sethi","given":"Dinesh","non-dropping-particle":"","parse-names":false,"suffix":""},{"dropping-particle":"","family":"Butchart","given":"Alexander","non-dropping-particle":"","parse-names":false,"suffix":""},{"dropping-particle":"","family":"Mikton","given":"Christopher","non-dropping-particle":"","parse-names":false,"suffix":""},{"dropping-particle":"","family":"Jones","given":"Lisa","non-dropping-particle":"","parse-names":false,"suffix":""},{"dropping-particle":"","family":"Dunne","given":"Michael P","non-dropping-particle":"","parse-names":false,"suffix":""}],"container-title":"The Lancet Public Health","id":"ITEM-1","issue":"8","issued":{"date-parts":[["2017","8"]]},"page":"e356-e366","title":"The effect of multiple adverse childhood experiences on health: a systematic review and meta-analysis","type":"article-journal","volume":"2"},"uris":["http://www.mendeley.com/documents/?uuid=6b83a667-24b4-36b4-ba76-8ab3947fed9c"]}],"mendeley":{"formattedCitation":"(Hughes &lt;i&gt;et al.&lt;/i&gt;, 2017)","plainTextFormattedCitation":"(Hughes et al., 2017)","previouslyFormattedCitation":"(Hughes &lt;i&gt;et al.&lt;/i&gt;, 2017)"},"properties":{"noteIndex":0},"schema":"https://github.com/citation-style-language/schema/raw/master/csl-citation.json"}</w:instrText>
      </w:r>
      <w:r w:rsidR="00751F2E" w:rsidRPr="00E30636">
        <w:rPr>
          <w:rFonts w:ascii="Times New Roman" w:hAnsi="Times New Roman" w:cs="Times New Roman"/>
          <w:color w:val="000000" w:themeColor="text1"/>
        </w:rPr>
        <w:fldChar w:fldCharType="separate"/>
      </w:r>
      <w:r w:rsidR="00B313E7" w:rsidRPr="00B313E7">
        <w:rPr>
          <w:rFonts w:ascii="Times New Roman" w:hAnsi="Times New Roman" w:cs="Times New Roman"/>
          <w:noProof/>
          <w:color w:val="000000" w:themeColor="text1"/>
        </w:rPr>
        <w:t xml:space="preserve">(Hughes </w:t>
      </w:r>
      <w:r w:rsidR="00B313E7" w:rsidRPr="00B313E7">
        <w:rPr>
          <w:rFonts w:ascii="Times New Roman" w:hAnsi="Times New Roman" w:cs="Times New Roman"/>
          <w:i/>
          <w:noProof/>
          <w:color w:val="000000" w:themeColor="text1"/>
        </w:rPr>
        <w:t>et al.</w:t>
      </w:r>
      <w:r w:rsidR="00B313E7" w:rsidRPr="00B313E7">
        <w:rPr>
          <w:rFonts w:ascii="Times New Roman" w:hAnsi="Times New Roman" w:cs="Times New Roman"/>
          <w:noProof/>
          <w:color w:val="000000" w:themeColor="text1"/>
        </w:rPr>
        <w:t>, 2017)</w:t>
      </w:r>
      <w:r w:rsidR="00751F2E" w:rsidRPr="002A316F">
        <w:rPr>
          <w:rFonts w:ascii="Times New Roman" w:hAnsi="Times New Roman" w:cs="Times New Roman"/>
          <w:color w:val="000000" w:themeColor="text1"/>
        </w:rPr>
        <w:fldChar w:fldCharType="end"/>
      </w:r>
      <w:r w:rsidR="00751F2E" w:rsidRPr="002A316F">
        <w:rPr>
          <w:rFonts w:ascii="Times New Roman" w:hAnsi="Times New Roman" w:cs="Times New Roman"/>
          <w:color w:val="000000" w:themeColor="text1"/>
        </w:rPr>
        <w:t>.</w:t>
      </w:r>
      <w:r w:rsidRPr="002A316F">
        <w:rPr>
          <w:rFonts w:ascii="Times New Roman" w:hAnsi="Times New Roman" w:cs="Times New Roman"/>
          <w:color w:val="000000" w:themeColor="text1"/>
        </w:rPr>
        <w:t xml:space="preserve"> </w:t>
      </w:r>
    </w:p>
    <w:p w14:paraId="6422C651" w14:textId="4143609E" w:rsidR="005810D8" w:rsidRPr="00B313E7" w:rsidRDefault="005810D8" w:rsidP="007F779A">
      <w:pPr>
        <w:spacing w:line="480" w:lineRule="auto"/>
        <w:rPr>
          <w:rFonts w:ascii="Times New Roman" w:hAnsi="Times New Roman" w:cs="Times New Roman"/>
          <w:color w:val="000000" w:themeColor="text1"/>
        </w:rPr>
      </w:pPr>
      <w:r w:rsidRPr="00B313E7">
        <w:rPr>
          <w:rFonts w:ascii="Times New Roman" w:eastAsia="Times New Roman" w:hAnsi="Times New Roman" w:cs="Times New Roman"/>
          <w:color w:val="000000" w:themeColor="text1"/>
          <w:shd w:val="clear" w:color="auto" w:fill="FFFFFF"/>
        </w:rPr>
        <w:t xml:space="preserve">It is theorized that experiences of trauma </w:t>
      </w:r>
      <w:r w:rsidR="00763799" w:rsidRPr="00B313E7">
        <w:rPr>
          <w:rFonts w:ascii="Times New Roman" w:eastAsia="Times New Roman" w:hAnsi="Times New Roman" w:cs="Times New Roman"/>
          <w:color w:val="000000" w:themeColor="text1"/>
          <w:shd w:val="clear" w:color="auto" w:fill="FFFFFF"/>
        </w:rPr>
        <w:t xml:space="preserve">in childhood </w:t>
      </w:r>
      <w:r w:rsidR="0086715E">
        <w:rPr>
          <w:rFonts w:ascii="Times New Roman" w:eastAsia="Times New Roman" w:hAnsi="Times New Roman" w:cs="Times New Roman"/>
          <w:color w:val="000000" w:themeColor="text1"/>
          <w:shd w:val="clear" w:color="auto" w:fill="FFFFFF"/>
        </w:rPr>
        <w:t xml:space="preserve">have an </w:t>
      </w:r>
      <w:r w:rsidRPr="0086715E">
        <w:rPr>
          <w:rFonts w:ascii="Times New Roman" w:eastAsia="Times New Roman" w:hAnsi="Times New Roman" w:cs="Times New Roman"/>
          <w:color w:val="000000" w:themeColor="text1"/>
          <w:shd w:val="clear" w:color="auto" w:fill="FFFFFF"/>
        </w:rPr>
        <w:t>impact on social, emotional or cognitive functioning, which in turn</w:t>
      </w:r>
      <w:r w:rsidR="0086715E">
        <w:rPr>
          <w:rFonts w:ascii="Times New Roman" w:eastAsia="Times New Roman" w:hAnsi="Times New Roman" w:cs="Times New Roman"/>
          <w:color w:val="000000" w:themeColor="text1"/>
          <w:shd w:val="clear" w:color="auto" w:fill="FFFFFF"/>
        </w:rPr>
        <w:t xml:space="preserve"> may</w:t>
      </w:r>
      <w:r w:rsidRPr="0086715E">
        <w:rPr>
          <w:rFonts w:ascii="Times New Roman" w:eastAsia="Times New Roman" w:hAnsi="Times New Roman" w:cs="Times New Roman"/>
          <w:color w:val="000000" w:themeColor="text1"/>
          <w:shd w:val="clear" w:color="auto" w:fill="FFFFFF"/>
        </w:rPr>
        <w:t xml:space="preserve"> </w:t>
      </w:r>
      <w:r w:rsidRPr="0086715E">
        <w:rPr>
          <w:rFonts w:ascii="Times New Roman" w:hAnsi="Times New Roman" w:cs="Times New Roman"/>
          <w:color w:val="000000" w:themeColor="text1"/>
        </w:rPr>
        <w:t xml:space="preserve">alter health </w:t>
      </w:r>
      <w:r w:rsidR="00B07D1A" w:rsidRPr="0086715E">
        <w:rPr>
          <w:rFonts w:ascii="Times New Roman" w:hAnsi="Times New Roman" w:cs="Times New Roman"/>
          <w:color w:val="000000" w:themeColor="text1"/>
        </w:rPr>
        <w:t>behaviours</w:t>
      </w:r>
      <w:r w:rsidRPr="0086715E">
        <w:rPr>
          <w:rFonts w:ascii="Times New Roman" w:hAnsi="Times New Roman" w:cs="Times New Roman"/>
          <w:color w:val="000000" w:themeColor="text1"/>
        </w:rPr>
        <w:t xml:space="preserve"> and lifestyle factors, </w:t>
      </w:r>
      <w:r w:rsidR="0086715E">
        <w:rPr>
          <w:rFonts w:ascii="Times New Roman" w:hAnsi="Times New Roman" w:cs="Times New Roman"/>
          <w:color w:val="000000" w:themeColor="text1"/>
        </w:rPr>
        <w:t>potentially leading</w:t>
      </w:r>
      <w:r w:rsidR="0086715E" w:rsidRPr="0086715E">
        <w:rPr>
          <w:rFonts w:ascii="Times New Roman" w:hAnsi="Times New Roman" w:cs="Times New Roman"/>
          <w:color w:val="000000" w:themeColor="text1"/>
        </w:rPr>
        <w:t xml:space="preserve"> </w:t>
      </w:r>
      <w:r w:rsidRPr="0086715E">
        <w:rPr>
          <w:rFonts w:ascii="Times New Roman" w:hAnsi="Times New Roman" w:cs="Times New Roman"/>
          <w:color w:val="000000" w:themeColor="text1"/>
        </w:rPr>
        <w:t>to</w:t>
      </w:r>
      <w:r w:rsidR="0086715E">
        <w:rPr>
          <w:rFonts w:ascii="Times New Roman" w:hAnsi="Times New Roman" w:cs="Times New Roman"/>
          <w:color w:val="000000" w:themeColor="text1"/>
        </w:rPr>
        <w:t xml:space="preserve"> an</w:t>
      </w:r>
      <w:r w:rsidRPr="0086715E">
        <w:rPr>
          <w:rFonts w:ascii="Times New Roman" w:hAnsi="Times New Roman" w:cs="Times New Roman"/>
          <w:color w:val="000000" w:themeColor="text1"/>
        </w:rPr>
        <w:t xml:space="preserve"> increased risk of health or social problems</w:t>
      </w:r>
      <w:r w:rsidR="00763799" w:rsidRPr="0086715E">
        <w:rPr>
          <w:rFonts w:ascii="Times New Roman" w:hAnsi="Times New Roman" w:cs="Times New Roman"/>
          <w:color w:val="000000" w:themeColor="text1"/>
        </w:rPr>
        <w:t xml:space="preserve"> </w:t>
      </w:r>
      <w:r w:rsidR="00763799" w:rsidRPr="002A316F">
        <w:rPr>
          <w:rFonts w:ascii="Times New Roman" w:hAnsi="Times New Roman" w:cs="Times New Roman"/>
          <w:color w:val="000000" w:themeColor="text1"/>
        </w:rPr>
        <w:fldChar w:fldCharType="begin" w:fldLock="1"/>
      </w:r>
      <w:r w:rsidR="00D06237">
        <w:rPr>
          <w:rFonts w:ascii="Times New Roman" w:hAnsi="Times New Roman" w:cs="Times New Roman"/>
          <w:color w:val="000000" w:themeColor="text1"/>
        </w:rPr>
        <w:instrText>ADDIN CSL_CITATION {"citationItems":[{"id":"ITEM-1","itemData":{"DOI":"10.1016/S0145-2134(02)00343-5","ISSN":"01452134","abstract":"Objectives: This article describes four possible pathways by which childhood abuse relates to health problems in adults. Method: Literature on the long-term effects of childhood abuse is organized in a health psychology framework describing behavioral, social, cognitive, and emotional pathways. Key studies from the health psychology and behavioral medicine literature are included to demonstrate how these pathways relate to health. Results: Childhood abuse puts people at risk of depression and post-traumatic stress disorder, participating in harmful activities, having difficulties in relationships, and having negative beliefs and attitudes towards others. Each of these increases the likelihood of health problems, and they are highly related to each other. Conclusions: Childhood abuse is related to health via a complex matrix of behavioral, emotional, social, and cognitive factors. Health outcomes for adult survivors are unlikely to improve until each of these factors is addressed. \n\nRÉSUMÉ\nObjectif: Cet article décrit quatre pistes possibles qui relient les mauvais traitements en enfance aux problèmes de santé en âge adulte. Méthode: La littérature sur les effets prolongés des mauvais traitements est organisée selon un cadre conceptuel de la psychologie de la santé. Elle décrit des pistes sociales, cognitives, émotives et du comportement. L’article s’appuie sur des études importantes dans la littérature traitant de la psychologie de la santé et de la médecine béhavioriste pour démontrer comment ces pistes sont reliées à la santé. Résultats: Les mauvais traitements infligés durant l’enfance risquent de produire la dépression et le syndrome du stress post-traumatique, d’entreprendre des activités nocives, de produire des difficultés interpersonnelles, et des attitudes et des croyances négatives envers autrui. Chacune de ces caractéristiques augmente la probabilité d’être atteint de problèmes de la santé et elles sont toutes liées les unes aux autres. Conclusions: C’est par le biais d’une matrice de facteurs émotionnels, sociaux, cognitifs et du comportement que les mauvais traitements infligés aux enfants sont associés à la santé. Il est peu probable que la santé de l’adulte victime de mauvais traitements en enfance ne s’améliore à moins que chacun de ces facteurs soit l’objet d’une attention aidante. \n\nRESUMEN\nObjetivos: Este trabajo describe cuatro posibles vı́as por las que el abuso a los niños se relaciona con los problemas de salud en los adultos. Mét…","author":[{"dropping-particle":"","family":"Kendall-Tackett","given":"Kathleen","non-dropping-particle":"","parse-names":false,"suffix":""}],"container-title":"Child Abuse &amp; Neglect","id":"ITEM-1","issue":"6","issued":{"date-parts":[["2002"]]},"page":"715-729","title":"The health effects of childhood abuse: four pathways by which abuse can influence health","type":"article-journal","volume":"26"},"uris":["http://www.mendeley.com/documents/?uuid=278caaa1-9801-3bb6-8ae6-a48eb5568993"]},{"id":"ITEM-2","itemData":{"PMID":"12725012","abstract":"Early stress is associated with long-term alterations in brain circuits and systems that mediate the stress response. Early stressors have lasting effects on the HPA axis and norepinephrine systems. Other brain systems that are involved include benzodiazepine, opiate, dopaminergic, and various neuropeptide systems. These neurochemical systems modulate function in brain regions, including the hippocampus, amygdala, and prefrontal cortex. Long-term alterations in these brain regions are hypothesized to play a role in the maintenance of PTSD, depression, and other psychiatric symptoms after childhood abuse.","author":[{"dropping-particle":"","family":"Bremner","given":"J Douglas","non-dropping-particle":"","parse-names":false,"suffix":""}],"container-title":"Child and adolescent psychiatric clinics of North America","id":"ITEM-2","issue":"2","issued":{"date-parts":[["2003","4"]]},"page":"271-92","title":"Long-term effects of childhood abuse on brain and neurobiology.","type":"article-journal","volume":"12"},"uris":["http://www.mendeley.com/documents/?uuid=9a47476e-c0d7-38bf-bd08-9897af01bf1f"]},{"id":"ITEM-3","itemData":{"DOI":"10.1152/physrev.00041.2006","ISSN":"0031-9333","PMID":"17615391","abstract":"The brain is the key organ of the response to stress because it determines what is threatening and, therefore, potentially stressful, as well as the physiological and behavioral responses which can be either adaptive or damaging. Stress involves two-way communication between the brain and the cardiovascular, immune, and other systems via neural and endocrine mechanisms. Beyond the \"flight-or-fight\" response to acute stress, there are events in daily life that produce a type of chronic stress and lead over time to wear and tear on the body (\"allostatic load\"). Yet, hormones associated with stress protect the body in the short-run and promote adaptation (\"allostasis\"). The brain is a target of stress, and the hippocampus was the first brain region, besides the hypothalamus, to be recognized as a target of glucocorticoids. Stress and stress hormones produce both adaptive and maladaptive effects on this brain region throughout the life course. Early life events influence life-long patterns of emotionality and stress responsiveness and alter the rate of brain and body aging. The hippocampus, amygdala, and prefrontal cortex undergo stress-induced structural remodeling, which alters behavioral and physiological responses. As an adjunct to pharmaceutical therapy, social and behavioral interventions such as regular physical activity and social support reduce the chronic stress burden and benefit brain and body health and resilience.","author":[{"dropping-particle":"","family":"McEwen","given":"Bruce S","non-dropping-particle":"","parse-names":false,"suffix":""}],"container-title":"Physiological reviews","id":"ITEM-3","issue":"3","issued":{"date-parts":[["2007","7"]]},"page":"873-904","title":"Physiology and neurobiology of stress and adaptation: central role of the brain.","type":"article-journal","volume":"87"},"uris":["http://www.mendeley.com/documents/?uuid=49eb9df4-6940-3e91-8eb1-e2ca4a8c1707"]}],"mendeley":{"formattedCitation":"(Kendall-Tackett, 2002; Bremner, 2003; McEwen, 2007)","plainTextFormattedCitation":"(Kendall-Tackett, 2002; Bremner, 2003; McEwen, 2007)","previouslyFormattedCitation":"(Kendall-Tackett, 2002; Bremner, 2003; McEwen, 2007)"},"properties":{"noteIndex":0},"schema":"https://github.com/citation-style-language/schema/raw/master/csl-citation.json"}</w:instrText>
      </w:r>
      <w:r w:rsidR="00763799" w:rsidRPr="00E30636">
        <w:rPr>
          <w:rFonts w:ascii="Times New Roman" w:hAnsi="Times New Roman" w:cs="Times New Roman"/>
          <w:color w:val="000000" w:themeColor="text1"/>
        </w:rPr>
        <w:fldChar w:fldCharType="separate"/>
      </w:r>
      <w:r w:rsidR="00B313E7" w:rsidRPr="00B313E7">
        <w:rPr>
          <w:rFonts w:ascii="Times New Roman" w:hAnsi="Times New Roman" w:cs="Times New Roman"/>
          <w:noProof/>
          <w:color w:val="000000" w:themeColor="text1"/>
        </w:rPr>
        <w:t>(Kendall-Tackett, 2002; Bremner, 2003; McEwen, 2007)</w:t>
      </w:r>
      <w:r w:rsidR="00763799" w:rsidRPr="002A316F">
        <w:rPr>
          <w:rFonts w:ascii="Times New Roman" w:hAnsi="Times New Roman" w:cs="Times New Roman"/>
          <w:color w:val="000000" w:themeColor="text1"/>
        </w:rPr>
        <w:fldChar w:fldCharType="end"/>
      </w:r>
      <w:r w:rsidRPr="002A316F">
        <w:rPr>
          <w:rFonts w:ascii="Times New Roman" w:hAnsi="Times New Roman" w:cs="Times New Roman"/>
          <w:color w:val="000000" w:themeColor="text1"/>
        </w:rPr>
        <w:t xml:space="preserve">. As the individual and the public health burden appear vast, it is important to develop and assess methods of identification of </w:t>
      </w:r>
      <w:r w:rsidR="00FB0C5D" w:rsidRPr="002A316F">
        <w:rPr>
          <w:rFonts w:ascii="Times New Roman" w:hAnsi="Times New Roman" w:cs="Times New Roman"/>
          <w:color w:val="000000" w:themeColor="text1"/>
        </w:rPr>
        <w:t xml:space="preserve">adversity </w:t>
      </w:r>
      <w:r w:rsidRPr="002A316F">
        <w:rPr>
          <w:rFonts w:ascii="Times New Roman" w:hAnsi="Times New Roman" w:cs="Times New Roman"/>
          <w:color w:val="000000" w:themeColor="text1"/>
        </w:rPr>
        <w:t xml:space="preserve">and of assuring </w:t>
      </w:r>
      <w:r w:rsidR="0086715E">
        <w:rPr>
          <w:rFonts w:ascii="Times New Roman" w:hAnsi="Times New Roman" w:cs="Times New Roman"/>
          <w:color w:val="000000" w:themeColor="text1"/>
        </w:rPr>
        <w:t>timely</w:t>
      </w:r>
      <w:r w:rsidR="0086715E" w:rsidRPr="002A316F">
        <w:rPr>
          <w:rFonts w:ascii="Times New Roman" w:hAnsi="Times New Roman" w:cs="Times New Roman"/>
          <w:color w:val="000000" w:themeColor="text1"/>
        </w:rPr>
        <w:t xml:space="preserve"> </w:t>
      </w:r>
      <w:r w:rsidRPr="002A316F">
        <w:rPr>
          <w:rFonts w:ascii="Times New Roman" w:hAnsi="Times New Roman" w:cs="Times New Roman"/>
          <w:color w:val="000000" w:themeColor="text1"/>
        </w:rPr>
        <w:t xml:space="preserve">support. </w:t>
      </w:r>
    </w:p>
    <w:p w14:paraId="251EEEDD" w14:textId="32C52CD6" w:rsidR="005810D8" w:rsidRPr="00D06237" w:rsidRDefault="005810D8" w:rsidP="007F779A">
      <w:pPr>
        <w:spacing w:line="480" w:lineRule="auto"/>
        <w:rPr>
          <w:rFonts w:ascii="Times New Roman" w:hAnsi="Times New Roman" w:cs="Times New Roman"/>
          <w:color w:val="000000" w:themeColor="text1"/>
        </w:rPr>
      </w:pPr>
      <w:r w:rsidRPr="00D06237">
        <w:rPr>
          <w:rFonts w:ascii="Times New Roman" w:hAnsi="Times New Roman" w:cs="Times New Roman"/>
          <w:color w:val="000000" w:themeColor="text1"/>
        </w:rPr>
        <w:t xml:space="preserve">The contribution of law enforcement agencies to this </w:t>
      </w:r>
      <w:r w:rsidR="0097577E" w:rsidRPr="00D06237">
        <w:rPr>
          <w:rFonts w:ascii="Times New Roman" w:hAnsi="Times New Roman" w:cs="Times New Roman"/>
          <w:color w:val="000000" w:themeColor="text1"/>
        </w:rPr>
        <w:t>endeavour</w:t>
      </w:r>
      <w:r w:rsidRPr="00D06237">
        <w:rPr>
          <w:rFonts w:ascii="Times New Roman" w:hAnsi="Times New Roman" w:cs="Times New Roman"/>
          <w:color w:val="000000" w:themeColor="text1"/>
        </w:rPr>
        <w:t xml:space="preserve"> is increasingly </w:t>
      </w:r>
      <w:r w:rsidR="008F2D90" w:rsidRPr="00EB5D10">
        <w:rPr>
          <w:rFonts w:ascii="Times New Roman" w:hAnsi="Times New Roman" w:cs="Times New Roman"/>
          <w:color w:val="000000" w:themeColor="text1"/>
        </w:rPr>
        <w:t>recognized</w:t>
      </w:r>
      <w:r w:rsidRPr="00EB5D10">
        <w:rPr>
          <w:rFonts w:ascii="Times New Roman" w:hAnsi="Times New Roman" w:cs="Times New Roman"/>
          <w:color w:val="000000" w:themeColor="text1"/>
        </w:rPr>
        <w:t xml:space="preserve">. For example, research in the </w:t>
      </w:r>
      <w:r w:rsidR="00674048" w:rsidRPr="00A753CD">
        <w:rPr>
          <w:rFonts w:ascii="Times New Roman" w:hAnsi="Times New Roman" w:cs="Times New Roman"/>
          <w:color w:val="000000" w:themeColor="text1"/>
        </w:rPr>
        <w:t>United States (US)</w:t>
      </w:r>
      <w:r w:rsidRPr="00A753CD">
        <w:rPr>
          <w:rFonts w:ascii="Times New Roman" w:hAnsi="Times New Roman" w:cs="Times New Roman"/>
          <w:color w:val="000000" w:themeColor="text1"/>
        </w:rPr>
        <w:t xml:space="preserve"> suggests that police officers are responsible for managing a greater proportion of reports of maltreatment (18.1%) th</w:t>
      </w:r>
      <w:r w:rsidRPr="001473C6">
        <w:rPr>
          <w:rFonts w:ascii="Times New Roman" w:hAnsi="Times New Roman" w:cs="Times New Roman"/>
          <w:color w:val="000000" w:themeColor="text1"/>
        </w:rPr>
        <w:t>an any other professional group, including educational (17.7%), social services (11.0%) and medical personnel (9.2%)</w:t>
      </w:r>
      <w:r w:rsidR="00763799" w:rsidRPr="001473C6">
        <w:rPr>
          <w:rFonts w:ascii="Times New Roman" w:hAnsi="Times New Roman" w:cs="Times New Roman"/>
          <w:color w:val="000000" w:themeColor="text1"/>
        </w:rPr>
        <w:t xml:space="preserve"> </w:t>
      </w:r>
      <w:r w:rsidR="00763799" w:rsidRPr="002A316F">
        <w:rPr>
          <w:rFonts w:ascii="Times New Roman" w:hAnsi="Times New Roman" w:cs="Times New Roman"/>
          <w:color w:val="000000" w:themeColor="text1"/>
          <w:vertAlign w:val="superscript"/>
        </w:rPr>
        <w:fldChar w:fldCharType="begin" w:fldLock="1"/>
      </w:r>
      <w:r w:rsidR="00D06237">
        <w:rPr>
          <w:rFonts w:ascii="Times New Roman" w:hAnsi="Times New Roman" w:cs="Times New Roman"/>
          <w:color w:val="000000" w:themeColor="text1"/>
          <w:vertAlign w:val="superscript"/>
        </w:rPr>
        <w:instrText>ADDIN CSL_CITATION {"citationItems":[{"id":"ITEM-1","itemData":{"DOI":"10.1016/j.mppsy.2008.05.001","ISBN":"2332015000","ISSN":"14761793","PMID":"17716094","author":[{"dropping-particle":"","family":"Health","given":"US Department of","non-dropping-particle":"","parse-names":false,"suffix":""}],"id":"ITEM-1","issued":{"date-parts":[["2014"]]},"title":"Child Maltreatment 2014","type":"book"},"uris":["http://www.mendeley.com/documents/?uuid=5fee86bb-c473-3c88-9c55-2c0383e2d466"]}],"mendeley":{"formattedCitation":"(Health, 2014)","manualFormatting":"(US Department of Health 2014)","plainTextFormattedCitation":"(Health, 2014)","previouslyFormattedCitation":"(Health, 2014)"},"properties":{"noteIndex":0},"schema":"https://github.com/citation-style-language/schema/raw/master/csl-citation.json"}</w:instrText>
      </w:r>
      <w:r w:rsidR="00763799" w:rsidRPr="00E30636">
        <w:rPr>
          <w:rFonts w:ascii="Times New Roman" w:hAnsi="Times New Roman" w:cs="Times New Roman"/>
          <w:color w:val="000000" w:themeColor="text1"/>
          <w:vertAlign w:val="superscript"/>
        </w:rPr>
        <w:fldChar w:fldCharType="separate"/>
      </w:r>
      <w:r w:rsidR="0097577E" w:rsidRPr="002A316F">
        <w:rPr>
          <w:rFonts w:ascii="Times New Roman" w:hAnsi="Times New Roman" w:cs="Times New Roman"/>
          <w:noProof/>
          <w:color w:val="000000" w:themeColor="text1"/>
        </w:rPr>
        <w:t>(US Department of Health 2014)</w:t>
      </w:r>
      <w:r w:rsidR="00763799" w:rsidRPr="002A316F">
        <w:rPr>
          <w:rFonts w:ascii="Times New Roman" w:hAnsi="Times New Roman" w:cs="Times New Roman"/>
          <w:color w:val="000000" w:themeColor="text1"/>
          <w:vertAlign w:val="superscript"/>
        </w:rPr>
        <w:fldChar w:fldCharType="end"/>
      </w:r>
      <w:r w:rsidRPr="002A316F">
        <w:rPr>
          <w:rFonts w:ascii="Times New Roman" w:hAnsi="Times New Roman" w:cs="Times New Roman"/>
          <w:color w:val="000000" w:themeColor="text1"/>
        </w:rPr>
        <w:t>. This is also reflected in policy discourse. In the UK, Her Majesty’s Inspectorate of Constabulary (HMIC) recently stated that “protecting children is one of the most importa</w:t>
      </w:r>
      <w:r w:rsidR="00763799" w:rsidRPr="002A316F">
        <w:rPr>
          <w:rFonts w:ascii="Times New Roman" w:hAnsi="Times New Roman" w:cs="Times New Roman"/>
          <w:color w:val="000000" w:themeColor="text1"/>
        </w:rPr>
        <w:t>nt tasks the police undertake</w:t>
      </w:r>
      <w:r w:rsidRPr="002A316F">
        <w:rPr>
          <w:rFonts w:ascii="Times New Roman" w:hAnsi="Times New Roman" w:cs="Times New Roman"/>
          <w:color w:val="000000" w:themeColor="text1"/>
        </w:rPr>
        <w:t>”</w:t>
      </w:r>
      <w:r w:rsidR="00763799" w:rsidRPr="002A316F">
        <w:rPr>
          <w:rFonts w:ascii="Times New Roman" w:hAnsi="Times New Roman" w:cs="Times New Roman"/>
          <w:color w:val="000000" w:themeColor="text1"/>
        </w:rPr>
        <w:t xml:space="preserve"> </w:t>
      </w:r>
      <w:r w:rsidR="00763799" w:rsidRPr="002A316F">
        <w:rPr>
          <w:rFonts w:ascii="Times New Roman" w:hAnsi="Times New Roman" w:cs="Times New Roman"/>
          <w:color w:val="000000" w:themeColor="text1"/>
        </w:rPr>
        <w:fldChar w:fldCharType="begin" w:fldLock="1"/>
      </w:r>
      <w:r w:rsidR="00D06237">
        <w:rPr>
          <w:rFonts w:ascii="Times New Roman" w:hAnsi="Times New Roman" w:cs="Times New Roman"/>
          <w:color w:val="000000" w:themeColor="text1"/>
        </w:rPr>
        <w:instrText>ADDIN CSL_CITATION {"citationItems":[{"id":"ITEM-1","itemData":{"ISBN":"9781782468196","author":[{"dropping-particle":"","family":"HMIC","given":"","non-dropping-particle":"","parse-names":false,"suffix":""}],"id":"ITEM-1","issue":"July","issued":{"date-parts":[["2015"]]},"page":"1-91","title":"In harm ' s way : The role of the police in keeping children safe","type":"article-journal"},"uris":["http://www.mendeley.com/documents/?uuid=0f490f7e-4d76-3aa1-92ae-95a1fbedf75c"]}],"mendeley":{"formattedCitation":"(HMIC, 2015)","manualFormatting":"(HMIC 2015 p4)","plainTextFormattedCitation":"(HMIC, 2015)","previouslyFormattedCitation":"(HMIC, 2015)"},"properties":{"noteIndex":0},"schema":"https://github.com/citation-style-language/schema/raw/master/csl-citation.json"}</w:instrText>
      </w:r>
      <w:r w:rsidR="00763799" w:rsidRPr="00E30636">
        <w:rPr>
          <w:rFonts w:ascii="Times New Roman" w:hAnsi="Times New Roman" w:cs="Times New Roman"/>
          <w:color w:val="000000" w:themeColor="text1"/>
        </w:rPr>
        <w:fldChar w:fldCharType="separate"/>
      </w:r>
      <w:r w:rsidR="0097577E" w:rsidRPr="002A316F">
        <w:rPr>
          <w:rFonts w:ascii="Times New Roman" w:hAnsi="Times New Roman" w:cs="Times New Roman"/>
          <w:noProof/>
          <w:color w:val="000000" w:themeColor="text1"/>
        </w:rPr>
        <w:t>(HMIC 2015</w:t>
      </w:r>
      <w:r w:rsidR="002A316F" w:rsidRPr="002A316F">
        <w:rPr>
          <w:rFonts w:ascii="Times New Roman" w:hAnsi="Times New Roman" w:cs="Times New Roman"/>
          <w:noProof/>
          <w:color w:val="000000" w:themeColor="text1"/>
        </w:rPr>
        <w:t xml:space="preserve"> p4</w:t>
      </w:r>
      <w:r w:rsidR="0097577E" w:rsidRPr="002A316F">
        <w:rPr>
          <w:rFonts w:ascii="Times New Roman" w:hAnsi="Times New Roman" w:cs="Times New Roman"/>
          <w:noProof/>
          <w:color w:val="000000" w:themeColor="text1"/>
        </w:rPr>
        <w:t>)</w:t>
      </w:r>
      <w:r w:rsidR="00763799" w:rsidRPr="002A316F">
        <w:rPr>
          <w:rFonts w:ascii="Times New Roman" w:hAnsi="Times New Roman" w:cs="Times New Roman"/>
          <w:color w:val="000000" w:themeColor="text1"/>
        </w:rPr>
        <w:fldChar w:fldCharType="end"/>
      </w:r>
      <w:r w:rsidR="00763799" w:rsidRPr="002A316F">
        <w:rPr>
          <w:rFonts w:ascii="Times New Roman" w:hAnsi="Times New Roman" w:cs="Times New Roman"/>
          <w:color w:val="000000" w:themeColor="text1"/>
        </w:rPr>
        <w:t>.</w:t>
      </w:r>
      <w:r w:rsidRPr="002A316F">
        <w:rPr>
          <w:rFonts w:ascii="Times New Roman" w:hAnsi="Times New Roman" w:cs="Times New Roman"/>
          <w:color w:val="000000" w:themeColor="text1"/>
        </w:rPr>
        <w:t xml:space="preserve"> This is echoed in UK legislation. Under the Children Act 1989 (section 47), alongside other statutory services, the police have a responsibility to make enquiries to safeguard and secure the welfare of any child within their area who is suf</w:t>
      </w:r>
      <w:r w:rsidRPr="00B313E7">
        <w:rPr>
          <w:rFonts w:ascii="Times New Roman" w:hAnsi="Times New Roman" w:cs="Times New Roman"/>
          <w:color w:val="000000" w:themeColor="text1"/>
        </w:rPr>
        <w:t xml:space="preserve">fering (or likely to suffer) significant </w:t>
      </w:r>
      <w:r w:rsidRPr="00B313E7">
        <w:rPr>
          <w:rFonts w:ascii="Times New Roman" w:hAnsi="Times New Roman" w:cs="Times New Roman"/>
          <w:color w:val="000000" w:themeColor="text1"/>
        </w:rPr>
        <w:lastRenderedPageBreak/>
        <w:t>harm</w:t>
      </w:r>
      <w:r w:rsidR="00763799" w:rsidRPr="00B313E7">
        <w:rPr>
          <w:rFonts w:ascii="Times New Roman" w:hAnsi="Times New Roman" w:cs="Times New Roman"/>
          <w:color w:val="000000" w:themeColor="text1"/>
          <w:vertAlign w:val="superscript"/>
        </w:rPr>
        <w:t xml:space="preserve"> </w:t>
      </w:r>
      <w:r w:rsidR="00763799" w:rsidRPr="002A316F">
        <w:rPr>
          <w:rFonts w:ascii="Times New Roman" w:hAnsi="Times New Roman" w:cs="Times New Roman"/>
          <w:color w:val="000000" w:themeColor="text1"/>
          <w:vertAlign w:val="superscript"/>
        </w:rPr>
        <w:fldChar w:fldCharType="begin" w:fldLock="1"/>
      </w:r>
      <w:r w:rsidR="00D06237">
        <w:rPr>
          <w:rFonts w:ascii="Times New Roman" w:hAnsi="Times New Roman" w:cs="Times New Roman"/>
          <w:color w:val="000000" w:themeColor="text1"/>
          <w:vertAlign w:val="superscript"/>
        </w:rPr>
        <w:instrText>ADDIN CSL_CITATION {"citationItems":[{"id":"ITEM-1","itemData":{"abstract":"An Act to reform the law relating to children; to provide for local authority services for children in need and others; to amend the law with respect to childrens homes, community homes, voluntary homes and voluntary organisations; to make provision with respect to fostering, child minding and day care for young children and adoption; and for connected purposes.","author":[{"dropping-particle":"","family":"Parliament of the United Kingdom of Great Britain and Northern Ireland","given":"","non-dropping-particle":"","parse-names":false,"suffix":""}],"container-title":"Time","id":"ITEM-1","issue":"4","issued":{"date-parts":[["1989"]]},"page":"Section 3.5","publisher":"Statute Law Database","title":"Children Act 1989","type":"legislation","volume":"2"},"uris":["http://www.mendeley.com/documents/?uuid=400728b9-f1c4-35e9-8e48-60e18b5128eb"]}],"mendeley":{"formattedCitation":"(Parliament of the United Kingdom of Great Britain and Northern Ireland, 1989)","plainTextFormattedCitation":"(Parliament of the United Kingdom of Great Britain and Northern Ireland, 1989)","previouslyFormattedCitation":"(Parliament of the United Kingdom of Great Britain and Northern Ireland, 1989)"},"properties":{"noteIndex":0},"schema":"https://github.com/citation-style-language/schema/raw/master/csl-citation.json"}</w:instrText>
      </w:r>
      <w:r w:rsidR="00763799" w:rsidRPr="00E30636">
        <w:rPr>
          <w:rFonts w:ascii="Times New Roman" w:hAnsi="Times New Roman" w:cs="Times New Roman"/>
          <w:color w:val="000000" w:themeColor="text1"/>
          <w:vertAlign w:val="superscript"/>
        </w:rPr>
        <w:fldChar w:fldCharType="separate"/>
      </w:r>
      <w:r w:rsidR="00B313E7" w:rsidRPr="00B313E7">
        <w:rPr>
          <w:rFonts w:ascii="Times New Roman" w:hAnsi="Times New Roman" w:cs="Times New Roman"/>
          <w:noProof/>
          <w:color w:val="000000" w:themeColor="text1"/>
        </w:rPr>
        <w:t>(Parliament of the United Kingdom of Great Britain and Northern Ireland, 1989)</w:t>
      </w:r>
      <w:r w:rsidR="00763799" w:rsidRPr="002A316F">
        <w:rPr>
          <w:rFonts w:ascii="Times New Roman" w:hAnsi="Times New Roman" w:cs="Times New Roman"/>
          <w:color w:val="000000" w:themeColor="text1"/>
          <w:vertAlign w:val="superscript"/>
        </w:rPr>
        <w:fldChar w:fldCharType="end"/>
      </w:r>
      <w:r w:rsidRPr="002A316F">
        <w:rPr>
          <w:rFonts w:ascii="Times New Roman" w:hAnsi="Times New Roman" w:cs="Times New Roman"/>
          <w:color w:val="000000" w:themeColor="text1"/>
        </w:rPr>
        <w:t>. However, in assessing responses to child protection cases among UK police forces, the HMIC</w:t>
      </w:r>
      <w:r w:rsidR="00194CFD" w:rsidRPr="00B313E7">
        <w:rPr>
          <w:rFonts w:ascii="Times New Roman" w:hAnsi="Times New Roman" w:cs="Times New Roman"/>
          <w:color w:val="000000" w:themeColor="text1"/>
        </w:rPr>
        <w:t xml:space="preserve"> identified that, across the eight</w:t>
      </w:r>
      <w:r w:rsidRPr="0086715E">
        <w:rPr>
          <w:rFonts w:ascii="Times New Roman" w:hAnsi="Times New Roman" w:cs="Times New Roman"/>
          <w:color w:val="000000" w:themeColor="text1"/>
        </w:rPr>
        <w:t xml:space="preserve"> forces they investigated, 38% of cases involving child protection issues were handled ‘inadequately’</w:t>
      </w:r>
      <w:r w:rsidR="00D25A4D" w:rsidRPr="00D06237">
        <w:rPr>
          <w:rFonts w:ascii="Times New Roman" w:hAnsi="Times New Roman" w:cs="Times New Roman"/>
          <w:color w:val="000000" w:themeColor="text1"/>
        </w:rPr>
        <w:t xml:space="preserve"> </w:t>
      </w:r>
      <w:r w:rsidR="00D25A4D" w:rsidRPr="002A316F">
        <w:rPr>
          <w:rFonts w:ascii="Times New Roman" w:hAnsi="Times New Roman" w:cs="Times New Roman"/>
          <w:color w:val="000000" w:themeColor="text1"/>
        </w:rPr>
        <w:fldChar w:fldCharType="begin" w:fldLock="1"/>
      </w:r>
      <w:r w:rsidR="00D06237">
        <w:rPr>
          <w:rFonts w:ascii="Times New Roman" w:hAnsi="Times New Roman" w:cs="Times New Roman"/>
          <w:color w:val="000000" w:themeColor="text1"/>
        </w:rPr>
        <w:instrText>ADDIN CSL_CITATION {"citationItems":[{"id":"ITEM-1","itemData":{"ISBN":"9781782468196","author":[{"dropping-particle":"","family":"HMIC","given":"","non-dropping-particle":"","parse-names":false,"suffix":""}],"id":"ITEM-1","issue":"July","issued":{"date-parts":[["2015"]]},"page":"1-91","title":"In harm ' s way : The role of the police in keeping children safe","type":"article-journal"},"uris":["http://www.mendeley.com/documents/?uuid=0f490f7e-4d76-3aa1-92ae-95a1fbedf75c"]}],"mendeley":{"formattedCitation":"(HMIC, 2015)","manualFormatting":"(HMIC 2015 p43)","plainTextFormattedCitation":"(HMIC, 2015)","previouslyFormattedCitation":"(HMIC, 2015)"},"properties":{"noteIndex":0},"schema":"https://github.com/citation-style-language/schema/raw/master/csl-citation.json"}</w:instrText>
      </w:r>
      <w:r w:rsidR="00D25A4D" w:rsidRPr="00E30636">
        <w:rPr>
          <w:rFonts w:ascii="Times New Roman" w:hAnsi="Times New Roman" w:cs="Times New Roman"/>
          <w:color w:val="000000" w:themeColor="text1"/>
        </w:rPr>
        <w:fldChar w:fldCharType="separate"/>
      </w:r>
      <w:r w:rsidR="0097577E" w:rsidRPr="002A316F">
        <w:rPr>
          <w:rFonts w:ascii="Times New Roman" w:hAnsi="Times New Roman" w:cs="Times New Roman"/>
          <w:noProof/>
          <w:color w:val="000000" w:themeColor="text1"/>
        </w:rPr>
        <w:t>(HMIC 2015</w:t>
      </w:r>
      <w:r w:rsidR="002A316F" w:rsidRPr="002A316F">
        <w:rPr>
          <w:rFonts w:ascii="Times New Roman" w:hAnsi="Times New Roman" w:cs="Times New Roman"/>
          <w:noProof/>
          <w:color w:val="000000" w:themeColor="text1"/>
        </w:rPr>
        <w:t xml:space="preserve"> p43</w:t>
      </w:r>
      <w:r w:rsidR="0097577E" w:rsidRPr="002A316F">
        <w:rPr>
          <w:rFonts w:ascii="Times New Roman" w:hAnsi="Times New Roman" w:cs="Times New Roman"/>
          <w:noProof/>
          <w:color w:val="000000" w:themeColor="text1"/>
        </w:rPr>
        <w:t>)</w:t>
      </w:r>
      <w:r w:rsidR="00D25A4D" w:rsidRPr="002A316F">
        <w:rPr>
          <w:rFonts w:ascii="Times New Roman" w:hAnsi="Times New Roman" w:cs="Times New Roman"/>
          <w:color w:val="000000" w:themeColor="text1"/>
        </w:rPr>
        <w:fldChar w:fldCharType="end"/>
      </w:r>
      <w:r w:rsidRPr="002A316F">
        <w:rPr>
          <w:rFonts w:ascii="Times New Roman" w:hAnsi="Times New Roman" w:cs="Times New Roman"/>
          <w:color w:val="000000" w:themeColor="text1"/>
        </w:rPr>
        <w:t xml:space="preserve">. </w:t>
      </w:r>
      <w:r w:rsidR="00196B5F" w:rsidRPr="002A316F">
        <w:rPr>
          <w:rFonts w:ascii="Times New Roman" w:hAnsi="Times New Roman" w:cs="Times New Roman"/>
          <w:color w:val="000000" w:themeColor="text1"/>
        </w:rPr>
        <w:t>W</w:t>
      </w:r>
      <w:r w:rsidRPr="002A316F">
        <w:rPr>
          <w:rFonts w:ascii="Times New Roman" w:hAnsi="Times New Roman" w:cs="Times New Roman"/>
          <w:color w:val="000000" w:themeColor="text1"/>
        </w:rPr>
        <w:t>eaknesses included: variability among forces in handling cases; concerns wit</w:t>
      </w:r>
      <w:r w:rsidRPr="00B313E7">
        <w:rPr>
          <w:rFonts w:ascii="Times New Roman" w:hAnsi="Times New Roman" w:cs="Times New Roman"/>
          <w:color w:val="000000" w:themeColor="text1"/>
        </w:rPr>
        <w:t>h officers’ initial responses; ineffective detection; and poor sharing of information with other key partner agencies. The HMIC therefore suggest</w:t>
      </w:r>
      <w:r w:rsidR="00BE39F5" w:rsidRPr="0086715E">
        <w:rPr>
          <w:rFonts w:ascii="Times New Roman" w:hAnsi="Times New Roman" w:cs="Times New Roman"/>
          <w:color w:val="000000" w:themeColor="text1"/>
        </w:rPr>
        <w:t>ed</w:t>
      </w:r>
      <w:r w:rsidRPr="00D06237">
        <w:rPr>
          <w:rFonts w:ascii="Times New Roman" w:hAnsi="Times New Roman" w:cs="Times New Roman"/>
          <w:color w:val="000000" w:themeColor="text1"/>
        </w:rPr>
        <w:t xml:space="preserve"> a need for significant improvement in how we identify and car</w:t>
      </w:r>
      <w:r w:rsidR="00BE39F5" w:rsidRPr="00D06237">
        <w:rPr>
          <w:rFonts w:ascii="Times New Roman" w:hAnsi="Times New Roman" w:cs="Times New Roman"/>
          <w:color w:val="000000" w:themeColor="text1"/>
        </w:rPr>
        <w:t>e</w:t>
      </w:r>
      <w:r w:rsidRPr="00D06237">
        <w:rPr>
          <w:rFonts w:ascii="Times New Roman" w:hAnsi="Times New Roman" w:cs="Times New Roman"/>
          <w:color w:val="000000" w:themeColor="text1"/>
        </w:rPr>
        <w:t xml:space="preserve"> for children at risk of abuse.</w:t>
      </w:r>
    </w:p>
    <w:p w14:paraId="2EBE5B2B" w14:textId="77777777" w:rsidR="005810D8" w:rsidRPr="001473C6" w:rsidRDefault="005810D8" w:rsidP="007F779A">
      <w:pPr>
        <w:spacing w:line="480" w:lineRule="auto"/>
        <w:rPr>
          <w:rFonts w:ascii="Times New Roman" w:hAnsi="Times New Roman" w:cs="Times New Roman"/>
          <w:color w:val="000000" w:themeColor="text1"/>
        </w:rPr>
      </w:pPr>
    </w:p>
    <w:p w14:paraId="57BC5404" w14:textId="7C6D5F49" w:rsidR="005810D8" w:rsidRPr="002A316F" w:rsidRDefault="005810D8" w:rsidP="007F779A">
      <w:pPr>
        <w:spacing w:line="480" w:lineRule="auto"/>
        <w:rPr>
          <w:rFonts w:ascii="Times New Roman" w:hAnsi="Times New Roman" w:cs="Times New Roman"/>
          <w:color w:val="000000" w:themeColor="text1"/>
        </w:rPr>
      </w:pPr>
      <w:r w:rsidRPr="002A316F">
        <w:rPr>
          <w:rFonts w:ascii="Times New Roman" w:hAnsi="Times New Roman" w:cs="Times New Roman"/>
          <w:color w:val="000000" w:themeColor="text1"/>
        </w:rPr>
        <w:t xml:space="preserve">In order to address the recommendations made by the HMIC report, several UK police forces have </w:t>
      </w:r>
      <w:r w:rsidR="00B07D1A" w:rsidRPr="002A316F">
        <w:rPr>
          <w:rFonts w:ascii="Times New Roman" w:hAnsi="Times New Roman" w:cs="Times New Roman"/>
          <w:color w:val="000000" w:themeColor="text1"/>
        </w:rPr>
        <w:t>trialled</w:t>
      </w:r>
      <w:r w:rsidRPr="002A316F">
        <w:rPr>
          <w:rFonts w:ascii="Times New Roman" w:hAnsi="Times New Roman" w:cs="Times New Roman"/>
          <w:color w:val="000000" w:themeColor="text1"/>
        </w:rPr>
        <w:t xml:space="preserve"> new initiatives to improve their recording, processing and supporting of children at risk. This includes </w:t>
      </w:r>
      <w:r w:rsidR="00003B72" w:rsidRPr="002A316F">
        <w:rPr>
          <w:rFonts w:ascii="Times New Roman" w:hAnsi="Times New Roman" w:cs="Times New Roman"/>
          <w:color w:val="000000" w:themeColor="text1"/>
        </w:rPr>
        <w:t>a large police force in the United Kingdom</w:t>
      </w:r>
      <w:r w:rsidRPr="002A316F">
        <w:rPr>
          <w:rFonts w:ascii="Times New Roman" w:hAnsi="Times New Roman" w:cs="Times New Roman"/>
          <w:color w:val="000000" w:themeColor="text1"/>
        </w:rPr>
        <w:t>, which has employed an approach adapted from the ACEs study. A predictive modelling system, known as the Tool for Intervention and Prevention Triggers (TIPT)</w:t>
      </w:r>
      <w:r w:rsidR="00D06237">
        <w:rPr>
          <w:rFonts w:ascii="Times New Roman" w:hAnsi="Times New Roman" w:cs="Times New Roman"/>
          <w:color w:val="000000" w:themeColor="text1"/>
        </w:rPr>
        <w:t xml:space="preserve"> </w:t>
      </w:r>
      <w:r w:rsidR="00D06237">
        <w:rPr>
          <w:rFonts w:ascii="Times New Roman" w:hAnsi="Times New Roman" w:cs="Times New Roman"/>
          <w:color w:val="000000" w:themeColor="text1"/>
        </w:rPr>
        <w:fldChar w:fldCharType="begin" w:fldLock="1"/>
      </w:r>
      <w:r w:rsidR="001473C6">
        <w:rPr>
          <w:rFonts w:ascii="Times New Roman" w:hAnsi="Times New Roman" w:cs="Times New Roman"/>
          <w:color w:val="000000" w:themeColor="text1"/>
        </w:rPr>
        <w:instrText>ADDIN CSL_CITATION {"citationItems":[{"id":"ITEM-1","itemData":{"URL":"file:///Users/Joht/Downloads/eipla-masterclass-nov17-externals.pdf","accessed":{"date-parts":[["2019","11","17"]]},"author":[{"dropping-particle":"","family":"Hughes","given":"Nathan","non-dropping-particle":"","parse-names":false,"suffix":""},{"dropping-particle":"","family":"Chandan","given":"Joht","non-dropping-particle":"","parse-names":false,"suffix":""}],"id":"ITEM-1","issued":{"date-parts":[["2017"]]},"title":"The role of the West Midlands Police in identifying and responding to adverse childhood experiences: a process evaluation of the implementation of TIPT","type":"webpage"},"uris":["http://www.mendeley.com/documents/?uuid=3a4b46fb-dad8-3fa8-a383-64b4ee9a33dc"]}],"mendeley":{"formattedCitation":"(Hughes and Chandan, 2017)","plainTextFormattedCitation":"(Hughes and Chandan, 2017)","previouslyFormattedCitation":"(Hughes and Chandan, 2017)"},"properties":{"noteIndex":0},"schema":"https://github.com/citation-style-language/schema/raw/master/csl-citation.json"}</w:instrText>
      </w:r>
      <w:r w:rsidR="00D06237">
        <w:rPr>
          <w:rFonts w:ascii="Times New Roman" w:hAnsi="Times New Roman" w:cs="Times New Roman"/>
          <w:color w:val="000000" w:themeColor="text1"/>
        </w:rPr>
        <w:fldChar w:fldCharType="separate"/>
      </w:r>
      <w:r w:rsidR="00D06237" w:rsidRPr="00D06237">
        <w:rPr>
          <w:rFonts w:ascii="Times New Roman" w:hAnsi="Times New Roman" w:cs="Times New Roman"/>
          <w:noProof/>
          <w:color w:val="000000" w:themeColor="text1"/>
        </w:rPr>
        <w:t>(Hughes and Chandan, 2017)</w:t>
      </w:r>
      <w:r w:rsidR="00D06237">
        <w:rPr>
          <w:rFonts w:ascii="Times New Roman" w:hAnsi="Times New Roman" w:cs="Times New Roman"/>
          <w:color w:val="000000" w:themeColor="text1"/>
        </w:rPr>
        <w:fldChar w:fldCharType="end"/>
      </w:r>
      <w:r w:rsidRPr="00D06237">
        <w:rPr>
          <w:rFonts w:ascii="Times New Roman" w:hAnsi="Times New Roman" w:cs="Times New Roman"/>
          <w:color w:val="000000" w:themeColor="text1"/>
        </w:rPr>
        <w:t>, searches police databases to identify families and children who have multiple ACEs present.</w:t>
      </w:r>
      <w:r w:rsidR="00D06237">
        <w:rPr>
          <w:rFonts w:ascii="Times New Roman" w:hAnsi="Times New Roman" w:cs="Times New Roman"/>
          <w:color w:val="000000" w:themeColor="text1"/>
        </w:rPr>
        <w:t xml:space="preserve"> The ACEs </w:t>
      </w:r>
      <w:r w:rsidR="00EB5D10">
        <w:rPr>
          <w:rFonts w:ascii="Times New Roman" w:hAnsi="Times New Roman" w:cs="Times New Roman"/>
          <w:color w:val="000000" w:themeColor="text1"/>
        </w:rPr>
        <w:t xml:space="preserve">were identified solely from police databases and these included: abuse against the child: physical, psychological and sexual; neglect of the child: physical and emotional; and markers of household dysfunction; substance misuse, mental ill health, domestic abuse against a mother, lone parents as well as parental incarceration. </w:t>
      </w:r>
      <w:r w:rsidRPr="00D06237">
        <w:rPr>
          <w:rFonts w:ascii="Times New Roman" w:hAnsi="Times New Roman" w:cs="Times New Roman"/>
          <w:color w:val="000000" w:themeColor="text1"/>
        </w:rPr>
        <w:t xml:space="preserve"> Children identified as experiencing four </w:t>
      </w:r>
      <w:r w:rsidR="00194CFD" w:rsidRPr="00D06237">
        <w:rPr>
          <w:rFonts w:ascii="Times New Roman" w:hAnsi="Times New Roman" w:cs="Times New Roman"/>
          <w:color w:val="000000" w:themeColor="text1"/>
        </w:rPr>
        <w:t xml:space="preserve">or more </w:t>
      </w:r>
      <w:r w:rsidRPr="00D06237">
        <w:rPr>
          <w:rFonts w:ascii="Times New Roman" w:hAnsi="Times New Roman" w:cs="Times New Roman"/>
          <w:color w:val="000000" w:themeColor="text1"/>
        </w:rPr>
        <w:t xml:space="preserve">ACEs </w:t>
      </w:r>
      <w:r w:rsidR="00D06237">
        <w:rPr>
          <w:rFonts w:ascii="Times New Roman" w:hAnsi="Times New Roman" w:cs="Times New Roman"/>
          <w:color w:val="000000" w:themeColor="text1"/>
        </w:rPr>
        <w:t>(</w:t>
      </w:r>
      <w:r w:rsidRPr="00D06237">
        <w:rPr>
          <w:rFonts w:ascii="Times New Roman" w:hAnsi="Times New Roman" w:cs="Times New Roman"/>
          <w:color w:val="000000" w:themeColor="text1"/>
        </w:rPr>
        <w:t xml:space="preserve">are assigned to their local </w:t>
      </w:r>
      <w:r w:rsidR="00016D98" w:rsidRPr="00D06237">
        <w:rPr>
          <w:rFonts w:ascii="Times New Roman" w:hAnsi="Times New Roman" w:cs="Times New Roman"/>
          <w:color w:val="000000" w:themeColor="text1"/>
        </w:rPr>
        <w:t>Neighbourhood</w:t>
      </w:r>
      <w:r w:rsidRPr="00D06237">
        <w:rPr>
          <w:rFonts w:ascii="Times New Roman" w:hAnsi="Times New Roman" w:cs="Times New Roman"/>
          <w:color w:val="000000" w:themeColor="text1"/>
        </w:rPr>
        <w:t xml:space="preserve"> Policing Teams (NPTs)</w:t>
      </w:r>
      <w:r w:rsidR="003A5A24" w:rsidRPr="00D06237">
        <w:rPr>
          <w:rFonts w:ascii="Times New Roman" w:hAnsi="Times New Roman" w:cs="Times New Roman"/>
          <w:color w:val="000000" w:themeColor="text1"/>
        </w:rPr>
        <w:t>;</w:t>
      </w:r>
      <w:r w:rsidRPr="00D06237">
        <w:rPr>
          <w:rFonts w:ascii="Times New Roman" w:hAnsi="Times New Roman" w:cs="Times New Roman"/>
          <w:color w:val="000000" w:themeColor="text1"/>
        </w:rPr>
        <w:t xml:space="preserve"> a UK policing initiative whereby small teams of</w:t>
      </w:r>
      <w:r w:rsidR="002E1CBD" w:rsidRPr="00D06237">
        <w:rPr>
          <w:rFonts w:ascii="Times New Roman" w:hAnsi="Times New Roman" w:cs="Times New Roman"/>
          <w:color w:val="000000" w:themeColor="text1"/>
        </w:rPr>
        <w:t xml:space="preserve"> typically</w:t>
      </w:r>
      <w:r w:rsidRPr="00EB5D10">
        <w:rPr>
          <w:rFonts w:ascii="Times New Roman" w:hAnsi="Times New Roman" w:cs="Times New Roman"/>
          <w:color w:val="000000" w:themeColor="text1"/>
        </w:rPr>
        <w:t xml:space="preserve"> 10-15 police officers are assigned to a particular geographical area, with the aim of making policing visible and improving interactions between residents and police officers</w:t>
      </w:r>
      <w:r w:rsidR="006254A4" w:rsidRPr="00EB5D10">
        <w:rPr>
          <w:rFonts w:ascii="Times New Roman" w:hAnsi="Times New Roman" w:cs="Times New Roman"/>
          <w:color w:val="000000" w:themeColor="text1"/>
        </w:rPr>
        <w:t xml:space="preserve"> </w:t>
      </w:r>
      <w:r w:rsidR="006254A4" w:rsidRPr="002A316F">
        <w:rPr>
          <w:rFonts w:ascii="Times New Roman" w:hAnsi="Times New Roman" w:cs="Times New Roman"/>
          <w:color w:val="000000" w:themeColor="text1"/>
        </w:rPr>
        <w:fldChar w:fldCharType="begin" w:fldLock="1"/>
      </w:r>
      <w:r w:rsidR="00D06237">
        <w:rPr>
          <w:rFonts w:ascii="Times New Roman" w:hAnsi="Times New Roman" w:cs="Times New Roman"/>
          <w:color w:val="000000" w:themeColor="text1"/>
        </w:rPr>
        <w:instrText>ADDIN CSL_CITATION {"citationItems":[{"id":"ITEM-1","itemData":{"abstract":"This report describes the nature of neighbourhood policing partnerships in six local areas which were identified as having a strongly embedded partnership approach. Case studies of the six areas were conducted between January and August 2010. There were a range of benefits identified by partners and residents from working in partnership. Local residents reported feeling more empowered through working with local partners and felt that there had been reductions in crime and antisocial behaviour (ASB). Practitioners perceived that neighbourhood policing partnerships had the potential to deliver efficiencies through better coordination of resources and opportunities to reduce duplication. Practitioners also felt that working in partnership was more effective for problem solving and increased staff job satisfaction. To help work in partnership, each site had appointed a Neighbourhood Manager responsible for overseeing and coordinating delivery of initiatives. These roles were either dedicated posts, or were carried out by existing police or Community Safety Partnership staff alongside their other commitments. Carrying out the role alongside other commitments was not seen as inherently inferior to full-time dedicated posts. It was more important that the role was perceived to act independently and represent community interests to engender trust from partner agencies. Successful partnerships at the local level were also underpinned by strong leadership and engaged staff; shared aims and objectives; and effective communication and information sharing between partner organisations. Stable funding and co-location were perceived as helpful in facilitating partnership working (though this was not essential). However, co-location was not always seen as advantageous, for instance some felt that it risked disengaging residents from all agencies if public trust in one of the co-located partners was low.. Some challenges that partnerships had to overcome included ensuring a wide range of the community were engaged; managing community priorities which did not match up with those evident from local crime and ASB statistics; and staff discontinuity.","author":[{"dropping-particle":"","family":"Turley","given":"Caroline","non-dropping-particle":"","parse-names":false,"suffix":""},{"dropping-particle":"","family":"Ranns","given":"Helen","non-dropping-particle":"","parse-names":false,"suffix":""},{"dropping-particle":"","family":"Callanan","given":"Meg","non-dropping-particle":"","parse-names":false,"suffix":""},{"dropping-particle":"","family":"Blackwell","given":"Alison","non-dropping-particle":"","parse-names":false,"suffix":""}],"id":"ITEM-1","issued":{"date-parts":[["2012"]]},"title":"Research Report 61 - Delivering neighbourhood policing in partnership","type":"report"},"uris":["http://www.mendeley.com/documents/?uuid=79b43c02-44eb-3952-9807-6fd390bdba56"]}],"mendeley":{"formattedCitation":"(Turley &lt;i&gt;et al.&lt;/i&gt;, 2012)","plainTextFormattedCitation":"(Turley et al., 2012)","previouslyFormattedCitation":"(Turley &lt;i&gt;et al.&lt;/i&gt;, 2012)"},"properties":{"noteIndex":0},"schema":"https://github.com/citation-style-language/schema/raw/master/csl-citation.json"}</w:instrText>
      </w:r>
      <w:r w:rsidR="006254A4" w:rsidRPr="00E30636">
        <w:rPr>
          <w:rFonts w:ascii="Times New Roman" w:hAnsi="Times New Roman" w:cs="Times New Roman"/>
          <w:color w:val="000000" w:themeColor="text1"/>
        </w:rPr>
        <w:fldChar w:fldCharType="separate"/>
      </w:r>
      <w:r w:rsidR="00B313E7" w:rsidRPr="00B313E7">
        <w:rPr>
          <w:rFonts w:ascii="Times New Roman" w:hAnsi="Times New Roman" w:cs="Times New Roman"/>
          <w:noProof/>
          <w:color w:val="000000" w:themeColor="text1"/>
        </w:rPr>
        <w:t xml:space="preserve">(Turley </w:t>
      </w:r>
      <w:r w:rsidR="00B313E7" w:rsidRPr="00B313E7">
        <w:rPr>
          <w:rFonts w:ascii="Times New Roman" w:hAnsi="Times New Roman" w:cs="Times New Roman"/>
          <w:i/>
          <w:noProof/>
          <w:color w:val="000000" w:themeColor="text1"/>
        </w:rPr>
        <w:t>et al.</w:t>
      </w:r>
      <w:r w:rsidR="00B313E7" w:rsidRPr="00B313E7">
        <w:rPr>
          <w:rFonts w:ascii="Times New Roman" w:hAnsi="Times New Roman" w:cs="Times New Roman"/>
          <w:noProof/>
          <w:color w:val="000000" w:themeColor="text1"/>
        </w:rPr>
        <w:t>, 2012)</w:t>
      </w:r>
      <w:r w:rsidR="006254A4" w:rsidRPr="002A316F">
        <w:rPr>
          <w:rFonts w:ascii="Times New Roman" w:hAnsi="Times New Roman" w:cs="Times New Roman"/>
          <w:color w:val="000000" w:themeColor="text1"/>
        </w:rPr>
        <w:fldChar w:fldCharType="end"/>
      </w:r>
      <w:r w:rsidRPr="002A316F">
        <w:rPr>
          <w:rFonts w:ascii="Times New Roman" w:hAnsi="Times New Roman" w:cs="Times New Roman"/>
          <w:color w:val="000000" w:themeColor="text1"/>
        </w:rPr>
        <w:t xml:space="preserve">. On receipt of a ‘TIPT </w:t>
      </w:r>
      <w:r w:rsidRPr="002A316F">
        <w:rPr>
          <w:rFonts w:ascii="Times New Roman" w:hAnsi="Times New Roman" w:cs="Times New Roman"/>
          <w:color w:val="000000" w:themeColor="text1"/>
        </w:rPr>
        <w:lastRenderedPageBreak/>
        <w:t xml:space="preserve">package’, </w:t>
      </w:r>
      <w:r w:rsidR="00016D98" w:rsidRPr="002A316F">
        <w:rPr>
          <w:rFonts w:ascii="Times New Roman" w:hAnsi="Times New Roman" w:cs="Times New Roman"/>
          <w:color w:val="000000" w:themeColor="text1"/>
        </w:rPr>
        <w:t>Neighbourhood</w:t>
      </w:r>
      <w:r w:rsidRPr="002A316F">
        <w:rPr>
          <w:rFonts w:ascii="Times New Roman" w:hAnsi="Times New Roman" w:cs="Times New Roman"/>
          <w:color w:val="000000" w:themeColor="text1"/>
        </w:rPr>
        <w:t xml:space="preserve"> Police Officers (NPOs) are required to investigate the case, identify existing support, and, where appropriate, consider referral for additional support services from othe</w:t>
      </w:r>
      <w:r w:rsidRPr="00B313E7">
        <w:rPr>
          <w:rFonts w:ascii="Times New Roman" w:hAnsi="Times New Roman" w:cs="Times New Roman"/>
          <w:color w:val="000000" w:themeColor="text1"/>
        </w:rPr>
        <w:t xml:space="preserve">r local agencies. </w:t>
      </w:r>
      <w:r w:rsidR="005232C1" w:rsidRPr="0086715E">
        <w:rPr>
          <w:rFonts w:ascii="Times New Roman" w:hAnsi="Times New Roman" w:cs="Times New Roman"/>
          <w:color w:val="000000" w:themeColor="text1"/>
        </w:rPr>
        <w:t>The TIPT package consists of an electronic briefing relating to information compiled by an intelligence officer once the system informs them of a child who has met the threshold of four ACEs</w:t>
      </w:r>
      <w:r w:rsidR="00EB5D10">
        <w:rPr>
          <w:rFonts w:ascii="Times New Roman" w:hAnsi="Times New Roman" w:cs="Times New Roman"/>
          <w:color w:val="000000" w:themeColor="text1"/>
        </w:rPr>
        <w:t xml:space="preserve"> (can include four</w:t>
      </w:r>
      <w:r w:rsidR="00956DD1">
        <w:rPr>
          <w:rFonts w:ascii="Times New Roman" w:hAnsi="Times New Roman" w:cs="Times New Roman"/>
          <w:color w:val="000000" w:themeColor="text1"/>
        </w:rPr>
        <w:t xml:space="preserve"> instances</w:t>
      </w:r>
      <w:r w:rsidR="00EB5D10">
        <w:rPr>
          <w:rFonts w:ascii="Times New Roman" w:hAnsi="Times New Roman" w:cs="Times New Roman"/>
          <w:color w:val="000000" w:themeColor="text1"/>
        </w:rPr>
        <w:t xml:space="preserve"> of the same ACE)</w:t>
      </w:r>
      <w:r w:rsidR="005232C1" w:rsidRPr="0086715E">
        <w:rPr>
          <w:rFonts w:ascii="Times New Roman" w:hAnsi="Times New Roman" w:cs="Times New Roman"/>
          <w:color w:val="000000" w:themeColor="text1"/>
        </w:rPr>
        <w:t xml:space="preserve">. The briefing consists of information relating </w:t>
      </w:r>
      <w:r w:rsidR="005232C1" w:rsidRPr="00D06237">
        <w:rPr>
          <w:rFonts w:ascii="Times New Roman" w:hAnsi="Times New Roman" w:cs="Times New Roman"/>
          <w:color w:val="000000" w:themeColor="text1"/>
        </w:rPr>
        <w:t>to</w:t>
      </w:r>
      <w:r w:rsidR="002D5555" w:rsidRPr="00D06237">
        <w:rPr>
          <w:rFonts w:ascii="Times New Roman" w:hAnsi="Times New Roman" w:cs="Times New Roman"/>
          <w:color w:val="000000" w:themeColor="text1"/>
        </w:rPr>
        <w:t>:</w:t>
      </w:r>
      <w:r w:rsidR="005232C1" w:rsidRPr="00D06237">
        <w:rPr>
          <w:rFonts w:ascii="Times New Roman" w:hAnsi="Times New Roman" w:cs="Times New Roman"/>
          <w:color w:val="000000" w:themeColor="text1"/>
        </w:rPr>
        <w:t xml:space="preserve"> </w:t>
      </w:r>
      <w:r w:rsidR="005232C1" w:rsidRPr="00E30636">
        <w:rPr>
          <w:rFonts w:ascii="Times New Roman" w:hAnsi="Times New Roman" w:cs="Times New Roman"/>
          <w:color w:val="212121"/>
          <w:shd w:val="clear" w:color="auto" w:fill="FFFFFF"/>
        </w:rPr>
        <w:t xml:space="preserve">demography, status (victim or perpetrator in most recent report), ACEs present and the crime reports they were derived from, vulnerabilities in the household, and sibling, parent or carer details. </w:t>
      </w:r>
      <w:r w:rsidR="00BE7ED3" w:rsidRPr="00E30636">
        <w:rPr>
          <w:rFonts w:ascii="Times New Roman" w:hAnsi="Times New Roman" w:cs="Times New Roman"/>
          <w:color w:val="212121"/>
          <w:shd w:val="clear" w:color="auto" w:fill="FFFFFF"/>
        </w:rPr>
        <w:t xml:space="preserve">The briefing is </w:t>
      </w:r>
      <w:r w:rsidR="00F13257" w:rsidRPr="00E30636">
        <w:rPr>
          <w:rFonts w:ascii="Times New Roman" w:hAnsi="Times New Roman" w:cs="Times New Roman"/>
          <w:color w:val="212121"/>
          <w:shd w:val="clear" w:color="auto" w:fill="FFFFFF"/>
        </w:rPr>
        <w:t>at</w:t>
      </w:r>
      <w:r w:rsidR="00BE7ED3" w:rsidRPr="00E30636">
        <w:rPr>
          <w:rFonts w:ascii="Times New Roman" w:hAnsi="Times New Roman" w:cs="Times New Roman"/>
          <w:color w:val="212121"/>
          <w:shd w:val="clear" w:color="auto" w:fill="FFFFFF"/>
        </w:rPr>
        <w:t xml:space="preserve"> the discretion of the intelligence </w:t>
      </w:r>
      <w:r w:rsidR="00F13257" w:rsidRPr="00E30636">
        <w:rPr>
          <w:rFonts w:ascii="Times New Roman" w:hAnsi="Times New Roman" w:cs="Times New Roman"/>
          <w:color w:val="212121"/>
          <w:shd w:val="clear" w:color="auto" w:fill="FFFFFF"/>
        </w:rPr>
        <w:t>officer</w:t>
      </w:r>
      <w:r w:rsidR="00BC3199" w:rsidRPr="00E30636">
        <w:rPr>
          <w:rFonts w:ascii="Times New Roman" w:hAnsi="Times New Roman" w:cs="Times New Roman"/>
          <w:color w:val="212121"/>
          <w:shd w:val="clear" w:color="auto" w:fill="FFFFFF"/>
        </w:rPr>
        <w:t xml:space="preserve"> (who creates the intelligence package)</w:t>
      </w:r>
      <w:r w:rsidR="00F13257" w:rsidRPr="00E30636">
        <w:rPr>
          <w:rFonts w:ascii="Times New Roman" w:hAnsi="Times New Roman" w:cs="Times New Roman"/>
          <w:color w:val="212121"/>
          <w:shd w:val="clear" w:color="auto" w:fill="FFFFFF"/>
        </w:rPr>
        <w:t xml:space="preserve"> </w:t>
      </w:r>
      <w:r w:rsidR="00BC3199" w:rsidRPr="00E30636">
        <w:rPr>
          <w:rFonts w:ascii="Times New Roman" w:hAnsi="Times New Roman" w:cs="Times New Roman"/>
          <w:color w:val="212121"/>
          <w:shd w:val="clear" w:color="auto" w:fill="FFFFFF"/>
        </w:rPr>
        <w:t>and</w:t>
      </w:r>
      <w:r w:rsidR="00BE7ED3" w:rsidRPr="00E30636">
        <w:rPr>
          <w:rFonts w:ascii="Times New Roman" w:hAnsi="Times New Roman" w:cs="Times New Roman"/>
          <w:color w:val="212121"/>
          <w:shd w:val="clear" w:color="auto" w:fill="FFFFFF"/>
        </w:rPr>
        <w:t xml:space="preserve"> often </w:t>
      </w:r>
      <w:r w:rsidR="00BC3199" w:rsidRPr="00E30636">
        <w:rPr>
          <w:rFonts w:ascii="Times New Roman" w:hAnsi="Times New Roman" w:cs="Times New Roman"/>
          <w:color w:val="212121"/>
          <w:shd w:val="clear" w:color="auto" w:fill="FFFFFF"/>
        </w:rPr>
        <w:t xml:space="preserve">only </w:t>
      </w:r>
      <w:r w:rsidR="00BE7ED3" w:rsidRPr="00E30636">
        <w:rPr>
          <w:rFonts w:ascii="Times New Roman" w:hAnsi="Times New Roman" w:cs="Times New Roman"/>
          <w:color w:val="212121"/>
          <w:shd w:val="clear" w:color="auto" w:fill="FFFFFF"/>
        </w:rPr>
        <w:t xml:space="preserve">focuses on vulnerability in the household. </w:t>
      </w:r>
    </w:p>
    <w:p w14:paraId="6EEFFDA9" w14:textId="77777777" w:rsidR="005810D8" w:rsidRPr="00B313E7" w:rsidRDefault="005810D8" w:rsidP="007F779A">
      <w:pPr>
        <w:spacing w:line="480" w:lineRule="auto"/>
        <w:rPr>
          <w:rFonts w:ascii="Times New Roman" w:hAnsi="Times New Roman" w:cs="Times New Roman"/>
          <w:color w:val="000000" w:themeColor="text1"/>
        </w:rPr>
      </w:pPr>
    </w:p>
    <w:p w14:paraId="07E31EEE" w14:textId="6B514AF1" w:rsidR="005810D8" w:rsidRPr="00860838" w:rsidRDefault="005810D8" w:rsidP="007F779A">
      <w:pPr>
        <w:spacing w:line="480" w:lineRule="auto"/>
        <w:rPr>
          <w:rFonts w:ascii="Times New Roman" w:eastAsia="Times New Roman" w:hAnsi="Times New Roman" w:cs="Times New Roman"/>
          <w:color w:val="000000" w:themeColor="text1"/>
          <w:shd w:val="clear" w:color="auto" w:fill="FFFFFF"/>
        </w:rPr>
      </w:pPr>
      <w:r w:rsidRPr="00D06237">
        <w:rPr>
          <w:rFonts w:ascii="Times New Roman" w:hAnsi="Times New Roman" w:cs="Times New Roman"/>
          <w:color w:val="000000" w:themeColor="text1"/>
        </w:rPr>
        <w:t xml:space="preserve">The senior police officer originally responsible for the initiative placed it in the context of a core commitment to </w:t>
      </w:r>
      <w:r w:rsidRPr="00D06237">
        <w:rPr>
          <w:rFonts w:ascii="Times New Roman" w:eastAsia="Times New Roman" w:hAnsi="Times New Roman" w:cs="Times New Roman"/>
          <w:color w:val="000000" w:themeColor="text1"/>
          <w:shd w:val="clear" w:color="auto" w:fill="FFFFFF"/>
        </w:rPr>
        <w:t>‘early intervention’, defined as an intent to ‘stop problems escalating, reducing demand for police resources to manage that individual further down the line’, with the overall aim of ‘creating fewer victims and achieving a better q</w:t>
      </w:r>
      <w:r w:rsidR="006254A4" w:rsidRPr="00D06237">
        <w:rPr>
          <w:rFonts w:ascii="Times New Roman" w:eastAsia="Times New Roman" w:hAnsi="Times New Roman" w:cs="Times New Roman"/>
          <w:color w:val="000000" w:themeColor="text1"/>
          <w:shd w:val="clear" w:color="auto" w:fill="FFFFFF"/>
        </w:rPr>
        <w:t>uality of life for local people</w:t>
      </w:r>
      <w:r w:rsidRPr="00D06237">
        <w:rPr>
          <w:rFonts w:ascii="Times New Roman" w:eastAsia="Times New Roman" w:hAnsi="Times New Roman" w:cs="Times New Roman"/>
          <w:color w:val="000000" w:themeColor="text1"/>
          <w:shd w:val="clear" w:color="auto" w:fill="FFFFFF"/>
        </w:rPr>
        <w:t>’</w:t>
      </w:r>
      <w:r w:rsidR="006254A4" w:rsidRPr="00D06237">
        <w:rPr>
          <w:rFonts w:ascii="Times New Roman" w:eastAsia="Times New Roman" w:hAnsi="Times New Roman" w:cs="Times New Roman"/>
          <w:color w:val="000000" w:themeColor="text1"/>
          <w:shd w:val="clear" w:color="auto" w:fill="FFFFFF"/>
        </w:rPr>
        <w:t xml:space="preserve"> </w:t>
      </w:r>
      <w:r w:rsidR="006254A4" w:rsidRPr="002A316F">
        <w:rPr>
          <w:rFonts w:ascii="Times New Roman" w:eastAsia="Times New Roman" w:hAnsi="Times New Roman" w:cs="Times New Roman"/>
          <w:color w:val="000000" w:themeColor="text1"/>
          <w:shd w:val="clear" w:color="auto" w:fill="FFFFFF"/>
        </w:rPr>
        <w:fldChar w:fldCharType="begin" w:fldLock="1"/>
      </w:r>
      <w:r w:rsidR="00D06237">
        <w:rPr>
          <w:rFonts w:ascii="Times New Roman" w:eastAsia="Times New Roman" w:hAnsi="Times New Roman" w:cs="Times New Roman"/>
          <w:color w:val="000000" w:themeColor="text1"/>
          <w:shd w:val="clear" w:color="auto" w:fill="FFFFFF"/>
        </w:rPr>
        <w:instrText>ADDIN CSL_CITATION {"citationItems":[{"id":"ITEM-1","itemData":{"URL":"https://barnardosihop.custhelp.com/app/answers/detail/a_id/889/~/guest-blog%3A-superintendent-kim-madhill-on-the-west-midlands-police-response-to?style=print","accessed":{"date-parts":[["2018","9","6"]]},"author":[{"dropping-particle":"","family":"i-HOP","given":"","non-dropping-particle":"","parse-names":false,"suffix":""}],"id":"ITEM-1","issued":{"date-parts":[["2017"]]},"title":"i-HOP - Guest blog: Superintendent Kim Madhill on the West Midlands Police response to offenders' families","type":"webpage"},"uris":["http://www.mendeley.com/documents/?uuid=9e74bf2e-7dac-3126-8e21-6553f405f23f"]}],"mendeley":{"formattedCitation":"(i-HOP, 2017)","plainTextFormattedCitation":"(i-HOP, 2017)","previouslyFormattedCitation":"(i-HOP, 2017)"},"properties":{"noteIndex":0},"schema":"https://github.com/citation-style-language/schema/raw/master/csl-citation.json"}</w:instrText>
      </w:r>
      <w:r w:rsidR="006254A4" w:rsidRPr="00E30636">
        <w:rPr>
          <w:rFonts w:ascii="Times New Roman" w:eastAsia="Times New Roman" w:hAnsi="Times New Roman" w:cs="Times New Roman"/>
          <w:color w:val="000000" w:themeColor="text1"/>
          <w:shd w:val="clear" w:color="auto" w:fill="FFFFFF"/>
        </w:rPr>
        <w:fldChar w:fldCharType="separate"/>
      </w:r>
      <w:r w:rsidR="00B313E7" w:rsidRPr="00B313E7">
        <w:rPr>
          <w:rFonts w:ascii="Times New Roman" w:eastAsia="Times New Roman" w:hAnsi="Times New Roman" w:cs="Times New Roman"/>
          <w:noProof/>
          <w:color w:val="000000" w:themeColor="text1"/>
          <w:shd w:val="clear" w:color="auto" w:fill="FFFFFF"/>
        </w:rPr>
        <w:t>(i-HOP, 2017)</w:t>
      </w:r>
      <w:r w:rsidR="006254A4" w:rsidRPr="002A316F">
        <w:rPr>
          <w:rFonts w:ascii="Times New Roman" w:eastAsia="Times New Roman" w:hAnsi="Times New Roman" w:cs="Times New Roman"/>
          <w:color w:val="000000" w:themeColor="text1"/>
          <w:shd w:val="clear" w:color="auto" w:fill="FFFFFF"/>
        </w:rPr>
        <w:fldChar w:fldCharType="end"/>
      </w:r>
      <w:r w:rsidR="006254A4" w:rsidRPr="002A316F">
        <w:rPr>
          <w:rFonts w:ascii="Times New Roman" w:eastAsia="Times New Roman" w:hAnsi="Times New Roman" w:cs="Times New Roman"/>
          <w:color w:val="000000" w:themeColor="text1"/>
          <w:shd w:val="clear" w:color="auto" w:fill="FFFFFF"/>
        </w:rPr>
        <w:t>.</w:t>
      </w:r>
      <w:r w:rsidRPr="002A316F">
        <w:rPr>
          <w:rFonts w:ascii="Times New Roman" w:eastAsia="Times New Roman" w:hAnsi="Times New Roman" w:cs="Times New Roman"/>
          <w:color w:val="000000" w:themeColor="text1"/>
          <w:shd w:val="clear" w:color="auto" w:fill="FFFFFF"/>
        </w:rPr>
        <w:t xml:space="preserve"> </w:t>
      </w:r>
      <w:r w:rsidRPr="002A316F">
        <w:rPr>
          <w:rFonts w:ascii="Times New Roman" w:hAnsi="Times New Roman" w:cs="Times New Roman"/>
          <w:color w:val="000000" w:themeColor="text1"/>
        </w:rPr>
        <w:t xml:space="preserve">The intention is therefore that </w:t>
      </w:r>
      <w:r w:rsidRPr="002A316F">
        <w:rPr>
          <w:rFonts w:ascii="Times New Roman" w:eastAsia="Times New Roman" w:hAnsi="Times New Roman" w:cs="Times New Roman"/>
          <w:color w:val="000000" w:themeColor="text1"/>
          <w:shd w:val="clear" w:color="auto" w:fill="FFFFFF"/>
        </w:rPr>
        <w:t xml:space="preserve">‘TIPT </w:t>
      </w:r>
      <w:r w:rsidR="008F2D90" w:rsidRPr="00B313E7">
        <w:rPr>
          <w:rFonts w:ascii="Times New Roman" w:eastAsia="Times New Roman" w:hAnsi="Times New Roman" w:cs="Times New Roman"/>
          <w:color w:val="000000" w:themeColor="text1"/>
          <w:shd w:val="clear" w:color="auto" w:fill="FFFFFF"/>
        </w:rPr>
        <w:t>systemizes</w:t>
      </w:r>
      <w:r w:rsidRPr="0086715E">
        <w:rPr>
          <w:rFonts w:ascii="Times New Roman" w:eastAsia="Times New Roman" w:hAnsi="Times New Roman" w:cs="Times New Roman"/>
          <w:color w:val="000000" w:themeColor="text1"/>
          <w:shd w:val="clear" w:color="auto" w:fill="FFFFFF"/>
        </w:rPr>
        <w:t xml:space="preserve"> the flagging process so [that] those</w:t>
      </w:r>
      <w:r w:rsidRPr="00D06237">
        <w:rPr>
          <w:rFonts w:ascii="Times New Roman" w:eastAsia="Times New Roman" w:hAnsi="Times New Roman" w:cs="Times New Roman"/>
          <w:color w:val="000000" w:themeColor="text1"/>
          <w:shd w:val="clear" w:color="auto" w:fill="FFFFFF"/>
        </w:rPr>
        <w:t xml:space="preserve"> in need of help are easier to pinpoint early before those adverse experiences manifest as poor outcomes later in life</w:t>
      </w:r>
      <w:r w:rsidRPr="00D06237">
        <w:rPr>
          <w:rFonts w:ascii="Times New Roman" w:eastAsia="Times New Roman" w:hAnsi="Times New Roman" w:cs="Times New Roman"/>
          <w:color w:val="000000" w:themeColor="text1"/>
        </w:rPr>
        <w:t>’.</w:t>
      </w:r>
      <w:r w:rsidRPr="00D06237">
        <w:rPr>
          <w:rFonts w:ascii="Times New Roman" w:eastAsia="Times New Roman" w:hAnsi="Times New Roman" w:cs="Times New Roman"/>
          <w:color w:val="000000" w:themeColor="text1"/>
          <w:shd w:val="clear" w:color="auto" w:fill="FFFFFF"/>
        </w:rPr>
        <w:t xml:space="preserve"> </w:t>
      </w:r>
      <w:r w:rsidRPr="00D06237">
        <w:rPr>
          <w:rFonts w:ascii="Times New Roman" w:hAnsi="Times New Roman" w:cs="Times New Roman"/>
          <w:color w:val="000000" w:themeColor="text1"/>
        </w:rPr>
        <w:t>This implies a broad focus on preventing the full range of negative future outcomes, though with obvious emphasis on core police concer</w:t>
      </w:r>
      <w:r w:rsidRPr="001473C6">
        <w:rPr>
          <w:rFonts w:ascii="Times New Roman" w:hAnsi="Times New Roman" w:cs="Times New Roman"/>
          <w:color w:val="000000" w:themeColor="text1"/>
        </w:rPr>
        <w:t xml:space="preserve">ns </w:t>
      </w:r>
      <w:r w:rsidR="00FB79E7" w:rsidRPr="001473C6">
        <w:rPr>
          <w:rFonts w:ascii="Times New Roman" w:hAnsi="Times New Roman" w:cs="Times New Roman"/>
          <w:color w:val="000000" w:themeColor="text1"/>
        </w:rPr>
        <w:t>of</w:t>
      </w:r>
      <w:r w:rsidR="00FB79E7" w:rsidRPr="00860838">
        <w:rPr>
          <w:rFonts w:ascii="Times New Roman" w:hAnsi="Times New Roman" w:cs="Times New Roman"/>
          <w:color w:val="000000" w:themeColor="text1"/>
        </w:rPr>
        <w:t xml:space="preserve"> </w:t>
      </w:r>
      <w:r w:rsidRPr="00860838">
        <w:rPr>
          <w:rFonts w:ascii="Times New Roman" w:hAnsi="Times New Roman" w:cs="Times New Roman"/>
          <w:color w:val="000000" w:themeColor="text1"/>
        </w:rPr>
        <w:t xml:space="preserve">criminal offending and </w:t>
      </w:r>
      <w:r w:rsidR="008F2D90" w:rsidRPr="00860838">
        <w:rPr>
          <w:rFonts w:ascii="Times New Roman" w:hAnsi="Times New Roman" w:cs="Times New Roman"/>
          <w:color w:val="000000" w:themeColor="text1"/>
        </w:rPr>
        <w:t>victimization</w:t>
      </w:r>
      <w:r w:rsidRPr="00860838">
        <w:rPr>
          <w:rFonts w:ascii="Times New Roman" w:hAnsi="Times New Roman" w:cs="Times New Roman"/>
          <w:color w:val="000000" w:themeColor="text1"/>
        </w:rPr>
        <w:t>.</w:t>
      </w:r>
    </w:p>
    <w:p w14:paraId="2F263E8B" w14:textId="77777777" w:rsidR="005810D8" w:rsidRPr="002A316F" w:rsidRDefault="005810D8" w:rsidP="007F779A">
      <w:pPr>
        <w:spacing w:line="480" w:lineRule="auto"/>
        <w:rPr>
          <w:rFonts w:ascii="Times New Roman" w:hAnsi="Times New Roman" w:cs="Times New Roman"/>
          <w:color w:val="000000" w:themeColor="text1"/>
        </w:rPr>
      </w:pPr>
    </w:p>
    <w:p w14:paraId="693A292B" w14:textId="42DDA517" w:rsidR="005810D8" w:rsidRPr="002A316F" w:rsidRDefault="005810D8" w:rsidP="007F779A">
      <w:pPr>
        <w:spacing w:line="480" w:lineRule="auto"/>
        <w:rPr>
          <w:rFonts w:ascii="Times New Roman" w:hAnsi="Times New Roman" w:cs="Times New Roman"/>
          <w:color w:val="000000" w:themeColor="text1"/>
        </w:rPr>
      </w:pPr>
      <w:r w:rsidRPr="002A316F">
        <w:rPr>
          <w:rFonts w:ascii="Times New Roman" w:hAnsi="Times New Roman" w:cs="Times New Roman"/>
          <w:color w:val="000000" w:themeColor="text1"/>
        </w:rPr>
        <w:t>This represents an innovative approach</w:t>
      </w:r>
      <w:r w:rsidR="003C7831" w:rsidRPr="002A316F">
        <w:rPr>
          <w:rFonts w:ascii="Times New Roman" w:hAnsi="Times New Roman" w:cs="Times New Roman"/>
          <w:color w:val="000000" w:themeColor="text1"/>
        </w:rPr>
        <w:t xml:space="preserve"> reflected in terms of</w:t>
      </w:r>
      <w:r w:rsidR="00947982" w:rsidRPr="002A316F">
        <w:rPr>
          <w:rFonts w:ascii="Times New Roman" w:hAnsi="Times New Roman" w:cs="Times New Roman"/>
          <w:color w:val="000000" w:themeColor="text1"/>
        </w:rPr>
        <w:t>:</w:t>
      </w:r>
      <w:r w:rsidR="003C7831" w:rsidRPr="002A316F">
        <w:rPr>
          <w:rFonts w:ascii="Times New Roman" w:hAnsi="Times New Roman" w:cs="Times New Roman"/>
          <w:color w:val="000000" w:themeColor="text1"/>
        </w:rPr>
        <w:t xml:space="preserve"> 1)</w:t>
      </w:r>
      <w:r w:rsidRPr="002A316F">
        <w:rPr>
          <w:rFonts w:ascii="Times New Roman" w:hAnsi="Times New Roman" w:cs="Times New Roman"/>
          <w:color w:val="000000" w:themeColor="text1"/>
        </w:rPr>
        <w:t xml:space="preserve"> the extended role of </w:t>
      </w:r>
      <w:r w:rsidR="0007187C" w:rsidRPr="002A316F">
        <w:rPr>
          <w:rFonts w:ascii="Times New Roman" w:hAnsi="Times New Roman" w:cs="Times New Roman"/>
          <w:color w:val="000000" w:themeColor="text1"/>
        </w:rPr>
        <w:t xml:space="preserve">the </w:t>
      </w:r>
      <w:r w:rsidR="003C7831" w:rsidRPr="002A316F">
        <w:rPr>
          <w:rFonts w:ascii="Times New Roman" w:hAnsi="Times New Roman" w:cs="Times New Roman"/>
          <w:color w:val="000000" w:themeColor="text1"/>
        </w:rPr>
        <w:t>p</w:t>
      </w:r>
      <w:r w:rsidR="0007187C" w:rsidRPr="002A316F">
        <w:rPr>
          <w:rFonts w:ascii="Times New Roman" w:hAnsi="Times New Roman" w:cs="Times New Roman"/>
          <w:color w:val="000000" w:themeColor="text1"/>
        </w:rPr>
        <w:t>olice</w:t>
      </w:r>
      <w:r w:rsidRPr="002A316F">
        <w:rPr>
          <w:rFonts w:ascii="Times New Roman" w:hAnsi="Times New Roman" w:cs="Times New Roman"/>
          <w:color w:val="000000" w:themeColor="text1"/>
        </w:rPr>
        <w:t xml:space="preserve"> </w:t>
      </w:r>
      <w:r w:rsidR="003C7831" w:rsidRPr="002A316F">
        <w:rPr>
          <w:rFonts w:ascii="Times New Roman" w:hAnsi="Times New Roman" w:cs="Times New Roman"/>
          <w:color w:val="000000" w:themeColor="text1"/>
        </w:rPr>
        <w:t xml:space="preserve">to address </w:t>
      </w:r>
      <w:r w:rsidRPr="002A316F">
        <w:rPr>
          <w:rFonts w:ascii="Times New Roman" w:hAnsi="Times New Roman" w:cs="Times New Roman"/>
          <w:color w:val="000000" w:themeColor="text1"/>
        </w:rPr>
        <w:t>early intervention</w:t>
      </w:r>
      <w:r w:rsidR="003C7831" w:rsidRPr="002A316F">
        <w:rPr>
          <w:rFonts w:ascii="Times New Roman" w:hAnsi="Times New Roman" w:cs="Times New Roman"/>
          <w:color w:val="000000" w:themeColor="text1"/>
        </w:rPr>
        <w:t xml:space="preserve"> 2) </w:t>
      </w:r>
      <w:r w:rsidRPr="002A316F">
        <w:rPr>
          <w:rFonts w:ascii="Times New Roman" w:hAnsi="Times New Roman" w:cs="Times New Roman"/>
          <w:color w:val="000000" w:themeColor="text1"/>
        </w:rPr>
        <w:t>the use of police data to inform this activity</w:t>
      </w:r>
      <w:r w:rsidR="003C7831" w:rsidRPr="002A316F">
        <w:rPr>
          <w:rFonts w:ascii="Times New Roman" w:hAnsi="Times New Roman" w:cs="Times New Roman"/>
          <w:color w:val="000000" w:themeColor="text1"/>
        </w:rPr>
        <w:t xml:space="preserve"> and </w:t>
      </w:r>
      <w:r w:rsidR="003C7831" w:rsidRPr="002A316F">
        <w:rPr>
          <w:rFonts w:ascii="Times New Roman" w:hAnsi="Times New Roman" w:cs="Times New Roman"/>
          <w:color w:val="000000" w:themeColor="text1"/>
        </w:rPr>
        <w:lastRenderedPageBreak/>
        <w:t xml:space="preserve">3) </w:t>
      </w:r>
      <w:r w:rsidRPr="002A316F">
        <w:rPr>
          <w:rFonts w:ascii="Times New Roman" w:hAnsi="Times New Roman" w:cs="Times New Roman"/>
          <w:color w:val="000000" w:themeColor="text1"/>
        </w:rPr>
        <w:t xml:space="preserve">the potential to share unique insights from this data with partner agencies. Such innovation </w:t>
      </w:r>
      <w:r w:rsidR="003C7831" w:rsidRPr="002A316F">
        <w:rPr>
          <w:rFonts w:ascii="Times New Roman" w:hAnsi="Times New Roman" w:cs="Times New Roman"/>
          <w:color w:val="000000" w:themeColor="text1"/>
        </w:rPr>
        <w:t xml:space="preserve">can lead to </w:t>
      </w:r>
      <w:r w:rsidRPr="002A316F">
        <w:rPr>
          <w:rFonts w:ascii="Times New Roman" w:hAnsi="Times New Roman" w:cs="Times New Roman"/>
          <w:color w:val="000000" w:themeColor="text1"/>
        </w:rPr>
        <w:t xml:space="preserve">challenges in initial implementation, </w:t>
      </w:r>
      <w:r w:rsidR="003C7831" w:rsidRPr="002A316F">
        <w:rPr>
          <w:rFonts w:ascii="Times New Roman" w:hAnsi="Times New Roman" w:cs="Times New Roman"/>
          <w:color w:val="000000" w:themeColor="text1"/>
        </w:rPr>
        <w:t>which if described can be of great use to other police forces</w:t>
      </w:r>
      <w:r w:rsidRPr="002A316F">
        <w:rPr>
          <w:rFonts w:ascii="Times New Roman" w:hAnsi="Times New Roman" w:cs="Times New Roman"/>
          <w:color w:val="000000" w:themeColor="text1"/>
        </w:rPr>
        <w:t xml:space="preserve">. The present study therefore </w:t>
      </w:r>
      <w:r w:rsidR="00A710D2" w:rsidRPr="002A316F">
        <w:rPr>
          <w:rFonts w:ascii="Times New Roman" w:hAnsi="Times New Roman" w:cs="Times New Roman"/>
          <w:color w:val="000000" w:themeColor="text1"/>
        </w:rPr>
        <w:t>provide</w:t>
      </w:r>
      <w:r w:rsidR="000D3626" w:rsidRPr="002A316F">
        <w:rPr>
          <w:rFonts w:ascii="Times New Roman" w:hAnsi="Times New Roman" w:cs="Times New Roman"/>
          <w:color w:val="000000" w:themeColor="text1"/>
        </w:rPr>
        <w:t>s</w:t>
      </w:r>
      <w:r w:rsidR="00A710D2" w:rsidRPr="002A316F">
        <w:rPr>
          <w:rFonts w:ascii="Times New Roman" w:hAnsi="Times New Roman" w:cs="Times New Roman"/>
          <w:color w:val="000000" w:themeColor="text1"/>
        </w:rPr>
        <w:t xml:space="preserve"> a critical analysis of</w:t>
      </w:r>
      <w:r w:rsidRPr="002A316F">
        <w:rPr>
          <w:rFonts w:ascii="Times New Roman" w:hAnsi="Times New Roman" w:cs="Times New Roman"/>
          <w:color w:val="000000" w:themeColor="text1"/>
        </w:rPr>
        <w:t xml:space="preserve"> the early implementation of the scheme though qualitative research regarding the views and experiences of those NPOs who are delivering it. </w:t>
      </w:r>
    </w:p>
    <w:p w14:paraId="1CAAC312" w14:textId="77777777" w:rsidR="005810D8" w:rsidRPr="002A316F" w:rsidRDefault="005810D8" w:rsidP="007F779A">
      <w:pPr>
        <w:spacing w:line="480" w:lineRule="auto"/>
        <w:rPr>
          <w:rFonts w:ascii="Times New Roman" w:eastAsiaTheme="majorEastAsia" w:hAnsi="Times New Roman" w:cs="Times New Roman"/>
          <w:color w:val="2F5496" w:themeColor="accent1" w:themeShade="BF"/>
        </w:rPr>
      </w:pPr>
    </w:p>
    <w:p w14:paraId="5E0A4900" w14:textId="77777777" w:rsidR="005810D8" w:rsidRPr="002A316F" w:rsidRDefault="005810D8" w:rsidP="007F779A">
      <w:pPr>
        <w:pStyle w:val="Heading1"/>
        <w:spacing w:line="480" w:lineRule="auto"/>
        <w:rPr>
          <w:rFonts w:ascii="Times New Roman" w:hAnsi="Times New Roman" w:cs="Times New Roman"/>
        </w:rPr>
      </w:pPr>
      <w:bookmarkStart w:id="3" w:name="_Toc515579299"/>
      <w:r w:rsidRPr="002A316F">
        <w:rPr>
          <w:rFonts w:ascii="Times New Roman" w:hAnsi="Times New Roman" w:cs="Times New Roman"/>
        </w:rPr>
        <w:t>Methods</w:t>
      </w:r>
      <w:bookmarkEnd w:id="3"/>
    </w:p>
    <w:p w14:paraId="555EE574" w14:textId="6D291CF2" w:rsidR="001473C6" w:rsidRDefault="001473C6" w:rsidP="007F779A">
      <w:pPr>
        <w:spacing w:line="480" w:lineRule="auto"/>
        <w:rPr>
          <w:rFonts w:ascii="Times New Roman" w:hAnsi="Times New Roman" w:cs="Times New Roman"/>
        </w:rPr>
      </w:pPr>
      <w:r>
        <w:rPr>
          <w:rFonts w:ascii="Times New Roman" w:hAnsi="Times New Roman" w:cs="Times New Roman"/>
        </w:rPr>
        <w:t>The objectives of this study suited a pragmatic approach, which was the underpinning methodology adopted for the subsequent research</w:t>
      </w:r>
      <w:r w:rsidR="001133CF">
        <w:rPr>
          <w:rFonts w:ascii="Times New Roman" w:hAnsi="Times New Roman" w:cs="Times New Roman"/>
        </w:rPr>
        <w:t xml:space="preserve"> described</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{"citationItems":[{"id":"ITEM-1","itemData":{"DOI":"10.3109/08941939.2012.723954","ISBN":"0761924418","ISSN":"1521-0553","PMID":"23020267","abstract":"Creswell, J.W. (2003). Chapter One, A Framework for Design. Research design: Qualitative, quantitative, and mixed methods approaches. Thousand Oaks, CA: Sage Publications.","author":[{"dropping-particle":"","family":"Creswell","given":"J W","non-dropping-particle":"","parse-names":false,"suffix":""}],"container-title":"Research design Qualitative quantitative and mixed methods approaches","id":"ITEM-1","issued":{"date-parts":[["2003"]]},"title":"Creswell, J.W.","type":"book"},"uris":["http://www.mendeley.com/documents/?uuid=5e2cbea8-1001-4d3a-bdd9-706249b0729e"]}],"mendeley":{"formattedCitation":"(Creswell, 2003)","plainTextFormattedCitation":"(Creswell, 2003)"},"properties":{"noteIndex":0},"schema":"https://github.com/citation-style-language/schema/raw/master/csl-citation.json"}</w:instrText>
      </w:r>
      <w:r>
        <w:rPr>
          <w:rFonts w:ascii="Times New Roman" w:hAnsi="Times New Roman" w:cs="Times New Roman"/>
        </w:rPr>
        <w:fldChar w:fldCharType="separate"/>
      </w:r>
      <w:r w:rsidRPr="001473C6">
        <w:rPr>
          <w:rFonts w:ascii="Times New Roman" w:hAnsi="Times New Roman" w:cs="Times New Roman"/>
          <w:noProof/>
        </w:rPr>
        <w:t>(Creswell, 2003)</w:t>
      </w:r>
      <w:r>
        <w:rPr>
          <w:rFonts w:ascii="Times New Roman" w:hAnsi="Times New Roman" w:cs="Times New Roman"/>
        </w:rPr>
        <w:fldChar w:fldCharType="end"/>
      </w:r>
      <w:r>
        <w:rPr>
          <w:rFonts w:ascii="Times New Roman" w:hAnsi="Times New Roman" w:cs="Times New Roman"/>
        </w:rPr>
        <w:t xml:space="preserve">. </w:t>
      </w:r>
    </w:p>
    <w:p w14:paraId="62187B26" w14:textId="77777777" w:rsidR="001473C6" w:rsidRDefault="001473C6" w:rsidP="007F779A">
      <w:pPr>
        <w:spacing w:line="480" w:lineRule="auto"/>
        <w:rPr>
          <w:rFonts w:ascii="Times New Roman" w:hAnsi="Times New Roman" w:cs="Times New Roman"/>
        </w:rPr>
      </w:pPr>
    </w:p>
    <w:p w14:paraId="4B9F7F6F" w14:textId="50DE540E" w:rsidR="005810D8" w:rsidRPr="001473C6" w:rsidRDefault="005810D8" w:rsidP="007F779A">
      <w:pPr>
        <w:spacing w:line="480" w:lineRule="auto"/>
        <w:rPr>
          <w:rFonts w:ascii="Times New Roman" w:hAnsi="Times New Roman" w:cs="Times New Roman"/>
        </w:rPr>
      </w:pPr>
      <w:r w:rsidRPr="001473C6">
        <w:rPr>
          <w:rFonts w:ascii="Times New Roman" w:hAnsi="Times New Roman" w:cs="Times New Roman"/>
        </w:rPr>
        <w:t xml:space="preserve">Data collection involved two distinct </w:t>
      </w:r>
      <w:r w:rsidR="00860838">
        <w:rPr>
          <w:rFonts w:ascii="Times New Roman" w:hAnsi="Times New Roman" w:cs="Times New Roman"/>
        </w:rPr>
        <w:t>approaches</w:t>
      </w:r>
      <w:r w:rsidRPr="001473C6">
        <w:rPr>
          <w:rFonts w:ascii="Times New Roman" w:hAnsi="Times New Roman" w:cs="Times New Roman"/>
        </w:rPr>
        <w:t>: focus groups and questionnaires. Three focus groups were conducted over a one-month period (February 2017) in three different polic</w:t>
      </w:r>
      <w:r w:rsidR="000D127C" w:rsidRPr="001473C6">
        <w:rPr>
          <w:rFonts w:ascii="Times New Roman" w:hAnsi="Times New Roman" w:cs="Times New Roman"/>
        </w:rPr>
        <w:t xml:space="preserve">e </w:t>
      </w:r>
      <w:r w:rsidRPr="001473C6">
        <w:rPr>
          <w:rFonts w:ascii="Times New Roman" w:hAnsi="Times New Roman" w:cs="Times New Roman"/>
        </w:rPr>
        <w:t>districts in the region of the UK</w:t>
      </w:r>
      <w:r w:rsidR="00003B72" w:rsidRPr="001473C6">
        <w:rPr>
          <w:rFonts w:ascii="Times New Roman" w:hAnsi="Times New Roman" w:cs="Times New Roman"/>
        </w:rPr>
        <w:t xml:space="preserve"> served by the </w:t>
      </w:r>
      <w:r w:rsidR="003C7831" w:rsidRPr="001473C6">
        <w:rPr>
          <w:rFonts w:ascii="Times New Roman" w:hAnsi="Times New Roman" w:cs="Times New Roman"/>
        </w:rPr>
        <w:t>p</w:t>
      </w:r>
      <w:r w:rsidR="00003B72" w:rsidRPr="001473C6">
        <w:rPr>
          <w:rFonts w:ascii="Times New Roman" w:hAnsi="Times New Roman" w:cs="Times New Roman"/>
        </w:rPr>
        <w:t>olice force being examined</w:t>
      </w:r>
      <w:r w:rsidRPr="001473C6">
        <w:rPr>
          <w:rFonts w:ascii="Times New Roman" w:hAnsi="Times New Roman" w:cs="Times New Roman"/>
        </w:rPr>
        <w:t xml:space="preserve">. Each focus group </w:t>
      </w:r>
      <w:r w:rsidR="00EB5D10">
        <w:rPr>
          <w:rFonts w:ascii="Times New Roman" w:hAnsi="Times New Roman" w:cs="Times New Roman"/>
        </w:rPr>
        <w:t xml:space="preserve">consisting of NPOs </w:t>
      </w:r>
      <w:r w:rsidRPr="00EB5D10">
        <w:rPr>
          <w:rFonts w:ascii="Times New Roman" w:hAnsi="Times New Roman" w:cs="Times New Roman"/>
        </w:rPr>
        <w:t xml:space="preserve">included </w:t>
      </w:r>
      <w:r w:rsidR="00A710D2" w:rsidRPr="00EB5D10">
        <w:rPr>
          <w:rFonts w:ascii="Times New Roman" w:hAnsi="Times New Roman" w:cs="Times New Roman"/>
        </w:rPr>
        <w:t xml:space="preserve">purposive </w:t>
      </w:r>
      <w:r w:rsidRPr="00EB5D10">
        <w:rPr>
          <w:rFonts w:ascii="Times New Roman" w:hAnsi="Times New Roman" w:cs="Times New Roman"/>
        </w:rPr>
        <w:t xml:space="preserve">representation from </w:t>
      </w:r>
      <w:r w:rsidR="0007187C" w:rsidRPr="00EB5D10">
        <w:rPr>
          <w:rFonts w:ascii="Times New Roman" w:hAnsi="Times New Roman" w:cs="Times New Roman"/>
        </w:rPr>
        <w:t>neighbouring</w:t>
      </w:r>
      <w:r w:rsidRPr="00EB5D10">
        <w:rPr>
          <w:rFonts w:ascii="Times New Roman" w:hAnsi="Times New Roman" w:cs="Times New Roman"/>
        </w:rPr>
        <w:t xml:space="preserve"> districts, ensuring full </w:t>
      </w:r>
      <w:r w:rsidR="00A710D2" w:rsidRPr="00EB5D10">
        <w:rPr>
          <w:rFonts w:ascii="Times New Roman" w:hAnsi="Times New Roman" w:cs="Times New Roman"/>
        </w:rPr>
        <w:t xml:space="preserve">geographical </w:t>
      </w:r>
      <w:r w:rsidRPr="00EB5D10">
        <w:rPr>
          <w:rFonts w:ascii="Times New Roman" w:hAnsi="Times New Roman" w:cs="Times New Roman"/>
        </w:rPr>
        <w:t xml:space="preserve">coverage of the region. </w:t>
      </w:r>
      <w:r w:rsidR="00076722" w:rsidRPr="00A753CD">
        <w:rPr>
          <w:rFonts w:ascii="Times New Roman" w:hAnsi="Times New Roman" w:cs="Times New Roman"/>
        </w:rPr>
        <w:t>T</w:t>
      </w:r>
      <w:r w:rsidRPr="00034AE9">
        <w:rPr>
          <w:rFonts w:ascii="Times New Roman" w:hAnsi="Times New Roman" w:cs="Times New Roman"/>
        </w:rPr>
        <w:t>o identify an appropriate range of officers who were available for discussion, without impacting upon core staffing and service delivery</w:t>
      </w:r>
      <w:r w:rsidR="00917A1A" w:rsidRPr="001473C6">
        <w:rPr>
          <w:rFonts w:ascii="Times New Roman" w:hAnsi="Times New Roman" w:cs="Times New Roman"/>
        </w:rPr>
        <w:t>,</w:t>
      </w:r>
      <w:r w:rsidR="00076722" w:rsidRPr="001473C6">
        <w:rPr>
          <w:rFonts w:ascii="Times New Roman" w:hAnsi="Times New Roman" w:cs="Times New Roman"/>
        </w:rPr>
        <w:t xml:space="preserve"> a convenience sampling method was used</w:t>
      </w:r>
      <w:r w:rsidRPr="001473C6">
        <w:rPr>
          <w:rFonts w:ascii="Times New Roman" w:hAnsi="Times New Roman" w:cs="Times New Roman"/>
        </w:rPr>
        <w:t xml:space="preserve">. In total, 35 NPOs of varying rank and length of service participated in the three focus groups. </w:t>
      </w:r>
      <w:r w:rsidR="00172FFB" w:rsidRPr="001473C6">
        <w:rPr>
          <w:rFonts w:ascii="Times New Roman" w:hAnsi="Times New Roman" w:cs="Times New Roman"/>
        </w:rPr>
        <w:t>Successful recruitment of NPOs</w:t>
      </w:r>
      <w:r w:rsidR="00EE48F4" w:rsidRPr="001473C6">
        <w:rPr>
          <w:rFonts w:ascii="Times New Roman" w:hAnsi="Times New Roman" w:cs="Times New Roman"/>
        </w:rPr>
        <w:t xml:space="preserve"> for the focus groups was supported by</w:t>
      </w:r>
      <w:r w:rsidR="00172FFB" w:rsidRPr="001473C6">
        <w:rPr>
          <w:rFonts w:ascii="Times New Roman" w:hAnsi="Times New Roman" w:cs="Times New Roman"/>
        </w:rPr>
        <w:t xml:space="preserve"> the neighbourhood policing senior leadership team (SLT). Verbal and email invitations</w:t>
      </w:r>
      <w:r w:rsidR="00EE48F4" w:rsidRPr="001473C6">
        <w:rPr>
          <w:rFonts w:ascii="Times New Roman" w:hAnsi="Times New Roman" w:cs="Times New Roman"/>
        </w:rPr>
        <w:t xml:space="preserve"> were</w:t>
      </w:r>
      <w:r w:rsidR="00172FFB" w:rsidRPr="001473C6">
        <w:rPr>
          <w:rFonts w:ascii="Times New Roman" w:hAnsi="Times New Roman" w:cs="Times New Roman"/>
        </w:rPr>
        <w:t xml:space="preserve"> </w:t>
      </w:r>
      <w:r w:rsidR="00EE48F4" w:rsidRPr="001473C6">
        <w:rPr>
          <w:rFonts w:ascii="Times New Roman" w:hAnsi="Times New Roman" w:cs="Times New Roman"/>
        </w:rPr>
        <w:t>sent from the</w:t>
      </w:r>
      <w:r w:rsidR="00172FFB" w:rsidRPr="001473C6">
        <w:rPr>
          <w:rFonts w:ascii="Times New Roman" w:hAnsi="Times New Roman" w:cs="Times New Roman"/>
        </w:rPr>
        <w:t xml:space="preserve"> SLT to</w:t>
      </w:r>
      <w:r w:rsidR="00EE48F4" w:rsidRPr="001473C6">
        <w:rPr>
          <w:rFonts w:ascii="Times New Roman" w:hAnsi="Times New Roman" w:cs="Times New Roman"/>
        </w:rPr>
        <w:t xml:space="preserve"> individual</w:t>
      </w:r>
      <w:r w:rsidR="00172FFB" w:rsidRPr="001473C6">
        <w:rPr>
          <w:rFonts w:ascii="Times New Roman" w:hAnsi="Times New Roman" w:cs="Times New Roman"/>
        </w:rPr>
        <w:t xml:space="preserve"> NPOs requesting their participation in the focus groups. </w:t>
      </w:r>
    </w:p>
    <w:p w14:paraId="40E89785" w14:textId="77777777" w:rsidR="005810D8" w:rsidRPr="001473C6" w:rsidRDefault="005810D8" w:rsidP="007F779A">
      <w:pPr>
        <w:spacing w:line="480" w:lineRule="auto"/>
        <w:rPr>
          <w:rFonts w:ascii="Times New Roman" w:hAnsi="Times New Roman" w:cs="Times New Roman"/>
          <w:i/>
        </w:rPr>
      </w:pPr>
    </w:p>
    <w:p w14:paraId="3609AD1F" w14:textId="2E027794"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lastRenderedPageBreak/>
        <w:t xml:space="preserve">The focus groups were conducted by </w:t>
      </w:r>
      <w:r w:rsidR="00003B72" w:rsidRPr="002A316F">
        <w:rPr>
          <w:rFonts w:ascii="Times New Roman" w:hAnsi="Times New Roman" w:cs="Times New Roman"/>
        </w:rPr>
        <w:t>the second author</w:t>
      </w:r>
      <w:r w:rsidRPr="002A316F">
        <w:rPr>
          <w:rFonts w:ascii="Times New Roman" w:hAnsi="Times New Roman" w:cs="Times New Roman"/>
        </w:rPr>
        <w:t xml:space="preserve">, using a semi-structured topic guide. The topic guide was developed by the principal researchers </w:t>
      </w:r>
      <w:r w:rsidR="00A710D2" w:rsidRPr="002A316F">
        <w:rPr>
          <w:rFonts w:ascii="Times New Roman" w:hAnsi="Times New Roman" w:cs="Times New Roman"/>
        </w:rPr>
        <w:t>(</w:t>
      </w:r>
      <w:r w:rsidR="00003B72" w:rsidRPr="002A316F">
        <w:rPr>
          <w:rFonts w:ascii="Times New Roman" w:hAnsi="Times New Roman" w:cs="Times New Roman"/>
        </w:rPr>
        <w:t>first and second authors</w:t>
      </w:r>
      <w:r w:rsidR="00A710D2" w:rsidRPr="002A316F">
        <w:rPr>
          <w:rFonts w:ascii="Times New Roman" w:hAnsi="Times New Roman" w:cs="Times New Roman"/>
        </w:rPr>
        <w:t>)</w:t>
      </w:r>
      <w:r w:rsidRPr="002A316F">
        <w:rPr>
          <w:rFonts w:ascii="Times New Roman" w:hAnsi="Times New Roman" w:cs="Times New Roman"/>
        </w:rPr>
        <w:t xml:space="preserve"> based on initial discussions with senior officers, review of previous literature, and </w:t>
      </w:r>
      <w:r w:rsidR="00003B72" w:rsidRPr="002A316F">
        <w:rPr>
          <w:rFonts w:ascii="Times New Roman" w:hAnsi="Times New Roman" w:cs="Times New Roman"/>
        </w:rPr>
        <w:t>first author’s</w:t>
      </w:r>
      <w:r w:rsidRPr="002A316F">
        <w:rPr>
          <w:rFonts w:ascii="Times New Roman" w:hAnsi="Times New Roman" w:cs="Times New Roman"/>
        </w:rPr>
        <w:t xml:space="preserve"> experience working in a UK police force as </w:t>
      </w:r>
      <w:r w:rsidR="00A710D2" w:rsidRPr="002A316F">
        <w:rPr>
          <w:rFonts w:ascii="Times New Roman" w:hAnsi="Times New Roman" w:cs="Times New Roman"/>
        </w:rPr>
        <w:t>a volunteer</w:t>
      </w:r>
      <w:r w:rsidRPr="002A316F">
        <w:rPr>
          <w:rFonts w:ascii="Times New Roman" w:hAnsi="Times New Roman" w:cs="Times New Roman"/>
        </w:rPr>
        <w:t xml:space="preserve"> Special Constable. The topic guide consisted of broad themes relating to NPOs’ knowledge of ACEs and TIPT, confidence in delivering the scheme, working relationship with partner agencies in their </w:t>
      </w:r>
      <w:r w:rsidR="00016D98" w:rsidRPr="002A316F">
        <w:rPr>
          <w:rFonts w:ascii="Times New Roman" w:hAnsi="Times New Roman" w:cs="Times New Roman"/>
        </w:rPr>
        <w:t>neighbourhood</w:t>
      </w:r>
      <w:r w:rsidR="008F2D90" w:rsidRPr="002A316F">
        <w:rPr>
          <w:rFonts w:ascii="Times New Roman" w:hAnsi="Times New Roman" w:cs="Times New Roman"/>
        </w:rPr>
        <w:t>s</w:t>
      </w:r>
      <w:r w:rsidRPr="002A316F">
        <w:rPr>
          <w:rFonts w:ascii="Times New Roman" w:hAnsi="Times New Roman" w:cs="Times New Roman"/>
        </w:rPr>
        <w:t>, interventions and referrals, and future outlook of the initiative. The focus groups each lasted approximately one hour and were recorded</w:t>
      </w:r>
      <w:r w:rsidR="00194CFD" w:rsidRPr="002A316F">
        <w:rPr>
          <w:rFonts w:ascii="Times New Roman" w:hAnsi="Times New Roman" w:cs="Times New Roman"/>
        </w:rPr>
        <w:t xml:space="preserve"> digitally</w:t>
      </w:r>
      <w:r w:rsidRPr="002A316F">
        <w:rPr>
          <w:rFonts w:ascii="Times New Roman" w:hAnsi="Times New Roman" w:cs="Times New Roman"/>
        </w:rPr>
        <w:t>.</w:t>
      </w:r>
    </w:p>
    <w:p w14:paraId="2C435601" w14:textId="77777777" w:rsidR="005810D8" w:rsidRPr="002A316F" w:rsidRDefault="005810D8" w:rsidP="007F779A">
      <w:pPr>
        <w:spacing w:line="480" w:lineRule="auto"/>
        <w:rPr>
          <w:rFonts w:ascii="Times New Roman" w:hAnsi="Times New Roman" w:cs="Times New Roman"/>
        </w:rPr>
      </w:pPr>
    </w:p>
    <w:p w14:paraId="2E4732BD" w14:textId="6AA55CC8" w:rsidR="005810D8" w:rsidRPr="00EB5D10"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Subsequent to the focus groups, all </w:t>
      </w:r>
      <w:r w:rsidR="00016D98" w:rsidRPr="002A316F">
        <w:rPr>
          <w:rFonts w:ascii="Times New Roman" w:hAnsi="Times New Roman" w:cs="Times New Roman"/>
        </w:rPr>
        <w:t>neighbourhood</w:t>
      </w:r>
      <w:r w:rsidRPr="002A316F">
        <w:rPr>
          <w:rFonts w:ascii="Times New Roman" w:hAnsi="Times New Roman" w:cs="Times New Roman"/>
        </w:rPr>
        <w:t xml:space="preserve"> teams</w:t>
      </w:r>
      <w:r w:rsidR="00806814" w:rsidRPr="002A316F">
        <w:rPr>
          <w:rFonts w:ascii="Times New Roman" w:hAnsi="Times New Roman" w:cs="Times New Roman"/>
        </w:rPr>
        <w:t xml:space="preserve"> comprising NPOs</w:t>
      </w:r>
      <w:r w:rsidRPr="002A316F">
        <w:rPr>
          <w:rFonts w:ascii="Times New Roman" w:hAnsi="Times New Roman" w:cs="Times New Roman"/>
        </w:rPr>
        <w:t xml:space="preserve"> were invited to complete an online questionnaire.</w:t>
      </w:r>
      <w:r w:rsidR="00172FFB" w:rsidRPr="002A316F">
        <w:rPr>
          <w:rFonts w:ascii="Times New Roman" w:hAnsi="Times New Roman" w:cs="Times New Roman"/>
        </w:rPr>
        <w:t xml:space="preserve"> This questionnaire was electronic and delivered using Google Forms</w:t>
      </w:r>
      <w:r w:rsidR="00EE48F4" w:rsidRPr="002A316F">
        <w:rPr>
          <w:rFonts w:ascii="Times New Roman" w:hAnsi="Times New Roman" w:cs="Times New Roman"/>
        </w:rPr>
        <w:t>, a software provider, accessible on all police computers</w:t>
      </w:r>
      <w:r w:rsidR="00172FFB" w:rsidRPr="002A316F">
        <w:rPr>
          <w:rFonts w:ascii="Times New Roman" w:hAnsi="Times New Roman" w:cs="Times New Roman"/>
        </w:rPr>
        <w:t xml:space="preserve">. The questionnaire was sent to a designated senior NPO in each team by the overarching SLT, and either that officer or a member of their team were </w:t>
      </w:r>
      <w:r w:rsidR="002A316F">
        <w:rPr>
          <w:rFonts w:ascii="Times New Roman" w:hAnsi="Times New Roman" w:cs="Times New Roman"/>
        </w:rPr>
        <w:t>responsible</w:t>
      </w:r>
      <w:r w:rsidR="00172FFB" w:rsidRPr="002A316F">
        <w:rPr>
          <w:rFonts w:ascii="Times New Roman" w:hAnsi="Times New Roman" w:cs="Times New Roman"/>
        </w:rPr>
        <w:t xml:space="preserve"> for completion. </w:t>
      </w:r>
      <w:r w:rsidRPr="002A316F">
        <w:rPr>
          <w:rFonts w:ascii="Times New Roman" w:hAnsi="Times New Roman" w:cs="Times New Roman"/>
        </w:rPr>
        <w:t xml:space="preserve"> Mirroring the key topics of the focus group, the questionnaires included a range of </w:t>
      </w:r>
      <w:r w:rsidR="006254A4" w:rsidRPr="00B313E7">
        <w:rPr>
          <w:rFonts w:ascii="Times New Roman" w:hAnsi="Times New Roman" w:cs="Times New Roman"/>
        </w:rPr>
        <w:t>open-ended</w:t>
      </w:r>
      <w:r w:rsidRPr="00D06237">
        <w:rPr>
          <w:rFonts w:ascii="Times New Roman" w:hAnsi="Times New Roman" w:cs="Times New Roman"/>
        </w:rPr>
        <w:t xml:space="preserve"> questions, which were intended to achieve a better understanding of the variation in practice and in context across districts and </w:t>
      </w:r>
      <w:r w:rsidR="00016D98" w:rsidRPr="00D06237">
        <w:rPr>
          <w:rFonts w:ascii="Times New Roman" w:hAnsi="Times New Roman" w:cs="Times New Roman"/>
        </w:rPr>
        <w:t>neighbourhood</w:t>
      </w:r>
      <w:r w:rsidR="008F2D90" w:rsidRPr="00EB5D10">
        <w:rPr>
          <w:rFonts w:ascii="Times New Roman" w:hAnsi="Times New Roman" w:cs="Times New Roman"/>
        </w:rPr>
        <w:t>s</w:t>
      </w:r>
      <w:r w:rsidRPr="00EB5D10">
        <w:rPr>
          <w:rFonts w:ascii="Times New Roman" w:hAnsi="Times New Roman" w:cs="Times New Roman"/>
        </w:rPr>
        <w:t>, and in doing so address the limitations of group discussions in which the complex detail of varied practice is not readily obtained.</w:t>
      </w:r>
      <w:r w:rsidR="0029433F" w:rsidRPr="001473C6">
        <w:rPr>
          <w:rFonts w:ascii="Times New Roman" w:hAnsi="Times New Roman" w:cs="Times New Roman"/>
        </w:rPr>
        <w:t xml:space="preserve"> The survey focused on several key domains which included</w:t>
      </w:r>
      <w:r w:rsidR="008866DB" w:rsidRPr="001473C6">
        <w:rPr>
          <w:rFonts w:ascii="Times New Roman" w:hAnsi="Times New Roman" w:cs="Times New Roman"/>
        </w:rPr>
        <w:t>:</w:t>
      </w:r>
      <w:r w:rsidR="0029433F" w:rsidRPr="001473C6">
        <w:rPr>
          <w:rFonts w:ascii="Times New Roman" w:hAnsi="Times New Roman" w:cs="Times New Roman"/>
        </w:rPr>
        <w:t xml:space="preserve"> how they identify young people at risk currently, how they gather information on these individuals, current processes for referral and interventions, outcomes they can measure and good practice.</w:t>
      </w:r>
      <w:r w:rsidRPr="002A316F">
        <w:rPr>
          <w:rFonts w:ascii="Times New Roman" w:hAnsi="Times New Roman" w:cs="Times New Roman"/>
        </w:rPr>
        <w:t xml:space="preserve"> All </w:t>
      </w:r>
      <w:r w:rsidR="00016D98" w:rsidRPr="002A316F">
        <w:rPr>
          <w:rFonts w:ascii="Times New Roman" w:hAnsi="Times New Roman" w:cs="Times New Roman"/>
        </w:rPr>
        <w:t>neighbourhood</w:t>
      </w:r>
      <w:r w:rsidRPr="002A316F">
        <w:rPr>
          <w:rFonts w:ascii="Times New Roman" w:hAnsi="Times New Roman" w:cs="Times New Roman"/>
        </w:rPr>
        <w:t xml:space="preserve"> teams were encouraged to respond. The survey was anonymous, unless the respondent chose to name their local area in their </w:t>
      </w:r>
      <w:r w:rsidRPr="002A316F">
        <w:rPr>
          <w:rFonts w:ascii="Times New Roman" w:hAnsi="Times New Roman" w:cs="Times New Roman"/>
        </w:rPr>
        <w:lastRenderedPageBreak/>
        <w:t xml:space="preserve">responses. A total of 20 responses </w:t>
      </w:r>
      <w:r w:rsidR="00917A1A" w:rsidRPr="002A316F">
        <w:rPr>
          <w:rFonts w:ascii="Times New Roman" w:hAnsi="Times New Roman" w:cs="Times New Roman"/>
        </w:rPr>
        <w:t xml:space="preserve">was </w:t>
      </w:r>
      <w:r w:rsidRPr="002A316F">
        <w:rPr>
          <w:rFonts w:ascii="Times New Roman" w:hAnsi="Times New Roman" w:cs="Times New Roman"/>
        </w:rPr>
        <w:t xml:space="preserve">received, representing 23% of </w:t>
      </w:r>
      <w:r w:rsidR="00016D98" w:rsidRPr="002A316F">
        <w:rPr>
          <w:rFonts w:ascii="Times New Roman" w:hAnsi="Times New Roman" w:cs="Times New Roman"/>
        </w:rPr>
        <w:t>neighbourhood</w:t>
      </w:r>
      <w:r w:rsidRPr="002A316F">
        <w:rPr>
          <w:rFonts w:ascii="Times New Roman" w:hAnsi="Times New Roman" w:cs="Times New Roman"/>
        </w:rPr>
        <w:t xml:space="preserve"> teams.</w:t>
      </w:r>
      <w:r w:rsidR="00806814" w:rsidRPr="002A316F">
        <w:rPr>
          <w:rFonts w:ascii="Times New Roman" w:hAnsi="Times New Roman" w:cs="Times New Roman"/>
        </w:rPr>
        <w:t xml:space="preserve"> </w:t>
      </w:r>
      <w:r w:rsidR="00EB5D10">
        <w:rPr>
          <w:rFonts w:ascii="Times New Roman" w:hAnsi="Times New Roman" w:cs="Times New Roman"/>
        </w:rPr>
        <w:t xml:space="preserve">Due to nature of the questions asked about local practice within the questionnaire, we anticipated there was little additional value in requesting all officers within one region to fill out the form as guidelines were likely to be the same per neighbourhood team. Therefore, one response was requested per team. </w:t>
      </w:r>
    </w:p>
    <w:p w14:paraId="7C725659" w14:textId="77777777" w:rsidR="005810D8" w:rsidRPr="00EB5D10" w:rsidRDefault="005810D8" w:rsidP="007F779A">
      <w:pPr>
        <w:spacing w:line="480" w:lineRule="auto"/>
        <w:rPr>
          <w:rFonts w:ascii="Times New Roman" w:hAnsi="Times New Roman" w:cs="Times New Roman"/>
        </w:rPr>
      </w:pPr>
    </w:p>
    <w:p w14:paraId="339BFA70" w14:textId="1BD3AB6A" w:rsidR="005810D8" w:rsidRPr="00E30636" w:rsidRDefault="00F22ED4" w:rsidP="00F22ED4">
      <w:pPr>
        <w:spacing w:line="480" w:lineRule="auto"/>
        <w:rPr>
          <w:rFonts w:ascii="Times New Roman" w:hAnsi="Times New Roman" w:cs="Times New Roman"/>
          <w:i/>
          <w:iCs/>
        </w:rPr>
      </w:pPr>
      <w:r w:rsidRPr="00E30636">
        <w:rPr>
          <w:rFonts w:ascii="Times New Roman" w:hAnsi="Times New Roman" w:cs="Times New Roman"/>
          <w:szCs w:val="22"/>
        </w:rPr>
        <w:t xml:space="preserve">Ethics Approval was received by the University of Birmingham ethical review committee (Reference number: </w:t>
      </w:r>
      <w:r w:rsidRPr="00E30636">
        <w:rPr>
          <w:rFonts w:ascii="Times New Roman" w:hAnsi="Times New Roman" w:cs="Times New Roman"/>
          <w:color w:val="000000"/>
          <w:lang w:eastAsia="en-GB"/>
        </w:rPr>
        <w:t>ERN_15-1598</w:t>
      </w:r>
      <w:r w:rsidRPr="00E30636">
        <w:rPr>
          <w:rFonts w:ascii="Times New Roman" w:hAnsi="Times New Roman" w:cs="Times New Roman"/>
          <w:szCs w:val="22"/>
        </w:rPr>
        <w:t xml:space="preserve">) prior to undertaking of the study. </w:t>
      </w:r>
      <w:r w:rsidR="005810D8" w:rsidRPr="002A316F">
        <w:rPr>
          <w:rFonts w:ascii="Times New Roman" w:hAnsi="Times New Roman" w:cs="Times New Roman"/>
        </w:rPr>
        <w:t xml:space="preserve">Both written and verbal informed consent were obtained from the focus group participants using consent forms and information sheets. Participants were reminded prior to the </w:t>
      </w:r>
      <w:r w:rsidR="00A710D2" w:rsidRPr="00B313E7">
        <w:rPr>
          <w:rFonts w:ascii="Times New Roman" w:hAnsi="Times New Roman" w:cs="Times New Roman"/>
        </w:rPr>
        <w:t xml:space="preserve">focus groups </w:t>
      </w:r>
      <w:r w:rsidR="005810D8" w:rsidRPr="00D06237">
        <w:rPr>
          <w:rFonts w:ascii="Times New Roman" w:hAnsi="Times New Roman" w:cs="Times New Roman"/>
        </w:rPr>
        <w:t xml:space="preserve">that they were under no obligation to participate in discussions. </w:t>
      </w:r>
      <w:r w:rsidR="00A710D2" w:rsidRPr="001473C6">
        <w:rPr>
          <w:rFonts w:ascii="Times New Roman" w:hAnsi="Times New Roman" w:cs="Times New Roman"/>
        </w:rPr>
        <w:t>Individuals were provided with the researchers’ contact details should they have wished to make any amendments to their comments. No participants contacted the authors following the study. Similarly, c</w:t>
      </w:r>
      <w:r w:rsidR="005810D8" w:rsidRPr="002A316F">
        <w:rPr>
          <w:rFonts w:ascii="Times New Roman" w:hAnsi="Times New Roman" w:cs="Times New Roman"/>
        </w:rPr>
        <w:t>ompletion of the questionnaire was voluntary, as explained to potential participants in an introductory email, and in an information sheet that acted as a cover page for the questionnaire. In both instances, all contributions were kept anonymous and confidential, with no names or areas being provided in any dissemination or discussion with senior staff. All participants were told of their right to withdraw from the study up to two weeks after completing the focus group or the questionnaire. No such requests were received.</w:t>
      </w:r>
      <w:r w:rsidR="00EB5D10">
        <w:rPr>
          <w:rFonts w:ascii="Times New Roman" w:hAnsi="Times New Roman" w:cs="Times New Roman"/>
        </w:rPr>
        <w:t xml:space="preserve"> No incentives were offered to the participants of the focus groups or questionnaires. </w:t>
      </w:r>
    </w:p>
    <w:p w14:paraId="01E36C10" w14:textId="77777777" w:rsidR="005810D8" w:rsidRPr="002A316F" w:rsidRDefault="005810D8" w:rsidP="007F779A">
      <w:pPr>
        <w:spacing w:line="480" w:lineRule="auto"/>
        <w:rPr>
          <w:rFonts w:ascii="Times New Roman" w:hAnsi="Times New Roman" w:cs="Times New Roman"/>
        </w:rPr>
      </w:pPr>
    </w:p>
    <w:p w14:paraId="0CBDFB81" w14:textId="77C4C0C1" w:rsidR="005810D8" w:rsidRPr="002A316F" w:rsidRDefault="00A710D2" w:rsidP="007F779A">
      <w:pPr>
        <w:spacing w:line="480" w:lineRule="auto"/>
        <w:rPr>
          <w:rFonts w:ascii="Times New Roman" w:eastAsiaTheme="majorEastAsia" w:hAnsi="Times New Roman" w:cs="Times New Roman"/>
          <w:color w:val="2F5496" w:themeColor="accent1" w:themeShade="BF"/>
        </w:rPr>
      </w:pPr>
      <w:r w:rsidRPr="00B313E7">
        <w:rPr>
          <w:rFonts w:ascii="Times New Roman" w:hAnsi="Times New Roman" w:cs="Times New Roman"/>
        </w:rPr>
        <w:t>Verbatim transcripts</w:t>
      </w:r>
      <w:r w:rsidR="005810D8" w:rsidRPr="00D06237">
        <w:rPr>
          <w:rFonts w:ascii="Times New Roman" w:hAnsi="Times New Roman" w:cs="Times New Roman"/>
        </w:rPr>
        <w:t xml:space="preserve"> from the focus groups and the text from the questionnaires w</w:t>
      </w:r>
      <w:r w:rsidR="00DA53D2" w:rsidRPr="00D06237">
        <w:rPr>
          <w:rFonts w:ascii="Times New Roman" w:hAnsi="Times New Roman" w:cs="Times New Roman"/>
        </w:rPr>
        <w:t>ere</w:t>
      </w:r>
      <w:r w:rsidR="005810D8" w:rsidRPr="00EB5D10">
        <w:rPr>
          <w:rFonts w:ascii="Times New Roman" w:hAnsi="Times New Roman" w:cs="Times New Roman"/>
        </w:rPr>
        <w:t xml:space="preserve"> </w:t>
      </w:r>
      <w:r w:rsidR="0097577E" w:rsidRPr="00EB5D10">
        <w:rPr>
          <w:rFonts w:ascii="Times New Roman" w:hAnsi="Times New Roman" w:cs="Times New Roman"/>
        </w:rPr>
        <w:t>analysed</w:t>
      </w:r>
      <w:r w:rsidR="005810D8" w:rsidRPr="00EB5D10">
        <w:rPr>
          <w:rFonts w:ascii="Times New Roman" w:hAnsi="Times New Roman" w:cs="Times New Roman"/>
        </w:rPr>
        <w:t xml:space="preserve"> using </w:t>
      </w:r>
      <w:r w:rsidR="0089056F" w:rsidRPr="00EB5D10">
        <w:rPr>
          <w:rFonts w:ascii="Times New Roman" w:hAnsi="Times New Roman" w:cs="Times New Roman"/>
        </w:rPr>
        <w:t xml:space="preserve">a </w:t>
      </w:r>
      <w:r w:rsidR="005810D8" w:rsidRPr="00EB5D10">
        <w:rPr>
          <w:rFonts w:ascii="Times New Roman" w:hAnsi="Times New Roman" w:cs="Times New Roman"/>
        </w:rPr>
        <w:t xml:space="preserve">thematic </w:t>
      </w:r>
      <w:r w:rsidR="006254A4" w:rsidRPr="00EB5D10">
        <w:rPr>
          <w:rFonts w:ascii="Times New Roman" w:hAnsi="Times New Roman" w:cs="Times New Roman"/>
        </w:rPr>
        <w:t xml:space="preserve">approach </w:t>
      </w:r>
      <w:r w:rsidR="006254A4" w:rsidRPr="002A316F">
        <w:rPr>
          <w:rFonts w:ascii="Times New Roman" w:hAnsi="Times New Roman" w:cs="Times New Roman"/>
        </w:rPr>
        <w:fldChar w:fldCharType="begin" w:fldLock="1"/>
      </w:r>
      <w:r w:rsidR="00D06237">
        <w:rPr>
          <w:rFonts w:ascii="Times New Roman" w:hAnsi="Times New Roman" w:cs="Times New Roman"/>
        </w:rPr>
        <w:instrText>ADDIN CSL_CITATION {"citationItems":[{"id":"ITEM-1","itemData":{"ISSN":"0959-8138","PMID":"10625273","author":[{"dropping-particle":"","family":"Pope","given":"C","non-dropping-particle":"","parse-names":false,"suffix":""},{"dropping-particle":"","family":"Ziebland","given":"S","non-dropping-particle":"","parse-names":false,"suffix":""},{"dropping-particle":"","family":"Mays","given":"N","non-dropping-particle":"","parse-names":false,"suffix":""}],"container-title":"BMJ (Clinical research ed.)","id":"ITEM-1","issue":"7227","issued":{"date-parts":[["2000","1","8"]]},"page":"114-6","title":"Qualitative research in health care. Analysing qualitative data.","type":"article-journal","volume":"320"},"uris":["http://www.mendeley.com/documents/?uuid=bc60c017-93c6-4e2e-ac2d-3dbd2b26d80b"]}],"mendeley":{"formattedCitation":"(Pope, Ziebland and Mays, 2000)","plainTextFormattedCitation":"(Pope, Ziebland and Mays, 2000)","previouslyFormattedCitation":"(Pope, Ziebland and Mays, 2000)"},"properties":{"noteIndex":0},"schema":"https://github.com/citation-style-language/schema/raw/master/csl-citation.json"}</w:instrText>
      </w:r>
      <w:r w:rsidR="006254A4" w:rsidRPr="00E30636">
        <w:rPr>
          <w:rFonts w:ascii="Times New Roman" w:hAnsi="Times New Roman" w:cs="Times New Roman"/>
        </w:rPr>
        <w:fldChar w:fldCharType="separate"/>
      </w:r>
      <w:r w:rsidR="00B313E7" w:rsidRPr="00B313E7">
        <w:rPr>
          <w:rFonts w:ascii="Times New Roman" w:hAnsi="Times New Roman" w:cs="Times New Roman"/>
          <w:noProof/>
        </w:rPr>
        <w:t>(Pope, Ziebland and Mays, 2000)</w:t>
      </w:r>
      <w:r w:rsidR="006254A4" w:rsidRPr="002A316F">
        <w:rPr>
          <w:rFonts w:ascii="Times New Roman" w:hAnsi="Times New Roman" w:cs="Times New Roman"/>
        </w:rPr>
        <w:fldChar w:fldCharType="end"/>
      </w:r>
      <w:r w:rsidR="006254A4" w:rsidRPr="002A316F">
        <w:rPr>
          <w:rFonts w:ascii="Times New Roman" w:hAnsi="Times New Roman" w:cs="Times New Roman"/>
        </w:rPr>
        <w:t xml:space="preserve">. </w:t>
      </w:r>
      <w:r w:rsidR="005810D8" w:rsidRPr="002A316F">
        <w:rPr>
          <w:rFonts w:ascii="Times New Roman" w:hAnsi="Times New Roman" w:cs="Times New Roman"/>
        </w:rPr>
        <w:t xml:space="preserve">The approach </w:t>
      </w:r>
      <w:r w:rsidR="00C625E9" w:rsidRPr="00B313E7">
        <w:rPr>
          <w:rFonts w:ascii="Times New Roman" w:hAnsi="Times New Roman" w:cs="Times New Roman"/>
        </w:rPr>
        <w:lastRenderedPageBreak/>
        <w:t>consisted of</w:t>
      </w:r>
      <w:r w:rsidR="005810D8" w:rsidRPr="00D06237">
        <w:rPr>
          <w:rFonts w:ascii="Times New Roman" w:hAnsi="Times New Roman" w:cs="Times New Roman"/>
        </w:rPr>
        <w:t xml:space="preserve"> the following five steps</w:t>
      </w:r>
      <w:r w:rsidRPr="00D06237">
        <w:rPr>
          <w:rFonts w:ascii="Times New Roman" w:hAnsi="Times New Roman" w:cs="Times New Roman"/>
        </w:rPr>
        <w:t>:</w:t>
      </w:r>
      <w:r w:rsidR="005810D8" w:rsidRPr="00EB5D10">
        <w:rPr>
          <w:rFonts w:ascii="Times New Roman" w:hAnsi="Times New Roman" w:cs="Times New Roman"/>
        </w:rPr>
        <w:t xml:space="preserve"> 1</w:t>
      </w:r>
      <w:r w:rsidR="002457DB" w:rsidRPr="00EB5D10">
        <w:rPr>
          <w:rFonts w:ascii="Times New Roman" w:hAnsi="Times New Roman" w:cs="Times New Roman"/>
        </w:rPr>
        <w:t xml:space="preserve">. </w:t>
      </w:r>
      <w:r w:rsidR="008F2D90" w:rsidRPr="00EB5D10">
        <w:rPr>
          <w:rFonts w:ascii="Times New Roman" w:hAnsi="Times New Roman" w:cs="Times New Roman"/>
        </w:rPr>
        <w:t>familiarization</w:t>
      </w:r>
      <w:r w:rsidR="005810D8" w:rsidRPr="00EB5D10">
        <w:rPr>
          <w:rFonts w:ascii="Times New Roman" w:hAnsi="Times New Roman" w:cs="Times New Roman"/>
        </w:rPr>
        <w:t xml:space="preserve"> with the raw data</w:t>
      </w:r>
      <w:r w:rsidRPr="00A753CD">
        <w:rPr>
          <w:rFonts w:ascii="Times New Roman" w:hAnsi="Times New Roman" w:cs="Times New Roman"/>
        </w:rPr>
        <w:t>;</w:t>
      </w:r>
      <w:r w:rsidR="005810D8" w:rsidRPr="00034AE9">
        <w:rPr>
          <w:rFonts w:ascii="Times New Roman" w:hAnsi="Times New Roman" w:cs="Times New Roman"/>
        </w:rPr>
        <w:t xml:space="preserve"> 2. identifying a thematic framework</w:t>
      </w:r>
      <w:r w:rsidRPr="001473C6">
        <w:rPr>
          <w:rFonts w:ascii="Times New Roman" w:hAnsi="Times New Roman" w:cs="Times New Roman"/>
        </w:rPr>
        <w:t>;</w:t>
      </w:r>
      <w:r w:rsidR="005810D8" w:rsidRPr="001473C6">
        <w:rPr>
          <w:rFonts w:ascii="Times New Roman" w:hAnsi="Times New Roman" w:cs="Times New Roman"/>
        </w:rPr>
        <w:t xml:space="preserve"> 3. indexing the transcripts according to the ideas presented</w:t>
      </w:r>
      <w:r w:rsidRPr="001473C6">
        <w:rPr>
          <w:rFonts w:ascii="Times New Roman" w:hAnsi="Times New Roman" w:cs="Times New Roman"/>
        </w:rPr>
        <w:t>;</w:t>
      </w:r>
      <w:r w:rsidR="005810D8" w:rsidRPr="001473C6">
        <w:rPr>
          <w:rFonts w:ascii="Times New Roman" w:hAnsi="Times New Roman" w:cs="Times New Roman"/>
        </w:rPr>
        <w:t xml:space="preserve"> 4. charting the data </w:t>
      </w:r>
      <w:r w:rsidR="00806814" w:rsidRPr="001473C6">
        <w:rPr>
          <w:rFonts w:ascii="Times New Roman" w:hAnsi="Times New Roman" w:cs="Times New Roman"/>
        </w:rPr>
        <w:t>with the assistance of</w:t>
      </w:r>
      <w:r w:rsidR="005810D8" w:rsidRPr="001473C6">
        <w:rPr>
          <w:rFonts w:ascii="Times New Roman" w:hAnsi="Times New Roman" w:cs="Times New Roman"/>
        </w:rPr>
        <w:t xml:space="preserve"> NVivo</w:t>
      </w:r>
      <w:r w:rsidR="00806814" w:rsidRPr="001473C6">
        <w:rPr>
          <w:rFonts w:ascii="Times New Roman" w:hAnsi="Times New Roman" w:cs="Times New Roman"/>
        </w:rPr>
        <w:t xml:space="preserve"> 11.4 software</w:t>
      </w:r>
      <w:r w:rsidRPr="00860838">
        <w:rPr>
          <w:rFonts w:ascii="Times New Roman" w:hAnsi="Times New Roman" w:cs="Times New Roman"/>
        </w:rPr>
        <w:t>;</w:t>
      </w:r>
      <w:r w:rsidR="005810D8" w:rsidRPr="00860838">
        <w:rPr>
          <w:rFonts w:ascii="Times New Roman" w:hAnsi="Times New Roman" w:cs="Times New Roman"/>
        </w:rPr>
        <w:t xml:space="preserve"> and 5. mapping and interpreting the data. </w:t>
      </w:r>
      <w:r w:rsidR="00003B72" w:rsidRPr="002A316F">
        <w:rPr>
          <w:rFonts w:ascii="Times New Roman" w:hAnsi="Times New Roman" w:cs="Times New Roman"/>
        </w:rPr>
        <w:t>Both the first and second author</w:t>
      </w:r>
      <w:r w:rsidR="005810D8" w:rsidRPr="002A316F">
        <w:rPr>
          <w:rFonts w:ascii="Times New Roman" w:hAnsi="Times New Roman" w:cs="Times New Roman"/>
        </w:rPr>
        <w:t xml:space="preserve"> independently conducted initial indexing and charting of the data before a final interpretation was agreed upon. </w:t>
      </w:r>
      <w:r w:rsidR="00003B72" w:rsidRPr="002A316F">
        <w:rPr>
          <w:rFonts w:ascii="Times New Roman" w:hAnsi="Times New Roman" w:cs="Times New Roman"/>
        </w:rPr>
        <w:t>The first author</w:t>
      </w:r>
      <w:r w:rsidR="005810D8" w:rsidRPr="002A316F">
        <w:rPr>
          <w:rFonts w:ascii="Times New Roman" w:hAnsi="Times New Roman" w:cs="Times New Roman"/>
        </w:rPr>
        <w:t xml:space="preserve"> led on analysis of the focus group data, and </w:t>
      </w:r>
      <w:r w:rsidR="00003B72" w:rsidRPr="002A316F">
        <w:rPr>
          <w:rFonts w:ascii="Times New Roman" w:hAnsi="Times New Roman" w:cs="Times New Roman"/>
        </w:rPr>
        <w:t>second author</w:t>
      </w:r>
      <w:r w:rsidR="005810D8" w:rsidRPr="002A316F">
        <w:rPr>
          <w:rFonts w:ascii="Times New Roman" w:hAnsi="Times New Roman" w:cs="Times New Roman"/>
        </w:rPr>
        <w:t xml:space="preserve"> on the questionnaire data. </w:t>
      </w:r>
      <w:r w:rsidRPr="002A316F">
        <w:rPr>
          <w:rFonts w:ascii="Times New Roman" w:hAnsi="Times New Roman" w:cs="Times New Roman"/>
        </w:rPr>
        <w:t xml:space="preserve">Codes were then </w:t>
      </w:r>
      <w:r w:rsidR="008F2D90" w:rsidRPr="002A316F">
        <w:rPr>
          <w:rFonts w:ascii="Times New Roman" w:hAnsi="Times New Roman" w:cs="Times New Roman"/>
        </w:rPr>
        <w:t>combined,</w:t>
      </w:r>
      <w:r w:rsidRPr="002A316F">
        <w:rPr>
          <w:rFonts w:ascii="Times New Roman" w:hAnsi="Times New Roman" w:cs="Times New Roman"/>
        </w:rPr>
        <w:t xml:space="preserve"> and themes jointly agreed. In the following discussion, key themes are presented, with illustrative quotes where appropriate.</w:t>
      </w:r>
    </w:p>
    <w:p w14:paraId="6F663D1B" w14:textId="77777777" w:rsidR="005810D8" w:rsidRPr="002A316F" w:rsidRDefault="005810D8" w:rsidP="007F779A">
      <w:pPr>
        <w:pStyle w:val="Heading1"/>
        <w:spacing w:line="480" w:lineRule="auto"/>
        <w:rPr>
          <w:rFonts w:ascii="Times New Roman" w:hAnsi="Times New Roman" w:cs="Times New Roman"/>
        </w:rPr>
      </w:pPr>
      <w:bookmarkStart w:id="4" w:name="_Toc515579302"/>
      <w:r w:rsidRPr="002A316F">
        <w:rPr>
          <w:rFonts w:ascii="Times New Roman" w:hAnsi="Times New Roman" w:cs="Times New Roman"/>
        </w:rPr>
        <w:t>Results</w:t>
      </w:r>
      <w:bookmarkEnd w:id="4"/>
    </w:p>
    <w:p w14:paraId="40432C52" w14:textId="79DD4F5B" w:rsidR="005810D8" w:rsidRPr="002A316F" w:rsidRDefault="00A710D2" w:rsidP="007F779A">
      <w:pPr>
        <w:spacing w:line="480" w:lineRule="auto"/>
        <w:rPr>
          <w:rFonts w:ascii="Times New Roman" w:hAnsi="Times New Roman" w:cs="Times New Roman"/>
        </w:rPr>
      </w:pPr>
      <w:r w:rsidRPr="002A316F">
        <w:rPr>
          <w:rFonts w:ascii="Times New Roman" w:hAnsi="Times New Roman" w:cs="Times New Roman"/>
        </w:rPr>
        <w:t>F</w:t>
      </w:r>
      <w:r w:rsidR="005810D8" w:rsidRPr="002A316F">
        <w:rPr>
          <w:rFonts w:ascii="Times New Roman" w:hAnsi="Times New Roman" w:cs="Times New Roman"/>
        </w:rPr>
        <w:t xml:space="preserve">ive main themes were identified: the competing and contradictory reflections on the aims and principles of the scheme; </w:t>
      </w:r>
      <w:r w:rsidR="002E1CBD" w:rsidRPr="002A316F">
        <w:rPr>
          <w:rFonts w:ascii="Times New Roman" w:hAnsi="Times New Roman" w:cs="Times New Roman"/>
        </w:rPr>
        <w:t>b</w:t>
      </w:r>
      <w:r w:rsidR="005810D8" w:rsidRPr="002A316F">
        <w:rPr>
          <w:rFonts w:ascii="Times New Roman" w:hAnsi="Times New Roman" w:cs="Times New Roman"/>
        </w:rPr>
        <w:t xml:space="preserve">arriers to current use; </w:t>
      </w:r>
      <w:r w:rsidR="002E1CBD" w:rsidRPr="002A316F">
        <w:rPr>
          <w:rFonts w:ascii="Times New Roman" w:hAnsi="Times New Roman" w:cs="Times New Roman"/>
        </w:rPr>
        <w:t>w</w:t>
      </w:r>
      <w:r w:rsidR="005810D8" w:rsidRPr="002A316F">
        <w:rPr>
          <w:rFonts w:ascii="Times New Roman" w:hAnsi="Times New Roman" w:cs="Times New Roman"/>
        </w:rPr>
        <w:t xml:space="preserve">orking with partners; </w:t>
      </w:r>
      <w:r w:rsidRPr="002A316F">
        <w:rPr>
          <w:rFonts w:ascii="Times New Roman" w:hAnsi="Times New Roman" w:cs="Times New Roman"/>
        </w:rPr>
        <w:t xml:space="preserve">ongoing training and support needs; and challenges in </w:t>
      </w:r>
      <w:r w:rsidR="002E1CBD" w:rsidRPr="002A316F">
        <w:rPr>
          <w:rFonts w:ascii="Times New Roman" w:hAnsi="Times New Roman" w:cs="Times New Roman"/>
        </w:rPr>
        <w:t>m</w:t>
      </w:r>
      <w:r w:rsidR="005810D8" w:rsidRPr="002A316F">
        <w:rPr>
          <w:rFonts w:ascii="Times New Roman" w:hAnsi="Times New Roman" w:cs="Times New Roman"/>
        </w:rPr>
        <w:t xml:space="preserve">easuring success. These themes are discussed in turn. </w:t>
      </w:r>
    </w:p>
    <w:p w14:paraId="6C0814D6" w14:textId="77777777" w:rsidR="005810D8" w:rsidRPr="002A316F" w:rsidRDefault="005810D8" w:rsidP="007F779A">
      <w:pPr>
        <w:spacing w:line="480" w:lineRule="auto"/>
        <w:rPr>
          <w:rFonts w:ascii="Times New Roman" w:hAnsi="Times New Roman" w:cs="Times New Roman"/>
          <w:u w:val="single"/>
        </w:rPr>
      </w:pPr>
    </w:p>
    <w:p w14:paraId="0D1447C9" w14:textId="35B19BC9" w:rsidR="005810D8" w:rsidRPr="002A316F" w:rsidRDefault="007F779A" w:rsidP="007F779A">
      <w:pPr>
        <w:pStyle w:val="Heading2"/>
        <w:spacing w:line="480" w:lineRule="auto"/>
        <w:rPr>
          <w:rFonts w:ascii="Times New Roman" w:hAnsi="Times New Roman" w:cs="Times New Roman"/>
          <w:sz w:val="24"/>
          <w:szCs w:val="24"/>
        </w:rPr>
      </w:pPr>
      <w:bookmarkStart w:id="5" w:name="_Toc515579303"/>
      <w:r w:rsidRPr="002A316F">
        <w:rPr>
          <w:rFonts w:ascii="Times New Roman" w:hAnsi="Times New Roman" w:cs="Times New Roman"/>
          <w:sz w:val="24"/>
          <w:szCs w:val="24"/>
        </w:rPr>
        <w:t xml:space="preserve">Theme 1: </w:t>
      </w:r>
      <w:r w:rsidR="00C37870" w:rsidRPr="002A316F">
        <w:rPr>
          <w:rFonts w:ascii="Times New Roman" w:hAnsi="Times New Roman" w:cs="Times New Roman"/>
          <w:sz w:val="24"/>
          <w:szCs w:val="24"/>
        </w:rPr>
        <w:t xml:space="preserve">Reflections </w:t>
      </w:r>
      <w:r w:rsidR="005810D8" w:rsidRPr="002A316F">
        <w:rPr>
          <w:rFonts w:ascii="Times New Roman" w:hAnsi="Times New Roman" w:cs="Times New Roman"/>
          <w:sz w:val="24"/>
          <w:szCs w:val="24"/>
        </w:rPr>
        <w:t>on aims and principles</w:t>
      </w:r>
      <w:bookmarkEnd w:id="5"/>
    </w:p>
    <w:p w14:paraId="5E12AF2D" w14:textId="1A6BC8FD"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Discussions in each of the focus groups reflected widespread support for the ideas inherent </w:t>
      </w:r>
      <w:r w:rsidR="00C061FA" w:rsidRPr="002A316F">
        <w:rPr>
          <w:rFonts w:ascii="Times New Roman" w:hAnsi="Times New Roman" w:cs="Times New Roman"/>
        </w:rPr>
        <w:t xml:space="preserve">to </w:t>
      </w:r>
      <w:r w:rsidRPr="002A316F">
        <w:rPr>
          <w:rFonts w:ascii="Times New Roman" w:hAnsi="Times New Roman" w:cs="Times New Roman"/>
        </w:rPr>
        <w:t>the scheme, both personally and among their colleagues. Participants described their positive perceptions of the aims of the scheme in varied, but related ways.</w:t>
      </w:r>
    </w:p>
    <w:p w14:paraId="0DD7444B" w14:textId="77777777" w:rsidR="005810D8" w:rsidRPr="002A316F" w:rsidRDefault="005810D8" w:rsidP="007F779A">
      <w:pPr>
        <w:spacing w:line="480" w:lineRule="auto"/>
        <w:rPr>
          <w:rFonts w:ascii="Times New Roman" w:hAnsi="Times New Roman" w:cs="Times New Roman"/>
        </w:rPr>
      </w:pPr>
    </w:p>
    <w:p w14:paraId="29D8B580" w14:textId="10348178"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The initiative was seen as leading to a focus on the wider impact of crime within the family, beyond the individual recorded as the victim</w:t>
      </w:r>
      <w:r w:rsidR="002E1CBD" w:rsidRPr="002A316F">
        <w:rPr>
          <w:rFonts w:ascii="Times New Roman" w:hAnsi="Times New Roman" w:cs="Times New Roman"/>
        </w:rPr>
        <w:t xml:space="preserve">: </w:t>
      </w:r>
      <w:r w:rsidR="008F2D90" w:rsidRPr="002A316F">
        <w:rPr>
          <w:rFonts w:ascii="Times New Roman" w:hAnsi="Times New Roman" w:cs="Times New Roman"/>
        </w:rPr>
        <w:t>“</w:t>
      </w:r>
      <w:r w:rsidRPr="002A316F">
        <w:rPr>
          <w:rFonts w:ascii="Times New Roman" w:hAnsi="Times New Roman" w:cs="Times New Roman"/>
        </w:rPr>
        <w:t xml:space="preserve">whereas before, we might have just only looked at that one child or that one person in the family and not considered the </w:t>
      </w:r>
      <w:r w:rsidRPr="002A316F">
        <w:rPr>
          <w:rFonts w:ascii="Times New Roman" w:hAnsi="Times New Roman" w:cs="Times New Roman"/>
        </w:rPr>
        <w:lastRenderedPageBreak/>
        <w:t>impact on the other siblings</w:t>
      </w:r>
      <w:r w:rsidR="0001041C" w:rsidRPr="002A316F">
        <w:rPr>
          <w:rFonts w:ascii="Times New Roman" w:hAnsi="Times New Roman" w:cs="Times New Roman"/>
        </w:rPr>
        <w:t>.</w:t>
      </w:r>
      <w:r w:rsidR="008F2D90" w:rsidRPr="002A316F">
        <w:rPr>
          <w:rFonts w:ascii="Times New Roman" w:hAnsi="Times New Roman" w:cs="Times New Roman"/>
        </w:rPr>
        <w:t>” [FG1]</w:t>
      </w:r>
      <w:r w:rsidR="002E1CBD" w:rsidRPr="002A316F">
        <w:rPr>
          <w:rFonts w:ascii="Times New Roman" w:hAnsi="Times New Roman" w:cs="Times New Roman"/>
        </w:rPr>
        <w:t xml:space="preserve"> </w:t>
      </w:r>
      <w:r w:rsidRPr="002A316F">
        <w:rPr>
          <w:rFonts w:ascii="Times New Roman" w:hAnsi="Times New Roman" w:cs="Times New Roman"/>
        </w:rPr>
        <w:t>Similarly, the initiative was repeatedly presented as broadening the focus of police officers to the child of an offender:</w:t>
      </w:r>
    </w:p>
    <w:p w14:paraId="79B7BE19" w14:textId="77777777" w:rsidR="005810D8" w:rsidRPr="002A316F" w:rsidRDefault="005810D8" w:rsidP="007F779A">
      <w:pPr>
        <w:spacing w:line="480" w:lineRule="auto"/>
        <w:rPr>
          <w:rFonts w:ascii="Times New Roman" w:hAnsi="Times New Roman" w:cs="Times New Roman"/>
        </w:rPr>
      </w:pPr>
    </w:p>
    <w:p w14:paraId="1904B3AE" w14:textId="0ACC84DA" w:rsidR="005810D8" w:rsidRPr="002A316F" w:rsidRDefault="005810D8" w:rsidP="007F779A">
      <w:pPr>
        <w:spacing w:line="480" w:lineRule="auto"/>
        <w:ind w:left="720"/>
        <w:rPr>
          <w:rFonts w:ascii="Times New Roman" w:hAnsi="Times New Roman" w:cs="Times New Roman"/>
        </w:rPr>
      </w:pPr>
      <w:r w:rsidRPr="002A316F">
        <w:rPr>
          <w:rFonts w:ascii="Times New Roman" w:hAnsi="Times New Roman" w:cs="Times New Roman"/>
        </w:rPr>
        <w:t xml:space="preserve">it raises people’s awareness of the child that is often ignored or overlooked and when we’re going to arrest </w:t>
      </w:r>
      <w:r w:rsidR="002E1CBD" w:rsidRPr="002A316F">
        <w:rPr>
          <w:rFonts w:ascii="Times New Roman" w:hAnsi="Times New Roman" w:cs="Times New Roman"/>
        </w:rPr>
        <w:t>d</w:t>
      </w:r>
      <w:r w:rsidRPr="002A316F">
        <w:rPr>
          <w:rFonts w:ascii="Times New Roman" w:hAnsi="Times New Roman" w:cs="Times New Roman"/>
        </w:rPr>
        <w:t xml:space="preserve">ad or we’re dealing with a domestic incident, that they’re affected by what’s going on around them.  I don’t think anyone ever ignored </w:t>
      </w:r>
      <w:r w:rsidR="008F2D90" w:rsidRPr="002A316F">
        <w:rPr>
          <w:rFonts w:ascii="Times New Roman" w:hAnsi="Times New Roman" w:cs="Times New Roman"/>
        </w:rPr>
        <w:t>that,</w:t>
      </w:r>
      <w:r w:rsidRPr="002A316F">
        <w:rPr>
          <w:rFonts w:ascii="Times New Roman" w:hAnsi="Times New Roman" w:cs="Times New Roman"/>
        </w:rPr>
        <w:t xml:space="preserve"> but it didn’t really factor into our world that much because we were dealing with the incident at hand and not, perhaps, thinking abou</w:t>
      </w:r>
      <w:r w:rsidR="008F2D90" w:rsidRPr="002A316F">
        <w:rPr>
          <w:rFonts w:ascii="Times New Roman" w:hAnsi="Times New Roman" w:cs="Times New Roman"/>
        </w:rPr>
        <w:t>t the wider implications of it [FG3]</w:t>
      </w:r>
    </w:p>
    <w:p w14:paraId="646DD195" w14:textId="77777777" w:rsidR="005810D8" w:rsidRPr="002A316F" w:rsidRDefault="005810D8" w:rsidP="007F779A">
      <w:pPr>
        <w:spacing w:line="480" w:lineRule="auto"/>
        <w:rPr>
          <w:rFonts w:ascii="Times New Roman" w:hAnsi="Times New Roman" w:cs="Times New Roman"/>
        </w:rPr>
      </w:pPr>
    </w:p>
    <w:p w14:paraId="640E23E2" w14:textId="4B6E5A5E"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This brings a step change in potential support, given</w:t>
      </w:r>
      <w:r w:rsidR="008F2D90" w:rsidRPr="002A316F">
        <w:rPr>
          <w:rFonts w:ascii="Times New Roman" w:hAnsi="Times New Roman" w:cs="Times New Roman"/>
        </w:rPr>
        <w:t xml:space="preserve"> that previously “</w:t>
      </w:r>
      <w:r w:rsidRPr="002A316F">
        <w:rPr>
          <w:rFonts w:ascii="Times New Roman" w:hAnsi="Times New Roman" w:cs="Times New Roman"/>
        </w:rPr>
        <w:t xml:space="preserve">The one particular member of the family </w:t>
      </w:r>
      <w:r w:rsidR="0001041C" w:rsidRPr="002A316F">
        <w:rPr>
          <w:rFonts w:ascii="Times New Roman" w:hAnsi="Times New Roman" w:cs="Times New Roman"/>
        </w:rPr>
        <w:t xml:space="preserve">[who experienced domestic violence or abuse] </w:t>
      </w:r>
      <w:r w:rsidRPr="002A316F">
        <w:rPr>
          <w:rFonts w:ascii="Times New Roman" w:hAnsi="Times New Roman" w:cs="Times New Roman"/>
        </w:rPr>
        <w:t>has got a lot of support but actually, the other sibling</w:t>
      </w:r>
      <w:r w:rsidR="008F2D90" w:rsidRPr="002A316F">
        <w:rPr>
          <w:rFonts w:ascii="Times New Roman" w:hAnsi="Times New Roman" w:cs="Times New Roman"/>
        </w:rPr>
        <w:t>s … are not even thought about.” [FG1]</w:t>
      </w:r>
      <w:r w:rsidRPr="002A316F">
        <w:rPr>
          <w:rFonts w:ascii="Times New Roman" w:hAnsi="Times New Roman" w:cs="Times New Roman"/>
        </w:rPr>
        <w:t xml:space="preserve"> In contrast, there is no</w:t>
      </w:r>
      <w:r w:rsidR="00297D9B" w:rsidRPr="002A316F">
        <w:rPr>
          <w:rFonts w:ascii="Times New Roman" w:hAnsi="Times New Roman" w:cs="Times New Roman"/>
        </w:rPr>
        <w:t>w recognition that potentially “</w:t>
      </w:r>
      <w:r w:rsidRPr="002A316F">
        <w:rPr>
          <w:rFonts w:ascii="Times New Roman" w:hAnsi="Times New Roman" w:cs="Times New Roman"/>
        </w:rPr>
        <w:t>that child is going to be the next victim here, so we need to start focusing on early</w:t>
      </w:r>
      <w:r w:rsidR="00297D9B" w:rsidRPr="002A316F">
        <w:rPr>
          <w:rFonts w:ascii="Times New Roman" w:hAnsi="Times New Roman" w:cs="Times New Roman"/>
        </w:rPr>
        <w:t xml:space="preserve"> intervention around that child.” [FG3] As</w:t>
      </w:r>
      <w:r w:rsidRPr="002A316F">
        <w:rPr>
          <w:rFonts w:ascii="Times New Roman" w:hAnsi="Times New Roman" w:cs="Times New Roman"/>
        </w:rPr>
        <w:t xml:space="preserve"> such, the initiative is </w:t>
      </w:r>
      <w:r w:rsidR="008F2D90" w:rsidRPr="002A316F">
        <w:rPr>
          <w:rFonts w:ascii="Times New Roman" w:hAnsi="Times New Roman" w:cs="Times New Roman"/>
        </w:rPr>
        <w:t>recognized</w:t>
      </w:r>
      <w:r w:rsidR="00297D9B" w:rsidRPr="002A316F">
        <w:rPr>
          <w:rFonts w:ascii="Times New Roman" w:hAnsi="Times New Roman" w:cs="Times New Roman"/>
        </w:rPr>
        <w:t xml:space="preserve"> as “a future investment”</w:t>
      </w:r>
      <w:r w:rsidRPr="002A316F">
        <w:rPr>
          <w:rFonts w:ascii="Times New Roman" w:hAnsi="Times New Roman" w:cs="Times New Roman"/>
        </w:rPr>
        <w:t xml:space="preserve"> </w:t>
      </w:r>
      <w:r w:rsidR="00297D9B" w:rsidRPr="002A316F">
        <w:rPr>
          <w:rFonts w:ascii="Times New Roman" w:hAnsi="Times New Roman" w:cs="Times New Roman"/>
        </w:rPr>
        <w:t xml:space="preserve">[FG3] </w:t>
      </w:r>
      <w:r w:rsidRPr="002A316F">
        <w:rPr>
          <w:rFonts w:ascii="Times New Roman" w:hAnsi="Times New Roman" w:cs="Times New Roman"/>
        </w:rPr>
        <w:t xml:space="preserve">for the </w:t>
      </w:r>
      <w:r w:rsidR="00806814" w:rsidRPr="002A316F">
        <w:rPr>
          <w:rFonts w:ascii="Times New Roman" w:hAnsi="Times New Roman" w:cs="Times New Roman"/>
        </w:rPr>
        <w:t>f</w:t>
      </w:r>
      <w:r w:rsidRPr="002A316F">
        <w:rPr>
          <w:rFonts w:ascii="Times New Roman" w:hAnsi="Times New Roman" w:cs="Times New Roman"/>
        </w:rPr>
        <w:t>orce</w:t>
      </w:r>
      <w:r w:rsidR="00806814" w:rsidRPr="002A316F">
        <w:rPr>
          <w:rFonts w:ascii="Times New Roman" w:hAnsi="Times New Roman" w:cs="Times New Roman"/>
        </w:rPr>
        <w:t>.</w:t>
      </w:r>
    </w:p>
    <w:p w14:paraId="0D837E61" w14:textId="77777777" w:rsidR="005810D8" w:rsidRPr="002A316F" w:rsidRDefault="005810D8" w:rsidP="007F779A">
      <w:pPr>
        <w:spacing w:line="480" w:lineRule="auto"/>
        <w:rPr>
          <w:rFonts w:ascii="Times New Roman" w:hAnsi="Times New Roman" w:cs="Times New Roman"/>
        </w:rPr>
      </w:pPr>
    </w:p>
    <w:p w14:paraId="63F48B04" w14:textId="5D80A7FA" w:rsidR="0001041C"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The important additional contribution of the police in ensuring support for young people in adversity was </w:t>
      </w:r>
      <w:r w:rsidR="008F2D90" w:rsidRPr="002A316F">
        <w:rPr>
          <w:rFonts w:ascii="Times New Roman" w:hAnsi="Times New Roman" w:cs="Times New Roman"/>
        </w:rPr>
        <w:t>recognized</w:t>
      </w:r>
      <w:r w:rsidRPr="002A316F">
        <w:rPr>
          <w:rFonts w:ascii="Times New Roman" w:hAnsi="Times New Roman" w:cs="Times New Roman"/>
        </w:rPr>
        <w:t xml:space="preserve">. For example, one questionnaire respondent highlighted that, without such an initiative: </w:t>
      </w:r>
    </w:p>
    <w:p w14:paraId="2B19DCFC" w14:textId="77777777" w:rsidR="0001041C" w:rsidRPr="002A316F" w:rsidRDefault="0001041C" w:rsidP="007F779A">
      <w:pPr>
        <w:spacing w:line="480" w:lineRule="auto"/>
        <w:rPr>
          <w:rFonts w:ascii="Times New Roman" w:hAnsi="Times New Roman" w:cs="Times New Roman"/>
        </w:rPr>
      </w:pPr>
    </w:p>
    <w:p w14:paraId="08940A96" w14:textId="2DCADD8F" w:rsidR="005810D8" w:rsidRPr="002A316F" w:rsidRDefault="005810D8" w:rsidP="007F779A">
      <w:pPr>
        <w:spacing w:line="480" w:lineRule="auto"/>
        <w:ind w:left="720"/>
        <w:rPr>
          <w:rFonts w:ascii="Times New Roman" w:hAnsi="Times New Roman" w:cs="Times New Roman"/>
        </w:rPr>
      </w:pPr>
      <w:r w:rsidRPr="002A316F">
        <w:rPr>
          <w:rFonts w:ascii="Times New Roman" w:hAnsi="Times New Roman" w:cs="Times New Roman"/>
        </w:rPr>
        <w:t xml:space="preserve">Schools are missing out on a lot of information that the police have access to – this information could be used to help support the child. Whether its drugs, </w:t>
      </w:r>
      <w:r w:rsidRPr="002A316F">
        <w:rPr>
          <w:rFonts w:ascii="Times New Roman" w:hAnsi="Times New Roman" w:cs="Times New Roman"/>
        </w:rPr>
        <w:lastRenderedPageBreak/>
        <w:t xml:space="preserve">disorder, </w:t>
      </w:r>
      <w:r w:rsidR="002E1CBD" w:rsidRPr="002A316F">
        <w:rPr>
          <w:rFonts w:ascii="Times New Roman" w:hAnsi="Times New Roman" w:cs="Times New Roman"/>
        </w:rPr>
        <w:t>DV</w:t>
      </w:r>
      <w:r w:rsidRPr="002A316F">
        <w:rPr>
          <w:rFonts w:ascii="Times New Roman" w:hAnsi="Times New Roman" w:cs="Times New Roman"/>
        </w:rPr>
        <w:t xml:space="preserve"> [domestic violence] or any other criminality at an address – it all impacts on their schoo</w:t>
      </w:r>
      <w:r w:rsidR="004F216E" w:rsidRPr="002A316F">
        <w:rPr>
          <w:rFonts w:ascii="Times New Roman" w:hAnsi="Times New Roman" w:cs="Times New Roman"/>
        </w:rPr>
        <w:t>l work and life in general. [</w:t>
      </w:r>
      <w:r w:rsidR="008F2D90" w:rsidRPr="002A316F">
        <w:rPr>
          <w:rFonts w:ascii="Times New Roman" w:hAnsi="Times New Roman" w:cs="Times New Roman"/>
        </w:rPr>
        <w:t>Q</w:t>
      </w:r>
      <w:r w:rsidR="007F779A" w:rsidRPr="002A316F">
        <w:rPr>
          <w:rFonts w:ascii="Times New Roman" w:hAnsi="Times New Roman" w:cs="Times New Roman"/>
        </w:rPr>
        <w:t>12</w:t>
      </w:r>
      <w:r w:rsidR="004F216E" w:rsidRPr="002A316F">
        <w:rPr>
          <w:rFonts w:ascii="Times New Roman" w:hAnsi="Times New Roman" w:cs="Times New Roman"/>
        </w:rPr>
        <w:t>]</w:t>
      </w:r>
    </w:p>
    <w:p w14:paraId="3266CA93" w14:textId="77777777" w:rsidR="005810D8" w:rsidRPr="002A316F" w:rsidRDefault="005810D8" w:rsidP="007F779A">
      <w:pPr>
        <w:spacing w:line="480" w:lineRule="auto"/>
        <w:rPr>
          <w:rFonts w:ascii="Times New Roman" w:hAnsi="Times New Roman" w:cs="Times New Roman"/>
        </w:rPr>
      </w:pPr>
    </w:p>
    <w:p w14:paraId="01B44D9A" w14:textId="650D2DA9"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The particular role of the police, and more specifically of NPOs, in enabling support to young people experiencing ACEs was therefore broadly accepted. There was less agreement, however, regarding the precise role that the police should be playing in the support of these young people. In each of the three focus groups, concerns were raised by several NPOs as to whether the role that they were being asked to play was appropriate to </w:t>
      </w:r>
      <w:r w:rsidR="004F216E" w:rsidRPr="002A316F">
        <w:rPr>
          <w:rFonts w:ascii="Times New Roman" w:hAnsi="Times New Roman" w:cs="Times New Roman"/>
        </w:rPr>
        <w:t>the remit of a police officer. “</w:t>
      </w:r>
      <w:r w:rsidRPr="002A316F">
        <w:rPr>
          <w:rFonts w:ascii="Times New Roman" w:hAnsi="Times New Roman" w:cs="Times New Roman"/>
        </w:rPr>
        <w:t xml:space="preserve">this is social work and I’m surprised that it’s </w:t>
      </w:r>
      <w:r w:rsidR="008F2D90" w:rsidRPr="002A316F">
        <w:rPr>
          <w:rFonts w:ascii="Times New Roman" w:hAnsi="Times New Roman" w:cs="Times New Roman"/>
        </w:rPr>
        <w:t>the Police that’s taking it up,</w:t>
      </w:r>
      <w:r w:rsidR="004F216E" w:rsidRPr="002A316F">
        <w:rPr>
          <w:rFonts w:ascii="Times New Roman" w:hAnsi="Times New Roman" w:cs="Times New Roman"/>
        </w:rPr>
        <w:t>”</w:t>
      </w:r>
      <w:r w:rsidR="008F2D90" w:rsidRPr="002A316F">
        <w:rPr>
          <w:rFonts w:ascii="Times New Roman" w:hAnsi="Times New Roman" w:cs="Times New Roman"/>
        </w:rPr>
        <w:t xml:space="preserve"> [FG2]</w:t>
      </w:r>
      <w:r w:rsidRPr="002A316F">
        <w:rPr>
          <w:rFonts w:ascii="Times New Roman" w:hAnsi="Times New Roman" w:cs="Times New Roman"/>
        </w:rPr>
        <w:t xml:space="preserve"> </w:t>
      </w:r>
      <w:r w:rsidR="008F2D90" w:rsidRPr="002A316F">
        <w:rPr>
          <w:rFonts w:ascii="Times New Roman" w:hAnsi="Times New Roman" w:cs="Times New Roman"/>
        </w:rPr>
        <w:t xml:space="preserve">as well as the barriers they faced using the tool. </w:t>
      </w:r>
    </w:p>
    <w:p w14:paraId="459DA614" w14:textId="77777777" w:rsidR="007F779A" w:rsidRPr="002A316F" w:rsidRDefault="007F779A" w:rsidP="007F779A">
      <w:pPr>
        <w:spacing w:line="480" w:lineRule="auto"/>
        <w:rPr>
          <w:rFonts w:ascii="Times New Roman" w:hAnsi="Times New Roman" w:cs="Times New Roman"/>
        </w:rPr>
      </w:pPr>
    </w:p>
    <w:p w14:paraId="7D11CC55" w14:textId="43AC1022" w:rsidR="00AF2962" w:rsidRPr="002A316F" w:rsidRDefault="007F779A" w:rsidP="007F779A">
      <w:pPr>
        <w:pStyle w:val="Heading2"/>
        <w:spacing w:line="480" w:lineRule="auto"/>
        <w:rPr>
          <w:rFonts w:ascii="Times New Roman" w:hAnsi="Times New Roman" w:cs="Times New Roman"/>
          <w:sz w:val="24"/>
          <w:szCs w:val="24"/>
        </w:rPr>
      </w:pPr>
      <w:bookmarkStart w:id="6" w:name="_Toc515579304"/>
      <w:r w:rsidRPr="002A316F">
        <w:rPr>
          <w:rFonts w:ascii="Times New Roman" w:hAnsi="Times New Roman" w:cs="Times New Roman"/>
          <w:sz w:val="24"/>
          <w:szCs w:val="24"/>
        </w:rPr>
        <w:t xml:space="preserve">Theme 2: </w:t>
      </w:r>
      <w:r w:rsidR="005810D8" w:rsidRPr="002A316F">
        <w:rPr>
          <w:rFonts w:ascii="Times New Roman" w:hAnsi="Times New Roman" w:cs="Times New Roman"/>
          <w:sz w:val="24"/>
          <w:szCs w:val="24"/>
        </w:rPr>
        <w:t xml:space="preserve">Barriers to </w:t>
      </w:r>
      <w:bookmarkEnd w:id="6"/>
      <w:r w:rsidR="0001041C" w:rsidRPr="002A316F">
        <w:rPr>
          <w:rFonts w:ascii="Times New Roman" w:hAnsi="Times New Roman" w:cs="Times New Roman"/>
          <w:sz w:val="24"/>
          <w:szCs w:val="24"/>
        </w:rPr>
        <w:t>the use of TIPT</w:t>
      </w:r>
    </w:p>
    <w:p w14:paraId="4E24394A" w14:textId="5223B3F5"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The positive support for the aims of the initiative to </w:t>
      </w:r>
      <w:r w:rsidR="002E1CBD" w:rsidRPr="002A316F">
        <w:rPr>
          <w:rFonts w:ascii="Times New Roman" w:hAnsi="Times New Roman" w:cs="Times New Roman"/>
        </w:rPr>
        <w:t xml:space="preserve">assist </w:t>
      </w:r>
      <w:r w:rsidRPr="002A316F">
        <w:rPr>
          <w:rFonts w:ascii="Times New Roman" w:hAnsi="Times New Roman" w:cs="Times New Roman"/>
        </w:rPr>
        <w:t xml:space="preserve">young people experiencing ACEs was frequently countered by concerns regarding current practice in relation to the effective identification of young people undergoing ACEs. The perceived barriers to the effective use of the TIPT approach include concerns </w:t>
      </w:r>
      <w:proofErr w:type="gramStart"/>
      <w:r w:rsidRPr="002A316F">
        <w:rPr>
          <w:rFonts w:ascii="Times New Roman" w:hAnsi="Times New Roman" w:cs="Times New Roman"/>
        </w:rPr>
        <w:t>with:</w:t>
      </w:r>
      <w:proofErr w:type="gramEnd"/>
      <w:r w:rsidRPr="002A316F">
        <w:rPr>
          <w:rFonts w:ascii="Times New Roman" w:hAnsi="Times New Roman" w:cs="Times New Roman"/>
        </w:rPr>
        <w:t xml:space="preserve"> the quantity of packages received being unreflective of known levels of need; frequent targeting of young people already known to local services; </w:t>
      </w:r>
      <w:r w:rsidR="00C37870" w:rsidRPr="002A316F">
        <w:rPr>
          <w:rFonts w:ascii="Times New Roman" w:hAnsi="Times New Roman" w:cs="Times New Roman"/>
        </w:rPr>
        <w:t xml:space="preserve">and </w:t>
      </w:r>
      <w:r w:rsidRPr="002A316F">
        <w:rPr>
          <w:rFonts w:ascii="Times New Roman" w:hAnsi="Times New Roman" w:cs="Times New Roman"/>
        </w:rPr>
        <w:t xml:space="preserve">the inherent limitations in </w:t>
      </w:r>
      <w:r w:rsidR="007D2383" w:rsidRPr="002A316F">
        <w:rPr>
          <w:rFonts w:ascii="Times New Roman" w:hAnsi="Times New Roman" w:cs="Times New Roman"/>
        </w:rPr>
        <w:t xml:space="preserve">only </w:t>
      </w:r>
      <w:r w:rsidR="00522D79" w:rsidRPr="002A316F">
        <w:rPr>
          <w:rFonts w:ascii="Times New Roman" w:hAnsi="Times New Roman" w:cs="Times New Roman"/>
        </w:rPr>
        <w:t xml:space="preserve">using </w:t>
      </w:r>
      <w:r w:rsidRPr="002A316F">
        <w:rPr>
          <w:rFonts w:ascii="Times New Roman" w:hAnsi="Times New Roman" w:cs="Times New Roman"/>
        </w:rPr>
        <w:t>police data</w:t>
      </w:r>
      <w:r w:rsidR="00C37870" w:rsidRPr="002A316F">
        <w:rPr>
          <w:rFonts w:ascii="Times New Roman" w:hAnsi="Times New Roman" w:cs="Times New Roman"/>
        </w:rPr>
        <w:t>.</w:t>
      </w:r>
      <w:r w:rsidR="00C37870" w:rsidRPr="002A316F" w:rsidDel="00C37870">
        <w:rPr>
          <w:rFonts w:ascii="Times New Roman" w:hAnsi="Times New Roman" w:cs="Times New Roman"/>
        </w:rPr>
        <w:t xml:space="preserve"> </w:t>
      </w:r>
    </w:p>
    <w:p w14:paraId="5EB6A63F" w14:textId="77777777" w:rsidR="005810D8" w:rsidRPr="002A316F" w:rsidRDefault="005810D8" w:rsidP="007F779A">
      <w:pPr>
        <w:spacing w:line="480" w:lineRule="auto"/>
        <w:rPr>
          <w:rFonts w:ascii="Times New Roman" w:hAnsi="Times New Roman" w:cs="Times New Roman"/>
        </w:rPr>
      </w:pPr>
    </w:p>
    <w:p w14:paraId="20149AFA" w14:textId="4796650C"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Some NPOs worked in very deprived areas, and therefore expect</w:t>
      </w:r>
      <w:r w:rsidR="002E1CBD" w:rsidRPr="002A316F">
        <w:rPr>
          <w:rFonts w:ascii="Times New Roman" w:hAnsi="Times New Roman" w:cs="Times New Roman"/>
        </w:rPr>
        <w:t>ed</w:t>
      </w:r>
      <w:r w:rsidRPr="002A316F">
        <w:rPr>
          <w:rFonts w:ascii="Times New Roman" w:hAnsi="Times New Roman" w:cs="Times New Roman"/>
        </w:rPr>
        <w:t xml:space="preserve"> large numbers of packages</w:t>
      </w:r>
      <w:r w:rsidR="0029433F" w:rsidRPr="002A316F">
        <w:rPr>
          <w:rFonts w:ascii="Times New Roman" w:hAnsi="Times New Roman" w:cs="Times New Roman"/>
        </w:rPr>
        <w:t xml:space="preserve"> [number of referrals from the TIPT system]</w:t>
      </w:r>
      <w:r w:rsidR="0001041C" w:rsidRPr="002A316F">
        <w:rPr>
          <w:rFonts w:ascii="Times New Roman" w:hAnsi="Times New Roman" w:cs="Times New Roman"/>
        </w:rPr>
        <w:t>;</w:t>
      </w:r>
      <w:r w:rsidRPr="002A316F">
        <w:rPr>
          <w:rFonts w:ascii="Times New Roman" w:hAnsi="Times New Roman" w:cs="Times New Roman"/>
        </w:rPr>
        <w:t xml:space="preserve"> however</w:t>
      </w:r>
      <w:r w:rsidR="008F2D90" w:rsidRPr="002A316F">
        <w:rPr>
          <w:rFonts w:ascii="Times New Roman" w:hAnsi="Times New Roman" w:cs="Times New Roman"/>
        </w:rPr>
        <w:t>,</w:t>
      </w:r>
      <w:r w:rsidRPr="002A316F">
        <w:rPr>
          <w:rFonts w:ascii="Times New Roman" w:hAnsi="Times New Roman" w:cs="Times New Roman"/>
        </w:rPr>
        <w:t xml:space="preserve"> this was not always </w:t>
      </w:r>
      <w:r w:rsidR="00297D9B" w:rsidRPr="002A316F">
        <w:rPr>
          <w:rFonts w:ascii="Times New Roman" w:hAnsi="Times New Roman" w:cs="Times New Roman"/>
        </w:rPr>
        <w:t>realized,</w:t>
      </w:r>
      <w:r w:rsidR="008F2D90" w:rsidRPr="002A316F">
        <w:rPr>
          <w:rFonts w:ascii="Times New Roman" w:hAnsi="Times New Roman" w:cs="Times New Roman"/>
        </w:rPr>
        <w:t xml:space="preserve"> </w:t>
      </w:r>
      <w:r w:rsidRPr="002A316F">
        <w:rPr>
          <w:rFonts w:ascii="Times New Roman" w:hAnsi="Times New Roman" w:cs="Times New Roman"/>
        </w:rPr>
        <w:t xml:space="preserve">and officers were unclear as to why. Whilst it is understood that a prospective system of identification would not immediately identify a large number of young </w:t>
      </w:r>
      <w:r w:rsidRPr="002A316F">
        <w:rPr>
          <w:rFonts w:ascii="Times New Roman" w:hAnsi="Times New Roman" w:cs="Times New Roman"/>
        </w:rPr>
        <w:lastRenderedPageBreak/>
        <w:t xml:space="preserve">people, the lack of cases to date appears to be leading to a lack of confidence in the efficacy of the initiative.  </w:t>
      </w:r>
    </w:p>
    <w:p w14:paraId="518A255D" w14:textId="77777777" w:rsidR="005810D8" w:rsidRPr="002A316F" w:rsidRDefault="005810D8" w:rsidP="007F779A">
      <w:pPr>
        <w:spacing w:line="480" w:lineRule="auto"/>
        <w:rPr>
          <w:rFonts w:ascii="Times New Roman" w:hAnsi="Times New Roman" w:cs="Times New Roman"/>
        </w:rPr>
      </w:pPr>
    </w:p>
    <w:p w14:paraId="3BC831A2" w14:textId="7E9E1290"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For other respondents, the concern was with the relevance of the young people identified through TIPT. Several NPOs report that the majority of packages relate to young people who are already well known to local services, including many already</w:t>
      </w:r>
      <w:r w:rsidR="00DB46C3" w:rsidRPr="002A316F">
        <w:rPr>
          <w:rFonts w:ascii="Times New Roman" w:hAnsi="Times New Roman" w:cs="Times New Roman"/>
        </w:rPr>
        <w:t xml:space="preserve"> in the child protection system</w:t>
      </w:r>
      <w:r w:rsidR="008F2D90" w:rsidRPr="002A316F">
        <w:rPr>
          <w:rFonts w:ascii="Times New Roman" w:hAnsi="Times New Roman" w:cs="Times New Roman"/>
        </w:rPr>
        <w:t xml:space="preserve"> “</w:t>
      </w:r>
      <w:r w:rsidRPr="002A316F">
        <w:rPr>
          <w:rFonts w:ascii="Times New Roman" w:hAnsi="Times New Roman" w:cs="Times New Roman"/>
        </w:rPr>
        <w:t xml:space="preserve">the majority of cases are either: late teens; they’ve got a </w:t>
      </w:r>
      <w:r w:rsidR="002E1CBD" w:rsidRPr="002A316F">
        <w:rPr>
          <w:rFonts w:ascii="Times New Roman" w:hAnsi="Times New Roman" w:cs="Times New Roman"/>
        </w:rPr>
        <w:t>s</w:t>
      </w:r>
      <w:r w:rsidRPr="002A316F">
        <w:rPr>
          <w:rFonts w:ascii="Times New Roman" w:hAnsi="Times New Roman" w:cs="Times New Roman"/>
        </w:rPr>
        <w:t xml:space="preserve">ocial </w:t>
      </w:r>
      <w:r w:rsidR="002E1CBD" w:rsidRPr="002A316F">
        <w:rPr>
          <w:rFonts w:ascii="Times New Roman" w:hAnsi="Times New Roman" w:cs="Times New Roman"/>
        </w:rPr>
        <w:t>c</w:t>
      </w:r>
      <w:r w:rsidRPr="002A316F">
        <w:rPr>
          <w:rFonts w:ascii="Times New Roman" w:hAnsi="Times New Roman" w:cs="Times New Roman"/>
        </w:rPr>
        <w:t>are intervention, they’ve got health problems and th</w:t>
      </w:r>
      <w:r w:rsidR="008F2D90" w:rsidRPr="002A316F">
        <w:rPr>
          <w:rFonts w:ascii="Times New Roman" w:hAnsi="Times New Roman" w:cs="Times New Roman"/>
        </w:rPr>
        <w:t>ey’ve got all sorts of things.” [FG2]</w:t>
      </w:r>
      <w:r w:rsidR="00DB46C3" w:rsidRPr="002A316F">
        <w:rPr>
          <w:rFonts w:ascii="Times New Roman" w:hAnsi="Times New Roman" w:cs="Times New Roman"/>
        </w:rPr>
        <w:t xml:space="preserve"> </w:t>
      </w:r>
      <w:r w:rsidRPr="002A316F">
        <w:rPr>
          <w:rFonts w:ascii="Times New Roman" w:hAnsi="Times New Roman" w:cs="Times New Roman"/>
        </w:rPr>
        <w:t xml:space="preserve">The police data is therefore seen as identifying children far later than other professionals who have existing relationships with the child or family. </w:t>
      </w:r>
    </w:p>
    <w:p w14:paraId="49985E5B" w14:textId="77777777" w:rsidR="005810D8" w:rsidRPr="002A316F" w:rsidRDefault="005810D8" w:rsidP="007F779A">
      <w:pPr>
        <w:spacing w:line="480" w:lineRule="auto"/>
        <w:rPr>
          <w:rFonts w:ascii="Times New Roman" w:hAnsi="Times New Roman" w:cs="Times New Roman"/>
          <w:i/>
        </w:rPr>
      </w:pPr>
    </w:p>
    <w:p w14:paraId="7568AF55" w14:textId="689C5639" w:rsidR="005810D8" w:rsidRPr="002A316F" w:rsidRDefault="005810D8" w:rsidP="007F779A">
      <w:pPr>
        <w:spacing w:line="480" w:lineRule="auto"/>
        <w:rPr>
          <w:rFonts w:ascii="Times New Roman" w:eastAsia="Times New Roman" w:hAnsi="Times New Roman" w:cs="Times New Roman"/>
          <w:shd w:val="clear" w:color="auto" w:fill="FFFFFF"/>
        </w:rPr>
      </w:pPr>
      <w:r w:rsidRPr="002A316F">
        <w:rPr>
          <w:rFonts w:ascii="Times New Roman" w:hAnsi="Times New Roman" w:cs="Times New Roman"/>
        </w:rPr>
        <w:t>Questionnaire respondents highlighted a range of other ways in which they felt that the targeting of young people based purely on police data was flawed. One NPO suggested that the y</w:t>
      </w:r>
      <w:r w:rsidR="008F2D90" w:rsidRPr="002A316F">
        <w:rPr>
          <w:rFonts w:ascii="Times New Roman" w:hAnsi="Times New Roman" w:cs="Times New Roman"/>
        </w:rPr>
        <w:t xml:space="preserve">oung people identified to date </w:t>
      </w:r>
      <w:r w:rsidRPr="002A316F">
        <w:rPr>
          <w:rFonts w:ascii="Times New Roman" w:hAnsi="Times New Roman" w:cs="Times New Roman"/>
        </w:rPr>
        <w:t xml:space="preserve">are generally </w:t>
      </w:r>
      <w:r w:rsidR="008F2D90" w:rsidRPr="002A316F">
        <w:rPr>
          <w:rFonts w:ascii="Times New Roman" w:hAnsi="Times New Roman" w:cs="Times New Roman"/>
        </w:rPr>
        <w:t>“persistent missing persons” [</w:t>
      </w:r>
      <w:r w:rsidR="00297D9B" w:rsidRPr="002A316F">
        <w:rPr>
          <w:rFonts w:ascii="Times New Roman" w:hAnsi="Times New Roman" w:cs="Times New Roman"/>
        </w:rPr>
        <w:t>Q10</w:t>
      </w:r>
      <w:r w:rsidR="008F2D90" w:rsidRPr="002A316F">
        <w:rPr>
          <w:rFonts w:ascii="Times New Roman" w:hAnsi="Times New Roman" w:cs="Times New Roman"/>
        </w:rPr>
        <w:t>]</w:t>
      </w:r>
      <w:r w:rsidR="0001041C" w:rsidRPr="002A316F">
        <w:rPr>
          <w:rFonts w:ascii="Times New Roman" w:hAnsi="Times New Roman" w:cs="Times New Roman"/>
        </w:rPr>
        <w:t>, which might therefore serve as a more effective indicator of adversity</w:t>
      </w:r>
      <w:r w:rsidRPr="002A316F">
        <w:rPr>
          <w:rFonts w:ascii="Times New Roman" w:hAnsi="Times New Roman" w:cs="Times New Roman"/>
        </w:rPr>
        <w:t xml:space="preserve">. Another respondent listed known ACEs that were not readily being highlighted, despite connections to criminal </w:t>
      </w:r>
      <w:r w:rsidR="008F2D90" w:rsidRPr="002A316F">
        <w:rPr>
          <w:rFonts w:ascii="Times New Roman" w:hAnsi="Times New Roman" w:cs="Times New Roman"/>
        </w:rPr>
        <w:t>behavio</w:t>
      </w:r>
      <w:r w:rsidR="00336B91" w:rsidRPr="002A316F">
        <w:rPr>
          <w:rFonts w:ascii="Times New Roman" w:hAnsi="Times New Roman" w:cs="Times New Roman"/>
        </w:rPr>
        <w:t>u</w:t>
      </w:r>
      <w:r w:rsidR="008F2D90" w:rsidRPr="002A316F">
        <w:rPr>
          <w:rFonts w:ascii="Times New Roman" w:hAnsi="Times New Roman" w:cs="Times New Roman"/>
        </w:rPr>
        <w:t>r</w:t>
      </w:r>
      <w:r w:rsidRPr="002A316F">
        <w:rPr>
          <w:rFonts w:ascii="Times New Roman" w:hAnsi="Times New Roman" w:cs="Times New Roman"/>
        </w:rPr>
        <w:t xml:space="preserve">, including </w:t>
      </w:r>
      <w:r w:rsidR="008F2D90" w:rsidRPr="002A316F">
        <w:rPr>
          <w:rFonts w:ascii="Times New Roman" w:hAnsi="Times New Roman" w:cs="Times New Roman"/>
        </w:rPr>
        <w:t>“</w:t>
      </w:r>
      <w:r w:rsidRPr="002A316F">
        <w:rPr>
          <w:rFonts w:ascii="Times New Roman" w:eastAsia="Times New Roman" w:hAnsi="Times New Roman" w:cs="Times New Roman"/>
          <w:shd w:val="clear" w:color="auto" w:fill="FFFFFF"/>
        </w:rPr>
        <w:t>children</w:t>
      </w:r>
      <w:r w:rsidR="008F2D90" w:rsidRPr="002A316F">
        <w:rPr>
          <w:rFonts w:ascii="Times New Roman" w:eastAsia="Times New Roman" w:hAnsi="Times New Roman" w:cs="Times New Roman"/>
          <w:shd w:val="clear" w:color="auto" w:fill="FFFFFF"/>
        </w:rPr>
        <w:t xml:space="preserve"> whose parents are drug abusers”</w:t>
      </w:r>
      <w:r w:rsidR="007F779A" w:rsidRPr="002A316F">
        <w:rPr>
          <w:rFonts w:ascii="Times New Roman" w:eastAsia="Times New Roman" w:hAnsi="Times New Roman" w:cs="Times New Roman"/>
          <w:shd w:val="clear" w:color="auto" w:fill="FFFFFF"/>
        </w:rPr>
        <w:t xml:space="preserve"> [Q3]</w:t>
      </w:r>
      <w:r w:rsidR="008F2D90" w:rsidRPr="002A316F">
        <w:rPr>
          <w:rFonts w:ascii="Times New Roman" w:eastAsia="Times New Roman" w:hAnsi="Times New Roman" w:cs="Times New Roman"/>
          <w:shd w:val="clear" w:color="auto" w:fill="FFFFFF"/>
        </w:rPr>
        <w:t xml:space="preserve"> and “</w:t>
      </w:r>
      <w:r w:rsidRPr="002A316F">
        <w:rPr>
          <w:rFonts w:ascii="Times New Roman" w:eastAsia="Times New Roman" w:hAnsi="Times New Roman" w:cs="Times New Roman"/>
          <w:shd w:val="clear" w:color="auto" w:fill="FFFFFF"/>
        </w:rPr>
        <w:t>children wh</w:t>
      </w:r>
      <w:r w:rsidR="008F2D90" w:rsidRPr="002A316F">
        <w:rPr>
          <w:rFonts w:ascii="Times New Roman" w:eastAsia="Times New Roman" w:hAnsi="Times New Roman" w:cs="Times New Roman"/>
          <w:shd w:val="clear" w:color="auto" w:fill="FFFFFF"/>
        </w:rPr>
        <w:t>ose parents have been in prison</w:t>
      </w:r>
      <w:r w:rsidR="007F779A" w:rsidRPr="002A316F">
        <w:rPr>
          <w:rFonts w:ascii="Times New Roman" w:eastAsia="Times New Roman" w:hAnsi="Times New Roman" w:cs="Times New Roman"/>
          <w:shd w:val="clear" w:color="auto" w:fill="FFFFFF"/>
        </w:rPr>
        <w:t>.</w:t>
      </w:r>
      <w:r w:rsidR="008F2D90" w:rsidRPr="002A316F">
        <w:rPr>
          <w:rFonts w:ascii="Times New Roman" w:eastAsia="Times New Roman" w:hAnsi="Times New Roman" w:cs="Times New Roman"/>
          <w:shd w:val="clear" w:color="auto" w:fill="FFFFFF"/>
        </w:rPr>
        <w:t>”</w:t>
      </w:r>
      <w:r w:rsidR="007F779A" w:rsidRPr="002A316F">
        <w:rPr>
          <w:rFonts w:ascii="Times New Roman" w:eastAsia="Times New Roman" w:hAnsi="Times New Roman" w:cs="Times New Roman"/>
          <w:shd w:val="clear" w:color="auto" w:fill="FFFFFF"/>
        </w:rPr>
        <w:t xml:space="preserve"> [Q3]</w:t>
      </w:r>
      <w:r w:rsidRPr="002A316F">
        <w:rPr>
          <w:rFonts w:ascii="Times New Roman" w:eastAsia="Times New Roman" w:hAnsi="Times New Roman" w:cs="Times New Roman"/>
          <w:shd w:val="clear" w:color="auto" w:fill="FFFFFF"/>
        </w:rPr>
        <w:t xml:space="preserve"> Concerns were also raised about the lack of cultural sensitivity of the TIPT approach. In particular, concern was raised that young people experiencing ACEs within Muslim communities may not be so readily identified by current approaches</w:t>
      </w:r>
      <w:r w:rsidR="00917A1A" w:rsidRPr="002A316F">
        <w:rPr>
          <w:rFonts w:ascii="Times New Roman" w:eastAsia="Times New Roman" w:hAnsi="Times New Roman" w:cs="Times New Roman"/>
          <w:shd w:val="clear" w:color="auto" w:fill="FFFFFF"/>
        </w:rPr>
        <w:t>. This was</w:t>
      </w:r>
      <w:r w:rsidRPr="002A316F">
        <w:rPr>
          <w:rFonts w:ascii="Times New Roman" w:eastAsia="Times New Roman" w:hAnsi="Times New Roman" w:cs="Times New Roman"/>
          <w:shd w:val="clear" w:color="auto" w:fill="FFFFFF"/>
        </w:rPr>
        <w:t xml:space="preserve"> due to a belief that these communities </w:t>
      </w:r>
      <w:r w:rsidR="007F779A" w:rsidRPr="002A316F">
        <w:rPr>
          <w:rFonts w:ascii="Times New Roman" w:eastAsia="Times New Roman" w:hAnsi="Times New Roman" w:cs="Times New Roman"/>
          <w:shd w:val="clear" w:color="auto" w:fill="FFFFFF"/>
        </w:rPr>
        <w:t>“tend to under report” [Q7]</w:t>
      </w:r>
      <w:r w:rsidRPr="002A316F">
        <w:rPr>
          <w:rFonts w:ascii="Times New Roman" w:eastAsia="Times New Roman" w:hAnsi="Times New Roman" w:cs="Times New Roman"/>
          <w:shd w:val="clear" w:color="auto" w:fill="FFFFFF"/>
        </w:rPr>
        <w:t xml:space="preserve"> certain forms of crimes, including domestic violence, and to be less affected by more visible ACEs related to drug and alcohol misuse. </w:t>
      </w:r>
    </w:p>
    <w:p w14:paraId="4C1B4DC2" w14:textId="77777777" w:rsidR="005810D8" w:rsidRPr="002A316F" w:rsidRDefault="005810D8" w:rsidP="007F779A">
      <w:pPr>
        <w:spacing w:line="480" w:lineRule="auto"/>
        <w:rPr>
          <w:rFonts w:ascii="Times New Roman" w:eastAsia="Times New Roman" w:hAnsi="Times New Roman" w:cs="Times New Roman"/>
          <w:shd w:val="clear" w:color="auto" w:fill="FFFFFF"/>
        </w:rPr>
      </w:pPr>
    </w:p>
    <w:p w14:paraId="40577DBA" w14:textId="53B7DA0C"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Concerns with the limitations of the current TIPT approach were amplified by recognition that efforts in implementing the initiative were at the expense of alternative methods of identification of children and young people in need of support. In some </w:t>
      </w:r>
      <w:r w:rsidR="008F2D90" w:rsidRPr="002A316F">
        <w:rPr>
          <w:rFonts w:ascii="Times New Roman" w:hAnsi="Times New Roman" w:cs="Times New Roman"/>
        </w:rPr>
        <w:t>cases,</w:t>
      </w:r>
      <w:r w:rsidRPr="002A316F">
        <w:rPr>
          <w:rFonts w:ascii="Times New Roman" w:hAnsi="Times New Roman" w:cs="Times New Roman"/>
        </w:rPr>
        <w:t xml:space="preserve"> this was presented as countering established good practice. Such comments were particularly raised by NPOs who discussed previous modes of working that they felt had been more effective than the current approach. Several NPOs suggested that schools, youth clubs and children’s homes can often work well in partnership supporting the project as they can provide valuable insights into the lives of young people</w:t>
      </w:r>
      <w:r w:rsidR="00917A1A" w:rsidRPr="002A316F">
        <w:rPr>
          <w:rFonts w:ascii="Times New Roman" w:hAnsi="Times New Roman" w:cs="Times New Roman"/>
        </w:rPr>
        <w:t xml:space="preserve">. They often </w:t>
      </w:r>
      <w:r w:rsidRPr="002A316F">
        <w:rPr>
          <w:rFonts w:ascii="Times New Roman" w:hAnsi="Times New Roman" w:cs="Times New Roman"/>
        </w:rPr>
        <w:t>identify difficulties before they result in police activity, including a broader range of ACEs tha</w:t>
      </w:r>
      <w:r w:rsidR="00236DAC" w:rsidRPr="002A316F">
        <w:rPr>
          <w:rFonts w:ascii="Times New Roman" w:hAnsi="Times New Roman" w:cs="Times New Roman"/>
        </w:rPr>
        <w:t>n</w:t>
      </w:r>
      <w:r w:rsidRPr="002A316F">
        <w:rPr>
          <w:rFonts w:ascii="Times New Roman" w:hAnsi="Times New Roman" w:cs="Times New Roman"/>
        </w:rPr>
        <w:t xml:space="preserve"> those reflected in police data. In some areas, informal partnerships have emerged; for example</w:t>
      </w:r>
      <w:r w:rsidR="0001041C" w:rsidRPr="002A316F">
        <w:rPr>
          <w:rFonts w:ascii="Times New Roman" w:hAnsi="Times New Roman" w:cs="Times New Roman"/>
        </w:rPr>
        <w:t xml:space="preserve">, in one </w:t>
      </w:r>
      <w:r w:rsidR="00016D98" w:rsidRPr="002A316F">
        <w:rPr>
          <w:rFonts w:ascii="Times New Roman" w:hAnsi="Times New Roman" w:cs="Times New Roman"/>
        </w:rPr>
        <w:t>neighbourhood</w:t>
      </w:r>
      <w:r w:rsidR="0001041C" w:rsidRPr="002A316F">
        <w:rPr>
          <w:rFonts w:ascii="Times New Roman" w:hAnsi="Times New Roman" w:cs="Times New Roman"/>
        </w:rPr>
        <w:t xml:space="preserve">, officers had asked each school </w:t>
      </w:r>
      <w:r w:rsidR="007F779A" w:rsidRPr="002A316F">
        <w:rPr>
          <w:rFonts w:ascii="Times New Roman" w:hAnsi="Times New Roman" w:cs="Times New Roman"/>
        </w:rPr>
        <w:t>“</w:t>
      </w:r>
      <w:r w:rsidR="0001041C" w:rsidRPr="002A316F">
        <w:rPr>
          <w:rFonts w:ascii="Times New Roman" w:hAnsi="Times New Roman" w:cs="Times New Roman"/>
        </w:rPr>
        <w:t>for three names</w:t>
      </w:r>
      <w:r w:rsidR="007F779A" w:rsidRPr="002A316F">
        <w:rPr>
          <w:rFonts w:ascii="Times New Roman" w:hAnsi="Times New Roman" w:cs="Times New Roman"/>
        </w:rPr>
        <w:t xml:space="preserve">” [FG2] </w:t>
      </w:r>
      <w:r w:rsidR="00D257D2" w:rsidRPr="002A316F">
        <w:rPr>
          <w:rFonts w:ascii="Times New Roman" w:hAnsi="Times New Roman" w:cs="Times New Roman"/>
        </w:rPr>
        <w:t>to target for support.</w:t>
      </w:r>
    </w:p>
    <w:p w14:paraId="3AF4A595" w14:textId="77777777" w:rsidR="005810D8" w:rsidRPr="002A316F" w:rsidRDefault="005810D8" w:rsidP="007F779A">
      <w:pPr>
        <w:spacing w:line="480" w:lineRule="auto"/>
        <w:rPr>
          <w:rFonts w:ascii="Times New Roman" w:hAnsi="Times New Roman" w:cs="Times New Roman"/>
        </w:rPr>
      </w:pPr>
    </w:p>
    <w:p w14:paraId="56812962" w14:textId="51EEBB88"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NPOs also highlighted their own tacit knowledge about families in their </w:t>
      </w:r>
      <w:r w:rsidR="00016D98" w:rsidRPr="002A316F">
        <w:rPr>
          <w:rFonts w:ascii="Times New Roman" w:hAnsi="Times New Roman" w:cs="Times New Roman"/>
        </w:rPr>
        <w:t>neighbourhood</w:t>
      </w:r>
      <w:r w:rsidR="008F2D90" w:rsidRPr="002A316F">
        <w:rPr>
          <w:rFonts w:ascii="Times New Roman" w:hAnsi="Times New Roman" w:cs="Times New Roman"/>
        </w:rPr>
        <w:t>s</w:t>
      </w:r>
      <w:r w:rsidRPr="002A316F">
        <w:rPr>
          <w:rFonts w:ascii="Times New Roman" w:hAnsi="Times New Roman" w:cs="Times New Roman"/>
        </w:rPr>
        <w:t>, including through home visits that illuminate a range of experiences of adversity that are not currently captured by the TIPT appr</w:t>
      </w:r>
      <w:r w:rsidR="007F779A" w:rsidRPr="002A316F">
        <w:rPr>
          <w:rFonts w:ascii="Times New Roman" w:hAnsi="Times New Roman" w:cs="Times New Roman"/>
        </w:rPr>
        <w:t>oach: “</w:t>
      </w:r>
      <w:r w:rsidRPr="002A316F">
        <w:rPr>
          <w:rFonts w:ascii="Times New Roman" w:hAnsi="Times New Roman" w:cs="Times New Roman"/>
        </w:rPr>
        <w:t>when you walk into a house</w:t>
      </w:r>
      <w:r w:rsidR="007F779A" w:rsidRPr="002A316F">
        <w:rPr>
          <w:rFonts w:ascii="Times New Roman" w:hAnsi="Times New Roman" w:cs="Times New Roman"/>
        </w:rPr>
        <w:t xml:space="preserve"> and you look round and think, ‘</w:t>
      </w:r>
      <w:r w:rsidRPr="002A316F">
        <w:rPr>
          <w:rFonts w:ascii="Times New Roman" w:hAnsi="Times New Roman" w:cs="Times New Roman"/>
        </w:rPr>
        <w:t>Th</w:t>
      </w:r>
      <w:r w:rsidR="007F779A" w:rsidRPr="002A316F">
        <w:rPr>
          <w:rFonts w:ascii="Times New Roman" w:hAnsi="Times New Roman" w:cs="Times New Roman"/>
        </w:rPr>
        <w:t>at nappy hasn’t been changed...’</w:t>
      </w:r>
      <w:r w:rsidRPr="002A316F">
        <w:rPr>
          <w:rFonts w:ascii="Times New Roman" w:hAnsi="Times New Roman" w:cs="Times New Roman"/>
        </w:rPr>
        <w:t xml:space="preserve"> [and] </w:t>
      </w:r>
      <w:r w:rsidR="009D1E9D" w:rsidRPr="002A316F">
        <w:rPr>
          <w:rFonts w:ascii="Times New Roman" w:hAnsi="Times New Roman" w:cs="Times New Roman"/>
        </w:rPr>
        <w:t>m</w:t>
      </w:r>
      <w:r w:rsidRPr="002A316F">
        <w:rPr>
          <w:rFonts w:ascii="Times New Roman" w:hAnsi="Times New Roman" w:cs="Times New Roman"/>
        </w:rPr>
        <w:t xml:space="preserve">um and </w:t>
      </w:r>
      <w:r w:rsidR="009D1E9D" w:rsidRPr="002A316F">
        <w:rPr>
          <w:rFonts w:ascii="Times New Roman" w:hAnsi="Times New Roman" w:cs="Times New Roman"/>
        </w:rPr>
        <w:t>d</w:t>
      </w:r>
      <w:r w:rsidRPr="002A316F">
        <w:rPr>
          <w:rFonts w:ascii="Times New Roman" w:hAnsi="Times New Roman" w:cs="Times New Roman"/>
        </w:rPr>
        <w:t>ad, I happen t</w:t>
      </w:r>
      <w:r w:rsidR="007F779A" w:rsidRPr="002A316F">
        <w:rPr>
          <w:rFonts w:ascii="Times New Roman" w:hAnsi="Times New Roman" w:cs="Times New Roman"/>
        </w:rPr>
        <w:t>o know, are both Class A users.” [FG1]</w:t>
      </w:r>
      <w:r w:rsidRPr="002A316F">
        <w:rPr>
          <w:rFonts w:ascii="Times New Roman" w:hAnsi="Times New Roman" w:cs="Times New Roman"/>
        </w:rPr>
        <w:t xml:space="preserve"> However, officers also </w:t>
      </w:r>
      <w:r w:rsidR="007F779A" w:rsidRPr="002A316F">
        <w:rPr>
          <w:rFonts w:ascii="Times New Roman" w:hAnsi="Times New Roman" w:cs="Times New Roman"/>
        </w:rPr>
        <w:t>recognized</w:t>
      </w:r>
      <w:r w:rsidRPr="002A316F">
        <w:rPr>
          <w:rFonts w:ascii="Times New Roman" w:hAnsi="Times New Roman" w:cs="Times New Roman"/>
        </w:rPr>
        <w:t xml:space="preserve"> that this knowledge was not currently captured in police data in a way that could inform a robust targeting system:</w:t>
      </w:r>
    </w:p>
    <w:p w14:paraId="341D6FCA" w14:textId="77777777" w:rsidR="005810D8" w:rsidRPr="002A316F" w:rsidRDefault="005810D8" w:rsidP="007F779A">
      <w:pPr>
        <w:spacing w:line="480" w:lineRule="auto"/>
        <w:rPr>
          <w:rFonts w:ascii="Times New Roman" w:hAnsi="Times New Roman" w:cs="Times New Roman"/>
        </w:rPr>
      </w:pPr>
    </w:p>
    <w:p w14:paraId="68567465" w14:textId="32F55D13" w:rsidR="005810D8" w:rsidRPr="002A316F" w:rsidRDefault="005810D8" w:rsidP="007F779A">
      <w:pPr>
        <w:spacing w:line="480" w:lineRule="auto"/>
        <w:ind w:left="720"/>
        <w:rPr>
          <w:rFonts w:ascii="Times New Roman" w:hAnsi="Times New Roman" w:cs="Times New Roman"/>
        </w:rPr>
      </w:pPr>
      <w:r w:rsidRPr="002A316F">
        <w:rPr>
          <w:rFonts w:ascii="Times New Roman" w:hAnsi="Times New Roman" w:cs="Times New Roman"/>
        </w:rPr>
        <w:lastRenderedPageBreak/>
        <w:t xml:space="preserve">a </w:t>
      </w:r>
      <w:r w:rsidR="00016D98" w:rsidRPr="002A316F">
        <w:rPr>
          <w:rFonts w:ascii="Times New Roman" w:hAnsi="Times New Roman" w:cs="Times New Roman"/>
        </w:rPr>
        <w:t>Neighbourhood</w:t>
      </w:r>
      <w:r w:rsidRPr="002A316F">
        <w:rPr>
          <w:rFonts w:ascii="Times New Roman" w:hAnsi="Times New Roman" w:cs="Times New Roman"/>
        </w:rPr>
        <w:t xml:space="preserve"> Officer would have all the information in their head.  It never gets put into a system, so then when somebody else comes to look and says, ‘What do you know about this family?’ the systems won’t tell you.</w:t>
      </w:r>
      <w:r w:rsidR="005045A2">
        <w:rPr>
          <w:rFonts w:ascii="Times New Roman" w:hAnsi="Times New Roman" w:cs="Times New Roman"/>
        </w:rPr>
        <w:t xml:space="preserve"> </w:t>
      </w:r>
      <w:r w:rsidR="007F779A" w:rsidRPr="002A316F">
        <w:rPr>
          <w:rFonts w:ascii="Times New Roman" w:hAnsi="Times New Roman" w:cs="Times New Roman"/>
        </w:rPr>
        <w:t>[FG</w:t>
      </w:r>
      <w:proofErr w:type="gramStart"/>
      <w:r w:rsidR="007F779A" w:rsidRPr="002A316F">
        <w:rPr>
          <w:rFonts w:ascii="Times New Roman" w:hAnsi="Times New Roman" w:cs="Times New Roman"/>
        </w:rPr>
        <w:t>3</w:t>
      </w:r>
      <w:r w:rsidR="00C061FA" w:rsidRPr="002A316F">
        <w:rPr>
          <w:rFonts w:ascii="Times New Roman" w:hAnsi="Times New Roman" w:cs="Times New Roman"/>
        </w:rPr>
        <w:t xml:space="preserve"> </w:t>
      </w:r>
      <w:r w:rsidR="007F779A" w:rsidRPr="002A316F">
        <w:rPr>
          <w:rFonts w:ascii="Times New Roman" w:hAnsi="Times New Roman" w:cs="Times New Roman"/>
        </w:rPr>
        <w:t>]</w:t>
      </w:r>
      <w:proofErr w:type="gramEnd"/>
    </w:p>
    <w:p w14:paraId="67894F74" w14:textId="77777777" w:rsidR="005810D8" w:rsidRPr="002A316F" w:rsidRDefault="005810D8" w:rsidP="007F779A">
      <w:pPr>
        <w:spacing w:line="480" w:lineRule="auto"/>
        <w:rPr>
          <w:rFonts w:ascii="Times New Roman" w:hAnsi="Times New Roman" w:cs="Times New Roman"/>
        </w:rPr>
      </w:pPr>
    </w:p>
    <w:p w14:paraId="60E7D912" w14:textId="609D19AB" w:rsidR="005810D8" w:rsidRPr="002A316F" w:rsidRDefault="00D257D2" w:rsidP="007F779A">
      <w:pPr>
        <w:spacing w:line="480" w:lineRule="auto"/>
        <w:rPr>
          <w:rFonts w:ascii="Times New Roman" w:hAnsi="Times New Roman" w:cs="Times New Roman"/>
        </w:rPr>
      </w:pPr>
      <w:r w:rsidRPr="002A316F">
        <w:rPr>
          <w:rFonts w:ascii="Times New Roman" w:hAnsi="Times New Roman" w:cs="Times New Roman"/>
        </w:rPr>
        <w:t>In parallel</w:t>
      </w:r>
      <w:r w:rsidR="005810D8" w:rsidRPr="002A316F">
        <w:rPr>
          <w:rFonts w:ascii="Times New Roman" w:hAnsi="Times New Roman" w:cs="Times New Roman"/>
        </w:rPr>
        <w:t xml:space="preserve">, NPOs felt there were competing priorities being requested </w:t>
      </w:r>
      <w:r w:rsidR="009D1E9D" w:rsidRPr="002A316F">
        <w:rPr>
          <w:rFonts w:ascii="Times New Roman" w:hAnsi="Times New Roman" w:cs="Times New Roman"/>
        </w:rPr>
        <w:t xml:space="preserve">by </w:t>
      </w:r>
      <w:r w:rsidR="005810D8" w:rsidRPr="002A316F">
        <w:rPr>
          <w:rFonts w:ascii="Times New Roman" w:hAnsi="Times New Roman" w:cs="Times New Roman"/>
        </w:rPr>
        <w:t>their supervising officers, directing attention away from this activity. This was seen to be highly detrimental to this type of work due to the rapport required with partners, and therefore the importance of the continued involvement of specific personnel.</w:t>
      </w:r>
      <w:r w:rsidRPr="002A316F" w:rsidDel="00D257D2">
        <w:rPr>
          <w:rFonts w:ascii="Times New Roman" w:hAnsi="Times New Roman" w:cs="Times New Roman"/>
        </w:rPr>
        <w:t xml:space="preserve"> </w:t>
      </w:r>
      <w:r w:rsidR="005810D8" w:rsidRPr="002A316F">
        <w:rPr>
          <w:rFonts w:ascii="Times New Roman" w:hAnsi="Times New Roman" w:cs="Times New Roman"/>
        </w:rPr>
        <w:t>This context of reduced resources</w:t>
      </w:r>
      <w:r w:rsidR="00917A1A" w:rsidRPr="002A316F">
        <w:rPr>
          <w:rFonts w:ascii="Times New Roman" w:hAnsi="Times New Roman" w:cs="Times New Roman"/>
        </w:rPr>
        <w:t xml:space="preserve"> and additional service pressures</w:t>
      </w:r>
      <w:r w:rsidR="005810D8" w:rsidRPr="002A316F">
        <w:rPr>
          <w:rFonts w:ascii="Times New Roman" w:hAnsi="Times New Roman" w:cs="Times New Roman"/>
        </w:rPr>
        <w:t xml:space="preserve"> led to questions as to whether this scheme </w:t>
      </w:r>
      <w:r w:rsidR="007F779A" w:rsidRPr="002A316F">
        <w:rPr>
          <w:rFonts w:ascii="Times New Roman" w:hAnsi="Times New Roman" w:cs="Times New Roman"/>
        </w:rPr>
        <w:t>represented “core business” [FG2]</w:t>
      </w:r>
      <w:r w:rsidR="005810D8" w:rsidRPr="002A316F">
        <w:rPr>
          <w:rFonts w:ascii="Times New Roman" w:hAnsi="Times New Roman" w:cs="Times New Roman"/>
        </w:rPr>
        <w:t xml:space="preserve"> for the police </w:t>
      </w:r>
      <w:r w:rsidRPr="002A316F">
        <w:rPr>
          <w:rFonts w:ascii="Times New Roman" w:hAnsi="Times New Roman" w:cs="Times New Roman"/>
        </w:rPr>
        <w:t>which require</w:t>
      </w:r>
      <w:r w:rsidR="00917A1A" w:rsidRPr="002A316F">
        <w:rPr>
          <w:rFonts w:ascii="Times New Roman" w:hAnsi="Times New Roman" w:cs="Times New Roman"/>
        </w:rPr>
        <w:t>s</w:t>
      </w:r>
      <w:r w:rsidRPr="002A316F">
        <w:rPr>
          <w:rFonts w:ascii="Times New Roman" w:hAnsi="Times New Roman" w:cs="Times New Roman"/>
        </w:rPr>
        <w:t xml:space="preserve"> </w:t>
      </w:r>
      <w:r w:rsidR="005810D8" w:rsidRPr="002A316F">
        <w:rPr>
          <w:rFonts w:ascii="Times New Roman" w:hAnsi="Times New Roman" w:cs="Times New Roman"/>
        </w:rPr>
        <w:t>focus on key priorities</w:t>
      </w:r>
      <w:r w:rsidR="00917A1A" w:rsidRPr="002A316F">
        <w:rPr>
          <w:rFonts w:ascii="Times New Roman" w:hAnsi="Times New Roman" w:cs="Times New Roman"/>
        </w:rPr>
        <w:t xml:space="preserve"> (</w:t>
      </w:r>
      <w:r w:rsidR="005810D8" w:rsidRPr="002A316F">
        <w:rPr>
          <w:rFonts w:ascii="Times New Roman" w:hAnsi="Times New Roman" w:cs="Times New Roman"/>
        </w:rPr>
        <w:t xml:space="preserve">determined by </w:t>
      </w:r>
      <w:r w:rsidR="00EC154B" w:rsidRPr="002A316F">
        <w:rPr>
          <w:rFonts w:ascii="Times New Roman" w:hAnsi="Times New Roman" w:cs="Times New Roman"/>
        </w:rPr>
        <w:t xml:space="preserve">the </w:t>
      </w:r>
      <w:r w:rsidR="005810D8" w:rsidRPr="002A316F">
        <w:rPr>
          <w:rFonts w:ascii="Times New Roman" w:hAnsi="Times New Roman" w:cs="Times New Roman"/>
        </w:rPr>
        <w:t>public and local</w:t>
      </w:r>
      <w:r w:rsidR="00EC154B" w:rsidRPr="002A316F">
        <w:rPr>
          <w:rFonts w:ascii="Times New Roman" w:hAnsi="Times New Roman" w:cs="Times New Roman"/>
        </w:rPr>
        <w:t>ly</w:t>
      </w:r>
      <w:r w:rsidR="005810D8" w:rsidRPr="002A316F">
        <w:rPr>
          <w:rFonts w:ascii="Times New Roman" w:hAnsi="Times New Roman" w:cs="Times New Roman"/>
        </w:rPr>
        <w:t xml:space="preserve"> elected officials</w:t>
      </w:r>
      <w:r w:rsidR="00EC154B" w:rsidRPr="002A316F">
        <w:rPr>
          <w:rFonts w:ascii="Times New Roman" w:hAnsi="Times New Roman" w:cs="Times New Roman"/>
        </w:rPr>
        <w:t>)</w:t>
      </w:r>
      <w:r w:rsidRPr="002A316F">
        <w:rPr>
          <w:rFonts w:ascii="Times New Roman" w:hAnsi="Times New Roman" w:cs="Times New Roman"/>
        </w:rPr>
        <w:t xml:space="preserve">. </w:t>
      </w:r>
      <w:r w:rsidR="005810D8" w:rsidRPr="002A316F">
        <w:rPr>
          <w:rFonts w:ascii="Times New Roman" w:hAnsi="Times New Roman" w:cs="Times New Roman"/>
        </w:rPr>
        <w:t xml:space="preserve">In particular it was </w:t>
      </w:r>
      <w:r w:rsidR="007F779A" w:rsidRPr="002A316F">
        <w:rPr>
          <w:rFonts w:ascii="Times New Roman" w:hAnsi="Times New Roman" w:cs="Times New Roman"/>
        </w:rPr>
        <w:t>recognized</w:t>
      </w:r>
      <w:r w:rsidR="005810D8" w:rsidRPr="002A316F">
        <w:rPr>
          <w:rFonts w:ascii="Times New Roman" w:hAnsi="Times New Roman" w:cs="Times New Roman"/>
        </w:rPr>
        <w:t xml:space="preserve"> that, if there was a particular </w:t>
      </w:r>
      <w:r w:rsidRPr="002A316F">
        <w:rPr>
          <w:rFonts w:ascii="Times New Roman" w:hAnsi="Times New Roman" w:cs="Times New Roman"/>
        </w:rPr>
        <w:t>rise in crime</w:t>
      </w:r>
      <w:r w:rsidR="005810D8" w:rsidRPr="002A316F">
        <w:rPr>
          <w:rFonts w:ascii="Times New Roman" w:hAnsi="Times New Roman" w:cs="Times New Roman"/>
        </w:rPr>
        <w:t xml:space="preserve"> in a local area, the preventative </w:t>
      </w:r>
      <w:r w:rsidRPr="002A316F">
        <w:rPr>
          <w:rFonts w:ascii="Times New Roman" w:hAnsi="Times New Roman" w:cs="Times New Roman"/>
        </w:rPr>
        <w:t xml:space="preserve">activity </w:t>
      </w:r>
      <w:r w:rsidR="007F779A" w:rsidRPr="002A316F">
        <w:rPr>
          <w:rFonts w:ascii="Times New Roman" w:hAnsi="Times New Roman" w:cs="Times New Roman"/>
        </w:rPr>
        <w:t>“</w:t>
      </w:r>
      <w:r w:rsidR="005810D8" w:rsidRPr="002A316F">
        <w:rPr>
          <w:rFonts w:ascii="Times New Roman" w:hAnsi="Times New Roman" w:cs="Times New Roman"/>
        </w:rPr>
        <w:t xml:space="preserve">goes off your </w:t>
      </w:r>
      <w:r w:rsidR="007F779A" w:rsidRPr="002A316F">
        <w:rPr>
          <w:rFonts w:ascii="Times New Roman" w:hAnsi="Times New Roman" w:cs="Times New Roman"/>
        </w:rPr>
        <w:t>radar and it’s just disappeared,” [FG3]</w:t>
      </w:r>
      <w:r w:rsidR="005810D8" w:rsidRPr="002A316F">
        <w:rPr>
          <w:rFonts w:ascii="Times New Roman" w:hAnsi="Times New Roman" w:cs="Times New Roman"/>
        </w:rPr>
        <w:t xml:space="preserve"> potentially resulting in a loss of support to a child or family. Unless support for young people in adversity is established as core business for </w:t>
      </w:r>
      <w:r w:rsidR="003C7831" w:rsidRPr="002A316F">
        <w:rPr>
          <w:rFonts w:ascii="Times New Roman" w:hAnsi="Times New Roman" w:cs="Times New Roman"/>
        </w:rPr>
        <w:t>the police force</w:t>
      </w:r>
      <w:r w:rsidR="005810D8" w:rsidRPr="002A316F">
        <w:rPr>
          <w:rFonts w:ascii="Times New Roman" w:hAnsi="Times New Roman" w:cs="Times New Roman"/>
        </w:rPr>
        <w:t xml:space="preserve">, the concern is that it will be side-lined and eventually discontinued. </w:t>
      </w:r>
      <w:r w:rsidR="007F779A" w:rsidRPr="002A316F">
        <w:rPr>
          <w:rFonts w:ascii="Times New Roman" w:hAnsi="Times New Roman" w:cs="Times New Roman"/>
        </w:rPr>
        <w:t xml:space="preserve">Hence, in an environment where the question of the role of the police is questioned, it is important their working relationship with partners is explored. </w:t>
      </w:r>
    </w:p>
    <w:p w14:paraId="397F8173" w14:textId="77777777" w:rsidR="005810D8" w:rsidRPr="002A316F" w:rsidRDefault="005810D8" w:rsidP="007F779A">
      <w:pPr>
        <w:spacing w:line="480" w:lineRule="auto"/>
        <w:rPr>
          <w:rFonts w:ascii="Times New Roman" w:hAnsi="Times New Roman" w:cs="Times New Roman"/>
        </w:rPr>
      </w:pPr>
    </w:p>
    <w:p w14:paraId="6B95E08E" w14:textId="18C2D3E1" w:rsidR="005810D8" w:rsidRPr="002A316F" w:rsidRDefault="007F779A" w:rsidP="007F779A">
      <w:pPr>
        <w:pStyle w:val="Heading2"/>
        <w:spacing w:line="480" w:lineRule="auto"/>
        <w:rPr>
          <w:rFonts w:ascii="Times New Roman" w:hAnsi="Times New Roman" w:cs="Times New Roman"/>
          <w:sz w:val="24"/>
        </w:rPr>
      </w:pPr>
      <w:bookmarkStart w:id="7" w:name="_Toc515579305"/>
      <w:r w:rsidRPr="002A316F">
        <w:rPr>
          <w:rFonts w:ascii="Times New Roman" w:hAnsi="Times New Roman" w:cs="Times New Roman"/>
          <w:sz w:val="24"/>
        </w:rPr>
        <w:t xml:space="preserve">Theme 3: </w:t>
      </w:r>
      <w:r w:rsidR="005810D8" w:rsidRPr="002A316F">
        <w:rPr>
          <w:rFonts w:ascii="Times New Roman" w:hAnsi="Times New Roman" w:cs="Times New Roman"/>
          <w:sz w:val="24"/>
        </w:rPr>
        <w:t>Working with Partners</w:t>
      </w:r>
      <w:bookmarkEnd w:id="7"/>
    </w:p>
    <w:p w14:paraId="054720BF" w14:textId="77777777" w:rsidR="00F510EA" w:rsidRPr="00E30636" w:rsidRDefault="00F510EA" w:rsidP="00F510EA">
      <w:pPr>
        <w:rPr>
          <w:rFonts w:ascii="Times New Roman" w:hAnsi="Times New Roman" w:cs="Times New Roman"/>
        </w:rPr>
      </w:pPr>
    </w:p>
    <w:p w14:paraId="4C47015A" w14:textId="3EBBA3FB" w:rsidR="005810D8" w:rsidRPr="002A316F" w:rsidRDefault="00D257D2" w:rsidP="007F779A">
      <w:pPr>
        <w:spacing w:line="480" w:lineRule="auto"/>
        <w:rPr>
          <w:rFonts w:ascii="Times New Roman" w:hAnsi="Times New Roman" w:cs="Times New Roman"/>
        </w:rPr>
      </w:pPr>
      <w:r w:rsidRPr="002A316F">
        <w:rPr>
          <w:rFonts w:ascii="Times New Roman" w:hAnsi="Times New Roman" w:cs="Times New Roman"/>
        </w:rPr>
        <w:t xml:space="preserve">Reaffirming policing priorities and </w:t>
      </w:r>
      <w:r w:rsidR="007F779A" w:rsidRPr="002A316F">
        <w:rPr>
          <w:rFonts w:ascii="Times New Roman" w:hAnsi="Times New Roman" w:cs="Times New Roman"/>
        </w:rPr>
        <w:t>“</w:t>
      </w:r>
      <w:r w:rsidRPr="002A316F">
        <w:rPr>
          <w:rFonts w:ascii="Times New Roman" w:hAnsi="Times New Roman" w:cs="Times New Roman"/>
        </w:rPr>
        <w:t>core business</w:t>
      </w:r>
      <w:r w:rsidR="007F779A" w:rsidRPr="002A316F">
        <w:rPr>
          <w:rFonts w:ascii="Times New Roman" w:hAnsi="Times New Roman" w:cs="Times New Roman"/>
        </w:rPr>
        <w:t xml:space="preserve">” [FG2] </w:t>
      </w:r>
      <w:r w:rsidRPr="00B313E7">
        <w:rPr>
          <w:rFonts w:ascii="Times New Roman" w:hAnsi="Times New Roman" w:cs="Times New Roman"/>
        </w:rPr>
        <w:t>also led NPO</w:t>
      </w:r>
      <w:r w:rsidR="0032793C">
        <w:rPr>
          <w:rFonts w:ascii="Times New Roman" w:hAnsi="Times New Roman" w:cs="Times New Roman"/>
        </w:rPr>
        <w:t>s</w:t>
      </w:r>
      <w:r w:rsidRPr="00B313E7">
        <w:rPr>
          <w:rFonts w:ascii="Times New Roman" w:hAnsi="Times New Roman" w:cs="Times New Roman"/>
        </w:rPr>
        <w:t xml:space="preserve"> to question whether </w:t>
      </w:r>
      <w:r w:rsidR="005810D8" w:rsidRPr="00D06237">
        <w:rPr>
          <w:rFonts w:ascii="Times New Roman" w:eastAsia="Arial Unicode MS" w:hAnsi="Times New Roman" w:cs="Times New Roman"/>
          <w:lang w:eastAsia="zh-CN" w:bidi="hi-IN"/>
        </w:rPr>
        <w:t xml:space="preserve">they were typically best placed to engage with children and families, given </w:t>
      </w:r>
      <w:r w:rsidR="003F5BC7" w:rsidRPr="00D06237">
        <w:rPr>
          <w:rFonts w:ascii="Times New Roman" w:eastAsia="Arial Unicode MS" w:hAnsi="Times New Roman" w:cs="Times New Roman"/>
          <w:lang w:eastAsia="zh-CN" w:bidi="hi-IN"/>
        </w:rPr>
        <w:t xml:space="preserve">the possible </w:t>
      </w:r>
      <w:r w:rsidR="005810D8" w:rsidRPr="001473C6">
        <w:rPr>
          <w:rFonts w:ascii="Times New Roman" w:eastAsia="Arial Unicode MS" w:hAnsi="Times New Roman" w:cs="Times New Roman"/>
          <w:lang w:eastAsia="zh-CN" w:bidi="hi-IN"/>
        </w:rPr>
        <w:t xml:space="preserve">negative </w:t>
      </w:r>
      <w:r w:rsidR="003F5BC7" w:rsidRPr="001473C6">
        <w:rPr>
          <w:rFonts w:ascii="Times New Roman" w:eastAsia="Arial Unicode MS" w:hAnsi="Times New Roman" w:cs="Times New Roman"/>
          <w:lang w:eastAsia="zh-CN" w:bidi="hi-IN"/>
        </w:rPr>
        <w:t xml:space="preserve">public </w:t>
      </w:r>
      <w:r w:rsidR="005810D8" w:rsidRPr="001473C6">
        <w:rPr>
          <w:rFonts w:ascii="Times New Roman" w:eastAsia="Arial Unicode MS" w:hAnsi="Times New Roman" w:cs="Times New Roman"/>
          <w:lang w:eastAsia="zh-CN" w:bidi="hi-IN"/>
        </w:rPr>
        <w:t xml:space="preserve">perception towards the police. As one focus group participant explained: </w:t>
      </w:r>
      <w:r w:rsidR="005810D8" w:rsidRPr="002A316F">
        <w:rPr>
          <w:rFonts w:ascii="Times New Roman" w:hAnsi="Times New Roman" w:cs="Times New Roman"/>
        </w:rPr>
        <w:t xml:space="preserve">“Although we’ve seen the changing face in policing, they haven’t.  As far as </w:t>
      </w:r>
      <w:r w:rsidR="005810D8" w:rsidRPr="002A316F">
        <w:rPr>
          <w:rFonts w:ascii="Times New Roman" w:hAnsi="Times New Roman" w:cs="Times New Roman"/>
        </w:rPr>
        <w:lastRenderedPageBreak/>
        <w:t>a lot of these families are concerned, we’re there to lock them up.”</w:t>
      </w:r>
      <w:r w:rsidR="007F779A" w:rsidRPr="002A316F">
        <w:rPr>
          <w:rFonts w:ascii="Times New Roman" w:hAnsi="Times New Roman" w:cs="Times New Roman"/>
        </w:rPr>
        <w:t xml:space="preserve"> [FG1]</w:t>
      </w:r>
      <w:r w:rsidR="005810D8" w:rsidRPr="002A316F">
        <w:rPr>
          <w:rFonts w:ascii="Times New Roman" w:hAnsi="Times New Roman" w:cs="Times New Roman"/>
          <w:i/>
        </w:rPr>
        <w:t xml:space="preserve"> </w:t>
      </w:r>
      <w:r w:rsidR="005810D8" w:rsidRPr="002A316F">
        <w:rPr>
          <w:rFonts w:ascii="Times New Roman" w:hAnsi="Times New Roman" w:cs="Times New Roman"/>
        </w:rPr>
        <w:t xml:space="preserve">Whilst NPOs are tasked with developing strong relationships in their local areas, it was </w:t>
      </w:r>
      <w:r w:rsidR="007F779A" w:rsidRPr="002A316F">
        <w:rPr>
          <w:rFonts w:ascii="Times New Roman" w:hAnsi="Times New Roman" w:cs="Times New Roman"/>
        </w:rPr>
        <w:t>recognized</w:t>
      </w:r>
      <w:r w:rsidR="005810D8" w:rsidRPr="002A316F">
        <w:rPr>
          <w:rFonts w:ascii="Times New Roman" w:hAnsi="Times New Roman" w:cs="Times New Roman"/>
        </w:rPr>
        <w:t xml:space="preserve"> that members of the public do not necessarily distinguish the local officer from colleagues in other parts of the Force:</w:t>
      </w:r>
    </w:p>
    <w:p w14:paraId="5B0BC7C3" w14:textId="77777777" w:rsidR="005810D8" w:rsidRPr="002A316F" w:rsidRDefault="005810D8" w:rsidP="007F779A">
      <w:pPr>
        <w:spacing w:line="480" w:lineRule="auto"/>
        <w:rPr>
          <w:rFonts w:ascii="Times New Roman" w:hAnsi="Times New Roman" w:cs="Times New Roman"/>
        </w:rPr>
      </w:pPr>
    </w:p>
    <w:p w14:paraId="6DFB7D85" w14:textId="2F835321" w:rsidR="005810D8" w:rsidRPr="002A316F" w:rsidRDefault="005810D8" w:rsidP="007F779A">
      <w:pPr>
        <w:spacing w:line="480" w:lineRule="auto"/>
        <w:ind w:left="720"/>
        <w:rPr>
          <w:rFonts w:ascii="Times New Roman" w:hAnsi="Times New Roman" w:cs="Times New Roman"/>
        </w:rPr>
      </w:pPr>
      <w:r w:rsidRPr="002A316F">
        <w:rPr>
          <w:rFonts w:ascii="Times New Roman" w:hAnsi="Times New Roman" w:cs="Times New Roman"/>
        </w:rPr>
        <w:t xml:space="preserve">One minute you’ve got [an NPO] working with this young person within that family and the following day, you’ve got the OSU </w:t>
      </w:r>
      <w:r w:rsidR="002E1CBD" w:rsidRPr="002A316F">
        <w:rPr>
          <w:rFonts w:ascii="Times New Roman" w:hAnsi="Times New Roman" w:cs="Times New Roman"/>
        </w:rPr>
        <w:t xml:space="preserve">[Operational Support Unit] </w:t>
      </w:r>
      <w:r w:rsidRPr="002A316F">
        <w:rPr>
          <w:rFonts w:ascii="Times New Roman" w:hAnsi="Times New Roman" w:cs="Times New Roman"/>
        </w:rPr>
        <w:t xml:space="preserve">or a </w:t>
      </w:r>
      <w:r w:rsidR="00016D98" w:rsidRPr="002A316F">
        <w:rPr>
          <w:rFonts w:ascii="Times New Roman" w:hAnsi="Times New Roman" w:cs="Times New Roman"/>
        </w:rPr>
        <w:t>Neighbourhood</w:t>
      </w:r>
      <w:r w:rsidRPr="002A316F">
        <w:rPr>
          <w:rFonts w:ascii="Times New Roman" w:hAnsi="Times New Roman" w:cs="Times New Roman"/>
        </w:rPr>
        <w:t xml:space="preserve"> Priorities Team putting the door through with a Public Order kit and saying, ‘Stand still!</w:t>
      </w:r>
      <w:r w:rsidR="008E1AA0" w:rsidRPr="002A316F">
        <w:rPr>
          <w:rFonts w:ascii="Times New Roman" w:hAnsi="Times New Roman" w:cs="Times New Roman"/>
        </w:rPr>
        <w:t>’</w:t>
      </w:r>
      <w:r w:rsidR="007F779A" w:rsidRPr="002A316F">
        <w:rPr>
          <w:rFonts w:ascii="Times New Roman" w:hAnsi="Times New Roman" w:cs="Times New Roman"/>
        </w:rPr>
        <w:t xml:space="preserve"> [FG2]</w:t>
      </w:r>
    </w:p>
    <w:p w14:paraId="640B56EB" w14:textId="77777777" w:rsidR="005810D8" w:rsidRPr="002A316F" w:rsidRDefault="005810D8" w:rsidP="007F779A">
      <w:pPr>
        <w:spacing w:line="480" w:lineRule="auto"/>
        <w:rPr>
          <w:rFonts w:ascii="Times New Roman" w:hAnsi="Times New Roman" w:cs="Times New Roman"/>
        </w:rPr>
      </w:pPr>
    </w:p>
    <w:p w14:paraId="22125C1A" w14:textId="36409EE7"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This can lead to blurring of the roles of various teams within the police, and confusion for families that requires careful explanation</w:t>
      </w:r>
      <w:r w:rsidR="00DB46C3" w:rsidRPr="002A316F">
        <w:rPr>
          <w:rFonts w:ascii="Times New Roman" w:hAnsi="Times New Roman" w:cs="Times New Roman"/>
        </w:rPr>
        <w:t xml:space="preserve">. </w:t>
      </w:r>
      <w:r w:rsidRPr="002A316F">
        <w:rPr>
          <w:rFonts w:ascii="Times New Roman" w:hAnsi="Times New Roman" w:cs="Times New Roman"/>
        </w:rPr>
        <w:t xml:space="preserve">Similarly, it is </w:t>
      </w:r>
      <w:r w:rsidR="007F779A" w:rsidRPr="002A316F">
        <w:rPr>
          <w:rFonts w:ascii="Times New Roman" w:hAnsi="Times New Roman" w:cs="Times New Roman"/>
        </w:rPr>
        <w:t>recognized</w:t>
      </w:r>
      <w:r w:rsidRPr="002A316F">
        <w:rPr>
          <w:rFonts w:ascii="Times New Roman" w:hAnsi="Times New Roman" w:cs="Times New Roman"/>
        </w:rPr>
        <w:t xml:space="preserve"> that the young person may be resistant to engaging with an officer due to fear of peer perception</w:t>
      </w:r>
      <w:r w:rsidR="00EC154B" w:rsidRPr="002A316F">
        <w:rPr>
          <w:rFonts w:ascii="Times New Roman" w:hAnsi="Times New Roman" w:cs="Times New Roman"/>
        </w:rPr>
        <w:t>s</w:t>
      </w:r>
      <w:r w:rsidRPr="002A316F">
        <w:rPr>
          <w:rFonts w:ascii="Times New Roman" w:hAnsi="Times New Roman" w:cs="Times New Roman"/>
        </w:rPr>
        <w:t>:</w:t>
      </w:r>
    </w:p>
    <w:p w14:paraId="3564060C" w14:textId="77777777" w:rsidR="005810D8" w:rsidRPr="002A316F" w:rsidRDefault="005810D8" w:rsidP="007F779A">
      <w:pPr>
        <w:spacing w:line="480" w:lineRule="auto"/>
        <w:rPr>
          <w:rFonts w:ascii="Times New Roman" w:hAnsi="Times New Roman" w:cs="Times New Roman"/>
        </w:rPr>
      </w:pPr>
    </w:p>
    <w:p w14:paraId="5948C177" w14:textId="11637101" w:rsidR="005810D8" w:rsidRPr="002A316F" w:rsidRDefault="005810D8" w:rsidP="007F779A">
      <w:pPr>
        <w:spacing w:line="480" w:lineRule="auto"/>
        <w:ind w:left="720"/>
        <w:rPr>
          <w:rFonts w:ascii="Times New Roman" w:hAnsi="Times New Roman" w:cs="Times New Roman"/>
        </w:rPr>
      </w:pPr>
      <w:r w:rsidRPr="002A316F">
        <w:rPr>
          <w:rFonts w:ascii="Times New Roman" w:hAnsi="Times New Roman" w:cs="Times New Roman"/>
        </w:rPr>
        <w:t xml:space="preserve">when you turn up to one of these vulnerable people in uniform, their guard is up straightaway, especially if their friends are outside.  You’re just down as a grass then, regardless of whether the </w:t>
      </w:r>
      <w:r w:rsidR="00D257D2" w:rsidRPr="002A316F">
        <w:rPr>
          <w:rFonts w:ascii="Times New Roman" w:hAnsi="Times New Roman" w:cs="Times New Roman"/>
        </w:rPr>
        <w:t>p</w:t>
      </w:r>
      <w:r w:rsidR="007F779A" w:rsidRPr="002A316F">
        <w:rPr>
          <w:rFonts w:ascii="Times New Roman" w:hAnsi="Times New Roman" w:cs="Times New Roman"/>
        </w:rPr>
        <w:t>olice are there to help you… [FG1]</w:t>
      </w:r>
    </w:p>
    <w:p w14:paraId="5732DA88" w14:textId="77777777" w:rsidR="005810D8" w:rsidRPr="002A316F" w:rsidRDefault="005810D8" w:rsidP="007F779A">
      <w:pPr>
        <w:spacing w:line="480" w:lineRule="auto"/>
        <w:rPr>
          <w:rFonts w:ascii="Times New Roman" w:hAnsi="Times New Roman" w:cs="Times New Roman"/>
        </w:rPr>
      </w:pPr>
    </w:p>
    <w:p w14:paraId="0BE3E5E8" w14:textId="681CDEE1"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Reflecting this concern, there was a strong and repeated narrative that police involvement should be necessarily, and appropriately, restricted to identifying need</w:t>
      </w:r>
      <w:r w:rsidR="00D257D2" w:rsidRPr="002A316F">
        <w:rPr>
          <w:rFonts w:ascii="Times New Roman" w:hAnsi="Times New Roman" w:cs="Times New Roman"/>
        </w:rPr>
        <w:t>, with i</w:t>
      </w:r>
      <w:r w:rsidRPr="002A316F">
        <w:rPr>
          <w:rFonts w:ascii="Times New Roman" w:hAnsi="Times New Roman" w:cs="Times New Roman"/>
        </w:rPr>
        <w:t>nterventions widely seen as best delivered elsewhere</w:t>
      </w:r>
      <w:r w:rsidR="00D257D2" w:rsidRPr="002A316F">
        <w:rPr>
          <w:rFonts w:ascii="Times New Roman" w:hAnsi="Times New Roman" w:cs="Times New Roman"/>
        </w:rPr>
        <w:t xml:space="preserve">; </w:t>
      </w:r>
      <w:r w:rsidR="00483FD4" w:rsidRPr="002A316F">
        <w:rPr>
          <w:rFonts w:ascii="Times New Roman" w:hAnsi="Times New Roman" w:cs="Times New Roman"/>
        </w:rPr>
        <w:t xml:space="preserve">discussed in the </w:t>
      </w:r>
      <w:r w:rsidR="00EC154B" w:rsidRPr="002A316F">
        <w:rPr>
          <w:rFonts w:ascii="Times New Roman" w:hAnsi="Times New Roman" w:cs="Times New Roman"/>
        </w:rPr>
        <w:t xml:space="preserve">following </w:t>
      </w:r>
      <w:r w:rsidR="00483FD4" w:rsidRPr="002A316F">
        <w:rPr>
          <w:rFonts w:ascii="Times New Roman" w:hAnsi="Times New Roman" w:cs="Times New Roman"/>
        </w:rPr>
        <w:t>theme</w:t>
      </w:r>
      <w:r w:rsidR="00D257D2" w:rsidRPr="002A316F">
        <w:rPr>
          <w:rFonts w:ascii="Times New Roman" w:hAnsi="Times New Roman" w:cs="Times New Roman"/>
        </w:rPr>
        <w:t>.</w:t>
      </w:r>
    </w:p>
    <w:p w14:paraId="40948A9D" w14:textId="77777777" w:rsidR="005810D8" w:rsidRPr="002A316F" w:rsidRDefault="005810D8" w:rsidP="007F779A">
      <w:pPr>
        <w:spacing w:line="480" w:lineRule="auto"/>
        <w:rPr>
          <w:rStyle w:val="CommentReference"/>
          <w:rFonts w:ascii="Times New Roman" w:hAnsi="Times New Roman" w:cs="Times New Roman"/>
          <w:sz w:val="24"/>
          <w:szCs w:val="24"/>
        </w:rPr>
      </w:pPr>
    </w:p>
    <w:p w14:paraId="753505C5" w14:textId="369F4B36" w:rsidR="005810D8" w:rsidRPr="002A316F" w:rsidRDefault="005810D8" w:rsidP="007F779A">
      <w:pPr>
        <w:spacing w:line="480" w:lineRule="auto"/>
        <w:rPr>
          <w:rFonts w:ascii="Times New Roman" w:hAnsi="Times New Roman" w:cs="Times New Roman"/>
        </w:rPr>
      </w:pPr>
      <w:r w:rsidRPr="00E30636">
        <w:rPr>
          <w:rFonts w:ascii="Times New Roman" w:hAnsi="Times New Roman" w:cs="Times New Roman"/>
        </w:rPr>
        <w:lastRenderedPageBreak/>
        <w:t xml:space="preserve">It was evident that, at present, there is no clear and consistent approach in place across the Force regarding how to act upon a TIPT package referred to a </w:t>
      </w:r>
      <w:r w:rsidR="00016D98" w:rsidRPr="002A316F">
        <w:rPr>
          <w:rFonts w:ascii="Times New Roman" w:hAnsi="Times New Roman" w:cs="Times New Roman"/>
        </w:rPr>
        <w:t>neighbourhood</w:t>
      </w:r>
      <w:r w:rsidRPr="002A316F">
        <w:rPr>
          <w:rFonts w:ascii="Times New Roman" w:hAnsi="Times New Roman" w:cs="Times New Roman"/>
        </w:rPr>
        <w:t xml:space="preserve"> team. </w:t>
      </w:r>
      <w:r w:rsidR="00D257D2" w:rsidRPr="002A316F">
        <w:rPr>
          <w:rFonts w:ascii="Times New Roman" w:hAnsi="Times New Roman" w:cs="Times New Roman"/>
        </w:rPr>
        <w:t xml:space="preserve">This was </w:t>
      </w:r>
      <w:r w:rsidR="00483FD4" w:rsidRPr="002A316F">
        <w:rPr>
          <w:rFonts w:ascii="Times New Roman" w:hAnsi="Times New Roman" w:cs="Times New Roman"/>
        </w:rPr>
        <w:t>recognized</w:t>
      </w:r>
      <w:r w:rsidRPr="002A316F">
        <w:rPr>
          <w:rFonts w:ascii="Times New Roman" w:hAnsi="Times New Roman" w:cs="Times New Roman"/>
        </w:rPr>
        <w:t xml:space="preserve"> as indicative of local variation in partnership arrangements, and in particular the availability of agencies and schemes to </w:t>
      </w:r>
      <w:r w:rsidR="00EC154B" w:rsidRPr="002A316F">
        <w:rPr>
          <w:rFonts w:ascii="Times New Roman" w:hAnsi="Times New Roman" w:cs="Times New Roman"/>
        </w:rPr>
        <w:t xml:space="preserve">which to </w:t>
      </w:r>
      <w:r w:rsidRPr="002A316F">
        <w:rPr>
          <w:rFonts w:ascii="Times New Roman" w:hAnsi="Times New Roman" w:cs="Times New Roman"/>
        </w:rPr>
        <w:t xml:space="preserve">refer young people. Whilst some areas appear well served by referral processes, elsewhere officers suggested that there no clear routes, meaning referrals were being made for each case in a bespoke manner, with officers necessarily developing relationships as needed. </w:t>
      </w:r>
    </w:p>
    <w:p w14:paraId="0E2B5918" w14:textId="77777777" w:rsidR="005810D8" w:rsidRPr="002A316F" w:rsidRDefault="005810D8" w:rsidP="007F779A">
      <w:pPr>
        <w:spacing w:line="480" w:lineRule="auto"/>
        <w:rPr>
          <w:rFonts w:ascii="Times New Roman" w:hAnsi="Times New Roman" w:cs="Times New Roman"/>
        </w:rPr>
      </w:pPr>
    </w:p>
    <w:p w14:paraId="79918888" w14:textId="746ACF53" w:rsidR="00970BA6"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In areas lacking established and robust means of referral, some NPOs were frank in their assessments of the efficacy of their decision-making</w:t>
      </w:r>
      <w:r w:rsidR="00970BA6" w:rsidRPr="002A316F">
        <w:rPr>
          <w:rFonts w:ascii="Times New Roman" w:hAnsi="Times New Roman" w:cs="Times New Roman"/>
        </w:rPr>
        <w:t xml:space="preserve"> deeming it often as </w:t>
      </w:r>
      <w:r w:rsidR="00DF082E" w:rsidRPr="002A316F">
        <w:rPr>
          <w:rFonts w:ascii="Times New Roman" w:hAnsi="Times New Roman" w:cs="Times New Roman"/>
        </w:rPr>
        <w:t>inadequate</w:t>
      </w:r>
      <w:r w:rsidRPr="002A316F">
        <w:rPr>
          <w:rFonts w:ascii="Times New Roman" w:hAnsi="Times New Roman" w:cs="Times New Roman"/>
        </w:rPr>
        <w:t>. For example, one questionnaire respondent prese</w:t>
      </w:r>
      <w:r w:rsidR="00483FD4" w:rsidRPr="002A316F">
        <w:rPr>
          <w:rFonts w:ascii="Times New Roman" w:hAnsi="Times New Roman" w:cs="Times New Roman"/>
        </w:rPr>
        <w:t>nted his approach as “shocking.” [Q2]</w:t>
      </w:r>
      <w:r w:rsidR="000B4992" w:rsidRPr="002A316F">
        <w:rPr>
          <w:rFonts w:ascii="Times New Roman" w:hAnsi="Times New Roman" w:cs="Times New Roman"/>
        </w:rPr>
        <w:t xml:space="preserve"> </w:t>
      </w:r>
    </w:p>
    <w:p w14:paraId="1671D7AC" w14:textId="77777777" w:rsidR="00DF082E" w:rsidRPr="002A316F" w:rsidRDefault="00DF082E" w:rsidP="007F779A">
      <w:pPr>
        <w:spacing w:line="480" w:lineRule="auto"/>
        <w:rPr>
          <w:rFonts w:ascii="Times New Roman" w:hAnsi="Times New Roman" w:cs="Times New Roman"/>
        </w:rPr>
      </w:pPr>
    </w:p>
    <w:p w14:paraId="283F4D82" w14:textId="32150553" w:rsidR="00970BA6" w:rsidRPr="002A316F" w:rsidRDefault="00970BA6" w:rsidP="00E51F00">
      <w:pPr>
        <w:spacing w:line="480" w:lineRule="auto"/>
        <w:ind w:left="720"/>
        <w:rPr>
          <w:rFonts w:ascii="Times New Roman" w:hAnsi="Times New Roman" w:cs="Times New Roman"/>
        </w:rPr>
      </w:pPr>
      <w:r w:rsidRPr="002A316F">
        <w:rPr>
          <w:rFonts w:ascii="Times New Roman" w:hAnsi="Times New Roman" w:cs="Times New Roman"/>
        </w:rPr>
        <w:t>I just decide. I haven't been trained. There is no external scrutiny of my decision. What if I make the wrong decision? - we are talking about the daily life of a child… I am not a social worker. Police deal with crime and ASB</w:t>
      </w:r>
      <w:r w:rsidR="00752A02" w:rsidRPr="002A316F">
        <w:rPr>
          <w:rFonts w:ascii="Times New Roman" w:hAnsi="Times New Roman" w:cs="Times New Roman"/>
        </w:rPr>
        <w:t xml:space="preserve"> [antisocial behavio</w:t>
      </w:r>
      <w:r w:rsidR="00B07D1A" w:rsidRPr="002A316F">
        <w:rPr>
          <w:rFonts w:ascii="Times New Roman" w:hAnsi="Times New Roman" w:cs="Times New Roman"/>
        </w:rPr>
        <w:t>u</w:t>
      </w:r>
      <w:r w:rsidR="00752A02" w:rsidRPr="002A316F">
        <w:rPr>
          <w:rFonts w:ascii="Times New Roman" w:hAnsi="Times New Roman" w:cs="Times New Roman"/>
        </w:rPr>
        <w:t>r]</w:t>
      </w:r>
      <w:r w:rsidRPr="002A316F">
        <w:rPr>
          <w:rFonts w:ascii="Times New Roman" w:hAnsi="Times New Roman" w:cs="Times New Roman"/>
        </w:rPr>
        <w:t xml:space="preserve">. The specific interventions required to support the daily life of a child who is vulnerable for any reason should be determined by properly qualified professionals. We would not ask a social worker to police a </w:t>
      </w:r>
      <w:r w:rsidR="00483FD4" w:rsidRPr="002A316F">
        <w:rPr>
          <w:rFonts w:ascii="Times New Roman" w:hAnsi="Times New Roman" w:cs="Times New Roman"/>
        </w:rPr>
        <w:t>demonstration,</w:t>
      </w:r>
      <w:r w:rsidRPr="002A316F">
        <w:rPr>
          <w:rFonts w:ascii="Times New Roman" w:hAnsi="Times New Roman" w:cs="Times New Roman"/>
        </w:rPr>
        <w:t xml:space="preserve"> but police can act as sem</w:t>
      </w:r>
      <w:r w:rsidR="00483FD4" w:rsidRPr="002A316F">
        <w:rPr>
          <w:rFonts w:ascii="Times New Roman" w:hAnsi="Times New Roman" w:cs="Times New Roman"/>
        </w:rPr>
        <w:t>i-social workers. [Q2]</w:t>
      </w:r>
    </w:p>
    <w:p w14:paraId="0AEE40A1" w14:textId="77777777" w:rsidR="00970BA6" w:rsidRPr="002A316F" w:rsidRDefault="00970BA6" w:rsidP="007F779A">
      <w:pPr>
        <w:spacing w:line="480" w:lineRule="auto"/>
        <w:rPr>
          <w:rFonts w:ascii="Times New Roman" w:hAnsi="Times New Roman" w:cs="Times New Roman"/>
        </w:rPr>
      </w:pPr>
    </w:p>
    <w:p w14:paraId="16659616" w14:textId="115D4AED" w:rsidR="00D257D2" w:rsidRPr="002A316F" w:rsidRDefault="00483FD4" w:rsidP="00483FD4">
      <w:pPr>
        <w:pStyle w:val="Heading2"/>
        <w:rPr>
          <w:rFonts w:ascii="Times New Roman" w:hAnsi="Times New Roman" w:cs="Times New Roman"/>
          <w:sz w:val="24"/>
        </w:rPr>
      </w:pPr>
      <w:r w:rsidRPr="002A316F">
        <w:rPr>
          <w:rFonts w:ascii="Times New Roman" w:hAnsi="Times New Roman" w:cs="Times New Roman"/>
          <w:sz w:val="24"/>
        </w:rPr>
        <w:t xml:space="preserve">Theme 4: </w:t>
      </w:r>
      <w:r w:rsidR="00D257D2" w:rsidRPr="002A316F">
        <w:rPr>
          <w:rFonts w:ascii="Times New Roman" w:hAnsi="Times New Roman" w:cs="Times New Roman"/>
          <w:sz w:val="24"/>
        </w:rPr>
        <w:t xml:space="preserve">On-going training needs </w:t>
      </w:r>
    </w:p>
    <w:p w14:paraId="43102FD4" w14:textId="77777777" w:rsidR="00483FD4" w:rsidRPr="00E30636" w:rsidRDefault="00483FD4" w:rsidP="00483FD4">
      <w:pPr>
        <w:rPr>
          <w:rFonts w:ascii="Times New Roman" w:hAnsi="Times New Roman" w:cs="Times New Roman"/>
        </w:rPr>
      </w:pPr>
    </w:p>
    <w:p w14:paraId="5FD4877D" w14:textId="637E2655"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This concern with a lack of professional expertise and experience is echoed elsewhere:</w:t>
      </w:r>
    </w:p>
    <w:p w14:paraId="775EBBE5" w14:textId="77777777" w:rsidR="005810D8" w:rsidRPr="00B313E7" w:rsidRDefault="005810D8" w:rsidP="007F779A">
      <w:pPr>
        <w:spacing w:line="480" w:lineRule="auto"/>
        <w:rPr>
          <w:rFonts w:ascii="Times New Roman" w:hAnsi="Times New Roman" w:cs="Times New Roman"/>
        </w:rPr>
      </w:pPr>
    </w:p>
    <w:p w14:paraId="085B3934" w14:textId="69A9F69C" w:rsidR="005810D8" w:rsidRPr="001473C6" w:rsidRDefault="005810D8" w:rsidP="007F779A">
      <w:pPr>
        <w:spacing w:line="480" w:lineRule="auto"/>
        <w:ind w:left="720"/>
        <w:rPr>
          <w:rFonts w:ascii="Times New Roman" w:hAnsi="Times New Roman" w:cs="Times New Roman"/>
        </w:rPr>
      </w:pPr>
      <w:r w:rsidRPr="00D06237">
        <w:rPr>
          <w:rFonts w:ascii="Times New Roman" w:hAnsi="Times New Roman" w:cs="Times New Roman"/>
        </w:rPr>
        <w:lastRenderedPageBreak/>
        <w:t xml:space="preserve">I am not trained or expert in dealing with ACE - but me and my team are expected to make meaningful interventions into the lives of broken children and save </w:t>
      </w:r>
      <w:r w:rsidR="00483FD4" w:rsidRPr="001473C6">
        <w:rPr>
          <w:rFonts w:ascii="Times New Roman" w:hAnsi="Times New Roman" w:cs="Times New Roman"/>
        </w:rPr>
        <w:t>them from themselves sometimes. [Q2]</w:t>
      </w:r>
    </w:p>
    <w:p w14:paraId="2EAE40DB" w14:textId="77777777" w:rsidR="005810D8" w:rsidRPr="002A316F" w:rsidRDefault="005810D8" w:rsidP="007F779A">
      <w:pPr>
        <w:spacing w:line="480" w:lineRule="auto"/>
        <w:rPr>
          <w:rFonts w:ascii="Times New Roman" w:hAnsi="Times New Roman" w:cs="Times New Roman"/>
        </w:rPr>
      </w:pPr>
    </w:p>
    <w:p w14:paraId="38B5FDCB" w14:textId="1815188F" w:rsidR="00D257D2" w:rsidRPr="002A316F" w:rsidRDefault="00D257D2" w:rsidP="007F779A">
      <w:pPr>
        <w:spacing w:line="480" w:lineRule="auto"/>
        <w:rPr>
          <w:rFonts w:ascii="Times New Roman" w:hAnsi="Times New Roman" w:cs="Times New Roman"/>
        </w:rPr>
      </w:pPr>
      <w:r w:rsidRPr="002A316F">
        <w:rPr>
          <w:rFonts w:ascii="Times New Roman" w:hAnsi="Times New Roman" w:cs="Times New Roman"/>
        </w:rPr>
        <w:t>NPOs underwent a two-day training course in relation to the role, with sessions regarding ACEs and prevention of harm. NPOs</w:t>
      </w:r>
      <w:r w:rsidR="00EC154B" w:rsidRPr="002A316F">
        <w:rPr>
          <w:rFonts w:ascii="Times New Roman" w:hAnsi="Times New Roman" w:cs="Times New Roman"/>
        </w:rPr>
        <w:t>’</w:t>
      </w:r>
      <w:r w:rsidRPr="002A316F">
        <w:rPr>
          <w:rFonts w:ascii="Times New Roman" w:hAnsi="Times New Roman" w:cs="Times New Roman"/>
        </w:rPr>
        <w:t xml:space="preserve"> views on the delivery of training were mixed, with concerns frequently voiced that</w:t>
      </w:r>
      <w:r w:rsidR="00483FD4" w:rsidRPr="002A316F">
        <w:rPr>
          <w:rFonts w:ascii="Times New Roman" w:hAnsi="Times New Roman" w:cs="Times New Roman"/>
        </w:rPr>
        <w:t xml:space="preserve"> the training was too theoretical </w:t>
      </w:r>
      <w:r w:rsidRPr="002A316F">
        <w:rPr>
          <w:rFonts w:ascii="Times New Roman" w:hAnsi="Times New Roman" w:cs="Times New Roman"/>
        </w:rPr>
        <w:t>or abstract and therefore not appropriate to their practical needs. NPOs were concerned that the tr</w:t>
      </w:r>
      <w:r w:rsidR="00483FD4" w:rsidRPr="002A316F">
        <w:rPr>
          <w:rFonts w:ascii="Times New Roman" w:hAnsi="Times New Roman" w:cs="Times New Roman"/>
        </w:rPr>
        <w:t>aining did not clearly promote “a consistent approach” [FG2]</w:t>
      </w:r>
      <w:r w:rsidRPr="002A316F">
        <w:rPr>
          <w:rFonts w:ascii="Times New Roman" w:hAnsi="Times New Roman" w:cs="Times New Roman"/>
        </w:rPr>
        <w:t xml:space="preserve"> as to how the TIPT initiative should be delivered, which in turn could lead to different practices across the force. This was echoed by colleagues in other focus groups who were clear about the limitations in their skill set, relative to other professionals:</w:t>
      </w:r>
    </w:p>
    <w:p w14:paraId="38D61735" w14:textId="77777777" w:rsidR="00D257D2" w:rsidRPr="002A316F" w:rsidRDefault="00D257D2" w:rsidP="007F779A">
      <w:pPr>
        <w:spacing w:line="480" w:lineRule="auto"/>
        <w:rPr>
          <w:rFonts w:ascii="Times New Roman" w:hAnsi="Times New Roman" w:cs="Times New Roman"/>
        </w:rPr>
      </w:pPr>
    </w:p>
    <w:p w14:paraId="08452A84" w14:textId="547C99AC" w:rsidR="00D257D2" w:rsidRPr="002A316F" w:rsidRDefault="00D257D2" w:rsidP="007F779A">
      <w:pPr>
        <w:spacing w:line="480" w:lineRule="auto"/>
        <w:ind w:left="720"/>
        <w:rPr>
          <w:rFonts w:ascii="Times New Roman" w:hAnsi="Times New Roman" w:cs="Times New Roman"/>
        </w:rPr>
      </w:pPr>
      <w:r w:rsidRPr="002A316F">
        <w:rPr>
          <w:rFonts w:ascii="Times New Roman" w:hAnsi="Times New Roman" w:cs="Times New Roman"/>
        </w:rPr>
        <w:t>I went through an 18-week training course, when I joined this job… With these referrals and the social services side of the job, I’ve had no training.</w:t>
      </w:r>
      <w:r w:rsidR="00483FD4" w:rsidRPr="002A316F">
        <w:rPr>
          <w:rFonts w:ascii="Times New Roman" w:hAnsi="Times New Roman" w:cs="Times New Roman"/>
        </w:rPr>
        <w:t xml:space="preserve"> [FG1]</w:t>
      </w:r>
      <w:r w:rsidRPr="002A316F">
        <w:rPr>
          <w:rFonts w:ascii="Times New Roman" w:hAnsi="Times New Roman" w:cs="Times New Roman"/>
        </w:rPr>
        <w:t xml:space="preserve"> </w:t>
      </w:r>
    </w:p>
    <w:p w14:paraId="607CD0C2" w14:textId="77777777" w:rsidR="00D257D2" w:rsidRPr="002A316F" w:rsidRDefault="00D257D2" w:rsidP="007F779A">
      <w:pPr>
        <w:spacing w:line="480" w:lineRule="auto"/>
        <w:rPr>
          <w:rFonts w:ascii="Times New Roman" w:hAnsi="Times New Roman" w:cs="Times New Roman"/>
        </w:rPr>
      </w:pPr>
    </w:p>
    <w:p w14:paraId="2F619545" w14:textId="77777777" w:rsidR="00D257D2" w:rsidRPr="002A316F" w:rsidRDefault="00D257D2" w:rsidP="007F779A">
      <w:pPr>
        <w:spacing w:line="480" w:lineRule="auto"/>
        <w:rPr>
          <w:rFonts w:ascii="Times New Roman" w:hAnsi="Times New Roman" w:cs="Times New Roman"/>
        </w:rPr>
      </w:pPr>
      <w:r w:rsidRPr="002A316F">
        <w:rPr>
          <w:rFonts w:ascii="Times New Roman" w:hAnsi="Times New Roman" w:cs="Times New Roman"/>
        </w:rPr>
        <w:t xml:space="preserve">Indeed, in some instances concerns of negative impact were voiced: </w:t>
      </w:r>
    </w:p>
    <w:p w14:paraId="4DA83608" w14:textId="77777777" w:rsidR="00D257D2" w:rsidRPr="002A316F" w:rsidRDefault="00D257D2" w:rsidP="007F779A">
      <w:pPr>
        <w:spacing w:line="480" w:lineRule="auto"/>
        <w:rPr>
          <w:rFonts w:ascii="Times New Roman" w:hAnsi="Times New Roman" w:cs="Times New Roman"/>
        </w:rPr>
      </w:pPr>
    </w:p>
    <w:p w14:paraId="492DB310" w14:textId="2FD829BC" w:rsidR="00D257D2" w:rsidRPr="002A316F" w:rsidRDefault="00D257D2" w:rsidP="007F779A">
      <w:pPr>
        <w:spacing w:line="480" w:lineRule="auto"/>
        <w:ind w:left="720"/>
        <w:rPr>
          <w:rFonts w:ascii="Times New Roman" w:hAnsi="Times New Roman" w:cs="Times New Roman"/>
        </w:rPr>
      </w:pPr>
      <w:r w:rsidRPr="002A316F">
        <w:rPr>
          <w:rFonts w:ascii="Times New Roman" w:hAnsi="Times New Roman" w:cs="Times New Roman"/>
        </w:rPr>
        <w:t xml:space="preserve">An adverse effect occurs when we send people into situations who aren’t </w:t>
      </w:r>
      <w:r w:rsidR="00483FD4" w:rsidRPr="002A316F">
        <w:rPr>
          <w:rFonts w:ascii="Times New Roman" w:hAnsi="Times New Roman" w:cs="Times New Roman"/>
        </w:rPr>
        <w:t>qualified,</w:t>
      </w:r>
      <w:r w:rsidRPr="002A316F">
        <w:rPr>
          <w:rFonts w:ascii="Times New Roman" w:hAnsi="Times New Roman" w:cs="Times New Roman"/>
        </w:rPr>
        <w:t xml:space="preserve"> and I include myself when I’m saying that.  Part of the art of safeguarding is knowing when you don’t know...</w:t>
      </w:r>
      <w:r w:rsidR="00483FD4" w:rsidRPr="002A316F">
        <w:rPr>
          <w:rFonts w:ascii="Times New Roman" w:hAnsi="Times New Roman" w:cs="Times New Roman"/>
        </w:rPr>
        <w:t xml:space="preserve"> [FG3]</w:t>
      </w:r>
      <w:r w:rsidRPr="002A316F">
        <w:rPr>
          <w:rFonts w:ascii="Times New Roman" w:hAnsi="Times New Roman" w:cs="Times New Roman"/>
        </w:rPr>
        <w:t xml:space="preserve">  </w:t>
      </w:r>
    </w:p>
    <w:p w14:paraId="4B2BBBFF" w14:textId="77777777" w:rsidR="000B4992" w:rsidRPr="002A316F" w:rsidRDefault="000B4992" w:rsidP="007F779A">
      <w:pPr>
        <w:spacing w:line="480" w:lineRule="auto"/>
        <w:rPr>
          <w:rFonts w:ascii="Times New Roman" w:hAnsi="Times New Roman" w:cs="Times New Roman"/>
        </w:rPr>
      </w:pPr>
    </w:p>
    <w:p w14:paraId="67D81102" w14:textId="1D4C9CF7" w:rsidR="005810D8" w:rsidRPr="002A316F" w:rsidRDefault="00483FD4" w:rsidP="007F779A">
      <w:pPr>
        <w:pStyle w:val="Heading2"/>
        <w:spacing w:line="480" w:lineRule="auto"/>
        <w:rPr>
          <w:rFonts w:ascii="Times New Roman" w:hAnsi="Times New Roman" w:cs="Times New Roman"/>
          <w:sz w:val="24"/>
          <w:szCs w:val="24"/>
        </w:rPr>
      </w:pPr>
      <w:bookmarkStart w:id="8" w:name="_Toc515579306"/>
      <w:r w:rsidRPr="002A316F">
        <w:rPr>
          <w:rFonts w:ascii="Times New Roman" w:hAnsi="Times New Roman" w:cs="Times New Roman"/>
          <w:sz w:val="24"/>
          <w:szCs w:val="24"/>
        </w:rPr>
        <w:lastRenderedPageBreak/>
        <w:t xml:space="preserve">Theme 5: </w:t>
      </w:r>
      <w:r w:rsidR="005810D8" w:rsidRPr="002A316F">
        <w:rPr>
          <w:rFonts w:ascii="Times New Roman" w:hAnsi="Times New Roman" w:cs="Times New Roman"/>
          <w:sz w:val="24"/>
          <w:szCs w:val="24"/>
        </w:rPr>
        <w:t>Measuring Success</w:t>
      </w:r>
      <w:bookmarkEnd w:id="8"/>
    </w:p>
    <w:p w14:paraId="6C56390E" w14:textId="61C26A2A"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NPOs repeatedly highlighted the lack of data </w:t>
      </w:r>
      <w:r w:rsidR="005E5C3E" w:rsidRPr="002A316F">
        <w:rPr>
          <w:rFonts w:ascii="Times New Roman" w:hAnsi="Times New Roman" w:cs="Times New Roman"/>
        </w:rPr>
        <w:t xml:space="preserve">being collected </w:t>
      </w:r>
      <w:r w:rsidRPr="002A316F">
        <w:rPr>
          <w:rFonts w:ascii="Times New Roman" w:hAnsi="Times New Roman" w:cs="Times New Roman"/>
        </w:rPr>
        <w:t xml:space="preserve">by which to measure the success of their interventions, despite institutional recognition that this was important. It was widely </w:t>
      </w:r>
      <w:r w:rsidR="00483FD4" w:rsidRPr="002A316F">
        <w:rPr>
          <w:rFonts w:ascii="Times New Roman" w:hAnsi="Times New Roman" w:cs="Times New Roman"/>
        </w:rPr>
        <w:t>recognized</w:t>
      </w:r>
      <w:r w:rsidRPr="002A316F">
        <w:rPr>
          <w:rFonts w:ascii="Times New Roman" w:hAnsi="Times New Roman" w:cs="Times New Roman"/>
        </w:rPr>
        <w:t xml:space="preserve"> that it is very hard to measure success in a preventative intervention such as this. This was well articulated by one focus group participant:</w:t>
      </w:r>
    </w:p>
    <w:p w14:paraId="42D7BF4E" w14:textId="77777777" w:rsidR="005810D8" w:rsidRPr="002A316F" w:rsidRDefault="005810D8" w:rsidP="007F779A">
      <w:pPr>
        <w:spacing w:line="480" w:lineRule="auto"/>
        <w:rPr>
          <w:rFonts w:ascii="Times New Roman" w:hAnsi="Times New Roman" w:cs="Times New Roman"/>
        </w:rPr>
      </w:pPr>
    </w:p>
    <w:p w14:paraId="69D2D87E" w14:textId="12C5F0D5" w:rsidR="005810D8" w:rsidRPr="002A316F" w:rsidRDefault="005810D8" w:rsidP="007F779A">
      <w:pPr>
        <w:spacing w:line="480" w:lineRule="auto"/>
        <w:ind w:left="720"/>
        <w:rPr>
          <w:rFonts w:ascii="Times New Roman" w:hAnsi="Times New Roman" w:cs="Times New Roman"/>
        </w:rPr>
      </w:pPr>
      <w:r w:rsidRPr="002A316F">
        <w:rPr>
          <w:rFonts w:ascii="Times New Roman" w:hAnsi="Times New Roman" w:cs="Times New Roman"/>
        </w:rPr>
        <w:t>so you’re working with little Johnny, who’s eight or ten years old, and you work with him for two or three years and you’re doing really well with him; you’re helping him and he’s doing this and he’s growing and then … little Johnny starts getting involved in something and goes down the wrong path.  Does that count your four years as a failure?  Ultimately, is that the way we’re going to look at the job because you’ve put your time and money into little Johnny?  In four years down the line, he’s going to then become arrested for something and get locked up.  Is that how you jud</w:t>
      </w:r>
      <w:r w:rsidR="00483FD4" w:rsidRPr="002A316F">
        <w:rPr>
          <w:rFonts w:ascii="Times New Roman" w:hAnsi="Times New Roman" w:cs="Times New Roman"/>
        </w:rPr>
        <w:t>ge it?  Is that a failure then?” [FG2]</w:t>
      </w:r>
    </w:p>
    <w:p w14:paraId="58C84CB6" w14:textId="77777777" w:rsidR="005810D8" w:rsidRPr="002A316F" w:rsidRDefault="005810D8" w:rsidP="007F779A">
      <w:pPr>
        <w:spacing w:line="480" w:lineRule="auto"/>
        <w:rPr>
          <w:rFonts w:ascii="Times New Roman" w:hAnsi="Times New Roman" w:cs="Times New Roman"/>
        </w:rPr>
      </w:pPr>
    </w:p>
    <w:p w14:paraId="1733D463" w14:textId="39C5FB27"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t xml:space="preserve">This was of particular concern because of the range of complex contextual factors that might limit the long-term effectiveness of such activity but are beyond the influence of the police, including pressures that appear in adolescence, such as peer pressure, gang involvement, educational disengagement and unemployment. Even where some measure of success might be apparent, NPOs also </w:t>
      </w:r>
      <w:r w:rsidR="00483FD4" w:rsidRPr="002A316F">
        <w:rPr>
          <w:rFonts w:ascii="Times New Roman" w:hAnsi="Times New Roman" w:cs="Times New Roman"/>
        </w:rPr>
        <w:t>recognized the challenge of attribution: “</w:t>
      </w:r>
      <w:r w:rsidRPr="002A316F">
        <w:rPr>
          <w:rFonts w:ascii="Times New Roman" w:hAnsi="Times New Roman" w:cs="Times New Roman"/>
        </w:rPr>
        <w:t xml:space="preserve">If we say, in </w:t>
      </w:r>
      <w:r w:rsidR="009D1E9D" w:rsidRPr="002A316F">
        <w:rPr>
          <w:rFonts w:ascii="Times New Roman" w:hAnsi="Times New Roman" w:cs="Times New Roman"/>
        </w:rPr>
        <w:t xml:space="preserve">10 </w:t>
      </w:r>
      <w:r w:rsidRPr="002A316F">
        <w:rPr>
          <w:rFonts w:ascii="Times New Roman" w:hAnsi="Times New Roman" w:cs="Times New Roman"/>
        </w:rPr>
        <w:t>years</w:t>
      </w:r>
      <w:r w:rsidR="002E1CBD" w:rsidRPr="002A316F">
        <w:rPr>
          <w:rFonts w:ascii="Times New Roman" w:hAnsi="Times New Roman" w:cs="Times New Roman"/>
        </w:rPr>
        <w:t>’</w:t>
      </w:r>
      <w:r w:rsidRPr="002A316F">
        <w:rPr>
          <w:rFonts w:ascii="Times New Roman" w:hAnsi="Times New Roman" w:cs="Times New Roman"/>
        </w:rPr>
        <w:t xml:space="preserve"> time, that 99 out of 100 haven’t fallen in the CJ</w:t>
      </w:r>
      <w:r w:rsidR="00752A02" w:rsidRPr="002A316F">
        <w:rPr>
          <w:rFonts w:ascii="Times New Roman" w:hAnsi="Times New Roman" w:cs="Times New Roman"/>
        </w:rPr>
        <w:t xml:space="preserve"> [Criminal Justice]</w:t>
      </w:r>
      <w:r w:rsidRPr="002A316F">
        <w:rPr>
          <w:rFonts w:ascii="Times New Roman" w:hAnsi="Times New Roman" w:cs="Times New Roman"/>
        </w:rPr>
        <w:t xml:space="preserve"> system, can we prove it’s been because of this?</w:t>
      </w:r>
      <w:r w:rsidR="00483FD4" w:rsidRPr="002A316F">
        <w:rPr>
          <w:rFonts w:ascii="Times New Roman" w:hAnsi="Times New Roman" w:cs="Times New Roman"/>
        </w:rPr>
        <w:t>” [FG1]</w:t>
      </w:r>
    </w:p>
    <w:p w14:paraId="3A678D84" w14:textId="77777777" w:rsidR="005810D8" w:rsidRPr="002A316F" w:rsidRDefault="005810D8" w:rsidP="007F779A">
      <w:pPr>
        <w:spacing w:line="480" w:lineRule="auto"/>
        <w:rPr>
          <w:rFonts w:ascii="Times New Roman" w:hAnsi="Times New Roman" w:cs="Times New Roman"/>
        </w:rPr>
      </w:pPr>
    </w:p>
    <w:p w14:paraId="174D2587" w14:textId="7C5BD36D" w:rsidR="005810D8" w:rsidRPr="002A316F" w:rsidRDefault="005810D8" w:rsidP="007F779A">
      <w:pPr>
        <w:spacing w:line="480" w:lineRule="auto"/>
        <w:rPr>
          <w:rFonts w:ascii="Times New Roman" w:hAnsi="Times New Roman" w:cs="Times New Roman"/>
        </w:rPr>
      </w:pPr>
      <w:r w:rsidRPr="002A316F">
        <w:rPr>
          <w:rFonts w:ascii="Times New Roman" w:hAnsi="Times New Roman" w:cs="Times New Roman"/>
        </w:rPr>
        <w:lastRenderedPageBreak/>
        <w:t xml:space="preserve">Whilst </w:t>
      </w:r>
      <w:r w:rsidR="00483FD4" w:rsidRPr="002A316F">
        <w:rPr>
          <w:rFonts w:ascii="Times New Roman" w:hAnsi="Times New Roman" w:cs="Times New Roman"/>
        </w:rPr>
        <w:t>recognizing</w:t>
      </w:r>
      <w:r w:rsidRPr="002A316F">
        <w:rPr>
          <w:rFonts w:ascii="Times New Roman" w:hAnsi="Times New Roman" w:cs="Times New Roman"/>
        </w:rPr>
        <w:t xml:space="preserve"> the challenges in determining appropriate outcome measures, a lack of such indicators was argued as likely to put the initiative at risk of being discontinued, with senior m</w:t>
      </w:r>
      <w:r w:rsidR="00483FD4" w:rsidRPr="002A316F">
        <w:rPr>
          <w:rFonts w:ascii="Times New Roman" w:hAnsi="Times New Roman" w:cs="Times New Roman"/>
        </w:rPr>
        <w:t>anagers asking: “</w:t>
      </w:r>
      <w:r w:rsidRPr="002A316F">
        <w:rPr>
          <w:rFonts w:ascii="Times New Roman" w:hAnsi="Times New Roman" w:cs="Times New Roman"/>
        </w:rPr>
        <w:t>How am I justified giving you more resources for your department when I’m judged on these performance figures [i.e. key performance indicators for the Forc</w:t>
      </w:r>
      <w:r w:rsidR="00483FD4" w:rsidRPr="002A316F">
        <w:rPr>
          <w:rFonts w:ascii="Times New Roman" w:hAnsi="Times New Roman" w:cs="Times New Roman"/>
        </w:rPr>
        <w:t>e]?” [FG2]</w:t>
      </w:r>
      <w:r w:rsidR="00EC154B" w:rsidRPr="002A316F">
        <w:rPr>
          <w:rFonts w:ascii="Times New Roman" w:hAnsi="Times New Roman" w:cs="Times New Roman"/>
        </w:rPr>
        <w:t>.</w:t>
      </w:r>
      <w:r w:rsidRPr="002A316F">
        <w:rPr>
          <w:rFonts w:ascii="Times New Roman" w:hAnsi="Times New Roman" w:cs="Times New Roman"/>
        </w:rPr>
        <w:t xml:space="preserve"> These concerns imply a need for short and medium-term indicators of realistic progress that might serve to illustrate impact in a relevant timescale, and in a robust and measurable manner.</w:t>
      </w:r>
    </w:p>
    <w:p w14:paraId="4EF7DE42" w14:textId="77777777" w:rsidR="005810D8" w:rsidRPr="002A316F" w:rsidRDefault="005810D8" w:rsidP="007F779A">
      <w:pPr>
        <w:spacing w:line="480" w:lineRule="auto"/>
        <w:rPr>
          <w:rFonts w:ascii="Times New Roman" w:eastAsiaTheme="majorEastAsia" w:hAnsi="Times New Roman" w:cs="Times New Roman"/>
          <w:color w:val="2F5496" w:themeColor="accent1" w:themeShade="BF"/>
        </w:rPr>
      </w:pPr>
    </w:p>
    <w:p w14:paraId="16165C7A" w14:textId="14BFE497" w:rsidR="005810D8" w:rsidRPr="002A316F" w:rsidRDefault="005810D8" w:rsidP="007F779A">
      <w:pPr>
        <w:pStyle w:val="Heading1"/>
        <w:spacing w:line="480" w:lineRule="auto"/>
        <w:rPr>
          <w:rFonts w:ascii="Times New Roman" w:hAnsi="Times New Roman" w:cs="Times New Roman"/>
          <w:sz w:val="24"/>
          <w:szCs w:val="24"/>
        </w:rPr>
      </w:pPr>
      <w:bookmarkStart w:id="9" w:name="_Toc515579308"/>
      <w:r w:rsidRPr="002A316F">
        <w:rPr>
          <w:rFonts w:ascii="Times New Roman" w:hAnsi="Times New Roman" w:cs="Times New Roman"/>
          <w:sz w:val="24"/>
          <w:szCs w:val="24"/>
        </w:rPr>
        <w:t>Discussion</w:t>
      </w:r>
      <w:bookmarkEnd w:id="9"/>
    </w:p>
    <w:p w14:paraId="20B14299" w14:textId="77777777" w:rsidR="00F510EA" w:rsidRPr="00E30636" w:rsidRDefault="00F510EA" w:rsidP="00F510EA">
      <w:pPr>
        <w:rPr>
          <w:rFonts w:ascii="Times New Roman" w:hAnsi="Times New Roman" w:cs="Times New Roman"/>
        </w:rPr>
      </w:pPr>
    </w:p>
    <w:p w14:paraId="3AB62F17" w14:textId="3925AD6F" w:rsidR="00240F92" w:rsidRPr="00D06237" w:rsidRDefault="00240F92" w:rsidP="007F779A">
      <w:pPr>
        <w:spacing w:line="480" w:lineRule="auto"/>
        <w:rPr>
          <w:rFonts w:ascii="Times New Roman" w:hAnsi="Times New Roman" w:cs="Times New Roman"/>
        </w:rPr>
      </w:pPr>
      <w:r w:rsidRPr="002A316F">
        <w:rPr>
          <w:rFonts w:ascii="Times New Roman" w:hAnsi="Times New Roman" w:cs="Times New Roman"/>
        </w:rPr>
        <w:t>The TIPT initiative represents an innovative policing practice based upon the application of the increasingly prominent ACEs framework to inform targeting early interventions at young people in adversity. An exploration of its implementation offers an opportunity to reflect on a number of key themes in current policing and broader public service provision, including</w:t>
      </w:r>
      <w:r w:rsidR="00715C5B" w:rsidRPr="00B313E7">
        <w:rPr>
          <w:rFonts w:ascii="Times New Roman" w:hAnsi="Times New Roman" w:cs="Times New Roman"/>
        </w:rPr>
        <w:t xml:space="preserve"> limitations in the usefulness of police data to identify childhood adversity; challenges in the use of the ACEs fr</w:t>
      </w:r>
      <w:r w:rsidR="00715C5B" w:rsidRPr="00D06237">
        <w:rPr>
          <w:rFonts w:ascii="Times New Roman" w:hAnsi="Times New Roman" w:cs="Times New Roman"/>
        </w:rPr>
        <w:t>amework as a means to target such ‘early intervention’; and debates regarding the appropriate role of the police in supporting young people in adversity</w:t>
      </w:r>
      <w:r w:rsidRPr="00D06237">
        <w:rPr>
          <w:rFonts w:ascii="Times New Roman" w:hAnsi="Times New Roman" w:cs="Times New Roman"/>
        </w:rPr>
        <w:t xml:space="preserve">. </w:t>
      </w:r>
    </w:p>
    <w:p w14:paraId="7A396BDB" w14:textId="77777777" w:rsidR="00240F92" w:rsidRPr="001473C6" w:rsidRDefault="00240F92" w:rsidP="007F779A">
      <w:pPr>
        <w:spacing w:line="480" w:lineRule="auto"/>
        <w:rPr>
          <w:rFonts w:ascii="Times New Roman" w:hAnsi="Times New Roman" w:cs="Times New Roman"/>
        </w:rPr>
      </w:pPr>
    </w:p>
    <w:p w14:paraId="07EB9CFC" w14:textId="11644D62" w:rsidR="00240F92" w:rsidRPr="002A316F" w:rsidRDefault="00240F92" w:rsidP="007F779A">
      <w:pPr>
        <w:spacing w:line="480" w:lineRule="auto"/>
        <w:rPr>
          <w:rFonts w:ascii="Times New Roman" w:hAnsi="Times New Roman" w:cs="Times New Roman"/>
        </w:rPr>
      </w:pPr>
      <w:r w:rsidRPr="002A316F">
        <w:rPr>
          <w:rFonts w:ascii="Times New Roman" w:hAnsi="Times New Roman" w:cs="Times New Roman"/>
        </w:rPr>
        <w:t>In targeting on the basis of administrative police data, a narrow criminal justice framework is</w:t>
      </w:r>
      <w:r w:rsidR="002E30C5" w:rsidRPr="002A316F">
        <w:rPr>
          <w:rFonts w:ascii="Times New Roman" w:hAnsi="Times New Roman" w:cs="Times New Roman"/>
        </w:rPr>
        <w:t xml:space="preserve"> </w:t>
      </w:r>
      <w:r w:rsidRPr="002A316F">
        <w:rPr>
          <w:rFonts w:ascii="Times New Roman" w:hAnsi="Times New Roman" w:cs="Times New Roman"/>
        </w:rPr>
        <w:t>applied to understand young people’s experiences of adversity. Police data offers insight into a limited range of ACEs, including domestic violence, abuse or neglect, or where a parent has been incarcerated.</w:t>
      </w:r>
      <w:r w:rsidR="00BC316F" w:rsidRPr="002A316F">
        <w:rPr>
          <w:rFonts w:ascii="Times New Roman" w:hAnsi="Times New Roman" w:cs="Times New Roman"/>
        </w:rPr>
        <w:t xml:space="preserve"> </w:t>
      </w:r>
      <w:r w:rsidRPr="002A316F">
        <w:rPr>
          <w:rFonts w:ascii="Times New Roman" w:hAnsi="Times New Roman" w:cs="Times New Roman"/>
        </w:rPr>
        <w:t xml:space="preserve">Furthermore, experiences are only identified when a crime is reported, or there is a request for a police response, </w:t>
      </w:r>
      <w:r w:rsidRPr="002A316F">
        <w:rPr>
          <w:rFonts w:ascii="Times New Roman" w:hAnsi="Times New Roman" w:cs="Times New Roman"/>
        </w:rPr>
        <w:lastRenderedPageBreak/>
        <w:t>suggesting partial understanding of such experiences, affected by a multitude of social and cultural factors that can influence whether crime is reported</w:t>
      </w:r>
      <w:r w:rsidR="00657A22" w:rsidRPr="002A316F">
        <w:rPr>
          <w:rFonts w:ascii="Times New Roman" w:hAnsi="Times New Roman" w:cs="Times New Roman"/>
        </w:rPr>
        <w:t xml:space="preserve"> </w:t>
      </w:r>
      <w:r w:rsidR="00657A22" w:rsidRPr="002A316F">
        <w:rPr>
          <w:rFonts w:ascii="Times New Roman" w:hAnsi="Times New Roman" w:cs="Times New Roman"/>
        </w:rPr>
        <w:fldChar w:fldCharType="begin" w:fldLock="1"/>
      </w:r>
      <w:r w:rsidR="00D06237">
        <w:rPr>
          <w:rFonts w:ascii="Times New Roman" w:hAnsi="Times New Roman" w:cs="Times New Roman"/>
        </w:rPr>
        <w:instrText>ADDIN CSL_CITATION {"citationItems":[{"id":"ITEM-1","itemData":{"ISBN":"0121026523","abstract":"Includes indexes. Stratification -- Morphology -- Culture -- Organization -- Social control -- Anarchy.","author":[{"dropping-particle":"","family":"Black","given":"Donald J.","non-dropping-particle":"","parse-names":false,"suffix":""}],"id":"ITEM-1","issued":{"date-parts":[["1976"]]},"number-of-pages":"175","publisher":"Academic Press","title":"The behavior of law","type":"book"},"uris":["http://www.mendeley.com/documents/?uuid=150e53f1-794a-3651-9835-d5c1f288e09c"]}],"mendeley":{"formattedCitation":"(Black, 1976)","plainTextFormattedCitation":"(Black, 1976)","previouslyFormattedCitation":"(Black, 1976)"},"properties":{"noteIndex":0},"schema":"https://github.com/citation-style-language/schema/raw/master/csl-citation.json"}</w:instrText>
      </w:r>
      <w:r w:rsidR="00657A22" w:rsidRPr="00E30636">
        <w:rPr>
          <w:rFonts w:ascii="Times New Roman" w:hAnsi="Times New Roman" w:cs="Times New Roman"/>
        </w:rPr>
        <w:fldChar w:fldCharType="separate"/>
      </w:r>
      <w:r w:rsidR="00B313E7" w:rsidRPr="00B313E7">
        <w:rPr>
          <w:rFonts w:ascii="Times New Roman" w:hAnsi="Times New Roman" w:cs="Times New Roman"/>
          <w:noProof/>
        </w:rPr>
        <w:t>(Black, 1976)</w:t>
      </w:r>
      <w:r w:rsidR="00657A22" w:rsidRPr="002A316F">
        <w:rPr>
          <w:rFonts w:ascii="Times New Roman" w:hAnsi="Times New Roman" w:cs="Times New Roman"/>
        </w:rPr>
        <w:fldChar w:fldCharType="end"/>
      </w:r>
      <w:r w:rsidR="005E5C3E" w:rsidRPr="002A316F">
        <w:rPr>
          <w:rFonts w:ascii="Times New Roman" w:hAnsi="Times New Roman" w:cs="Times New Roman"/>
        </w:rPr>
        <w:t xml:space="preserve">, including local concerns about relationships with </w:t>
      </w:r>
      <w:r w:rsidR="00613F09" w:rsidRPr="002A316F">
        <w:rPr>
          <w:rFonts w:ascii="Times New Roman" w:hAnsi="Times New Roman" w:cs="Times New Roman"/>
        </w:rPr>
        <w:t xml:space="preserve">minority </w:t>
      </w:r>
      <w:r w:rsidR="005E5C3E" w:rsidRPr="002A316F">
        <w:rPr>
          <w:rFonts w:ascii="Times New Roman" w:hAnsi="Times New Roman" w:cs="Times New Roman"/>
        </w:rPr>
        <w:t>communities</w:t>
      </w:r>
      <w:r w:rsidRPr="002A316F">
        <w:rPr>
          <w:rFonts w:ascii="Times New Roman" w:hAnsi="Times New Roman" w:cs="Times New Roman"/>
        </w:rPr>
        <w:t xml:space="preserve">.  In most cases, then, a young person is being identified for support only when their family has come into formal contact with the </w:t>
      </w:r>
      <w:r w:rsidRPr="00B313E7">
        <w:rPr>
          <w:rFonts w:ascii="Times New Roman" w:hAnsi="Times New Roman" w:cs="Times New Roman"/>
        </w:rPr>
        <w:t xml:space="preserve">police. The identification of adversity is dependent on the </w:t>
      </w:r>
      <w:r w:rsidR="00657A22" w:rsidRPr="00D06237">
        <w:rPr>
          <w:rFonts w:ascii="Times New Roman" w:hAnsi="Times New Roman" w:cs="Times New Roman"/>
        </w:rPr>
        <w:t>criminali</w:t>
      </w:r>
      <w:r w:rsidR="008A6E40" w:rsidRPr="00D06237">
        <w:rPr>
          <w:rFonts w:ascii="Times New Roman" w:hAnsi="Times New Roman" w:cs="Times New Roman"/>
        </w:rPr>
        <w:t>s</w:t>
      </w:r>
      <w:r w:rsidR="00657A22" w:rsidRPr="00D06237">
        <w:rPr>
          <w:rFonts w:ascii="Times New Roman" w:hAnsi="Times New Roman" w:cs="Times New Roman"/>
        </w:rPr>
        <w:t>ation</w:t>
      </w:r>
      <w:r w:rsidRPr="00D06237">
        <w:rPr>
          <w:rFonts w:ascii="Times New Roman" w:hAnsi="Times New Roman" w:cs="Times New Roman"/>
        </w:rPr>
        <w:t xml:space="preserve"> of a member of the family – typically the father. The barriers this may pose to engagement with support provided by the police were noted by several research participants</w:t>
      </w:r>
      <w:r w:rsidR="003B689B" w:rsidRPr="00EB5D10">
        <w:rPr>
          <w:rFonts w:ascii="Times New Roman" w:hAnsi="Times New Roman" w:cs="Times New Roman"/>
        </w:rPr>
        <w:t>.</w:t>
      </w:r>
      <w:r w:rsidRPr="001473C6">
        <w:rPr>
          <w:rFonts w:ascii="Times New Roman" w:hAnsi="Times New Roman" w:cs="Times New Roman"/>
        </w:rPr>
        <w:t xml:space="preserve"> The conflation of adversity with </w:t>
      </w:r>
      <w:r w:rsidR="00657A22" w:rsidRPr="001473C6">
        <w:rPr>
          <w:rFonts w:ascii="Times New Roman" w:hAnsi="Times New Roman" w:cs="Times New Roman"/>
        </w:rPr>
        <w:t>criminali</w:t>
      </w:r>
      <w:r w:rsidR="008A6E40" w:rsidRPr="001473C6">
        <w:rPr>
          <w:rFonts w:ascii="Times New Roman" w:hAnsi="Times New Roman" w:cs="Times New Roman"/>
        </w:rPr>
        <w:t>s</w:t>
      </w:r>
      <w:r w:rsidR="00657A22" w:rsidRPr="00860838">
        <w:rPr>
          <w:rFonts w:ascii="Times New Roman" w:hAnsi="Times New Roman" w:cs="Times New Roman"/>
        </w:rPr>
        <w:t>ation</w:t>
      </w:r>
      <w:r w:rsidRPr="00860838">
        <w:rPr>
          <w:rFonts w:ascii="Times New Roman" w:hAnsi="Times New Roman" w:cs="Times New Roman"/>
        </w:rPr>
        <w:t xml:space="preserve"> may mean that the reason for engagement is not understood by the family or young person. There is </w:t>
      </w:r>
      <w:r w:rsidR="00196AEC" w:rsidRPr="002A316F">
        <w:rPr>
          <w:rFonts w:ascii="Times New Roman" w:hAnsi="Times New Roman" w:cs="Times New Roman"/>
        </w:rPr>
        <w:t xml:space="preserve">thus </w:t>
      </w:r>
      <w:r w:rsidRPr="002A316F">
        <w:rPr>
          <w:rFonts w:ascii="Times New Roman" w:hAnsi="Times New Roman" w:cs="Times New Roman"/>
        </w:rPr>
        <w:t>a need to understand the perspectives of young people engaged by the initiative in this respect.</w:t>
      </w:r>
    </w:p>
    <w:p w14:paraId="74F21CBA" w14:textId="77777777" w:rsidR="00240F92" w:rsidRPr="002A316F" w:rsidRDefault="00240F92" w:rsidP="007F779A">
      <w:pPr>
        <w:spacing w:line="480" w:lineRule="auto"/>
        <w:rPr>
          <w:rFonts w:ascii="Times New Roman" w:hAnsi="Times New Roman" w:cs="Times New Roman"/>
        </w:rPr>
      </w:pPr>
    </w:p>
    <w:p w14:paraId="243823E6" w14:textId="09A83242" w:rsidR="00EB5D10" w:rsidRDefault="00240F92" w:rsidP="007F779A">
      <w:pPr>
        <w:spacing w:line="480" w:lineRule="auto"/>
        <w:rPr>
          <w:rFonts w:ascii="Times New Roman" w:hAnsi="Times New Roman" w:cs="Times New Roman"/>
        </w:rPr>
      </w:pPr>
      <w:r w:rsidRPr="002A316F">
        <w:rPr>
          <w:rFonts w:ascii="Times New Roman" w:hAnsi="Times New Roman" w:cs="Times New Roman"/>
        </w:rPr>
        <w:t xml:space="preserve">The implementation of this initiative also offers useful insight into the </w:t>
      </w:r>
      <w:r w:rsidR="00657A22" w:rsidRPr="002A316F">
        <w:rPr>
          <w:rFonts w:ascii="Times New Roman" w:hAnsi="Times New Roman" w:cs="Times New Roman"/>
        </w:rPr>
        <w:t>operationalization</w:t>
      </w:r>
      <w:r w:rsidRPr="002A316F">
        <w:rPr>
          <w:rFonts w:ascii="Times New Roman" w:hAnsi="Times New Roman" w:cs="Times New Roman"/>
        </w:rPr>
        <w:t xml:space="preserve"> of the ACEs framework in targeting early intervention. </w:t>
      </w:r>
      <w:r w:rsidR="008A6E40" w:rsidRPr="002A316F">
        <w:rPr>
          <w:rFonts w:ascii="Times New Roman" w:hAnsi="Times New Roman" w:cs="Times New Roman"/>
        </w:rPr>
        <w:t xml:space="preserve">This </w:t>
      </w:r>
      <w:r w:rsidR="003C7831" w:rsidRPr="002A316F">
        <w:rPr>
          <w:rFonts w:ascii="Times New Roman" w:hAnsi="Times New Roman" w:cs="Times New Roman"/>
        </w:rPr>
        <w:t>p</w:t>
      </w:r>
      <w:r w:rsidR="008A6E40" w:rsidRPr="002A316F">
        <w:rPr>
          <w:rFonts w:ascii="Times New Roman" w:hAnsi="Times New Roman" w:cs="Times New Roman"/>
        </w:rPr>
        <w:t>olice force</w:t>
      </w:r>
      <w:r w:rsidRPr="002A316F">
        <w:rPr>
          <w:rFonts w:ascii="Times New Roman" w:hAnsi="Times New Roman" w:cs="Times New Roman"/>
        </w:rPr>
        <w:t xml:space="preserve"> employ</w:t>
      </w:r>
      <w:r w:rsidR="008A6E40" w:rsidRPr="002A316F">
        <w:rPr>
          <w:rFonts w:ascii="Times New Roman" w:hAnsi="Times New Roman" w:cs="Times New Roman"/>
        </w:rPr>
        <w:t>s</w:t>
      </w:r>
      <w:r w:rsidRPr="002A316F">
        <w:rPr>
          <w:rFonts w:ascii="Times New Roman" w:hAnsi="Times New Roman" w:cs="Times New Roman"/>
        </w:rPr>
        <w:t xml:space="preserve"> an additive model of ACEs: where four or more experiences of ACEs are apparent, intervention is considered. This is informed by an interpretation of the epidemiological evidence that suggests the relative risk of negative outcomes to be particularly heightened when four or more ACEs are observed </w:t>
      </w:r>
      <w:r w:rsidR="00657A22" w:rsidRPr="002A316F">
        <w:rPr>
          <w:rFonts w:ascii="Times New Roman" w:hAnsi="Times New Roman" w:cs="Times New Roman"/>
        </w:rPr>
        <w:fldChar w:fldCharType="begin" w:fldLock="1"/>
      </w:r>
      <w:r w:rsidR="00D06237">
        <w:rPr>
          <w:rFonts w:ascii="Times New Roman" w:hAnsi="Times New Roman" w:cs="Times New Roman"/>
        </w:rPr>
        <w:instrText>ADDIN CSL_CITATION {"citationItems":[{"id":"ITEM-1","itemData":{"DOI":"10.1016/S2468-2667(17)30118-4","ISSN":"24682667","PMID":"29253477","abstract":"BACKGROUND A growing body of research identifies the harmful effects that adverse childhood experiences (ACEs; occurring during childhood or adolescence; eg, child maltreatment or exposure to domestic violence) have on health throughout life. Studies have quantified such effects for individual ACEs. However, ACEs frequently co-occur and no synthesis of findings from studies measuring the effect of multiple ACE types has been done. METHODS In this systematic review and meta-analysis, we searched five electronic databases for cross-sectional, case-control, or cohort studies published up to May 6, 2016, reporting risks of health outcomes, consisting of substance use, sexual health, mental health, weight and physical exercise, violence, and physical health status and conditions, associated with multiple ACEs. We selected articles that presented risk estimates for individuals with at least four ACEs compared with those with none for outcomes with sufficient data for meta-analysis (at least four populations). Included studies also focused on adults aged at least 18 years with a sample size of at least 100. We excluded studies based on high-risk or clinical populations. We extracted data from published reports. We calculated pooled odds ratios (ORs) using a random-effects model. FINDINGS Of 11 621 references identified by the search, 37 included studies provided risk estimates for 23 outcomes, with a total of 253 719 participants. Individuals with at least four ACEs were at increased risk of all health outcomes compared with individuals with no ACEs. Associations were weak or modest for physical inactivity, overweight or obesity, and diabetes (ORs of less than two); moderate for smoking, heavy alcohol use, poor self-rated health, cancer, heart disease, and respiratory disease (ORs of two to three), strong for sexual risk taking, mental ill health, and problematic alcohol use (ORs of more than three to six), and strongest for problematic drug use and interpersonal and self-directed violence (ORs of more than seven). We identified considerable heterogeneity (I2of &gt;75%) between estimates for almost half of the outcomes. INTERPRETATION To have multiple ACEs is a major risk factor for many health conditions. The outcomes most strongly associated with multiple ACEs represent ACE risks for the next generation (eg, violence, mental illness, and substance use). To sustain improvements in public health requires a shift in focus to include prevention of ACEs, resilience …","author":[{"dropping-particle":"","family":"Hughes","given":"Karen","non-dropping-particle":"","parse-names":false,"suffix":""},{"dropping-particle":"","family":"Bellis","given":"Mark A","non-dropping-particle":"","parse-names":false,"suffix":""},{"dropping-particle":"","family":"Hardcastle","given":"Katherine A","non-dropping-particle":"","parse-names":false,"suffix":""},{"dropping-particle":"","family":"Sethi","given":"Dinesh","non-dropping-particle":"","parse-names":false,"suffix":""},{"dropping-particle":"","family":"Butchart","given":"Alexander","non-dropping-particle":"","parse-names":false,"suffix":""},{"dropping-particle":"","family":"Mikton","given":"Christopher","non-dropping-particle":"","parse-names":false,"suffix":""},{"dropping-particle":"","family":"Jones","given":"Lisa","non-dropping-particle":"","parse-names":false,"suffix":""},{"dropping-particle":"","family":"Dunne","given":"Michael P","non-dropping-particle":"","parse-names":false,"suffix":""}],"container-title":"The Lancet Public Health","id":"ITEM-1","issue":"8","issued":{"date-parts":[["2017","8"]]},"page":"e356-e366","title":"The effect of multiple adverse childhood experiences on health: a systematic review and meta-analysis","type":"article-journal","volume":"2"},"uris":["http://www.mendeley.com/documents/?uuid=6b83a667-24b4-36b4-ba76-8ab3947fed9c"]}],"mendeley":{"formattedCitation":"(Hughes &lt;i&gt;et al.&lt;/i&gt;, 2017)","plainTextFormattedCitation":"(Hughes et al., 2017)","previouslyFormattedCitation":"(Hughes &lt;i&gt;et al.&lt;/i&gt;, 2017)"},"properties":{"noteIndex":0},"schema":"https://github.com/citation-style-language/schema/raw/master/csl-citation.json"}</w:instrText>
      </w:r>
      <w:r w:rsidR="00657A22" w:rsidRPr="00E30636">
        <w:rPr>
          <w:rFonts w:ascii="Times New Roman" w:hAnsi="Times New Roman" w:cs="Times New Roman"/>
        </w:rPr>
        <w:fldChar w:fldCharType="separate"/>
      </w:r>
      <w:r w:rsidR="00B313E7" w:rsidRPr="00B313E7">
        <w:rPr>
          <w:rFonts w:ascii="Times New Roman" w:hAnsi="Times New Roman" w:cs="Times New Roman"/>
          <w:noProof/>
        </w:rPr>
        <w:t xml:space="preserve">(Hughes </w:t>
      </w:r>
      <w:r w:rsidR="00B313E7" w:rsidRPr="00B313E7">
        <w:rPr>
          <w:rFonts w:ascii="Times New Roman" w:hAnsi="Times New Roman" w:cs="Times New Roman"/>
          <w:i/>
          <w:noProof/>
        </w:rPr>
        <w:t>et al.</w:t>
      </w:r>
      <w:r w:rsidR="00B313E7" w:rsidRPr="00B313E7">
        <w:rPr>
          <w:rFonts w:ascii="Times New Roman" w:hAnsi="Times New Roman" w:cs="Times New Roman"/>
          <w:noProof/>
        </w:rPr>
        <w:t>, 2017)</w:t>
      </w:r>
      <w:r w:rsidR="00657A22" w:rsidRPr="002A316F">
        <w:rPr>
          <w:rFonts w:ascii="Times New Roman" w:hAnsi="Times New Roman" w:cs="Times New Roman"/>
        </w:rPr>
        <w:fldChar w:fldCharType="end"/>
      </w:r>
      <w:r w:rsidR="00657A22" w:rsidRPr="002A316F">
        <w:rPr>
          <w:rFonts w:ascii="Times New Roman" w:hAnsi="Times New Roman" w:cs="Times New Roman"/>
        </w:rPr>
        <w:t xml:space="preserve">. </w:t>
      </w:r>
    </w:p>
    <w:p w14:paraId="0744F9B8" w14:textId="3F8EB631" w:rsidR="00240F92" w:rsidRPr="00D06237" w:rsidRDefault="00EB5D10" w:rsidP="007F779A">
      <w:pPr>
        <w:spacing w:line="480" w:lineRule="auto"/>
        <w:rPr>
          <w:rFonts w:ascii="Times New Roman" w:hAnsi="Times New Roman" w:cs="Times New Roman"/>
        </w:rPr>
      </w:pPr>
      <w:r>
        <w:rPr>
          <w:rFonts w:ascii="Times New Roman" w:hAnsi="Times New Roman" w:cs="Times New Roman"/>
        </w:rPr>
        <w:t>C</w:t>
      </w:r>
      <w:r w:rsidR="00240F92" w:rsidRPr="00B313E7">
        <w:rPr>
          <w:rFonts w:ascii="Times New Roman" w:hAnsi="Times New Roman" w:cs="Times New Roman"/>
        </w:rPr>
        <w:t>oncer</w:t>
      </w:r>
      <w:r w:rsidR="00240F92" w:rsidRPr="00D06237">
        <w:rPr>
          <w:rFonts w:ascii="Times New Roman" w:hAnsi="Times New Roman" w:cs="Times New Roman"/>
        </w:rPr>
        <w:t>ns regarding the application of population-level epidemiological research findings to decisions regarding service provision to individuals are well rehearsed</w:t>
      </w:r>
      <w:r w:rsidR="00EC154B" w:rsidRPr="00EB5D10">
        <w:rPr>
          <w:rFonts w:ascii="Times New Roman" w:hAnsi="Times New Roman" w:cs="Times New Roman"/>
        </w:rPr>
        <w:t>. These</w:t>
      </w:r>
      <w:r w:rsidR="00240F92" w:rsidRPr="00EB5D10">
        <w:rPr>
          <w:rFonts w:ascii="Times New Roman" w:hAnsi="Times New Roman" w:cs="Times New Roman"/>
        </w:rPr>
        <w:t xml:space="preserve"> includ</w:t>
      </w:r>
      <w:r w:rsidR="00EC154B" w:rsidRPr="00EB5D10">
        <w:rPr>
          <w:rFonts w:ascii="Times New Roman" w:hAnsi="Times New Roman" w:cs="Times New Roman"/>
        </w:rPr>
        <w:t>e</w:t>
      </w:r>
      <w:r w:rsidR="00240F92" w:rsidRPr="00EB5D10">
        <w:rPr>
          <w:rFonts w:ascii="Times New Roman" w:hAnsi="Times New Roman" w:cs="Times New Roman"/>
        </w:rPr>
        <w:t xml:space="preserve"> the need for caution in drawing inferences about individuals from </w:t>
      </w:r>
      <w:r w:rsidR="00EC154B" w:rsidRPr="00EB5D10">
        <w:rPr>
          <w:rFonts w:ascii="Times New Roman" w:hAnsi="Times New Roman" w:cs="Times New Roman"/>
        </w:rPr>
        <w:t>characteristics of</w:t>
      </w:r>
      <w:r w:rsidR="00240F92" w:rsidRPr="00EB5D10">
        <w:rPr>
          <w:rFonts w:ascii="Times New Roman" w:hAnsi="Times New Roman" w:cs="Times New Roman"/>
        </w:rPr>
        <w:t xml:space="preserve"> social groups to which individuals belong. In this context, a simple counting of ACEs is seen to offer little insight into the qualitative experience of trauma and adversity for the young person, including the severity or longevity of exposure – for example, being unable to distinguish between ‘one-off’ events and prolonged </w:t>
      </w:r>
      <w:r w:rsidR="00240F92" w:rsidRPr="00EB5D10">
        <w:rPr>
          <w:rFonts w:ascii="Times New Roman" w:hAnsi="Times New Roman" w:cs="Times New Roman"/>
        </w:rPr>
        <w:lastRenderedPageBreak/>
        <w:t xml:space="preserve">experiences - or the individual and family factors that might offer protection from or resilience to these experiences </w:t>
      </w:r>
      <w:r w:rsidR="00657A22" w:rsidRPr="002A316F">
        <w:rPr>
          <w:rFonts w:ascii="Times New Roman" w:hAnsi="Times New Roman" w:cs="Times New Roman"/>
        </w:rPr>
        <w:fldChar w:fldCharType="begin" w:fldLock="1"/>
      </w:r>
      <w:r w:rsidR="00D06237">
        <w:rPr>
          <w:rFonts w:ascii="Times New Roman" w:hAnsi="Times New Roman" w:cs="Times New Roman"/>
        </w:rPr>
        <w:instrText>ADDIN CSL_CITATION {"citationItems":[{"id":"ITEM-1","itemData":{"DOI":"10.1016/S0140-6736(17)31045-0","abstract":"Young people exposed to adversity often have poor health outcomes in adulthood. A large body of evidence links adverse childhood experiences (ACEs) with impaired health and social functioning in later life in a dose-response fashion, which is suggestive of a causal relationship. 1,2 Minimisation of exposure to early adversity and building of resilience in the face of such adversity are important to reduction of the burden of disease, improvement of public health, and reduction of health inequalities. In their systematic review and meta-analysis of the ACE literature in The Lancet Public Health, Karen Hughes and colleagues 3 highlight the diversity of poor health outcomes associated with childhood adversity: exposure to at least four ACEs was associated with increased odds of poor mental, physical, and sexual health; harmful substance use; violence (perpetration and victimisation); and physical inactivity. The effects of early adverse life experiences on subsequent health trajectories are evidently profound and diffuse. Just as ACE exposures tend to cluster together within disadvantaged individuals and communities, 4 so too do the poor health outcomes associated with these exposures. Both the social gradient in health and the concentration of the burden of disease in disadvantaged populations are well documented. 5,6 One particularly striking finding from Hughes and colleagues 3 is the association between multiple ACE exposures and subsequent suicide attempts (odds ratio [OR] 30·14 [95% CI 14·73-61·67]). The association between ACE exposure and self-harm-which is more prevalent than and is strongly associated with subsequent suicide 7-was not examined. Also remarkable was the consistent association between ACE exposure and poor health outcomes across settings and populations, despite marked heterogeneity in exposure definition and outcome measurement. Although most of the included studies measured a core set of ACEs, what the so-called core ACEs are is debated in the literature, 8 and the included studies also measured various other ACEs. The consistent association between exposure to at least four ACEs (versus none) and poor health outcomes, irrespective of the particular combination of ACEs, points towards a causal pathway defined by cumulative exposure to stress, trauma, and adversity, rather than specific effects of exposure to particular individual adversities. 1 Hughes and colleagues 3 also point out that the health outcomes most strongly associate…","author":[{"dropping-particle":"","family":"Kinner","given":"Stuart A","non-dropping-particle":"","parse-names":false,"suffix":""},{"dropping-particle":"","family":"Borschmann","given":"Rohan","non-dropping-particle":"","parse-names":false,"suffix":""}],"container-title":"The Lancet Public Health","id":"ITEM-1","issued":{"date-parts":[["2017"]]},"page":"e342-e343","title":"Comment Inequality and intergenerational transmission of complex adversity","type":"article-journal","volume":"2"},"uris":["http://www.mendeley.com/documents/?uuid=44371fc3-068d-3bb3-80d5-069fb347cbba"]},{"id":"ITEM-2","itemData":{"DOI":"10.1186/s12889-018-5699-8","ISSN":"1471-2458","PMID":"29940920","abstract":"BACKGROUND Adverse childhood experiences (ACEs) including maltreatment and exposure to household stressors can impact the health of children. Community factors that provide support, friendship and opportunities for development may build children's resilience and protect them against some harmful impacts of ACEs. We examine if a history of ACEs is associated with poor childhood health and school attendance and the extent to which such outcomes are counteracted by community resilience assets. METHODS A national (Wales) cross-sectional retrospective survey (n = 2452) using a stratified random probability sampling methodology and including a boost sample (n = 471) of Welsh speakers. Data collection used face-to-face interviews at participants' places of residence. Outcome measures were self-reported poor childhood health, specific conditions (asthma, allergies, headaches, digestive disorders) and school absenteeism. RESULTS Prevalence of each common childhood condition, poor childhood health and school absenteeism increased with number of ACEs reported. Childhood community resilience assets (being treated fairly, supportive childhood friends, being given opportunities to use your abilities, access to a trusted adult and having someone to look up to) were independently linked to better outcomes. In those with ≥4 ACEs the presence of all significant resilience assets (vs none) reduced adjusted prevalence of poor childhood health from 59.8 to 21.3%. CONCLUSIONS Better prevention of ACEs through the combined actions of public services may reduce levels of common childhood conditions, improve school attendance and help alleviate pressures on public services. Whilst the eradication of ACEs remains unlikely, actions to strengthen community resilience assets may partially offset their immediate harms.","author":[{"dropping-particle":"","family":"Bellis","given":"Mark A.","non-dropping-particle":"","parse-names":false,"suffix":""},{"dropping-particle":"","family":"Hughes","given":"Karen","non-dropping-particle":"","parse-names":false,"suffix":""},{"dropping-particle":"","family":"Ford","given":"Kat","non-dropping-particle":"","parse-names":false,"suffix":""},{"dropping-particle":"","family":"Hardcastle","given":"Katie A.","non-dropping-particle":"","parse-names":false,"suffix":""},{"dropping-particle":"","family":"Sharp","given":"Catherine A.","non-dropping-particle":"","parse-names":false,"suffix":""},{"dropping-particle":"","family":"Wood","given":"Sara","non-dropping-particle":"","parse-names":false,"suffix":""},{"dropping-particle":"","family":"Homolova","given":"Lucia","non-dropping-particle":"","parse-names":false,"suffix":""},{"dropping-particle":"","family":"Davies","given":"Alisha","non-dropping-particle":"","parse-names":false,"suffix":""}],"container-title":"BMC Public Health","id":"ITEM-2","issue":"1","issued":{"date-parts":[["2018","12","26"]]},"page":"792","title":"Adverse childhood experiences and sources of childhood resilience: a retrospective study of their combined relationships with child health and educational attendance","type":"article-journal","volume":"18"},"uris":["http://www.mendeley.com/documents/?uuid=e3c10ab2-c2e7-3ddb-91e9-47d17f283c6b"]},{"id":"ITEM-3","itemData":{"author":[{"dropping-particle":"","family":"Bridgewater","given":"Jessie","non-dropping-particle":"","parse-names":false,"suffix":""}],"id":"ITEM-3","issued":{"date-parts":[["2018"]]},"title":"Adverse childhood experiences and adaptive functioning","type":"thesis"},"uris":["http://www.mendeley.com/documents/?uuid=a59bdfc4-1c9c-30e8-8af5-104a4e0086a2"]},{"id":"ITEM-4","itemData":{"author":[{"dropping-particle":"","family":"Edwards","given":"Rosalind","non-dropping-particle":"","parse-names":false,"suffix":""},{"dropping-particle":"","family":"Gillies","given":"Val","non-dropping-particle":"","parse-names":false,"suffix":""},{"dropping-particle":"","family":"Lee","given":"Ellie","non-dropping-particle":"","parse-names":false,"suffix":""},{"dropping-particle":"","family":"Macvarish","given":"Jan","non-dropping-particle":"","parse-names":false,"suffix":""},{"dropping-particle":"","family":"White","given":"Susan","non-dropping-particle":"","parse-names":false,"suffix":""},{"dropping-particle":"","family":"Wastell","given":"David","non-dropping-particle":"","parse-names":false,"suffix":""}],"id":"ITEM-4","issued":{"date-parts":[["2018"]]},"title":"Written evidence based submission for the science and technology committee","type":"report"},"uris":["http://www.mendeley.com/documents/?uuid=f4d1605b-6d86-3626-8dec-fe5ab962c42b"]}],"mendeley":{"formattedCitation":"(Kinner and Borschmann, 2017; Bellis &lt;i&gt;et al.&lt;/i&gt;, 2018; Bridgewater, 2018; Edwards &lt;i&gt;et al.&lt;/i&gt;, 2018)","plainTextFormattedCitation":"(Kinner and Borschmann, 2017; Bellis et al., 2018; Bridgewater, 2018; Edwards et al., 2018)","previouslyFormattedCitation":"(Kinner and Borschmann, 2017; Bellis &lt;i&gt;et al.&lt;/i&gt;, 2018; Bridgewater, 2018; Edwards &lt;i&gt;et al.&lt;/i&gt;, 2018)"},"properties":{"noteIndex":0},"schema":"https://github.com/citation-style-language/schema/raw/master/csl-citation.json"}</w:instrText>
      </w:r>
      <w:r w:rsidR="00657A22" w:rsidRPr="00E30636">
        <w:rPr>
          <w:rFonts w:ascii="Times New Roman" w:hAnsi="Times New Roman" w:cs="Times New Roman"/>
        </w:rPr>
        <w:fldChar w:fldCharType="separate"/>
      </w:r>
      <w:r w:rsidR="00B313E7" w:rsidRPr="00B313E7">
        <w:rPr>
          <w:rFonts w:ascii="Times New Roman" w:hAnsi="Times New Roman" w:cs="Times New Roman"/>
          <w:noProof/>
        </w:rPr>
        <w:t xml:space="preserve">(Kinner and Borschmann, 2017; Bellis </w:t>
      </w:r>
      <w:r w:rsidR="00B313E7" w:rsidRPr="00B313E7">
        <w:rPr>
          <w:rFonts w:ascii="Times New Roman" w:hAnsi="Times New Roman" w:cs="Times New Roman"/>
          <w:i/>
          <w:noProof/>
        </w:rPr>
        <w:t>et al.</w:t>
      </w:r>
      <w:r w:rsidR="00B313E7" w:rsidRPr="00B313E7">
        <w:rPr>
          <w:rFonts w:ascii="Times New Roman" w:hAnsi="Times New Roman" w:cs="Times New Roman"/>
          <w:noProof/>
        </w:rPr>
        <w:t xml:space="preserve">, 2018; Bridgewater, 2018; Edwards </w:t>
      </w:r>
      <w:r w:rsidR="00B313E7" w:rsidRPr="00B313E7">
        <w:rPr>
          <w:rFonts w:ascii="Times New Roman" w:hAnsi="Times New Roman" w:cs="Times New Roman"/>
          <w:i/>
          <w:noProof/>
        </w:rPr>
        <w:t>et al.</w:t>
      </w:r>
      <w:r w:rsidR="00B313E7" w:rsidRPr="00B313E7">
        <w:rPr>
          <w:rFonts w:ascii="Times New Roman" w:hAnsi="Times New Roman" w:cs="Times New Roman"/>
          <w:noProof/>
        </w:rPr>
        <w:t>, 2018)</w:t>
      </w:r>
      <w:r w:rsidR="00657A22" w:rsidRPr="002A316F">
        <w:rPr>
          <w:rFonts w:ascii="Times New Roman" w:hAnsi="Times New Roman" w:cs="Times New Roman"/>
        </w:rPr>
        <w:fldChar w:fldCharType="end"/>
      </w:r>
      <w:r w:rsidR="003B689B" w:rsidRPr="002A316F">
        <w:rPr>
          <w:rFonts w:ascii="Times New Roman" w:hAnsi="Times New Roman" w:cs="Times New Roman"/>
        </w:rPr>
        <w:t xml:space="preserve">. In addition, the areas where there is limited information in police systems e.g. </w:t>
      </w:r>
      <w:r w:rsidR="00EC154B" w:rsidRPr="002A316F">
        <w:rPr>
          <w:rFonts w:ascii="Times New Roman" w:hAnsi="Times New Roman" w:cs="Times New Roman"/>
        </w:rPr>
        <w:t xml:space="preserve">concerning </w:t>
      </w:r>
      <w:r w:rsidR="003B689B" w:rsidRPr="00B313E7">
        <w:rPr>
          <w:rFonts w:ascii="Times New Roman" w:hAnsi="Times New Roman" w:cs="Times New Roman"/>
        </w:rPr>
        <w:t>lone parents or socio-economic status, their effects m</w:t>
      </w:r>
      <w:r w:rsidR="00EC154B" w:rsidRPr="00B313E7">
        <w:rPr>
          <w:rFonts w:ascii="Times New Roman" w:hAnsi="Times New Roman" w:cs="Times New Roman"/>
        </w:rPr>
        <w:t>a</w:t>
      </w:r>
      <w:r w:rsidR="003B689B" w:rsidRPr="00D06237">
        <w:rPr>
          <w:rFonts w:ascii="Times New Roman" w:hAnsi="Times New Roman" w:cs="Times New Roman"/>
        </w:rPr>
        <w:t xml:space="preserve">y demonstrative a multiplicative effect on negative outcomes rather than just purely additive. </w:t>
      </w:r>
    </w:p>
    <w:p w14:paraId="7C2CBBEA" w14:textId="77777777" w:rsidR="00240F92" w:rsidRPr="00EB5D10" w:rsidRDefault="00240F92" w:rsidP="007F779A">
      <w:pPr>
        <w:spacing w:line="480" w:lineRule="auto"/>
        <w:rPr>
          <w:rFonts w:ascii="Times New Roman" w:hAnsi="Times New Roman" w:cs="Times New Roman"/>
        </w:rPr>
      </w:pPr>
    </w:p>
    <w:p w14:paraId="5B32096D" w14:textId="60F03FC1" w:rsidR="00240F92" w:rsidRPr="001473C6" w:rsidRDefault="00240F92" w:rsidP="007F779A">
      <w:pPr>
        <w:spacing w:line="480" w:lineRule="auto"/>
        <w:rPr>
          <w:rFonts w:ascii="Times New Roman" w:hAnsi="Times New Roman" w:cs="Times New Roman"/>
        </w:rPr>
      </w:pPr>
      <w:r w:rsidRPr="00EB5D10">
        <w:rPr>
          <w:rFonts w:ascii="Times New Roman" w:hAnsi="Times New Roman" w:cs="Times New Roman"/>
        </w:rPr>
        <w:t>In contrast to the underpinning research</w:t>
      </w:r>
      <w:r w:rsidR="00B477BD" w:rsidRPr="00EB5D10">
        <w:rPr>
          <w:rFonts w:ascii="Times New Roman" w:hAnsi="Times New Roman" w:cs="Times New Roman"/>
        </w:rPr>
        <w:t xml:space="preserve"> </w:t>
      </w:r>
      <w:r w:rsidR="00B477BD" w:rsidRPr="002A316F">
        <w:rPr>
          <w:rFonts w:ascii="Times New Roman" w:hAnsi="Times New Roman" w:cs="Times New Roman"/>
        </w:rPr>
        <w:fldChar w:fldCharType="begin" w:fldLock="1"/>
      </w:r>
      <w:r w:rsidR="00D06237">
        <w:rPr>
          <w:rFonts w:ascii="Times New Roman" w:hAnsi="Times New Roman" w:cs="Times New Roman"/>
        </w:rPr>
        <w:instrText>ADDIN CSL_CITATION {"citationItems":[{"id":"ITEM-1","itemData":{"ISSN":"0749-3797","PMID":"9635069","abstract":"BACKGROUND The relationship of health risk behavior and disease in adulthood to the breadth of exposure to childhood emotional, physical, or sexual abuse, and household dysfunction during childhood has not previously been described. METHODS A questionnaire about adverse childhood experiences was mailed to 13,494 adults who had completed a standardized medical evaluation at a large HMO; 9,508 (70.5%) responded. Seven categories of adverse childhood experiences were studied: psychological, physical, or sexual abuse; violence against mother; or living with household members who were substance abusers, mentally ill or suicidal, or ever imprisoned. The number of categories of these adverse childhood experiences was then compared to measures of adult risk behavior, health status, and disease. Logistic regression was used to adjust for effects of demographic factors on the association between the cumulative number of categories of childhood exposures (range: 0-7) and risk factors for the leading causes of death in adult life. RESULTS More than half of respondents reported at least one, and one-fourth reported &gt; or = 2 categories of childhood exposures. We found a graded relationship between the number of categories of childhood exposure and each of the adult health risk behaviors and diseases that were studied (P &lt; .001). Persons who had experienced four or more categories of childhood exposure, compared to those who had experienced none, had 4- to 12-fold increased health risks for alcoholism, drug abuse, depression, and suicide attempt; a 2- to 4-fold increase in smoking, poor self-rated health, &gt; or = 50 sexual intercourse partners, and sexually transmitted disease; and 1.4- to 1.6-fold increase in physical inactivity and severe obesity. The number of categories of adverse childhood exposures showed a graded relationship to the presence of adult diseases including ischemic heart disease, cancer, chronic lung disease, skeletal fractures, and liver disease. The seven categories of adverse childhood experiences were strongly interrelated and persons with multiple categories of childhood exposure were likely to have multiple health risk factors later in life. CONCLUSIONS We found a strong graded relationship between the breadth of exposure to abuse or household dysfunction during childhood and multiple risk factors for several of the leading causes of death in adults.","author":[{"dropping-particle":"","family":"Felitti","given":"V J","non-dropping-particle":"","parse-names":false,"suffix":""},{"dropping-particle":"","family":"Anda","given":"R F","non-dropping-particle":"","parse-names":false,"suffix":""},{"dropping-particle":"","family":"Nordenberg","given":"D","non-dropping-particle":"","parse-names":false,"suffix":""},{"dropping-particle":"","family":"Williamson","given":"D F","non-dropping-particle":"","parse-names":false,"suffix":""},{"dropping-particle":"","family":"Spitz","given":"A M","non-dropping-particle":"","parse-names":false,"suffix":""},{"dropping-particle":"","family":"Edwards","given":"V","non-dropping-particle":"","parse-names":false,"suffix":""},{"dropping-particle":"","family":"Koss","given":"M P","non-dropping-particle":"","parse-names":false,"suffix":""},{"dropping-particle":"","family":"Marks","given":"J S","non-dropping-particle":"","parse-names":false,"suffix":""}],"container-title":"American journal of preventive medicine","id":"ITEM-1","issue":"4","issued":{"date-parts":[["1998","5"]]},"page":"245-58","title":"Relationship of childhood abuse and household dysfunction to many of the leading causes of death in adults. The Adverse Childhood Experiences (ACE) Study.","type":"article-journal","volume":"14"},"uris":["http://www.mendeley.com/documents/?uuid=884c835d-f00b-3b18-b7c1-6c49b61bc27a"]}],"mendeley":{"formattedCitation":"(Felitti &lt;i&gt;et al.&lt;/i&gt;, 1998)","plainTextFormattedCitation":"(Felitti et al., 1998)","previouslyFormattedCitation":"(Felitti &lt;i&gt;et al.&lt;/i&gt;, 1998)"},"properties":{"noteIndex":0},"schema":"https://github.com/citation-style-language/schema/raw/master/csl-citation.json"}</w:instrText>
      </w:r>
      <w:r w:rsidR="00B477BD" w:rsidRPr="00E30636">
        <w:rPr>
          <w:rFonts w:ascii="Times New Roman" w:hAnsi="Times New Roman" w:cs="Times New Roman"/>
        </w:rPr>
        <w:fldChar w:fldCharType="separate"/>
      </w:r>
      <w:r w:rsidR="00B313E7" w:rsidRPr="00B313E7">
        <w:rPr>
          <w:rFonts w:ascii="Times New Roman" w:hAnsi="Times New Roman" w:cs="Times New Roman"/>
          <w:noProof/>
        </w:rPr>
        <w:t xml:space="preserve">(Felitti </w:t>
      </w:r>
      <w:r w:rsidR="00B313E7" w:rsidRPr="00B313E7">
        <w:rPr>
          <w:rFonts w:ascii="Times New Roman" w:hAnsi="Times New Roman" w:cs="Times New Roman"/>
          <w:i/>
          <w:noProof/>
        </w:rPr>
        <w:t>et al.</w:t>
      </w:r>
      <w:r w:rsidR="00B313E7" w:rsidRPr="00B313E7">
        <w:rPr>
          <w:rFonts w:ascii="Times New Roman" w:hAnsi="Times New Roman" w:cs="Times New Roman"/>
          <w:noProof/>
        </w:rPr>
        <w:t>, 1998)</w:t>
      </w:r>
      <w:r w:rsidR="00B477BD" w:rsidRPr="002A316F">
        <w:rPr>
          <w:rFonts w:ascii="Times New Roman" w:hAnsi="Times New Roman" w:cs="Times New Roman"/>
        </w:rPr>
        <w:fldChar w:fldCharType="end"/>
      </w:r>
      <w:r w:rsidRPr="002A316F">
        <w:rPr>
          <w:rFonts w:ascii="Times New Roman" w:hAnsi="Times New Roman" w:cs="Times New Roman"/>
        </w:rPr>
        <w:t xml:space="preserve">, </w:t>
      </w:r>
      <w:r w:rsidR="003B689B" w:rsidRPr="002A316F">
        <w:rPr>
          <w:rFonts w:ascii="Times New Roman" w:hAnsi="Times New Roman" w:cs="Times New Roman"/>
        </w:rPr>
        <w:t xml:space="preserve">this police force </w:t>
      </w:r>
      <w:r w:rsidRPr="002A316F">
        <w:rPr>
          <w:rFonts w:ascii="Times New Roman" w:hAnsi="Times New Roman" w:cs="Times New Roman"/>
        </w:rPr>
        <w:t>ha</w:t>
      </w:r>
      <w:r w:rsidR="00D119F3">
        <w:rPr>
          <w:rFonts w:ascii="Times New Roman" w:hAnsi="Times New Roman" w:cs="Times New Roman"/>
        </w:rPr>
        <w:t>s</w:t>
      </w:r>
      <w:r w:rsidRPr="002A316F">
        <w:rPr>
          <w:rFonts w:ascii="Times New Roman" w:hAnsi="Times New Roman" w:cs="Times New Roman"/>
        </w:rPr>
        <w:t xml:space="preserve"> chosen to allow the same specific ACE to be counted multiple times, rather than requiring four distinct experiences. This goes some way to address concerns reg</w:t>
      </w:r>
      <w:r w:rsidRPr="00B313E7">
        <w:rPr>
          <w:rFonts w:ascii="Times New Roman" w:hAnsi="Times New Roman" w:cs="Times New Roman"/>
        </w:rPr>
        <w:t xml:space="preserve">arding the limitations of the ACEs framework in understanding the duration of a particular experience, though </w:t>
      </w:r>
      <w:r w:rsidR="00196AEC" w:rsidRPr="00D06237">
        <w:rPr>
          <w:rFonts w:ascii="Times New Roman" w:hAnsi="Times New Roman" w:cs="Times New Roman"/>
        </w:rPr>
        <w:t xml:space="preserve">this </w:t>
      </w:r>
      <w:r w:rsidRPr="00D06237">
        <w:rPr>
          <w:rFonts w:ascii="Times New Roman" w:hAnsi="Times New Roman" w:cs="Times New Roman"/>
        </w:rPr>
        <w:t>decouples the initiative from its purported evidence base. Furthermore, it still serves to simplify the experience into a dichotomous variabl</w:t>
      </w:r>
      <w:r w:rsidRPr="00EB5D10">
        <w:rPr>
          <w:rFonts w:ascii="Times New Roman" w:hAnsi="Times New Roman" w:cs="Times New Roman"/>
        </w:rPr>
        <w:t xml:space="preserve">e, with no automatic consideration to the qualitative complexity of experience, including the resilience and resource within a family to respond to such adversity. </w:t>
      </w:r>
    </w:p>
    <w:p w14:paraId="29A07989" w14:textId="77777777" w:rsidR="00240F92" w:rsidRPr="002A316F" w:rsidRDefault="00240F92" w:rsidP="007F779A">
      <w:pPr>
        <w:spacing w:line="480" w:lineRule="auto"/>
        <w:rPr>
          <w:rFonts w:ascii="Times New Roman" w:hAnsi="Times New Roman" w:cs="Times New Roman"/>
        </w:rPr>
      </w:pPr>
    </w:p>
    <w:p w14:paraId="0C633592" w14:textId="01C5BC9D" w:rsidR="00240F92" w:rsidRPr="002A316F" w:rsidRDefault="00240F92" w:rsidP="007F779A">
      <w:pPr>
        <w:spacing w:line="480" w:lineRule="auto"/>
        <w:rPr>
          <w:rFonts w:ascii="Times New Roman" w:hAnsi="Times New Roman" w:cs="Times New Roman"/>
        </w:rPr>
      </w:pPr>
      <w:r w:rsidRPr="002A316F">
        <w:rPr>
          <w:rFonts w:ascii="Times New Roman" w:hAnsi="Times New Roman" w:cs="Times New Roman"/>
        </w:rPr>
        <w:t xml:space="preserve">In recognition of the limitations in the reliance on police data and the ACEs framework, NPOs were encouraged to investigate a family identified by the TIPT process, including by engaging other statutory services who could provide a more holistic understanding of the needs of the young person, potentially including the identification of other ACEs. This process was not </w:t>
      </w:r>
      <w:r w:rsidR="00393130" w:rsidRPr="002A316F">
        <w:rPr>
          <w:rFonts w:ascii="Times New Roman" w:hAnsi="Times New Roman" w:cs="Times New Roman"/>
        </w:rPr>
        <w:t>formalized</w:t>
      </w:r>
      <w:r w:rsidRPr="002A316F">
        <w:rPr>
          <w:rFonts w:ascii="Times New Roman" w:hAnsi="Times New Roman" w:cs="Times New Roman"/>
        </w:rPr>
        <w:t xml:space="preserve"> or prescribed. The lack of a framework for assessing a young person beyond the identification of ACEs places significant emphasis on the ability of NPOs to understand, interpret and respond to complex situations of adversity within often very challenging family contexts. It is also clearly result</w:t>
      </w:r>
      <w:r w:rsidR="00EC154B" w:rsidRPr="002A316F">
        <w:rPr>
          <w:rFonts w:ascii="Times New Roman" w:hAnsi="Times New Roman" w:cs="Times New Roman"/>
        </w:rPr>
        <w:t>s</w:t>
      </w:r>
      <w:r w:rsidRPr="002A316F">
        <w:rPr>
          <w:rFonts w:ascii="Times New Roman" w:hAnsi="Times New Roman" w:cs="Times New Roman"/>
        </w:rPr>
        <w:t xml:space="preserve"> in inconsistent </w:t>
      </w:r>
      <w:r w:rsidRPr="002A316F">
        <w:rPr>
          <w:rFonts w:ascii="Times New Roman" w:hAnsi="Times New Roman" w:cs="Times New Roman"/>
        </w:rPr>
        <w:lastRenderedPageBreak/>
        <w:t xml:space="preserve">levels of engagement with and participation of the young person and their family in considering the appropriate response and support that is needed. </w:t>
      </w:r>
    </w:p>
    <w:p w14:paraId="550AC960" w14:textId="77777777" w:rsidR="00240F92" w:rsidRPr="002A316F" w:rsidRDefault="00240F92" w:rsidP="007F779A">
      <w:pPr>
        <w:spacing w:line="480" w:lineRule="auto"/>
        <w:rPr>
          <w:rFonts w:ascii="Times New Roman" w:hAnsi="Times New Roman" w:cs="Times New Roman"/>
        </w:rPr>
      </w:pPr>
    </w:p>
    <w:p w14:paraId="72C023EE" w14:textId="327F6B2C" w:rsidR="003B689B" w:rsidRPr="002A316F" w:rsidRDefault="00240F92" w:rsidP="007F779A">
      <w:pPr>
        <w:spacing w:line="480" w:lineRule="auto"/>
        <w:rPr>
          <w:rFonts w:ascii="Times New Roman" w:hAnsi="Times New Roman" w:cs="Times New Roman"/>
        </w:rPr>
      </w:pPr>
      <w:r w:rsidRPr="002A316F">
        <w:rPr>
          <w:rFonts w:ascii="Times New Roman" w:hAnsi="Times New Roman" w:cs="Times New Roman"/>
        </w:rPr>
        <w:t xml:space="preserve">Despite a general agreement and shared understanding among those implementing the scheme of the </w:t>
      </w:r>
      <w:r w:rsidR="00EC154B" w:rsidRPr="002A316F">
        <w:rPr>
          <w:rFonts w:ascii="Times New Roman" w:hAnsi="Times New Roman" w:cs="Times New Roman"/>
        </w:rPr>
        <w:t xml:space="preserve">overall </w:t>
      </w:r>
      <w:r w:rsidRPr="002A316F">
        <w:rPr>
          <w:rFonts w:ascii="Times New Roman" w:hAnsi="Times New Roman" w:cs="Times New Roman"/>
        </w:rPr>
        <w:t>purpose in offering early support to young people in adversity, there was a lack of clarity as to its specific aims</w:t>
      </w:r>
      <w:r w:rsidR="003B689B" w:rsidRPr="002A316F">
        <w:rPr>
          <w:rFonts w:ascii="Times New Roman" w:hAnsi="Times New Roman" w:cs="Times New Roman"/>
        </w:rPr>
        <w:t xml:space="preserve"> and particular to the scheme</w:t>
      </w:r>
      <w:r w:rsidR="00EC154B" w:rsidRPr="002A316F">
        <w:rPr>
          <w:rFonts w:ascii="Times New Roman" w:hAnsi="Times New Roman" w:cs="Times New Roman"/>
        </w:rPr>
        <w:t>’</w:t>
      </w:r>
      <w:r w:rsidR="003B689B" w:rsidRPr="002A316F">
        <w:rPr>
          <w:rFonts w:ascii="Times New Roman" w:hAnsi="Times New Roman" w:cs="Times New Roman"/>
        </w:rPr>
        <w:t>s definition of success</w:t>
      </w:r>
      <w:r w:rsidRPr="002A316F">
        <w:rPr>
          <w:rFonts w:ascii="Times New Roman" w:hAnsi="Times New Roman" w:cs="Times New Roman"/>
        </w:rPr>
        <w:t xml:space="preserve">. Most commonly the scheme is presented (implicitly or explicitly) as intended to prevent future criminality among young people who have been identified as at higher risk due to adversity in childhood. This reflects the primary focus and professional discourse of serving police officers regarding crime </w:t>
      </w:r>
      <w:r w:rsidR="003B689B" w:rsidRPr="002A316F">
        <w:rPr>
          <w:rFonts w:ascii="Times New Roman" w:hAnsi="Times New Roman" w:cs="Times New Roman"/>
        </w:rPr>
        <w:t>reduction but</w:t>
      </w:r>
      <w:r w:rsidR="00CD7C93" w:rsidRPr="002A316F">
        <w:rPr>
          <w:rFonts w:ascii="Times New Roman" w:hAnsi="Times New Roman" w:cs="Times New Roman"/>
        </w:rPr>
        <w:t xml:space="preserve"> </w:t>
      </w:r>
      <w:r w:rsidRPr="002A316F">
        <w:rPr>
          <w:rFonts w:ascii="Times New Roman" w:hAnsi="Times New Roman" w:cs="Times New Roman"/>
        </w:rPr>
        <w:t xml:space="preserve">represents a narrow view of the evidence base regarding long-term outcomes following early adversity. </w:t>
      </w:r>
      <w:r w:rsidR="003B689B" w:rsidRPr="002A316F">
        <w:rPr>
          <w:rFonts w:ascii="Times New Roman" w:hAnsi="Times New Roman" w:cs="Times New Roman"/>
        </w:rPr>
        <w:t>These aims do not encapsulate the opportunities the scheme provides in terms of addressing the parallel risk of victimization to crime and the broader public services agenda highlighted by addressing ACEs to improve educational disengagement, and poor physical or mental health.</w:t>
      </w:r>
    </w:p>
    <w:p w14:paraId="33E5A33A" w14:textId="77777777" w:rsidR="00240F92" w:rsidRPr="002A316F" w:rsidRDefault="00240F92" w:rsidP="007F779A">
      <w:pPr>
        <w:spacing w:line="480" w:lineRule="auto"/>
        <w:rPr>
          <w:rFonts w:ascii="Times New Roman" w:hAnsi="Times New Roman" w:cs="Times New Roman"/>
        </w:rPr>
      </w:pPr>
    </w:p>
    <w:p w14:paraId="0BB3C655" w14:textId="05E2CD89" w:rsidR="00240F92" w:rsidRPr="002A316F" w:rsidRDefault="00240F92" w:rsidP="007F779A">
      <w:pPr>
        <w:spacing w:line="480" w:lineRule="auto"/>
        <w:rPr>
          <w:rFonts w:ascii="Times New Roman" w:hAnsi="Times New Roman" w:cs="Times New Roman"/>
        </w:rPr>
      </w:pPr>
      <w:r w:rsidRPr="002A316F">
        <w:rPr>
          <w:rFonts w:ascii="Times New Roman" w:hAnsi="Times New Roman" w:cs="Times New Roman"/>
        </w:rPr>
        <w:t xml:space="preserve">The lack of clarity or shared understanding regarding the aims of the scheme calls into question the </w:t>
      </w:r>
      <w:r w:rsidR="007D40BC" w:rsidRPr="002A316F">
        <w:rPr>
          <w:rFonts w:ascii="Times New Roman" w:hAnsi="Times New Roman" w:cs="Times New Roman"/>
        </w:rPr>
        <w:t xml:space="preserve">appropriateness </w:t>
      </w:r>
      <w:r w:rsidRPr="002A316F">
        <w:rPr>
          <w:rFonts w:ascii="Times New Roman" w:hAnsi="Times New Roman" w:cs="Times New Roman"/>
        </w:rPr>
        <w:t xml:space="preserve">of the subsequent intervention that is therefore put into place. Put simply, an intervention intended to prevent criminality might look very different to one intended to prevent </w:t>
      </w:r>
      <w:r w:rsidR="00E51F00" w:rsidRPr="002A316F">
        <w:rPr>
          <w:rFonts w:ascii="Times New Roman" w:hAnsi="Times New Roman" w:cs="Times New Roman"/>
        </w:rPr>
        <w:t>victimization</w:t>
      </w:r>
      <w:r w:rsidRPr="002A316F">
        <w:rPr>
          <w:rFonts w:ascii="Times New Roman" w:hAnsi="Times New Roman" w:cs="Times New Roman"/>
        </w:rPr>
        <w:t xml:space="preserve">. However, the rationale for specific approaches to intervention were typically poorly described and determined by the individual’s or team’s thinking and professional approach, rather than any known evidence base. Whilst initial identification was determined through a consistent approach across the police force area (even if open to dispute), the subsequent </w:t>
      </w:r>
      <w:r w:rsidRPr="002A316F">
        <w:rPr>
          <w:rFonts w:ascii="Times New Roman" w:hAnsi="Times New Roman" w:cs="Times New Roman"/>
        </w:rPr>
        <w:lastRenderedPageBreak/>
        <w:t xml:space="preserve">determination of intervention appeared to vary greatly. The scheme is predicated on a </w:t>
      </w:r>
      <w:r w:rsidR="00E51F00" w:rsidRPr="002A316F">
        <w:rPr>
          <w:rFonts w:ascii="Times New Roman" w:hAnsi="Times New Roman" w:cs="Times New Roman"/>
        </w:rPr>
        <w:t>generalized</w:t>
      </w:r>
      <w:r w:rsidRPr="002A316F">
        <w:rPr>
          <w:rFonts w:ascii="Times New Roman" w:hAnsi="Times New Roman" w:cs="Times New Roman"/>
        </w:rPr>
        <w:t xml:space="preserve"> model of elevated risk of negative outcomes, rather than an understanding of the specific mechanisms by which specific experiences of adversity might influence future </w:t>
      </w:r>
      <w:r w:rsidR="00E51F00" w:rsidRPr="002A316F">
        <w:rPr>
          <w:rFonts w:ascii="Times New Roman" w:hAnsi="Times New Roman" w:cs="Times New Roman"/>
        </w:rPr>
        <w:t>behavio</w:t>
      </w:r>
      <w:r w:rsidR="00336B91" w:rsidRPr="002A316F">
        <w:rPr>
          <w:rFonts w:ascii="Times New Roman" w:hAnsi="Times New Roman" w:cs="Times New Roman"/>
        </w:rPr>
        <w:t>u</w:t>
      </w:r>
      <w:r w:rsidR="00E51F00" w:rsidRPr="002A316F">
        <w:rPr>
          <w:rFonts w:ascii="Times New Roman" w:hAnsi="Times New Roman" w:cs="Times New Roman"/>
        </w:rPr>
        <w:t>r</w:t>
      </w:r>
      <w:r w:rsidRPr="002A316F">
        <w:rPr>
          <w:rFonts w:ascii="Times New Roman" w:hAnsi="Times New Roman" w:cs="Times New Roman"/>
        </w:rPr>
        <w:t>, including expressions of criminality, or indeed other negative outcomes to be prevented</w:t>
      </w:r>
      <w:r w:rsidR="00657A22" w:rsidRPr="002A316F">
        <w:rPr>
          <w:rFonts w:ascii="Times New Roman" w:hAnsi="Times New Roman" w:cs="Times New Roman"/>
        </w:rPr>
        <w:t xml:space="preserve"> </w:t>
      </w:r>
      <w:r w:rsidR="00E51F00" w:rsidRPr="002A316F">
        <w:rPr>
          <w:rFonts w:ascii="Times New Roman" w:hAnsi="Times New Roman" w:cs="Times New Roman"/>
        </w:rPr>
        <w:fldChar w:fldCharType="begin" w:fldLock="1"/>
      </w:r>
      <w:r w:rsidR="00D06237">
        <w:rPr>
          <w:rFonts w:ascii="Times New Roman" w:hAnsi="Times New Roman" w:cs="Times New Roman"/>
        </w:rPr>
        <w:instrText>ADDIN CSL_CITATION {"citationItems":[{"id":"ITEM-1","itemData":{"DOI":"10.1016/S0140-6736(17)31045-0","abstract":"Young people exposed to adversity often have poor health outcomes in adulthood. A large body of evidence links adverse childhood experiences (ACEs) with impaired health and social functioning in later life in a dose-response fashion, which is suggestive of a causal relationship. 1,2 Minimisation of exposure to early adversity and building of resilience in the face of such adversity are important to reduction of the burden of disease, improvement of public health, and reduction of health inequalities. In their systematic review and meta-analysis of the ACE literature in The Lancet Public Health, Karen Hughes and colleagues 3 highlight the diversity of poor health outcomes associated with childhood adversity: exposure to at least four ACEs was associated with increased odds of poor mental, physical, and sexual health; harmful substance use; violence (perpetration and victimisation); and physical inactivity. The effects of early adverse life experiences on subsequent health trajectories are evidently profound and diffuse. Just as ACE exposures tend to cluster together within disadvantaged individuals and communities, 4 so too do the poor health outcomes associated with these exposures. Both the social gradient in health and the concentration of the burden of disease in disadvantaged populations are well documented. 5,6 One particularly striking finding from Hughes and colleagues 3 is the association between multiple ACE exposures and subsequent suicide attempts (odds ratio [OR] 30·14 [95% CI 14·73-61·67]). The association between ACE exposure and self-harm-which is more prevalent than and is strongly associated with subsequent suicide 7-was not examined. Also remarkable was the consistent association between ACE exposure and poor health outcomes across settings and populations, despite marked heterogeneity in exposure definition and outcome measurement. Although most of the included studies measured a core set of ACEs, what the so-called core ACEs are is debated in the literature, 8 and the included studies also measured various other ACEs. The consistent association between exposure to at least four ACEs (versus none) and poor health outcomes, irrespective of the particular combination of ACEs, points towards a causal pathway defined by cumulative exposure to stress, trauma, and adversity, rather than specific effects of exposure to particular individual adversities. 1 Hughes and colleagues 3 also point out that the health outcomes most strongly associate…","author":[{"dropping-particle":"","family":"Kinner","given":"Stuart A","non-dropping-particle":"","parse-names":false,"suffix":""},{"dropping-particle":"","family":"Borschmann","given":"Rohan","non-dropping-particle":"","parse-names":false,"suffix":""}],"container-title":"The Lancet Public Health","id":"ITEM-1","issued":{"date-parts":[["2017"]]},"page":"e342-e343","title":"Comment Inequality and intergenerational transmission of complex adversity","type":"article-journal","volume":"2"},"uris":["http://www.mendeley.com/documents/?uuid=44371fc3-068d-3bb3-80d5-069fb347cbba"]},{"id":"ITEM-2","itemData":{"DOI":"10.1016/S2468-2667(18)30094-X","ISSN":"2468-2667","PMID":"29776799","author":[{"dropping-particle":"","family":"Taylor-Robinson","given":"David C","non-dropping-particle":"","parse-names":false,"suffix":""},{"dropping-particle":"","family":"Straatmann","given":"Viviane S","non-dropping-particle":"","parse-names":false,"suffix":""},{"dropping-particle":"","family":"Whitehead","given":"Margaret","non-dropping-particle":"","parse-names":false,"suffix":""}],"container-title":"The Lancet. Public health","id":"ITEM-2","issue":"6","issued":{"date-parts":[["2018","6","1"]]},"page":"e262-e263","publisher":"Elsevier","title":"Adverse childhood experiences or adverse childhood socioeconomic conditions?","type":"article-journal","volume":"3"},"uris":["http://www.mendeley.com/documents/?uuid=d14918c7-6ce4-3586-8693-18dcde72df98"]},{"id":"ITEM-3","itemData":{"DOI":"10.1016/J.CHIABU.2017.11.012","ISSN":"0145-2134","abstract":"Childhood adversity is associated with a wide range of detrimental psychological consequences. This study examined the mediating role of relationship-specific attachment (avoidance and anxiety) in the associations between childhood adversity and both psychological distress and subjective well-being. University students (N=190) across the Republic of Ireland completed self-report measures including the Adverse Childhood Experiences scale, Experiences in Close Relationships − Relationship Structures scale, Depression Anxiety and Stress scales and measures of subjective well-being. One hundred and twenty-eight participants (67.4%) reported experiencing at least one adverse childhood experience. Childhood adversity was associated with symptoms of psychological distress and subjective well-being. All such associations were mediated by certain relationship-specific attachment dimensions. Of these, attachment anxiety in general relationships was the most prominent mediator for both psychological distress and subjective well-being. Attachment to one’s father and to one’s romantic partner did not mediate any association. These findings indicate that attachment, in particular relationships, is an important factor in the associations between childhood adversity and both psychological distress and subjective well-being as an adult. One’s attachment anxiety in general relationships is particularly important in these associations. Therapeutic interventions addressing these attachment domains may offset the detrimental effects of childhood adversity. Future research is required using a longitudinal design.","author":[{"dropping-particle":"","family":"Corcoran","given":"Mark","non-dropping-particle":"","parse-names":false,"suffix":""},{"dropping-particle":"","family":"McNulty","given":"Muireann","non-dropping-particle":"","parse-names":false,"suffix":""}],"container-title":"Child Abuse &amp; Neglect","id":"ITEM-3","issued":{"date-parts":[["2018","2","1"]]},"page":"297-309","publisher":"Pergamon","title":"Examining the role of attachment in the relationship between childhood adversity, psychological distress and subjective well-being","type":"article-journal","volume":"76"},"uris":["http://www.mendeley.com/documents/?uuid=91ffe7d8-c7a8-3fb1-b29b-159c4aafe672"]}],"mendeley":{"formattedCitation":"(Kinner and Borschmann, 2017; Corcoran and McNulty, 2018; Taylor-Robinson, Straatmann and Whitehead, 2018)","plainTextFormattedCitation":"(Kinner and Borschmann, 2017; Corcoran and McNulty, 2018; Taylor-Robinson, Straatmann and Whitehead, 2018)","previouslyFormattedCitation":"(Kinner and Borschmann, 2017; Corcoran and McNulty, 2018; Taylor-Robinson, Straatmann and Whitehead, 2018)"},"properties":{"noteIndex":0},"schema":"https://github.com/citation-style-language/schema/raw/master/csl-citation.json"}</w:instrText>
      </w:r>
      <w:r w:rsidR="00E51F00" w:rsidRPr="00E30636">
        <w:rPr>
          <w:rFonts w:ascii="Times New Roman" w:hAnsi="Times New Roman" w:cs="Times New Roman"/>
        </w:rPr>
        <w:fldChar w:fldCharType="separate"/>
      </w:r>
      <w:r w:rsidR="00B313E7" w:rsidRPr="00B313E7">
        <w:rPr>
          <w:rFonts w:ascii="Times New Roman" w:hAnsi="Times New Roman" w:cs="Times New Roman"/>
          <w:noProof/>
        </w:rPr>
        <w:t>(Kinner and Borschmann, 2017; Corcoran and McNulty, 2018; Taylor-Robinson, Straatmann and Whitehead, 2018)</w:t>
      </w:r>
      <w:r w:rsidR="00E51F00" w:rsidRPr="002A316F">
        <w:rPr>
          <w:rFonts w:ascii="Times New Roman" w:hAnsi="Times New Roman" w:cs="Times New Roman"/>
        </w:rPr>
        <w:fldChar w:fldCharType="end"/>
      </w:r>
      <w:r w:rsidRPr="002A316F">
        <w:rPr>
          <w:rFonts w:ascii="Times New Roman" w:hAnsi="Times New Roman" w:cs="Times New Roman"/>
        </w:rPr>
        <w:t xml:space="preserve">. </w:t>
      </w:r>
    </w:p>
    <w:p w14:paraId="0ACC71B1" w14:textId="77777777" w:rsidR="00240F92" w:rsidRPr="00B313E7" w:rsidRDefault="00240F92" w:rsidP="007F779A">
      <w:pPr>
        <w:spacing w:line="480" w:lineRule="auto"/>
        <w:rPr>
          <w:rFonts w:ascii="Times New Roman" w:hAnsi="Times New Roman" w:cs="Times New Roman"/>
        </w:rPr>
      </w:pPr>
    </w:p>
    <w:p w14:paraId="6032395D" w14:textId="1ED42E7E" w:rsidR="00240F92" w:rsidRPr="00B313E7" w:rsidRDefault="00240F92" w:rsidP="007F779A">
      <w:pPr>
        <w:spacing w:line="480" w:lineRule="auto"/>
        <w:rPr>
          <w:rFonts w:ascii="Times New Roman" w:hAnsi="Times New Roman" w:cs="Times New Roman"/>
        </w:rPr>
      </w:pPr>
      <w:r w:rsidRPr="00D06237">
        <w:rPr>
          <w:rFonts w:ascii="Times New Roman" w:hAnsi="Times New Roman" w:cs="Times New Roman"/>
        </w:rPr>
        <w:t xml:space="preserve">The use of the ACEs framework, and the evidence base that underpins it, is therefore of limited value to NPOs in determining intervention. Indeed, as has been highlighted elsewhere </w:t>
      </w:r>
      <w:r w:rsidR="00F510EA" w:rsidRPr="002A316F">
        <w:rPr>
          <w:rFonts w:ascii="Times New Roman" w:hAnsi="Times New Roman" w:cs="Times New Roman"/>
        </w:rPr>
        <w:fldChar w:fldCharType="begin" w:fldLock="1"/>
      </w:r>
      <w:r w:rsidR="00D06237">
        <w:rPr>
          <w:rFonts w:ascii="Times New Roman" w:hAnsi="Times New Roman" w:cs="Times New Roman"/>
        </w:rPr>
        <w:instrText>ADDIN CSL_CITATION {"citationItems":[{"id":"ITEM-1","itemData":{"author":[{"dropping-particle":"","family":"Early Intervention Foundation","given":"","non-dropping-particle":"","parse-names":false,"suffix":""}],"id":"ITEM-1","issued":{"date-parts":[["2017"]]},"title":"Evidence-based early-years intervention: an enquiry by the Science and Technology Select Committee","type":"report"},"uris":["http://www.mendeley.com/documents/?uuid=31e9d7ab-8cf9-3bb1-a407-75c348006622"]}],"mendeley":{"formattedCitation":"(Early Intervention Foundation, 2017)","plainTextFormattedCitation":"(Early Intervention Foundation, 2017)","previouslyFormattedCitation":"(Early Intervention Foundation, 2017)"},"properties":{"noteIndex":0},"schema":"https://github.com/citation-style-language/schema/raw/master/csl-citation.json"}</w:instrText>
      </w:r>
      <w:r w:rsidR="00F510EA" w:rsidRPr="00E30636">
        <w:rPr>
          <w:rFonts w:ascii="Times New Roman" w:hAnsi="Times New Roman" w:cs="Times New Roman"/>
        </w:rPr>
        <w:fldChar w:fldCharType="separate"/>
      </w:r>
      <w:r w:rsidR="00B313E7" w:rsidRPr="00B313E7">
        <w:rPr>
          <w:rFonts w:ascii="Times New Roman" w:hAnsi="Times New Roman" w:cs="Times New Roman"/>
          <w:noProof/>
        </w:rPr>
        <w:t>(Early Intervention Foundation, 2017)</w:t>
      </w:r>
      <w:r w:rsidR="00F510EA" w:rsidRPr="002A316F">
        <w:rPr>
          <w:rFonts w:ascii="Times New Roman" w:hAnsi="Times New Roman" w:cs="Times New Roman"/>
        </w:rPr>
        <w:fldChar w:fldCharType="end"/>
      </w:r>
      <w:r w:rsidR="00F510EA" w:rsidRPr="002A316F">
        <w:rPr>
          <w:rFonts w:ascii="Times New Roman" w:hAnsi="Times New Roman" w:cs="Times New Roman"/>
        </w:rPr>
        <w:t xml:space="preserve">, </w:t>
      </w:r>
      <w:r w:rsidRPr="002A316F">
        <w:rPr>
          <w:rFonts w:ascii="Times New Roman" w:hAnsi="Times New Roman" w:cs="Times New Roman"/>
        </w:rPr>
        <w:t xml:space="preserve">the evidence base for such early intervention remains </w:t>
      </w:r>
      <w:r w:rsidRPr="00B313E7">
        <w:rPr>
          <w:rFonts w:ascii="Times New Roman" w:hAnsi="Times New Roman" w:cs="Times New Roman"/>
        </w:rPr>
        <w:t>under-developed. In this context, there could be legitimate concern</w:t>
      </w:r>
      <w:r w:rsidR="00895057" w:rsidRPr="00D06237">
        <w:rPr>
          <w:rFonts w:ascii="Times New Roman" w:hAnsi="Times New Roman" w:cs="Times New Roman"/>
        </w:rPr>
        <w:t>s</w:t>
      </w:r>
      <w:r w:rsidRPr="00D06237">
        <w:rPr>
          <w:rFonts w:ascii="Times New Roman" w:hAnsi="Times New Roman" w:cs="Times New Roman"/>
        </w:rPr>
        <w:t xml:space="preserve"> </w:t>
      </w:r>
      <w:r w:rsidR="00895057" w:rsidRPr="00D06237">
        <w:rPr>
          <w:rFonts w:ascii="Times New Roman" w:hAnsi="Times New Roman" w:cs="Times New Roman"/>
        </w:rPr>
        <w:t xml:space="preserve">about </w:t>
      </w:r>
      <w:r w:rsidRPr="00EB5D10">
        <w:rPr>
          <w:rFonts w:ascii="Times New Roman" w:hAnsi="Times New Roman" w:cs="Times New Roman"/>
        </w:rPr>
        <w:t>the negative impact of formal criminal justice-related responses due to the labelling of young people who have experienced ACEs as at risk of criminality. In particular, given long-established understandings of the potential for the self-fulfilling prophe</w:t>
      </w:r>
      <w:r w:rsidR="00BC47E2" w:rsidRPr="00EB5D10">
        <w:rPr>
          <w:rFonts w:ascii="Times New Roman" w:hAnsi="Times New Roman" w:cs="Times New Roman"/>
        </w:rPr>
        <w:t>c</w:t>
      </w:r>
      <w:r w:rsidRPr="00EB5D10">
        <w:rPr>
          <w:rFonts w:ascii="Times New Roman" w:hAnsi="Times New Roman" w:cs="Times New Roman"/>
        </w:rPr>
        <w:t>y of perceived labels of risk regarding criminality</w:t>
      </w:r>
      <w:r w:rsidR="00613F09" w:rsidRPr="00EB5D10">
        <w:rPr>
          <w:rFonts w:ascii="Times New Roman" w:hAnsi="Times New Roman" w:cs="Times New Roman"/>
        </w:rPr>
        <w:t>,</w:t>
      </w:r>
      <w:r w:rsidRPr="00EB5D10">
        <w:rPr>
          <w:rFonts w:ascii="Times New Roman" w:hAnsi="Times New Roman" w:cs="Times New Roman"/>
        </w:rPr>
        <w:t xml:space="preserve"> </w:t>
      </w:r>
      <w:r w:rsidR="00613F09" w:rsidRPr="002A316F">
        <w:rPr>
          <w:rFonts w:ascii="Times New Roman" w:hAnsi="Times New Roman" w:cs="Times New Roman"/>
        </w:rPr>
        <w:fldChar w:fldCharType="begin" w:fldLock="1"/>
      </w:r>
      <w:r w:rsidR="00D06237">
        <w:rPr>
          <w:rFonts w:ascii="Times New Roman" w:hAnsi="Times New Roman" w:cs="Times New Roman"/>
        </w:rPr>
        <w:instrText>ADDIN CSL_CITATION {"citationItems":[{"id":"ITEM-1","itemData":{"author":[{"dropping-particle":"","family":"Becker","given":"Howard","non-dropping-particle":"","parse-names":false,"suffix":""}],"id":"ITEM-1","issued":{"date-parts":[["1963"]]},"title":"Outsiders-Defining Deviance","type":"report"},"uris":["http://www.mendeley.com/documents/?uuid=8b1a5c94-7ef7-340e-bdae-02b001135d1a"]}],"mendeley":{"formattedCitation":"(Becker, 1963)","plainTextFormattedCitation":"(Becker, 1963)","previouslyFormattedCitation":"(Becker, 1963)"},"properties":{"noteIndex":0},"schema":"https://github.com/citation-style-language/schema/raw/master/csl-citation.json"}</w:instrText>
      </w:r>
      <w:r w:rsidR="00613F09" w:rsidRPr="00E30636">
        <w:rPr>
          <w:rFonts w:ascii="Times New Roman" w:hAnsi="Times New Roman" w:cs="Times New Roman"/>
        </w:rPr>
        <w:fldChar w:fldCharType="separate"/>
      </w:r>
      <w:r w:rsidR="00B313E7" w:rsidRPr="00B313E7">
        <w:rPr>
          <w:rFonts w:ascii="Times New Roman" w:hAnsi="Times New Roman" w:cs="Times New Roman"/>
          <w:noProof/>
        </w:rPr>
        <w:t>(Becker, 1963)</w:t>
      </w:r>
      <w:r w:rsidR="00613F09" w:rsidRPr="002A316F">
        <w:rPr>
          <w:rFonts w:ascii="Times New Roman" w:hAnsi="Times New Roman" w:cs="Times New Roman"/>
        </w:rPr>
        <w:fldChar w:fldCharType="end"/>
      </w:r>
      <w:r w:rsidR="00613F09" w:rsidRPr="002A316F">
        <w:rPr>
          <w:rFonts w:ascii="Times New Roman" w:hAnsi="Times New Roman" w:cs="Times New Roman"/>
        </w:rPr>
        <w:t xml:space="preserve">, </w:t>
      </w:r>
      <w:r w:rsidRPr="002A316F">
        <w:rPr>
          <w:rFonts w:ascii="Times New Roman" w:hAnsi="Times New Roman" w:cs="Times New Roman"/>
        </w:rPr>
        <w:t>recognition is needed as to the negative potential of well-meaning early intervention, particularly from within a criminal justice paradigm.</w:t>
      </w:r>
    </w:p>
    <w:p w14:paraId="01CF891E" w14:textId="77777777" w:rsidR="00240F92" w:rsidRPr="00D06237" w:rsidRDefault="00240F92" w:rsidP="007F779A">
      <w:pPr>
        <w:spacing w:line="480" w:lineRule="auto"/>
        <w:rPr>
          <w:rFonts w:ascii="Times New Roman" w:hAnsi="Times New Roman" w:cs="Times New Roman"/>
        </w:rPr>
      </w:pPr>
    </w:p>
    <w:p w14:paraId="11CBFFB2" w14:textId="7BCAB3AA" w:rsidR="00240F92" w:rsidRPr="00034AE9" w:rsidRDefault="00240F92" w:rsidP="007F779A">
      <w:pPr>
        <w:spacing w:line="480" w:lineRule="auto"/>
        <w:rPr>
          <w:rFonts w:ascii="Times New Roman" w:hAnsi="Times New Roman" w:cs="Times New Roman"/>
        </w:rPr>
      </w:pPr>
      <w:r w:rsidRPr="001473C6">
        <w:rPr>
          <w:rFonts w:ascii="Times New Roman" w:hAnsi="Times New Roman" w:cs="Times New Roman"/>
        </w:rPr>
        <w:t>Indeed, there remains significant debate among NPOs as to the appropriate role of the police in support of young people with ACEs. This includes a commonly expressed view that it is infeasible for sufficient training to be provided for police officers to offer appropriate support, given the complexity and extent of training of social workers a</w:t>
      </w:r>
      <w:r w:rsidRPr="002A316F">
        <w:rPr>
          <w:rFonts w:ascii="Times New Roman" w:hAnsi="Times New Roman" w:cs="Times New Roman"/>
        </w:rPr>
        <w:t xml:space="preserve">nd allied professionals, </w:t>
      </w:r>
      <w:r w:rsidR="00C17826" w:rsidRPr="002A316F">
        <w:rPr>
          <w:rFonts w:ascii="Times New Roman" w:hAnsi="Times New Roman" w:cs="Times New Roman"/>
        </w:rPr>
        <w:t xml:space="preserve">and </w:t>
      </w:r>
      <w:r w:rsidRPr="002A316F">
        <w:rPr>
          <w:rFonts w:ascii="Times New Roman" w:hAnsi="Times New Roman" w:cs="Times New Roman"/>
        </w:rPr>
        <w:t>that the role of the police should only ever be restricted to identification and referral to other agencies or to existing multi</w:t>
      </w:r>
      <w:r w:rsidR="00BE7ED3" w:rsidRPr="002A316F">
        <w:rPr>
          <w:rFonts w:ascii="Times New Roman" w:hAnsi="Times New Roman" w:cs="Times New Roman"/>
        </w:rPr>
        <w:t>-</w:t>
      </w:r>
      <w:r w:rsidRPr="002A316F">
        <w:rPr>
          <w:rFonts w:ascii="Times New Roman" w:hAnsi="Times New Roman" w:cs="Times New Roman"/>
        </w:rPr>
        <w:t xml:space="preserve">agency partnerships or </w:t>
      </w:r>
      <w:r w:rsidRPr="002A316F">
        <w:rPr>
          <w:rFonts w:ascii="Times New Roman" w:hAnsi="Times New Roman" w:cs="Times New Roman"/>
        </w:rPr>
        <w:lastRenderedPageBreak/>
        <w:t>forums for coordinating ‘early help’. This argument included recognition that police data may offer additional insight to that of other services, for example, in identifying young people experiencing domestic violence. However, there was also recognition that young people identified by TIPT thus far are already well known to local services, with police data therefore providing little additional value to date</w:t>
      </w:r>
      <w:r w:rsidR="005E5C3E" w:rsidRPr="002A316F">
        <w:rPr>
          <w:rFonts w:ascii="Times New Roman" w:hAnsi="Times New Roman" w:cs="Times New Roman"/>
        </w:rPr>
        <w:t>, and the existence of four ACEs in such data ill-serving as an appropriate indicator for ‘early intervention’</w:t>
      </w:r>
      <w:r w:rsidRPr="002A316F">
        <w:rPr>
          <w:rFonts w:ascii="Times New Roman" w:hAnsi="Times New Roman" w:cs="Times New Roman"/>
        </w:rPr>
        <w:t>.</w:t>
      </w:r>
      <w:r w:rsidR="00BE7ED3" w:rsidRPr="002A316F">
        <w:rPr>
          <w:rFonts w:ascii="Times New Roman" w:hAnsi="Times New Roman" w:cs="Times New Roman"/>
        </w:rPr>
        <w:t xml:space="preserve"> There is a clear need to align the aims of the multi-agency working approach across the whole region to prevent duplication of and </w:t>
      </w:r>
      <w:r w:rsidR="002873F4" w:rsidRPr="002A316F">
        <w:rPr>
          <w:rFonts w:ascii="Times New Roman" w:hAnsi="Times New Roman" w:cs="Times New Roman"/>
        </w:rPr>
        <w:t xml:space="preserve">to </w:t>
      </w:r>
      <w:r w:rsidR="00BE7ED3" w:rsidRPr="002A316F">
        <w:rPr>
          <w:rFonts w:ascii="Times New Roman" w:hAnsi="Times New Roman" w:cs="Times New Roman"/>
        </w:rPr>
        <w:t xml:space="preserve">also address many of barriers mentioned. There are several suitable recommendations that can be made as a result of the </w:t>
      </w:r>
      <w:r w:rsidR="00034AE9">
        <w:rPr>
          <w:rFonts w:ascii="Times New Roman" w:hAnsi="Times New Roman" w:cs="Times New Roman"/>
        </w:rPr>
        <w:t>exploration</w:t>
      </w:r>
      <w:r w:rsidR="00034AE9" w:rsidRPr="00034AE9">
        <w:rPr>
          <w:rFonts w:ascii="Times New Roman" w:hAnsi="Times New Roman" w:cs="Times New Roman"/>
        </w:rPr>
        <w:t xml:space="preserve"> </w:t>
      </w:r>
      <w:r w:rsidR="00BE7ED3" w:rsidRPr="00034AE9">
        <w:rPr>
          <w:rFonts w:ascii="Times New Roman" w:hAnsi="Times New Roman" w:cs="Times New Roman"/>
        </w:rPr>
        <w:t>of this intervention;</w:t>
      </w:r>
    </w:p>
    <w:p w14:paraId="6F3B6E2C" w14:textId="693CA247" w:rsidR="00BE7ED3" w:rsidRPr="002A316F" w:rsidRDefault="00BE7ED3" w:rsidP="00BE7ED3">
      <w:pPr>
        <w:pStyle w:val="ListParagraph"/>
        <w:numPr>
          <w:ilvl w:val="0"/>
          <w:numId w:val="5"/>
        </w:numPr>
        <w:spacing w:line="480" w:lineRule="auto"/>
        <w:rPr>
          <w:rFonts w:ascii="Times New Roman" w:hAnsi="Times New Roman" w:cs="Times New Roman"/>
        </w:rPr>
      </w:pPr>
      <w:r w:rsidRPr="001473C6">
        <w:rPr>
          <w:rFonts w:ascii="Times New Roman" w:hAnsi="Times New Roman" w:cs="Times New Roman"/>
        </w:rPr>
        <w:t>The benefits of data sharing- It is clear from this exercise that police data h</w:t>
      </w:r>
      <w:r w:rsidR="002873F4" w:rsidRPr="001473C6">
        <w:rPr>
          <w:rFonts w:ascii="Times New Roman" w:hAnsi="Times New Roman" w:cs="Times New Roman"/>
        </w:rPr>
        <w:t xml:space="preserve">as </w:t>
      </w:r>
      <w:r w:rsidRPr="002A316F">
        <w:rPr>
          <w:rFonts w:ascii="Times New Roman" w:hAnsi="Times New Roman" w:cs="Times New Roman"/>
        </w:rPr>
        <w:t xml:space="preserve">inherent limitations in identifying markers of early adversity. However, if a data sharing approach was used and ACEs were introduced into the algorithm from other public sector data sources, it is likely that </w:t>
      </w:r>
      <w:r w:rsidR="000300D8" w:rsidRPr="002A316F">
        <w:rPr>
          <w:rFonts w:ascii="Times New Roman" w:hAnsi="Times New Roman" w:cs="Times New Roman"/>
        </w:rPr>
        <w:t xml:space="preserve">at-risk </w:t>
      </w:r>
      <w:r w:rsidRPr="002A316F">
        <w:rPr>
          <w:rFonts w:ascii="Times New Roman" w:hAnsi="Times New Roman" w:cs="Times New Roman"/>
        </w:rPr>
        <w:t>children would be identified at a much earlier stage</w:t>
      </w:r>
      <w:r w:rsidR="000300D8" w:rsidRPr="002A316F">
        <w:rPr>
          <w:rFonts w:ascii="Times New Roman" w:hAnsi="Times New Roman" w:cs="Times New Roman"/>
        </w:rPr>
        <w:t xml:space="preserve"> to allow for early intervention</w:t>
      </w:r>
      <w:r w:rsidRPr="002A316F">
        <w:rPr>
          <w:rFonts w:ascii="Times New Roman" w:hAnsi="Times New Roman" w:cs="Times New Roman"/>
        </w:rPr>
        <w:t>.</w:t>
      </w:r>
      <w:r w:rsidR="002A316F">
        <w:rPr>
          <w:rFonts w:ascii="Times New Roman" w:hAnsi="Times New Roman" w:cs="Times New Roman"/>
        </w:rPr>
        <w:t xml:space="preserve"> Although a public sector data sharing approach is an important step, this study also highlights the need for a wider collaborative effort amongst the community to address ACEs. The role of general public within this should not be underestimated. Efforts taken to improve the knowledge and understanding of ACEs amongst the general public and public sector services will not only trigger opportunities for intervention through earlier identification of negative exposure and consequences but also be key to improving data recording and longitudinal follow up. </w:t>
      </w:r>
    </w:p>
    <w:p w14:paraId="77B2D10A" w14:textId="2A5B77D2" w:rsidR="00BE7ED3" w:rsidRPr="00B426A5" w:rsidRDefault="00BE7ED3" w:rsidP="00BE7ED3">
      <w:pPr>
        <w:pStyle w:val="ListParagraph"/>
        <w:numPr>
          <w:ilvl w:val="0"/>
          <w:numId w:val="5"/>
        </w:numPr>
        <w:spacing w:line="480" w:lineRule="auto"/>
        <w:rPr>
          <w:rFonts w:ascii="Times New Roman" w:hAnsi="Times New Roman" w:cs="Times New Roman"/>
        </w:rPr>
      </w:pPr>
      <w:r w:rsidRPr="002A316F">
        <w:rPr>
          <w:rFonts w:ascii="Times New Roman" w:hAnsi="Times New Roman" w:cs="Times New Roman"/>
        </w:rPr>
        <w:lastRenderedPageBreak/>
        <w:t xml:space="preserve">The best person for the role- Once </w:t>
      </w:r>
      <w:r w:rsidR="000300D8" w:rsidRPr="00B313E7">
        <w:rPr>
          <w:rFonts w:ascii="Times New Roman" w:hAnsi="Times New Roman" w:cs="Times New Roman"/>
        </w:rPr>
        <w:t>the</w:t>
      </w:r>
      <w:r w:rsidRPr="00D06237">
        <w:rPr>
          <w:rFonts w:ascii="Times New Roman" w:hAnsi="Times New Roman" w:cs="Times New Roman"/>
        </w:rPr>
        <w:t xml:space="preserve"> </w:t>
      </w:r>
      <w:r w:rsidR="000300D8" w:rsidRPr="00D06237">
        <w:rPr>
          <w:rFonts w:ascii="Times New Roman" w:hAnsi="Times New Roman" w:cs="Times New Roman"/>
        </w:rPr>
        <w:t>at-risk</w:t>
      </w:r>
      <w:r w:rsidRPr="00EB5D10">
        <w:rPr>
          <w:rFonts w:ascii="Times New Roman" w:hAnsi="Times New Roman" w:cs="Times New Roman"/>
        </w:rPr>
        <w:t xml:space="preserve"> children are identified, it is possible that NPOs may not be the most appropriate individuals to conduct the follow up visits. Instead, it may be better placed that the role of the NPO is to share their rich local knowledge and provide a supporting role t</w:t>
      </w:r>
      <w:r w:rsidRPr="001473C6">
        <w:rPr>
          <w:rFonts w:ascii="Times New Roman" w:hAnsi="Times New Roman" w:cs="Times New Roman"/>
        </w:rPr>
        <w:t xml:space="preserve">o another public sector service which may be better placed to inform or deliver preventative </w:t>
      </w:r>
      <w:r w:rsidR="00BD1F67" w:rsidRPr="001473C6">
        <w:rPr>
          <w:rFonts w:ascii="Times New Roman" w:hAnsi="Times New Roman" w:cs="Times New Roman"/>
        </w:rPr>
        <w:t>advice</w:t>
      </w:r>
      <w:r w:rsidRPr="001473C6">
        <w:rPr>
          <w:rFonts w:ascii="Times New Roman" w:hAnsi="Times New Roman" w:cs="Times New Roman"/>
        </w:rPr>
        <w:t xml:space="preserve"> to the child or family. </w:t>
      </w:r>
      <w:r w:rsidR="00B426A5">
        <w:rPr>
          <w:rFonts w:ascii="Times New Roman" w:hAnsi="Times New Roman" w:cs="Times New Roman"/>
        </w:rPr>
        <w:t>Alternatively, there may be a benefit in refocussing the aims of the TIPT programme for NPOs. Rather than the emphasise on NPOs being in the role to identify ACEs, perhaps just a greater understanding of ACEs amongst NPOs as a result of the TIPT tool may provide useful insight into the reasons for inappropriate or anti-social behaviour demonstrated by adults. This may trigger consideration by NPOs into alternative positive police action aside from the criminal justice system.</w:t>
      </w:r>
    </w:p>
    <w:p w14:paraId="7D040DF6" w14:textId="4E18F1F1" w:rsidR="000300D8" w:rsidRDefault="000300D8" w:rsidP="0074131C">
      <w:pPr>
        <w:pStyle w:val="ListParagraph"/>
        <w:numPr>
          <w:ilvl w:val="0"/>
          <w:numId w:val="5"/>
        </w:numPr>
        <w:spacing w:line="480" w:lineRule="auto"/>
        <w:rPr>
          <w:rFonts w:ascii="Times New Roman" w:hAnsi="Times New Roman" w:cs="Times New Roman"/>
        </w:rPr>
      </w:pPr>
      <w:r w:rsidRPr="00B426A5">
        <w:rPr>
          <w:rFonts w:ascii="Times New Roman" w:hAnsi="Times New Roman" w:cs="Times New Roman"/>
        </w:rPr>
        <w:t xml:space="preserve">Improved communication- This study also highlighted the duplication of work across public sector services. This will likely only reduce if there is clear communication between the services to ensure </w:t>
      </w:r>
      <w:r w:rsidR="002873F4" w:rsidRPr="00B426A5">
        <w:rPr>
          <w:rFonts w:ascii="Times New Roman" w:hAnsi="Times New Roman" w:cs="Times New Roman"/>
        </w:rPr>
        <w:t xml:space="preserve">that </w:t>
      </w:r>
      <w:r w:rsidRPr="00034AE9">
        <w:rPr>
          <w:rFonts w:ascii="Times New Roman" w:hAnsi="Times New Roman" w:cs="Times New Roman"/>
        </w:rPr>
        <w:t>a plan is in place for each family</w:t>
      </w:r>
      <w:r w:rsidR="00BD1F67" w:rsidRPr="001473C6">
        <w:rPr>
          <w:rFonts w:ascii="Times New Roman" w:hAnsi="Times New Roman" w:cs="Times New Roman"/>
        </w:rPr>
        <w:t>,</w:t>
      </w:r>
      <w:r w:rsidRPr="001473C6">
        <w:rPr>
          <w:rFonts w:ascii="Times New Roman" w:hAnsi="Times New Roman" w:cs="Times New Roman"/>
        </w:rPr>
        <w:t xml:space="preserve"> with the roles of each multi-agency organisation clearly defined.  </w:t>
      </w:r>
    </w:p>
    <w:p w14:paraId="3CE82D3B" w14:textId="77777777" w:rsidR="00B477BD" w:rsidRPr="00B426A5" w:rsidRDefault="00B477BD" w:rsidP="007F779A">
      <w:pPr>
        <w:spacing w:line="480" w:lineRule="auto"/>
        <w:rPr>
          <w:rFonts w:ascii="Times New Roman" w:hAnsi="Times New Roman" w:cs="Times New Roman"/>
        </w:rPr>
      </w:pPr>
    </w:p>
    <w:p w14:paraId="69BFEB8E" w14:textId="69DFF587" w:rsidR="00B477BD" w:rsidRPr="001D1134" w:rsidRDefault="00B477BD" w:rsidP="007F779A">
      <w:pPr>
        <w:spacing w:line="480" w:lineRule="auto"/>
        <w:rPr>
          <w:rFonts w:ascii="Times New Roman" w:hAnsi="Times New Roman" w:cs="Times New Roman"/>
          <w:b/>
        </w:rPr>
      </w:pPr>
      <w:r w:rsidRPr="00B426A5">
        <w:rPr>
          <w:rFonts w:ascii="Times New Roman" w:hAnsi="Times New Roman" w:cs="Times New Roman"/>
        </w:rPr>
        <w:t>This type of approach to studying this intervention had inherent strengths and</w:t>
      </w:r>
      <w:r w:rsidRPr="00034AE9">
        <w:rPr>
          <w:rFonts w:ascii="Times New Roman" w:hAnsi="Times New Roman" w:cs="Times New Roman"/>
        </w:rPr>
        <w:t xml:space="preserve"> limitations.  One possible strength was</w:t>
      </w:r>
      <w:r w:rsidR="00CD3E2C" w:rsidRPr="001473C6">
        <w:rPr>
          <w:rFonts w:ascii="Times New Roman" w:hAnsi="Times New Roman" w:cs="Times New Roman"/>
        </w:rPr>
        <w:t xml:space="preserve"> that</w:t>
      </w:r>
      <w:r w:rsidRPr="001473C6">
        <w:rPr>
          <w:rFonts w:ascii="Times New Roman" w:hAnsi="Times New Roman" w:cs="Times New Roman"/>
        </w:rPr>
        <w:t xml:space="preserve"> the primary author works in the police force in a voluntary capacity and as a result </w:t>
      </w:r>
      <w:r w:rsidR="00CD3E2C" w:rsidRPr="002A316F">
        <w:rPr>
          <w:rFonts w:ascii="Times New Roman" w:hAnsi="Times New Roman" w:cs="Times New Roman"/>
        </w:rPr>
        <w:t xml:space="preserve">of </w:t>
      </w:r>
      <w:r w:rsidRPr="002A316F">
        <w:rPr>
          <w:rFonts w:ascii="Times New Roman" w:hAnsi="Times New Roman" w:cs="Times New Roman"/>
        </w:rPr>
        <w:t xml:space="preserve">being part of the social group being studied, </w:t>
      </w:r>
      <w:r w:rsidR="00CD3E2C" w:rsidRPr="002A316F">
        <w:rPr>
          <w:rFonts w:ascii="Times New Roman" w:hAnsi="Times New Roman" w:cs="Times New Roman"/>
        </w:rPr>
        <w:t>he was</w:t>
      </w:r>
      <w:r w:rsidRPr="002A316F">
        <w:rPr>
          <w:rFonts w:ascii="Times New Roman" w:hAnsi="Times New Roman" w:cs="Times New Roman"/>
        </w:rPr>
        <w:t xml:space="preserve"> able to share many of the experiences</w:t>
      </w:r>
      <w:r w:rsidR="00CD3E2C" w:rsidRPr="002A316F">
        <w:rPr>
          <w:rFonts w:ascii="Times New Roman" w:hAnsi="Times New Roman" w:cs="Times New Roman"/>
        </w:rPr>
        <w:t>,</w:t>
      </w:r>
      <w:r w:rsidRPr="002A316F">
        <w:rPr>
          <w:rFonts w:ascii="Times New Roman" w:hAnsi="Times New Roman" w:cs="Times New Roman"/>
        </w:rPr>
        <w:t xml:space="preserve"> assumptions and beliefs </w:t>
      </w:r>
      <w:r w:rsidR="001D098D">
        <w:rPr>
          <w:rFonts w:ascii="Times New Roman" w:hAnsi="Times New Roman" w:cs="Times New Roman"/>
        </w:rPr>
        <w:t>of</w:t>
      </w:r>
      <w:r w:rsidR="001D098D" w:rsidRPr="001D098D">
        <w:rPr>
          <w:rFonts w:ascii="Times New Roman" w:hAnsi="Times New Roman" w:cs="Times New Roman"/>
        </w:rPr>
        <w:t xml:space="preserve"> </w:t>
      </w:r>
      <w:r w:rsidRPr="001D098D">
        <w:rPr>
          <w:rFonts w:ascii="Times New Roman" w:hAnsi="Times New Roman" w:cs="Times New Roman"/>
        </w:rPr>
        <w:t>the</w:t>
      </w:r>
      <w:r w:rsidRPr="00034AE9">
        <w:rPr>
          <w:rFonts w:ascii="Times New Roman" w:hAnsi="Times New Roman" w:cs="Times New Roman"/>
        </w:rPr>
        <w:t xml:space="preserve"> group to improve the analytical understanding. However, there is a chance this may have imported a</w:t>
      </w:r>
      <w:r w:rsidR="001D1134">
        <w:rPr>
          <w:rFonts w:ascii="Times New Roman" w:hAnsi="Times New Roman" w:cs="Times New Roman"/>
        </w:rPr>
        <w:t xml:space="preserve">n interviewer </w:t>
      </w:r>
      <w:r w:rsidRPr="00034AE9">
        <w:rPr>
          <w:rFonts w:ascii="Times New Roman" w:hAnsi="Times New Roman" w:cs="Times New Roman"/>
        </w:rPr>
        <w:t xml:space="preserve">bias on </w:t>
      </w:r>
      <w:r w:rsidR="00CD3E2C" w:rsidRPr="001473C6">
        <w:rPr>
          <w:rFonts w:ascii="Times New Roman" w:hAnsi="Times New Roman" w:cs="Times New Roman"/>
        </w:rPr>
        <w:t xml:space="preserve">his </w:t>
      </w:r>
      <w:r w:rsidRPr="001473C6">
        <w:rPr>
          <w:rFonts w:ascii="Times New Roman" w:hAnsi="Times New Roman" w:cs="Times New Roman"/>
        </w:rPr>
        <w:t xml:space="preserve">analysis, therefore there was an independent analysis conducted by the second author who agreed on the final framework. In </w:t>
      </w:r>
      <w:r w:rsidRPr="001473C6">
        <w:rPr>
          <w:rFonts w:ascii="Times New Roman" w:hAnsi="Times New Roman" w:cs="Times New Roman"/>
        </w:rPr>
        <w:lastRenderedPageBreak/>
        <w:t>addition, another str</w:t>
      </w:r>
      <w:r w:rsidRPr="001D1134">
        <w:rPr>
          <w:rFonts w:ascii="Times New Roman" w:hAnsi="Times New Roman" w:cs="Times New Roman"/>
        </w:rPr>
        <w:t xml:space="preserve">ength </w:t>
      </w:r>
      <w:proofErr w:type="gramStart"/>
      <w:r w:rsidR="001D1134">
        <w:rPr>
          <w:rFonts w:ascii="Times New Roman" w:hAnsi="Times New Roman" w:cs="Times New Roman"/>
        </w:rPr>
        <w:t>participants</w:t>
      </w:r>
      <w:proofErr w:type="gramEnd"/>
      <w:r w:rsidR="001D1134">
        <w:rPr>
          <w:rFonts w:ascii="Times New Roman" w:hAnsi="Times New Roman" w:cs="Times New Roman"/>
        </w:rPr>
        <w:t xml:space="preserve"> chose to take part</w:t>
      </w:r>
      <w:r w:rsidRPr="001D1134">
        <w:rPr>
          <w:rFonts w:ascii="Times New Roman" w:hAnsi="Times New Roman" w:cs="Times New Roman"/>
        </w:rPr>
        <w:t xml:space="preserve"> from a variety of stations across the force area which added to the strength of the study as NPOs could give views from working in different socio-economic settings. The authors believe that although further interviews could have been conducted</w:t>
      </w:r>
      <w:r w:rsidR="002873F4" w:rsidRPr="001D1134">
        <w:rPr>
          <w:rFonts w:ascii="Times New Roman" w:hAnsi="Times New Roman" w:cs="Times New Roman"/>
        </w:rPr>
        <w:t>,</w:t>
      </w:r>
      <w:r w:rsidRPr="001D1134">
        <w:rPr>
          <w:rFonts w:ascii="Times New Roman" w:hAnsi="Times New Roman" w:cs="Times New Roman"/>
        </w:rPr>
        <w:t xml:space="preserve"> theoretical saturation was likely reached as with the sample focus groups, as no new ideas had emerged. Although a limitation of the study is that as a small qualitative piece of work it is only able to provide an exploration of the views surrounding the topic rather than generalisable results, it provides insight into whether an approach like this could adapted for implementation elsewhere and the barriers to be considered when doing so. </w:t>
      </w:r>
    </w:p>
    <w:p w14:paraId="25C3A81E" w14:textId="2BDC1687" w:rsidR="00240F92" w:rsidRPr="002A316F" w:rsidRDefault="00240F92" w:rsidP="007F779A">
      <w:pPr>
        <w:pStyle w:val="Heading1"/>
        <w:spacing w:line="480" w:lineRule="auto"/>
        <w:rPr>
          <w:rFonts w:ascii="Times New Roman" w:hAnsi="Times New Roman" w:cs="Times New Roman"/>
          <w:sz w:val="24"/>
          <w:szCs w:val="24"/>
        </w:rPr>
      </w:pPr>
      <w:r w:rsidRPr="002A316F">
        <w:rPr>
          <w:rFonts w:ascii="Times New Roman" w:hAnsi="Times New Roman" w:cs="Times New Roman"/>
          <w:sz w:val="24"/>
          <w:szCs w:val="24"/>
        </w:rPr>
        <w:t>Conclusion</w:t>
      </w:r>
    </w:p>
    <w:p w14:paraId="35590F49" w14:textId="77777777" w:rsidR="00F510EA" w:rsidRPr="00E30636" w:rsidRDefault="00F510EA" w:rsidP="00F510EA">
      <w:pPr>
        <w:rPr>
          <w:rFonts w:ascii="Times New Roman" w:hAnsi="Times New Roman" w:cs="Times New Roman"/>
        </w:rPr>
      </w:pPr>
    </w:p>
    <w:p w14:paraId="5E154F47" w14:textId="0C43806E" w:rsidR="00240F92" w:rsidRPr="001473C6" w:rsidRDefault="00240F92" w:rsidP="007F779A">
      <w:pPr>
        <w:spacing w:line="480" w:lineRule="auto"/>
        <w:rPr>
          <w:rFonts w:ascii="Times New Roman" w:hAnsi="Times New Roman" w:cs="Times New Roman"/>
        </w:rPr>
      </w:pPr>
      <w:r w:rsidRPr="002A316F">
        <w:rPr>
          <w:rFonts w:ascii="Times New Roman" w:hAnsi="Times New Roman" w:cs="Times New Roman"/>
        </w:rPr>
        <w:t xml:space="preserve">Our </w:t>
      </w:r>
      <w:r w:rsidR="00BF01BD" w:rsidRPr="002A316F">
        <w:rPr>
          <w:rFonts w:ascii="Times New Roman" w:hAnsi="Times New Roman" w:cs="Times New Roman"/>
        </w:rPr>
        <w:t xml:space="preserve">qualitative exploration </w:t>
      </w:r>
      <w:r w:rsidRPr="002A316F">
        <w:rPr>
          <w:rFonts w:ascii="Times New Roman" w:hAnsi="Times New Roman" w:cs="Times New Roman"/>
        </w:rPr>
        <w:t xml:space="preserve">of </w:t>
      </w:r>
      <w:r w:rsidR="00BF01BD" w:rsidRPr="002A316F">
        <w:rPr>
          <w:rFonts w:ascii="Times New Roman" w:hAnsi="Times New Roman" w:cs="Times New Roman"/>
        </w:rPr>
        <w:t xml:space="preserve">an implemented local </w:t>
      </w:r>
      <w:r w:rsidRPr="002A316F">
        <w:rPr>
          <w:rFonts w:ascii="Times New Roman" w:hAnsi="Times New Roman" w:cs="Times New Roman"/>
        </w:rPr>
        <w:t xml:space="preserve">policing initiative to support young people in adversity highlights a range of issues that warrant further reflection </w:t>
      </w:r>
      <w:r w:rsidR="00BF01BD" w:rsidRPr="00B313E7">
        <w:rPr>
          <w:rFonts w:ascii="Times New Roman" w:hAnsi="Times New Roman" w:cs="Times New Roman"/>
        </w:rPr>
        <w:t>to improve future delivery of such a service</w:t>
      </w:r>
      <w:r w:rsidRPr="00D06237">
        <w:rPr>
          <w:rFonts w:ascii="Times New Roman" w:hAnsi="Times New Roman" w:cs="Times New Roman"/>
        </w:rPr>
        <w:t xml:space="preserve">. These </w:t>
      </w:r>
      <w:r w:rsidR="002810B9" w:rsidRPr="00D06237">
        <w:rPr>
          <w:rFonts w:ascii="Times New Roman" w:hAnsi="Times New Roman" w:cs="Times New Roman"/>
        </w:rPr>
        <w:t>were concerns as to whether</w:t>
      </w:r>
      <w:r w:rsidR="00947982" w:rsidRPr="00EB5D10">
        <w:rPr>
          <w:rFonts w:ascii="Times New Roman" w:hAnsi="Times New Roman" w:cs="Times New Roman"/>
        </w:rPr>
        <w:t>;</w:t>
      </w:r>
      <w:r w:rsidRPr="00EB5D10">
        <w:rPr>
          <w:rFonts w:ascii="Times New Roman" w:hAnsi="Times New Roman" w:cs="Times New Roman"/>
        </w:rPr>
        <w:t xml:space="preserve"> police data alone is sufficient for identifying </w:t>
      </w:r>
      <w:r w:rsidR="002810B9" w:rsidRPr="00EB5D10">
        <w:rPr>
          <w:rFonts w:ascii="Times New Roman" w:hAnsi="Times New Roman" w:cs="Times New Roman"/>
        </w:rPr>
        <w:t>adversity</w:t>
      </w:r>
      <w:r w:rsidRPr="00EB5D10">
        <w:rPr>
          <w:rFonts w:ascii="Times New Roman" w:hAnsi="Times New Roman" w:cs="Times New Roman"/>
        </w:rPr>
        <w:t xml:space="preserve">, </w:t>
      </w:r>
      <w:r w:rsidR="002810B9" w:rsidRPr="00B426A5">
        <w:rPr>
          <w:rFonts w:ascii="Times New Roman" w:hAnsi="Times New Roman" w:cs="Times New Roman"/>
        </w:rPr>
        <w:t xml:space="preserve">and if the use of four experiences of ACEs is an appropriate </w:t>
      </w:r>
      <w:r w:rsidRPr="00B426A5">
        <w:rPr>
          <w:rFonts w:ascii="Times New Roman" w:hAnsi="Times New Roman" w:cs="Times New Roman"/>
        </w:rPr>
        <w:t>framework</w:t>
      </w:r>
      <w:r w:rsidR="002810B9" w:rsidRPr="00B426A5">
        <w:rPr>
          <w:rFonts w:ascii="Times New Roman" w:hAnsi="Times New Roman" w:cs="Times New Roman"/>
        </w:rPr>
        <w:t xml:space="preserve"> for identifying cases.</w:t>
      </w:r>
      <w:r w:rsidRPr="00034AE9">
        <w:rPr>
          <w:rFonts w:ascii="Times New Roman" w:hAnsi="Times New Roman" w:cs="Times New Roman"/>
        </w:rPr>
        <w:t xml:space="preserve"> </w:t>
      </w:r>
    </w:p>
    <w:p w14:paraId="728F4276" w14:textId="77777777" w:rsidR="00240F92" w:rsidRPr="001473C6" w:rsidRDefault="00240F92" w:rsidP="007F779A">
      <w:pPr>
        <w:spacing w:line="480" w:lineRule="auto"/>
        <w:rPr>
          <w:rFonts w:ascii="Times New Roman" w:hAnsi="Times New Roman" w:cs="Times New Roman"/>
        </w:rPr>
      </w:pPr>
    </w:p>
    <w:p w14:paraId="7CF5A9BE" w14:textId="77777777" w:rsidR="00240F92" w:rsidRPr="002A316F" w:rsidRDefault="00240F92" w:rsidP="007F779A">
      <w:pPr>
        <w:spacing w:line="480" w:lineRule="auto"/>
        <w:rPr>
          <w:rFonts w:ascii="Times New Roman" w:hAnsi="Times New Roman" w:cs="Times New Roman"/>
        </w:rPr>
      </w:pPr>
      <w:r w:rsidRPr="002A316F">
        <w:rPr>
          <w:rFonts w:ascii="Times New Roman" w:hAnsi="Times New Roman" w:cs="Times New Roman"/>
        </w:rPr>
        <w:t xml:space="preserve">The limitations of the ACEs framework also provoke concern as to whether it offers the most appropriate method of identifying children at risk, or whether alternative sources of information should be routinely drawn upon, including NPOs’ tacit knowledge of their community and the families within it, or other proxy indicators of adversity readily available to police but outside of the ACEs framework, such as reports of a child running away from home.  </w:t>
      </w:r>
    </w:p>
    <w:p w14:paraId="777DC80B" w14:textId="77777777" w:rsidR="00240F92" w:rsidRPr="002A316F" w:rsidRDefault="00240F92" w:rsidP="007F779A">
      <w:pPr>
        <w:spacing w:line="480" w:lineRule="auto"/>
        <w:rPr>
          <w:rFonts w:ascii="Times New Roman" w:hAnsi="Times New Roman" w:cs="Times New Roman"/>
        </w:rPr>
      </w:pPr>
    </w:p>
    <w:p w14:paraId="5BC46233" w14:textId="550B74AB" w:rsidR="005E5C3E" w:rsidRPr="002A316F" w:rsidRDefault="00240F92" w:rsidP="00E51F00">
      <w:pPr>
        <w:spacing w:line="480" w:lineRule="auto"/>
        <w:rPr>
          <w:rFonts w:ascii="Times New Roman" w:hAnsi="Times New Roman" w:cs="Times New Roman"/>
          <w:b/>
        </w:rPr>
      </w:pPr>
      <w:r w:rsidRPr="002A316F">
        <w:rPr>
          <w:rFonts w:ascii="Times New Roman" w:hAnsi="Times New Roman" w:cs="Times New Roman"/>
        </w:rPr>
        <w:lastRenderedPageBreak/>
        <w:t xml:space="preserve">More fundamentally though, the views of officers implementing the scheme provoke concern regarding intervention. The ACEs framework is useful in </w:t>
      </w:r>
      <w:r w:rsidR="00E51F00" w:rsidRPr="002A316F">
        <w:rPr>
          <w:rFonts w:ascii="Times New Roman" w:hAnsi="Times New Roman" w:cs="Times New Roman"/>
        </w:rPr>
        <w:t>sensitizing</w:t>
      </w:r>
      <w:r w:rsidRPr="002A316F">
        <w:rPr>
          <w:rFonts w:ascii="Times New Roman" w:hAnsi="Times New Roman" w:cs="Times New Roman"/>
        </w:rPr>
        <w:t xml:space="preserve"> police officers to the potential of childhood adversity in shaping current and future experiences of criminality and </w:t>
      </w:r>
      <w:r w:rsidR="00E51F00" w:rsidRPr="002A316F">
        <w:rPr>
          <w:rFonts w:ascii="Times New Roman" w:hAnsi="Times New Roman" w:cs="Times New Roman"/>
        </w:rPr>
        <w:t>victimization</w:t>
      </w:r>
      <w:r w:rsidRPr="002A316F">
        <w:rPr>
          <w:rFonts w:ascii="Times New Roman" w:hAnsi="Times New Roman" w:cs="Times New Roman"/>
        </w:rPr>
        <w:t>, and an increased awareness of adversity among NPOs is to be commended. However, adversity should not be seen as deterministic of future criminality</w:t>
      </w:r>
      <w:r w:rsidR="005E5C3E" w:rsidRPr="002A316F">
        <w:rPr>
          <w:rFonts w:ascii="Times New Roman" w:hAnsi="Times New Roman" w:cs="Times New Roman"/>
        </w:rPr>
        <w:t xml:space="preserve"> or </w:t>
      </w:r>
      <w:r w:rsidR="00E51F00" w:rsidRPr="002A316F">
        <w:rPr>
          <w:rFonts w:ascii="Times New Roman" w:hAnsi="Times New Roman" w:cs="Times New Roman"/>
        </w:rPr>
        <w:t>victimization</w:t>
      </w:r>
      <w:r w:rsidRPr="002A316F">
        <w:rPr>
          <w:rFonts w:ascii="Times New Roman" w:hAnsi="Times New Roman" w:cs="Times New Roman"/>
        </w:rPr>
        <w:t>, or as a reason to draw young people into a criminal justice system or paradigm. Careful attention is needed as to how to determine whether a young person would benefit from support, and what sort of support is appropriate.</w:t>
      </w:r>
      <w:r w:rsidR="005E5C3E" w:rsidRPr="002A316F">
        <w:rPr>
          <w:rFonts w:ascii="Times New Roman" w:hAnsi="Times New Roman" w:cs="Times New Roman"/>
        </w:rPr>
        <w:t xml:space="preserve"> The well-intentioned public service intent to support young people in adversity must therefore be advanced with caution.</w:t>
      </w:r>
    </w:p>
    <w:p w14:paraId="26EAFDDA" w14:textId="77777777" w:rsidR="005810D8" w:rsidRPr="002A316F" w:rsidRDefault="00965D64" w:rsidP="007F779A">
      <w:pPr>
        <w:pStyle w:val="Heading1"/>
        <w:spacing w:line="480" w:lineRule="auto"/>
        <w:rPr>
          <w:rFonts w:ascii="Times New Roman" w:hAnsi="Times New Roman" w:cs="Times New Roman"/>
        </w:rPr>
      </w:pPr>
      <w:r w:rsidRPr="002A316F">
        <w:rPr>
          <w:rFonts w:ascii="Times New Roman" w:hAnsi="Times New Roman" w:cs="Times New Roman"/>
        </w:rPr>
        <w:t>References</w:t>
      </w:r>
    </w:p>
    <w:p w14:paraId="24C56A8D" w14:textId="7A099F73" w:rsidR="001473C6" w:rsidRPr="001473C6" w:rsidRDefault="00854754" w:rsidP="001473C6">
      <w:pPr>
        <w:widowControl w:val="0"/>
        <w:autoSpaceDE w:val="0"/>
        <w:autoSpaceDN w:val="0"/>
        <w:adjustRightInd w:val="0"/>
        <w:spacing w:line="480" w:lineRule="auto"/>
        <w:rPr>
          <w:rFonts w:ascii="Times New Roman" w:hAnsi="Times New Roman" w:cs="Times New Roman"/>
          <w:noProof/>
        </w:rPr>
      </w:pPr>
      <w:r w:rsidRPr="002A316F">
        <w:rPr>
          <w:rFonts w:ascii="Times New Roman" w:hAnsi="Times New Roman" w:cs="Times New Roman"/>
        </w:rPr>
        <w:fldChar w:fldCharType="begin" w:fldLock="1"/>
      </w:r>
      <w:r w:rsidRPr="002A316F">
        <w:rPr>
          <w:rFonts w:ascii="Times New Roman" w:hAnsi="Times New Roman" w:cs="Times New Roman"/>
        </w:rPr>
        <w:instrText xml:space="preserve">ADDIN Mendeley Bibliography CSL_BIBLIOGRAPHY </w:instrText>
      </w:r>
      <w:r w:rsidRPr="00E30636">
        <w:rPr>
          <w:rFonts w:ascii="Times New Roman" w:hAnsi="Times New Roman" w:cs="Times New Roman"/>
        </w:rPr>
        <w:fldChar w:fldCharType="separate"/>
      </w:r>
      <w:r w:rsidR="001473C6" w:rsidRPr="001473C6">
        <w:rPr>
          <w:rFonts w:ascii="Times New Roman" w:hAnsi="Times New Roman" w:cs="Times New Roman"/>
          <w:noProof/>
        </w:rPr>
        <w:t xml:space="preserve">Becker, H. (1963) </w:t>
      </w:r>
      <w:r w:rsidR="001473C6" w:rsidRPr="001473C6">
        <w:rPr>
          <w:rFonts w:ascii="Times New Roman" w:hAnsi="Times New Roman" w:cs="Times New Roman"/>
          <w:i/>
          <w:iCs/>
          <w:noProof/>
        </w:rPr>
        <w:t>Outsiders-Defining Deviance</w:t>
      </w:r>
      <w:r w:rsidR="001473C6" w:rsidRPr="001473C6">
        <w:rPr>
          <w:rFonts w:ascii="Times New Roman" w:hAnsi="Times New Roman" w:cs="Times New Roman"/>
          <w:noProof/>
        </w:rPr>
        <w:t>. Available at: https://leeclarke.com/courses/intro/readings/becker_definingdeviance.pdf (Accessed: 25 September 2018).</w:t>
      </w:r>
    </w:p>
    <w:p w14:paraId="44956F46"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Bellis, M. A. </w:t>
      </w:r>
      <w:r w:rsidRPr="001473C6">
        <w:rPr>
          <w:rFonts w:ascii="Times New Roman" w:hAnsi="Times New Roman" w:cs="Times New Roman"/>
          <w:i/>
          <w:iCs/>
          <w:noProof/>
        </w:rPr>
        <w:t>et al.</w:t>
      </w:r>
      <w:r w:rsidRPr="001473C6">
        <w:rPr>
          <w:rFonts w:ascii="Times New Roman" w:hAnsi="Times New Roman" w:cs="Times New Roman"/>
          <w:noProof/>
        </w:rPr>
        <w:t xml:space="preserve"> (2014) ‘National household survey of adverse childhood experiences and their relationship with resilience to health-harming behaviors in England’, </w:t>
      </w:r>
      <w:r w:rsidRPr="001473C6">
        <w:rPr>
          <w:rFonts w:ascii="Times New Roman" w:hAnsi="Times New Roman" w:cs="Times New Roman"/>
          <w:i/>
          <w:iCs/>
          <w:noProof/>
        </w:rPr>
        <w:t>BMC Medicine</w:t>
      </w:r>
      <w:r w:rsidRPr="001473C6">
        <w:rPr>
          <w:rFonts w:ascii="Times New Roman" w:hAnsi="Times New Roman" w:cs="Times New Roman"/>
          <w:noProof/>
        </w:rPr>
        <w:t>, 12(1), p. 72. doi: 10.1186/1741-7015-12-72.</w:t>
      </w:r>
    </w:p>
    <w:p w14:paraId="33DAB848"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Bellis, M. A. </w:t>
      </w:r>
      <w:r w:rsidRPr="001473C6">
        <w:rPr>
          <w:rFonts w:ascii="Times New Roman" w:hAnsi="Times New Roman" w:cs="Times New Roman"/>
          <w:i/>
          <w:iCs/>
          <w:noProof/>
        </w:rPr>
        <w:t>et al.</w:t>
      </w:r>
      <w:r w:rsidRPr="001473C6">
        <w:rPr>
          <w:rFonts w:ascii="Times New Roman" w:hAnsi="Times New Roman" w:cs="Times New Roman"/>
          <w:noProof/>
        </w:rPr>
        <w:t xml:space="preserve"> (2018) ‘Adverse childhood experiences and sources of childhood resilience: a retrospective study of their combined relationships with child health and educational attendance’, </w:t>
      </w:r>
      <w:r w:rsidRPr="001473C6">
        <w:rPr>
          <w:rFonts w:ascii="Times New Roman" w:hAnsi="Times New Roman" w:cs="Times New Roman"/>
          <w:i/>
          <w:iCs/>
          <w:noProof/>
        </w:rPr>
        <w:t>BMC Public Health</w:t>
      </w:r>
      <w:r w:rsidRPr="001473C6">
        <w:rPr>
          <w:rFonts w:ascii="Times New Roman" w:hAnsi="Times New Roman" w:cs="Times New Roman"/>
          <w:noProof/>
        </w:rPr>
        <w:t>, 18(1), p. 792. doi: 10.1186/s12889-018-5699-8.</w:t>
      </w:r>
    </w:p>
    <w:p w14:paraId="68DC728D"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Black, D. J. (1976) </w:t>
      </w:r>
      <w:r w:rsidRPr="001473C6">
        <w:rPr>
          <w:rFonts w:ascii="Times New Roman" w:hAnsi="Times New Roman" w:cs="Times New Roman"/>
          <w:i/>
          <w:iCs/>
          <w:noProof/>
        </w:rPr>
        <w:t>The behavior of law</w:t>
      </w:r>
      <w:r w:rsidRPr="001473C6">
        <w:rPr>
          <w:rFonts w:ascii="Times New Roman" w:hAnsi="Times New Roman" w:cs="Times New Roman"/>
          <w:noProof/>
        </w:rPr>
        <w:t>. Academic Press. Available at: https://books.google.co.uk/books/about/The_Behavior_of_Law.html?id=F5lzQgAACAAJ&amp;redir_esc=y (Accessed: 6 September 2018).</w:t>
      </w:r>
    </w:p>
    <w:p w14:paraId="6C23879A"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lastRenderedPageBreak/>
        <w:t xml:space="preserve">Bremner, J. D. (2003) ‘Long-term effects of childhood abuse on brain and neurobiology.’, </w:t>
      </w:r>
      <w:r w:rsidRPr="001473C6">
        <w:rPr>
          <w:rFonts w:ascii="Times New Roman" w:hAnsi="Times New Roman" w:cs="Times New Roman"/>
          <w:i/>
          <w:iCs/>
          <w:noProof/>
        </w:rPr>
        <w:t>Child and adolescent psychiatric clinics of North America</w:t>
      </w:r>
      <w:r w:rsidRPr="001473C6">
        <w:rPr>
          <w:rFonts w:ascii="Times New Roman" w:hAnsi="Times New Roman" w:cs="Times New Roman"/>
          <w:noProof/>
        </w:rPr>
        <w:t>, 12(2), pp. 271–92. Available at: http://www.ncbi.nlm.nih.gov/pubmed/12725012 (Accessed: 20 September 2016).</w:t>
      </w:r>
    </w:p>
    <w:p w14:paraId="2A160CDE"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Bridgewater, J. (2018) </w:t>
      </w:r>
      <w:r w:rsidRPr="001473C6">
        <w:rPr>
          <w:rFonts w:ascii="Times New Roman" w:hAnsi="Times New Roman" w:cs="Times New Roman"/>
          <w:i/>
          <w:iCs/>
          <w:noProof/>
        </w:rPr>
        <w:t>Adverse childhood experiences and adaptive functioning</w:t>
      </w:r>
      <w:r w:rsidRPr="001473C6">
        <w:rPr>
          <w:rFonts w:ascii="Times New Roman" w:hAnsi="Times New Roman" w:cs="Times New Roman"/>
          <w:noProof/>
        </w:rPr>
        <w:t>. Available at: http://scholarworks.csun.edu/bitstream/handle/10211.3/204007/Bridgewater-Jessie-thesis-2018.pdf?sequence=1 (Accessed: 6 September 2018).</w:t>
      </w:r>
    </w:p>
    <w:p w14:paraId="2AF8661C"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Corcoran, M. and McNulty, M. (2018) ‘Examining the role of attachment in the relationship between childhood adversity, psychological distress and subjective well-being’, </w:t>
      </w:r>
      <w:r w:rsidRPr="001473C6">
        <w:rPr>
          <w:rFonts w:ascii="Times New Roman" w:hAnsi="Times New Roman" w:cs="Times New Roman"/>
          <w:i/>
          <w:iCs/>
          <w:noProof/>
        </w:rPr>
        <w:t>Child Abuse &amp; Neglect</w:t>
      </w:r>
      <w:r w:rsidRPr="001473C6">
        <w:rPr>
          <w:rFonts w:ascii="Times New Roman" w:hAnsi="Times New Roman" w:cs="Times New Roman"/>
          <w:noProof/>
        </w:rPr>
        <w:t>. Pergamon, 76, pp. 297–309. doi: 10.1016/J.CHIABU.2017.11.012.</w:t>
      </w:r>
    </w:p>
    <w:p w14:paraId="16720243"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Couper, S. and Mackie, P. (2016) </w:t>
      </w:r>
      <w:r w:rsidRPr="001473C6">
        <w:rPr>
          <w:rFonts w:ascii="Times New Roman" w:hAnsi="Times New Roman" w:cs="Times New Roman"/>
          <w:i/>
          <w:iCs/>
          <w:noProof/>
        </w:rPr>
        <w:t>Scottish Public Health Network (ScotPHN) ‘Polishing the Diamonds’ Addressing Adverse Childhood Experiences in Scotland</w:t>
      </w:r>
      <w:r w:rsidRPr="001473C6">
        <w:rPr>
          <w:rFonts w:ascii="Times New Roman" w:hAnsi="Times New Roman" w:cs="Times New Roman"/>
          <w:noProof/>
        </w:rPr>
        <w:t>. Available at: http://www.cph.org.uk/wp- (Accessed: 6 September 2018).</w:t>
      </w:r>
    </w:p>
    <w:p w14:paraId="2ECD7FC2"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Creswell, J. W. (2003) </w:t>
      </w:r>
      <w:r w:rsidRPr="001473C6">
        <w:rPr>
          <w:rFonts w:ascii="Times New Roman" w:hAnsi="Times New Roman" w:cs="Times New Roman"/>
          <w:i/>
          <w:iCs/>
          <w:noProof/>
        </w:rPr>
        <w:t>Creswell, J.W.</w:t>
      </w:r>
      <w:r w:rsidRPr="001473C6">
        <w:rPr>
          <w:rFonts w:ascii="Times New Roman" w:hAnsi="Times New Roman" w:cs="Times New Roman"/>
          <w:noProof/>
        </w:rPr>
        <w:t xml:space="preserve">, </w:t>
      </w:r>
      <w:r w:rsidRPr="001473C6">
        <w:rPr>
          <w:rFonts w:ascii="Times New Roman" w:hAnsi="Times New Roman" w:cs="Times New Roman"/>
          <w:i/>
          <w:iCs/>
          <w:noProof/>
        </w:rPr>
        <w:t>Research design Qualitative quantitative and mixed methods approaches</w:t>
      </w:r>
      <w:r w:rsidRPr="001473C6">
        <w:rPr>
          <w:rFonts w:ascii="Times New Roman" w:hAnsi="Times New Roman" w:cs="Times New Roman"/>
          <w:noProof/>
        </w:rPr>
        <w:t>. doi: 10.3109/08941939.2012.723954.</w:t>
      </w:r>
    </w:p>
    <w:p w14:paraId="1CAB10E4"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Early Intervention Foundation (2017) </w:t>
      </w:r>
      <w:r w:rsidRPr="001473C6">
        <w:rPr>
          <w:rFonts w:ascii="Times New Roman" w:hAnsi="Times New Roman" w:cs="Times New Roman"/>
          <w:i/>
          <w:iCs/>
          <w:noProof/>
        </w:rPr>
        <w:t>Evidence-based early-years intervention: an enquiry by the Science and Technology Select Committee</w:t>
      </w:r>
      <w:r w:rsidRPr="001473C6">
        <w:rPr>
          <w:rFonts w:ascii="Times New Roman" w:hAnsi="Times New Roman" w:cs="Times New Roman"/>
          <w:noProof/>
        </w:rPr>
        <w:t>. Available at: http://www.eif.org.uk/publication/foundations-for-life-what-works-to-support-parent-child-interaction-in-the-early-years/ (Accessed: 6 September 2018).</w:t>
      </w:r>
    </w:p>
    <w:p w14:paraId="69B3C561"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Edwards, R. </w:t>
      </w:r>
      <w:r w:rsidRPr="001473C6">
        <w:rPr>
          <w:rFonts w:ascii="Times New Roman" w:hAnsi="Times New Roman" w:cs="Times New Roman"/>
          <w:i/>
          <w:iCs/>
          <w:noProof/>
        </w:rPr>
        <w:t>et al.</w:t>
      </w:r>
      <w:r w:rsidRPr="001473C6">
        <w:rPr>
          <w:rFonts w:ascii="Times New Roman" w:hAnsi="Times New Roman" w:cs="Times New Roman"/>
          <w:noProof/>
        </w:rPr>
        <w:t xml:space="preserve"> (2018) </w:t>
      </w:r>
      <w:r w:rsidRPr="001473C6">
        <w:rPr>
          <w:rFonts w:ascii="Times New Roman" w:hAnsi="Times New Roman" w:cs="Times New Roman"/>
          <w:i/>
          <w:iCs/>
          <w:noProof/>
        </w:rPr>
        <w:t>Written evidence based submission for the science and technology committee</w:t>
      </w:r>
      <w:r w:rsidRPr="001473C6">
        <w:rPr>
          <w:rFonts w:ascii="Times New Roman" w:hAnsi="Times New Roman" w:cs="Times New Roman"/>
          <w:noProof/>
        </w:rPr>
        <w:t>. Available at: http://data.parliament.uk/writtenevidence/committeeevidence.svc/evidencedocument/sci</w:t>
      </w:r>
      <w:r w:rsidRPr="001473C6">
        <w:rPr>
          <w:rFonts w:ascii="Times New Roman" w:hAnsi="Times New Roman" w:cs="Times New Roman"/>
          <w:noProof/>
        </w:rPr>
        <w:lastRenderedPageBreak/>
        <w:t>ence-and-technology-committee/evidencebased-early-years-intervention/written/75249.pdf (Accessed: 6 September 2018).</w:t>
      </w:r>
    </w:p>
    <w:p w14:paraId="30A8102D"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Felitti, V. J. </w:t>
      </w:r>
      <w:r w:rsidRPr="001473C6">
        <w:rPr>
          <w:rFonts w:ascii="Times New Roman" w:hAnsi="Times New Roman" w:cs="Times New Roman"/>
          <w:i/>
          <w:iCs/>
          <w:noProof/>
        </w:rPr>
        <w:t>et al.</w:t>
      </w:r>
      <w:r w:rsidRPr="001473C6">
        <w:rPr>
          <w:rFonts w:ascii="Times New Roman" w:hAnsi="Times New Roman" w:cs="Times New Roman"/>
          <w:noProof/>
        </w:rPr>
        <w:t xml:space="preserve"> (1998) ‘Relationship of childhood abuse and household dysfunction to many of the leading causes of death in adults. The Adverse Childhood Experiences (ACE) Study.’, </w:t>
      </w:r>
      <w:r w:rsidRPr="001473C6">
        <w:rPr>
          <w:rFonts w:ascii="Times New Roman" w:hAnsi="Times New Roman" w:cs="Times New Roman"/>
          <w:i/>
          <w:iCs/>
          <w:noProof/>
        </w:rPr>
        <w:t>American journal of preventive medicine</w:t>
      </w:r>
      <w:r w:rsidRPr="001473C6">
        <w:rPr>
          <w:rFonts w:ascii="Times New Roman" w:hAnsi="Times New Roman" w:cs="Times New Roman"/>
          <w:noProof/>
        </w:rPr>
        <w:t>, 14(4), pp. 245–58. Available at: http://www.ncbi.nlm.nih.gov/pubmed/9635069 (Accessed: 20 September 2016).</w:t>
      </w:r>
    </w:p>
    <w:p w14:paraId="3A816471"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Health, U. D. of (2014) </w:t>
      </w:r>
      <w:r w:rsidRPr="001473C6">
        <w:rPr>
          <w:rFonts w:ascii="Times New Roman" w:hAnsi="Times New Roman" w:cs="Times New Roman"/>
          <w:i/>
          <w:iCs/>
          <w:noProof/>
        </w:rPr>
        <w:t>Child Maltreatment 2014</w:t>
      </w:r>
      <w:r w:rsidRPr="001473C6">
        <w:rPr>
          <w:rFonts w:ascii="Times New Roman" w:hAnsi="Times New Roman" w:cs="Times New Roman"/>
          <w:noProof/>
        </w:rPr>
        <w:t>. doi: 10.1016/j.mppsy.2008.05.001.</w:t>
      </w:r>
    </w:p>
    <w:p w14:paraId="10F71194"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HMIC (2015) ‘In harm ’ s way : The role of the police in keeping children safe’, (July), pp. 1–91. Available at: www.justiceinspectorates.gov.uk/hmic (Accessed: 19 April 2017).</w:t>
      </w:r>
    </w:p>
    <w:p w14:paraId="716A1C07"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Hughes, K. </w:t>
      </w:r>
      <w:r w:rsidRPr="001473C6">
        <w:rPr>
          <w:rFonts w:ascii="Times New Roman" w:hAnsi="Times New Roman" w:cs="Times New Roman"/>
          <w:i/>
          <w:iCs/>
          <w:noProof/>
        </w:rPr>
        <w:t>et al.</w:t>
      </w:r>
      <w:r w:rsidRPr="001473C6">
        <w:rPr>
          <w:rFonts w:ascii="Times New Roman" w:hAnsi="Times New Roman" w:cs="Times New Roman"/>
          <w:noProof/>
        </w:rPr>
        <w:t xml:space="preserve"> (2017) ‘The effect of multiple adverse childhood experiences on health: a systematic review and meta-analysis’, </w:t>
      </w:r>
      <w:r w:rsidRPr="001473C6">
        <w:rPr>
          <w:rFonts w:ascii="Times New Roman" w:hAnsi="Times New Roman" w:cs="Times New Roman"/>
          <w:i/>
          <w:iCs/>
          <w:noProof/>
        </w:rPr>
        <w:t>The Lancet Public Health</w:t>
      </w:r>
      <w:r w:rsidRPr="001473C6">
        <w:rPr>
          <w:rFonts w:ascii="Times New Roman" w:hAnsi="Times New Roman" w:cs="Times New Roman"/>
          <w:noProof/>
        </w:rPr>
        <w:t>, 2(8), pp. e356–e366. doi: 10.1016/S2468-2667(17)30118-4.</w:t>
      </w:r>
    </w:p>
    <w:p w14:paraId="0EC21A67"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Hughes, N. and Chandan, J. (2017) </w:t>
      </w:r>
      <w:r w:rsidRPr="001473C6">
        <w:rPr>
          <w:rFonts w:ascii="Times New Roman" w:hAnsi="Times New Roman" w:cs="Times New Roman"/>
          <w:i/>
          <w:iCs/>
          <w:noProof/>
        </w:rPr>
        <w:t>The role of the West Midlands Police in identifying and responding to adverse childhood experiences: a process evaluation of the implementation of TIPT</w:t>
      </w:r>
      <w:r w:rsidRPr="001473C6">
        <w:rPr>
          <w:rFonts w:ascii="Times New Roman" w:hAnsi="Times New Roman" w:cs="Times New Roman"/>
          <w:noProof/>
        </w:rPr>
        <w:t>. Available at: file:///Users/Joht/Downloads/eipla-masterclass-nov17-externals.pdf (Accessed: 17 November 2019).</w:t>
      </w:r>
    </w:p>
    <w:p w14:paraId="477B9D96"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i-HOP (2017) </w:t>
      </w:r>
      <w:r w:rsidRPr="001473C6">
        <w:rPr>
          <w:rFonts w:ascii="Times New Roman" w:hAnsi="Times New Roman" w:cs="Times New Roman"/>
          <w:i/>
          <w:iCs/>
          <w:noProof/>
        </w:rPr>
        <w:t>i-HOP - Guest blog: Superintendent Kim Madhill on the West Midlands Police response to offenders’ families</w:t>
      </w:r>
      <w:r w:rsidRPr="001473C6">
        <w:rPr>
          <w:rFonts w:ascii="Times New Roman" w:hAnsi="Times New Roman" w:cs="Times New Roman"/>
          <w:noProof/>
        </w:rPr>
        <w:t>. Available at: https://barnardosihop.custhelp.com/app/answers/detail/a_id/889/~/guest-blog%3A-superintendent-kim-madhill-on-the-west-midlands-police-response-to?style=print (Accessed: 6 September 2018).</w:t>
      </w:r>
    </w:p>
    <w:p w14:paraId="6C5957DC"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Kendall-Tackett, K. (2002) ‘The health effects of childhood abuse: four pathways by which abuse can influence health’, </w:t>
      </w:r>
      <w:r w:rsidRPr="001473C6">
        <w:rPr>
          <w:rFonts w:ascii="Times New Roman" w:hAnsi="Times New Roman" w:cs="Times New Roman"/>
          <w:i/>
          <w:iCs/>
          <w:noProof/>
        </w:rPr>
        <w:t>Child Abuse &amp; Neglect</w:t>
      </w:r>
      <w:r w:rsidRPr="001473C6">
        <w:rPr>
          <w:rFonts w:ascii="Times New Roman" w:hAnsi="Times New Roman" w:cs="Times New Roman"/>
          <w:noProof/>
        </w:rPr>
        <w:t xml:space="preserve">, 26(6), pp. 715–729. doi: </w:t>
      </w:r>
      <w:r w:rsidRPr="001473C6">
        <w:rPr>
          <w:rFonts w:ascii="Times New Roman" w:hAnsi="Times New Roman" w:cs="Times New Roman"/>
          <w:noProof/>
        </w:rPr>
        <w:lastRenderedPageBreak/>
        <w:t>10.1016/S0145-2134(02)00343-5.</w:t>
      </w:r>
    </w:p>
    <w:p w14:paraId="3A8C80FE"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Kinner, S. A. and Borschmann, R. (2017) ‘Comment Inequality and intergenerational transmission of complex adversity’, </w:t>
      </w:r>
      <w:r w:rsidRPr="001473C6">
        <w:rPr>
          <w:rFonts w:ascii="Times New Roman" w:hAnsi="Times New Roman" w:cs="Times New Roman"/>
          <w:i/>
          <w:iCs/>
          <w:noProof/>
        </w:rPr>
        <w:t>The Lancet Public Health</w:t>
      </w:r>
      <w:r w:rsidRPr="001473C6">
        <w:rPr>
          <w:rFonts w:ascii="Times New Roman" w:hAnsi="Times New Roman" w:cs="Times New Roman"/>
          <w:noProof/>
        </w:rPr>
        <w:t>, 2, pp. e342–e343. doi: 10.1016/S0140-6736(17)31045-0.</w:t>
      </w:r>
    </w:p>
    <w:p w14:paraId="3B3D63AB"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McEwen, B. S. (2007) ‘Physiology and neurobiology of stress and adaptation: central role of the brain.’, </w:t>
      </w:r>
      <w:r w:rsidRPr="001473C6">
        <w:rPr>
          <w:rFonts w:ascii="Times New Roman" w:hAnsi="Times New Roman" w:cs="Times New Roman"/>
          <w:i/>
          <w:iCs/>
          <w:noProof/>
        </w:rPr>
        <w:t>Physiological reviews</w:t>
      </w:r>
      <w:r w:rsidRPr="001473C6">
        <w:rPr>
          <w:rFonts w:ascii="Times New Roman" w:hAnsi="Times New Roman" w:cs="Times New Roman"/>
          <w:noProof/>
        </w:rPr>
        <w:t>, 87(3), pp. 873–904. doi: 10.1152/physrev.00041.2006.</w:t>
      </w:r>
    </w:p>
    <w:p w14:paraId="3D257754"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Parliament of the United Kingdom of Great Britain and Northern Ireland (1989) </w:t>
      </w:r>
      <w:r w:rsidRPr="001473C6">
        <w:rPr>
          <w:rFonts w:ascii="Times New Roman" w:hAnsi="Times New Roman" w:cs="Times New Roman"/>
          <w:i/>
          <w:iCs/>
          <w:noProof/>
        </w:rPr>
        <w:t>Children Act 1989</w:t>
      </w:r>
      <w:r w:rsidRPr="001473C6">
        <w:rPr>
          <w:rFonts w:ascii="Times New Roman" w:hAnsi="Times New Roman" w:cs="Times New Roman"/>
          <w:noProof/>
        </w:rPr>
        <w:t xml:space="preserve">, </w:t>
      </w:r>
      <w:r w:rsidRPr="001473C6">
        <w:rPr>
          <w:rFonts w:ascii="Times New Roman" w:hAnsi="Times New Roman" w:cs="Times New Roman"/>
          <w:i/>
          <w:iCs/>
          <w:noProof/>
        </w:rPr>
        <w:t>Time</w:t>
      </w:r>
      <w:r w:rsidRPr="001473C6">
        <w:rPr>
          <w:rFonts w:ascii="Times New Roman" w:hAnsi="Times New Roman" w:cs="Times New Roman"/>
          <w:noProof/>
        </w:rPr>
        <w:t>. Statute Law Database. Available at: http://www.legislation.gov.uk/ukpga/1989/41/section/47 (Accessed: 19 April 2017).</w:t>
      </w:r>
    </w:p>
    <w:p w14:paraId="615FB40B"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Pope, C., Ziebland, S. and Mays, N. (2000) ‘Qualitative research in health care. Analysing qualitative data.’, </w:t>
      </w:r>
      <w:r w:rsidRPr="001473C6">
        <w:rPr>
          <w:rFonts w:ascii="Times New Roman" w:hAnsi="Times New Roman" w:cs="Times New Roman"/>
          <w:i/>
          <w:iCs/>
          <w:noProof/>
        </w:rPr>
        <w:t>BMJ (Clinical research ed.)</w:t>
      </w:r>
      <w:r w:rsidRPr="001473C6">
        <w:rPr>
          <w:rFonts w:ascii="Times New Roman" w:hAnsi="Times New Roman" w:cs="Times New Roman"/>
          <w:noProof/>
        </w:rPr>
        <w:t>, 320(7227), pp. 114–6. Available at: http://www.pubmedcentral.nih.gov/articlerender.fcgi?artid=1117368&amp;tool=pmcentrez&amp;rendertype=abstract (Accessed: 5 November 2012).</w:t>
      </w:r>
    </w:p>
    <w:p w14:paraId="2F8B04BB"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Public Health Wales (2015) ‘Adverse Childhood Experiences and their impact on health-harming behaviours in the Welsh adult population Welsh Adverse Childhood Experiences (ACE) Study’.</w:t>
      </w:r>
    </w:p>
    <w:p w14:paraId="034141A5"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Stevens, J. E. (2012) </w:t>
      </w:r>
      <w:r w:rsidRPr="001473C6">
        <w:rPr>
          <w:rFonts w:ascii="Times New Roman" w:hAnsi="Times New Roman" w:cs="Times New Roman"/>
          <w:i/>
          <w:iCs/>
          <w:noProof/>
        </w:rPr>
        <w:t>The Adverse Childhood Experiences Study — the largest, most important public health study you never heard of — began in an obesity clinic « ACEs Too High</w:t>
      </w:r>
      <w:r w:rsidRPr="001473C6">
        <w:rPr>
          <w:rFonts w:ascii="Times New Roman" w:hAnsi="Times New Roman" w:cs="Times New Roman"/>
          <w:noProof/>
        </w:rPr>
        <w:t>. Available at: https://acestoohigh.com/2012/10/03/the-adverse-childhood-experiences-study-the-largest-most-important-public-health-study-you-never-heard-of-began-in-an-obesity-clinic/ (Accessed: 17 November 2019).</w:t>
      </w:r>
    </w:p>
    <w:p w14:paraId="798003E5"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Taylor-Robinson, D. C., Straatmann, V. S. and Whitehead, M. (2018) ‘Adverse </w:t>
      </w:r>
      <w:r w:rsidRPr="001473C6">
        <w:rPr>
          <w:rFonts w:ascii="Times New Roman" w:hAnsi="Times New Roman" w:cs="Times New Roman"/>
          <w:noProof/>
        </w:rPr>
        <w:lastRenderedPageBreak/>
        <w:t xml:space="preserve">childhood experiences or adverse childhood socioeconomic conditions?’, </w:t>
      </w:r>
      <w:r w:rsidRPr="001473C6">
        <w:rPr>
          <w:rFonts w:ascii="Times New Roman" w:hAnsi="Times New Roman" w:cs="Times New Roman"/>
          <w:i/>
          <w:iCs/>
          <w:noProof/>
        </w:rPr>
        <w:t>The Lancet. Public health</w:t>
      </w:r>
      <w:r w:rsidRPr="001473C6">
        <w:rPr>
          <w:rFonts w:ascii="Times New Roman" w:hAnsi="Times New Roman" w:cs="Times New Roman"/>
          <w:noProof/>
        </w:rPr>
        <w:t>. Elsevier, 3(6), pp. e262–e263. doi: 10.1016/S2468-2667(18)30094-X.</w:t>
      </w:r>
    </w:p>
    <w:p w14:paraId="3F2267CC"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Turley, C. </w:t>
      </w:r>
      <w:r w:rsidRPr="001473C6">
        <w:rPr>
          <w:rFonts w:ascii="Times New Roman" w:hAnsi="Times New Roman" w:cs="Times New Roman"/>
          <w:i/>
          <w:iCs/>
          <w:noProof/>
        </w:rPr>
        <w:t>et al.</w:t>
      </w:r>
      <w:r w:rsidRPr="001473C6">
        <w:rPr>
          <w:rFonts w:ascii="Times New Roman" w:hAnsi="Times New Roman" w:cs="Times New Roman"/>
          <w:noProof/>
        </w:rPr>
        <w:t xml:space="preserve"> (2012) </w:t>
      </w:r>
      <w:r w:rsidRPr="001473C6">
        <w:rPr>
          <w:rFonts w:ascii="Times New Roman" w:hAnsi="Times New Roman" w:cs="Times New Roman"/>
          <w:i/>
          <w:iCs/>
          <w:noProof/>
        </w:rPr>
        <w:t>Research Report 61 - Delivering neighbourhood policing in partnership</w:t>
      </w:r>
      <w:r w:rsidRPr="001473C6">
        <w:rPr>
          <w:rFonts w:ascii="Times New Roman" w:hAnsi="Times New Roman" w:cs="Times New Roman"/>
          <w:noProof/>
        </w:rPr>
        <w:t>. Available at: http://www.neighbourhoodpolicing.co.uk/1521.aspx (Accessed: 6 September 2018).</w:t>
      </w:r>
    </w:p>
    <w:p w14:paraId="25F4D467" w14:textId="77777777" w:rsidR="001473C6" w:rsidRPr="001473C6" w:rsidRDefault="001473C6" w:rsidP="001473C6">
      <w:pPr>
        <w:widowControl w:val="0"/>
        <w:autoSpaceDE w:val="0"/>
        <w:autoSpaceDN w:val="0"/>
        <w:adjustRightInd w:val="0"/>
        <w:spacing w:line="480" w:lineRule="auto"/>
        <w:rPr>
          <w:rFonts w:ascii="Times New Roman" w:hAnsi="Times New Roman" w:cs="Times New Roman"/>
          <w:noProof/>
        </w:rPr>
      </w:pPr>
      <w:r w:rsidRPr="001473C6">
        <w:rPr>
          <w:rFonts w:ascii="Times New Roman" w:hAnsi="Times New Roman" w:cs="Times New Roman"/>
          <w:noProof/>
        </w:rPr>
        <w:t xml:space="preserve">UCL Institute of Health Equity (2015) </w:t>
      </w:r>
      <w:r w:rsidRPr="001473C6">
        <w:rPr>
          <w:rFonts w:ascii="Times New Roman" w:hAnsi="Times New Roman" w:cs="Times New Roman"/>
          <w:i/>
          <w:iCs/>
          <w:noProof/>
        </w:rPr>
        <w:t>The impact of adverse experiences in the home on the health of children and young people, and inequalities in prevalence and effects The impact of adverse experiences in the home on the health of children and young people, and inequalities in prevalence and effects 3</w:t>
      </w:r>
      <w:r w:rsidRPr="001473C6">
        <w:rPr>
          <w:rFonts w:ascii="Times New Roman" w:hAnsi="Times New Roman" w:cs="Times New Roman"/>
          <w:noProof/>
        </w:rPr>
        <w:t>. Available at: www.instituteofhealthequity.org (Accessed: 6 September 2018).</w:t>
      </w:r>
    </w:p>
    <w:p w14:paraId="201968A4" w14:textId="3C853E59" w:rsidR="00965D64" w:rsidRPr="002A316F" w:rsidRDefault="00854754" w:rsidP="001473C6">
      <w:pPr>
        <w:widowControl w:val="0"/>
        <w:autoSpaceDE w:val="0"/>
        <w:autoSpaceDN w:val="0"/>
        <w:adjustRightInd w:val="0"/>
        <w:spacing w:line="480" w:lineRule="auto"/>
        <w:rPr>
          <w:rFonts w:ascii="Times New Roman" w:hAnsi="Times New Roman" w:cs="Times New Roman"/>
        </w:rPr>
      </w:pPr>
      <w:r w:rsidRPr="002A316F">
        <w:rPr>
          <w:rFonts w:ascii="Times New Roman" w:hAnsi="Times New Roman" w:cs="Times New Roman"/>
        </w:rPr>
        <w:fldChar w:fldCharType="end"/>
      </w:r>
    </w:p>
    <w:p w14:paraId="50C0307A" w14:textId="77777777" w:rsidR="005810D8" w:rsidRPr="00B313E7" w:rsidRDefault="005810D8" w:rsidP="007F779A">
      <w:pPr>
        <w:spacing w:line="480" w:lineRule="auto"/>
        <w:rPr>
          <w:rFonts w:ascii="Times New Roman" w:hAnsi="Times New Roman" w:cs="Times New Roman"/>
        </w:rPr>
      </w:pPr>
    </w:p>
    <w:p w14:paraId="78109E12" w14:textId="77777777" w:rsidR="004B79D3" w:rsidRPr="00D06237" w:rsidRDefault="004B79D3" w:rsidP="007F779A">
      <w:pPr>
        <w:spacing w:line="480" w:lineRule="auto"/>
        <w:rPr>
          <w:rFonts w:ascii="Times New Roman" w:hAnsi="Times New Roman" w:cs="Times New Roman"/>
        </w:rPr>
      </w:pPr>
    </w:p>
    <w:sectPr w:rsidR="004B79D3" w:rsidRPr="00D06237" w:rsidSect="006A05F8">
      <w:footerReference w:type="even" r:id="rId8"/>
      <w:footerReference w:type="default" r:id="rId9"/>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D82F" w14:textId="77777777" w:rsidR="00424124" w:rsidRDefault="00424124" w:rsidP="00E52C7A">
      <w:r>
        <w:separator/>
      </w:r>
    </w:p>
  </w:endnote>
  <w:endnote w:type="continuationSeparator" w:id="0">
    <w:p w14:paraId="47C34A6E" w14:textId="77777777" w:rsidR="00424124" w:rsidRDefault="00424124" w:rsidP="00E5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Calibr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9370509"/>
      <w:docPartObj>
        <w:docPartGallery w:val="Page Numbers (Bottom of Page)"/>
        <w:docPartUnique/>
      </w:docPartObj>
    </w:sdtPr>
    <w:sdtEndPr>
      <w:rPr>
        <w:rStyle w:val="PageNumber"/>
      </w:rPr>
    </w:sdtEndPr>
    <w:sdtContent>
      <w:p w14:paraId="41F2D78C" w14:textId="7352AE96" w:rsidR="00E52C7A" w:rsidRDefault="00E52C7A" w:rsidP="00ED5F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20FBF" w14:textId="77777777" w:rsidR="00E52C7A" w:rsidRDefault="00E52C7A" w:rsidP="00E52C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6527406"/>
      <w:docPartObj>
        <w:docPartGallery w:val="Page Numbers (Bottom of Page)"/>
        <w:docPartUnique/>
      </w:docPartObj>
    </w:sdtPr>
    <w:sdtEndPr>
      <w:rPr>
        <w:rStyle w:val="PageNumber"/>
      </w:rPr>
    </w:sdtEndPr>
    <w:sdtContent>
      <w:p w14:paraId="65E77CA3" w14:textId="2AD26B6A" w:rsidR="00E52C7A" w:rsidRDefault="00E52C7A" w:rsidP="00ED5F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F6A85">
          <w:rPr>
            <w:rStyle w:val="PageNumber"/>
            <w:noProof/>
          </w:rPr>
          <w:t>30</w:t>
        </w:r>
        <w:r>
          <w:rPr>
            <w:rStyle w:val="PageNumber"/>
          </w:rPr>
          <w:fldChar w:fldCharType="end"/>
        </w:r>
      </w:p>
    </w:sdtContent>
  </w:sdt>
  <w:p w14:paraId="55A63FB9" w14:textId="77777777" w:rsidR="00E52C7A" w:rsidRDefault="00E52C7A" w:rsidP="00E52C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72663" w14:textId="77777777" w:rsidR="00424124" w:rsidRDefault="00424124" w:rsidP="00E52C7A">
      <w:r>
        <w:separator/>
      </w:r>
    </w:p>
  </w:footnote>
  <w:footnote w:type="continuationSeparator" w:id="0">
    <w:p w14:paraId="2E8FC78D" w14:textId="77777777" w:rsidR="00424124" w:rsidRDefault="00424124" w:rsidP="00E52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C3000"/>
    <w:multiLevelType w:val="multilevel"/>
    <w:tmpl w:val="7456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AC13D4"/>
    <w:multiLevelType w:val="hybridMultilevel"/>
    <w:tmpl w:val="767873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AA573D"/>
    <w:multiLevelType w:val="hybridMultilevel"/>
    <w:tmpl w:val="2576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05EE4"/>
    <w:multiLevelType w:val="multilevel"/>
    <w:tmpl w:val="5166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4A794A"/>
    <w:multiLevelType w:val="hybridMultilevel"/>
    <w:tmpl w:val="CDD0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D8"/>
    <w:rsid w:val="00000701"/>
    <w:rsid w:val="0000200B"/>
    <w:rsid w:val="00003B72"/>
    <w:rsid w:val="0001041C"/>
    <w:rsid w:val="00016D98"/>
    <w:rsid w:val="000172CC"/>
    <w:rsid w:val="00024E99"/>
    <w:rsid w:val="00025007"/>
    <w:rsid w:val="000251BE"/>
    <w:rsid w:val="000300D8"/>
    <w:rsid w:val="00034AE9"/>
    <w:rsid w:val="00050A9D"/>
    <w:rsid w:val="00070676"/>
    <w:rsid w:val="0007187C"/>
    <w:rsid w:val="00076722"/>
    <w:rsid w:val="0008090E"/>
    <w:rsid w:val="000835A8"/>
    <w:rsid w:val="000A1E0D"/>
    <w:rsid w:val="000A77D8"/>
    <w:rsid w:val="000B0E44"/>
    <w:rsid w:val="000B4992"/>
    <w:rsid w:val="000B6828"/>
    <w:rsid w:val="000D04FA"/>
    <w:rsid w:val="000D10A3"/>
    <w:rsid w:val="000D127C"/>
    <w:rsid w:val="000D3626"/>
    <w:rsid w:val="000E4F44"/>
    <w:rsid w:val="000E7CA1"/>
    <w:rsid w:val="000E7D2C"/>
    <w:rsid w:val="000F16F1"/>
    <w:rsid w:val="000F1CE7"/>
    <w:rsid w:val="000F395E"/>
    <w:rsid w:val="00102958"/>
    <w:rsid w:val="00103ACB"/>
    <w:rsid w:val="00107EBD"/>
    <w:rsid w:val="001133CF"/>
    <w:rsid w:val="00113443"/>
    <w:rsid w:val="00120BA5"/>
    <w:rsid w:val="00131A08"/>
    <w:rsid w:val="00131D35"/>
    <w:rsid w:val="001471B3"/>
    <w:rsid w:val="001473C6"/>
    <w:rsid w:val="00152FEE"/>
    <w:rsid w:val="00154DA0"/>
    <w:rsid w:val="00156DBD"/>
    <w:rsid w:val="00172FFB"/>
    <w:rsid w:val="00194CFD"/>
    <w:rsid w:val="00196AEC"/>
    <w:rsid w:val="00196B5F"/>
    <w:rsid w:val="00196C8B"/>
    <w:rsid w:val="001A17D2"/>
    <w:rsid w:val="001A7E18"/>
    <w:rsid w:val="001C7120"/>
    <w:rsid w:val="001C7F72"/>
    <w:rsid w:val="001D098D"/>
    <w:rsid w:val="001D1134"/>
    <w:rsid w:val="001D2B2E"/>
    <w:rsid w:val="001D6574"/>
    <w:rsid w:val="001E1864"/>
    <w:rsid w:val="001E28B3"/>
    <w:rsid w:val="001F629A"/>
    <w:rsid w:val="002137DF"/>
    <w:rsid w:val="002212CC"/>
    <w:rsid w:val="0022665E"/>
    <w:rsid w:val="00234A69"/>
    <w:rsid w:val="00236DAC"/>
    <w:rsid w:val="00240F92"/>
    <w:rsid w:val="002425C4"/>
    <w:rsid w:val="002457DB"/>
    <w:rsid w:val="00246856"/>
    <w:rsid w:val="00247E1D"/>
    <w:rsid w:val="002647DD"/>
    <w:rsid w:val="00265E21"/>
    <w:rsid w:val="002710A2"/>
    <w:rsid w:val="002755D1"/>
    <w:rsid w:val="002810B9"/>
    <w:rsid w:val="00283E64"/>
    <w:rsid w:val="0028480F"/>
    <w:rsid w:val="002873F4"/>
    <w:rsid w:val="0029433F"/>
    <w:rsid w:val="00297D9B"/>
    <w:rsid w:val="002A316F"/>
    <w:rsid w:val="002A461B"/>
    <w:rsid w:val="002B3890"/>
    <w:rsid w:val="002D5555"/>
    <w:rsid w:val="002D6464"/>
    <w:rsid w:val="002E1CBD"/>
    <w:rsid w:val="002E30C5"/>
    <w:rsid w:val="0032793C"/>
    <w:rsid w:val="00333880"/>
    <w:rsid w:val="00334DEE"/>
    <w:rsid w:val="00336B91"/>
    <w:rsid w:val="003454F2"/>
    <w:rsid w:val="003458BB"/>
    <w:rsid w:val="0034662D"/>
    <w:rsid w:val="00376194"/>
    <w:rsid w:val="00393130"/>
    <w:rsid w:val="00394A20"/>
    <w:rsid w:val="00394EA8"/>
    <w:rsid w:val="00396E96"/>
    <w:rsid w:val="003A5A24"/>
    <w:rsid w:val="003A68F7"/>
    <w:rsid w:val="003B689B"/>
    <w:rsid w:val="003C1A06"/>
    <w:rsid w:val="003C7831"/>
    <w:rsid w:val="003D519B"/>
    <w:rsid w:val="003F5BC7"/>
    <w:rsid w:val="003F66FB"/>
    <w:rsid w:val="00403636"/>
    <w:rsid w:val="00407A2E"/>
    <w:rsid w:val="004150BC"/>
    <w:rsid w:val="00422437"/>
    <w:rsid w:val="00424124"/>
    <w:rsid w:val="00427DC7"/>
    <w:rsid w:val="004362AB"/>
    <w:rsid w:val="00443082"/>
    <w:rsid w:val="004433F9"/>
    <w:rsid w:val="0047271B"/>
    <w:rsid w:val="00483DE8"/>
    <w:rsid w:val="00483FD4"/>
    <w:rsid w:val="0048697F"/>
    <w:rsid w:val="00487F17"/>
    <w:rsid w:val="00491ED8"/>
    <w:rsid w:val="004B08F5"/>
    <w:rsid w:val="004B3716"/>
    <w:rsid w:val="004B4DDC"/>
    <w:rsid w:val="004B565F"/>
    <w:rsid w:val="004B79D3"/>
    <w:rsid w:val="004C1F84"/>
    <w:rsid w:val="004D3C5A"/>
    <w:rsid w:val="004F13FF"/>
    <w:rsid w:val="004F216E"/>
    <w:rsid w:val="004F599C"/>
    <w:rsid w:val="005045A2"/>
    <w:rsid w:val="00522D79"/>
    <w:rsid w:val="005232C1"/>
    <w:rsid w:val="00546B1D"/>
    <w:rsid w:val="005551FD"/>
    <w:rsid w:val="005555F5"/>
    <w:rsid w:val="00555EF0"/>
    <w:rsid w:val="00562F49"/>
    <w:rsid w:val="005647B3"/>
    <w:rsid w:val="0056480C"/>
    <w:rsid w:val="00566404"/>
    <w:rsid w:val="005810D8"/>
    <w:rsid w:val="00587C34"/>
    <w:rsid w:val="00596A18"/>
    <w:rsid w:val="00597695"/>
    <w:rsid w:val="005A0239"/>
    <w:rsid w:val="005A0BC5"/>
    <w:rsid w:val="005B0B4B"/>
    <w:rsid w:val="005B3041"/>
    <w:rsid w:val="005B34F9"/>
    <w:rsid w:val="005B6521"/>
    <w:rsid w:val="005B7DCF"/>
    <w:rsid w:val="005C3CB0"/>
    <w:rsid w:val="005C4709"/>
    <w:rsid w:val="005C4897"/>
    <w:rsid w:val="005D4221"/>
    <w:rsid w:val="005E3091"/>
    <w:rsid w:val="005E5C3E"/>
    <w:rsid w:val="005F1410"/>
    <w:rsid w:val="006031E7"/>
    <w:rsid w:val="00603648"/>
    <w:rsid w:val="0061104D"/>
    <w:rsid w:val="0061233C"/>
    <w:rsid w:val="0061252E"/>
    <w:rsid w:val="00613F09"/>
    <w:rsid w:val="006254A4"/>
    <w:rsid w:val="00630C3A"/>
    <w:rsid w:val="006445F0"/>
    <w:rsid w:val="00657A22"/>
    <w:rsid w:val="00662100"/>
    <w:rsid w:val="0066252F"/>
    <w:rsid w:val="00674048"/>
    <w:rsid w:val="006771F1"/>
    <w:rsid w:val="00683081"/>
    <w:rsid w:val="00684A2F"/>
    <w:rsid w:val="006906F9"/>
    <w:rsid w:val="00690A1F"/>
    <w:rsid w:val="006951B7"/>
    <w:rsid w:val="006A05F8"/>
    <w:rsid w:val="006A5AAD"/>
    <w:rsid w:val="006A7009"/>
    <w:rsid w:val="006B1D19"/>
    <w:rsid w:val="006C5703"/>
    <w:rsid w:val="006D10C8"/>
    <w:rsid w:val="006D421A"/>
    <w:rsid w:val="006D566D"/>
    <w:rsid w:val="006E5552"/>
    <w:rsid w:val="00715C5B"/>
    <w:rsid w:val="007218F5"/>
    <w:rsid w:val="00736539"/>
    <w:rsid w:val="007373CE"/>
    <w:rsid w:val="00737B8C"/>
    <w:rsid w:val="0074131C"/>
    <w:rsid w:val="007432BE"/>
    <w:rsid w:val="0074570A"/>
    <w:rsid w:val="007503E3"/>
    <w:rsid w:val="00751F2E"/>
    <w:rsid w:val="00752A02"/>
    <w:rsid w:val="0075666D"/>
    <w:rsid w:val="00761FA3"/>
    <w:rsid w:val="00762466"/>
    <w:rsid w:val="0076351F"/>
    <w:rsid w:val="00763799"/>
    <w:rsid w:val="0076544A"/>
    <w:rsid w:val="00772894"/>
    <w:rsid w:val="00784995"/>
    <w:rsid w:val="00786928"/>
    <w:rsid w:val="00793518"/>
    <w:rsid w:val="00793A06"/>
    <w:rsid w:val="00794E59"/>
    <w:rsid w:val="007A1D9F"/>
    <w:rsid w:val="007B6C64"/>
    <w:rsid w:val="007C282A"/>
    <w:rsid w:val="007D0CC7"/>
    <w:rsid w:val="007D2383"/>
    <w:rsid w:val="007D2FC6"/>
    <w:rsid w:val="007D3687"/>
    <w:rsid w:val="007D40BC"/>
    <w:rsid w:val="007D4279"/>
    <w:rsid w:val="007E00CD"/>
    <w:rsid w:val="007E53DF"/>
    <w:rsid w:val="007F04E5"/>
    <w:rsid w:val="007F4EAB"/>
    <w:rsid w:val="007F779A"/>
    <w:rsid w:val="008010AC"/>
    <w:rsid w:val="00806353"/>
    <w:rsid w:val="00806814"/>
    <w:rsid w:val="0081544B"/>
    <w:rsid w:val="00831759"/>
    <w:rsid w:val="00832ED9"/>
    <w:rsid w:val="0083621C"/>
    <w:rsid w:val="00842281"/>
    <w:rsid w:val="00844A96"/>
    <w:rsid w:val="008511C1"/>
    <w:rsid w:val="00854754"/>
    <w:rsid w:val="00854865"/>
    <w:rsid w:val="00860838"/>
    <w:rsid w:val="00865C5E"/>
    <w:rsid w:val="0086715E"/>
    <w:rsid w:val="00877DB7"/>
    <w:rsid w:val="008813D7"/>
    <w:rsid w:val="00883EBF"/>
    <w:rsid w:val="008866DB"/>
    <w:rsid w:val="0089056F"/>
    <w:rsid w:val="00895057"/>
    <w:rsid w:val="008A14F6"/>
    <w:rsid w:val="008A36ED"/>
    <w:rsid w:val="008A47FB"/>
    <w:rsid w:val="008A6E40"/>
    <w:rsid w:val="008B3059"/>
    <w:rsid w:val="008B34C3"/>
    <w:rsid w:val="008C0324"/>
    <w:rsid w:val="008C3842"/>
    <w:rsid w:val="008C7E72"/>
    <w:rsid w:val="008D1D07"/>
    <w:rsid w:val="008D7C66"/>
    <w:rsid w:val="008E0E7A"/>
    <w:rsid w:val="008E1AA0"/>
    <w:rsid w:val="008E2D51"/>
    <w:rsid w:val="008F14C8"/>
    <w:rsid w:val="008F2D90"/>
    <w:rsid w:val="008F440B"/>
    <w:rsid w:val="00917A1A"/>
    <w:rsid w:val="009208A4"/>
    <w:rsid w:val="00923FB0"/>
    <w:rsid w:val="009400C9"/>
    <w:rsid w:val="00947982"/>
    <w:rsid w:val="00951169"/>
    <w:rsid w:val="00951B36"/>
    <w:rsid w:val="00953010"/>
    <w:rsid w:val="00956DD1"/>
    <w:rsid w:val="00961207"/>
    <w:rsid w:val="00965D64"/>
    <w:rsid w:val="00970BA6"/>
    <w:rsid w:val="009720D3"/>
    <w:rsid w:val="0097577E"/>
    <w:rsid w:val="009841AA"/>
    <w:rsid w:val="0098444D"/>
    <w:rsid w:val="009A25E5"/>
    <w:rsid w:val="009B0700"/>
    <w:rsid w:val="009D1E9D"/>
    <w:rsid w:val="009E492E"/>
    <w:rsid w:val="009E63A4"/>
    <w:rsid w:val="009F551D"/>
    <w:rsid w:val="00A141DE"/>
    <w:rsid w:val="00A243BC"/>
    <w:rsid w:val="00A25219"/>
    <w:rsid w:val="00A3297B"/>
    <w:rsid w:val="00A42418"/>
    <w:rsid w:val="00A43576"/>
    <w:rsid w:val="00A45718"/>
    <w:rsid w:val="00A52A37"/>
    <w:rsid w:val="00A63683"/>
    <w:rsid w:val="00A63EDB"/>
    <w:rsid w:val="00A65BF0"/>
    <w:rsid w:val="00A710D2"/>
    <w:rsid w:val="00A753CD"/>
    <w:rsid w:val="00A77D41"/>
    <w:rsid w:val="00A80BD2"/>
    <w:rsid w:val="00A84E90"/>
    <w:rsid w:val="00A9431A"/>
    <w:rsid w:val="00A968E8"/>
    <w:rsid w:val="00A97F47"/>
    <w:rsid w:val="00AA5BC6"/>
    <w:rsid w:val="00AB0725"/>
    <w:rsid w:val="00AB0EB7"/>
    <w:rsid w:val="00AC1F32"/>
    <w:rsid w:val="00AC3DF5"/>
    <w:rsid w:val="00AC7E47"/>
    <w:rsid w:val="00AD317B"/>
    <w:rsid w:val="00AE156C"/>
    <w:rsid w:val="00AE528A"/>
    <w:rsid w:val="00AF0AB7"/>
    <w:rsid w:val="00AF254E"/>
    <w:rsid w:val="00AF2962"/>
    <w:rsid w:val="00B047B3"/>
    <w:rsid w:val="00B07D1A"/>
    <w:rsid w:val="00B12FF3"/>
    <w:rsid w:val="00B164BB"/>
    <w:rsid w:val="00B20946"/>
    <w:rsid w:val="00B24E87"/>
    <w:rsid w:val="00B313E7"/>
    <w:rsid w:val="00B426A5"/>
    <w:rsid w:val="00B47615"/>
    <w:rsid w:val="00B477BD"/>
    <w:rsid w:val="00B504CC"/>
    <w:rsid w:val="00B50D42"/>
    <w:rsid w:val="00B5307A"/>
    <w:rsid w:val="00B5677A"/>
    <w:rsid w:val="00B600F2"/>
    <w:rsid w:val="00B63DC5"/>
    <w:rsid w:val="00B6753A"/>
    <w:rsid w:val="00B7672E"/>
    <w:rsid w:val="00B87B7A"/>
    <w:rsid w:val="00B94946"/>
    <w:rsid w:val="00B962FF"/>
    <w:rsid w:val="00B96D8D"/>
    <w:rsid w:val="00BA2F57"/>
    <w:rsid w:val="00BA4A76"/>
    <w:rsid w:val="00BA5D35"/>
    <w:rsid w:val="00BB764A"/>
    <w:rsid w:val="00BC1D68"/>
    <w:rsid w:val="00BC1ED1"/>
    <w:rsid w:val="00BC26FD"/>
    <w:rsid w:val="00BC316F"/>
    <w:rsid w:val="00BC3199"/>
    <w:rsid w:val="00BC47E2"/>
    <w:rsid w:val="00BD1F67"/>
    <w:rsid w:val="00BE074B"/>
    <w:rsid w:val="00BE3033"/>
    <w:rsid w:val="00BE39F5"/>
    <w:rsid w:val="00BE7ED3"/>
    <w:rsid w:val="00BF01BD"/>
    <w:rsid w:val="00BF67E5"/>
    <w:rsid w:val="00C00285"/>
    <w:rsid w:val="00C061FA"/>
    <w:rsid w:val="00C15106"/>
    <w:rsid w:val="00C17826"/>
    <w:rsid w:val="00C2245D"/>
    <w:rsid w:val="00C22DF2"/>
    <w:rsid w:val="00C3076A"/>
    <w:rsid w:val="00C37870"/>
    <w:rsid w:val="00C41AB5"/>
    <w:rsid w:val="00C45687"/>
    <w:rsid w:val="00C467E4"/>
    <w:rsid w:val="00C50AD1"/>
    <w:rsid w:val="00C54940"/>
    <w:rsid w:val="00C625E9"/>
    <w:rsid w:val="00CA21CC"/>
    <w:rsid w:val="00CA52E4"/>
    <w:rsid w:val="00CB20F7"/>
    <w:rsid w:val="00CB2AC4"/>
    <w:rsid w:val="00CB63A5"/>
    <w:rsid w:val="00CB75DD"/>
    <w:rsid w:val="00CC38F7"/>
    <w:rsid w:val="00CC5517"/>
    <w:rsid w:val="00CD3E2C"/>
    <w:rsid w:val="00CD7C93"/>
    <w:rsid w:val="00CE2909"/>
    <w:rsid w:val="00CF0EB1"/>
    <w:rsid w:val="00CF6009"/>
    <w:rsid w:val="00CF6A85"/>
    <w:rsid w:val="00D0122C"/>
    <w:rsid w:val="00D06237"/>
    <w:rsid w:val="00D07944"/>
    <w:rsid w:val="00D119F3"/>
    <w:rsid w:val="00D165AC"/>
    <w:rsid w:val="00D257D2"/>
    <w:rsid w:val="00D25A4D"/>
    <w:rsid w:val="00D273A7"/>
    <w:rsid w:val="00D364A0"/>
    <w:rsid w:val="00D4411C"/>
    <w:rsid w:val="00D52E74"/>
    <w:rsid w:val="00D87DA1"/>
    <w:rsid w:val="00D92016"/>
    <w:rsid w:val="00D96839"/>
    <w:rsid w:val="00DA53D2"/>
    <w:rsid w:val="00DB0928"/>
    <w:rsid w:val="00DB46C3"/>
    <w:rsid w:val="00DB4CBD"/>
    <w:rsid w:val="00DB5170"/>
    <w:rsid w:val="00DC22AC"/>
    <w:rsid w:val="00DC2781"/>
    <w:rsid w:val="00DC40BE"/>
    <w:rsid w:val="00DE1BDA"/>
    <w:rsid w:val="00DE2021"/>
    <w:rsid w:val="00DF082E"/>
    <w:rsid w:val="00DF4D01"/>
    <w:rsid w:val="00DF5DEE"/>
    <w:rsid w:val="00E06E84"/>
    <w:rsid w:val="00E12914"/>
    <w:rsid w:val="00E2088A"/>
    <w:rsid w:val="00E2322A"/>
    <w:rsid w:val="00E30636"/>
    <w:rsid w:val="00E33C8D"/>
    <w:rsid w:val="00E35C34"/>
    <w:rsid w:val="00E51F00"/>
    <w:rsid w:val="00E52C7A"/>
    <w:rsid w:val="00E63178"/>
    <w:rsid w:val="00E635D9"/>
    <w:rsid w:val="00E636BA"/>
    <w:rsid w:val="00E81CC4"/>
    <w:rsid w:val="00EA27A5"/>
    <w:rsid w:val="00EA7942"/>
    <w:rsid w:val="00EB3F6B"/>
    <w:rsid w:val="00EB5D10"/>
    <w:rsid w:val="00EC154B"/>
    <w:rsid w:val="00EE48F4"/>
    <w:rsid w:val="00EF202A"/>
    <w:rsid w:val="00EF4F3F"/>
    <w:rsid w:val="00F13257"/>
    <w:rsid w:val="00F14545"/>
    <w:rsid w:val="00F176D1"/>
    <w:rsid w:val="00F22ED4"/>
    <w:rsid w:val="00F44462"/>
    <w:rsid w:val="00F510EA"/>
    <w:rsid w:val="00F53E9A"/>
    <w:rsid w:val="00F67C7E"/>
    <w:rsid w:val="00F67EC1"/>
    <w:rsid w:val="00F71684"/>
    <w:rsid w:val="00F809DE"/>
    <w:rsid w:val="00F80C77"/>
    <w:rsid w:val="00F8500C"/>
    <w:rsid w:val="00F90323"/>
    <w:rsid w:val="00F97DCA"/>
    <w:rsid w:val="00FA2B6D"/>
    <w:rsid w:val="00FB0C5D"/>
    <w:rsid w:val="00FB79E7"/>
    <w:rsid w:val="00FD2C92"/>
    <w:rsid w:val="00FE1A29"/>
    <w:rsid w:val="00FE2BDE"/>
    <w:rsid w:val="00FF56E5"/>
    <w:rsid w:val="00FF6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D4A22A"/>
  <w15:docId w15:val="{E4209BE0-AF9D-A048-BC44-64C2E10D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D8"/>
    <w:rPr>
      <w:lang w:val="en-GB"/>
    </w:rPr>
  </w:style>
  <w:style w:type="paragraph" w:styleId="Heading1">
    <w:name w:val="heading 1"/>
    <w:basedOn w:val="Normal"/>
    <w:next w:val="Normal"/>
    <w:link w:val="Heading1Char"/>
    <w:uiPriority w:val="9"/>
    <w:qFormat/>
    <w:rsid w:val="005810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10D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10D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810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0D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5810D8"/>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5810D8"/>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5810D8"/>
    <w:rPr>
      <w:rFonts w:asciiTheme="majorHAnsi" w:eastAsiaTheme="majorEastAsia" w:hAnsiTheme="majorHAnsi" w:cstheme="majorBidi"/>
      <w:i/>
      <w:iCs/>
      <w:color w:val="2F5496" w:themeColor="accent1" w:themeShade="BF"/>
      <w:lang w:val="en-GB"/>
    </w:rPr>
  </w:style>
  <w:style w:type="paragraph" w:styleId="ListParagraph">
    <w:name w:val="List Paragraph"/>
    <w:basedOn w:val="Normal"/>
    <w:uiPriority w:val="34"/>
    <w:qFormat/>
    <w:rsid w:val="005810D8"/>
    <w:pPr>
      <w:ind w:left="720"/>
      <w:contextualSpacing/>
    </w:pPr>
  </w:style>
  <w:style w:type="character" w:styleId="CommentReference">
    <w:name w:val="annotation reference"/>
    <w:basedOn w:val="DefaultParagraphFont"/>
    <w:uiPriority w:val="99"/>
    <w:semiHidden/>
    <w:unhideWhenUsed/>
    <w:rsid w:val="005810D8"/>
    <w:rPr>
      <w:sz w:val="18"/>
      <w:szCs w:val="18"/>
    </w:rPr>
  </w:style>
  <w:style w:type="paragraph" w:styleId="Title">
    <w:name w:val="Title"/>
    <w:basedOn w:val="Normal"/>
    <w:next w:val="Normal"/>
    <w:link w:val="TitleChar"/>
    <w:uiPriority w:val="10"/>
    <w:qFormat/>
    <w:rsid w:val="00DC27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781"/>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AF2962"/>
    <w:rPr>
      <w:color w:val="0563C1" w:themeColor="hyperlink"/>
      <w:u w:val="single"/>
    </w:rPr>
  </w:style>
  <w:style w:type="character" w:customStyle="1" w:styleId="UnresolvedMention1">
    <w:name w:val="Unresolved Mention1"/>
    <w:basedOn w:val="DefaultParagraphFont"/>
    <w:uiPriority w:val="99"/>
    <w:rsid w:val="00AF2962"/>
    <w:rPr>
      <w:color w:val="605E5C"/>
      <w:shd w:val="clear" w:color="auto" w:fill="E1DFDD"/>
    </w:rPr>
  </w:style>
  <w:style w:type="character" w:styleId="FollowedHyperlink">
    <w:name w:val="FollowedHyperlink"/>
    <w:basedOn w:val="DefaultParagraphFont"/>
    <w:uiPriority w:val="99"/>
    <w:semiHidden/>
    <w:unhideWhenUsed/>
    <w:rsid w:val="00194CFD"/>
    <w:rPr>
      <w:color w:val="954F72" w:themeColor="followedHyperlink"/>
      <w:u w:val="single"/>
    </w:rPr>
  </w:style>
  <w:style w:type="paragraph" w:styleId="CommentText">
    <w:name w:val="annotation text"/>
    <w:basedOn w:val="Normal"/>
    <w:link w:val="CommentTextChar"/>
    <w:uiPriority w:val="99"/>
    <w:unhideWhenUsed/>
    <w:rsid w:val="009400C9"/>
    <w:rPr>
      <w:sz w:val="20"/>
      <w:szCs w:val="20"/>
    </w:rPr>
  </w:style>
  <w:style w:type="character" w:customStyle="1" w:styleId="CommentTextChar">
    <w:name w:val="Comment Text Char"/>
    <w:basedOn w:val="DefaultParagraphFont"/>
    <w:link w:val="CommentText"/>
    <w:uiPriority w:val="99"/>
    <w:rsid w:val="009400C9"/>
    <w:rPr>
      <w:sz w:val="20"/>
      <w:szCs w:val="20"/>
      <w:lang w:val="en-GB"/>
    </w:rPr>
  </w:style>
  <w:style w:type="paragraph" w:styleId="CommentSubject">
    <w:name w:val="annotation subject"/>
    <w:basedOn w:val="CommentText"/>
    <w:next w:val="CommentText"/>
    <w:link w:val="CommentSubjectChar"/>
    <w:uiPriority w:val="99"/>
    <w:semiHidden/>
    <w:unhideWhenUsed/>
    <w:rsid w:val="009400C9"/>
    <w:rPr>
      <w:b/>
      <w:bCs/>
    </w:rPr>
  </w:style>
  <w:style w:type="character" w:customStyle="1" w:styleId="CommentSubjectChar">
    <w:name w:val="Comment Subject Char"/>
    <w:basedOn w:val="CommentTextChar"/>
    <w:link w:val="CommentSubject"/>
    <w:uiPriority w:val="99"/>
    <w:semiHidden/>
    <w:rsid w:val="009400C9"/>
    <w:rPr>
      <w:b/>
      <w:bCs/>
      <w:sz w:val="20"/>
      <w:szCs w:val="20"/>
      <w:lang w:val="en-GB"/>
    </w:rPr>
  </w:style>
  <w:style w:type="paragraph" w:styleId="BalloonText">
    <w:name w:val="Balloon Text"/>
    <w:basedOn w:val="Normal"/>
    <w:link w:val="BalloonTextChar"/>
    <w:uiPriority w:val="99"/>
    <w:semiHidden/>
    <w:unhideWhenUsed/>
    <w:rsid w:val="00940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0C9"/>
    <w:rPr>
      <w:rFonts w:ascii="Segoe UI" w:hAnsi="Segoe UI" w:cs="Segoe UI"/>
      <w:sz w:val="18"/>
      <w:szCs w:val="18"/>
      <w:lang w:val="en-GB"/>
    </w:rPr>
  </w:style>
  <w:style w:type="paragraph" w:styleId="Revision">
    <w:name w:val="Revision"/>
    <w:hidden/>
    <w:uiPriority w:val="99"/>
    <w:semiHidden/>
    <w:rsid w:val="002E1CBD"/>
    <w:rPr>
      <w:lang w:val="en-GB"/>
    </w:rPr>
  </w:style>
  <w:style w:type="paragraph" w:styleId="NormalWeb">
    <w:name w:val="Normal (Web)"/>
    <w:basedOn w:val="Normal"/>
    <w:uiPriority w:val="99"/>
    <w:unhideWhenUsed/>
    <w:rsid w:val="00D0122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0122C"/>
  </w:style>
  <w:style w:type="paragraph" w:styleId="Footer">
    <w:name w:val="footer"/>
    <w:basedOn w:val="Normal"/>
    <w:link w:val="FooterChar"/>
    <w:uiPriority w:val="99"/>
    <w:unhideWhenUsed/>
    <w:rsid w:val="00E52C7A"/>
    <w:pPr>
      <w:tabs>
        <w:tab w:val="center" w:pos="4513"/>
        <w:tab w:val="right" w:pos="9026"/>
      </w:tabs>
    </w:pPr>
  </w:style>
  <w:style w:type="character" w:customStyle="1" w:styleId="FooterChar">
    <w:name w:val="Footer Char"/>
    <w:basedOn w:val="DefaultParagraphFont"/>
    <w:link w:val="Footer"/>
    <w:uiPriority w:val="99"/>
    <w:rsid w:val="00E52C7A"/>
    <w:rPr>
      <w:lang w:val="en-GB"/>
    </w:rPr>
  </w:style>
  <w:style w:type="character" w:styleId="PageNumber">
    <w:name w:val="page number"/>
    <w:basedOn w:val="DefaultParagraphFont"/>
    <w:uiPriority w:val="99"/>
    <w:semiHidden/>
    <w:unhideWhenUsed/>
    <w:rsid w:val="00E5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8176">
      <w:bodyDiv w:val="1"/>
      <w:marLeft w:val="0"/>
      <w:marRight w:val="0"/>
      <w:marTop w:val="0"/>
      <w:marBottom w:val="0"/>
      <w:divBdr>
        <w:top w:val="none" w:sz="0" w:space="0" w:color="auto"/>
        <w:left w:val="none" w:sz="0" w:space="0" w:color="auto"/>
        <w:bottom w:val="none" w:sz="0" w:space="0" w:color="auto"/>
        <w:right w:val="none" w:sz="0" w:space="0" w:color="auto"/>
      </w:divBdr>
      <w:divsChild>
        <w:div w:id="1964924628">
          <w:marLeft w:val="0"/>
          <w:marRight w:val="0"/>
          <w:marTop w:val="0"/>
          <w:marBottom w:val="0"/>
          <w:divBdr>
            <w:top w:val="none" w:sz="0" w:space="0" w:color="auto"/>
            <w:left w:val="none" w:sz="0" w:space="0" w:color="auto"/>
            <w:bottom w:val="none" w:sz="0" w:space="0" w:color="auto"/>
            <w:right w:val="none" w:sz="0" w:space="0" w:color="auto"/>
          </w:divBdr>
          <w:divsChild>
            <w:div w:id="222569220">
              <w:marLeft w:val="0"/>
              <w:marRight w:val="0"/>
              <w:marTop w:val="0"/>
              <w:marBottom w:val="0"/>
              <w:divBdr>
                <w:top w:val="none" w:sz="0" w:space="0" w:color="auto"/>
                <w:left w:val="none" w:sz="0" w:space="0" w:color="auto"/>
                <w:bottom w:val="none" w:sz="0" w:space="0" w:color="auto"/>
                <w:right w:val="none" w:sz="0" w:space="0" w:color="auto"/>
              </w:divBdr>
              <w:divsChild>
                <w:div w:id="1880970953">
                  <w:marLeft w:val="0"/>
                  <w:marRight w:val="0"/>
                  <w:marTop w:val="0"/>
                  <w:marBottom w:val="0"/>
                  <w:divBdr>
                    <w:top w:val="none" w:sz="0" w:space="0" w:color="auto"/>
                    <w:left w:val="none" w:sz="0" w:space="0" w:color="auto"/>
                    <w:bottom w:val="none" w:sz="0" w:space="0" w:color="auto"/>
                    <w:right w:val="none" w:sz="0" w:space="0" w:color="auto"/>
                  </w:divBdr>
                  <w:divsChild>
                    <w:div w:id="937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0430">
      <w:bodyDiv w:val="1"/>
      <w:marLeft w:val="0"/>
      <w:marRight w:val="0"/>
      <w:marTop w:val="0"/>
      <w:marBottom w:val="0"/>
      <w:divBdr>
        <w:top w:val="none" w:sz="0" w:space="0" w:color="auto"/>
        <w:left w:val="none" w:sz="0" w:space="0" w:color="auto"/>
        <w:bottom w:val="none" w:sz="0" w:space="0" w:color="auto"/>
        <w:right w:val="none" w:sz="0" w:space="0" w:color="auto"/>
      </w:divBdr>
    </w:div>
    <w:div w:id="169028552">
      <w:bodyDiv w:val="1"/>
      <w:marLeft w:val="0"/>
      <w:marRight w:val="0"/>
      <w:marTop w:val="0"/>
      <w:marBottom w:val="0"/>
      <w:divBdr>
        <w:top w:val="none" w:sz="0" w:space="0" w:color="auto"/>
        <w:left w:val="none" w:sz="0" w:space="0" w:color="auto"/>
        <w:bottom w:val="none" w:sz="0" w:space="0" w:color="auto"/>
        <w:right w:val="none" w:sz="0" w:space="0" w:color="auto"/>
      </w:divBdr>
      <w:divsChild>
        <w:div w:id="1866550801">
          <w:marLeft w:val="0"/>
          <w:marRight w:val="0"/>
          <w:marTop w:val="0"/>
          <w:marBottom w:val="0"/>
          <w:divBdr>
            <w:top w:val="none" w:sz="0" w:space="0" w:color="auto"/>
            <w:left w:val="none" w:sz="0" w:space="0" w:color="auto"/>
            <w:bottom w:val="none" w:sz="0" w:space="0" w:color="auto"/>
            <w:right w:val="none" w:sz="0" w:space="0" w:color="auto"/>
          </w:divBdr>
          <w:divsChild>
            <w:div w:id="340353434">
              <w:marLeft w:val="0"/>
              <w:marRight w:val="0"/>
              <w:marTop w:val="0"/>
              <w:marBottom w:val="0"/>
              <w:divBdr>
                <w:top w:val="none" w:sz="0" w:space="0" w:color="auto"/>
                <w:left w:val="none" w:sz="0" w:space="0" w:color="auto"/>
                <w:bottom w:val="none" w:sz="0" w:space="0" w:color="auto"/>
                <w:right w:val="none" w:sz="0" w:space="0" w:color="auto"/>
              </w:divBdr>
              <w:divsChild>
                <w:div w:id="9057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91786">
      <w:bodyDiv w:val="1"/>
      <w:marLeft w:val="0"/>
      <w:marRight w:val="0"/>
      <w:marTop w:val="0"/>
      <w:marBottom w:val="0"/>
      <w:divBdr>
        <w:top w:val="none" w:sz="0" w:space="0" w:color="auto"/>
        <w:left w:val="none" w:sz="0" w:space="0" w:color="auto"/>
        <w:bottom w:val="none" w:sz="0" w:space="0" w:color="auto"/>
        <w:right w:val="none" w:sz="0" w:space="0" w:color="auto"/>
      </w:divBdr>
    </w:div>
    <w:div w:id="499590515">
      <w:bodyDiv w:val="1"/>
      <w:marLeft w:val="0"/>
      <w:marRight w:val="0"/>
      <w:marTop w:val="0"/>
      <w:marBottom w:val="0"/>
      <w:divBdr>
        <w:top w:val="none" w:sz="0" w:space="0" w:color="auto"/>
        <w:left w:val="none" w:sz="0" w:space="0" w:color="auto"/>
        <w:bottom w:val="none" w:sz="0" w:space="0" w:color="auto"/>
        <w:right w:val="none" w:sz="0" w:space="0" w:color="auto"/>
      </w:divBdr>
    </w:div>
    <w:div w:id="575478670">
      <w:bodyDiv w:val="1"/>
      <w:marLeft w:val="0"/>
      <w:marRight w:val="0"/>
      <w:marTop w:val="0"/>
      <w:marBottom w:val="0"/>
      <w:divBdr>
        <w:top w:val="none" w:sz="0" w:space="0" w:color="auto"/>
        <w:left w:val="none" w:sz="0" w:space="0" w:color="auto"/>
        <w:bottom w:val="none" w:sz="0" w:space="0" w:color="auto"/>
        <w:right w:val="none" w:sz="0" w:space="0" w:color="auto"/>
      </w:divBdr>
    </w:div>
    <w:div w:id="609581952">
      <w:bodyDiv w:val="1"/>
      <w:marLeft w:val="0"/>
      <w:marRight w:val="0"/>
      <w:marTop w:val="0"/>
      <w:marBottom w:val="0"/>
      <w:divBdr>
        <w:top w:val="none" w:sz="0" w:space="0" w:color="auto"/>
        <w:left w:val="none" w:sz="0" w:space="0" w:color="auto"/>
        <w:bottom w:val="none" w:sz="0" w:space="0" w:color="auto"/>
        <w:right w:val="none" w:sz="0" w:space="0" w:color="auto"/>
      </w:divBdr>
      <w:divsChild>
        <w:div w:id="1803621288">
          <w:marLeft w:val="0"/>
          <w:marRight w:val="0"/>
          <w:marTop w:val="0"/>
          <w:marBottom w:val="0"/>
          <w:divBdr>
            <w:top w:val="none" w:sz="0" w:space="0" w:color="auto"/>
            <w:left w:val="none" w:sz="0" w:space="0" w:color="auto"/>
            <w:bottom w:val="none" w:sz="0" w:space="0" w:color="auto"/>
            <w:right w:val="none" w:sz="0" w:space="0" w:color="auto"/>
          </w:divBdr>
          <w:divsChild>
            <w:div w:id="1481531762">
              <w:marLeft w:val="0"/>
              <w:marRight w:val="0"/>
              <w:marTop w:val="0"/>
              <w:marBottom w:val="0"/>
              <w:divBdr>
                <w:top w:val="none" w:sz="0" w:space="0" w:color="auto"/>
                <w:left w:val="none" w:sz="0" w:space="0" w:color="auto"/>
                <w:bottom w:val="none" w:sz="0" w:space="0" w:color="auto"/>
                <w:right w:val="none" w:sz="0" w:space="0" w:color="auto"/>
              </w:divBdr>
              <w:divsChild>
                <w:div w:id="2057509749">
                  <w:marLeft w:val="0"/>
                  <w:marRight w:val="0"/>
                  <w:marTop w:val="0"/>
                  <w:marBottom w:val="0"/>
                  <w:divBdr>
                    <w:top w:val="none" w:sz="0" w:space="0" w:color="auto"/>
                    <w:left w:val="none" w:sz="0" w:space="0" w:color="auto"/>
                    <w:bottom w:val="none" w:sz="0" w:space="0" w:color="auto"/>
                    <w:right w:val="none" w:sz="0" w:space="0" w:color="auto"/>
                  </w:divBdr>
                  <w:divsChild>
                    <w:div w:id="19477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3556">
      <w:bodyDiv w:val="1"/>
      <w:marLeft w:val="0"/>
      <w:marRight w:val="0"/>
      <w:marTop w:val="0"/>
      <w:marBottom w:val="0"/>
      <w:divBdr>
        <w:top w:val="none" w:sz="0" w:space="0" w:color="auto"/>
        <w:left w:val="none" w:sz="0" w:space="0" w:color="auto"/>
        <w:bottom w:val="none" w:sz="0" w:space="0" w:color="auto"/>
        <w:right w:val="none" w:sz="0" w:space="0" w:color="auto"/>
      </w:divBdr>
    </w:div>
    <w:div w:id="776215301">
      <w:bodyDiv w:val="1"/>
      <w:marLeft w:val="0"/>
      <w:marRight w:val="0"/>
      <w:marTop w:val="0"/>
      <w:marBottom w:val="0"/>
      <w:divBdr>
        <w:top w:val="none" w:sz="0" w:space="0" w:color="auto"/>
        <w:left w:val="none" w:sz="0" w:space="0" w:color="auto"/>
        <w:bottom w:val="none" w:sz="0" w:space="0" w:color="auto"/>
        <w:right w:val="none" w:sz="0" w:space="0" w:color="auto"/>
      </w:divBdr>
      <w:divsChild>
        <w:div w:id="1904096261">
          <w:marLeft w:val="0"/>
          <w:marRight w:val="0"/>
          <w:marTop w:val="0"/>
          <w:marBottom w:val="0"/>
          <w:divBdr>
            <w:top w:val="none" w:sz="0" w:space="0" w:color="auto"/>
            <w:left w:val="none" w:sz="0" w:space="0" w:color="auto"/>
            <w:bottom w:val="none" w:sz="0" w:space="0" w:color="auto"/>
            <w:right w:val="none" w:sz="0" w:space="0" w:color="auto"/>
          </w:divBdr>
          <w:divsChild>
            <w:div w:id="345056411">
              <w:marLeft w:val="0"/>
              <w:marRight w:val="0"/>
              <w:marTop w:val="0"/>
              <w:marBottom w:val="0"/>
              <w:divBdr>
                <w:top w:val="none" w:sz="0" w:space="0" w:color="auto"/>
                <w:left w:val="none" w:sz="0" w:space="0" w:color="auto"/>
                <w:bottom w:val="none" w:sz="0" w:space="0" w:color="auto"/>
                <w:right w:val="none" w:sz="0" w:space="0" w:color="auto"/>
              </w:divBdr>
              <w:divsChild>
                <w:div w:id="17481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3818">
      <w:bodyDiv w:val="1"/>
      <w:marLeft w:val="0"/>
      <w:marRight w:val="0"/>
      <w:marTop w:val="0"/>
      <w:marBottom w:val="0"/>
      <w:divBdr>
        <w:top w:val="none" w:sz="0" w:space="0" w:color="auto"/>
        <w:left w:val="none" w:sz="0" w:space="0" w:color="auto"/>
        <w:bottom w:val="none" w:sz="0" w:space="0" w:color="auto"/>
        <w:right w:val="none" w:sz="0" w:space="0" w:color="auto"/>
      </w:divBdr>
      <w:divsChild>
        <w:div w:id="455762342">
          <w:marLeft w:val="0"/>
          <w:marRight w:val="0"/>
          <w:marTop w:val="0"/>
          <w:marBottom w:val="0"/>
          <w:divBdr>
            <w:top w:val="none" w:sz="0" w:space="0" w:color="auto"/>
            <w:left w:val="none" w:sz="0" w:space="0" w:color="auto"/>
            <w:bottom w:val="none" w:sz="0" w:space="0" w:color="auto"/>
            <w:right w:val="none" w:sz="0" w:space="0" w:color="auto"/>
          </w:divBdr>
          <w:divsChild>
            <w:div w:id="1226257459">
              <w:marLeft w:val="0"/>
              <w:marRight w:val="0"/>
              <w:marTop w:val="0"/>
              <w:marBottom w:val="0"/>
              <w:divBdr>
                <w:top w:val="none" w:sz="0" w:space="0" w:color="auto"/>
                <w:left w:val="none" w:sz="0" w:space="0" w:color="auto"/>
                <w:bottom w:val="none" w:sz="0" w:space="0" w:color="auto"/>
                <w:right w:val="none" w:sz="0" w:space="0" w:color="auto"/>
              </w:divBdr>
              <w:divsChild>
                <w:div w:id="1104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3946">
      <w:bodyDiv w:val="1"/>
      <w:marLeft w:val="0"/>
      <w:marRight w:val="0"/>
      <w:marTop w:val="0"/>
      <w:marBottom w:val="0"/>
      <w:divBdr>
        <w:top w:val="none" w:sz="0" w:space="0" w:color="auto"/>
        <w:left w:val="none" w:sz="0" w:space="0" w:color="auto"/>
        <w:bottom w:val="none" w:sz="0" w:space="0" w:color="auto"/>
        <w:right w:val="none" w:sz="0" w:space="0" w:color="auto"/>
      </w:divBdr>
    </w:div>
    <w:div w:id="1007558776">
      <w:bodyDiv w:val="1"/>
      <w:marLeft w:val="0"/>
      <w:marRight w:val="0"/>
      <w:marTop w:val="0"/>
      <w:marBottom w:val="0"/>
      <w:divBdr>
        <w:top w:val="none" w:sz="0" w:space="0" w:color="auto"/>
        <w:left w:val="none" w:sz="0" w:space="0" w:color="auto"/>
        <w:bottom w:val="none" w:sz="0" w:space="0" w:color="auto"/>
        <w:right w:val="none" w:sz="0" w:space="0" w:color="auto"/>
      </w:divBdr>
    </w:div>
    <w:div w:id="1093746459">
      <w:bodyDiv w:val="1"/>
      <w:marLeft w:val="0"/>
      <w:marRight w:val="0"/>
      <w:marTop w:val="0"/>
      <w:marBottom w:val="0"/>
      <w:divBdr>
        <w:top w:val="none" w:sz="0" w:space="0" w:color="auto"/>
        <w:left w:val="none" w:sz="0" w:space="0" w:color="auto"/>
        <w:bottom w:val="none" w:sz="0" w:space="0" w:color="auto"/>
        <w:right w:val="none" w:sz="0" w:space="0" w:color="auto"/>
      </w:divBdr>
    </w:div>
    <w:div w:id="1113013961">
      <w:bodyDiv w:val="1"/>
      <w:marLeft w:val="0"/>
      <w:marRight w:val="0"/>
      <w:marTop w:val="0"/>
      <w:marBottom w:val="0"/>
      <w:divBdr>
        <w:top w:val="none" w:sz="0" w:space="0" w:color="auto"/>
        <w:left w:val="none" w:sz="0" w:space="0" w:color="auto"/>
        <w:bottom w:val="none" w:sz="0" w:space="0" w:color="auto"/>
        <w:right w:val="none" w:sz="0" w:space="0" w:color="auto"/>
      </w:divBdr>
    </w:div>
    <w:div w:id="1147941808">
      <w:bodyDiv w:val="1"/>
      <w:marLeft w:val="0"/>
      <w:marRight w:val="0"/>
      <w:marTop w:val="0"/>
      <w:marBottom w:val="0"/>
      <w:divBdr>
        <w:top w:val="none" w:sz="0" w:space="0" w:color="auto"/>
        <w:left w:val="none" w:sz="0" w:space="0" w:color="auto"/>
        <w:bottom w:val="none" w:sz="0" w:space="0" w:color="auto"/>
        <w:right w:val="none" w:sz="0" w:space="0" w:color="auto"/>
      </w:divBdr>
    </w:div>
    <w:div w:id="1230851009">
      <w:bodyDiv w:val="1"/>
      <w:marLeft w:val="0"/>
      <w:marRight w:val="0"/>
      <w:marTop w:val="0"/>
      <w:marBottom w:val="0"/>
      <w:divBdr>
        <w:top w:val="none" w:sz="0" w:space="0" w:color="auto"/>
        <w:left w:val="none" w:sz="0" w:space="0" w:color="auto"/>
        <w:bottom w:val="none" w:sz="0" w:space="0" w:color="auto"/>
        <w:right w:val="none" w:sz="0" w:space="0" w:color="auto"/>
      </w:divBdr>
    </w:div>
    <w:div w:id="1409038975">
      <w:bodyDiv w:val="1"/>
      <w:marLeft w:val="0"/>
      <w:marRight w:val="0"/>
      <w:marTop w:val="0"/>
      <w:marBottom w:val="0"/>
      <w:divBdr>
        <w:top w:val="none" w:sz="0" w:space="0" w:color="auto"/>
        <w:left w:val="none" w:sz="0" w:space="0" w:color="auto"/>
        <w:bottom w:val="none" w:sz="0" w:space="0" w:color="auto"/>
        <w:right w:val="none" w:sz="0" w:space="0" w:color="auto"/>
      </w:divBdr>
    </w:div>
    <w:div w:id="1487473175">
      <w:bodyDiv w:val="1"/>
      <w:marLeft w:val="0"/>
      <w:marRight w:val="0"/>
      <w:marTop w:val="0"/>
      <w:marBottom w:val="0"/>
      <w:divBdr>
        <w:top w:val="none" w:sz="0" w:space="0" w:color="auto"/>
        <w:left w:val="none" w:sz="0" w:space="0" w:color="auto"/>
        <w:bottom w:val="none" w:sz="0" w:space="0" w:color="auto"/>
        <w:right w:val="none" w:sz="0" w:space="0" w:color="auto"/>
      </w:divBdr>
      <w:divsChild>
        <w:div w:id="1888297281">
          <w:marLeft w:val="0"/>
          <w:marRight w:val="0"/>
          <w:marTop w:val="0"/>
          <w:marBottom w:val="0"/>
          <w:divBdr>
            <w:top w:val="none" w:sz="0" w:space="0" w:color="auto"/>
            <w:left w:val="none" w:sz="0" w:space="0" w:color="auto"/>
            <w:bottom w:val="none" w:sz="0" w:space="0" w:color="auto"/>
            <w:right w:val="none" w:sz="0" w:space="0" w:color="auto"/>
          </w:divBdr>
          <w:divsChild>
            <w:div w:id="2007979811">
              <w:marLeft w:val="0"/>
              <w:marRight w:val="0"/>
              <w:marTop w:val="0"/>
              <w:marBottom w:val="0"/>
              <w:divBdr>
                <w:top w:val="none" w:sz="0" w:space="0" w:color="auto"/>
                <w:left w:val="none" w:sz="0" w:space="0" w:color="auto"/>
                <w:bottom w:val="none" w:sz="0" w:space="0" w:color="auto"/>
                <w:right w:val="none" w:sz="0" w:space="0" w:color="auto"/>
              </w:divBdr>
              <w:divsChild>
                <w:div w:id="14939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4283F-9D8F-A04D-820D-4F660E68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16930</Words>
  <Characters>96502</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Joht Singh Chandan</dc:creator>
  <cp:keywords/>
  <dc:description/>
  <cp:lastModifiedBy>Joht Singh Chandan</cp:lastModifiedBy>
  <cp:revision>2</cp:revision>
  <cp:lastPrinted>2018-07-16T11:03:00Z</cp:lastPrinted>
  <dcterms:created xsi:type="dcterms:W3CDTF">2019-11-22T16:18:00Z</dcterms:created>
  <dcterms:modified xsi:type="dcterms:W3CDTF">2019-11-22T16:18:00Z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0a7ff4e3-2935-35d9-9332-030c248d1787</vt:lpwstr>
  </property>
  <property fmtid="{D5CDD505-2E9C-101B-9397-08002B2CF9AE}" pid="5" name="Mendeley Recent Style Id 0_1">
    <vt:lpwstr>http://www.zotero.org/styles/biomedical-journal</vt:lpwstr>
  </property>
  <property fmtid="{D5CDD505-2E9C-101B-9397-08002B2CF9AE}" pid="6" name="Mendeley Recent Style Name 0_1">
    <vt:lpwstr>Biomedical Journal</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http://www.zotero.org/styles/circulation</vt:lpwstr>
  </property>
  <property fmtid="{D5CDD505-2E9C-101B-9397-08002B2CF9AE}" pid="10" name="Mendeley Recent Style Name 2_1">
    <vt:lpwstr>Circulation</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http://www.zotero.org/styles/journal-of-dentistry</vt:lpwstr>
  </property>
  <property fmtid="{D5CDD505-2E9C-101B-9397-08002B2CF9AE}" pid="14" name="Mendeley Recent Style Name 4_1">
    <vt:lpwstr>Journal of Dentistry</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http://www.zotero.org/styles/nature-publishing-group-vancouver</vt:lpwstr>
  </property>
  <property fmtid="{D5CDD505-2E9C-101B-9397-08002B2CF9AE}" pid="18" name="Mendeley Recent Style Name 6_1">
    <vt:lpwstr>Nature Publishing Group Vancouver</vt:lpwstr>
  </property>
  <property fmtid="{D5CDD505-2E9C-101B-9397-08002B2CF9AE}" pid="19" name="Mendeley Recent Style Id 7_1">
    <vt:lpwstr>http://www.zotero.org/styles/seminars-in-immunopathology</vt:lpwstr>
  </property>
  <property fmtid="{D5CDD505-2E9C-101B-9397-08002B2CF9AE}" pid="20" name="Mendeley Recent Style Name 7_1">
    <vt:lpwstr>Seminars in Immunopathology</vt:lpwstr>
  </property>
  <property fmtid="{D5CDD505-2E9C-101B-9397-08002B2CF9AE}" pid="21" name="Mendeley Recent Style Id 8_1">
    <vt:lpwstr>http://www.zotero.org/styles/springer-vancouver</vt:lpwstr>
  </property>
  <property fmtid="{D5CDD505-2E9C-101B-9397-08002B2CF9AE}" pid="22" name="Mendeley Recent Style Name 8_1">
    <vt:lpwstr>Springer -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