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241A" w14:textId="77777777" w:rsidR="00245513" w:rsidRPr="00464017" w:rsidRDefault="00245513" w:rsidP="00245513">
      <w:pPr>
        <w:pStyle w:val="Title"/>
        <w:jc w:val="center"/>
        <w:rPr>
          <w:sz w:val="36"/>
          <w:szCs w:val="36"/>
          <w:lang w:val="en-GB"/>
        </w:rPr>
      </w:pPr>
      <w:bookmarkStart w:id="0" w:name="OLE_LINK1"/>
      <w:bookmarkStart w:id="1" w:name="_GoBack"/>
      <w:bookmarkEnd w:id="1"/>
      <w:r w:rsidRPr="00464017">
        <w:rPr>
          <w:sz w:val="36"/>
          <w:szCs w:val="36"/>
          <w:lang w:val="en-GB"/>
        </w:rPr>
        <w:t xml:space="preserve">The dental proteome of </w:t>
      </w:r>
      <w:r w:rsidRPr="00464017">
        <w:rPr>
          <w:i/>
          <w:iCs/>
          <w:sz w:val="36"/>
          <w:szCs w:val="36"/>
          <w:lang w:val="en-GB"/>
        </w:rPr>
        <w:t>Homo antecessor</w:t>
      </w:r>
    </w:p>
    <w:bookmarkEnd w:id="0"/>
    <w:p w14:paraId="7B46E87C" w14:textId="77777777" w:rsidR="00245513" w:rsidRPr="00464017" w:rsidRDefault="00245513" w:rsidP="00245513">
      <w:pPr>
        <w:rPr>
          <w:lang w:val="en-GB"/>
        </w:rPr>
      </w:pPr>
    </w:p>
    <w:p w14:paraId="6A51E497" w14:textId="77777777" w:rsidR="00245513" w:rsidRPr="00464017" w:rsidRDefault="00245513" w:rsidP="00245513">
      <w:pPr>
        <w:rPr>
          <w:lang w:val="en-GB"/>
        </w:rPr>
      </w:pPr>
      <w:r w:rsidRPr="00464017">
        <w:rPr>
          <w:lang w:val="en-GB"/>
        </w:rPr>
        <w:t>Frido Welker</w:t>
      </w:r>
      <w:r w:rsidRPr="00464017">
        <w:rPr>
          <w:vertAlign w:val="superscript"/>
          <w:lang w:val="en-GB"/>
        </w:rPr>
        <w:t>1,2</w:t>
      </w:r>
      <w:r>
        <w:rPr>
          <w:vertAlign w:val="superscript"/>
          <w:lang w:val="en-GB"/>
        </w:rPr>
        <w:t>1</w:t>
      </w:r>
      <w:r w:rsidRPr="00464017">
        <w:rPr>
          <w:vertAlign w:val="superscript"/>
          <w:lang w:val="en-GB"/>
        </w:rPr>
        <w:t>,*</w:t>
      </w:r>
      <w:r w:rsidRPr="00464017">
        <w:rPr>
          <w:lang w:val="en-GB"/>
        </w:rPr>
        <w:t>, Jazmín Ramos-Madrigal</w:t>
      </w:r>
      <w:r w:rsidRPr="00464017">
        <w:rPr>
          <w:vertAlign w:val="superscript"/>
          <w:lang w:val="en-GB"/>
        </w:rPr>
        <w:t>1,2</w:t>
      </w:r>
      <w:r>
        <w:rPr>
          <w:vertAlign w:val="superscript"/>
          <w:lang w:val="en-GB"/>
        </w:rPr>
        <w:t>1</w:t>
      </w:r>
      <w:r w:rsidRPr="00464017">
        <w:rPr>
          <w:lang w:val="en-GB"/>
        </w:rPr>
        <w:t>, Petra Gutenbrunner</w:t>
      </w:r>
      <w:r w:rsidRPr="00464017">
        <w:rPr>
          <w:vertAlign w:val="superscript"/>
          <w:lang w:val="en-GB"/>
        </w:rPr>
        <w:t>2,2</w:t>
      </w:r>
      <w:r>
        <w:rPr>
          <w:vertAlign w:val="superscript"/>
          <w:lang w:val="en-GB"/>
        </w:rPr>
        <w:t>1</w:t>
      </w:r>
      <w:r w:rsidRPr="00464017">
        <w:rPr>
          <w:lang w:val="en-GB"/>
        </w:rPr>
        <w:t>, Meaghan Mackie</w:t>
      </w:r>
      <w:r w:rsidRPr="00464017">
        <w:rPr>
          <w:vertAlign w:val="superscript"/>
          <w:lang w:val="en-GB"/>
        </w:rPr>
        <w:t>1,3</w:t>
      </w:r>
      <w:r w:rsidRPr="00464017">
        <w:rPr>
          <w:lang w:val="en-GB"/>
        </w:rPr>
        <w:t>, Shivani Tiwary</w:t>
      </w:r>
      <w:r w:rsidRPr="00464017">
        <w:rPr>
          <w:vertAlign w:val="superscript"/>
          <w:lang w:val="en-GB"/>
        </w:rPr>
        <w:t>2</w:t>
      </w:r>
      <w:r w:rsidRPr="00464017">
        <w:rPr>
          <w:lang w:val="en-GB"/>
        </w:rPr>
        <w:t>, Rosa Rakownikow Jersie-Christensen</w:t>
      </w:r>
      <w:r w:rsidRPr="00464017">
        <w:rPr>
          <w:vertAlign w:val="superscript"/>
          <w:lang w:val="en-GB"/>
        </w:rPr>
        <w:t>3</w:t>
      </w:r>
      <w:r w:rsidRPr="00464017">
        <w:rPr>
          <w:lang w:val="en-GB"/>
        </w:rPr>
        <w:t>, Cristina Chiva</w:t>
      </w:r>
      <w:r w:rsidRPr="00464017">
        <w:rPr>
          <w:vertAlign w:val="superscript"/>
          <w:lang w:val="en-GB"/>
        </w:rPr>
        <w:t>4,5</w:t>
      </w:r>
      <w:r w:rsidRPr="00464017">
        <w:rPr>
          <w:lang w:val="en-GB"/>
        </w:rPr>
        <w:t>, Marc R. Dickinson</w:t>
      </w:r>
      <w:r w:rsidRPr="00464017">
        <w:rPr>
          <w:vertAlign w:val="superscript"/>
          <w:lang w:val="en-GB"/>
        </w:rPr>
        <w:t>6</w:t>
      </w:r>
      <w:r w:rsidRPr="00464017">
        <w:rPr>
          <w:lang w:val="en-GB"/>
        </w:rPr>
        <w:t>, Martin Kuhlwilm</w:t>
      </w:r>
      <w:r w:rsidRPr="00464017">
        <w:rPr>
          <w:vertAlign w:val="superscript"/>
          <w:lang w:val="en-GB"/>
        </w:rPr>
        <w:t>7</w:t>
      </w:r>
      <w:r w:rsidRPr="00464017">
        <w:rPr>
          <w:lang w:val="en-GB"/>
        </w:rPr>
        <w:t>, Marc de Manuel</w:t>
      </w:r>
      <w:r w:rsidRPr="00464017">
        <w:rPr>
          <w:rFonts w:ascii="Calibri" w:eastAsia="Calibri" w:hAnsi="Calibri" w:cs="Calibri"/>
          <w:vertAlign w:val="superscript"/>
          <w:lang w:val="en-GB"/>
        </w:rPr>
        <w:t>7</w:t>
      </w:r>
      <w:r w:rsidRPr="00464017">
        <w:rPr>
          <w:lang w:val="en-GB"/>
        </w:rPr>
        <w:t>, Pere Gelabert</w:t>
      </w:r>
      <w:r w:rsidRPr="00464017">
        <w:rPr>
          <w:vertAlign w:val="superscript"/>
          <w:lang w:val="en-GB"/>
        </w:rPr>
        <w:t>7</w:t>
      </w:r>
      <w:r w:rsidRPr="00464017">
        <w:rPr>
          <w:lang w:val="en-GB"/>
        </w:rPr>
        <w:t>, María Martinón-Torres</w:t>
      </w:r>
      <w:r w:rsidRPr="00464017">
        <w:rPr>
          <w:vertAlign w:val="superscript"/>
          <w:lang w:val="en-GB"/>
        </w:rPr>
        <w:t>8,9</w:t>
      </w:r>
      <w:r w:rsidRPr="00464017">
        <w:rPr>
          <w:lang w:val="en-GB"/>
        </w:rPr>
        <w:t>, Ann Margvelashvili</w:t>
      </w:r>
      <w:r w:rsidRPr="00464017">
        <w:rPr>
          <w:vertAlign w:val="superscript"/>
          <w:lang w:val="en-GB"/>
        </w:rPr>
        <w:t>10</w:t>
      </w:r>
      <w:r w:rsidRPr="00464017">
        <w:rPr>
          <w:lang w:val="en-GB"/>
        </w:rPr>
        <w:t>, Juan Luis Arsuaga</w:t>
      </w:r>
      <w:r w:rsidRPr="00464017">
        <w:rPr>
          <w:vertAlign w:val="superscript"/>
          <w:lang w:val="en-GB"/>
        </w:rPr>
        <w:t>11,12</w:t>
      </w:r>
      <w:r w:rsidRPr="00464017">
        <w:rPr>
          <w:lang w:val="en-GB"/>
        </w:rPr>
        <w:t>, Eudald Carbonell</w:t>
      </w:r>
      <w:r w:rsidRPr="00464017">
        <w:rPr>
          <w:vertAlign w:val="superscript"/>
          <w:lang w:val="en-GB"/>
        </w:rPr>
        <w:t>13,14</w:t>
      </w:r>
      <w:r w:rsidRPr="00464017">
        <w:rPr>
          <w:lang w:val="en-GB"/>
        </w:rPr>
        <w:t>, Tomas Marques-Bonet</w:t>
      </w:r>
      <w:r w:rsidRPr="00464017">
        <w:rPr>
          <w:vertAlign w:val="superscript"/>
          <w:lang w:val="en-GB"/>
        </w:rPr>
        <w:t>4,7,15,16</w:t>
      </w:r>
      <w:r w:rsidRPr="00464017">
        <w:rPr>
          <w:lang w:val="en-GB"/>
        </w:rPr>
        <w:t>, Kirsty Penkman</w:t>
      </w:r>
      <w:r w:rsidRPr="00464017">
        <w:rPr>
          <w:vertAlign w:val="superscript"/>
          <w:lang w:val="en-GB"/>
        </w:rPr>
        <w:t>6</w:t>
      </w:r>
      <w:r w:rsidRPr="00464017">
        <w:rPr>
          <w:lang w:val="en-GB"/>
        </w:rPr>
        <w:t>, Eduard Sabidó</w:t>
      </w:r>
      <w:r w:rsidRPr="00464017">
        <w:rPr>
          <w:vertAlign w:val="superscript"/>
          <w:lang w:val="en-GB"/>
        </w:rPr>
        <w:t>4,5</w:t>
      </w:r>
      <w:r w:rsidRPr="00464017">
        <w:rPr>
          <w:lang w:val="en-GB"/>
        </w:rPr>
        <w:t>, Jürgen Cox</w:t>
      </w:r>
      <w:r w:rsidRPr="00464017">
        <w:rPr>
          <w:vertAlign w:val="superscript"/>
          <w:lang w:val="en-GB"/>
        </w:rPr>
        <w:t>2</w:t>
      </w:r>
      <w:r w:rsidRPr="00464017">
        <w:rPr>
          <w:lang w:val="en-GB"/>
        </w:rPr>
        <w:t>, Jesper V. Olsen</w:t>
      </w:r>
      <w:r w:rsidRPr="00464017">
        <w:rPr>
          <w:vertAlign w:val="superscript"/>
          <w:lang w:val="en-GB"/>
        </w:rPr>
        <w:t>3</w:t>
      </w:r>
      <w:r w:rsidRPr="00464017">
        <w:rPr>
          <w:lang w:val="en-GB"/>
        </w:rPr>
        <w:t>, David Lordkipanidze</w:t>
      </w:r>
      <w:r w:rsidRPr="00464017">
        <w:rPr>
          <w:vertAlign w:val="superscript"/>
          <w:lang w:val="en-GB"/>
        </w:rPr>
        <w:t>10</w:t>
      </w:r>
      <w:r w:rsidRPr="00464017">
        <w:rPr>
          <w:lang w:val="en-GB"/>
        </w:rPr>
        <w:t>, Fernando Racimo</w:t>
      </w:r>
      <w:r w:rsidRPr="00464017">
        <w:rPr>
          <w:vertAlign w:val="superscript"/>
          <w:lang w:val="en-GB"/>
        </w:rPr>
        <w:t>17</w:t>
      </w:r>
      <w:r w:rsidRPr="00464017">
        <w:rPr>
          <w:lang w:val="en-GB"/>
        </w:rPr>
        <w:t>, Carles Lalueza-Fox</w:t>
      </w:r>
      <w:r w:rsidRPr="00464017">
        <w:rPr>
          <w:vertAlign w:val="superscript"/>
          <w:lang w:val="en-GB"/>
        </w:rPr>
        <w:t>7</w:t>
      </w:r>
      <w:r w:rsidRPr="00464017">
        <w:rPr>
          <w:lang w:val="en-GB"/>
        </w:rPr>
        <w:t>, José María Bermúdez de Castro</w:t>
      </w:r>
      <w:r w:rsidRPr="00464017">
        <w:rPr>
          <w:vertAlign w:val="superscript"/>
          <w:lang w:val="en-GB"/>
        </w:rPr>
        <w:t>8,9,*</w:t>
      </w:r>
      <w:r w:rsidRPr="00464017">
        <w:rPr>
          <w:lang w:val="en-GB"/>
        </w:rPr>
        <w:t>, Eske Willerslev</w:t>
      </w:r>
      <w:r w:rsidRPr="00464017">
        <w:rPr>
          <w:vertAlign w:val="superscript"/>
          <w:lang w:val="en-GB"/>
        </w:rPr>
        <w:t>17,18,19,</w:t>
      </w:r>
      <w:r>
        <w:rPr>
          <w:vertAlign w:val="superscript"/>
          <w:lang w:val="en-GB"/>
        </w:rPr>
        <w:t>20,</w:t>
      </w:r>
      <w:r w:rsidRPr="00464017">
        <w:rPr>
          <w:vertAlign w:val="superscript"/>
          <w:lang w:val="en-GB"/>
        </w:rPr>
        <w:t>*</w:t>
      </w:r>
      <w:r w:rsidRPr="00464017">
        <w:rPr>
          <w:lang w:val="en-GB"/>
        </w:rPr>
        <w:t>, Enrico Cappellini</w:t>
      </w:r>
      <w:r w:rsidRPr="00464017">
        <w:rPr>
          <w:vertAlign w:val="superscript"/>
          <w:lang w:val="en-GB"/>
        </w:rPr>
        <w:t>1,*</w:t>
      </w:r>
    </w:p>
    <w:p w14:paraId="62BB6552" w14:textId="77777777" w:rsidR="00245513" w:rsidRPr="00464017" w:rsidRDefault="00245513" w:rsidP="00245513">
      <w:pPr>
        <w:rPr>
          <w:lang w:val="en-GB"/>
        </w:rPr>
      </w:pPr>
    </w:p>
    <w:p w14:paraId="4A2AED47" w14:textId="77777777" w:rsidR="00245513" w:rsidRPr="00464017" w:rsidRDefault="00245513" w:rsidP="00245513">
      <w:pPr>
        <w:rPr>
          <w:lang w:val="en-GB"/>
        </w:rPr>
      </w:pPr>
      <w:r w:rsidRPr="00464017">
        <w:rPr>
          <w:vertAlign w:val="superscript"/>
          <w:lang w:val="en-GB"/>
        </w:rPr>
        <w:t>1</w:t>
      </w:r>
      <w:r w:rsidRPr="00464017">
        <w:rPr>
          <w:lang w:val="en-GB"/>
        </w:rPr>
        <w:t xml:space="preserve"> Evolutionary Genomics Section, Globe Institute, University of Copenhagen, </w:t>
      </w:r>
      <w:r>
        <w:rPr>
          <w:lang w:val="en-GB"/>
        </w:rPr>
        <w:t xml:space="preserve">Copenhagen, </w:t>
      </w:r>
      <w:r w:rsidRPr="00464017">
        <w:rPr>
          <w:lang w:val="en-GB"/>
        </w:rPr>
        <w:t>Denmark.</w:t>
      </w:r>
    </w:p>
    <w:p w14:paraId="6BDDAB9C" w14:textId="77777777" w:rsidR="00245513" w:rsidRPr="00464017" w:rsidRDefault="00245513" w:rsidP="00245513">
      <w:pPr>
        <w:rPr>
          <w:lang w:val="en-GB"/>
        </w:rPr>
      </w:pPr>
      <w:r w:rsidRPr="00464017">
        <w:rPr>
          <w:vertAlign w:val="superscript"/>
          <w:lang w:val="en-GB"/>
        </w:rPr>
        <w:t>2</w:t>
      </w:r>
      <w:r w:rsidRPr="00464017">
        <w:rPr>
          <w:lang w:val="en-GB"/>
        </w:rPr>
        <w:t xml:space="preserve"> Computational Systems Biochemistry, Max Planck Institute of Biochemistry, </w:t>
      </w:r>
      <w:r>
        <w:rPr>
          <w:lang w:val="en-GB"/>
        </w:rPr>
        <w:t xml:space="preserve">Martinsried, </w:t>
      </w:r>
      <w:r w:rsidRPr="00464017">
        <w:rPr>
          <w:lang w:val="en-GB"/>
        </w:rPr>
        <w:t>Germany.</w:t>
      </w:r>
    </w:p>
    <w:p w14:paraId="320D7250" w14:textId="77777777" w:rsidR="00245513" w:rsidRPr="00464017" w:rsidRDefault="00245513" w:rsidP="00245513">
      <w:pPr>
        <w:rPr>
          <w:lang w:val="en-GB"/>
        </w:rPr>
      </w:pPr>
      <w:r w:rsidRPr="00464017">
        <w:rPr>
          <w:vertAlign w:val="superscript"/>
          <w:lang w:val="en-GB"/>
        </w:rPr>
        <w:t>3</w:t>
      </w:r>
      <w:r w:rsidRPr="00464017">
        <w:rPr>
          <w:lang w:val="en-GB"/>
        </w:rPr>
        <w:t xml:space="preserve"> The Novo Nordisk </w:t>
      </w:r>
      <w:r>
        <w:rPr>
          <w:lang w:val="en-GB"/>
        </w:rPr>
        <w:t xml:space="preserve">Foundation </w:t>
      </w:r>
      <w:r w:rsidRPr="00464017">
        <w:rPr>
          <w:lang w:val="en-GB"/>
        </w:rPr>
        <w:t xml:space="preserve">Center for Protein Research, University of Copenhagen, </w:t>
      </w:r>
      <w:r>
        <w:rPr>
          <w:lang w:val="en-GB"/>
        </w:rPr>
        <w:t xml:space="preserve">Copenhagen, </w:t>
      </w:r>
      <w:r w:rsidRPr="00464017">
        <w:rPr>
          <w:lang w:val="en-GB"/>
        </w:rPr>
        <w:t>Denmark.</w:t>
      </w:r>
    </w:p>
    <w:p w14:paraId="48E73D9B" w14:textId="77777777" w:rsidR="00245513" w:rsidRPr="00464017" w:rsidRDefault="00245513" w:rsidP="00245513">
      <w:pPr>
        <w:rPr>
          <w:lang w:val="en-GB"/>
        </w:rPr>
      </w:pPr>
      <w:r w:rsidRPr="00464017">
        <w:rPr>
          <w:vertAlign w:val="superscript"/>
          <w:lang w:val="en-GB"/>
        </w:rPr>
        <w:t>4</w:t>
      </w:r>
      <w:r w:rsidRPr="00464017">
        <w:rPr>
          <w:lang w:val="en-GB"/>
        </w:rPr>
        <w:t xml:space="preserve"> Centre for Genomic Regulation</w:t>
      </w:r>
      <w:r>
        <w:rPr>
          <w:lang w:val="en-GB"/>
        </w:rPr>
        <w:t xml:space="preserve"> (CNAG-CRG)</w:t>
      </w:r>
      <w:r w:rsidRPr="00464017">
        <w:rPr>
          <w:lang w:val="en-GB"/>
        </w:rPr>
        <w:t xml:space="preserve">, Barcelona Institute of Science and Technology, </w:t>
      </w:r>
      <w:r>
        <w:rPr>
          <w:lang w:val="en-GB"/>
        </w:rPr>
        <w:t xml:space="preserve">Barcelona, </w:t>
      </w:r>
      <w:r w:rsidRPr="00464017">
        <w:rPr>
          <w:lang w:val="en-GB"/>
        </w:rPr>
        <w:t>Spain.</w:t>
      </w:r>
    </w:p>
    <w:p w14:paraId="6A333547" w14:textId="77777777" w:rsidR="00245513" w:rsidRPr="00464017" w:rsidRDefault="00245513" w:rsidP="00245513">
      <w:pPr>
        <w:rPr>
          <w:lang w:val="en-GB"/>
        </w:rPr>
      </w:pPr>
      <w:r w:rsidRPr="00464017">
        <w:rPr>
          <w:vertAlign w:val="superscript"/>
          <w:lang w:val="en-GB"/>
        </w:rPr>
        <w:t>5</w:t>
      </w:r>
      <w:r w:rsidRPr="00464017">
        <w:rPr>
          <w:lang w:val="en-GB"/>
        </w:rPr>
        <w:t xml:space="preserve"> Proteomics Unit, </w:t>
      </w:r>
      <w:r w:rsidRPr="00464017">
        <w:rPr>
          <w:rFonts w:ascii="Calibri" w:hAnsi="Calibri" w:cs="Calibri"/>
          <w:shd w:val="clear" w:color="auto" w:fill="FFFFFF"/>
          <w:lang w:val="en-GB"/>
        </w:rPr>
        <w:t xml:space="preserve">Universitat Pompeu Fabra, </w:t>
      </w:r>
      <w:r>
        <w:rPr>
          <w:rFonts w:ascii="Calibri" w:hAnsi="Calibri" w:cs="Calibri"/>
          <w:shd w:val="clear" w:color="auto" w:fill="FFFFFF"/>
          <w:lang w:val="en-GB"/>
        </w:rPr>
        <w:t xml:space="preserve">Barcelona, </w:t>
      </w:r>
      <w:r w:rsidRPr="00464017">
        <w:rPr>
          <w:rFonts w:ascii="Calibri" w:hAnsi="Calibri" w:cs="Calibri"/>
          <w:shd w:val="clear" w:color="auto" w:fill="FFFFFF"/>
          <w:lang w:val="en-GB"/>
        </w:rPr>
        <w:t>Spain.</w:t>
      </w:r>
    </w:p>
    <w:p w14:paraId="498FDA0E" w14:textId="77777777" w:rsidR="00245513" w:rsidRPr="00464017" w:rsidRDefault="00245513" w:rsidP="00245513">
      <w:pPr>
        <w:rPr>
          <w:lang w:val="en-GB"/>
        </w:rPr>
      </w:pPr>
      <w:r w:rsidRPr="00464017">
        <w:rPr>
          <w:vertAlign w:val="superscript"/>
          <w:lang w:val="en-GB"/>
        </w:rPr>
        <w:t>6</w:t>
      </w:r>
      <w:r w:rsidRPr="00464017">
        <w:rPr>
          <w:lang w:val="en-GB"/>
        </w:rPr>
        <w:t xml:space="preserve"> Department of Chemistry, University of York, </w:t>
      </w:r>
      <w:r>
        <w:rPr>
          <w:lang w:val="en-GB"/>
        </w:rPr>
        <w:t xml:space="preserve">York, </w:t>
      </w:r>
      <w:r w:rsidRPr="00464017">
        <w:rPr>
          <w:lang w:val="en-GB"/>
        </w:rPr>
        <w:t>United Kingdom.</w:t>
      </w:r>
    </w:p>
    <w:p w14:paraId="2EAD2F31" w14:textId="77777777" w:rsidR="00245513" w:rsidRPr="00464017" w:rsidRDefault="00245513" w:rsidP="00245513">
      <w:pPr>
        <w:rPr>
          <w:lang w:val="en-GB"/>
        </w:rPr>
      </w:pPr>
      <w:r w:rsidRPr="00464017">
        <w:rPr>
          <w:vertAlign w:val="superscript"/>
          <w:lang w:val="en-GB"/>
        </w:rPr>
        <w:t>7</w:t>
      </w:r>
      <w:r w:rsidRPr="00464017">
        <w:rPr>
          <w:lang w:val="en-GB"/>
        </w:rPr>
        <w:t xml:space="preserve"> Institute of Evolutionary Biology (UPF-CSIC), University Pompeu Fabra, </w:t>
      </w:r>
      <w:r>
        <w:rPr>
          <w:lang w:val="en-GB"/>
        </w:rPr>
        <w:t xml:space="preserve">Barcelona, </w:t>
      </w:r>
      <w:r w:rsidRPr="00464017">
        <w:rPr>
          <w:lang w:val="en-GB"/>
        </w:rPr>
        <w:t>Spain.</w:t>
      </w:r>
    </w:p>
    <w:p w14:paraId="44F8380D" w14:textId="77777777" w:rsidR="00245513" w:rsidRPr="00111380" w:rsidRDefault="00245513" w:rsidP="00245513">
      <w:pPr>
        <w:rPr>
          <w:lang w:val="it-IT"/>
        </w:rPr>
      </w:pPr>
      <w:r w:rsidRPr="00111380">
        <w:rPr>
          <w:vertAlign w:val="superscript"/>
          <w:lang w:val="it-IT"/>
        </w:rPr>
        <w:t>8</w:t>
      </w:r>
      <w:r w:rsidRPr="00111380">
        <w:rPr>
          <w:lang w:val="it-IT"/>
        </w:rPr>
        <w:t xml:space="preserve"> </w:t>
      </w:r>
      <w:r w:rsidRPr="00111380">
        <w:rPr>
          <w:rFonts w:ascii="Calibri" w:hAnsi="Calibri" w:cs="Calibri"/>
          <w:shd w:val="clear" w:color="auto" w:fill="FFFFFF"/>
          <w:lang w:val="it-IT"/>
        </w:rPr>
        <w:t xml:space="preserve">Centro Nacional de Investigación sobre la Evolución Humana (CENIEH), </w:t>
      </w:r>
      <w:r>
        <w:rPr>
          <w:rFonts w:ascii="Calibri" w:hAnsi="Calibri" w:cs="Calibri"/>
          <w:shd w:val="clear" w:color="auto" w:fill="FFFFFF"/>
          <w:lang w:val="it-IT"/>
        </w:rPr>
        <w:t xml:space="preserve">Burgos, </w:t>
      </w:r>
      <w:r w:rsidRPr="00111380">
        <w:rPr>
          <w:rFonts w:ascii="Calibri" w:hAnsi="Calibri" w:cs="Calibri"/>
          <w:shd w:val="clear" w:color="auto" w:fill="FFFFFF"/>
          <w:lang w:val="it-IT"/>
        </w:rPr>
        <w:t>Spain.</w:t>
      </w:r>
    </w:p>
    <w:p w14:paraId="018B2EFB" w14:textId="77777777" w:rsidR="00245513" w:rsidRPr="00464017" w:rsidRDefault="00245513" w:rsidP="00245513">
      <w:pPr>
        <w:rPr>
          <w:lang w:val="en-GB"/>
        </w:rPr>
      </w:pPr>
      <w:r w:rsidRPr="00464017">
        <w:rPr>
          <w:vertAlign w:val="superscript"/>
          <w:lang w:val="en-GB"/>
        </w:rPr>
        <w:t>9</w:t>
      </w:r>
      <w:r w:rsidRPr="00464017">
        <w:rPr>
          <w:lang w:val="en-GB"/>
        </w:rPr>
        <w:t xml:space="preserve"> Anthropology Department, University College London, </w:t>
      </w:r>
      <w:r>
        <w:rPr>
          <w:lang w:val="en-GB"/>
        </w:rPr>
        <w:t xml:space="preserve">London, </w:t>
      </w:r>
      <w:r w:rsidRPr="00464017">
        <w:rPr>
          <w:lang w:val="en-GB"/>
        </w:rPr>
        <w:t>United Kingdom.</w:t>
      </w:r>
    </w:p>
    <w:p w14:paraId="53960802" w14:textId="77777777" w:rsidR="00245513" w:rsidRPr="00EA0910" w:rsidRDefault="00245513" w:rsidP="00245513">
      <w:pPr>
        <w:rPr>
          <w:lang w:val="es-ES"/>
        </w:rPr>
      </w:pPr>
      <w:r w:rsidRPr="00EA0910">
        <w:rPr>
          <w:vertAlign w:val="superscript"/>
          <w:lang w:val="es-ES"/>
        </w:rPr>
        <w:t>10</w:t>
      </w:r>
      <w:r w:rsidRPr="00EA0910">
        <w:rPr>
          <w:lang w:val="es-ES"/>
        </w:rPr>
        <w:t xml:space="preserve"> </w:t>
      </w:r>
      <w:r w:rsidRPr="00EA0910">
        <w:rPr>
          <w:rFonts w:ascii="Calibri" w:hAnsi="Calibri" w:cs="Calibri"/>
          <w:shd w:val="clear" w:color="auto" w:fill="FFFFFF"/>
          <w:lang w:val="es-ES"/>
        </w:rPr>
        <w:t xml:space="preserve">Georgian National Museum, </w:t>
      </w:r>
      <w:r>
        <w:rPr>
          <w:rFonts w:ascii="Calibri" w:hAnsi="Calibri" w:cs="Calibri"/>
          <w:shd w:val="clear" w:color="auto" w:fill="FFFFFF"/>
          <w:lang w:val="es-ES"/>
        </w:rPr>
        <w:t xml:space="preserve">Tbilisi, </w:t>
      </w:r>
      <w:r w:rsidRPr="00EA0910">
        <w:rPr>
          <w:rFonts w:ascii="Calibri" w:hAnsi="Calibri" w:cs="Calibri"/>
          <w:shd w:val="clear" w:color="auto" w:fill="FFFFFF"/>
          <w:lang w:val="es-ES"/>
        </w:rPr>
        <w:t>Georgia.</w:t>
      </w:r>
    </w:p>
    <w:p w14:paraId="3DBE10BD" w14:textId="77777777" w:rsidR="00245513" w:rsidRPr="00EA0910" w:rsidRDefault="00245513" w:rsidP="00245513">
      <w:pPr>
        <w:rPr>
          <w:lang w:val="es-ES"/>
        </w:rPr>
      </w:pPr>
      <w:r w:rsidRPr="00EA0910">
        <w:rPr>
          <w:vertAlign w:val="superscript"/>
          <w:lang w:val="es-ES"/>
        </w:rPr>
        <w:t>11</w:t>
      </w:r>
      <w:r w:rsidRPr="00EA0910">
        <w:rPr>
          <w:lang w:val="es-ES"/>
        </w:rPr>
        <w:t xml:space="preserve"> </w:t>
      </w:r>
      <w:r w:rsidRPr="00EA0910">
        <w:rPr>
          <w:rFonts w:ascii="Calibri" w:hAnsi="Calibri" w:cs="Calibri"/>
          <w:shd w:val="clear" w:color="auto" w:fill="FFFFFF"/>
          <w:lang w:val="es-ES"/>
        </w:rPr>
        <w:t xml:space="preserve">Centro Mixto UCM-ISCIII de Evolución y Comportamiento Humanos, </w:t>
      </w:r>
      <w:r>
        <w:rPr>
          <w:rFonts w:ascii="Calibri" w:hAnsi="Calibri" w:cs="Calibri"/>
          <w:shd w:val="clear" w:color="auto" w:fill="FFFFFF"/>
          <w:lang w:val="es-ES"/>
        </w:rPr>
        <w:t xml:space="preserve">Madrid, </w:t>
      </w:r>
      <w:r w:rsidRPr="00EA0910">
        <w:rPr>
          <w:rFonts w:ascii="Calibri" w:hAnsi="Calibri" w:cs="Calibri"/>
          <w:shd w:val="clear" w:color="auto" w:fill="FFFFFF"/>
          <w:lang w:val="es-ES"/>
        </w:rPr>
        <w:t>Spain.</w:t>
      </w:r>
    </w:p>
    <w:p w14:paraId="3F950A10" w14:textId="77777777" w:rsidR="00245513" w:rsidRPr="00EA0910" w:rsidRDefault="00245513" w:rsidP="00245513">
      <w:pPr>
        <w:rPr>
          <w:lang w:val="es-ES"/>
        </w:rPr>
      </w:pPr>
      <w:r w:rsidRPr="00EA0910">
        <w:rPr>
          <w:vertAlign w:val="superscript"/>
          <w:lang w:val="es-ES"/>
        </w:rPr>
        <w:t>12</w:t>
      </w:r>
      <w:r w:rsidRPr="00EA0910">
        <w:rPr>
          <w:lang w:val="es-ES"/>
        </w:rPr>
        <w:t xml:space="preserve"> </w:t>
      </w:r>
      <w:r w:rsidRPr="00EA0910">
        <w:rPr>
          <w:rFonts w:ascii="Calibri" w:hAnsi="Calibri" w:cs="Calibri"/>
          <w:shd w:val="clear" w:color="auto" w:fill="FFFFFF"/>
          <w:lang w:val="es-ES"/>
        </w:rPr>
        <w:t xml:space="preserve">Departamento de Paleontología, Facultad Ciencias Geológicas, Universidad Complutense de Madrid, </w:t>
      </w:r>
      <w:r>
        <w:rPr>
          <w:rFonts w:ascii="Calibri" w:hAnsi="Calibri" w:cs="Calibri"/>
          <w:shd w:val="clear" w:color="auto" w:fill="FFFFFF"/>
          <w:lang w:val="es-ES"/>
        </w:rPr>
        <w:t xml:space="preserve">Madrid, </w:t>
      </w:r>
      <w:r w:rsidRPr="00EA0910">
        <w:rPr>
          <w:rFonts w:ascii="Calibri" w:hAnsi="Calibri" w:cs="Calibri"/>
          <w:shd w:val="clear" w:color="auto" w:fill="FFFFFF"/>
          <w:lang w:val="es-ES"/>
        </w:rPr>
        <w:t>Spain.</w:t>
      </w:r>
    </w:p>
    <w:p w14:paraId="53AFD4C3" w14:textId="77777777" w:rsidR="00245513" w:rsidRPr="00EA0910" w:rsidRDefault="00245513" w:rsidP="00245513">
      <w:pPr>
        <w:rPr>
          <w:rFonts w:ascii="Calibri" w:hAnsi="Calibri" w:cs="Calibri"/>
          <w:shd w:val="clear" w:color="auto" w:fill="FFFFFF"/>
          <w:lang w:val="es-ES"/>
        </w:rPr>
      </w:pPr>
      <w:r w:rsidRPr="00EA0910">
        <w:rPr>
          <w:vertAlign w:val="superscript"/>
          <w:lang w:val="es-ES"/>
        </w:rPr>
        <w:t>13</w:t>
      </w:r>
      <w:r w:rsidRPr="00EA0910">
        <w:rPr>
          <w:lang w:val="es-ES"/>
        </w:rPr>
        <w:t xml:space="preserve"> </w:t>
      </w:r>
      <w:r w:rsidRPr="00EA0910">
        <w:rPr>
          <w:rFonts w:ascii="Calibri" w:hAnsi="Calibri" w:cs="Calibri"/>
          <w:shd w:val="clear" w:color="auto" w:fill="FFFFFF"/>
          <w:lang w:val="es-ES"/>
        </w:rPr>
        <w:t xml:space="preserve">Departamento d’Història i Història de l’Art, Universidad Rovira i Virgili, </w:t>
      </w:r>
      <w:r>
        <w:rPr>
          <w:rFonts w:ascii="Calibri" w:hAnsi="Calibri" w:cs="Calibri"/>
          <w:shd w:val="clear" w:color="auto" w:fill="FFFFFF"/>
          <w:lang w:val="es-ES"/>
        </w:rPr>
        <w:t xml:space="preserve">Tarragona, </w:t>
      </w:r>
      <w:r w:rsidRPr="00EA0910">
        <w:rPr>
          <w:rFonts w:ascii="Calibri" w:hAnsi="Calibri" w:cs="Calibri"/>
          <w:shd w:val="clear" w:color="auto" w:fill="FFFFFF"/>
          <w:lang w:val="es-ES"/>
        </w:rPr>
        <w:t>Spain.</w:t>
      </w:r>
    </w:p>
    <w:p w14:paraId="1B822B96" w14:textId="77777777" w:rsidR="00245513" w:rsidRPr="00111380" w:rsidRDefault="00245513" w:rsidP="00245513">
      <w:pPr>
        <w:rPr>
          <w:lang w:val="it-IT"/>
        </w:rPr>
      </w:pPr>
      <w:r w:rsidRPr="00111380">
        <w:rPr>
          <w:vertAlign w:val="superscript"/>
          <w:lang w:val="it-IT"/>
        </w:rPr>
        <w:t>14</w:t>
      </w:r>
      <w:r w:rsidRPr="00111380">
        <w:rPr>
          <w:lang w:val="it-IT"/>
        </w:rPr>
        <w:t xml:space="preserve"> I</w:t>
      </w:r>
      <w:r w:rsidRPr="00111380">
        <w:rPr>
          <w:rFonts w:ascii="Calibri" w:hAnsi="Calibri" w:cs="Calibri"/>
          <w:shd w:val="clear" w:color="auto" w:fill="FFFFFF"/>
          <w:lang w:val="it-IT"/>
        </w:rPr>
        <w:t xml:space="preserve">nstitut Català de Paleoecologia Humana i Evolució Social (IPHES), </w:t>
      </w:r>
      <w:r>
        <w:rPr>
          <w:rFonts w:ascii="Calibri" w:hAnsi="Calibri" w:cs="Calibri"/>
          <w:shd w:val="clear" w:color="auto" w:fill="FFFFFF"/>
          <w:lang w:val="it-IT"/>
        </w:rPr>
        <w:t xml:space="preserve">Tarragona, </w:t>
      </w:r>
      <w:r w:rsidRPr="00111380">
        <w:rPr>
          <w:rFonts w:ascii="Calibri" w:hAnsi="Calibri" w:cs="Calibri"/>
          <w:shd w:val="clear" w:color="auto" w:fill="FFFFFF"/>
          <w:lang w:val="it-IT"/>
        </w:rPr>
        <w:t>Spain.</w:t>
      </w:r>
    </w:p>
    <w:p w14:paraId="6BCEDECC" w14:textId="77777777" w:rsidR="00245513" w:rsidRPr="00464017" w:rsidRDefault="00245513" w:rsidP="00245513">
      <w:pPr>
        <w:rPr>
          <w:lang w:val="en-GB"/>
        </w:rPr>
      </w:pPr>
      <w:r w:rsidRPr="00464017">
        <w:rPr>
          <w:vertAlign w:val="superscript"/>
          <w:lang w:val="en-GB"/>
        </w:rPr>
        <w:t>15</w:t>
      </w:r>
      <w:r w:rsidRPr="00464017">
        <w:rPr>
          <w:lang w:val="en-GB"/>
        </w:rPr>
        <w:t xml:space="preserve"> Catalan Institution of Research and Advanced Studies (ICREA), </w:t>
      </w:r>
      <w:r>
        <w:rPr>
          <w:lang w:val="en-GB"/>
        </w:rPr>
        <w:t xml:space="preserve">Barcelona, </w:t>
      </w:r>
      <w:r w:rsidRPr="00464017">
        <w:rPr>
          <w:lang w:val="en-GB"/>
        </w:rPr>
        <w:t>Spain.</w:t>
      </w:r>
    </w:p>
    <w:p w14:paraId="7A4638FC" w14:textId="77777777" w:rsidR="00245513" w:rsidRPr="00111380" w:rsidRDefault="00245513" w:rsidP="00245513">
      <w:pPr>
        <w:rPr>
          <w:lang w:val="it-IT"/>
        </w:rPr>
      </w:pPr>
      <w:r w:rsidRPr="00111380">
        <w:rPr>
          <w:vertAlign w:val="superscript"/>
          <w:lang w:val="it-IT"/>
        </w:rPr>
        <w:t>16</w:t>
      </w:r>
      <w:r w:rsidRPr="00111380">
        <w:rPr>
          <w:lang w:val="it-IT"/>
        </w:rPr>
        <w:t xml:space="preserve"> Institut Catal</w:t>
      </w:r>
      <w:r w:rsidRPr="00111380">
        <w:rPr>
          <w:rFonts w:cstheme="minorHAnsi"/>
          <w:lang w:val="it-IT"/>
        </w:rPr>
        <w:t>à</w:t>
      </w:r>
      <w:r w:rsidRPr="00111380">
        <w:rPr>
          <w:lang w:val="it-IT"/>
        </w:rPr>
        <w:t xml:space="preserve"> de Paleontologia Miquel Crusafont, Universitat Aut</w:t>
      </w:r>
      <w:r w:rsidRPr="00111380">
        <w:rPr>
          <w:rFonts w:cstheme="minorHAnsi"/>
          <w:lang w:val="it-IT"/>
        </w:rPr>
        <w:t>ò</w:t>
      </w:r>
      <w:r w:rsidRPr="00111380">
        <w:rPr>
          <w:lang w:val="it-IT"/>
        </w:rPr>
        <w:t>noma de Barcelona,</w:t>
      </w:r>
      <w:r>
        <w:rPr>
          <w:lang w:val="it-IT"/>
        </w:rPr>
        <w:t xml:space="preserve"> Barcelona,</w:t>
      </w:r>
      <w:r w:rsidRPr="00111380">
        <w:rPr>
          <w:lang w:val="it-IT"/>
        </w:rPr>
        <w:t xml:space="preserve"> Spain.</w:t>
      </w:r>
    </w:p>
    <w:p w14:paraId="73050591" w14:textId="77777777" w:rsidR="00245513" w:rsidRPr="00464017" w:rsidRDefault="00245513" w:rsidP="00245513">
      <w:pPr>
        <w:rPr>
          <w:lang w:val="en-GB"/>
        </w:rPr>
      </w:pPr>
      <w:r w:rsidRPr="00464017">
        <w:rPr>
          <w:vertAlign w:val="superscript"/>
          <w:lang w:val="en-GB"/>
        </w:rPr>
        <w:t>17</w:t>
      </w:r>
      <w:r w:rsidRPr="00464017">
        <w:rPr>
          <w:lang w:val="en-GB"/>
        </w:rPr>
        <w:t xml:space="preserve"> Lundbeck Foundation GeoGenetics Centre, Globe Institute, University of Copenhagen, </w:t>
      </w:r>
      <w:r>
        <w:rPr>
          <w:lang w:val="en-GB"/>
        </w:rPr>
        <w:t xml:space="preserve">Copenhagen, </w:t>
      </w:r>
      <w:r w:rsidRPr="00464017">
        <w:rPr>
          <w:lang w:val="en-GB"/>
        </w:rPr>
        <w:t>Denmark.</w:t>
      </w:r>
    </w:p>
    <w:p w14:paraId="22B38CC8" w14:textId="77777777" w:rsidR="00245513" w:rsidRPr="00464017" w:rsidRDefault="00245513" w:rsidP="00245513">
      <w:pPr>
        <w:rPr>
          <w:lang w:val="en-GB"/>
        </w:rPr>
      </w:pPr>
      <w:r w:rsidRPr="00464017">
        <w:rPr>
          <w:vertAlign w:val="superscript"/>
          <w:lang w:val="en-GB"/>
        </w:rPr>
        <w:t>18</w:t>
      </w:r>
      <w:r w:rsidRPr="00464017">
        <w:rPr>
          <w:lang w:val="en-GB"/>
        </w:rPr>
        <w:t xml:space="preserve"> Department of Zoology, University of Cambridge, </w:t>
      </w:r>
      <w:r>
        <w:rPr>
          <w:lang w:val="en-GB"/>
        </w:rPr>
        <w:t xml:space="preserve">Cambridge, </w:t>
      </w:r>
      <w:r w:rsidRPr="00464017">
        <w:rPr>
          <w:lang w:val="en-GB"/>
        </w:rPr>
        <w:t>United Kingdom.</w:t>
      </w:r>
    </w:p>
    <w:p w14:paraId="5D2C86EF" w14:textId="77777777" w:rsidR="00245513" w:rsidRDefault="00245513" w:rsidP="00245513">
      <w:pPr>
        <w:rPr>
          <w:rFonts w:ascii="Calibri" w:hAnsi="Calibri" w:cs="Calibri"/>
          <w:shd w:val="clear" w:color="auto" w:fill="FFFFFF"/>
          <w:lang w:val="en-GB"/>
        </w:rPr>
      </w:pPr>
      <w:r w:rsidRPr="00464017">
        <w:rPr>
          <w:vertAlign w:val="superscript"/>
          <w:lang w:val="en-GB"/>
        </w:rPr>
        <w:t>19</w:t>
      </w:r>
      <w:r w:rsidRPr="00464017">
        <w:rPr>
          <w:lang w:val="en-GB"/>
        </w:rPr>
        <w:t xml:space="preserve"> </w:t>
      </w:r>
      <w:r w:rsidRPr="00464017">
        <w:rPr>
          <w:rFonts w:ascii="Calibri" w:hAnsi="Calibri" w:cs="Calibri"/>
          <w:shd w:val="clear" w:color="auto" w:fill="FFFFFF"/>
          <w:lang w:val="en-GB"/>
        </w:rPr>
        <w:t xml:space="preserve">Wellcome Sanger Institute, </w:t>
      </w:r>
      <w:r>
        <w:rPr>
          <w:rFonts w:ascii="Calibri" w:hAnsi="Calibri" w:cs="Calibri"/>
          <w:shd w:val="clear" w:color="auto" w:fill="FFFFFF"/>
          <w:lang w:val="en-GB"/>
        </w:rPr>
        <w:t xml:space="preserve">Hinxton, </w:t>
      </w:r>
      <w:r w:rsidRPr="00464017">
        <w:rPr>
          <w:rFonts w:ascii="Calibri" w:hAnsi="Calibri" w:cs="Calibri"/>
          <w:shd w:val="clear" w:color="auto" w:fill="FFFFFF"/>
          <w:lang w:val="en-GB"/>
        </w:rPr>
        <w:t>United Kingdom.</w:t>
      </w:r>
    </w:p>
    <w:p w14:paraId="10415419" w14:textId="77777777" w:rsidR="00245513" w:rsidRPr="00464017" w:rsidRDefault="00245513" w:rsidP="00245513">
      <w:pPr>
        <w:rPr>
          <w:lang w:val="en-GB"/>
        </w:rPr>
      </w:pPr>
      <w:r w:rsidRPr="00602A62">
        <w:rPr>
          <w:rFonts w:ascii="Calibri" w:hAnsi="Calibri" w:cs="Calibri"/>
          <w:shd w:val="clear" w:color="auto" w:fill="FFFFFF"/>
          <w:vertAlign w:val="superscript"/>
          <w:lang w:val="en-GB"/>
        </w:rPr>
        <w:t>20</w:t>
      </w:r>
      <w:r>
        <w:rPr>
          <w:rFonts w:ascii="Calibri" w:hAnsi="Calibri" w:cs="Calibri"/>
          <w:shd w:val="clear" w:color="auto" w:fill="FFFFFF"/>
          <w:lang w:val="en-GB"/>
        </w:rPr>
        <w:t xml:space="preserve"> </w:t>
      </w:r>
      <w:r w:rsidRPr="00602A62">
        <w:rPr>
          <w:rFonts w:ascii="Calibri" w:hAnsi="Calibri" w:cs="Calibri"/>
          <w:shd w:val="clear" w:color="auto" w:fill="FFFFFF"/>
          <w:lang w:val="en-GB"/>
        </w:rPr>
        <w:t>Danish Institute for Advanced Study, University of Southern Denmark, Odense, Denmark.</w:t>
      </w:r>
    </w:p>
    <w:p w14:paraId="3543EB52" w14:textId="77777777" w:rsidR="00245513" w:rsidRPr="00464017" w:rsidRDefault="00245513" w:rsidP="00245513">
      <w:pPr>
        <w:rPr>
          <w:vertAlign w:val="superscript"/>
          <w:lang w:val="en-GB"/>
        </w:rPr>
      </w:pPr>
      <w:r w:rsidRPr="00464017">
        <w:rPr>
          <w:vertAlign w:val="superscript"/>
          <w:lang w:val="en-GB"/>
        </w:rPr>
        <w:t>2</w:t>
      </w:r>
      <w:r>
        <w:rPr>
          <w:vertAlign w:val="superscript"/>
          <w:lang w:val="en-GB"/>
        </w:rPr>
        <w:t>1</w:t>
      </w:r>
      <w:r w:rsidRPr="00464017">
        <w:rPr>
          <w:lang w:val="en-GB"/>
        </w:rPr>
        <w:t xml:space="preserve"> These authors contributed equally.</w:t>
      </w:r>
    </w:p>
    <w:p w14:paraId="09A77106" w14:textId="77777777" w:rsidR="00245513" w:rsidRPr="00464017" w:rsidRDefault="00245513" w:rsidP="00245513">
      <w:pPr>
        <w:rPr>
          <w:lang w:val="en-GB"/>
        </w:rPr>
      </w:pPr>
    </w:p>
    <w:p w14:paraId="77A7AA8C" w14:textId="77777777" w:rsidR="00245513" w:rsidRPr="00464017" w:rsidRDefault="00245513" w:rsidP="00245513">
      <w:pPr>
        <w:rPr>
          <w:lang w:val="en-GB"/>
        </w:rPr>
      </w:pPr>
      <w:r w:rsidRPr="00464017">
        <w:rPr>
          <w:lang w:val="en-GB"/>
        </w:rPr>
        <w:t>*Corresponding authors: E. Cappellini (</w:t>
      </w:r>
      <w:hyperlink r:id="rId8" w:history="1">
        <w:r w:rsidRPr="00464017">
          <w:rPr>
            <w:rStyle w:val="Hyperlink"/>
            <w:lang w:val="en-GB"/>
          </w:rPr>
          <w:t>ecappellini@bio.ku.dk</w:t>
        </w:r>
      </w:hyperlink>
      <w:r w:rsidRPr="00464017">
        <w:rPr>
          <w:lang w:val="en-GB"/>
        </w:rPr>
        <w:t>), E. Willerslev (</w:t>
      </w:r>
      <w:hyperlink r:id="rId9" w:history="1">
        <w:r w:rsidRPr="00464017">
          <w:rPr>
            <w:rStyle w:val="Hyperlink"/>
            <w:lang w:val="en-GB"/>
          </w:rPr>
          <w:t>ewillerslev@bio.ku.dk</w:t>
        </w:r>
      </w:hyperlink>
      <w:r w:rsidRPr="00464017">
        <w:rPr>
          <w:lang w:val="en-GB"/>
        </w:rPr>
        <w:t>), J.-M. Bermudez de Castro (</w:t>
      </w:r>
      <w:hyperlink r:id="rId10" w:history="1">
        <w:r w:rsidRPr="00464017">
          <w:rPr>
            <w:rStyle w:val="Hyperlink"/>
            <w:lang w:val="en-GB"/>
          </w:rPr>
          <w:t>josemaria.bermudezdecastro@cenieh.es</w:t>
        </w:r>
      </w:hyperlink>
      <w:r w:rsidRPr="00464017">
        <w:rPr>
          <w:lang w:val="en-GB"/>
        </w:rPr>
        <w:t>) and F. Welker</w:t>
      </w:r>
      <w:r>
        <w:rPr>
          <w:lang w:val="en-GB"/>
        </w:rPr>
        <w:t xml:space="preserve"> (frido.welker@bio.ku.dk)</w:t>
      </w:r>
      <w:r w:rsidRPr="00464017">
        <w:rPr>
          <w:lang w:val="en-GB"/>
        </w:rPr>
        <w:t>.</w:t>
      </w:r>
    </w:p>
    <w:p w14:paraId="7646C5FA" w14:textId="77777777" w:rsidR="00245513" w:rsidRPr="00464017" w:rsidRDefault="00245513" w:rsidP="00245513">
      <w:pPr>
        <w:spacing w:after="160" w:line="259" w:lineRule="auto"/>
        <w:rPr>
          <w:lang w:val="en-GB"/>
        </w:rPr>
      </w:pPr>
      <w:r w:rsidRPr="00464017">
        <w:rPr>
          <w:lang w:val="en-GB"/>
        </w:rPr>
        <w:br w:type="page"/>
      </w:r>
    </w:p>
    <w:p w14:paraId="1425F13F" w14:textId="77777777" w:rsidR="00245513" w:rsidRPr="00AE25FB" w:rsidRDefault="00245513" w:rsidP="00245513">
      <w:pPr>
        <w:spacing w:line="480" w:lineRule="auto"/>
        <w:jc w:val="both"/>
        <w:rPr>
          <w:b/>
          <w:bCs/>
          <w:lang w:val="en-GB"/>
        </w:rPr>
      </w:pPr>
      <w:r w:rsidRPr="6C7FFDA4">
        <w:rPr>
          <w:b/>
          <w:bCs/>
          <w:lang w:val="en-GB"/>
        </w:rPr>
        <w:lastRenderedPageBreak/>
        <w:t xml:space="preserve">The phylogenetic relationships between Early Pleistocene Eurasian hominins, like </w:t>
      </w:r>
      <w:r w:rsidRPr="6C7FFDA4">
        <w:rPr>
          <w:b/>
          <w:bCs/>
          <w:i/>
          <w:iCs/>
          <w:lang w:val="en-GB"/>
        </w:rPr>
        <w:t>Homo antecessor</w:t>
      </w:r>
      <w:r w:rsidRPr="6C7FFDA4">
        <w:rPr>
          <w:b/>
          <w:bCs/>
          <w:lang w:val="en-GB"/>
        </w:rPr>
        <w:t xml:space="preserve">, and hominins that appear in the fossil record during the late Middle Pleistocene, like </w:t>
      </w:r>
      <w:r w:rsidRPr="6C7FFDA4">
        <w:rPr>
          <w:b/>
          <w:bCs/>
          <w:i/>
          <w:iCs/>
          <w:lang w:val="en-GB"/>
        </w:rPr>
        <w:t>Homo sapiens</w:t>
      </w:r>
      <w:r w:rsidRPr="6C7FFDA4">
        <w:rPr>
          <w:b/>
          <w:bCs/>
          <w:lang w:val="en-GB"/>
        </w:rPr>
        <w:t>, are highly debated</w:t>
      </w:r>
      <w:r w:rsidRPr="6C7FFDA4">
        <w:rPr>
          <w:rStyle w:val="Style1Char"/>
          <w:b/>
          <w:bCs/>
        </w:rPr>
        <w:t>1-5</w:t>
      </w:r>
      <w:r w:rsidRPr="6C7FFDA4">
        <w:rPr>
          <w:b/>
          <w:bCs/>
          <w:lang w:val="en-US"/>
        </w:rPr>
        <w:t>.</w:t>
      </w:r>
      <w:r w:rsidRPr="6C7FFDA4">
        <w:rPr>
          <w:b/>
          <w:bCs/>
          <w:lang w:val="en-GB"/>
        </w:rPr>
        <w:t xml:space="preserve"> For the most ancient remains, the molecular study of these relationships is hindered by ancient DNA degradation. However, recent research has demonstrated that ancient protein analysis can address this challenge</w:t>
      </w:r>
      <w:r w:rsidRPr="6C7FFDA4">
        <w:rPr>
          <w:rStyle w:val="Style1Char"/>
          <w:b/>
          <w:bCs/>
        </w:rPr>
        <w:t>6-8</w:t>
      </w:r>
      <w:r w:rsidRPr="6C7FFDA4">
        <w:rPr>
          <w:b/>
          <w:bCs/>
          <w:lang w:val="en-GB"/>
        </w:rPr>
        <w:t xml:space="preserve">. Here, we obtain dental enamel proteomes from </w:t>
      </w:r>
      <w:r w:rsidRPr="6C7FFDA4">
        <w:rPr>
          <w:b/>
          <w:bCs/>
          <w:i/>
          <w:iCs/>
          <w:lang w:val="en-GB"/>
        </w:rPr>
        <w:t xml:space="preserve">Homo antecessor </w:t>
      </w:r>
      <w:r w:rsidRPr="6C7FFDA4">
        <w:rPr>
          <w:b/>
          <w:bCs/>
          <w:lang w:val="en-GB"/>
        </w:rPr>
        <w:t>(Atapuerca, Spain)</w:t>
      </w:r>
      <w:r w:rsidRPr="6C7FFDA4">
        <w:rPr>
          <w:rStyle w:val="Style1Char"/>
          <w:b/>
          <w:bCs/>
        </w:rPr>
        <w:t>9,10</w:t>
      </w:r>
      <w:r w:rsidRPr="6C7FFDA4">
        <w:rPr>
          <w:b/>
          <w:bCs/>
          <w:lang w:val="en-GB"/>
        </w:rPr>
        <w:t xml:space="preserve"> and </w:t>
      </w:r>
      <w:r w:rsidRPr="6C7FFDA4">
        <w:rPr>
          <w:b/>
          <w:bCs/>
          <w:i/>
          <w:iCs/>
          <w:lang w:val="en-GB"/>
        </w:rPr>
        <w:t>Homo erectus</w:t>
      </w:r>
      <w:r w:rsidRPr="6C7FFDA4">
        <w:rPr>
          <w:b/>
          <w:bCs/>
          <w:lang w:val="en-GB"/>
        </w:rPr>
        <w:t xml:space="preserve"> (Dmanisi, Georgia)</w:t>
      </w:r>
      <w:r w:rsidRPr="6C7FFDA4">
        <w:rPr>
          <w:b/>
          <w:bCs/>
          <w:noProof/>
          <w:vertAlign w:val="superscript"/>
          <w:lang w:val="en-GB"/>
        </w:rPr>
        <w:t>1</w:t>
      </w:r>
      <w:r w:rsidRPr="6C7FFDA4">
        <w:rPr>
          <w:b/>
          <w:bCs/>
          <w:lang w:val="en-GB"/>
        </w:rPr>
        <w:t xml:space="preserve">, two key fossil assemblages that have a central role in models of Pleistocene hominin morphology, dispersal, and divergence. We demonstrate that </w:t>
      </w:r>
      <w:r w:rsidRPr="6C7FFDA4">
        <w:rPr>
          <w:b/>
          <w:bCs/>
          <w:i/>
          <w:iCs/>
          <w:lang w:val="en-GB"/>
        </w:rPr>
        <w:t>Homo antecessor</w:t>
      </w:r>
      <w:r w:rsidRPr="6C7FFDA4">
        <w:rPr>
          <w:b/>
          <w:bCs/>
          <w:lang w:val="en-GB"/>
        </w:rPr>
        <w:t xml:space="preserve"> is a close sister lineage to subsequent Middle and Late Pleistocene hominins such as modern humans, Neanderthals, and Denisovans. This placement implies that the modern-like face of </w:t>
      </w:r>
      <w:r w:rsidRPr="6C7FFDA4">
        <w:rPr>
          <w:b/>
          <w:bCs/>
          <w:i/>
          <w:iCs/>
          <w:lang w:val="en-GB"/>
        </w:rPr>
        <w:t>Homo antecessor</w:t>
      </w:r>
      <w:r w:rsidRPr="6C7FFDA4">
        <w:rPr>
          <w:b/>
          <w:bCs/>
          <w:lang w:val="en-GB"/>
        </w:rPr>
        <w:t xml:space="preserve"> may have a considerably deep ancestry in the genus </w:t>
      </w:r>
      <w:r w:rsidRPr="6C7FFDA4">
        <w:rPr>
          <w:b/>
          <w:bCs/>
          <w:i/>
          <w:iCs/>
          <w:lang w:val="en-GB"/>
        </w:rPr>
        <w:t>Homo</w:t>
      </w:r>
      <w:r w:rsidRPr="6C7FFDA4">
        <w:rPr>
          <w:b/>
          <w:bCs/>
          <w:lang w:val="en-GB"/>
        </w:rPr>
        <w:t xml:space="preserve">, and that the Neanderthal cranial morphology represents a derived form. By recovering AMELY-specific peptide sequences we also conclude that the Atapuerca molar fragment we analysed belonged to a male individual. Finally, we observe </w:t>
      </w:r>
      <w:r w:rsidRPr="6C7FFDA4">
        <w:rPr>
          <w:b/>
          <w:bCs/>
          <w:i/>
          <w:iCs/>
          <w:lang w:val="en-GB"/>
        </w:rPr>
        <w:t>in vivo</w:t>
      </w:r>
      <w:r w:rsidRPr="6C7FFDA4">
        <w:rPr>
          <w:b/>
          <w:bCs/>
          <w:lang w:val="en-GB"/>
        </w:rPr>
        <w:t xml:space="preserve"> enamel proteome phosphorylation and proteolytic digestion that occurred during tooth formation. Our results thereby provide important insights into the evolutionary relationships of </w:t>
      </w:r>
      <w:r w:rsidRPr="6C7FFDA4">
        <w:rPr>
          <w:b/>
          <w:bCs/>
          <w:i/>
          <w:iCs/>
          <w:lang w:val="en-GB"/>
        </w:rPr>
        <w:t>Homo antecessor</w:t>
      </w:r>
      <w:r w:rsidRPr="6C7FFDA4">
        <w:rPr>
          <w:b/>
          <w:bCs/>
          <w:lang w:val="en-GB"/>
        </w:rPr>
        <w:t xml:space="preserve"> to other hominin groups, and pave the way for further insights into hominin biology across the existence of the genus </w:t>
      </w:r>
      <w:r w:rsidRPr="6C7FFDA4">
        <w:rPr>
          <w:b/>
          <w:bCs/>
          <w:i/>
          <w:iCs/>
          <w:lang w:val="en-GB"/>
        </w:rPr>
        <w:t>Homo</w:t>
      </w:r>
      <w:r w:rsidRPr="6C7FFDA4">
        <w:rPr>
          <w:b/>
          <w:bCs/>
          <w:lang w:val="en-GB"/>
        </w:rPr>
        <w:t xml:space="preserve"> through the study of their enamel proteomes.</w:t>
      </w:r>
    </w:p>
    <w:p w14:paraId="0EA4C73F" w14:textId="77777777" w:rsidR="00245513" w:rsidRDefault="00245513" w:rsidP="00245513">
      <w:pPr>
        <w:spacing w:line="480" w:lineRule="auto"/>
        <w:rPr>
          <w:lang w:val="en-GB"/>
        </w:rPr>
      </w:pPr>
      <w:r>
        <w:rPr>
          <w:lang w:val="en-GB"/>
        </w:rPr>
        <w:br w:type="page"/>
      </w:r>
    </w:p>
    <w:p w14:paraId="627C68B1" w14:textId="77777777" w:rsidR="00245513" w:rsidRPr="00EE5D82" w:rsidRDefault="00245513" w:rsidP="00245513">
      <w:pPr>
        <w:spacing w:line="480" w:lineRule="auto"/>
        <w:jc w:val="both"/>
        <w:rPr>
          <w:lang w:val="en-GB"/>
        </w:rPr>
      </w:pPr>
      <w:r w:rsidRPr="00EE5D82">
        <w:rPr>
          <w:lang w:val="en-GB"/>
        </w:rPr>
        <w:lastRenderedPageBreak/>
        <w:t>Since 1994, over one hundred and seventy human fossil remains have been recovered from level TD6 of the Gran Dolina site of the Sierra de Atapuerca</w:t>
      </w:r>
      <w:r w:rsidRPr="00EE5D82">
        <w:rPr>
          <w:rStyle w:val="Style1Char"/>
        </w:rPr>
        <w:t>10</w:t>
      </w:r>
      <w:r w:rsidRPr="00EE5D82">
        <w:rPr>
          <w:lang w:val="en-GB"/>
        </w:rPr>
        <w:t xml:space="preserve"> (Burgos, Spain, </w:t>
      </w:r>
      <w:r>
        <w:rPr>
          <w:lang w:val="en-GB"/>
        </w:rPr>
        <w:t>Extended Data Fig</w:t>
      </w:r>
      <w:r w:rsidRPr="00EE5D82">
        <w:rPr>
          <w:lang w:val="en-GB"/>
        </w:rPr>
        <w:t>. 1; Supplementary Information). These fossils have been dated to the late Early Pleistocene and exhibit a unique combination of cranial, mandibular and dental features</w:t>
      </w:r>
      <w:r w:rsidRPr="00EE5D82">
        <w:rPr>
          <w:rStyle w:val="Style1Char"/>
        </w:rPr>
        <w:t>9,11</w:t>
      </w:r>
      <w:r w:rsidRPr="00EE5D82">
        <w:rPr>
          <w:lang w:val="en-GB"/>
        </w:rPr>
        <w:t xml:space="preserve">. To accommodate the variation observed in the TD6 human fossils, a new species of the genus </w:t>
      </w:r>
      <w:r w:rsidRPr="00EE5D82">
        <w:rPr>
          <w:i/>
          <w:iCs/>
          <w:lang w:val="en-GB"/>
        </w:rPr>
        <w:t>Homo</w:t>
      </w:r>
      <w:r w:rsidRPr="00EE5D82">
        <w:rPr>
          <w:lang w:val="en-GB"/>
        </w:rPr>
        <w:t xml:space="preserve">, </w:t>
      </w:r>
      <w:r w:rsidRPr="00EE5D82">
        <w:rPr>
          <w:i/>
          <w:iCs/>
          <w:lang w:val="en-GB"/>
        </w:rPr>
        <w:t>H. antecessor</w:t>
      </w:r>
      <w:r w:rsidRPr="00EE5D82">
        <w:rPr>
          <w:lang w:val="en-GB"/>
        </w:rPr>
        <w:t>, was proposed in 1997</w:t>
      </w:r>
      <w:r w:rsidRPr="00EE5D82">
        <w:rPr>
          <w:rStyle w:val="Style1Char"/>
        </w:rPr>
        <w:t>9</w:t>
      </w:r>
      <w:r w:rsidRPr="00EE5D82">
        <w:rPr>
          <w:lang w:val="en-GB"/>
        </w:rPr>
        <w:t xml:space="preserve">. The relationships of this species to earlier hominins in Eurasia (such as the </w:t>
      </w:r>
      <w:r w:rsidRPr="00EE5D82">
        <w:rPr>
          <w:i/>
          <w:iCs/>
          <w:lang w:val="en-GB"/>
        </w:rPr>
        <w:t>Homo erectus</w:t>
      </w:r>
      <w:r w:rsidRPr="00EE5D82">
        <w:rPr>
          <w:lang w:val="en-GB"/>
        </w:rPr>
        <w:t xml:space="preserve"> specimens from Dmanisi), and to later hominins (such as Neanderthals, Denisovans, and modern humans), have been the subject of considerable debate</w:t>
      </w:r>
      <w:r w:rsidRPr="00EE5D82">
        <w:rPr>
          <w:rStyle w:val="Style1Char"/>
        </w:rPr>
        <w:t>3,4,12,13</w:t>
      </w:r>
      <w:r w:rsidRPr="00EE5D82">
        <w:rPr>
          <w:lang w:val="en-GB"/>
        </w:rPr>
        <w:t>. These issues remain unresolved due to the fragmentary nature of hominin fossils at other sites, and the failure to recover ancient DNA in Eurasia from the Early and most of the Middle Pleistocene.</w:t>
      </w:r>
    </w:p>
    <w:p w14:paraId="59C93FF7" w14:textId="77777777" w:rsidR="00245513" w:rsidRPr="00EE5D82" w:rsidRDefault="00245513" w:rsidP="00245513">
      <w:pPr>
        <w:spacing w:line="480" w:lineRule="auto"/>
        <w:jc w:val="both"/>
        <w:rPr>
          <w:lang w:val="en-GB"/>
        </w:rPr>
      </w:pPr>
      <w:r w:rsidRPr="00EE5D82">
        <w:rPr>
          <w:lang w:val="en-GB"/>
        </w:rPr>
        <w:t>On the contrary, recent developments in the extraction and tandem mass-spectrometric analysis of ancient proteins have made it possible to retrieve phylogenetically informative protein sequences from Early Pleistocene contexts</w:t>
      </w:r>
      <w:r w:rsidRPr="00EE5D82">
        <w:rPr>
          <w:rStyle w:val="Style1Char"/>
        </w:rPr>
        <w:t>6,8</w:t>
      </w:r>
      <w:r w:rsidRPr="00EE5D82">
        <w:rPr>
          <w:lang w:val="en-GB"/>
        </w:rPr>
        <w:t xml:space="preserve">. We therefore applied ancient protein analysis to a </w:t>
      </w:r>
      <w:r w:rsidRPr="00EE5D82">
        <w:rPr>
          <w:i/>
          <w:iCs/>
          <w:lang w:val="en-GB"/>
        </w:rPr>
        <w:t>Homo antecessor</w:t>
      </w:r>
      <w:r w:rsidRPr="00EE5D82">
        <w:rPr>
          <w:lang w:val="en-GB"/>
        </w:rPr>
        <w:t xml:space="preserve"> molar from Atapuerca, Gran Dolina TD6.2 (Specimen ATD6-92</w:t>
      </w:r>
      <w:r>
        <w:rPr>
          <w:lang w:val="en-GB"/>
        </w:rPr>
        <w:t>; Extended Data Fig. 2</w:t>
      </w:r>
      <w:r w:rsidRPr="00EE5D82">
        <w:rPr>
          <w:lang w:val="en-GB"/>
        </w:rPr>
        <w:t>a). This specimen, identified as an enamel fragment of a permanent lower left first or second molar, has been directly dated to 772-949 thousand years ago (ka) using a combination of electron spin resonance (ESR) and U-series dating</w:t>
      </w:r>
      <w:r w:rsidRPr="00EE5D82">
        <w:rPr>
          <w:rStyle w:val="Style1Char"/>
        </w:rPr>
        <w:t>11</w:t>
      </w:r>
      <w:r w:rsidRPr="00EE5D82">
        <w:rPr>
          <w:lang w:val="en-GB"/>
        </w:rPr>
        <w:t xml:space="preserve">. In addition, we sampled dentine and enamel from an isolated </w:t>
      </w:r>
      <w:r w:rsidRPr="00EE5D82">
        <w:rPr>
          <w:i/>
          <w:iCs/>
          <w:lang w:val="en-GB"/>
        </w:rPr>
        <w:t xml:space="preserve">Homo erectus </w:t>
      </w:r>
      <w:r w:rsidRPr="00EE5D82">
        <w:rPr>
          <w:lang w:val="en-GB"/>
        </w:rPr>
        <w:t>upper first molar (D4163; Extended Data Fig</w:t>
      </w:r>
      <w:r>
        <w:rPr>
          <w:lang w:val="en-GB"/>
        </w:rPr>
        <w:t>. 2</w:t>
      </w:r>
      <w:r w:rsidRPr="00EE5D82">
        <w:rPr>
          <w:lang w:val="en-GB"/>
        </w:rPr>
        <w:t>b) from Dmanisi, Georgia, dated to 1.77 million years ago (Ma)</w:t>
      </w:r>
      <w:r w:rsidRPr="00EE5D82">
        <w:rPr>
          <w:rStyle w:val="Style1Char"/>
        </w:rPr>
        <w:t>1,14,15</w:t>
      </w:r>
      <w:r w:rsidRPr="00EE5D82">
        <w:rPr>
          <w:lang w:val="en-GB"/>
        </w:rPr>
        <w:t xml:space="preserve">, as amino acid racemization analysis of this specimen indicated the presence of an endogenous protein component in the intra-crystalline enamel fraction of the tooth (Extended Data Fig. </w:t>
      </w:r>
      <w:r>
        <w:rPr>
          <w:lang w:val="en-GB"/>
        </w:rPr>
        <w:t>3</w:t>
      </w:r>
      <w:r w:rsidRPr="00EE5D82">
        <w:rPr>
          <w:lang w:val="en-GB"/>
        </w:rPr>
        <w:t>; Supplementary Information). On both specimens, we performed digestion-free peptide extraction</w:t>
      </w:r>
      <w:r w:rsidRPr="00EE5D82" w:rsidDel="009033E9">
        <w:rPr>
          <w:lang w:val="en-GB"/>
        </w:rPr>
        <w:t xml:space="preserve"> </w:t>
      </w:r>
      <w:r w:rsidRPr="00EE5D82">
        <w:rPr>
          <w:lang w:val="en-GB"/>
        </w:rPr>
        <w:t>optimised for the recovery of short, degraded, protein remains</w:t>
      </w:r>
      <w:r w:rsidRPr="00EE5D82">
        <w:rPr>
          <w:noProof/>
          <w:vertAlign w:val="superscript"/>
          <w:lang w:val="en-GB"/>
        </w:rPr>
        <w:t>6</w:t>
      </w:r>
      <w:r w:rsidRPr="00EE5D82">
        <w:rPr>
          <w:lang w:val="en-GB"/>
        </w:rPr>
        <w:t xml:space="preserve">. Nano liquid chromatography tandem mass spectrometry (nanoLC-MS/MS) acquisition was replicated in two independent proteomic laboratories (Extended Data Tab. 1), implementing common precautions and analytical workflows to minimize protein contamination (Methods). We compared the proteomic datasets retrieved from the Pleistocene hominin tooth specimens with those generated from a positive control, a recent human premolar (Ø1952, male, approximately three centuries old), and previously published </w:t>
      </w:r>
      <w:r w:rsidRPr="00EE5D82">
        <w:rPr>
          <w:lang w:val="en-GB"/>
        </w:rPr>
        <w:lastRenderedPageBreak/>
        <w:t>Holocene teeth</w:t>
      </w:r>
      <w:r w:rsidRPr="00EE5D82">
        <w:rPr>
          <w:noProof/>
          <w:vertAlign w:val="superscript"/>
          <w:lang w:val="en-GB"/>
        </w:rPr>
        <w:t>16</w:t>
      </w:r>
      <w:r w:rsidRPr="00EE5D82">
        <w:rPr>
          <w:lang w:val="en-GB"/>
        </w:rPr>
        <w:t xml:space="preserve"> (Methods, Supplementary Information). Finally, to validate our enamel peptide spectrum matches (PSMs), we performed </w:t>
      </w:r>
      <w:r w:rsidRPr="00EE5D82">
        <w:rPr>
          <w:rFonts w:ascii="Calibri" w:eastAsia="Calibri" w:hAnsi="Calibri" w:cs="Calibri"/>
          <w:lang w:val="en-US"/>
        </w:rPr>
        <w:t xml:space="preserve">machine learning-based MS/MS spectrum </w:t>
      </w:r>
      <w:r w:rsidRPr="00EE5D82">
        <w:rPr>
          <w:lang w:val="en-GB"/>
        </w:rPr>
        <w:t xml:space="preserve">intensity </w:t>
      </w:r>
      <w:r w:rsidRPr="00EE5D82">
        <w:rPr>
          <w:rFonts w:ascii="Calibri" w:eastAsia="Calibri" w:hAnsi="Calibri" w:cs="Calibri"/>
          <w:lang w:val="en-US"/>
        </w:rPr>
        <w:t>prediction</w:t>
      </w:r>
      <w:r w:rsidRPr="00EE5D82">
        <w:rPr>
          <w:lang w:val="en-GB"/>
        </w:rPr>
        <w:t xml:space="preserve"> using the wiNNer algorithm</w:t>
      </w:r>
      <w:r w:rsidRPr="00EE5D82">
        <w:rPr>
          <w:rStyle w:val="Style1Char"/>
        </w:rPr>
        <w:t>17</w:t>
      </w:r>
      <w:r w:rsidRPr="00EE5D82">
        <w:rPr>
          <w:lang w:val="en-GB"/>
        </w:rPr>
        <w:t xml:space="preserve">. Results show that the wiNNer model, re-trained for randomly cleaved and heavily modified peptides, provides similar predictive performance compared to the wiNNer model trained on modern, trypsin-digested samples, assuring accurate sequence identification for the phylogenetically informative peptides (median Pearson correlation coefficients of ≥0.76; Fig. S6; see Methods and Supplementary Information). </w:t>
      </w:r>
    </w:p>
    <w:p w14:paraId="18A7D5A1" w14:textId="77777777" w:rsidR="00245513" w:rsidRPr="00EE5D82" w:rsidRDefault="00245513" w:rsidP="00245513">
      <w:pPr>
        <w:spacing w:line="480" w:lineRule="auto"/>
        <w:jc w:val="both"/>
        <w:rPr>
          <w:lang w:val="en-GB"/>
        </w:rPr>
      </w:pPr>
      <w:r w:rsidRPr="00EE5D82">
        <w:rPr>
          <w:lang w:val="en-GB"/>
        </w:rPr>
        <w:t>Protein recovery from the Dmanisi dentine sample was limited to sporadic collagen type I fragments</w:t>
      </w:r>
      <w:r w:rsidRPr="00EE5D82" w:rsidDel="001E3AB7">
        <w:rPr>
          <w:lang w:val="en-GB"/>
        </w:rPr>
        <w:t xml:space="preserve">. </w:t>
      </w:r>
      <w:r w:rsidRPr="00EE5D82">
        <w:rPr>
          <w:lang w:val="en-GB"/>
        </w:rPr>
        <w:t>Therefore</w:t>
      </w:r>
      <w:r w:rsidRPr="00EE5D82" w:rsidDel="00990885">
        <w:rPr>
          <w:lang w:val="en-GB"/>
        </w:rPr>
        <w:t>,</w:t>
      </w:r>
      <w:r w:rsidRPr="00EE5D82">
        <w:rPr>
          <w:lang w:val="en-GB"/>
        </w:rPr>
        <w:t xml:space="preserve"> in-depth analysis of this material was not further pursued. In contrast, we recover ancient proteomes from both hominin enamel samples and observe that their</w:t>
      </w:r>
      <w:r w:rsidRPr="00EE5D82" w:rsidDel="00236A28">
        <w:rPr>
          <w:lang w:val="en-GB"/>
        </w:rPr>
        <w:t xml:space="preserve"> </w:t>
      </w:r>
      <w:r w:rsidRPr="00EE5D82">
        <w:rPr>
          <w:lang w:val="en-GB"/>
        </w:rPr>
        <w:t>composition is similar to those from the recent human specimen we processed as a positive control and ancient enamel proteomes previously published</w:t>
      </w:r>
      <w:r w:rsidRPr="00EE5D82">
        <w:rPr>
          <w:rStyle w:val="Style1Char"/>
        </w:rPr>
        <w:t>6,16,18,19</w:t>
      </w:r>
      <w:r w:rsidRPr="00EE5D82">
        <w:rPr>
          <w:lang w:val="en-GB"/>
        </w:rPr>
        <w:t xml:space="preserve"> (Extended Data Tab. 2; Tab. S6). The enamel-specific proteins include amelogenin (AMELX and AMELY), enamelin (ENAM), ameloblastin (AMBN), amelotin (AMTN), and the enamel-specific protease matrix metalloproteinase-20 (MMP20). Serum albumin (ALB), and collagens (COL1α1, COL1α2, COL17α1) are also present. For the enamel-specific proteins, the peptide sequences retrieved cover approximately the same protein regions in all the specimens analysed (Extended Data Fig. </w:t>
      </w:r>
      <w:r>
        <w:rPr>
          <w:lang w:val="en-GB"/>
        </w:rPr>
        <w:t>4</w:t>
      </w:r>
      <w:r w:rsidRPr="00EE5D82">
        <w:rPr>
          <w:lang w:val="en-GB"/>
        </w:rPr>
        <w:t>). Although destructive, our sampling of Pleistocene hominin teeth resulted in higher protein sequence coverage than acid-etching of Holocene enamel surfaces</w:t>
      </w:r>
      <w:r w:rsidRPr="00EE5D82">
        <w:rPr>
          <w:noProof/>
          <w:vertAlign w:val="superscript"/>
          <w:lang w:val="en-GB"/>
        </w:rPr>
        <w:t>16,20</w:t>
      </w:r>
      <w:r w:rsidRPr="00EE5D82">
        <w:rPr>
          <w:lang w:val="en-GB"/>
        </w:rPr>
        <w:t xml:space="preserve"> (Fig. S7). The AMTN-specific peptides largely derive from a single sequence region involved in hydroxyapatite precipi</w:t>
      </w:r>
      <w:r>
        <w:rPr>
          <w:lang w:val="en-GB"/>
        </w:rPr>
        <w:t>tation through the presence of</w:t>
      </w:r>
      <w:r w:rsidRPr="00EE5D82">
        <w:rPr>
          <w:lang w:val="en-GB"/>
        </w:rPr>
        <w:t xml:space="preserve"> phosphorylated serine</w:t>
      </w:r>
      <w:r>
        <w:rPr>
          <w:lang w:val="en-GB"/>
        </w:rPr>
        <w:t>s</w:t>
      </w:r>
      <w:r w:rsidRPr="00EE5D82">
        <w:rPr>
          <w:rStyle w:val="Style1Char"/>
        </w:rPr>
        <w:t>21</w:t>
      </w:r>
      <w:r w:rsidRPr="00EE5D82">
        <w:rPr>
          <w:lang w:val="en-GB"/>
        </w:rPr>
        <w:t>. Finally, the observation of AMELY-specific peptides, the amelogenin isoform coded on the non-recombinant portion of the Y-chromosome, demonstrates that the</w:t>
      </w:r>
      <w:r>
        <w:rPr>
          <w:lang w:val="en-GB"/>
        </w:rPr>
        <w:t xml:space="preserve"> studied</w:t>
      </w:r>
      <w:r w:rsidRPr="00EE5D82">
        <w:rPr>
          <w:lang w:val="en-GB"/>
        </w:rPr>
        <w:t xml:space="preserve"> </w:t>
      </w:r>
      <w:r w:rsidRPr="00EE5D82">
        <w:rPr>
          <w:i/>
          <w:iCs/>
          <w:lang w:val="en-GB"/>
        </w:rPr>
        <w:t>Homo antecessor</w:t>
      </w:r>
      <w:r w:rsidRPr="00EE5D82">
        <w:rPr>
          <w:lang w:val="en-GB"/>
        </w:rPr>
        <w:t xml:space="preserve"> molar belonged to a male individual</w:t>
      </w:r>
      <w:r w:rsidRPr="00EE5D82">
        <w:rPr>
          <w:noProof/>
          <w:vertAlign w:val="superscript"/>
          <w:lang w:val="en-GB"/>
        </w:rPr>
        <w:t>16</w:t>
      </w:r>
      <w:r w:rsidRPr="00EE5D82">
        <w:rPr>
          <w:lang w:val="en-GB"/>
        </w:rPr>
        <w:t xml:space="preserve"> (Extended Data Fig. </w:t>
      </w:r>
      <w:r>
        <w:rPr>
          <w:lang w:val="en-GB"/>
        </w:rPr>
        <w:t>5</w:t>
      </w:r>
      <w:r w:rsidRPr="00EE5D82">
        <w:rPr>
          <w:lang w:val="en-GB"/>
        </w:rPr>
        <w:t>).</w:t>
      </w:r>
    </w:p>
    <w:p w14:paraId="79BB2E5E" w14:textId="77777777" w:rsidR="00245513" w:rsidRPr="00EE5D82" w:rsidRDefault="00245513" w:rsidP="00245513">
      <w:pPr>
        <w:spacing w:line="480" w:lineRule="auto"/>
        <w:jc w:val="both"/>
        <w:rPr>
          <w:lang w:val="en-GB"/>
        </w:rPr>
      </w:pPr>
      <w:r w:rsidRPr="00EE5D82">
        <w:rPr>
          <w:lang w:val="en-GB"/>
        </w:rPr>
        <w:t xml:space="preserve">Besides proteome composition and sequence coverage, several further lines of evidence independently support the endogenous origin of the hominin enamel proteomes. Unlike exogenous trypsin, keratins and other human skin contaminants identified, the enamel proteins have high deamidation rates (Extended Data </w:t>
      </w:r>
      <w:r w:rsidRPr="00EE5D82">
        <w:rPr>
          <w:lang w:val="en-GB"/>
        </w:rPr>
        <w:lastRenderedPageBreak/>
        <w:t xml:space="preserve">Fig. </w:t>
      </w:r>
      <w:r>
        <w:rPr>
          <w:lang w:val="en-GB"/>
        </w:rPr>
        <w:t>6</w:t>
      </w:r>
      <w:r w:rsidRPr="00EE5D82">
        <w:rPr>
          <w:lang w:val="en-GB"/>
        </w:rPr>
        <w:t>), and above that observed for the recent human specimens (Fig. S8). Both Pleistocene hominins have average peptide lengths shorter than observed for our recent huma</w:t>
      </w:r>
      <w:r>
        <w:rPr>
          <w:lang w:val="en-GB"/>
        </w:rPr>
        <w:t>n controls (Extended Data Fig. 6</w:t>
      </w:r>
      <w:r w:rsidRPr="00EE5D82">
        <w:rPr>
          <w:lang w:val="en-GB"/>
        </w:rPr>
        <w:t xml:space="preserve">d). The average peptide length is shorter in the Dmanisi hominin, but longer in the younger Atapuerca hominin </w:t>
      </w:r>
      <w:r>
        <w:rPr>
          <w:lang w:val="en-GB"/>
        </w:rPr>
        <w:t>(Extended Data Fig. 6</w:t>
      </w:r>
      <w:r w:rsidRPr="00EE5D82">
        <w:rPr>
          <w:lang w:val="en-GB"/>
        </w:rPr>
        <w:t xml:space="preserve">d). In contrast, we observe that the Dmanisi hominin peptide </w:t>
      </w:r>
      <w:r w:rsidRPr="00EE5D82" w:rsidDel="000F4AB9">
        <w:rPr>
          <w:lang w:val="en-GB"/>
        </w:rPr>
        <w:t>length</w:t>
      </w:r>
      <w:r w:rsidRPr="00EE5D82">
        <w:rPr>
          <w:lang w:val="en-GB"/>
        </w:rPr>
        <w:t xml:space="preserve">s are indistinguishable from </w:t>
      </w:r>
      <w:r>
        <w:rPr>
          <w:lang w:val="en-GB"/>
        </w:rPr>
        <w:t>those of the</w:t>
      </w:r>
      <w:r w:rsidRPr="00EE5D82">
        <w:rPr>
          <w:lang w:val="en-GB"/>
        </w:rPr>
        <w:t xml:space="preserve"> faunal remains from the same site. Together, our protein data is </w:t>
      </w:r>
      <w:r>
        <w:rPr>
          <w:lang w:val="en-GB"/>
        </w:rPr>
        <w:t xml:space="preserve">therefore </w:t>
      </w:r>
      <w:r w:rsidRPr="00EE5D82">
        <w:rPr>
          <w:lang w:val="en-GB"/>
        </w:rPr>
        <w:t>in agreement with theoretical and experimental</w:t>
      </w:r>
      <w:r w:rsidRPr="00EE5D82">
        <w:rPr>
          <w:rStyle w:val="Style1Char"/>
        </w:rPr>
        <w:t>6,22</w:t>
      </w:r>
      <w:r w:rsidRPr="00EE5D82">
        <w:rPr>
          <w:lang w:val="en-GB"/>
        </w:rPr>
        <w:t xml:space="preserve"> expectations for samples of their relative age.</w:t>
      </w:r>
    </w:p>
    <w:p w14:paraId="1CEEC4C9" w14:textId="77777777" w:rsidR="00245513" w:rsidRPr="00EE5D82" w:rsidRDefault="00245513" w:rsidP="00245513">
      <w:pPr>
        <w:spacing w:line="480" w:lineRule="auto"/>
        <w:jc w:val="both"/>
        <w:rPr>
          <w:lang w:val="en-GB"/>
        </w:rPr>
      </w:pPr>
      <w:r w:rsidRPr="00EE5D82">
        <w:rPr>
          <w:lang w:val="en-GB"/>
        </w:rPr>
        <w:t xml:space="preserve">In addition to diagenetic modifications, we observe two kinds of </w:t>
      </w:r>
      <w:r w:rsidRPr="00EE5D82">
        <w:rPr>
          <w:i/>
          <w:iCs/>
          <w:lang w:val="en-GB"/>
        </w:rPr>
        <w:t>in vivo</w:t>
      </w:r>
      <w:r w:rsidRPr="00EE5D82">
        <w:rPr>
          <w:lang w:val="en-GB"/>
        </w:rPr>
        <w:t xml:space="preserve"> modifications in our recent and ancient enamel proteomes. First, we detect serine phosphorylation within the S-x</w:t>
      </w:r>
      <w:r>
        <w:rPr>
          <w:lang w:val="en-GB"/>
        </w:rPr>
        <w:t>-E/phS motif (Fig. 1</w:t>
      </w:r>
      <w:r w:rsidRPr="00EE5D82">
        <w:rPr>
          <w:lang w:val="en-GB"/>
        </w:rPr>
        <w:t>a, b). This motif is recognized by the</w:t>
      </w:r>
      <w:r>
        <w:rPr>
          <w:lang w:val="en-GB"/>
        </w:rPr>
        <w:t xml:space="preserve"> </w:t>
      </w:r>
      <w:r w:rsidRPr="00EE5D82">
        <w:rPr>
          <w:lang w:val="en-GB"/>
        </w:rPr>
        <w:t>FAM20C secreted kinase, which is active in the phosphorylation of extracellular proteins</w:t>
      </w:r>
      <w:r w:rsidRPr="00EE5D82">
        <w:rPr>
          <w:rStyle w:val="Style1Char"/>
        </w:rPr>
        <w:t xml:space="preserve">23,24 </w:t>
      </w:r>
      <w:r w:rsidRPr="00EE5D82">
        <w:rPr>
          <w:lang w:val="en-GB"/>
        </w:rPr>
        <w:t>. The presence of phosphoserine in fossil enamel and its location in the S-x-E/phS motif has previously also been observed in other Pleistocene enamel proteomes</w:t>
      </w:r>
      <w:r w:rsidRPr="00EE5D82">
        <w:rPr>
          <w:rStyle w:val="Style1Char"/>
        </w:rPr>
        <w:t>6,25</w:t>
      </w:r>
      <w:r w:rsidRPr="00EE5D82">
        <w:rPr>
          <w:lang w:val="en-GB"/>
        </w:rPr>
        <w:t>. Phosphorylation occupancy can be computed successfully for ancient and recent samples, and reveals differences in phosphorylated peptide ratios between samples (F</w:t>
      </w:r>
      <w:r>
        <w:rPr>
          <w:lang w:val="en-GB"/>
        </w:rPr>
        <w:t>ig. 1</w:t>
      </w:r>
      <w:r w:rsidRPr="00EE5D82">
        <w:rPr>
          <w:lang w:val="en-GB"/>
        </w:rPr>
        <w:t xml:space="preserve">c; Tab. S5). Second, the peptide populations we retrieve primarily cover the ameloblastin, enamelin, and amelogenin sequence regions representing </w:t>
      </w:r>
      <w:r w:rsidRPr="00EE5D82">
        <w:rPr>
          <w:lang w:val="en-US"/>
        </w:rPr>
        <w:t xml:space="preserve">cleavage products deriving from </w:t>
      </w:r>
      <w:r w:rsidRPr="00EE5D82">
        <w:rPr>
          <w:i/>
          <w:iCs/>
          <w:lang w:val="en-GB"/>
        </w:rPr>
        <w:t>in vivo</w:t>
      </w:r>
      <w:r w:rsidRPr="00EE5D82">
        <w:rPr>
          <w:lang w:val="en-GB"/>
        </w:rPr>
        <w:t xml:space="preserve"> activity of the proteases MMP20 and, subsequently,</w:t>
      </w:r>
      <w:r>
        <w:rPr>
          <w:lang w:val="en-GB"/>
        </w:rPr>
        <w:t xml:space="preserve"> kallikrein-4</w:t>
      </w:r>
      <w:r w:rsidRPr="00EE5D82">
        <w:rPr>
          <w:lang w:val="en-GB"/>
        </w:rPr>
        <w:t xml:space="preserve"> </w:t>
      </w:r>
      <w:r>
        <w:rPr>
          <w:lang w:val="en-GB"/>
        </w:rPr>
        <w:t>(</w:t>
      </w:r>
      <w:r w:rsidRPr="00EE5D82">
        <w:rPr>
          <w:lang w:val="en-GB"/>
        </w:rPr>
        <w:t>KLK4</w:t>
      </w:r>
      <w:r>
        <w:rPr>
          <w:lang w:val="en-GB"/>
        </w:rPr>
        <w:t xml:space="preserve">; </w:t>
      </w:r>
      <w:r w:rsidRPr="00EE5D82">
        <w:rPr>
          <w:lang w:val="en-GB"/>
        </w:rPr>
        <w:t xml:space="preserve">Extended Data Fig. </w:t>
      </w:r>
      <w:r>
        <w:rPr>
          <w:lang w:val="en-GB"/>
        </w:rPr>
        <w:t>4</w:t>
      </w:r>
      <w:r w:rsidRPr="00EE5D82">
        <w:rPr>
          <w:lang w:val="en-GB"/>
        </w:rPr>
        <w:t>; Methods). The peptide populations are also enriched in N- and C-termini corresponding to known MMP20 and KLK4 clea</w:t>
      </w:r>
      <w:r>
        <w:rPr>
          <w:lang w:val="en-GB"/>
        </w:rPr>
        <w:t>vage sites (Extended Data Fig. 7</w:t>
      </w:r>
      <w:r w:rsidRPr="00EE5D82">
        <w:rPr>
          <w:lang w:val="en-GB"/>
        </w:rPr>
        <w:t xml:space="preserve">, Fig. S9). FAM20C phosphorylation and MMP20 and KLK4 proteolysis are the two main processes occurring </w:t>
      </w:r>
      <w:r w:rsidRPr="00EE5D82">
        <w:rPr>
          <w:i/>
          <w:iCs/>
          <w:lang w:val="en-GB"/>
        </w:rPr>
        <w:t>in vivo</w:t>
      </w:r>
      <w:r w:rsidRPr="00EE5D82">
        <w:rPr>
          <w:lang w:val="en-GB"/>
        </w:rPr>
        <w:t xml:space="preserve"> during enamel biomineralization. Our observation of products deriving from both processes opens up the possibility to study </w:t>
      </w:r>
      <w:r w:rsidRPr="00EE5D82">
        <w:rPr>
          <w:i/>
          <w:iCs/>
          <w:lang w:val="en-GB"/>
        </w:rPr>
        <w:t>in vivo</w:t>
      </w:r>
      <w:r w:rsidRPr="00EE5D82">
        <w:rPr>
          <w:lang w:val="en-GB"/>
        </w:rPr>
        <w:t xml:space="preserve"> processes of hominin tooth formation across the Pleistocene.</w:t>
      </w:r>
    </w:p>
    <w:p w14:paraId="0F001795" w14:textId="77777777" w:rsidR="00245513" w:rsidRPr="00EE5D82" w:rsidRDefault="00245513" w:rsidP="00245513">
      <w:pPr>
        <w:spacing w:line="480" w:lineRule="auto"/>
        <w:jc w:val="both"/>
        <w:rPr>
          <w:lang w:val="en-GB"/>
        </w:rPr>
      </w:pPr>
      <w:r w:rsidRPr="00EE5D82">
        <w:rPr>
          <w:i/>
          <w:iCs/>
          <w:lang w:val="en-GB"/>
        </w:rPr>
        <w:t>Homo antecessor</w:t>
      </w:r>
      <w:r w:rsidRPr="00EE5D82">
        <w:rPr>
          <w:lang w:val="en-GB"/>
        </w:rPr>
        <w:t xml:space="preserve"> is only known from the Gran Dolina TD6.2 assemblage in Atapuerca</w:t>
      </w:r>
      <w:r w:rsidRPr="00EE5D82">
        <w:rPr>
          <w:rStyle w:val="Style1Char"/>
        </w:rPr>
        <w:t>9</w:t>
      </w:r>
      <w:r w:rsidRPr="00EE5D82">
        <w:rPr>
          <w:lang w:val="en-GB"/>
        </w:rPr>
        <w:t>. Its relationship with other European Middle Pleistocene fossils is heavily debated</w:t>
      </w:r>
      <w:r w:rsidRPr="00EE5D82">
        <w:rPr>
          <w:rStyle w:val="Style1Char"/>
        </w:rPr>
        <w:t>3-5,26,27</w:t>
      </w:r>
      <w:r w:rsidRPr="00EE5D82">
        <w:rPr>
          <w:lang w:val="en-GB"/>
        </w:rPr>
        <w:t xml:space="preserve">. It is still contentious whether </w:t>
      </w:r>
      <w:r w:rsidRPr="00EE5D82">
        <w:rPr>
          <w:i/>
          <w:iCs/>
          <w:lang w:val="en-GB"/>
        </w:rPr>
        <w:t>Homo antecessor</w:t>
      </w:r>
      <w:r w:rsidRPr="00EE5D82">
        <w:rPr>
          <w:lang w:val="en-GB"/>
        </w:rPr>
        <w:t xml:space="preserve"> could represent the last common ancestor of </w:t>
      </w:r>
      <w:r w:rsidRPr="00EE5D82">
        <w:rPr>
          <w:i/>
          <w:iCs/>
          <w:lang w:val="en-GB"/>
        </w:rPr>
        <w:t>Homo sapiens</w:t>
      </w:r>
      <w:r>
        <w:rPr>
          <w:lang w:val="en-GB"/>
        </w:rPr>
        <w:t>,</w:t>
      </w:r>
      <w:r w:rsidRPr="00EE5D82">
        <w:rPr>
          <w:lang w:val="en-GB"/>
        </w:rPr>
        <w:t xml:space="preserve"> Neanderthals</w:t>
      </w:r>
      <w:r>
        <w:rPr>
          <w:lang w:val="en-GB"/>
        </w:rPr>
        <w:t>, and Denisovans</w:t>
      </w:r>
      <w:r w:rsidRPr="00EE5D82">
        <w:rPr>
          <w:rStyle w:val="Style1Char"/>
        </w:rPr>
        <w:t>9</w:t>
      </w:r>
      <w:r w:rsidRPr="00EE5D82">
        <w:rPr>
          <w:lang w:val="en-GB"/>
        </w:rPr>
        <w:t>, or whether it represents a sister lineage to the last common ancestor of these species (here collectively called HNDs</w:t>
      </w:r>
      <w:r>
        <w:rPr>
          <w:lang w:val="en-GB"/>
        </w:rPr>
        <w:t>)</w:t>
      </w:r>
      <w:r w:rsidRPr="00EE5D82">
        <w:rPr>
          <w:noProof/>
          <w:vertAlign w:val="superscript"/>
          <w:lang w:val="en-GB"/>
        </w:rPr>
        <w:t>28,29</w:t>
      </w:r>
      <w:r w:rsidRPr="00EE5D82">
        <w:rPr>
          <w:lang w:val="en-GB"/>
        </w:rPr>
        <w:t xml:space="preserve">. We address this issue by conducting a set of phylogenetic analyses based on our ancient protein </w:t>
      </w:r>
      <w:r w:rsidRPr="00EE5D82">
        <w:rPr>
          <w:lang w:val="en-GB"/>
        </w:rPr>
        <w:lastRenderedPageBreak/>
        <w:t xml:space="preserve">sequences from </w:t>
      </w:r>
      <w:r w:rsidRPr="00EE5D82">
        <w:rPr>
          <w:i/>
          <w:iCs/>
          <w:lang w:val="en-GB"/>
        </w:rPr>
        <w:t>Homo antecessor</w:t>
      </w:r>
      <w:r w:rsidRPr="00EE5D82">
        <w:rPr>
          <w:iCs/>
          <w:lang w:val="en-GB"/>
        </w:rPr>
        <w:t xml:space="preserve"> (ATD6-92)</w:t>
      </w:r>
      <w:r w:rsidRPr="00EE5D82">
        <w:rPr>
          <w:lang w:val="en-GB"/>
        </w:rPr>
        <w:t>, a panel of present-day great ape genomes, and protein sequences translated from archaic hominin genomes (Methods).</w:t>
      </w:r>
    </w:p>
    <w:p w14:paraId="11956A53" w14:textId="77777777" w:rsidR="00245513" w:rsidRPr="00EE5D82" w:rsidRDefault="00245513" w:rsidP="00245513">
      <w:pPr>
        <w:tabs>
          <w:tab w:val="num" w:pos="1664"/>
        </w:tabs>
        <w:spacing w:line="480" w:lineRule="auto"/>
        <w:jc w:val="both"/>
        <w:rPr>
          <w:lang w:val="en-GB"/>
        </w:rPr>
      </w:pPr>
      <w:r w:rsidRPr="00EE5D82">
        <w:rPr>
          <w:lang w:val="en-GB"/>
        </w:rPr>
        <w:t>We built several phylogenetic trees using maximum likelihood and Bayesian methods</w:t>
      </w:r>
      <w:r>
        <w:rPr>
          <w:lang w:val="en-GB"/>
        </w:rPr>
        <w:t xml:space="preserve"> (Figs. 2</w:t>
      </w:r>
      <w:r w:rsidRPr="00EE5D82">
        <w:rPr>
          <w:lang w:val="en-GB"/>
        </w:rPr>
        <w:t xml:space="preserve">a, Figs. S13-16). In these trees, the </w:t>
      </w:r>
      <w:r w:rsidRPr="00EE5D82">
        <w:rPr>
          <w:i/>
          <w:iCs/>
          <w:lang w:val="en-GB"/>
        </w:rPr>
        <w:t>Homo antecessor</w:t>
      </w:r>
      <w:r w:rsidRPr="00EE5D82">
        <w:rPr>
          <w:lang w:val="en-GB"/>
        </w:rPr>
        <w:t xml:space="preserve"> sequence represents a sister taxon closely related to, but not part of, the group composed of Late Pleistocene hominins for which mol</w:t>
      </w:r>
      <w:r>
        <w:rPr>
          <w:lang w:val="en-GB"/>
        </w:rPr>
        <w:t>ecular data is available (Fig. 2</w:t>
      </w:r>
      <w:r w:rsidRPr="00EE5D82">
        <w:rPr>
          <w:lang w:val="en-GB"/>
        </w:rPr>
        <w:t xml:space="preserve">a, S13, S15, S16). The enamel protein sequences do not resolve the relationships between HNDs due to the low number of informative single amino acid polymorphisms (SAPs). However, pairwise amino acid sequence divergence between </w:t>
      </w:r>
      <w:r w:rsidRPr="00EE5D82">
        <w:rPr>
          <w:i/>
          <w:iCs/>
          <w:lang w:val="en-GB"/>
        </w:rPr>
        <w:t>Homo antecessor</w:t>
      </w:r>
      <w:r w:rsidRPr="00EE5D82">
        <w:rPr>
          <w:lang w:val="en-GB"/>
        </w:rPr>
        <w:t xml:space="preserve"> and HNDs is larger than between HNDs (Fig 3b, S12; Supplementary Information). The concatenated gene tree may suffer from incomplete lineage sorting, and we have too little sequence data to discard this possibility at the moment. If we were, however, to use the concatenation of available gene trees as a best guess for the population tree, and assuming such a population tree is a good descriptor of the relationships among ancient hominins, then our results support the placement of </w:t>
      </w:r>
      <w:r w:rsidRPr="00EE5D82">
        <w:rPr>
          <w:i/>
          <w:iCs/>
          <w:lang w:val="en-GB"/>
        </w:rPr>
        <w:t>Homo antecessor</w:t>
      </w:r>
      <w:r w:rsidRPr="00EE5D82">
        <w:rPr>
          <w:lang w:val="en-GB"/>
        </w:rPr>
        <w:t xml:space="preserve"> as a closely related sister taxon of the last common ancestor of HNDs. The phylogenetic position of </w:t>
      </w:r>
      <w:r w:rsidRPr="00EE5D82">
        <w:rPr>
          <w:i/>
          <w:iCs/>
          <w:lang w:val="en-GB"/>
        </w:rPr>
        <w:t>Homo antecessor</w:t>
      </w:r>
      <w:r w:rsidRPr="00EE5D82">
        <w:rPr>
          <w:lang w:val="en-GB"/>
        </w:rPr>
        <w:t xml:space="preserve"> agrees with a divergence of the </w:t>
      </w:r>
      <w:r w:rsidRPr="00EE5D82">
        <w:rPr>
          <w:i/>
          <w:iCs/>
          <w:lang w:val="en-GB"/>
        </w:rPr>
        <w:t>Homo sapiens</w:t>
      </w:r>
      <w:r w:rsidRPr="00EE5D82">
        <w:rPr>
          <w:lang w:val="en-GB"/>
        </w:rPr>
        <w:t xml:space="preserve"> and Neanderthal+Denisovan lineages between 550 ka and 765 ka</w:t>
      </w:r>
      <w:r w:rsidRPr="00EE5D82">
        <w:rPr>
          <w:noProof/>
          <w:vertAlign w:val="superscript"/>
          <w:lang w:val="en-GB"/>
        </w:rPr>
        <w:t>30,31</w:t>
      </w:r>
      <w:r w:rsidRPr="00EE5D82">
        <w:rPr>
          <w:lang w:val="en-GB"/>
        </w:rPr>
        <w:t>, while ATD6-92 has been dated to 772-949 ka</w:t>
      </w:r>
      <w:r w:rsidRPr="00EE5D82">
        <w:rPr>
          <w:rStyle w:val="Style1Char"/>
        </w:rPr>
        <w:t>11</w:t>
      </w:r>
      <w:r w:rsidRPr="00EE5D82">
        <w:rPr>
          <w:lang w:val="en-GB"/>
        </w:rPr>
        <w:t xml:space="preserve">. This is further supported by recent reconsiderations of the morphology of </w:t>
      </w:r>
      <w:r w:rsidRPr="00EE5D82">
        <w:rPr>
          <w:i/>
          <w:iCs/>
          <w:lang w:val="en-GB"/>
        </w:rPr>
        <w:t>Homo antecessor</w:t>
      </w:r>
      <w:r w:rsidRPr="00EE5D82">
        <w:rPr>
          <w:lang w:val="en-GB"/>
        </w:rPr>
        <w:t xml:space="preserve"> in relation to Middle and Late Pleistocene hominins</w:t>
      </w:r>
      <w:r w:rsidRPr="00EE5D82">
        <w:rPr>
          <w:noProof/>
          <w:vertAlign w:val="superscript"/>
          <w:lang w:val="en-GB"/>
        </w:rPr>
        <w:t>29</w:t>
      </w:r>
      <w:r w:rsidRPr="00EE5D82">
        <w:rPr>
          <w:lang w:val="en-GB"/>
        </w:rPr>
        <w:t>.</w:t>
      </w:r>
    </w:p>
    <w:p w14:paraId="2C1CB8A9" w14:textId="77777777" w:rsidR="00245513" w:rsidRPr="00EE5D82" w:rsidRDefault="00245513" w:rsidP="00245513">
      <w:pPr>
        <w:tabs>
          <w:tab w:val="num" w:pos="1664"/>
        </w:tabs>
        <w:spacing w:line="480" w:lineRule="auto"/>
        <w:jc w:val="both"/>
        <w:rPr>
          <w:lang w:val="en-GB"/>
        </w:rPr>
      </w:pPr>
      <w:r w:rsidRPr="00EE5D82">
        <w:rPr>
          <w:i/>
          <w:iCs/>
          <w:lang w:val="en-GB"/>
        </w:rPr>
        <w:t>Homo antecessor</w:t>
      </w:r>
      <w:r w:rsidRPr="00EE5D82">
        <w:rPr>
          <w:lang w:val="en-GB"/>
        </w:rPr>
        <w:t xml:space="preserve"> was tentatively proposed as the last common ancestor of Neanderthals and modern humans</w:t>
      </w:r>
      <w:r w:rsidRPr="00EE5D82">
        <w:rPr>
          <w:rStyle w:val="Style1Char"/>
        </w:rPr>
        <w:t>9</w:t>
      </w:r>
      <w:r w:rsidRPr="00EE5D82">
        <w:rPr>
          <w:lang w:val="en-GB"/>
        </w:rPr>
        <w:t>. The modern-like face of some immature individuals, and particularly that of the more complete specimen ATD6-69, as well as the zygomaxillary fragment ATD6-58 of one adult individual, were key in this proposition</w:t>
      </w:r>
      <w:r w:rsidRPr="00EE5D82">
        <w:rPr>
          <w:rStyle w:val="Style1Char"/>
        </w:rPr>
        <w:t>9,32</w:t>
      </w:r>
      <w:r w:rsidRPr="00EE5D82">
        <w:rPr>
          <w:lang w:val="en-GB"/>
        </w:rPr>
        <w:t xml:space="preserve">. Additional studies of the face of ATD6-69 have confirmed that </w:t>
      </w:r>
      <w:r w:rsidRPr="00EE5D82">
        <w:rPr>
          <w:i/>
          <w:iCs/>
          <w:lang w:val="en-GB"/>
        </w:rPr>
        <w:t>Homo antecessor</w:t>
      </w:r>
      <w:r w:rsidRPr="00EE5D82">
        <w:rPr>
          <w:lang w:val="en-GB"/>
        </w:rPr>
        <w:t xml:space="preserve"> exhibits the oldest known modern-like face of the fossil record</w:t>
      </w:r>
      <w:r w:rsidRPr="00EE5D82">
        <w:rPr>
          <w:rStyle w:val="Style1Char"/>
        </w:rPr>
        <w:t>12,13</w:t>
      </w:r>
      <w:r w:rsidRPr="00EE5D82">
        <w:rPr>
          <w:lang w:val="en-GB"/>
        </w:rPr>
        <w:t xml:space="preserve">. The phylogenetic placement of </w:t>
      </w:r>
      <w:r w:rsidRPr="00EE5D82">
        <w:rPr>
          <w:i/>
          <w:iCs/>
          <w:lang w:val="en-GB"/>
        </w:rPr>
        <w:t>Homo antecessor</w:t>
      </w:r>
      <w:r w:rsidRPr="00EE5D82">
        <w:rPr>
          <w:lang w:val="en-GB"/>
        </w:rPr>
        <w:t xml:space="preserve"> implies that the modern-like face as represented by </w:t>
      </w:r>
      <w:r w:rsidRPr="00EE5D82">
        <w:rPr>
          <w:i/>
          <w:iCs/>
          <w:lang w:val="en-GB"/>
        </w:rPr>
        <w:t>Homo antecessor</w:t>
      </w:r>
      <w:r w:rsidRPr="00EE5D82">
        <w:rPr>
          <w:lang w:val="en-GB"/>
        </w:rPr>
        <w:t xml:space="preserve"> must have a considerably deep ancestry in the genus </w:t>
      </w:r>
      <w:r w:rsidRPr="00EE5D82">
        <w:rPr>
          <w:i/>
          <w:iCs/>
          <w:lang w:val="en-GB"/>
        </w:rPr>
        <w:t>Homo</w:t>
      </w:r>
      <w:r w:rsidRPr="00EE5D82">
        <w:rPr>
          <w:lang w:val="en-GB"/>
        </w:rPr>
        <w:t xml:space="preserve">. New findings made between 2003 and 2005 have shown that the </w:t>
      </w:r>
      <w:r w:rsidRPr="00EE5D82">
        <w:rPr>
          <w:i/>
          <w:iCs/>
          <w:lang w:val="en-GB"/>
        </w:rPr>
        <w:t>Homo antecessor</w:t>
      </w:r>
      <w:r w:rsidRPr="00EE5D82">
        <w:rPr>
          <w:lang w:val="en-GB"/>
        </w:rPr>
        <w:t xml:space="preserve"> hypodigm includes some previously considered autapomorphic Neanderthal features</w:t>
      </w:r>
      <w:r w:rsidRPr="00EE5D82">
        <w:rPr>
          <w:noProof/>
          <w:vertAlign w:val="superscript"/>
          <w:lang w:val="en-GB"/>
        </w:rPr>
        <w:t>28</w:t>
      </w:r>
      <w:r w:rsidRPr="00EE5D82">
        <w:rPr>
          <w:lang w:val="en-GB"/>
        </w:rPr>
        <w:t xml:space="preserve">. Our </w:t>
      </w:r>
      <w:r w:rsidRPr="00EE5D82">
        <w:rPr>
          <w:lang w:val="en-GB"/>
        </w:rPr>
        <w:lastRenderedPageBreak/>
        <w:t xml:space="preserve">results suggest that these features appeared during the Early Pleistocene and were retained by Neanderthals and lost by modern humans. </w:t>
      </w:r>
    </w:p>
    <w:p w14:paraId="64E5024F" w14:textId="77777777" w:rsidR="00245513" w:rsidRPr="00EE5D82" w:rsidRDefault="00245513" w:rsidP="00245513">
      <w:pPr>
        <w:tabs>
          <w:tab w:val="num" w:pos="1664"/>
        </w:tabs>
        <w:spacing w:line="480" w:lineRule="auto"/>
        <w:jc w:val="both"/>
        <w:rPr>
          <w:lang w:val="en-GB"/>
        </w:rPr>
      </w:pPr>
      <w:r w:rsidRPr="00EE5D82">
        <w:rPr>
          <w:lang w:val="en-GB"/>
        </w:rPr>
        <w:t xml:space="preserve">In contrast, the phylogenetic tree built with the </w:t>
      </w:r>
      <w:r w:rsidRPr="00EE5D82">
        <w:rPr>
          <w:i/>
          <w:iCs/>
          <w:lang w:val="en-GB"/>
        </w:rPr>
        <w:t>Homo erectus</w:t>
      </w:r>
      <w:r w:rsidRPr="00EE5D82">
        <w:rPr>
          <w:lang w:val="en-GB"/>
        </w:rPr>
        <w:t xml:space="preserve"> specimen from Dmanisi has only moderate resolution (Extended Data Fig. </w:t>
      </w:r>
      <w:r>
        <w:rPr>
          <w:lang w:val="en-GB"/>
        </w:rPr>
        <w:t>8</w:t>
      </w:r>
      <w:r w:rsidRPr="00EE5D82">
        <w:rPr>
          <w:lang w:val="en-GB"/>
        </w:rPr>
        <w:t xml:space="preserve">; Fig. S11), despite deeper shotgun protein sequencing for this specimen (Extended Data Tab. 1). This partly inconclusive result might be due </w:t>
      </w:r>
      <w:r>
        <w:rPr>
          <w:lang w:val="en-GB"/>
        </w:rPr>
        <w:t xml:space="preserve">to the </w:t>
      </w:r>
      <w:r w:rsidRPr="00EE5D82">
        <w:rPr>
          <w:lang w:val="en-GB"/>
        </w:rPr>
        <w:t xml:space="preserve">shorter average peptide lengths compared to the Atapuerca specimen (Extended Data Fig. </w:t>
      </w:r>
      <w:r>
        <w:rPr>
          <w:lang w:val="en-GB"/>
        </w:rPr>
        <w:t>6</w:t>
      </w:r>
      <w:r w:rsidRPr="00EE5D82">
        <w:rPr>
          <w:lang w:val="en-GB"/>
        </w:rPr>
        <w:t xml:space="preserve">d; Methods) and an absence of uniquely segregating SAPs (Tab. S9). Although our </w:t>
      </w:r>
      <w:r w:rsidRPr="00EE5D82">
        <w:rPr>
          <w:i/>
          <w:iCs/>
          <w:lang w:val="en-GB"/>
        </w:rPr>
        <w:t>Homo erectus</w:t>
      </w:r>
      <w:r w:rsidRPr="00EE5D82">
        <w:rPr>
          <w:lang w:val="en-GB"/>
        </w:rPr>
        <w:t xml:space="preserve"> (Dmanisi) data demonstrate that ancient hominin proteins can be reliably obtained from the Early Pleistocene, it also highlights the current limits of ancient protein analysis when applied to attempt phylogenetic placement of Early Pleistocene hominin remains.</w:t>
      </w:r>
    </w:p>
    <w:p w14:paraId="40968583" w14:textId="77777777" w:rsidR="00245513" w:rsidRDefault="00245513" w:rsidP="00245513">
      <w:pPr>
        <w:spacing w:line="480" w:lineRule="auto"/>
        <w:jc w:val="both"/>
        <w:rPr>
          <w:lang w:val="en-GB"/>
        </w:rPr>
      </w:pPr>
      <w:r w:rsidRPr="00EE5D82">
        <w:rPr>
          <w:lang w:val="en-GB"/>
        </w:rPr>
        <w:t>Our dataset provides a unique molecular resource of hominin biomolecular sequences from Early and Middle Pleistocene hominins, and is older than the oldest ancient hominin genomes presented to date. Comparison of hominin and fauna proteomes from different skeletal tissues reveals that the dental enamel proteome outlasts dentine and bone proteome preservation (Fig.</w:t>
      </w:r>
      <w:r>
        <w:rPr>
          <w:lang w:val="en-GB"/>
        </w:rPr>
        <w:t xml:space="preserve"> 3</w:t>
      </w:r>
      <w:r w:rsidRPr="00EE5D82">
        <w:rPr>
          <w:lang w:val="en-GB"/>
        </w:rPr>
        <w:t xml:space="preserve">). Here, the prolonged survival of hominin enamel proteomes is exploited to show that </w:t>
      </w:r>
      <w:r w:rsidRPr="00EE5D82">
        <w:rPr>
          <w:i/>
          <w:lang w:val="en-GB"/>
        </w:rPr>
        <w:t>Homo antecessor</w:t>
      </w:r>
      <w:r w:rsidRPr="00EE5D82">
        <w:rPr>
          <w:lang w:val="en-GB"/>
        </w:rPr>
        <w:t xml:space="preserve"> represents a hominin taxon closely related to the last common ancestor of </w:t>
      </w:r>
      <w:r w:rsidRPr="00EE5D82">
        <w:rPr>
          <w:i/>
          <w:lang w:val="en-GB"/>
        </w:rPr>
        <w:t>Homo sapiens</w:t>
      </w:r>
      <w:r w:rsidRPr="00EE5D82">
        <w:rPr>
          <w:lang w:val="en-GB"/>
        </w:rPr>
        <w:t xml:space="preserve">, Neanderthals, and Denisovans. In addition, our datasets demonstrate that </w:t>
      </w:r>
      <w:r w:rsidRPr="00EE5D82">
        <w:rPr>
          <w:i/>
          <w:lang w:val="en-GB"/>
        </w:rPr>
        <w:t>in vivo</w:t>
      </w:r>
      <w:r w:rsidRPr="00EE5D82">
        <w:rPr>
          <w:lang w:val="en-GB"/>
        </w:rPr>
        <w:t xml:space="preserve"> proteome modifications, like serine phosphorylation, survive over the same timescales. Current research therefore suggests that dental enamel, the hardest tissue in the mammalian skeleton, is the material of choice for deep-time analysis of hominin evolution.</w:t>
      </w:r>
    </w:p>
    <w:p w14:paraId="698CD33F" w14:textId="77777777" w:rsidR="00245513" w:rsidRDefault="00245513" w:rsidP="00245513">
      <w:pPr>
        <w:spacing w:line="480" w:lineRule="auto"/>
        <w:jc w:val="both"/>
        <w:rPr>
          <w:lang w:val="en-GB"/>
        </w:rPr>
      </w:pPr>
    </w:p>
    <w:p w14:paraId="5A90FDDD" w14:textId="77777777" w:rsidR="00245513" w:rsidRPr="00380AE3" w:rsidRDefault="00245513" w:rsidP="00245513">
      <w:pPr>
        <w:pStyle w:val="Heading1"/>
        <w:spacing w:line="480" w:lineRule="auto"/>
        <w:jc w:val="both"/>
      </w:pPr>
      <w:r w:rsidRPr="00380AE3">
        <w:t>REFERENCES</w:t>
      </w:r>
    </w:p>
    <w:p w14:paraId="56EDF830" w14:textId="77777777" w:rsidR="00245513" w:rsidRPr="008977FB" w:rsidRDefault="00245513" w:rsidP="00245513">
      <w:pPr>
        <w:pStyle w:val="EndNoteBibliography"/>
        <w:ind w:left="720" w:hanging="720"/>
      </w:pPr>
      <w:r w:rsidRPr="00380AE3">
        <w:rPr>
          <w:lang w:val="da-DK"/>
        </w:rPr>
        <w:t>1</w:t>
      </w:r>
      <w:r w:rsidRPr="00380AE3">
        <w:rPr>
          <w:lang w:val="da-DK"/>
        </w:rPr>
        <w:tab/>
        <w:t>Gabunia, L.</w:t>
      </w:r>
      <w:r w:rsidRPr="00380AE3">
        <w:rPr>
          <w:i/>
          <w:lang w:val="da-DK"/>
        </w:rPr>
        <w:t xml:space="preserve"> et al.</w:t>
      </w:r>
      <w:r w:rsidRPr="00380AE3">
        <w:rPr>
          <w:lang w:val="da-DK"/>
        </w:rPr>
        <w:t xml:space="preserve"> </w:t>
      </w:r>
      <w:r w:rsidRPr="008977FB">
        <w:t xml:space="preserve">Earliest Pleistocene hominid cranial remains from Dmanisi, Republic of Georgia: taxonomy, geological setting, and age. </w:t>
      </w:r>
      <w:r w:rsidRPr="008977FB">
        <w:rPr>
          <w:i/>
        </w:rPr>
        <w:t>Science</w:t>
      </w:r>
      <w:r w:rsidRPr="008977FB">
        <w:t xml:space="preserve"> </w:t>
      </w:r>
      <w:r w:rsidRPr="008977FB">
        <w:rPr>
          <w:b/>
        </w:rPr>
        <w:t>288</w:t>
      </w:r>
      <w:r w:rsidRPr="008977FB">
        <w:t>, 1019-1025, doi:10.1126/science.288.5468.1019 (2000).</w:t>
      </w:r>
    </w:p>
    <w:p w14:paraId="025734AA" w14:textId="77777777" w:rsidR="00245513" w:rsidRPr="008977FB" w:rsidRDefault="00245513" w:rsidP="00245513">
      <w:pPr>
        <w:pStyle w:val="EndNoteBibliography"/>
        <w:ind w:left="720" w:hanging="720"/>
      </w:pPr>
      <w:r w:rsidRPr="008977FB">
        <w:t>2</w:t>
      </w:r>
      <w:r w:rsidRPr="008977FB">
        <w:tab/>
        <w:t>Zhu, Z.</w:t>
      </w:r>
      <w:r w:rsidRPr="008977FB">
        <w:rPr>
          <w:i/>
        </w:rPr>
        <w:t xml:space="preserve"> et al.</w:t>
      </w:r>
      <w:r w:rsidRPr="008977FB">
        <w:t xml:space="preserve"> Hominin occupation of the Chinese Loess Plateau since about 2.1 million years ago. </w:t>
      </w:r>
      <w:r w:rsidRPr="008977FB">
        <w:rPr>
          <w:i/>
        </w:rPr>
        <w:t>Nature</w:t>
      </w:r>
      <w:r w:rsidRPr="008977FB">
        <w:t xml:space="preserve"> </w:t>
      </w:r>
      <w:r w:rsidRPr="008977FB">
        <w:rPr>
          <w:b/>
        </w:rPr>
        <w:t>559</w:t>
      </w:r>
      <w:r w:rsidRPr="008977FB">
        <w:t>, 608-612, doi:10.1038/s41586-018-0299-4 (2018).</w:t>
      </w:r>
    </w:p>
    <w:p w14:paraId="668C0E76" w14:textId="77777777" w:rsidR="00245513" w:rsidRPr="008977FB" w:rsidRDefault="00245513" w:rsidP="00245513">
      <w:pPr>
        <w:pStyle w:val="EndNoteBibliography"/>
        <w:ind w:left="720" w:hanging="720"/>
      </w:pPr>
      <w:r w:rsidRPr="008977FB">
        <w:t>3</w:t>
      </w:r>
      <w:r w:rsidRPr="008977FB">
        <w:tab/>
        <w:t xml:space="preserve">Stringer, C. The origin and evolution of </w:t>
      </w:r>
      <w:r w:rsidRPr="008977FB">
        <w:rPr>
          <w:i/>
        </w:rPr>
        <w:t>Homo sapiens</w:t>
      </w:r>
      <w:r w:rsidRPr="008977FB">
        <w:t xml:space="preserve">. </w:t>
      </w:r>
      <w:r w:rsidRPr="008977FB">
        <w:rPr>
          <w:i/>
        </w:rPr>
        <w:t>Philosophical Transactions of the Royal Society B: Biological Sciences</w:t>
      </w:r>
      <w:r w:rsidRPr="008977FB">
        <w:t xml:space="preserve"> </w:t>
      </w:r>
      <w:r w:rsidRPr="008977FB">
        <w:rPr>
          <w:b/>
        </w:rPr>
        <w:t>371</w:t>
      </w:r>
      <w:r w:rsidRPr="008977FB">
        <w:t>, doi:10.1098/rstb.2015.0237 (2016).</w:t>
      </w:r>
    </w:p>
    <w:p w14:paraId="2613A142" w14:textId="77777777" w:rsidR="00245513" w:rsidRPr="008977FB" w:rsidRDefault="00245513" w:rsidP="00245513">
      <w:pPr>
        <w:pStyle w:val="EndNoteBibliography"/>
        <w:ind w:left="720" w:hanging="720"/>
      </w:pPr>
      <w:r w:rsidRPr="008977FB">
        <w:t>4</w:t>
      </w:r>
      <w:r w:rsidRPr="008977FB">
        <w:tab/>
        <w:t xml:space="preserve">Hublin, J. J. The origin of Neandertals. </w:t>
      </w:r>
      <w:r w:rsidRPr="008977FB">
        <w:rPr>
          <w:i/>
        </w:rPr>
        <w:t>Proceedings of the National Academy of Sciences</w:t>
      </w:r>
      <w:r w:rsidRPr="008977FB">
        <w:t xml:space="preserve"> </w:t>
      </w:r>
      <w:r w:rsidRPr="008977FB">
        <w:rPr>
          <w:b/>
        </w:rPr>
        <w:t>106</w:t>
      </w:r>
      <w:r w:rsidRPr="008977FB">
        <w:t>, 16022, doi:10.1073/pnas.0904119106 (2009).</w:t>
      </w:r>
    </w:p>
    <w:p w14:paraId="5A1E2A08" w14:textId="77777777" w:rsidR="00245513" w:rsidRPr="008977FB" w:rsidRDefault="00245513" w:rsidP="00245513">
      <w:pPr>
        <w:pStyle w:val="EndNoteBibliography"/>
        <w:ind w:left="720" w:hanging="720"/>
      </w:pPr>
      <w:r w:rsidRPr="008977FB">
        <w:lastRenderedPageBreak/>
        <w:t>5</w:t>
      </w:r>
      <w:r w:rsidRPr="008977FB">
        <w:tab/>
        <w:t xml:space="preserve">Rightmire, G. Human evolution in the Middle Pleistocene: the role of Homo heidelbergensis. </w:t>
      </w:r>
      <w:r w:rsidRPr="008977FB">
        <w:rPr>
          <w:i/>
        </w:rPr>
        <w:t>Evolutionary anthropology</w:t>
      </w:r>
      <w:r w:rsidRPr="008977FB">
        <w:t xml:space="preserve"> </w:t>
      </w:r>
      <w:r w:rsidRPr="008977FB">
        <w:rPr>
          <w:b/>
        </w:rPr>
        <w:t>6</w:t>
      </w:r>
      <w:r w:rsidRPr="008977FB">
        <w:t>, 218-227, doi:10.1002/(SICI)1520-6505(1998)6:6&lt;218::AID-EVAN4&gt;3.0.CO;2-6 (1998).</w:t>
      </w:r>
    </w:p>
    <w:p w14:paraId="523F5291" w14:textId="77777777" w:rsidR="00245513" w:rsidRPr="008977FB" w:rsidRDefault="00245513" w:rsidP="00245513">
      <w:pPr>
        <w:pStyle w:val="EndNoteBibliography"/>
        <w:ind w:left="720" w:hanging="720"/>
      </w:pPr>
      <w:r w:rsidRPr="008977FB">
        <w:t>6</w:t>
      </w:r>
      <w:r w:rsidRPr="008977FB">
        <w:tab/>
        <w:t>Cappellini, E.</w:t>
      </w:r>
      <w:r w:rsidRPr="008977FB">
        <w:rPr>
          <w:i/>
        </w:rPr>
        <w:t xml:space="preserve"> et al.</w:t>
      </w:r>
      <w:r w:rsidRPr="008977FB">
        <w:t xml:space="preserve"> Early Pleistocene enamel proteome from Dmanisi resolves Stephanorhinus phylogeny. </w:t>
      </w:r>
      <w:r w:rsidRPr="008977FB">
        <w:rPr>
          <w:i/>
        </w:rPr>
        <w:t>Nature</w:t>
      </w:r>
      <w:r w:rsidRPr="008977FB">
        <w:t>, doi:10.1038/s41586-019-1555-y (2019).</w:t>
      </w:r>
    </w:p>
    <w:p w14:paraId="624F6076" w14:textId="77777777" w:rsidR="00245513" w:rsidRPr="008977FB" w:rsidRDefault="00245513" w:rsidP="00245513">
      <w:pPr>
        <w:pStyle w:val="EndNoteBibliography"/>
        <w:ind w:left="720" w:hanging="720"/>
      </w:pPr>
      <w:r w:rsidRPr="008977FB">
        <w:t>7</w:t>
      </w:r>
      <w:r w:rsidRPr="008977FB">
        <w:tab/>
        <w:t>Chen, F.</w:t>
      </w:r>
      <w:r w:rsidRPr="008977FB">
        <w:rPr>
          <w:i/>
        </w:rPr>
        <w:t xml:space="preserve"> et al.</w:t>
      </w:r>
      <w:r w:rsidRPr="008977FB">
        <w:t xml:space="preserve"> A late Middle Pleistocene Denisovan mandible from the Tibetan Plateau. </w:t>
      </w:r>
      <w:r w:rsidRPr="008977FB">
        <w:rPr>
          <w:i/>
        </w:rPr>
        <w:t>Nature</w:t>
      </w:r>
      <w:r w:rsidRPr="008977FB">
        <w:t xml:space="preserve"> </w:t>
      </w:r>
      <w:r w:rsidRPr="008977FB">
        <w:rPr>
          <w:b/>
        </w:rPr>
        <w:t>569</w:t>
      </w:r>
      <w:r w:rsidRPr="008977FB">
        <w:t>, 409-412, doi:10.1038/s41586-019-1139-x (2019).</w:t>
      </w:r>
    </w:p>
    <w:p w14:paraId="1A347C44" w14:textId="77777777" w:rsidR="00245513" w:rsidRPr="009E481A" w:rsidRDefault="00245513" w:rsidP="00245513">
      <w:pPr>
        <w:pStyle w:val="EndNoteBibliography"/>
        <w:ind w:left="720" w:hanging="720"/>
      </w:pPr>
      <w:r w:rsidRPr="008977FB">
        <w:t>8</w:t>
      </w:r>
      <w:r w:rsidRPr="008977FB">
        <w:tab/>
        <w:t>Welker, F.</w:t>
      </w:r>
      <w:r w:rsidRPr="008977FB">
        <w:rPr>
          <w:i/>
        </w:rPr>
        <w:t xml:space="preserve"> et al.</w:t>
      </w:r>
      <w:r w:rsidRPr="008977FB">
        <w:t xml:space="preserve"> Enamel proteome shows that Gigantopithecus was an early diverging pongine. </w:t>
      </w:r>
      <w:r w:rsidRPr="009E481A">
        <w:rPr>
          <w:i/>
        </w:rPr>
        <w:t>Nature</w:t>
      </w:r>
      <w:r w:rsidRPr="009E481A">
        <w:t xml:space="preserve"> </w:t>
      </w:r>
      <w:r w:rsidRPr="009E481A">
        <w:rPr>
          <w:b/>
        </w:rPr>
        <w:t>576</w:t>
      </w:r>
      <w:r w:rsidRPr="009E481A">
        <w:t>, 262-265, doi:10.1038/s41586-019-1728-8 (2019).</w:t>
      </w:r>
    </w:p>
    <w:p w14:paraId="6A8FF7AB" w14:textId="77777777" w:rsidR="00245513" w:rsidRPr="008977FB" w:rsidRDefault="00245513" w:rsidP="00245513">
      <w:pPr>
        <w:pStyle w:val="EndNoteBibliography"/>
        <w:ind w:left="720" w:hanging="720"/>
      </w:pPr>
      <w:r w:rsidRPr="009E481A">
        <w:t>9</w:t>
      </w:r>
      <w:r w:rsidRPr="009E481A">
        <w:tab/>
        <w:t>Bermúdez de Castro, J. M.</w:t>
      </w:r>
      <w:r w:rsidRPr="009E481A">
        <w:rPr>
          <w:i/>
        </w:rPr>
        <w:t xml:space="preserve"> et al.</w:t>
      </w:r>
      <w:r w:rsidRPr="009E481A">
        <w:t xml:space="preserve"> </w:t>
      </w:r>
      <w:r w:rsidRPr="008977FB">
        <w:t xml:space="preserve">A Hominid from the Lower Pleistocene of Atapuerca, Spain: Possible Ancestor to Neandertals and Modern Humans. </w:t>
      </w:r>
      <w:r w:rsidRPr="008977FB">
        <w:rPr>
          <w:i/>
        </w:rPr>
        <w:t>Science</w:t>
      </w:r>
      <w:r w:rsidRPr="008977FB">
        <w:t xml:space="preserve"> </w:t>
      </w:r>
      <w:r w:rsidRPr="008977FB">
        <w:rPr>
          <w:b/>
        </w:rPr>
        <w:t>276</w:t>
      </w:r>
      <w:r w:rsidRPr="008977FB">
        <w:t>, 1392-1395, doi:10.1126/science.276.5317.1392 (1997).</w:t>
      </w:r>
    </w:p>
    <w:p w14:paraId="301D5974" w14:textId="77777777" w:rsidR="00245513" w:rsidRPr="008977FB" w:rsidRDefault="00245513" w:rsidP="00245513">
      <w:pPr>
        <w:pStyle w:val="EndNoteBibliography"/>
        <w:ind w:left="720" w:hanging="720"/>
      </w:pPr>
      <w:r w:rsidRPr="008977FB">
        <w:t>10</w:t>
      </w:r>
      <w:r w:rsidRPr="008977FB">
        <w:tab/>
        <w:t>Carbonell, E.</w:t>
      </w:r>
      <w:r w:rsidRPr="008977FB">
        <w:rPr>
          <w:i/>
        </w:rPr>
        <w:t xml:space="preserve"> et al.</w:t>
      </w:r>
      <w:r w:rsidRPr="008977FB">
        <w:t xml:space="preserve"> Lower Pleistocene hominids and artifacts from Atapuerca-TD6 (Spain). </w:t>
      </w:r>
      <w:r w:rsidRPr="008977FB">
        <w:rPr>
          <w:i/>
        </w:rPr>
        <w:t>Science</w:t>
      </w:r>
      <w:r w:rsidRPr="008977FB">
        <w:t xml:space="preserve"> </w:t>
      </w:r>
      <w:r w:rsidRPr="008977FB">
        <w:rPr>
          <w:b/>
        </w:rPr>
        <w:t>269</w:t>
      </w:r>
      <w:r w:rsidRPr="008977FB">
        <w:t>, 826-830, doi:10.1126/science.7638598 (1995).</w:t>
      </w:r>
    </w:p>
    <w:p w14:paraId="70FD740E" w14:textId="77777777" w:rsidR="00245513" w:rsidRPr="008977FB" w:rsidRDefault="00245513" w:rsidP="00245513">
      <w:pPr>
        <w:pStyle w:val="EndNoteBibliography"/>
        <w:ind w:left="720" w:hanging="720"/>
      </w:pPr>
      <w:r w:rsidRPr="008977FB">
        <w:t>11</w:t>
      </w:r>
      <w:r w:rsidRPr="008977FB">
        <w:tab/>
        <w:t>Duval, M.</w:t>
      </w:r>
      <w:r w:rsidRPr="008977FB">
        <w:rPr>
          <w:i/>
        </w:rPr>
        <w:t xml:space="preserve"> et al.</w:t>
      </w:r>
      <w:r w:rsidRPr="008977FB">
        <w:t xml:space="preserve"> The first direct ESR dating of a hominin tooth from Atapuerca Gran Dolina TD-6 (Spain) supports the antiquity of Homo antecessor. </w:t>
      </w:r>
      <w:r w:rsidRPr="008977FB">
        <w:rPr>
          <w:i/>
        </w:rPr>
        <w:t>Quaternary Geochronology</w:t>
      </w:r>
      <w:r w:rsidRPr="008977FB">
        <w:t xml:space="preserve"> </w:t>
      </w:r>
      <w:r w:rsidRPr="008977FB">
        <w:rPr>
          <w:b/>
        </w:rPr>
        <w:t>47</w:t>
      </w:r>
      <w:r w:rsidRPr="008977FB">
        <w:t>, 120-137, doi:10.1016/j.quageo.2018.05.001 (2018).</w:t>
      </w:r>
    </w:p>
    <w:p w14:paraId="465A30C6" w14:textId="77777777" w:rsidR="00245513" w:rsidRPr="008977FB" w:rsidRDefault="00245513" w:rsidP="00245513">
      <w:pPr>
        <w:pStyle w:val="EndNoteBibliography"/>
        <w:ind w:left="720" w:hanging="720"/>
      </w:pPr>
      <w:r w:rsidRPr="008977FB">
        <w:t>12</w:t>
      </w:r>
      <w:r w:rsidRPr="008977FB">
        <w:tab/>
        <w:t xml:space="preserve">Freidline, S. E., Gunz, P., Harvati, K. &amp; Hublin, J.-J. Evaluating developmental shape changes in Homo antecessor subadult facial morphology. </w:t>
      </w:r>
      <w:r w:rsidRPr="008977FB">
        <w:rPr>
          <w:i/>
        </w:rPr>
        <w:t>Journal of Human Evolution</w:t>
      </w:r>
      <w:r w:rsidRPr="008977FB">
        <w:t xml:space="preserve"> </w:t>
      </w:r>
      <w:r w:rsidRPr="008977FB">
        <w:rPr>
          <w:b/>
        </w:rPr>
        <w:t>65</w:t>
      </w:r>
      <w:r w:rsidRPr="008977FB">
        <w:t>, 404-423, doi:10.1016/j.jhevol.2013.07.012 (2013).</w:t>
      </w:r>
    </w:p>
    <w:p w14:paraId="0D0E0728" w14:textId="77777777" w:rsidR="00245513" w:rsidRPr="008977FB" w:rsidRDefault="00245513" w:rsidP="00245513">
      <w:pPr>
        <w:pStyle w:val="EndNoteBibliography"/>
        <w:ind w:left="720" w:hanging="720"/>
      </w:pPr>
      <w:r w:rsidRPr="008977FB">
        <w:t>13</w:t>
      </w:r>
      <w:r w:rsidRPr="008977FB">
        <w:tab/>
        <w:t>Lacruz, R. S.</w:t>
      </w:r>
      <w:r w:rsidRPr="008977FB">
        <w:rPr>
          <w:i/>
        </w:rPr>
        <w:t xml:space="preserve"> et al.</w:t>
      </w:r>
      <w:r w:rsidRPr="008977FB">
        <w:t xml:space="preserve"> Facial Morphogenesis of the Earliest Europeans. </w:t>
      </w:r>
      <w:r w:rsidRPr="008977FB">
        <w:rPr>
          <w:i/>
        </w:rPr>
        <w:t>PLOS ONE</w:t>
      </w:r>
      <w:r w:rsidRPr="008977FB">
        <w:t xml:space="preserve"> </w:t>
      </w:r>
      <w:r w:rsidRPr="008977FB">
        <w:rPr>
          <w:b/>
        </w:rPr>
        <w:t>8</w:t>
      </w:r>
      <w:r w:rsidRPr="008977FB">
        <w:t>, e65199, doi:10.1371/journal.pone.0065199 (2013).</w:t>
      </w:r>
    </w:p>
    <w:p w14:paraId="6E353A3B" w14:textId="77777777" w:rsidR="00245513" w:rsidRPr="008977FB" w:rsidRDefault="00245513" w:rsidP="00245513">
      <w:pPr>
        <w:pStyle w:val="EndNoteBibliography"/>
        <w:ind w:left="720" w:hanging="720"/>
      </w:pPr>
      <w:r w:rsidRPr="008977FB">
        <w:t>14</w:t>
      </w:r>
      <w:r w:rsidRPr="008977FB">
        <w:tab/>
        <w:t>Ferring, R.</w:t>
      </w:r>
      <w:r w:rsidRPr="008977FB">
        <w:rPr>
          <w:i/>
        </w:rPr>
        <w:t xml:space="preserve"> et al.</w:t>
      </w:r>
      <w:r w:rsidRPr="008977FB">
        <w:t xml:space="preserve"> Earliest human occupations at Dmanisi (Georgian Caucasus) dated to 1.85-1.78 Ma. </w:t>
      </w:r>
      <w:r w:rsidRPr="008977FB">
        <w:rPr>
          <w:i/>
        </w:rPr>
        <w:t>Proceedings of the National Academy of Sciences of the United States of America</w:t>
      </w:r>
      <w:r w:rsidRPr="008977FB">
        <w:t xml:space="preserve"> </w:t>
      </w:r>
      <w:r w:rsidRPr="008977FB">
        <w:rPr>
          <w:b/>
        </w:rPr>
        <w:t>108</w:t>
      </w:r>
      <w:r w:rsidRPr="008977FB">
        <w:t>, 10432-10436, doi:10.1073/pnas.1106638108 (2011).</w:t>
      </w:r>
    </w:p>
    <w:p w14:paraId="0B07EC30" w14:textId="77777777" w:rsidR="00245513" w:rsidRPr="008977FB" w:rsidRDefault="00245513" w:rsidP="00245513">
      <w:pPr>
        <w:pStyle w:val="EndNoteBibliography"/>
        <w:ind w:left="720" w:hanging="720"/>
      </w:pPr>
      <w:r w:rsidRPr="008977FB">
        <w:t>15</w:t>
      </w:r>
      <w:r w:rsidRPr="008977FB">
        <w:tab/>
        <w:t>Lordkipanidze, D.</w:t>
      </w:r>
      <w:r w:rsidRPr="008977FB">
        <w:rPr>
          <w:i/>
        </w:rPr>
        <w:t xml:space="preserve"> et al.</w:t>
      </w:r>
      <w:r w:rsidRPr="008977FB">
        <w:t xml:space="preserve"> A complete skull from Dmanisi, Georgia, and the evolutionary biology of early Homo. </w:t>
      </w:r>
      <w:r w:rsidRPr="008977FB">
        <w:rPr>
          <w:i/>
        </w:rPr>
        <w:t>Science</w:t>
      </w:r>
      <w:r w:rsidRPr="008977FB">
        <w:t xml:space="preserve"> </w:t>
      </w:r>
      <w:r w:rsidRPr="008977FB">
        <w:rPr>
          <w:b/>
        </w:rPr>
        <w:t>342</w:t>
      </w:r>
      <w:r w:rsidRPr="008977FB">
        <w:t>, 326-331, doi:10.1126/science.1238484 (2013).</w:t>
      </w:r>
    </w:p>
    <w:p w14:paraId="49FC9F90" w14:textId="77777777" w:rsidR="00245513" w:rsidRPr="008977FB" w:rsidRDefault="00245513" w:rsidP="00245513">
      <w:pPr>
        <w:pStyle w:val="EndNoteBibliography"/>
        <w:ind w:left="720" w:hanging="720"/>
      </w:pPr>
      <w:r w:rsidRPr="008977FB">
        <w:t>16</w:t>
      </w:r>
      <w:r w:rsidRPr="008977FB">
        <w:tab/>
        <w:t xml:space="preserve">Stewart, N. A., Gerlach, R. F., Gowland, R. L., Gron, K. J. &amp; Montgomery, J. Sex determination of human remains from peptides in tooth enamel. </w:t>
      </w:r>
      <w:r w:rsidRPr="008977FB">
        <w:rPr>
          <w:i/>
        </w:rPr>
        <w:t>Proceedings of the National Academy of Sciences of the United States</w:t>
      </w:r>
      <w:r w:rsidRPr="008977FB">
        <w:t xml:space="preserve"> </w:t>
      </w:r>
      <w:r w:rsidRPr="008977FB">
        <w:rPr>
          <w:b/>
        </w:rPr>
        <w:t>114</w:t>
      </w:r>
      <w:r w:rsidRPr="008977FB">
        <w:t>, 13649-13654, doi:10.1073/pnas.1714926115 (2017).</w:t>
      </w:r>
    </w:p>
    <w:p w14:paraId="7B824501" w14:textId="77777777" w:rsidR="00245513" w:rsidRPr="008977FB" w:rsidRDefault="00245513" w:rsidP="00245513">
      <w:pPr>
        <w:pStyle w:val="EndNoteBibliography"/>
        <w:ind w:left="720" w:hanging="720"/>
      </w:pPr>
      <w:r w:rsidRPr="008977FB">
        <w:t>17</w:t>
      </w:r>
      <w:r w:rsidRPr="008977FB">
        <w:tab/>
        <w:t>Tiwary, S.</w:t>
      </w:r>
      <w:r w:rsidRPr="008977FB">
        <w:rPr>
          <w:i/>
        </w:rPr>
        <w:t xml:space="preserve"> et al.</w:t>
      </w:r>
      <w:r w:rsidRPr="008977FB">
        <w:t xml:space="preserve"> High-quality MS/MS spectrum prediction for data-dependent and data-independent acquisition data analysis. </w:t>
      </w:r>
      <w:r w:rsidRPr="008977FB">
        <w:rPr>
          <w:i/>
        </w:rPr>
        <w:t>Nature Methods</w:t>
      </w:r>
      <w:r w:rsidRPr="008977FB">
        <w:t xml:space="preserve"> </w:t>
      </w:r>
      <w:r w:rsidRPr="008977FB">
        <w:rPr>
          <w:b/>
        </w:rPr>
        <w:t>16</w:t>
      </w:r>
      <w:r w:rsidRPr="008977FB">
        <w:t>, 519-525, doi:10.1038/s41592-019-0427-6 (2019).</w:t>
      </w:r>
    </w:p>
    <w:p w14:paraId="4F9E3491" w14:textId="77777777" w:rsidR="00245513" w:rsidRPr="008977FB" w:rsidRDefault="00245513" w:rsidP="00245513">
      <w:pPr>
        <w:pStyle w:val="EndNoteBibliography"/>
        <w:ind w:left="720" w:hanging="720"/>
      </w:pPr>
      <w:r w:rsidRPr="008977FB">
        <w:t>18</w:t>
      </w:r>
      <w:r w:rsidRPr="008977FB">
        <w:tab/>
        <w:t>Castiblanco, G. A.</w:t>
      </w:r>
      <w:r w:rsidRPr="008977FB">
        <w:rPr>
          <w:i/>
        </w:rPr>
        <w:t xml:space="preserve"> et al.</w:t>
      </w:r>
      <w:r w:rsidRPr="008977FB">
        <w:t xml:space="preserve"> Identification of proteins from human permanent erupted enamel. </w:t>
      </w:r>
      <w:r w:rsidRPr="008977FB">
        <w:rPr>
          <w:i/>
        </w:rPr>
        <w:t>European Journal of Oral Sciences</w:t>
      </w:r>
      <w:r w:rsidRPr="008977FB">
        <w:t xml:space="preserve"> </w:t>
      </w:r>
      <w:r w:rsidRPr="008977FB">
        <w:rPr>
          <w:b/>
        </w:rPr>
        <w:t>123</w:t>
      </w:r>
      <w:r w:rsidRPr="008977FB">
        <w:t>, 390-395, doi:10.1111/eos.12214 (2015).</w:t>
      </w:r>
    </w:p>
    <w:p w14:paraId="03538C9A" w14:textId="77777777" w:rsidR="00245513" w:rsidRPr="008977FB" w:rsidRDefault="00245513" w:rsidP="00245513">
      <w:pPr>
        <w:pStyle w:val="EndNoteBibliography"/>
        <w:ind w:left="720" w:hanging="720"/>
      </w:pPr>
      <w:r w:rsidRPr="008977FB">
        <w:t>19</w:t>
      </w:r>
      <w:r w:rsidRPr="008977FB">
        <w:tab/>
        <w:t>Asaka, T.</w:t>
      </w:r>
      <w:r w:rsidRPr="008977FB">
        <w:rPr>
          <w:i/>
        </w:rPr>
        <w:t xml:space="preserve"> et al.</w:t>
      </w:r>
      <w:r w:rsidRPr="008977FB">
        <w:t xml:space="preserve"> Type XVII Collagen is a Key Player in Tooth Enamel Formation. </w:t>
      </w:r>
      <w:r w:rsidRPr="008977FB">
        <w:rPr>
          <w:i/>
        </w:rPr>
        <w:t>The American Journal of Pathology</w:t>
      </w:r>
      <w:r w:rsidRPr="008977FB">
        <w:t xml:space="preserve"> </w:t>
      </w:r>
      <w:r w:rsidRPr="008977FB">
        <w:rPr>
          <w:b/>
        </w:rPr>
        <w:t>174</w:t>
      </w:r>
      <w:r w:rsidRPr="008977FB">
        <w:t>, 91-100, doi:10.2353/ajpath.2009.080573 (2009).</w:t>
      </w:r>
    </w:p>
    <w:p w14:paraId="37458EF7" w14:textId="77777777" w:rsidR="00245513" w:rsidRPr="008977FB" w:rsidRDefault="00245513" w:rsidP="00245513">
      <w:pPr>
        <w:pStyle w:val="EndNoteBibliography"/>
        <w:ind w:left="720" w:hanging="720"/>
      </w:pPr>
      <w:r w:rsidRPr="008977FB">
        <w:t>20</w:t>
      </w:r>
      <w:r w:rsidRPr="008977FB">
        <w:tab/>
        <w:t xml:space="preserve">Porto, I. M., Laure, H. J., de Sousa, F. B., Rosa, J. C. &amp; Gerlach, R. F. New techniques for the recovery of small amounts of mature enamel proteins. </w:t>
      </w:r>
      <w:r w:rsidRPr="008977FB">
        <w:rPr>
          <w:i/>
        </w:rPr>
        <w:t>Journal of Archaeological Science</w:t>
      </w:r>
      <w:r w:rsidRPr="008977FB">
        <w:t xml:space="preserve"> </w:t>
      </w:r>
      <w:r w:rsidRPr="008977FB">
        <w:rPr>
          <w:b/>
        </w:rPr>
        <w:t>38</w:t>
      </w:r>
      <w:r w:rsidRPr="008977FB">
        <w:t>, 3596-3604, doi:10.1016/j.jas.2011.08.030 (2011).</w:t>
      </w:r>
    </w:p>
    <w:p w14:paraId="028A7B38" w14:textId="77777777" w:rsidR="00245513" w:rsidRPr="008977FB" w:rsidRDefault="00245513" w:rsidP="00245513">
      <w:pPr>
        <w:pStyle w:val="EndNoteBibliography"/>
        <w:ind w:left="720" w:hanging="720"/>
      </w:pPr>
      <w:r w:rsidRPr="008977FB">
        <w:t>21</w:t>
      </w:r>
      <w:r w:rsidRPr="008977FB">
        <w:tab/>
        <w:t xml:space="preserve">Gasse, B., Chiari, Y., Silvent, J., Davit-Béal, T. &amp; Sire, J.-Y. Amelotin: an enamel matrix protein that experienced distinct evolutionary histories in amphibians, sauropsids and mammals. </w:t>
      </w:r>
      <w:r w:rsidRPr="008977FB">
        <w:rPr>
          <w:i/>
        </w:rPr>
        <w:t>BMC Evolutionary Biology</w:t>
      </w:r>
      <w:r w:rsidRPr="008977FB">
        <w:t xml:space="preserve"> </w:t>
      </w:r>
      <w:r w:rsidRPr="008977FB">
        <w:rPr>
          <w:b/>
        </w:rPr>
        <w:t>15</w:t>
      </w:r>
      <w:r w:rsidRPr="008977FB">
        <w:t>, 47, doi:10.1186/s12862-015-0329-x (2015).</w:t>
      </w:r>
    </w:p>
    <w:p w14:paraId="15A5C387" w14:textId="77777777" w:rsidR="00245513" w:rsidRPr="008977FB" w:rsidRDefault="00245513" w:rsidP="00245513">
      <w:pPr>
        <w:pStyle w:val="EndNoteBibliography"/>
        <w:ind w:left="720" w:hanging="720"/>
      </w:pPr>
      <w:r w:rsidRPr="008977FB">
        <w:t>22</w:t>
      </w:r>
      <w:r w:rsidRPr="008977FB">
        <w:tab/>
        <w:t>Demarchi, B.</w:t>
      </w:r>
      <w:r w:rsidRPr="008977FB">
        <w:rPr>
          <w:i/>
        </w:rPr>
        <w:t xml:space="preserve"> et al.</w:t>
      </w:r>
      <w:r w:rsidRPr="008977FB">
        <w:t xml:space="preserve"> Protein sequences bound to mineral surfaces persist into deep time. </w:t>
      </w:r>
      <w:r w:rsidRPr="008977FB">
        <w:rPr>
          <w:i/>
        </w:rPr>
        <w:t>eLife</w:t>
      </w:r>
      <w:r w:rsidRPr="008977FB">
        <w:t xml:space="preserve"> </w:t>
      </w:r>
      <w:r w:rsidRPr="008977FB">
        <w:rPr>
          <w:b/>
        </w:rPr>
        <w:t>5</w:t>
      </w:r>
      <w:r w:rsidRPr="008977FB">
        <w:t>, e17092, doi:10.7554/eLife.17092 (2016).</w:t>
      </w:r>
    </w:p>
    <w:p w14:paraId="134ABDA8" w14:textId="77777777" w:rsidR="00245513" w:rsidRPr="008977FB" w:rsidRDefault="00245513" w:rsidP="00245513">
      <w:pPr>
        <w:pStyle w:val="EndNoteBibliography"/>
        <w:ind w:left="720" w:hanging="720"/>
      </w:pPr>
      <w:r w:rsidRPr="00A74DEF">
        <w:rPr>
          <w:lang w:val="da-DK"/>
        </w:rPr>
        <w:t>23</w:t>
      </w:r>
      <w:r w:rsidRPr="00A74DEF">
        <w:rPr>
          <w:lang w:val="da-DK"/>
        </w:rPr>
        <w:tab/>
        <w:t>Tagliabracci, V. S.</w:t>
      </w:r>
      <w:r w:rsidRPr="00A74DEF">
        <w:rPr>
          <w:i/>
          <w:lang w:val="da-DK"/>
        </w:rPr>
        <w:t xml:space="preserve"> et al.</w:t>
      </w:r>
      <w:r w:rsidRPr="00A74DEF">
        <w:rPr>
          <w:lang w:val="da-DK"/>
        </w:rPr>
        <w:t xml:space="preserve"> </w:t>
      </w:r>
      <w:r w:rsidRPr="008977FB">
        <w:t xml:space="preserve">Secreted kinase phosphorylates extracellular proteins that regulate biomineralization. </w:t>
      </w:r>
      <w:r w:rsidRPr="008977FB">
        <w:rPr>
          <w:i/>
        </w:rPr>
        <w:t>Science</w:t>
      </w:r>
      <w:r w:rsidRPr="008977FB">
        <w:t xml:space="preserve"> </w:t>
      </w:r>
      <w:r w:rsidRPr="008977FB">
        <w:rPr>
          <w:b/>
        </w:rPr>
        <w:t>336</w:t>
      </w:r>
      <w:r w:rsidRPr="008977FB">
        <w:t>, 1150-1153, doi:10.1126/science.1217817 (2012).</w:t>
      </w:r>
    </w:p>
    <w:p w14:paraId="355A9592" w14:textId="77777777" w:rsidR="00245513" w:rsidRPr="008977FB" w:rsidRDefault="00245513" w:rsidP="00245513">
      <w:pPr>
        <w:pStyle w:val="EndNoteBibliography"/>
        <w:ind w:left="720" w:hanging="720"/>
      </w:pPr>
      <w:r w:rsidRPr="008977FB">
        <w:t>24</w:t>
      </w:r>
      <w:r w:rsidRPr="008977FB">
        <w:tab/>
        <w:t xml:space="preserve">Hu, J. C. C., Yamakoshi, Y., Yamakoshi, F., Krebsbach, P. H. &amp; Simmer, J. P. Proteomics and Genetics of Dental Enamel. </w:t>
      </w:r>
      <w:r w:rsidRPr="008977FB">
        <w:rPr>
          <w:i/>
        </w:rPr>
        <w:t>Cells Tissues Organs</w:t>
      </w:r>
      <w:r w:rsidRPr="008977FB">
        <w:t xml:space="preserve"> </w:t>
      </w:r>
      <w:r w:rsidRPr="008977FB">
        <w:rPr>
          <w:b/>
        </w:rPr>
        <w:t>181</w:t>
      </w:r>
      <w:r w:rsidRPr="008977FB">
        <w:t>, 219-231, doi:10.1159/000091383 (2005).</w:t>
      </w:r>
    </w:p>
    <w:p w14:paraId="6F28DD13" w14:textId="77777777" w:rsidR="00245513" w:rsidRPr="008977FB" w:rsidRDefault="00245513" w:rsidP="00245513">
      <w:pPr>
        <w:pStyle w:val="EndNoteBibliography"/>
        <w:ind w:left="720" w:hanging="720"/>
      </w:pPr>
      <w:r w:rsidRPr="008977FB">
        <w:lastRenderedPageBreak/>
        <w:t>25</w:t>
      </w:r>
      <w:r w:rsidRPr="008977FB">
        <w:tab/>
        <w:t xml:space="preserve">Glimcher, M. J., Cohen-Solal, L., Kossiva, D. &amp; de Ricqles, A. Biochemical analyses of fossil enamel and dentin. </w:t>
      </w:r>
      <w:r w:rsidRPr="008977FB">
        <w:rPr>
          <w:i/>
        </w:rPr>
        <w:t>Paleobiology</w:t>
      </w:r>
      <w:r w:rsidRPr="008977FB">
        <w:t xml:space="preserve"> </w:t>
      </w:r>
      <w:r w:rsidRPr="008977FB">
        <w:rPr>
          <w:b/>
        </w:rPr>
        <w:t>16</w:t>
      </w:r>
      <w:r w:rsidRPr="008977FB">
        <w:t>, 219-232, doi:10.1017/S0094837300009891 (1990).</w:t>
      </w:r>
    </w:p>
    <w:p w14:paraId="0DB61658" w14:textId="77777777" w:rsidR="00245513" w:rsidRPr="008977FB" w:rsidRDefault="00245513" w:rsidP="00245513">
      <w:pPr>
        <w:pStyle w:val="EndNoteBibliography"/>
        <w:ind w:left="720" w:hanging="720"/>
      </w:pPr>
      <w:r w:rsidRPr="008977FB">
        <w:t>26</w:t>
      </w:r>
      <w:r w:rsidRPr="008977FB">
        <w:tab/>
        <w:t>Wagner, G. A.</w:t>
      </w:r>
      <w:r w:rsidRPr="008977FB">
        <w:rPr>
          <w:i/>
        </w:rPr>
        <w:t xml:space="preserve"> et al.</w:t>
      </w:r>
      <w:r w:rsidRPr="008977FB">
        <w:t xml:space="preserve"> Radiometric dating of the type-site for </w:t>
      </w:r>
      <w:r w:rsidRPr="008977FB">
        <w:rPr>
          <w:i/>
        </w:rPr>
        <w:t xml:space="preserve">Homo heidelbergensis </w:t>
      </w:r>
      <w:r w:rsidRPr="008977FB">
        <w:t xml:space="preserve">at Mauer, Germany. </w:t>
      </w:r>
      <w:r w:rsidRPr="008977FB">
        <w:rPr>
          <w:i/>
        </w:rPr>
        <w:t>Proceedings of the National Academy of Sciences</w:t>
      </w:r>
      <w:r w:rsidRPr="008977FB">
        <w:t xml:space="preserve"> </w:t>
      </w:r>
      <w:r w:rsidRPr="008977FB">
        <w:rPr>
          <w:b/>
        </w:rPr>
        <w:t>107</w:t>
      </w:r>
      <w:r w:rsidRPr="008977FB">
        <w:t>, 19726-19730, doi:10.1073/pnas.1012722107 (2010).</w:t>
      </w:r>
    </w:p>
    <w:p w14:paraId="1D83EBF0" w14:textId="77777777" w:rsidR="00245513" w:rsidRPr="008977FB" w:rsidRDefault="00245513" w:rsidP="00245513">
      <w:pPr>
        <w:pStyle w:val="EndNoteBibliography"/>
        <w:ind w:left="720" w:hanging="720"/>
      </w:pPr>
      <w:r w:rsidRPr="00380AE3">
        <w:rPr>
          <w:lang w:val="en-GB"/>
        </w:rPr>
        <w:t>27</w:t>
      </w:r>
      <w:r w:rsidRPr="00380AE3">
        <w:rPr>
          <w:lang w:val="en-GB"/>
        </w:rPr>
        <w:tab/>
        <w:t>Martinón-Torres, M.</w:t>
      </w:r>
      <w:r w:rsidRPr="00380AE3">
        <w:rPr>
          <w:i/>
          <w:lang w:val="en-GB"/>
        </w:rPr>
        <w:t xml:space="preserve"> et al.</w:t>
      </w:r>
      <w:r w:rsidRPr="00380AE3">
        <w:rPr>
          <w:lang w:val="en-GB"/>
        </w:rPr>
        <w:t xml:space="preserve"> </w:t>
      </w:r>
      <w:r w:rsidRPr="008977FB">
        <w:t xml:space="preserve">Dental Evidence on the Hominin Dispersals during the Pleistocene. </w:t>
      </w:r>
      <w:r w:rsidRPr="008977FB">
        <w:rPr>
          <w:i/>
        </w:rPr>
        <w:t>Proceedings of the National Academy of Sciences of the United States of America</w:t>
      </w:r>
      <w:r w:rsidRPr="008977FB">
        <w:t xml:space="preserve"> </w:t>
      </w:r>
      <w:r w:rsidRPr="008977FB">
        <w:rPr>
          <w:b/>
        </w:rPr>
        <w:t>104</w:t>
      </w:r>
      <w:r w:rsidRPr="008977FB">
        <w:t>, 13279-13282, doi:10.1073/pnas.0706152104 (2007).</w:t>
      </w:r>
    </w:p>
    <w:p w14:paraId="68FF11FA" w14:textId="77777777" w:rsidR="00245513" w:rsidRPr="008977FB" w:rsidRDefault="00245513" w:rsidP="00245513">
      <w:pPr>
        <w:pStyle w:val="EndNoteBibliography"/>
        <w:ind w:left="720" w:hanging="720"/>
      </w:pPr>
      <w:r w:rsidRPr="008977FB">
        <w:t>28</w:t>
      </w:r>
      <w:r w:rsidRPr="008977FB">
        <w:tab/>
        <w:t xml:space="preserve">Bermúdez de Castro, J. M., Martinón-Torres, M., Arsuaga, J. L. &amp; Carbonell, E. Twentieth anniversary of Homo antecessor (1997-2017): a review. </w:t>
      </w:r>
      <w:r w:rsidRPr="008977FB">
        <w:rPr>
          <w:i/>
        </w:rPr>
        <w:t>Evolutionary Anthropology: Issues, News, and Reviews</w:t>
      </w:r>
      <w:r w:rsidRPr="008977FB">
        <w:t xml:space="preserve"> </w:t>
      </w:r>
      <w:r w:rsidRPr="008977FB">
        <w:rPr>
          <w:b/>
        </w:rPr>
        <w:t>26</w:t>
      </w:r>
      <w:r w:rsidRPr="008977FB">
        <w:t>, 157-171, doi:10.1002/evan.21540 (2017).</w:t>
      </w:r>
    </w:p>
    <w:p w14:paraId="1C61A214" w14:textId="77777777" w:rsidR="00245513" w:rsidRPr="008977FB" w:rsidRDefault="00245513" w:rsidP="00245513">
      <w:pPr>
        <w:pStyle w:val="EndNoteBibliography"/>
        <w:ind w:left="720" w:hanging="720"/>
      </w:pPr>
      <w:r w:rsidRPr="008977FB">
        <w:t>29</w:t>
      </w:r>
      <w:r w:rsidRPr="008977FB">
        <w:tab/>
        <w:t xml:space="preserve">Gómez-Robles, A., Bermúdez de Castro, J. M., Arsuaga, J.-L., Carbonell, E. &amp; Polly, P. D. No known hominin species matches the expected dental morphology of the last common ancestor of Neanderthals and modern humans. </w:t>
      </w:r>
      <w:r w:rsidRPr="008977FB">
        <w:rPr>
          <w:i/>
        </w:rPr>
        <w:t>Proceedings of the National Academy of Sciences</w:t>
      </w:r>
      <w:r w:rsidRPr="008977FB">
        <w:t xml:space="preserve"> </w:t>
      </w:r>
      <w:r w:rsidRPr="008977FB">
        <w:rPr>
          <w:b/>
        </w:rPr>
        <w:t>110</w:t>
      </w:r>
      <w:r w:rsidRPr="008977FB">
        <w:t>, 18196-18201, doi:10.1073/pnas.1302653110 (2013).</w:t>
      </w:r>
    </w:p>
    <w:p w14:paraId="68938F36" w14:textId="77777777" w:rsidR="00245513" w:rsidRPr="008977FB" w:rsidRDefault="00245513" w:rsidP="00245513">
      <w:pPr>
        <w:pStyle w:val="EndNoteBibliography"/>
        <w:ind w:left="720" w:hanging="720"/>
      </w:pPr>
      <w:r w:rsidRPr="008977FB">
        <w:t>30</w:t>
      </w:r>
      <w:r w:rsidRPr="008977FB">
        <w:tab/>
        <w:t>Meyer, M.</w:t>
      </w:r>
      <w:r w:rsidRPr="008977FB">
        <w:rPr>
          <w:i/>
        </w:rPr>
        <w:t xml:space="preserve"> et al.</w:t>
      </w:r>
      <w:r w:rsidRPr="008977FB">
        <w:t xml:space="preserve"> Nuclear DNA sequences from the Middle Pleistocene Sima de los Huesos hominins. </w:t>
      </w:r>
      <w:r w:rsidRPr="008977FB">
        <w:rPr>
          <w:i/>
        </w:rPr>
        <w:t>Nature</w:t>
      </w:r>
      <w:r w:rsidRPr="008977FB">
        <w:t xml:space="preserve"> </w:t>
      </w:r>
      <w:r w:rsidRPr="008977FB">
        <w:rPr>
          <w:b/>
        </w:rPr>
        <w:t>531</w:t>
      </w:r>
      <w:r w:rsidRPr="008977FB">
        <w:t>, 504-507, doi:10.1038/nature17405 (2016).</w:t>
      </w:r>
    </w:p>
    <w:p w14:paraId="7FEA026D" w14:textId="77777777" w:rsidR="00245513" w:rsidRPr="008977FB" w:rsidRDefault="00245513" w:rsidP="00245513">
      <w:pPr>
        <w:pStyle w:val="EndNoteBibliography"/>
        <w:ind w:left="720" w:hanging="720"/>
      </w:pPr>
      <w:r w:rsidRPr="008977FB">
        <w:t>31</w:t>
      </w:r>
      <w:r w:rsidRPr="008977FB">
        <w:tab/>
        <w:t>Prüfer, K.</w:t>
      </w:r>
      <w:r w:rsidRPr="008977FB">
        <w:rPr>
          <w:i/>
        </w:rPr>
        <w:t xml:space="preserve"> et al.</w:t>
      </w:r>
      <w:r w:rsidRPr="008977FB">
        <w:t xml:space="preserve"> The complete genome sequence of a Neanderthal from the Altai Mountains. </w:t>
      </w:r>
      <w:r w:rsidRPr="008977FB">
        <w:rPr>
          <w:i/>
        </w:rPr>
        <w:t>Nature</w:t>
      </w:r>
      <w:r w:rsidRPr="008977FB">
        <w:t xml:space="preserve"> </w:t>
      </w:r>
      <w:r w:rsidRPr="008977FB">
        <w:rPr>
          <w:b/>
        </w:rPr>
        <w:t>505</w:t>
      </w:r>
      <w:r w:rsidRPr="008977FB">
        <w:t>, 43-49, doi:10.1038/nature12886 (2013).</w:t>
      </w:r>
    </w:p>
    <w:p w14:paraId="4F6BFA72" w14:textId="77777777" w:rsidR="00245513" w:rsidRPr="008977FB" w:rsidRDefault="00245513" w:rsidP="00245513">
      <w:pPr>
        <w:pStyle w:val="EndNoteBibliography"/>
        <w:ind w:left="720" w:hanging="720"/>
      </w:pPr>
      <w:r w:rsidRPr="008977FB">
        <w:t>32</w:t>
      </w:r>
      <w:r w:rsidRPr="008977FB">
        <w:tab/>
        <w:t>Lacruz, R. S.</w:t>
      </w:r>
      <w:r w:rsidRPr="008977FB">
        <w:rPr>
          <w:i/>
        </w:rPr>
        <w:t xml:space="preserve"> et al.</w:t>
      </w:r>
      <w:r w:rsidRPr="008977FB">
        <w:t xml:space="preserve"> The evolutionary history of the human face. </w:t>
      </w:r>
      <w:r w:rsidRPr="008977FB">
        <w:rPr>
          <w:i/>
        </w:rPr>
        <w:t>Nature Ecology &amp; Evolution</w:t>
      </w:r>
      <w:r w:rsidRPr="008977FB">
        <w:t xml:space="preserve"> </w:t>
      </w:r>
      <w:r w:rsidRPr="008977FB">
        <w:rPr>
          <w:b/>
        </w:rPr>
        <w:t>3</w:t>
      </w:r>
      <w:r w:rsidRPr="008977FB">
        <w:t>, 726-736, doi:10.1038/s41559-019-0865-7 (2019).</w:t>
      </w:r>
    </w:p>
    <w:p w14:paraId="7C73C226" w14:textId="77777777" w:rsidR="00245513" w:rsidRPr="008977FB" w:rsidRDefault="00245513" w:rsidP="00245513">
      <w:pPr>
        <w:pStyle w:val="EndNoteBibliography"/>
        <w:ind w:left="720" w:hanging="720"/>
      </w:pPr>
      <w:r w:rsidRPr="008977FB">
        <w:t>33</w:t>
      </w:r>
      <w:r w:rsidRPr="008977FB">
        <w:tab/>
        <w:t>Welker, F.</w:t>
      </w:r>
      <w:r w:rsidRPr="008977FB">
        <w:rPr>
          <w:i/>
        </w:rPr>
        <w:t xml:space="preserve"> et al.</w:t>
      </w:r>
      <w:r w:rsidRPr="008977FB">
        <w:t xml:space="preserve"> Middle Pleistocene protein sequences from the rhinoceros genus Stephanorhinus and the phylogeny of extant and extinct Middle/Late Pleistocene Rhinocerotidae. </w:t>
      </w:r>
      <w:r w:rsidRPr="008977FB">
        <w:rPr>
          <w:i/>
        </w:rPr>
        <w:t>PeerJ</w:t>
      </w:r>
      <w:r w:rsidRPr="008977FB">
        <w:t xml:space="preserve"> </w:t>
      </w:r>
      <w:r w:rsidRPr="008977FB">
        <w:rPr>
          <w:b/>
        </w:rPr>
        <w:t>5</w:t>
      </w:r>
      <w:r w:rsidRPr="008977FB">
        <w:t>, e3033, doi:10.7717/peerj.3033 (2017).</w:t>
      </w:r>
    </w:p>
    <w:p w14:paraId="7FEC2ABB" w14:textId="77777777" w:rsidR="00245513" w:rsidRPr="008977FB" w:rsidRDefault="00245513" w:rsidP="00245513">
      <w:pPr>
        <w:pStyle w:val="EndNoteBibliography"/>
        <w:ind w:left="720" w:hanging="720"/>
      </w:pPr>
      <w:r w:rsidRPr="00245513">
        <w:rPr>
          <w:lang w:val="en-GB"/>
        </w:rPr>
        <w:t>34</w:t>
      </w:r>
      <w:r w:rsidRPr="00245513">
        <w:rPr>
          <w:lang w:val="en-GB"/>
        </w:rPr>
        <w:tab/>
        <w:t>Hill, R. C.</w:t>
      </w:r>
      <w:r w:rsidRPr="00245513">
        <w:rPr>
          <w:i/>
          <w:lang w:val="en-GB"/>
        </w:rPr>
        <w:t xml:space="preserve"> et al.</w:t>
      </w:r>
      <w:r w:rsidRPr="00245513">
        <w:rPr>
          <w:lang w:val="en-GB"/>
        </w:rPr>
        <w:t xml:space="preserve"> </w:t>
      </w:r>
      <w:r w:rsidRPr="008977FB">
        <w:t xml:space="preserve">Preserved Proteins from Extinct Bison latifrons Identified by Tandem Mass Spectrometry; Hydroxylysine Glycosides are a Common Feature of Ancient Collagen. </w:t>
      </w:r>
      <w:r w:rsidRPr="008977FB">
        <w:rPr>
          <w:i/>
        </w:rPr>
        <w:t>Molecular &amp; Cellular Proteomics</w:t>
      </w:r>
      <w:r w:rsidRPr="008977FB">
        <w:t xml:space="preserve"> </w:t>
      </w:r>
      <w:r w:rsidRPr="008977FB">
        <w:rPr>
          <w:b/>
        </w:rPr>
        <w:t>14</w:t>
      </w:r>
      <w:r w:rsidRPr="008977FB">
        <w:t>, 1946-1958, doi:10.1074/mcp.M114.047787 (2015).</w:t>
      </w:r>
    </w:p>
    <w:p w14:paraId="22303CC0" w14:textId="77777777" w:rsidR="00245513" w:rsidRPr="008977FB" w:rsidRDefault="00245513" w:rsidP="00245513">
      <w:pPr>
        <w:pStyle w:val="EndNoteBibliography"/>
        <w:ind w:left="720" w:hanging="720"/>
      </w:pPr>
      <w:r w:rsidRPr="008977FB">
        <w:t>35</w:t>
      </w:r>
      <w:r w:rsidRPr="008977FB">
        <w:tab/>
        <w:t xml:space="preserve">Wadsworth, C. &amp; Buckley, M. Proteome degradation in fossils: investigating the longevity of protein survival in ancient bone. </w:t>
      </w:r>
      <w:r w:rsidRPr="008977FB">
        <w:rPr>
          <w:i/>
        </w:rPr>
        <w:t>Rapid Communications in Mass Spectrometry</w:t>
      </w:r>
      <w:r w:rsidRPr="008977FB">
        <w:t xml:space="preserve"> </w:t>
      </w:r>
      <w:r w:rsidRPr="008977FB">
        <w:rPr>
          <w:b/>
        </w:rPr>
        <w:t>28</w:t>
      </w:r>
      <w:r w:rsidRPr="008977FB">
        <w:t>, 605-615, doi:10.1002/rcm.6821 (2014).</w:t>
      </w:r>
    </w:p>
    <w:p w14:paraId="62740514" w14:textId="77777777" w:rsidR="00245513" w:rsidRDefault="00245513" w:rsidP="00245513">
      <w:pPr>
        <w:spacing w:line="480" w:lineRule="auto"/>
        <w:rPr>
          <w:lang w:val="en-GB"/>
        </w:rPr>
      </w:pPr>
    </w:p>
    <w:p w14:paraId="17F3C754" w14:textId="77777777" w:rsidR="00245513" w:rsidRPr="00464017" w:rsidRDefault="00245513" w:rsidP="00245513">
      <w:pPr>
        <w:pStyle w:val="Heading1"/>
        <w:spacing w:line="480" w:lineRule="auto"/>
        <w:rPr>
          <w:lang w:val="en-GB"/>
        </w:rPr>
      </w:pPr>
      <w:r>
        <w:rPr>
          <w:lang w:val="en-GB"/>
        </w:rPr>
        <w:t>FIGURE LEGENDS</w:t>
      </w:r>
    </w:p>
    <w:p w14:paraId="7E32AD0A" w14:textId="77777777" w:rsidR="00245513" w:rsidRDefault="00245513" w:rsidP="00245513">
      <w:pPr>
        <w:spacing w:line="480" w:lineRule="auto"/>
        <w:rPr>
          <w:lang w:val="en-GB"/>
        </w:rPr>
      </w:pPr>
    </w:p>
    <w:p w14:paraId="79255C6E" w14:textId="77777777" w:rsidR="00245513" w:rsidRPr="00464017" w:rsidRDefault="00245513" w:rsidP="00245513">
      <w:pPr>
        <w:spacing w:line="480" w:lineRule="auto"/>
        <w:jc w:val="both"/>
        <w:rPr>
          <w:lang w:val="en-GB"/>
        </w:rPr>
      </w:pPr>
      <w:r>
        <w:rPr>
          <w:b/>
          <w:bCs/>
          <w:lang w:val="en-GB"/>
        </w:rPr>
        <w:t>Figure 1</w:t>
      </w:r>
      <w:r w:rsidRPr="7D9D0690">
        <w:rPr>
          <w:b/>
          <w:bCs/>
          <w:lang w:val="en-GB"/>
        </w:rPr>
        <w:t>. Hominin enamel proteome phosphorylation.</w:t>
      </w:r>
      <w:r w:rsidRPr="7D9D0690">
        <w:rPr>
          <w:lang w:val="en-GB"/>
        </w:rPr>
        <w:t xml:space="preserve"> </w:t>
      </w:r>
      <w:r w:rsidRPr="7D9D0690">
        <w:rPr>
          <w:b/>
          <w:bCs/>
          <w:lang w:val="en-GB"/>
        </w:rPr>
        <w:t>a,</w:t>
      </w:r>
      <w:r w:rsidRPr="7D9D0690">
        <w:rPr>
          <w:lang w:val="en-GB"/>
        </w:rPr>
        <w:t xml:space="preserve"> Phosphorylation sequence motif analysis of specimen ATD6-92 (</w:t>
      </w:r>
      <w:r w:rsidRPr="7D9D0690">
        <w:rPr>
          <w:i/>
          <w:iCs/>
          <w:lang w:val="en-GB"/>
        </w:rPr>
        <w:t>Homo antecessor</w:t>
      </w:r>
      <w:r w:rsidRPr="7D9D0690">
        <w:rPr>
          <w:lang w:val="en-GB"/>
        </w:rPr>
        <w:t xml:space="preserve"> from Atapuerca). </w:t>
      </w:r>
      <w:r w:rsidRPr="7D9D0690">
        <w:rPr>
          <w:b/>
          <w:bCs/>
          <w:lang w:val="en-GB"/>
        </w:rPr>
        <w:t>b,</w:t>
      </w:r>
      <w:r w:rsidRPr="7D9D0690">
        <w:rPr>
          <w:lang w:val="en-GB"/>
        </w:rPr>
        <w:t xml:space="preserve"> Phosphorylation sequence motif analysis of specimen D4163 (</w:t>
      </w:r>
      <w:r w:rsidRPr="7D9D0690">
        <w:rPr>
          <w:i/>
          <w:iCs/>
          <w:lang w:val="en-GB"/>
        </w:rPr>
        <w:t>Homo erectus</w:t>
      </w:r>
      <w:r w:rsidRPr="7D9D0690">
        <w:rPr>
          <w:lang w:val="en-GB"/>
        </w:rPr>
        <w:t xml:space="preserve"> from Dmanisi). </w:t>
      </w:r>
      <w:r w:rsidRPr="7D9D0690">
        <w:rPr>
          <w:b/>
          <w:bCs/>
          <w:lang w:val="en-GB"/>
        </w:rPr>
        <w:t>c</w:t>
      </w:r>
      <w:r w:rsidRPr="7D9D0690">
        <w:rPr>
          <w:lang w:val="en-GB"/>
        </w:rPr>
        <w:t>, Phosphorylation occupancy comparison, expressed as the log2 of the summed intensity ratio of modified and unmodified peptides, for amino acid sites where data is available for at least two specimens. Y-axis labels indicate phosphorylated amino acid position per protein (UniProt accession numbers Q9NP70 (AMBN), Q99217 (AMELX), and Q9NRM1 (ENAM)).</w:t>
      </w:r>
    </w:p>
    <w:p w14:paraId="2957D548" w14:textId="77777777" w:rsidR="00245513" w:rsidRPr="00464017" w:rsidRDefault="00245513" w:rsidP="00245513">
      <w:pPr>
        <w:spacing w:line="480" w:lineRule="auto"/>
        <w:rPr>
          <w:b/>
          <w:lang w:val="en-GB"/>
        </w:rPr>
      </w:pPr>
    </w:p>
    <w:p w14:paraId="299E0599" w14:textId="77777777" w:rsidR="00245513" w:rsidRPr="00464017" w:rsidRDefault="00245513" w:rsidP="00245513">
      <w:pPr>
        <w:spacing w:line="480" w:lineRule="auto"/>
        <w:jc w:val="both"/>
        <w:rPr>
          <w:lang w:val="en-GB"/>
        </w:rPr>
      </w:pPr>
      <w:r>
        <w:rPr>
          <w:b/>
          <w:lang w:val="en-GB"/>
        </w:rPr>
        <w:lastRenderedPageBreak/>
        <w:t>Figure 2</w:t>
      </w:r>
      <w:r w:rsidRPr="00464017">
        <w:rPr>
          <w:b/>
          <w:lang w:val="en-GB"/>
        </w:rPr>
        <w:t xml:space="preserve">. Phylogenetic analysis of </w:t>
      </w:r>
      <w:r w:rsidRPr="00464017">
        <w:rPr>
          <w:b/>
          <w:i/>
          <w:lang w:val="en-GB"/>
        </w:rPr>
        <w:t>Homo antecessor</w:t>
      </w:r>
      <w:r w:rsidRPr="00464017">
        <w:rPr>
          <w:b/>
          <w:lang w:val="en-GB"/>
        </w:rPr>
        <w:t xml:space="preserve"> (ATD6-92, Gran Dolina, Atapuerca).</w:t>
      </w:r>
      <w:r w:rsidRPr="00464017">
        <w:rPr>
          <w:lang w:val="en-GB"/>
        </w:rPr>
        <w:t xml:space="preserve"> </w:t>
      </w:r>
      <w:r w:rsidRPr="00464017">
        <w:rPr>
          <w:b/>
          <w:lang w:val="en-GB"/>
        </w:rPr>
        <w:t>a</w:t>
      </w:r>
      <w:r w:rsidRPr="00464017">
        <w:rPr>
          <w:lang w:val="en-GB"/>
        </w:rPr>
        <w:t xml:space="preserve">, Maximum credibility tree estimated using BEAST and a concatenated alignment of seven protein sequences recovered for the ancient sample. Posterior Bayesian probabilities are indicated at nodes with a probability of ≤ 1. Horizontal error bars at each node indicate the 95% highest posterior density (HPD) intervals for the split time estimates. The position of </w:t>
      </w:r>
      <w:r w:rsidRPr="00464017">
        <w:rPr>
          <w:i/>
          <w:lang w:val="en-GB"/>
        </w:rPr>
        <w:t>Homo antecessor</w:t>
      </w:r>
      <w:r w:rsidRPr="00464017">
        <w:rPr>
          <w:lang w:val="en-GB"/>
        </w:rPr>
        <w:t xml:space="preserve"> is consistent with that obtained via maximum-likelihood (</w:t>
      </w:r>
      <w:r w:rsidRPr="009103A6">
        <w:rPr>
          <w:lang w:val="en-GB"/>
        </w:rPr>
        <w:t>Fig. S1</w:t>
      </w:r>
      <w:r>
        <w:rPr>
          <w:lang w:val="en-GB"/>
        </w:rPr>
        <w:t>3</w:t>
      </w:r>
      <w:r w:rsidRPr="00464017">
        <w:rPr>
          <w:lang w:val="en-GB"/>
        </w:rPr>
        <w:t>) and Bayesian analysis (</w:t>
      </w:r>
      <w:r w:rsidRPr="009103A6">
        <w:rPr>
          <w:lang w:val="en-GB"/>
        </w:rPr>
        <w:t>Fig. S1</w:t>
      </w:r>
      <w:r>
        <w:rPr>
          <w:lang w:val="en-GB"/>
        </w:rPr>
        <w:t>6</w:t>
      </w:r>
      <w:r w:rsidRPr="00464017">
        <w:rPr>
          <w:lang w:val="en-GB"/>
        </w:rPr>
        <w:t xml:space="preserve">). </w:t>
      </w:r>
      <w:r w:rsidRPr="00464017">
        <w:rPr>
          <w:b/>
          <w:lang w:val="en-GB"/>
        </w:rPr>
        <w:t>b</w:t>
      </w:r>
      <w:r w:rsidRPr="00464017">
        <w:rPr>
          <w:lang w:val="en-GB"/>
        </w:rPr>
        <w:t xml:space="preserve">, Histograms of the divergence times obtained for the </w:t>
      </w:r>
      <w:r w:rsidRPr="00464017">
        <w:rPr>
          <w:i/>
          <w:lang w:val="en-GB"/>
        </w:rPr>
        <w:t>Homo antecessor</w:t>
      </w:r>
      <w:r w:rsidRPr="00464017">
        <w:rPr>
          <w:lang w:val="en-GB"/>
        </w:rPr>
        <w:t xml:space="preserve"> – HND split (red), the HND – HND split (blue), and the </w:t>
      </w:r>
      <w:r w:rsidRPr="00464017">
        <w:rPr>
          <w:i/>
          <w:lang w:val="en-GB"/>
        </w:rPr>
        <w:t>Pan</w:t>
      </w:r>
      <w:r w:rsidRPr="00464017">
        <w:rPr>
          <w:lang w:val="en-GB"/>
        </w:rPr>
        <w:t xml:space="preserve"> – (HND + </w:t>
      </w:r>
      <w:r w:rsidRPr="00464017">
        <w:rPr>
          <w:i/>
          <w:lang w:val="en-GB"/>
        </w:rPr>
        <w:t>Homo antecessor</w:t>
      </w:r>
      <w:r w:rsidRPr="00464017">
        <w:rPr>
          <w:lang w:val="en-GB"/>
        </w:rPr>
        <w:t xml:space="preserve">) split (grey). Divergence times </w:t>
      </w:r>
      <w:r w:rsidRPr="00464017">
        <w:rPr>
          <w:b/>
          <w:lang w:val="en-GB"/>
        </w:rPr>
        <w:t>a</w:t>
      </w:r>
      <w:r w:rsidRPr="00464017">
        <w:rPr>
          <w:lang w:val="en-GB"/>
        </w:rPr>
        <w:t xml:space="preserve"> and </w:t>
      </w:r>
      <w:r w:rsidRPr="00464017">
        <w:rPr>
          <w:b/>
          <w:lang w:val="en-GB"/>
        </w:rPr>
        <w:t>b</w:t>
      </w:r>
      <w:r w:rsidRPr="00464017">
        <w:rPr>
          <w:lang w:val="en-GB"/>
        </w:rPr>
        <w:t xml:space="preserve"> are shown as percentages since the divergence of all great apes.</w:t>
      </w:r>
    </w:p>
    <w:p w14:paraId="2E497B46" w14:textId="77777777" w:rsidR="00245513" w:rsidRPr="00464017" w:rsidRDefault="00245513" w:rsidP="00245513">
      <w:pPr>
        <w:spacing w:line="480" w:lineRule="auto"/>
        <w:rPr>
          <w:b/>
          <w:highlight w:val="yellow"/>
          <w:lang w:val="en-GB"/>
        </w:rPr>
      </w:pPr>
    </w:p>
    <w:p w14:paraId="540B0B37" w14:textId="77777777" w:rsidR="00245513" w:rsidRDefault="00245513" w:rsidP="00245513">
      <w:pPr>
        <w:spacing w:line="480" w:lineRule="auto"/>
        <w:rPr>
          <w:lang w:val="en-GB"/>
        </w:rPr>
      </w:pPr>
      <w:r>
        <w:rPr>
          <w:b/>
          <w:lang w:val="en-GB"/>
        </w:rPr>
        <w:t>Figure 3</w:t>
      </w:r>
      <w:r w:rsidRPr="00AD5157">
        <w:rPr>
          <w:b/>
          <w:lang w:val="en-GB"/>
        </w:rPr>
        <w:t>. Skeletal</w:t>
      </w:r>
      <w:r w:rsidRPr="00464017">
        <w:rPr>
          <w:b/>
          <w:lang w:val="en-GB"/>
        </w:rPr>
        <w:t xml:space="preserve"> proteome preservation in the Middle and </w:t>
      </w:r>
      <w:r>
        <w:rPr>
          <w:b/>
          <w:lang w:val="en-GB"/>
        </w:rPr>
        <w:t>Early Pleistocene (0.12 – 2.6 M</w:t>
      </w:r>
      <w:r w:rsidRPr="00464017">
        <w:rPr>
          <w:b/>
          <w:lang w:val="en-GB"/>
        </w:rPr>
        <w:t>a)</w:t>
      </w:r>
      <w:r w:rsidRPr="00464017">
        <w:rPr>
          <w:lang w:val="en-GB"/>
        </w:rPr>
        <w:t>. For each sample, the presence (green) or absence (blank) of endogenous DNA, collagens, non-collagenous proteins (NCPs), or an enamel proteome is given. Only samples for which mammalian proteomes are published are considered</w:t>
      </w:r>
      <w:r w:rsidRPr="00953AEC">
        <w:rPr>
          <w:noProof/>
          <w:vertAlign w:val="superscript"/>
          <w:lang w:val="en-GB"/>
        </w:rPr>
        <w:t>6-8,33-35</w:t>
      </w:r>
      <w:r w:rsidRPr="006A6B60">
        <w:rPr>
          <w:lang w:val="en-GB"/>
        </w:rPr>
        <w:t>. Hominin samples are indicated with squares, other mammalian samples with circles. Selected specimens have their separate molecular components joined and are named.</w:t>
      </w:r>
    </w:p>
    <w:p w14:paraId="46BA0E34" w14:textId="77777777" w:rsidR="00245513" w:rsidRDefault="00245513" w:rsidP="00245513">
      <w:pPr>
        <w:spacing w:after="160" w:line="259" w:lineRule="auto"/>
        <w:rPr>
          <w:lang w:val="en-GB"/>
        </w:rPr>
      </w:pPr>
    </w:p>
    <w:p w14:paraId="6ABFB6D5" w14:textId="77777777" w:rsidR="00245513" w:rsidRPr="00464017" w:rsidRDefault="00245513" w:rsidP="00245513">
      <w:pPr>
        <w:pStyle w:val="Heading1"/>
        <w:spacing w:line="480" w:lineRule="auto"/>
        <w:jc w:val="both"/>
        <w:rPr>
          <w:lang w:val="en-GB"/>
        </w:rPr>
      </w:pPr>
      <w:r w:rsidRPr="00464017">
        <w:rPr>
          <w:lang w:val="en-GB"/>
        </w:rPr>
        <w:t>METHODS</w:t>
      </w:r>
    </w:p>
    <w:p w14:paraId="57D5F054" w14:textId="77777777" w:rsidR="00245513" w:rsidRPr="00464017" w:rsidRDefault="00245513" w:rsidP="00245513">
      <w:pPr>
        <w:spacing w:line="480" w:lineRule="auto"/>
        <w:jc w:val="both"/>
        <w:rPr>
          <w:lang w:val="en-GB"/>
        </w:rPr>
      </w:pPr>
    </w:p>
    <w:p w14:paraId="4571B662" w14:textId="77777777" w:rsidR="00245513" w:rsidRPr="00464017" w:rsidRDefault="00245513" w:rsidP="00245513">
      <w:pPr>
        <w:pStyle w:val="Heading2"/>
        <w:spacing w:line="480" w:lineRule="auto"/>
        <w:jc w:val="both"/>
        <w:rPr>
          <w:lang w:val="en-GB"/>
        </w:rPr>
      </w:pPr>
      <w:r w:rsidRPr="00464017">
        <w:rPr>
          <w:lang w:val="en-GB"/>
        </w:rPr>
        <w:t xml:space="preserve">Site Location &amp; </w:t>
      </w:r>
      <w:r>
        <w:rPr>
          <w:lang w:val="en-GB"/>
        </w:rPr>
        <w:t>Specimen</w:t>
      </w:r>
      <w:r w:rsidRPr="00464017">
        <w:rPr>
          <w:lang w:val="en-GB"/>
        </w:rPr>
        <w:t xml:space="preserve"> Selection</w:t>
      </w:r>
    </w:p>
    <w:p w14:paraId="366EAEB6" w14:textId="77777777" w:rsidR="00245513" w:rsidRPr="00EE5D82" w:rsidRDefault="00245513" w:rsidP="00245513">
      <w:pPr>
        <w:spacing w:line="480" w:lineRule="auto"/>
        <w:jc w:val="both"/>
        <w:rPr>
          <w:lang w:val="en-GB"/>
        </w:rPr>
      </w:pPr>
      <w:r w:rsidRPr="00EE5D82">
        <w:rPr>
          <w:b/>
          <w:lang w:val="en-GB"/>
        </w:rPr>
        <w:t xml:space="preserve">Recent human control </w:t>
      </w:r>
      <w:r>
        <w:rPr>
          <w:b/>
          <w:lang w:val="en-GB"/>
        </w:rPr>
        <w:t xml:space="preserve">specimens. </w:t>
      </w:r>
      <w:r w:rsidRPr="00EE5D82">
        <w:rPr>
          <w:lang w:val="en-GB"/>
        </w:rPr>
        <w:t>We analysed one human premolar recovered in an archaeological excavation in Copenhagen (Almindeligt Hospital Kirkeg</w:t>
      </w:r>
      <w:r w:rsidRPr="00EE5D82">
        <w:rPr>
          <w:rFonts w:cstheme="minorHAnsi"/>
          <w:lang w:val="en-GB"/>
        </w:rPr>
        <w:t>å</w:t>
      </w:r>
      <w:r w:rsidRPr="00EE5D82">
        <w:rPr>
          <w:lang w:val="en-GB"/>
        </w:rPr>
        <w:t xml:space="preserve">rd,, excavated in 1952, from “kisse ’2’ ”, hereafter </w:t>
      </w:r>
      <w:r w:rsidRPr="00EE5D82">
        <w:rPr>
          <w:rFonts w:cstheme="minorHAnsi"/>
          <w:lang w:val="en-GB"/>
        </w:rPr>
        <w:t>Ø</w:t>
      </w:r>
      <w:r w:rsidRPr="00EE5D82">
        <w:rPr>
          <w:lang w:val="en-GB"/>
        </w:rPr>
        <w:t xml:space="preserve">1952). The tooth is approximately three centuries old as the cemetery was in use from approximately 1600-1800 AD and </w:t>
      </w:r>
      <w:r>
        <w:rPr>
          <w:lang w:val="en-GB"/>
        </w:rPr>
        <w:t>originates</w:t>
      </w:r>
      <w:r w:rsidRPr="00EE5D82">
        <w:rPr>
          <w:lang w:val="en-GB"/>
        </w:rPr>
        <w:t xml:space="preserve"> from a male individual. We also re-analyzed published data from Stewart </w:t>
      </w:r>
      <w:r w:rsidRPr="004C14C8">
        <w:rPr>
          <w:i/>
          <w:lang w:val="en-GB"/>
        </w:rPr>
        <w:t>et al</w:t>
      </w:r>
      <w:r w:rsidRPr="00EE5D82">
        <w:rPr>
          <w:lang w:val="en-GB"/>
        </w:rPr>
        <w:t>.</w:t>
      </w:r>
      <w:r w:rsidRPr="00EE5D82">
        <w:rPr>
          <w:noProof/>
          <w:vertAlign w:val="superscript"/>
          <w:lang w:val="en-GB"/>
        </w:rPr>
        <w:t>16</w:t>
      </w:r>
      <w:r w:rsidRPr="00EE5D82">
        <w:rPr>
          <w:lang w:val="en-GB"/>
        </w:rPr>
        <w:t xml:space="preserve">. Specimens presented therein are between approximately 5,700 and 200 years old. We took SK339 as a recent </w:t>
      </w:r>
      <w:r w:rsidRPr="00EE5D82">
        <w:rPr>
          <w:lang w:val="en-GB"/>
        </w:rPr>
        <w:lastRenderedPageBreak/>
        <w:t>example in our comparative figures. SK339 represents a male individual from Fewston (United Kingdom, 19</w:t>
      </w:r>
      <w:r w:rsidRPr="00EE5D82">
        <w:rPr>
          <w:vertAlign w:val="superscript"/>
          <w:lang w:val="en-GB"/>
        </w:rPr>
        <w:t>th</w:t>
      </w:r>
      <w:r w:rsidRPr="00EE5D82">
        <w:rPr>
          <w:lang w:val="en-GB"/>
        </w:rPr>
        <w:t xml:space="preserve"> century AD).</w:t>
      </w:r>
    </w:p>
    <w:p w14:paraId="4F313F2D" w14:textId="77777777" w:rsidR="00245513" w:rsidRPr="00EE5D82" w:rsidRDefault="00245513" w:rsidP="00245513">
      <w:pPr>
        <w:spacing w:line="480" w:lineRule="auto"/>
        <w:jc w:val="both"/>
        <w:rPr>
          <w:lang w:val="en-GB"/>
        </w:rPr>
      </w:pPr>
    </w:p>
    <w:p w14:paraId="2F5190FE" w14:textId="77777777" w:rsidR="00245513" w:rsidRPr="00EE5D82" w:rsidRDefault="00245513" w:rsidP="00245513">
      <w:pPr>
        <w:spacing w:line="480" w:lineRule="auto"/>
        <w:jc w:val="both"/>
        <w:rPr>
          <w:lang w:val="en-GB"/>
        </w:rPr>
      </w:pPr>
      <w:r w:rsidRPr="00EE5D82">
        <w:rPr>
          <w:b/>
          <w:lang w:val="en-GB"/>
        </w:rPr>
        <w:t>Atapuerca</w:t>
      </w:r>
      <w:r>
        <w:rPr>
          <w:b/>
          <w:lang w:val="en-GB"/>
        </w:rPr>
        <w:t xml:space="preserve">. </w:t>
      </w:r>
      <w:r w:rsidRPr="00EE5D82">
        <w:rPr>
          <w:lang w:val="en-GB"/>
        </w:rPr>
        <w:t xml:space="preserve">One fragmentary permanent lower left first or second molar (ATD6-92, field number and museum accession number at CENIEH) was used for ancient protein analysis (Extended Data Fig. </w:t>
      </w:r>
      <w:r>
        <w:rPr>
          <w:lang w:val="en-GB"/>
        </w:rPr>
        <w:t>2</w:t>
      </w:r>
      <w:r w:rsidRPr="00EE5D82">
        <w:rPr>
          <w:lang w:val="en-GB"/>
        </w:rPr>
        <w:t xml:space="preserve">a; Supplementary Information). ATD6-92 </w:t>
      </w:r>
      <w:r>
        <w:rPr>
          <w:lang w:val="en-GB"/>
        </w:rPr>
        <w:t>originates</w:t>
      </w:r>
      <w:r w:rsidRPr="00EE5D82">
        <w:rPr>
          <w:lang w:val="en-GB"/>
        </w:rPr>
        <w:t xml:space="preserve"> from layer TD6.2 from the Gran Dolina, Atapuerca, Spain. Layer TD6.2 contains a large number of faunal remains, about one hundred and seventy hominin fossils, and about 830 archaeological artefacts. All hominin specimens from layer TD6.2, including specimen ATD6-92, are attributed to </w:t>
      </w:r>
      <w:r w:rsidRPr="00EE5D82">
        <w:rPr>
          <w:i/>
          <w:lang w:val="en-GB"/>
        </w:rPr>
        <w:t>Homo antecessor</w:t>
      </w:r>
      <w:r w:rsidRPr="00EE5D82">
        <w:rPr>
          <w:rStyle w:val="Style1Char"/>
        </w:rPr>
        <w:t>9</w:t>
      </w:r>
      <w:r w:rsidRPr="00EE5D82">
        <w:rPr>
          <w:lang w:val="en-GB"/>
        </w:rPr>
        <w:t>. Specimen ATD6-92 has recently been directly dated through Electron Spin Resonance, LA-ICP-MS U-series and bulk U-series dating</w:t>
      </w:r>
      <w:r w:rsidRPr="00EE5D82">
        <w:rPr>
          <w:rStyle w:val="Style1Char"/>
        </w:rPr>
        <w:t>11</w:t>
      </w:r>
      <w:r w:rsidRPr="00EE5D82">
        <w:rPr>
          <w:lang w:val="en-GB"/>
        </w:rPr>
        <w:t>. Together with previous chronological research at the site, this constraints the age of specimen ATD6-92 to 772-949 ka</w:t>
      </w:r>
      <w:r w:rsidRPr="00EE5D82">
        <w:rPr>
          <w:rStyle w:val="Style1Char"/>
        </w:rPr>
        <w:t>11</w:t>
      </w:r>
      <w:r w:rsidRPr="00EE5D82">
        <w:rPr>
          <w:lang w:val="en-GB"/>
        </w:rPr>
        <w:t>.</w:t>
      </w:r>
    </w:p>
    <w:p w14:paraId="67342C79" w14:textId="77777777" w:rsidR="00245513" w:rsidRPr="00EE5D82" w:rsidRDefault="00245513" w:rsidP="00245513">
      <w:pPr>
        <w:spacing w:line="480" w:lineRule="auto"/>
        <w:jc w:val="both"/>
        <w:rPr>
          <w:lang w:val="en-GB"/>
        </w:rPr>
      </w:pPr>
    </w:p>
    <w:p w14:paraId="579B13BE" w14:textId="77777777" w:rsidR="00245513" w:rsidRPr="00EE5D82" w:rsidRDefault="00245513" w:rsidP="00245513">
      <w:pPr>
        <w:spacing w:line="480" w:lineRule="auto"/>
        <w:jc w:val="both"/>
        <w:rPr>
          <w:lang w:val="en-GB"/>
        </w:rPr>
      </w:pPr>
      <w:r w:rsidRPr="00EE5D82">
        <w:rPr>
          <w:b/>
          <w:lang w:val="en-GB"/>
        </w:rPr>
        <w:t>Dmanisi</w:t>
      </w:r>
      <w:r>
        <w:rPr>
          <w:b/>
          <w:lang w:val="en-GB"/>
        </w:rPr>
        <w:t xml:space="preserve">. </w:t>
      </w:r>
      <w:r w:rsidRPr="00EE5D82">
        <w:rPr>
          <w:lang w:val="en-GB"/>
        </w:rPr>
        <w:t xml:space="preserve">One fragmentary permanent upper first molar (D4163, field number and museum accession number at the Georgian National Museum) was used for ancient protein analysis (Extended Data Fig. </w:t>
      </w:r>
      <w:r>
        <w:rPr>
          <w:lang w:val="en-GB"/>
        </w:rPr>
        <w:t>2</w:t>
      </w:r>
      <w:r w:rsidRPr="00EE5D82">
        <w:rPr>
          <w:lang w:val="en-GB"/>
        </w:rPr>
        <w:t xml:space="preserve">b; Supplementary Information). D4163 derives from layer B1 in excavation block M6, Dmanisi, Georgia. Layer B1 at Dmanisi contains one of the richest paleontological assemblages attributed to the Eurasian Early Pleistocene, including several hominin crania. Here, we simply refer to these specimens as </w:t>
      </w:r>
      <w:r w:rsidRPr="00EE5D82">
        <w:rPr>
          <w:i/>
          <w:lang w:val="en-GB"/>
        </w:rPr>
        <w:t>Homo erectus</w:t>
      </w:r>
      <w:r w:rsidRPr="00EE5D82">
        <w:rPr>
          <w:lang w:val="en-GB"/>
        </w:rPr>
        <w:t xml:space="preserve"> (Dmanisi). They represent the earliest hominin fossils outside Africa, and are dated to 1.76-1.78 Ma</w:t>
      </w:r>
      <w:r w:rsidRPr="00EE5D82">
        <w:rPr>
          <w:rStyle w:val="Style1Char"/>
        </w:rPr>
        <w:t>14</w:t>
      </w:r>
      <w:r w:rsidRPr="00EE5D82">
        <w:rPr>
          <w:lang w:val="en-GB"/>
        </w:rPr>
        <w:t>. Faunal material from the site previously demonstrated ancient protein survival for most specimens, but a total absence of ancient DNA</w:t>
      </w:r>
      <w:r w:rsidRPr="00EE5D82">
        <w:rPr>
          <w:rStyle w:val="Style1Char"/>
        </w:rPr>
        <w:t>6</w:t>
      </w:r>
      <w:r>
        <w:rPr>
          <w:lang w:val="en-GB"/>
        </w:rPr>
        <w:t xml:space="preserve"> (Fig. 3</w:t>
      </w:r>
      <w:r w:rsidRPr="00EE5D82">
        <w:rPr>
          <w:lang w:val="en-GB"/>
        </w:rPr>
        <w:t>).</w:t>
      </w:r>
    </w:p>
    <w:p w14:paraId="73514E8A" w14:textId="77777777" w:rsidR="00245513" w:rsidRPr="00EE5D82" w:rsidRDefault="00245513" w:rsidP="00245513">
      <w:pPr>
        <w:spacing w:line="480" w:lineRule="auto"/>
        <w:jc w:val="both"/>
        <w:rPr>
          <w:lang w:val="en-GB"/>
        </w:rPr>
      </w:pPr>
    </w:p>
    <w:p w14:paraId="113F0144" w14:textId="77777777" w:rsidR="00245513" w:rsidRPr="00EE5D82" w:rsidRDefault="00245513" w:rsidP="00245513">
      <w:pPr>
        <w:pStyle w:val="Heading2"/>
        <w:spacing w:line="480" w:lineRule="auto"/>
        <w:jc w:val="both"/>
        <w:rPr>
          <w:lang w:val="en-GB"/>
        </w:rPr>
      </w:pPr>
      <w:r>
        <w:rPr>
          <w:lang w:val="en-GB"/>
        </w:rPr>
        <w:t>A</w:t>
      </w:r>
      <w:r w:rsidRPr="00EE5D82">
        <w:rPr>
          <w:lang w:val="en-GB"/>
        </w:rPr>
        <w:t>mino Acid Racemization</w:t>
      </w:r>
    </w:p>
    <w:p w14:paraId="39204E5E" w14:textId="77777777" w:rsidR="00245513" w:rsidRPr="00EE5D82" w:rsidRDefault="00245513" w:rsidP="00245513">
      <w:pPr>
        <w:spacing w:line="480" w:lineRule="auto"/>
        <w:jc w:val="both"/>
        <w:rPr>
          <w:rFonts w:eastAsia="Calibri"/>
          <w:lang w:val="en-GB"/>
        </w:rPr>
      </w:pPr>
      <w:r w:rsidRPr="00EE5D82">
        <w:rPr>
          <w:rFonts w:eastAsia="Calibri"/>
          <w:lang w:val="en-GB"/>
        </w:rPr>
        <w:t>Chiral amino acid analysis was undertaken on one Pleistocene sample from the hominin</w:t>
      </w:r>
      <w:r w:rsidRPr="00EE5D82">
        <w:rPr>
          <w:rFonts w:eastAsia="Calibri"/>
          <w:i/>
          <w:iCs/>
          <w:lang w:val="en-GB"/>
        </w:rPr>
        <w:t xml:space="preserve"> </w:t>
      </w:r>
      <w:r w:rsidRPr="00EE5D82">
        <w:rPr>
          <w:rFonts w:eastAsia="Calibri"/>
          <w:lang w:val="en-GB"/>
        </w:rPr>
        <w:t xml:space="preserve">tooth (D4163) to test the endogeneity of the enamel protein through its degradation patterns. The tooth chip was separated into the enamel and dentine portions, and each was powdered with an agate pestle and mortar. All samples </w:t>
      </w:r>
      <w:r w:rsidRPr="00EE5D82">
        <w:rPr>
          <w:rFonts w:eastAsia="Calibri"/>
          <w:lang w:val="en-GB"/>
        </w:rPr>
        <w:lastRenderedPageBreak/>
        <w:t xml:space="preserve">were prepared using modified procedures of Penkman </w:t>
      </w:r>
      <w:r w:rsidRPr="00EE5D82">
        <w:rPr>
          <w:rFonts w:eastAsia="Calibri"/>
          <w:i/>
          <w:iCs/>
          <w:lang w:val="en-GB"/>
        </w:rPr>
        <w:t>et al</w:t>
      </w:r>
      <w:r w:rsidRPr="00EE5D82">
        <w:rPr>
          <w:rFonts w:eastAsia="Calibri"/>
          <w:lang w:val="en-GB"/>
        </w:rPr>
        <w:t>.</w:t>
      </w:r>
      <w:r>
        <w:rPr>
          <w:rStyle w:val="Style1Char"/>
        </w:rPr>
        <w:t>36</w:t>
      </w:r>
      <w:r w:rsidRPr="00EE5D82">
        <w:rPr>
          <w:rFonts w:eastAsia="Calibri"/>
          <w:lang w:val="en-GB"/>
        </w:rPr>
        <w:t>, but optimized for enamel, using a bleach time of 72 hours to isolate the intra-crystalline protein, demineralization in HCl, KOH neutralization, and formation of a biphasic solution through centrifugation</w:t>
      </w:r>
      <w:r w:rsidRPr="00953AEC">
        <w:rPr>
          <w:rStyle w:val="Style1Char"/>
        </w:rPr>
        <w:t>37</w:t>
      </w:r>
      <w:r w:rsidRPr="00EE5D82">
        <w:rPr>
          <w:rFonts w:eastAsia="Calibri"/>
          <w:lang w:val="en-GB"/>
        </w:rPr>
        <w:t>. Two subsamples were analyzed from each portion: one fraction was directly demineralized and the free amino acids analyzed (referred to as the ’free’ amino acids, FAA, F), and the second was treated to release the peptide-bound amino acids, thus yielding the ‘total hydrolysable’ amino acid fraction (THAA, H*). Samples were analyzed in duplicate by RP-HPLC, with standards and blanks analysed alongside samples. During preparative hydrolysis, both asparagine (Asn) and glutamine (Gln) undergo rapid irreversible deamidation to aspartic acid (Asp) and glutamic acid (Glu) respectively</w:t>
      </w:r>
      <w:r w:rsidRPr="00953AEC">
        <w:rPr>
          <w:rStyle w:val="Style1Char"/>
        </w:rPr>
        <w:t>38</w:t>
      </w:r>
      <w:r w:rsidRPr="00EE5D82">
        <w:rPr>
          <w:rFonts w:eastAsia="Calibri"/>
          <w:lang w:val="en-GB"/>
        </w:rPr>
        <w:t>. It is therefore not possible to distinguish between the acidic amino acids and their derivatives and they are reported together as Asx and Glx, respectively. See Supplementary Information for additional methods description and results.</w:t>
      </w:r>
    </w:p>
    <w:p w14:paraId="276B3CA0" w14:textId="77777777" w:rsidR="00245513" w:rsidRPr="00EE5D82" w:rsidRDefault="00245513" w:rsidP="00245513">
      <w:pPr>
        <w:spacing w:line="480" w:lineRule="auto"/>
        <w:jc w:val="both"/>
        <w:rPr>
          <w:lang w:val="en-GB"/>
        </w:rPr>
      </w:pPr>
    </w:p>
    <w:p w14:paraId="58017CBF" w14:textId="77777777" w:rsidR="00245513" w:rsidRPr="00EE5D82" w:rsidRDefault="00245513" w:rsidP="00245513">
      <w:pPr>
        <w:pStyle w:val="Heading2"/>
        <w:spacing w:line="480" w:lineRule="auto"/>
        <w:jc w:val="both"/>
        <w:rPr>
          <w:lang w:val="en-GB"/>
        </w:rPr>
      </w:pPr>
      <w:r w:rsidRPr="00EE5D82">
        <w:rPr>
          <w:lang w:val="en-GB"/>
        </w:rPr>
        <w:t>Proteomic Extraction and nanoLC-MS/MS</w:t>
      </w:r>
    </w:p>
    <w:p w14:paraId="4C1B952F" w14:textId="77777777" w:rsidR="00245513" w:rsidRPr="00EE5D82" w:rsidRDefault="00245513" w:rsidP="00245513">
      <w:pPr>
        <w:spacing w:line="480" w:lineRule="auto"/>
        <w:jc w:val="both"/>
        <w:rPr>
          <w:lang w:val="en-GB"/>
        </w:rPr>
      </w:pPr>
      <w:r w:rsidRPr="00EE5D82">
        <w:rPr>
          <w:b/>
          <w:lang w:val="en-GB"/>
        </w:rPr>
        <w:t>Protein extraction</w:t>
      </w:r>
      <w:r>
        <w:rPr>
          <w:b/>
          <w:lang w:val="en-GB"/>
        </w:rPr>
        <w:t xml:space="preserve">. </w:t>
      </w:r>
      <w:r w:rsidRPr="00EE5D82">
        <w:rPr>
          <w:lang w:val="en-GB"/>
        </w:rPr>
        <w:t xml:space="preserve">Protein extraction was conducted on enamel samples (Atapuerca, Dmanisi, </w:t>
      </w:r>
      <w:r w:rsidRPr="00EE5D82">
        <w:rPr>
          <w:rFonts w:cstheme="minorHAnsi"/>
          <w:lang w:val="en-GB"/>
        </w:rPr>
        <w:t>Ø</w:t>
      </w:r>
      <w:r w:rsidRPr="00EE5D82">
        <w:rPr>
          <w:lang w:val="en-GB"/>
        </w:rPr>
        <w:t xml:space="preserve">1952) and a dentine sample (Dmanisi) using one of three protocols. In short, the first extraction method employed HCl for demineralization, but included no subsequent alkylation or digestion. The second extraction method employed a more standard approach, in which the pellet left from the </w:t>
      </w:r>
      <w:r>
        <w:rPr>
          <w:lang w:val="en-GB"/>
        </w:rPr>
        <w:t>demineralization in extraction one</w:t>
      </w:r>
      <w:r w:rsidRPr="00EE5D82">
        <w:rPr>
          <w:lang w:val="en-GB"/>
        </w:rPr>
        <w:t xml:space="preserve"> was </w:t>
      </w:r>
      <w:r>
        <w:rPr>
          <w:lang w:val="en-GB"/>
        </w:rPr>
        <w:t xml:space="preserve">reduced, </w:t>
      </w:r>
      <w:r w:rsidRPr="00EE5D82">
        <w:rPr>
          <w:lang w:val="en-GB"/>
        </w:rPr>
        <w:t>alkylated, and digested with LysC and trypsin. The third extraction method employed TFA for demineralization, and no subsequent alkylation or digestion. The first and third extraction approaches provided more extensive peptide recovery in ancient enamel proteomes</w:t>
      </w:r>
      <w:r w:rsidRPr="00EE5D82">
        <w:rPr>
          <w:rStyle w:val="Style1Char"/>
        </w:rPr>
        <w:t>6</w:t>
      </w:r>
      <w:r w:rsidRPr="00EE5D82">
        <w:rPr>
          <w:lang w:val="en-GB"/>
        </w:rPr>
        <w:t xml:space="preserve"> compared to the second extraction approach</w:t>
      </w:r>
      <w:r w:rsidRPr="00953AEC">
        <w:rPr>
          <w:noProof/>
          <w:vertAlign w:val="superscript"/>
          <w:lang w:val="en-GB"/>
        </w:rPr>
        <w:t>39</w:t>
      </w:r>
      <w:r w:rsidRPr="00EE5D82">
        <w:rPr>
          <w:lang w:val="en-GB"/>
        </w:rPr>
        <w:t xml:space="preserve">. Further details can be found in the Supplementary Information and Cappellini </w:t>
      </w:r>
      <w:r w:rsidRPr="004C14C8">
        <w:rPr>
          <w:i/>
          <w:lang w:val="en-GB"/>
        </w:rPr>
        <w:t>et al</w:t>
      </w:r>
      <w:r w:rsidRPr="00EE5D82">
        <w:rPr>
          <w:lang w:val="en-GB"/>
        </w:rPr>
        <w:t>.</w:t>
      </w:r>
      <w:r w:rsidRPr="00EE5D82">
        <w:rPr>
          <w:rStyle w:val="Style1Char"/>
        </w:rPr>
        <w:t>6</w:t>
      </w:r>
      <w:r w:rsidRPr="00EE5D82">
        <w:rPr>
          <w:lang w:val="en-GB"/>
        </w:rPr>
        <w:t xml:space="preserve">. </w:t>
      </w:r>
      <w:r w:rsidRPr="00EE5D82">
        <w:rPr>
          <w:rFonts w:cstheme="minorHAnsi"/>
          <w:lang w:val="en-GB"/>
        </w:rPr>
        <w:t>Ø</w:t>
      </w:r>
      <w:r w:rsidRPr="00EE5D82">
        <w:rPr>
          <w:lang w:val="en-GB"/>
        </w:rPr>
        <w:t xml:space="preserve">1952 was processed using extraction methods one and three. No proteinase and phosphatase inhibitors were used during extraction as we assumed that catalytically active enzymes were not present in our specimens, while the high acidic conditions during our extraction would have irreversibly denatured any proteases possibly </w:t>
      </w:r>
      <w:r w:rsidRPr="00EE5D82">
        <w:rPr>
          <w:lang w:val="en-GB"/>
        </w:rPr>
        <w:lastRenderedPageBreak/>
        <w:t>present as contaminants in our reagents. See Extended Data Table 1 for a breakdown of the employment of specific extraction methods, hominin samples, and hominin tissues.</w:t>
      </w:r>
    </w:p>
    <w:p w14:paraId="59371832" w14:textId="77777777" w:rsidR="00245513" w:rsidRPr="00EE5D82" w:rsidRDefault="00245513" w:rsidP="00245513">
      <w:pPr>
        <w:spacing w:line="480" w:lineRule="auto"/>
        <w:jc w:val="both"/>
        <w:rPr>
          <w:lang w:val="en-GB"/>
        </w:rPr>
      </w:pPr>
    </w:p>
    <w:p w14:paraId="31A81420" w14:textId="77777777" w:rsidR="00245513" w:rsidRPr="00EE5D82" w:rsidRDefault="00245513" w:rsidP="00245513">
      <w:pPr>
        <w:spacing w:line="480" w:lineRule="auto"/>
        <w:jc w:val="both"/>
        <w:rPr>
          <w:lang w:val="en-GB"/>
        </w:rPr>
      </w:pPr>
      <w:r w:rsidRPr="00EE5D82">
        <w:rPr>
          <w:b/>
          <w:lang w:val="en-GB"/>
        </w:rPr>
        <w:t>NanoLC-MS/MS analysis</w:t>
      </w:r>
      <w:r>
        <w:rPr>
          <w:b/>
          <w:lang w:val="en-GB"/>
        </w:rPr>
        <w:t xml:space="preserve">. </w:t>
      </w:r>
      <w:r w:rsidRPr="00EE5D82">
        <w:rPr>
          <w:lang w:val="en-GB"/>
        </w:rPr>
        <w:t xml:space="preserve">Shotgun proteomic data was obtained on peptide extracts of both hominins at separate facilities at the Novo Nordisk Centre for Protein Research, University of Copenhagen (Denmark), and the Proteomics Unit, Centre for Genomic Regulation, Barcelona Institute of Science and Technology (Spain). Full peptide elutions were injected, in some cases across replicate runs in both Copenhagen and Barcelona. Briefly, samples processed in Copenhagen were suspended in 0.1% trifluoroacetic acid, 5% acetonitrile, and analyzed on a Q-Exactive HF or HF-X mass spectrometer (Thermo Fisher Scientific) coupled to an EASY-nLC 1200 (Thermo Fisher Scientific). The HF/HF-X was operated in positive ion mode with a nanospray voltage of 2 kV and a source temperature of 275°C. Data-dependent acquisition (DDA) mode was used for all mass spectrometric measurements. Full MS scans were done at a resolution of 120,000 with a mass range of m/z 300-1750/350-1400 (HF/HF-X) with detection in the Orbitrap mass analyzer. Fragment ion spectra were produced at a resolution of 60,000 via high-energy collision dissociation (HCD) at a normalized collision energy of 28% and acquired in the Orbitrap mass analyzer. In addition, test runs for the Dmanisi sample were performed at a shorter gradient (see Supplementary Information). </w:t>
      </w:r>
      <w:r>
        <w:rPr>
          <w:lang w:val="en-GB"/>
        </w:rPr>
        <w:t>In</w:t>
      </w:r>
      <w:r w:rsidRPr="00EE5D82">
        <w:rPr>
          <w:lang w:val="en-GB"/>
        </w:rPr>
        <w:t xml:space="preserve"> Barcelona, samples were dissolved in 0.1% formic acid and analyzed on a LTQ-Orbitrap Fusion Lumos mass spectrometer (Thermo Fisher Scientific) coupled to an EASY-nLC 1000. The mass spectrometer was operated similarly to the parameters stated for the HF/HF-X in Copenhagen, except the nanospray voltage was 2.4 kV and full MS scans with 1 micro scans were used over a mass range of m/z 350-1500. Further details on LC-MS/MS analysis can be found in the Supplementary Information.</w:t>
      </w:r>
    </w:p>
    <w:p w14:paraId="1818E0ED" w14:textId="77777777" w:rsidR="00245513" w:rsidRPr="00EE5D82" w:rsidRDefault="00245513" w:rsidP="00245513">
      <w:pPr>
        <w:spacing w:line="480" w:lineRule="auto"/>
        <w:jc w:val="both"/>
        <w:rPr>
          <w:lang w:val="en-GB"/>
        </w:rPr>
      </w:pPr>
    </w:p>
    <w:p w14:paraId="0D799AA6" w14:textId="77777777" w:rsidR="00245513" w:rsidRPr="00EE5D82" w:rsidRDefault="00245513" w:rsidP="00245513">
      <w:pPr>
        <w:pStyle w:val="Heading2"/>
        <w:spacing w:line="480" w:lineRule="auto"/>
        <w:jc w:val="both"/>
        <w:rPr>
          <w:lang w:val="en-GB"/>
        </w:rPr>
      </w:pPr>
      <w:r w:rsidRPr="00EE5D82">
        <w:rPr>
          <w:lang w:val="en-GB"/>
        </w:rPr>
        <w:t>Proteomic Data Analysis</w:t>
      </w:r>
    </w:p>
    <w:p w14:paraId="0D2E8EC6" w14:textId="77777777" w:rsidR="00245513" w:rsidRPr="00EE5D82" w:rsidRDefault="00245513" w:rsidP="00245513">
      <w:pPr>
        <w:spacing w:line="480" w:lineRule="auto"/>
        <w:jc w:val="both"/>
        <w:rPr>
          <w:lang w:val="en-GB"/>
        </w:rPr>
      </w:pPr>
      <w:r w:rsidRPr="00EE5D82">
        <w:rPr>
          <w:b/>
          <w:lang w:val="en-GB"/>
        </w:rPr>
        <w:t>Protein Sequence Database construction</w:t>
      </w:r>
      <w:r>
        <w:rPr>
          <w:b/>
          <w:lang w:val="en-GB"/>
        </w:rPr>
        <w:t xml:space="preserve">. </w:t>
      </w:r>
      <w:r w:rsidRPr="00EE5D82">
        <w:rPr>
          <w:lang w:val="en-GB"/>
        </w:rPr>
        <w:t xml:space="preserve">We constructed an initial Hominidae sequence database containing protein sequences of all major and minor enamel proteins derived from all extant great apes, a </w:t>
      </w:r>
      <w:r w:rsidRPr="00EE5D82">
        <w:rPr>
          <w:lang w:val="en-GB"/>
        </w:rPr>
        <w:lastRenderedPageBreak/>
        <w:t>hylobatid (</w:t>
      </w:r>
      <w:r w:rsidRPr="00EE5D82">
        <w:rPr>
          <w:i/>
          <w:lang w:val="en-GB"/>
        </w:rPr>
        <w:t>Nomascus</w:t>
      </w:r>
      <w:r w:rsidRPr="00EE5D82">
        <w:rPr>
          <w:lang w:val="en-GB"/>
        </w:rPr>
        <w:t xml:space="preserve"> </w:t>
      </w:r>
      <w:r w:rsidRPr="00EE5D82">
        <w:rPr>
          <w:i/>
          <w:lang w:val="en-GB"/>
        </w:rPr>
        <w:t>leucogenys</w:t>
      </w:r>
      <w:r w:rsidRPr="00EE5D82">
        <w:rPr>
          <w:lang w:val="en-GB"/>
        </w:rPr>
        <w:t>), and a macaque (</w:t>
      </w:r>
      <w:r w:rsidRPr="00EE5D82">
        <w:rPr>
          <w:i/>
          <w:lang w:val="en-GB"/>
        </w:rPr>
        <w:t>Macaca</w:t>
      </w:r>
      <w:r w:rsidRPr="00EE5D82">
        <w:rPr>
          <w:lang w:val="en-GB"/>
        </w:rPr>
        <w:t xml:space="preserve"> </w:t>
      </w:r>
      <w:r w:rsidRPr="00EE5D82">
        <w:rPr>
          <w:i/>
          <w:lang w:val="en-GB"/>
        </w:rPr>
        <w:t>mulatta</w:t>
      </w:r>
      <w:r w:rsidRPr="00EE5D82">
        <w:rPr>
          <w:lang w:val="en-GB"/>
        </w:rPr>
        <w:t>). Additionally, we added protein sequences translated from extinct Late Pleistocene hominins</w:t>
      </w:r>
      <w:r>
        <w:rPr>
          <w:rStyle w:val="Style1Char"/>
        </w:rPr>
        <w:t>30,40</w:t>
      </w:r>
      <w:r w:rsidRPr="00EE5D82">
        <w:rPr>
          <w:lang w:val="en-GB"/>
        </w:rPr>
        <w:t xml:space="preserve">, and sequences from </w:t>
      </w:r>
      <w:r w:rsidRPr="00EE5D82">
        <w:rPr>
          <w:i/>
          <w:lang w:val="en-GB"/>
        </w:rPr>
        <w:t>Gorilla</w:t>
      </w:r>
      <w:r w:rsidRPr="00EE5D82">
        <w:rPr>
          <w:lang w:val="en-GB"/>
        </w:rPr>
        <w:t xml:space="preserve"> </w:t>
      </w:r>
      <w:r w:rsidRPr="00EE5D82">
        <w:rPr>
          <w:i/>
          <w:lang w:val="en-GB"/>
        </w:rPr>
        <w:t>beringei</w:t>
      </w:r>
      <w:r w:rsidRPr="00EE5D82">
        <w:rPr>
          <w:lang w:val="en-GB"/>
        </w:rPr>
        <w:t xml:space="preserve">, </w:t>
      </w:r>
      <w:r w:rsidRPr="00EE5D82">
        <w:rPr>
          <w:i/>
          <w:lang w:val="en-GB"/>
        </w:rPr>
        <w:t>Pongo</w:t>
      </w:r>
      <w:r w:rsidRPr="00EE5D82">
        <w:rPr>
          <w:lang w:val="en-GB"/>
        </w:rPr>
        <w:t xml:space="preserve"> </w:t>
      </w:r>
      <w:r w:rsidRPr="00EE5D82">
        <w:rPr>
          <w:i/>
          <w:lang w:val="en-GB"/>
        </w:rPr>
        <w:t>pygmaeus</w:t>
      </w:r>
      <w:r w:rsidRPr="00EE5D82">
        <w:rPr>
          <w:lang w:val="en-GB"/>
        </w:rPr>
        <w:t xml:space="preserve">, and </w:t>
      </w:r>
      <w:r w:rsidRPr="00EE5D82">
        <w:rPr>
          <w:i/>
          <w:lang w:val="en-GB"/>
        </w:rPr>
        <w:t>Pongo</w:t>
      </w:r>
      <w:r w:rsidRPr="00EE5D82">
        <w:rPr>
          <w:lang w:val="en-GB"/>
        </w:rPr>
        <w:t xml:space="preserve"> </w:t>
      </w:r>
      <w:r w:rsidRPr="00EE5D82">
        <w:rPr>
          <w:i/>
          <w:lang w:val="en-GB"/>
        </w:rPr>
        <w:t>tapanuliensis</w:t>
      </w:r>
      <w:r>
        <w:rPr>
          <w:rStyle w:val="Style1Char"/>
        </w:rPr>
        <w:t>41-43</w:t>
      </w:r>
      <w:r w:rsidRPr="00EE5D82">
        <w:rPr>
          <w:lang w:val="en-GB"/>
        </w:rPr>
        <w:t>. For each protein, we reconstructed the protein sequence of ancestral nodes in the Hominidae family through PhyloBot</w:t>
      </w:r>
      <w:r>
        <w:rPr>
          <w:rStyle w:val="Style1Char"/>
        </w:rPr>
        <w:t>44</w:t>
      </w:r>
      <w:r w:rsidRPr="00EE5D82">
        <w:rPr>
          <w:lang w:val="en-GB"/>
        </w:rPr>
        <w:t xml:space="preserve"> to minimize cross-species proteomic effects</w:t>
      </w:r>
      <w:r>
        <w:rPr>
          <w:rStyle w:val="Style1Char"/>
        </w:rPr>
        <w:t>45</w:t>
      </w:r>
      <w:r w:rsidRPr="00EE5D82">
        <w:rPr>
          <w:lang w:val="en-GB"/>
        </w:rPr>
        <w:t>, and added missing isoform variation based on the isoforms present for each protein in the human proteome as given by UniProt (Supplementary Information). Furthermore, we downloaded the entire human reference proteome from UniProt (downloaded 04.09.2018) for a single separate search to allow matches to proteins previously not encountered in enamel proteomes. To each constructed database we added a set of known or possible laboratory contaminants, to allow for the identification of possible protein contaminants</w:t>
      </w:r>
      <w:r>
        <w:rPr>
          <w:rStyle w:val="Style1Char"/>
        </w:rPr>
        <w:t>46</w:t>
      </w:r>
      <w:r w:rsidRPr="00EE5D82">
        <w:rPr>
          <w:lang w:val="en-GB"/>
        </w:rPr>
        <w:t>.</w:t>
      </w:r>
    </w:p>
    <w:p w14:paraId="4E280BCF" w14:textId="77777777" w:rsidR="00245513" w:rsidRPr="00EE5D82" w:rsidRDefault="00245513" w:rsidP="00245513">
      <w:pPr>
        <w:spacing w:line="480" w:lineRule="auto"/>
        <w:jc w:val="both"/>
        <w:rPr>
          <w:lang w:val="en-GB"/>
        </w:rPr>
      </w:pPr>
    </w:p>
    <w:p w14:paraId="7159E1C8" w14:textId="77777777" w:rsidR="00245513" w:rsidRPr="00EE5D82" w:rsidRDefault="00245513" w:rsidP="00245513">
      <w:pPr>
        <w:spacing w:line="480" w:lineRule="auto"/>
        <w:jc w:val="both"/>
        <w:rPr>
          <w:rFonts w:ascii="Calibri" w:hAnsi="Calibri" w:cs="Calibri"/>
          <w:lang w:val="en-GB"/>
        </w:rPr>
      </w:pPr>
      <w:r w:rsidRPr="00EE5D82">
        <w:rPr>
          <w:b/>
          <w:lang w:val="en-GB"/>
        </w:rPr>
        <w:t>Proteomic software, settings, FDR.</w:t>
      </w:r>
      <w:r>
        <w:rPr>
          <w:b/>
          <w:lang w:val="en-GB"/>
        </w:rPr>
        <w:t xml:space="preserve"> </w:t>
      </w:r>
      <w:r w:rsidRPr="00EE5D82">
        <w:rPr>
          <w:rFonts w:ascii="Calibri" w:hAnsi="Calibri" w:cs="Calibri"/>
          <w:lang w:val="en-GB"/>
        </w:rPr>
        <w:t>Raw mass spectrometry data was searched for each specimen and tissue separately in either PEAKS</w:t>
      </w:r>
      <w:r w:rsidRPr="00953AEC">
        <w:rPr>
          <w:rStyle w:val="Style1Char"/>
        </w:rPr>
        <w:t>47</w:t>
      </w:r>
      <w:r w:rsidRPr="00EE5D82">
        <w:rPr>
          <w:rFonts w:ascii="Calibri" w:hAnsi="Calibri" w:cs="Calibri"/>
          <w:lang w:val="en-GB"/>
        </w:rPr>
        <w:t xml:space="preserve"> (v. 7.5) or MaxQuant</w:t>
      </w:r>
      <w:r w:rsidRPr="00953AEC">
        <w:rPr>
          <w:rStyle w:val="Style1Char"/>
        </w:rPr>
        <w:t>48</w:t>
      </w:r>
      <w:r w:rsidRPr="00EE5D82">
        <w:rPr>
          <w:rFonts w:ascii="Calibri" w:hAnsi="Calibri" w:cs="Calibri"/>
          <w:lang w:val="en-GB"/>
        </w:rPr>
        <w:t xml:space="preserve"> (v. 1.5.3.30). No fixed modifications were specified in any search. For PEAKS, variable modifications were set to include proline hydroxylation, glutamine and asparagine deamidation, oxidation (M), phosphorylation (STY), carbamidomethylation (C), </w:t>
      </w:r>
      <w:r>
        <w:rPr>
          <w:rFonts w:ascii="Calibri" w:hAnsi="Calibri" w:cs="Calibri"/>
          <w:lang w:val="en-GB"/>
        </w:rPr>
        <w:t>and pyroglutamic acid (from Q and E)</w:t>
      </w:r>
      <w:r w:rsidRPr="00EE5D82">
        <w:rPr>
          <w:rFonts w:ascii="Calibri" w:hAnsi="Calibri" w:cs="Calibri"/>
          <w:lang w:val="en-GB"/>
        </w:rPr>
        <w:t xml:space="preserve">. For MaxQuant, the following variable PTMs were additionally included: ornithine formation (R), oxidation (W) dioxidation (MW), histidine to aspartic acid (H&gt;D), and histidine to hydroxyglutamate. Searches were conducted with “unspecific” digestion. </w:t>
      </w:r>
      <w:r w:rsidRPr="00EE5D82">
        <w:rPr>
          <w:rFonts w:ascii="Calibri" w:eastAsia="Calibri" w:hAnsi="Calibri" w:cs="Calibri"/>
          <w:lang w:val="en-GB"/>
        </w:rPr>
        <w:t>For PEAKS, precursor mass tolerance was set to 10 ppm and fragment mass tolerance to 0.05 Da, and the FDR of peptide spectrum matches was set to equal ≤1.0%. For MaxQuant, default settings of 20 ppm for the first search and 4.5 ppm for the final search were used</w:t>
      </w:r>
      <w:r>
        <w:rPr>
          <w:rFonts w:ascii="Calibri" w:eastAsia="Calibri" w:hAnsi="Calibri" w:cs="Calibri"/>
          <w:lang w:val="en-GB"/>
        </w:rPr>
        <w:t>, a fragment mass tolerance of 20 ppm</w:t>
      </w:r>
      <w:r w:rsidRPr="00EE5D82">
        <w:rPr>
          <w:rFonts w:ascii="Calibri" w:eastAsia="Calibri" w:hAnsi="Calibri" w:cs="Calibri"/>
          <w:lang w:val="en-GB"/>
        </w:rPr>
        <w:t xml:space="preserve">, </w:t>
      </w:r>
      <w:r>
        <w:rPr>
          <w:rFonts w:ascii="Calibri" w:eastAsia="Calibri" w:hAnsi="Calibri" w:cs="Calibri"/>
          <w:lang w:val="en-GB"/>
        </w:rPr>
        <w:t xml:space="preserve">and </w:t>
      </w:r>
      <w:r w:rsidRPr="00EE5D82">
        <w:rPr>
          <w:rFonts w:ascii="Calibri" w:eastAsia="Calibri" w:hAnsi="Calibri" w:cs="Calibri"/>
          <w:lang w:val="en-GB"/>
        </w:rPr>
        <w:t>PSM and protein FDR was set to 1.0%, with a minimum required</w:t>
      </w:r>
      <w:r>
        <w:rPr>
          <w:rFonts w:ascii="Calibri" w:eastAsia="Calibri" w:hAnsi="Calibri" w:cs="Calibri"/>
          <w:lang w:val="en-GB"/>
        </w:rPr>
        <w:t xml:space="preserve"> Andromeda</w:t>
      </w:r>
      <w:r w:rsidRPr="00EE5D82">
        <w:rPr>
          <w:rFonts w:ascii="Calibri" w:eastAsia="Calibri" w:hAnsi="Calibri" w:cs="Calibri"/>
          <w:lang w:val="en-GB"/>
        </w:rPr>
        <w:t xml:space="preserve"> score of 40 for all peptides.</w:t>
      </w:r>
      <w:r w:rsidRPr="00EE5D82">
        <w:rPr>
          <w:rFonts w:ascii="Calibri" w:hAnsi="Calibri" w:cs="Calibri"/>
          <w:lang w:val="en-GB"/>
        </w:rPr>
        <w:t xml:space="preserve"> Protein matches were accepted with a minimum of two unique peptide matches in either the PEAKS or MaxQuant search. Proteins that conform these criteria are detailed in Extended Data Table 2. Example MS/MS spectra from the MaxQuant search and overlapping sites of phylogenetic interest (SAPs) are included in the “Key MSMS file.pdf”. </w:t>
      </w:r>
    </w:p>
    <w:p w14:paraId="2037B0D7" w14:textId="77777777" w:rsidR="00245513" w:rsidRPr="00EE5D82" w:rsidRDefault="00245513" w:rsidP="00245513">
      <w:pPr>
        <w:spacing w:line="480" w:lineRule="auto"/>
        <w:jc w:val="both"/>
        <w:rPr>
          <w:lang w:val="en-GB"/>
        </w:rPr>
      </w:pPr>
    </w:p>
    <w:p w14:paraId="1387F343" w14:textId="77777777" w:rsidR="00245513" w:rsidRPr="00EE5D82" w:rsidRDefault="00245513" w:rsidP="00245513">
      <w:pPr>
        <w:spacing w:line="480" w:lineRule="auto"/>
        <w:jc w:val="both"/>
        <w:rPr>
          <w:lang w:val="en-GB"/>
        </w:rPr>
      </w:pPr>
      <w:r w:rsidRPr="00EE5D82">
        <w:rPr>
          <w:b/>
          <w:lang w:val="en-GB"/>
        </w:rPr>
        <w:lastRenderedPageBreak/>
        <w:t>Data search iterations</w:t>
      </w:r>
      <w:r>
        <w:rPr>
          <w:b/>
          <w:lang w:val="en-GB"/>
        </w:rPr>
        <w:t xml:space="preserve">. </w:t>
      </w:r>
      <w:r w:rsidRPr="00EE5D82">
        <w:rPr>
          <w:lang w:val="en-GB"/>
        </w:rPr>
        <w:t xml:space="preserve">For both Dmanisi and Atapuerca, we conducted two separate, initial searches. First, we conducted a search in PEAKS against the entire human proteome. Only standard enamel proteins were identified in these searches, allowing us to continue with more specific searches. For the Dmanisi dentine sample, this first search resulted in a small number of peptides matching to collagen type I only. Based on the limited amount of sequence data, no further analysis of the Dmanisi dentine data was therefore conducted. Second, for the enamel data, we conducted a search in PEAKS and MaxQuant against the entire enamel proteome database of all extant and extinct Hominidae. This search was used to observe single amino acid polymorphisms (SAPs) outside the known sequence variation in PEAKS and MaxQuant through the </w:t>
      </w:r>
      <w:r w:rsidRPr="00EE5D82">
        <w:rPr>
          <w:i/>
          <w:lang w:val="en-GB"/>
        </w:rPr>
        <w:t>de novo</w:t>
      </w:r>
      <w:r w:rsidRPr="00EE5D82">
        <w:rPr>
          <w:lang w:val="en-GB"/>
        </w:rPr>
        <w:t xml:space="preserve">, error-tolerant, and/or dependent peptide approaches implemented in each of these search engines. These initial searches indicate overall good protein preservation in both samples and the presence of peptide matches to </w:t>
      </w:r>
      <w:r w:rsidRPr="00EE5D82">
        <w:rPr>
          <w:i/>
          <w:lang w:val="en-GB"/>
        </w:rPr>
        <w:t>Pan-</w:t>
      </w:r>
      <w:r w:rsidRPr="00EE5D82">
        <w:rPr>
          <w:lang w:val="en-GB"/>
        </w:rPr>
        <w:t xml:space="preserve"> and </w:t>
      </w:r>
      <w:r w:rsidRPr="00EE5D82">
        <w:rPr>
          <w:i/>
          <w:lang w:val="en-GB"/>
        </w:rPr>
        <w:t>Homo</w:t>
      </w:r>
      <w:r w:rsidRPr="00EE5D82">
        <w:rPr>
          <w:lang w:val="en-GB"/>
        </w:rPr>
        <w:t>-derived proteins only.</w:t>
      </w:r>
    </w:p>
    <w:p w14:paraId="618C0BEF" w14:textId="77777777" w:rsidR="00245513" w:rsidRPr="00EE5D82" w:rsidRDefault="00245513" w:rsidP="00245513">
      <w:pPr>
        <w:spacing w:line="480" w:lineRule="auto"/>
        <w:jc w:val="both"/>
        <w:rPr>
          <w:lang w:val="en-GB"/>
        </w:rPr>
      </w:pPr>
      <w:r w:rsidRPr="00EE5D82">
        <w:rPr>
          <w:lang w:val="en-GB"/>
        </w:rPr>
        <w:t xml:space="preserve">Based on these two initial searches, a novel protein sequence database was used that only includes sequences from the genus </w:t>
      </w:r>
      <w:r w:rsidRPr="00EE5D82">
        <w:rPr>
          <w:i/>
          <w:lang w:val="en-GB"/>
        </w:rPr>
        <w:t>Pan</w:t>
      </w:r>
      <w:r w:rsidRPr="00EE5D82">
        <w:rPr>
          <w:lang w:val="en-GB"/>
        </w:rPr>
        <w:t xml:space="preserve">, the genus </w:t>
      </w:r>
      <w:r w:rsidRPr="00EE5D82">
        <w:rPr>
          <w:i/>
          <w:lang w:val="en-GB"/>
        </w:rPr>
        <w:t>Homo</w:t>
      </w:r>
      <w:r w:rsidRPr="00EE5D82">
        <w:rPr>
          <w:lang w:val="en-GB"/>
        </w:rPr>
        <w:t>, their predicted ancestral sequences, and novel protein sequences observed for either Dmanisi and Atapuerca. Final searches and subsequent data analysis were conducted against this database using the above search and PTM settings. Positions supported by insufficient spectral data were replaced by “X” in resulting peptide alignments prior to phylogenetic analysis.</w:t>
      </w:r>
    </w:p>
    <w:p w14:paraId="54B2AB50" w14:textId="77777777" w:rsidR="00245513" w:rsidRPr="00EE5D82" w:rsidRDefault="00245513" w:rsidP="00245513">
      <w:pPr>
        <w:spacing w:line="480" w:lineRule="auto"/>
        <w:jc w:val="both"/>
        <w:rPr>
          <w:lang w:val="en-GB"/>
        </w:rPr>
      </w:pPr>
      <w:r w:rsidRPr="00EE5D82">
        <w:rPr>
          <w:lang w:val="en-GB"/>
        </w:rPr>
        <w:t xml:space="preserve">Data analysis of </w:t>
      </w:r>
      <w:r w:rsidRPr="00EE5D82">
        <w:rPr>
          <w:rFonts w:cstheme="minorHAnsi"/>
          <w:lang w:val="en-GB"/>
        </w:rPr>
        <w:t>Ø</w:t>
      </w:r>
      <w:r w:rsidRPr="00EE5D82">
        <w:rPr>
          <w:lang w:val="en-GB"/>
        </w:rPr>
        <w:t xml:space="preserve">1952 and the Stewart </w:t>
      </w:r>
      <w:r w:rsidRPr="004C14C8">
        <w:rPr>
          <w:i/>
          <w:lang w:val="en-GB"/>
        </w:rPr>
        <w:t>et al</w:t>
      </w:r>
      <w:r w:rsidRPr="00EE5D82">
        <w:rPr>
          <w:lang w:val="en-GB"/>
        </w:rPr>
        <w:t>.</w:t>
      </w:r>
      <w:r w:rsidRPr="00EE5D82">
        <w:rPr>
          <w:noProof/>
          <w:vertAlign w:val="superscript"/>
          <w:lang w:val="en-GB"/>
        </w:rPr>
        <w:t>16</w:t>
      </w:r>
      <w:r w:rsidRPr="00EE5D82">
        <w:rPr>
          <w:lang w:val="en-GB"/>
        </w:rPr>
        <w:t xml:space="preserve"> dataset was only conducted in MaxQuant against a database restricted to </w:t>
      </w:r>
      <w:r w:rsidRPr="00EE5D82">
        <w:rPr>
          <w:i/>
          <w:lang w:val="en-GB"/>
        </w:rPr>
        <w:t>Homo sapiens</w:t>
      </w:r>
      <w:r w:rsidRPr="00EE5D82">
        <w:rPr>
          <w:lang w:val="en-GB"/>
        </w:rPr>
        <w:t>. All other search settings and database restrictions were similar between these two recent human controls and the ancient hominin proteomes.</w:t>
      </w:r>
    </w:p>
    <w:p w14:paraId="6562ED95" w14:textId="77777777" w:rsidR="00245513" w:rsidRPr="00EE5D82" w:rsidRDefault="00245513" w:rsidP="00245513">
      <w:pPr>
        <w:spacing w:line="480" w:lineRule="auto"/>
        <w:jc w:val="both"/>
        <w:rPr>
          <w:lang w:val="en-GB"/>
        </w:rPr>
      </w:pPr>
    </w:p>
    <w:p w14:paraId="1F415EF3" w14:textId="77777777" w:rsidR="00245513" w:rsidRPr="00EE5D82" w:rsidRDefault="00245513" w:rsidP="00245513">
      <w:pPr>
        <w:spacing w:line="480" w:lineRule="auto"/>
        <w:jc w:val="both"/>
        <w:rPr>
          <w:lang w:val="en-GB"/>
        </w:rPr>
      </w:pPr>
      <w:r w:rsidRPr="00EE5D82">
        <w:rPr>
          <w:b/>
          <w:lang w:val="en-GB"/>
        </w:rPr>
        <w:t>Peptide sequence and SAP validation</w:t>
      </w:r>
      <w:r>
        <w:rPr>
          <w:b/>
          <w:lang w:val="en-GB"/>
        </w:rPr>
        <w:t xml:space="preserve">. </w:t>
      </w:r>
      <w:r w:rsidRPr="00EE5D82">
        <w:rPr>
          <w:lang w:val="en-GB"/>
        </w:rPr>
        <w:t>To validate the PSMs covering SAPs of interest, we performed peptide spectrum intensity prediction and validation on our dataset through wiNNer</w:t>
      </w:r>
      <w:r w:rsidRPr="00EE5D82">
        <w:rPr>
          <w:rStyle w:val="Style1Char"/>
        </w:rPr>
        <w:t>17</w:t>
      </w:r>
      <w:r w:rsidRPr="00EE5D82">
        <w:rPr>
          <w:lang w:val="en-GB"/>
        </w:rPr>
        <w:t xml:space="preserve">. Data from the ancient samples (Dmanisi </w:t>
      </w:r>
      <w:r w:rsidRPr="00EE5D82">
        <w:rPr>
          <w:i/>
          <w:lang w:val="en-GB"/>
        </w:rPr>
        <w:t>Homo erectus</w:t>
      </w:r>
      <w:r w:rsidRPr="00EE5D82">
        <w:rPr>
          <w:lang w:val="en-GB"/>
        </w:rPr>
        <w:t xml:space="preserve"> and Atapuerca </w:t>
      </w:r>
      <w:r w:rsidRPr="00EE5D82">
        <w:rPr>
          <w:i/>
          <w:lang w:val="en-GB"/>
        </w:rPr>
        <w:t>Homo antecessor</w:t>
      </w:r>
      <w:r w:rsidRPr="00EE5D82">
        <w:rPr>
          <w:lang w:val="en-GB"/>
        </w:rPr>
        <w:t xml:space="preserve">) was divided into phylogenetically informative peptide sequences, and the larger subset not containing such phylogenetically informative peptides. A training dataset was prepared by taking a subset of the latter peptides, and adding a previously published </w:t>
      </w:r>
      <w:r w:rsidRPr="00EE5D82">
        <w:rPr>
          <w:lang w:val="en-GB"/>
        </w:rPr>
        <w:lastRenderedPageBreak/>
        <w:t>dataset of enamel proteomes from Dmanisi fauna</w:t>
      </w:r>
      <w:r w:rsidRPr="00EE5D82">
        <w:rPr>
          <w:noProof/>
          <w:vertAlign w:val="superscript"/>
          <w:lang w:val="en-GB"/>
        </w:rPr>
        <w:t>6</w:t>
      </w:r>
      <w:r w:rsidRPr="00EE5D82">
        <w:rPr>
          <w:lang w:val="en-GB"/>
        </w:rPr>
        <w:t>. We build two models, one for HCD +2 spectra and one for HCD +3 spectra. We took into account the large number of variable modifications observed in our ancient enamel proteomes, and split the retained data for each model into subsets for training, validation, and testing (80:10:10). We then obtained Pearson correlation coefficients (PCCs) for the predicted and true fragment intensities in the test dataset and the phylogenetically informative spectra. The architecture of wiNNer was build using Keras (version 2.0.8; https://keras.io) and Tensorflow (version 1.3.0). wiNNer analysis indicated close correspondence between predicted and true fragment ion intensities (PCC medians between 0.85 and 0.76 for different subsets of the data), indicating adequate peptide sequence identification for all our peptides, including phylogenetically informative positions and (localization of) variable post-translational modifications. The wiNNer model can be accessed on GitHub (https://github.com/cox-labs/wiNNer.git). See the Supplementary Information for additional methodological details on wiNNer architecture.</w:t>
      </w:r>
    </w:p>
    <w:p w14:paraId="29E44062" w14:textId="77777777" w:rsidR="00245513" w:rsidRPr="00EE5D82" w:rsidRDefault="00245513" w:rsidP="00245513">
      <w:pPr>
        <w:spacing w:line="480" w:lineRule="auto"/>
        <w:jc w:val="both"/>
        <w:rPr>
          <w:lang w:val="en-GB"/>
        </w:rPr>
      </w:pPr>
    </w:p>
    <w:p w14:paraId="3486BA9B" w14:textId="77777777" w:rsidR="00245513" w:rsidRPr="00EE5D82" w:rsidRDefault="00245513" w:rsidP="00245513">
      <w:pPr>
        <w:spacing w:line="480" w:lineRule="auto"/>
        <w:jc w:val="both"/>
        <w:rPr>
          <w:lang w:val="en-GB"/>
        </w:rPr>
      </w:pPr>
      <w:r w:rsidRPr="00EE5D82">
        <w:rPr>
          <w:b/>
          <w:lang w:val="en-GB"/>
        </w:rPr>
        <w:t>Protein damage analysis</w:t>
      </w:r>
      <w:r>
        <w:rPr>
          <w:b/>
          <w:lang w:val="en-GB"/>
        </w:rPr>
        <w:t xml:space="preserve">. </w:t>
      </w:r>
      <w:r w:rsidRPr="00EE5D82">
        <w:rPr>
          <w:lang w:val="en-GB"/>
        </w:rPr>
        <w:t xml:space="preserve">Ancient proteins can be modified diagenetically in a variety of ways compared to their modern counterparts. We quantify glutamine and asparagine deamidation following Mackie </w:t>
      </w:r>
      <w:r w:rsidRPr="004C14C8">
        <w:rPr>
          <w:i/>
          <w:lang w:val="en-GB"/>
        </w:rPr>
        <w:t>et al</w:t>
      </w:r>
      <w:r w:rsidRPr="00EE5D82">
        <w:rPr>
          <w:lang w:val="en-GB"/>
        </w:rPr>
        <w:t>.</w:t>
      </w:r>
      <w:r>
        <w:rPr>
          <w:rStyle w:val="Style1Char"/>
        </w:rPr>
        <w:t>39</w:t>
      </w:r>
      <w:r w:rsidRPr="00EE5D82">
        <w:rPr>
          <w:lang w:val="en-GB"/>
        </w:rPr>
        <w:t xml:space="preserve"> for MaxQuant output, based on MS1 spectral intensities and protein-based bootstrapping (1000 bootstraps). Further details can be found in Mackie </w:t>
      </w:r>
      <w:r w:rsidRPr="004C14C8">
        <w:rPr>
          <w:i/>
          <w:lang w:val="en-GB"/>
        </w:rPr>
        <w:t>et al</w:t>
      </w:r>
      <w:r w:rsidRPr="00EE5D82">
        <w:rPr>
          <w:lang w:val="en-GB"/>
        </w:rPr>
        <w:t>.</w:t>
      </w:r>
      <w:r>
        <w:rPr>
          <w:rStyle w:val="Style1Char"/>
        </w:rPr>
        <w:t>39</w:t>
      </w:r>
      <w:r w:rsidRPr="00EE5D82">
        <w:rPr>
          <w:lang w:val="en-GB"/>
        </w:rPr>
        <w:t>. We observe that both glutamines and asparagines are almost all deamidated to glutamic acid and aspartic acid, respectively (Extende</w:t>
      </w:r>
      <w:r>
        <w:rPr>
          <w:lang w:val="en-GB"/>
        </w:rPr>
        <w:t>d Data Fig. 6</w:t>
      </w:r>
      <w:r w:rsidRPr="00EE5D82">
        <w:rPr>
          <w:lang w:val="en-GB"/>
        </w:rPr>
        <w:t>a-c). In addition, peptide length distributions were obtained for datasets presented here and elsewhere</w:t>
      </w:r>
      <w:r w:rsidRPr="00EE5D82">
        <w:rPr>
          <w:rStyle w:val="Style1Char"/>
        </w:rPr>
        <w:t>6,8</w:t>
      </w:r>
      <w:r w:rsidRPr="00EE5D82">
        <w:rPr>
          <w:lang w:val="en-GB"/>
        </w:rPr>
        <w:t xml:space="preserve">, demonstrating a shortening of average peptide length and overall peptide length distributions for older samples (Extended Data Fig. </w:t>
      </w:r>
      <w:r>
        <w:rPr>
          <w:lang w:val="en-GB"/>
        </w:rPr>
        <w:t>6</w:t>
      </w:r>
      <w:r w:rsidRPr="00EE5D82">
        <w:rPr>
          <w:lang w:val="en-GB"/>
        </w:rPr>
        <w:t>d).</w:t>
      </w:r>
    </w:p>
    <w:p w14:paraId="2FB19F55" w14:textId="77777777" w:rsidR="00245513" w:rsidRPr="00EE5D82" w:rsidRDefault="00245513" w:rsidP="00245513">
      <w:pPr>
        <w:spacing w:line="480" w:lineRule="auto"/>
        <w:jc w:val="both"/>
        <w:rPr>
          <w:lang w:val="en-GB"/>
        </w:rPr>
      </w:pPr>
    </w:p>
    <w:p w14:paraId="4C3A3D3F" w14:textId="77777777" w:rsidR="00245513" w:rsidRPr="00EE5D82" w:rsidRDefault="00245513" w:rsidP="00245513">
      <w:pPr>
        <w:spacing w:line="480" w:lineRule="auto"/>
        <w:jc w:val="both"/>
        <w:rPr>
          <w:lang w:val="en-GB"/>
        </w:rPr>
      </w:pPr>
      <w:r w:rsidRPr="00EE5D82">
        <w:rPr>
          <w:b/>
          <w:lang w:val="en-GB"/>
        </w:rPr>
        <w:t xml:space="preserve">Protein </w:t>
      </w:r>
      <w:r w:rsidRPr="00EE5D82">
        <w:rPr>
          <w:b/>
          <w:i/>
          <w:lang w:val="en-GB"/>
        </w:rPr>
        <w:t>in vivo</w:t>
      </w:r>
      <w:r w:rsidRPr="00EE5D82">
        <w:rPr>
          <w:b/>
          <w:lang w:val="en-GB"/>
        </w:rPr>
        <w:t xml:space="preserve"> modification analysis</w:t>
      </w:r>
      <w:r>
        <w:rPr>
          <w:b/>
          <w:lang w:val="en-GB"/>
        </w:rPr>
        <w:t xml:space="preserve">. </w:t>
      </w:r>
      <w:r w:rsidRPr="00EE5D82">
        <w:rPr>
          <w:lang w:val="en-GB"/>
        </w:rPr>
        <w:t>The existing literature on enamel and enamel proteome biomineralization describes three processes that are key to the maturation of the enamel proteome: protein hydrolysis by MMP20 and KLK4</w:t>
      </w:r>
      <w:r w:rsidRPr="00953AEC">
        <w:rPr>
          <w:rStyle w:val="Style1Char"/>
        </w:rPr>
        <w:t>49-52</w:t>
      </w:r>
      <w:r w:rsidRPr="00EE5D82">
        <w:rPr>
          <w:lang w:val="en-GB"/>
        </w:rPr>
        <w:t xml:space="preserve">, </w:t>
      </w:r>
      <w:r w:rsidRPr="00EE5D82">
        <w:rPr>
          <w:i/>
          <w:iCs/>
          <w:lang w:val="en-GB"/>
        </w:rPr>
        <w:t>in vivo</w:t>
      </w:r>
      <w:r w:rsidRPr="00EE5D82">
        <w:rPr>
          <w:lang w:val="en-GB"/>
        </w:rPr>
        <w:t xml:space="preserve"> phosphorylation of serine residues</w:t>
      </w:r>
      <w:r w:rsidRPr="00EE5D82">
        <w:rPr>
          <w:rStyle w:val="Style1Char"/>
        </w:rPr>
        <w:t>6,8,23</w:t>
      </w:r>
      <w:r w:rsidRPr="00EE5D82">
        <w:rPr>
          <w:rStyle w:val="Style1Char"/>
          <w:vertAlign w:val="baseline"/>
        </w:rPr>
        <w:t>, and expression of different isoforms of AMELX, AMBN, and AMTN</w:t>
      </w:r>
      <w:r w:rsidRPr="00953AEC">
        <w:rPr>
          <w:rStyle w:val="Style1Char"/>
        </w:rPr>
        <w:t>49,52,53</w:t>
      </w:r>
      <w:r w:rsidRPr="00EE5D82">
        <w:rPr>
          <w:lang w:val="en-GB"/>
        </w:rPr>
        <w:t>. We sought to explore the presence of both</w:t>
      </w:r>
      <w:r w:rsidRPr="00EE5D82">
        <w:rPr>
          <w:i/>
          <w:iCs/>
          <w:lang w:val="en-GB"/>
        </w:rPr>
        <w:t xml:space="preserve"> in vivo </w:t>
      </w:r>
      <w:r w:rsidRPr="00EE5D82">
        <w:rPr>
          <w:lang w:val="en-GB"/>
        </w:rPr>
        <w:t>protein hydrolysis and serine phosphorylation modifications in our Pleistocene hominin proteomes.</w:t>
      </w:r>
    </w:p>
    <w:p w14:paraId="714C6AA8" w14:textId="77777777" w:rsidR="00245513" w:rsidRPr="00EE5D82" w:rsidRDefault="00245513" w:rsidP="00245513">
      <w:pPr>
        <w:spacing w:line="480" w:lineRule="auto"/>
        <w:jc w:val="both"/>
        <w:rPr>
          <w:lang w:val="en-GB"/>
        </w:rPr>
      </w:pPr>
      <w:r w:rsidRPr="00EE5D82">
        <w:rPr>
          <w:lang w:val="en-GB"/>
        </w:rPr>
        <w:lastRenderedPageBreak/>
        <w:t>For protein hydrolysis by MMP20 and KLK4, we made use of the Atapuerca digestion-free dataset and the described locations of AMBN, AMEL(X/Y</w:t>
      </w:r>
      <w:r w:rsidRPr="00EE5D82">
        <w:rPr>
          <w:i/>
          <w:lang w:val="en-GB"/>
        </w:rPr>
        <w:t>)</w:t>
      </w:r>
      <w:r w:rsidRPr="00EE5D82">
        <w:rPr>
          <w:lang w:val="en-GB"/>
        </w:rPr>
        <w:t>, and ENAM cleavage by MMP20 and KLK4</w:t>
      </w:r>
      <w:r>
        <w:rPr>
          <w:rStyle w:val="Style1Char"/>
        </w:rPr>
        <w:t>49-52</w:t>
      </w:r>
      <w:r w:rsidRPr="00EE5D82">
        <w:rPr>
          <w:lang w:val="en-GB"/>
        </w:rPr>
        <w:t>. We compared the experimentally observed cleavage sites to a random cleavage model of each protein separately and tested if the cleavage sites are present in a larger portion of PSMs in the ancient sample. Here, we can indeed show an increased presence of PSMs with termini at, or close to, known MMP20 and KLK4 cleavage locations (Extended Data Fig</w:t>
      </w:r>
      <w:r>
        <w:rPr>
          <w:lang w:val="en-GB"/>
        </w:rPr>
        <w:t>. 7</w:t>
      </w:r>
      <w:r w:rsidRPr="00EE5D82">
        <w:rPr>
          <w:lang w:val="en-GB"/>
        </w:rPr>
        <w:t xml:space="preserve">). This corresponds with our observation that protein regions with continuous sequence coverage correspond to known proteolytic fragments after MMP20 and KLK4 activity (Extended Data Fig. </w:t>
      </w:r>
      <w:r>
        <w:rPr>
          <w:lang w:val="en-GB"/>
        </w:rPr>
        <w:t>4</w:t>
      </w:r>
      <w:r w:rsidRPr="00EE5D82">
        <w:rPr>
          <w:lang w:val="en-GB"/>
        </w:rPr>
        <w:t>).</w:t>
      </w:r>
    </w:p>
    <w:p w14:paraId="1BA4A7E5" w14:textId="77777777" w:rsidR="00245513" w:rsidRPr="00EE5D82" w:rsidRDefault="00245513" w:rsidP="00245513">
      <w:pPr>
        <w:spacing w:line="480" w:lineRule="auto"/>
        <w:jc w:val="both"/>
        <w:rPr>
          <w:lang w:val="en-GB"/>
        </w:rPr>
      </w:pPr>
      <w:r w:rsidRPr="00EE5D82">
        <w:rPr>
          <w:lang w:val="en-GB"/>
        </w:rPr>
        <w:t>Phosphorylation of serines (S), threonines (T), and tyrosines (Y) was assessed using Icelogo</w:t>
      </w:r>
      <w:r>
        <w:rPr>
          <w:rStyle w:val="Style1Char"/>
        </w:rPr>
        <w:t>54</w:t>
      </w:r>
      <w:r w:rsidRPr="00EE5D82">
        <w:rPr>
          <w:lang w:val="en-GB"/>
        </w:rPr>
        <w:t xml:space="preserve"> sequence motif analysis. This analysis was based on the MaxQuant results, where only identified phosphorylation sites with a localization probability of </w:t>
      </w:r>
      <w:r w:rsidRPr="00EE5D82">
        <w:rPr>
          <w:rFonts w:cstheme="minorHAnsi"/>
          <w:lang w:val="en-GB"/>
        </w:rPr>
        <w:t>≥</w:t>
      </w:r>
      <w:r w:rsidRPr="00EE5D82">
        <w:rPr>
          <w:lang w:val="en-GB"/>
        </w:rPr>
        <w:t xml:space="preserve">0.95 were selected. STY sites with no phosphorylation or localization probabilities </w:t>
      </w:r>
      <w:r w:rsidRPr="00EE5D82">
        <w:rPr>
          <w:rFonts w:cstheme="minorHAnsi"/>
          <w:lang w:val="en-GB"/>
        </w:rPr>
        <w:t>≤</w:t>
      </w:r>
      <w:r w:rsidRPr="00EE5D82">
        <w:rPr>
          <w:lang w:val="en-GB"/>
        </w:rPr>
        <w:t xml:space="preserve">0.95 were taken as the non-phosphorylated background, and a sequence motif window of 7 amino acids on either side of the STY were selected. Sequence motif analysis indicates a strong preference for the phosphorylation of serines (S) with a glutamic acid (E) on the +2 position (S-x-E/phS motif; Fig. </w:t>
      </w:r>
      <w:r>
        <w:rPr>
          <w:lang w:val="en-GB"/>
        </w:rPr>
        <w:t>1</w:t>
      </w:r>
      <w:r w:rsidRPr="00EE5D82">
        <w:rPr>
          <w:lang w:val="en-GB"/>
        </w:rPr>
        <w:t xml:space="preserve">a, b) in both hominin enamel proteomes. This substrate motif is characteristic for the phosphorylation kinase FAM20C, which is known to be active </w:t>
      </w:r>
      <w:r w:rsidRPr="00EE5D82">
        <w:rPr>
          <w:i/>
          <w:lang w:val="en-GB"/>
        </w:rPr>
        <w:t>in vivo</w:t>
      </w:r>
      <w:r w:rsidRPr="00EE5D82">
        <w:rPr>
          <w:lang w:val="en-GB"/>
        </w:rPr>
        <w:t xml:space="preserve"> on proteins involved in biomineralization</w:t>
      </w:r>
      <w:r w:rsidRPr="00EE5D82">
        <w:rPr>
          <w:rStyle w:val="Style1Char"/>
        </w:rPr>
        <w:t>23</w:t>
      </w:r>
      <w:r w:rsidRPr="00EE5D82">
        <w:rPr>
          <w:lang w:val="en-GB"/>
        </w:rPr>
        <w:t>, and has previously been reported for ancient, non-hominin, enamel proteomes as well</w:t>
      </w:r>
      <w:r w:rsidRPr="00EE5D82">
        <w:rPr>
          <w:rStyle w:val="Style1Char"/>
        </w:rPr>
        <w:t>6,8</w:t>
      </w:r>
      <w:r w:rsidRPr="00EE5D82">
        <w:rPr>
          <w:lang w:val="en-GB"/>
        </w:rPr>
        <w:t>.</w:t>
      </w:r>
    </w:p>
    <w:p w14:paraId="16C9AF38" w14:textId="77777777" w:rsidR="00245513" w:rsidRPr="00EE5D82" w:rsidRDefault="00245513" w:rsidP="00245513">
      <w:pPr>
        <w:spacing w:line="480" w:lineRule="auto"/>
        <w:jc w:val="both"/>
        <w:rPr>
          <w:lang w:val="en-GB"/>
        </w:rPr>
      </w:pPr>
      <w:r w:rsidRPr="00EE5D82">
        <w:rPr>
          <w:lang w:val="en-GB"/>
        </w:rPr>
        <w:t>To compare phosphorylation occupancy between the Dmanisi and Atapuerca enamel proteomes, we performed a separate MaxQuant database search (Supplementary Information) and restricted our analyses to amino acid positions covered by phosphorylated and non-phosphorylated peptides, observed in both hominins, and quantified through label-free quantification.</w:t>
      </w:r>
    </w:p>
    <w:p w14:paraId="5253C591" w14:textId="77777777" w:rsidR="00245513" w:rsidRPr="00EE5D82" w:rsidRDefault="00245513" w:rsidP="00245513">
      <w:pPr>
        <w:spacing w:line="480" w:lineRule="auto"/>
        <w:jc w:val="both"/>
        <w:rPr>
          <w:lang w:val="en-GB"/>
        </w:rPr>
      </w:pPr>
    </w:p>
    <w:p w14:paraId="72CF3DCA" w14:textId="77777777" w:rsidR="00245513" w:rsidRPr="00EE5D82" w:rsidRDefault="00245513" w:rsidP="00245513">
      <w:pPr>
        <w:pStyle w:val="Heading2"/>
        <w:spacing w:line="480" w:lineRule="auto"/>
        <w:jc w:val="both"/>
        <w:rPr>
          <w:lang w:val="en-GB"/>
        </w:rPr>
      </w:pPr>
      <w:r w:rsidRPr="00EE5D82">
        <w:rPr>
          <w:lang w:val="en-GB"/>
        </w:rPr>
        <w:t>Phylogenetic Analysis</w:t>
      </w:r>
    </w:p>
    <w:p w14:paraId="138260BA" w14:textId="77777777" w:rsidR="00245513" w:rsidRPr="00EE5D82" w:rsidRDefault="00245513" w:rsidP="00245513">
      <w:pPr>
        <w:spacing w:line="480" w:lineRule="auto"/>
        <w:jc w:val="both"/>
        <w:rPr>
          <w:lang w:val="en-GB"/>
        </w:rPr>
      </w:pPr>
      <w:r w:rsidRPr="00EE5D82">
        <w:rPr>
          <w:b/>
          <w:lang w:val="en-GB"/>
        </w:rPr>
        <w:t>Comparison between the ancient protein sequences and modern reference proteins</w:t>
      </w:r>
      <w:r>
        <w:rPr>
          <w:b/>
          <w:lang w:val="en-GB"/>
        </w:rPr>
        <w:t xml:space="preserve">. </w:t>
      </w:r>
      <w:r w:rsidRPr="00EE5D82">
        <w:rPr>
          <w:lang w:val="en-GB"/>
        </w:rPr>
        <w:t xml:space="preserve">We compared the reconstructed ancient protein sequences from the Dmanisi </w:t>
      </w:r>
      <w:r w:rsidRPr="00EE5D82">
        <w:rPr>
          <w:i/>
          <w:lang w:val="en-GB"/>
        </w:rPr>
        <w:t>Homo erectus</w:t>
      </w:r>
      <w:r w:rsidRPr="00EE5D82">
        <w:rPr>
          <w:lang w:val="en-GB"/>
        </w:rPr>
        <w:t xml:space="preserve"> and Atapuerca </w:t>
      </w:r>
      <w:r w:rsidRPr="00EE5D82">
        <w:rPr>
          <w:i/>
          <w:lang w:val="en-GB"/>
        </w:rPr>
        <w:t>Homo antecessor</w:t>
      </w:r>
      <w:r w:rsidRPr="00EE5D82">
        <w:rPr>
          <w:lang w:val="en-GB"/>
        </w:rPr>
        <w:t xml:space="preserve"> hominins with protein sequences from great apes</w:t>
      </w:r>
      <w:r>
        <w:rPr>
          <w:rStyle w:val="Style1Char"/>
        </w:rPr>
        <w:t>41,43</w:t>
      </w:r>
      <w:r w:rsidRPr="00EE5D82">
        <w:rPr>
          <w:lang w:val="en-GB"/>
        </w:rPr>
        <w:t>, three Neanderthals</w:t>
      </w:r>
      <w:r>
        <w:rPr>
          <w:rStyle w:val="Style1Char"/>
        </w:rPr>
        <w:t>31,40,55</w:t>
      </w:r>
      <w:r w:rsidRPr="00EE5D82">
        <w:rPr>
          <w:lang w:val="en-GB"/>
        </w:rPr>
        <w:t>, a Denisovan</w:t>
      </w:r>
      <w:r>
        <w:rPr>
          <w:rStyle w:val="Style1Char"/>
        </w:rPr>
        <w:t>56</w:t>
      </w:r>
      <w:r w:rsidRPr="00EE5D82">
        <w:rPr>
          <w:lang w:val="en-GB"/>
        </w:rPr>
        <w:t xml:space="preserve"> and a panel </w:t>
      </w:r>
      <w:r w:rsidRPr="00EE5D82">
        <w:rPr>
          <w:lang w:val="en-GB"/>
        </w:rPr>
        <w:lastRenderedPageBreak/>
        <w:t>of present-day humans, including 256 samples from the Simons Genome Diversity Panel (SGDP)</w:t>
      </w:r>
      <w:r>
        <w:rPr>
          <w:rStyle w:val="Style1Char"/>
        </w:rPr>
        <w:t>57</w:t>
      </w:r>
      <w:r w:rsidRPr="00EE5D82">
        <w:rPr>
          <w:lang w:val="en-GB"/>
        </w:rPr>
        <w:t xml:space="preserve"> and 41 high-coverage individuals from the 1000 Genomes Project</w:t>
      </w:r>
      <w:r>
        <w:rPr>
          <w:rStyle w:val="Style1Char"/>
        </w:rPr>
        <w:t>58</w:t>
      </w:r>
      <w:r w:rsidRPr="00EE5D82">
        <w:rPr>
          <w:lang w:val="en-GB"/>
        </w:rPr>
        <w:t>. Altogether, our reference data represents worldwide human and great ape variation data (Tabs. S7, S8). Additionally, we included protein sequences from macaque (</w:t>
      </w:r>
      <w:r w:rsidRPr="00EE5D82">
        <w:rPr>
          <w:i/>
          <w:lang w:val="en-GB"/>
        </w:rPr>
        <w:t>Macaca mulatta</w:t>
      </w:r>
      <w:r w:rsidRPr="00EE5D82">
        <w:rPr>
          <w:lang w:val="en-GB"/>
        </w:rPr>
        <w:t>) and gibbon (</w:t>
      </w:r>
      <w:r w:rsidRPr="00EE5D82">
        <w:rPr>
          <w:i/>
          <w:lang w:val="en-GB"/>
        </w:rPr>
        <w:t>Nomascus leucogenys</w:t>
      </w:r>
      <w:r w:rsidRPr="00EE5D82">
        <w:rPr>
          <w:lang w:val="en-GB"/>
        </w:rPr>
        <w:t>) to root phylogenetic trees. The protein sequences were retrieved from the UniProt database or reconstructed from the reference whole-genome sequences as described in the supplementary methods.</w:t>
      </w:r>
    </w:p>
    <w:p w14:paraId="0BC57A3E" w14:textId="77777777" w:rsidR="00245513" w:rsidRPr="00EE5D82" w:rsidRDefault="00245513" w:rsidP="00245513">
      <w:pPr>
        <w:spacing w:line="480" w:lineRule="auto"/>
        <w:jc w:val="both"/>
        <w:rPr>
          <w:lang w:val="en-GB"/>
        </w:rPr>
      </w:pPr>
      <w:r w:rsidRPr="00EE5D82">
        <w:rPr>
          <w:lang w:val="en-GB"/>
        </w:rPr>
        <w:t xml:space="preserve">The ancient and reference protein sequences were aligned using </w:t>
      </w:r>
      <w:r w:rsidRPr="00EE5D82">
        <w:rPr>
          <w:i/>
          <w:iCs/>
          <w:lang w:val="en-GB"/>
        </w:rPr>
        <w:t>mafft</w:t>
      </w:r>
      <w:r w:rsidRPr="00953AEC">
        <w:rPr>
          <w:rStyle w:val="Style1Char"/>
        </w:rPr>
        <w:t>59</w:t>
      </w:r>
      <w:r w:rsidRPr="00EE5D82">
        <w:rPr>
          <w:lang w:val="en-GB"/>
        </w:rPr>
        <w:t>. We aligned the sequences of each protein separately and obtained an alignment for each of the ancient individuals independently (Tab. S9). The isobaric amino acids leucine (L) and isoleucine (I) cannot be distinguished with the experimental procedure used for this study. Therefore, we have to take the following precautions to avoid unintentional sequence differences. If, at a specific amino acid position, either I or L were present in the reference protein sequences, we replace all corresponding amino acids in the ancient protein sequences to the amino acid that is present. Alternatively, if both amino acids are present in the reference protein</w:t>
      </w:r>
      <w:r>
        <w:rPr>
          <w:lang w:val="en-GB"/>
        </w:rPr>
        <w:t xml:space="preserve"> sequence, we replace all I</w:t>
      </w:r>
      <w:r w:rsidRPr="00EE5D82">
        <w:rPr>
          <w:lang w:val="en-GB"/>
        </w:rPr>
        <w:t xml:space="preserve"> to L for all sequences. We used sequence information for seven proteins (ALB, AMBN, AMELX, AMELY, COL17α1, ENAM and MMP20) for the </w:t>
      </w:r>
      <w:r w:rsidRPr="00EE5D82">
        <w:rPr>
          <w:i/>
          <w:iCs/>
          <w:lang w:val="en-GB"/>
        </w:rPr>
        <w:t>Homo antecessor</w:t>
      </w:r>
      <w:r w:rsidRPr="00EE5D82">
        <w:rPr>
          <w:lang w:val="en-GB"/>
        </w:rPr>
        <w:t xml:space="preserve"> individual and six proteins for the </w:t>
      </w:r>
      <w:r w:rsidRPr="00EE5D82">
        <w:rPr>
          <w:i/>
          <w:iCs/>
          <w:lang w:val="en-GB"/>
        </w:rPr>
        <w:t>Homo erectus</w:t>
      </w:r>
      <w:r w:rsidRPr="00EE5D82">
        <w:rPr>
          <w:lang w:val="en-GB"/>
        </w:rPr>
        <w:t xml:space="preserve"> individual (ALB, AMBN, AMELX, COL17α1, ENAM and MMP20) with a total of 22.08% and 22.14% non-missing sites, respectively (Tab. S9). We were able to recover a unique SAP for </w:t>
      </w:r>
      <w:r w:rsidRPr="00EE5D82">
        <w:rPr>
          <w:i/>
          <w:iCs/>
          <w:lang w:val="en-GB"/>
        </w:rPr>
        <w:t>Homo antecessor</w:t>
      </w:r>
      <w:r w:rsidRPr="00EE5D82">
        <w:rPr>
          <w:lang w:val="en-GB"/>
        </w:rPr>
        <w:t xml:space="preserve">, however, for </w:t>
      </w:r>
      <w:r w:rsidRPr="00EE5D82">
        <w:rPr>
          <w:i/>
          <w:iCs/>
          <w:lang w:val="en-GB"/>
        </w:rPr>
        <w:t>Homo erectus</w:t>
      </w:r>
      <w:r w:rsidRPr="00EE5D82">
        <w:rPr>
          <w:lang w:val="en-GB"/>
        </w:rPr>
        <w:t xml:space="preserve"> no unique SAP was detected (Tabs. S9-11; Figs. S10-12).</w:t>
      </w:r>
    </w:p>
    <w:p w14:paraId="31EF589E" w14:textId="77777777" w:rsidR="00245513" w:rsidRPr="00EE5D82" w:rsidRDefault="00245513" w:rsidP="00245513">
      <w:pPr>
        <w:spacing w:line="480" w:lineRule="auto"/>
        <w:jc w:val="both"/>
        <w:rPr>
          <w:lang w:val="en-GB"/>
        </w:rPr>
      </w:pPr>
    </w:p>
    <w:p w14:paraId="462772CD" w14:textId="77777777" w:rsidR="00245513" w:rsidRPr="00EE5D82" w:rsidRDefault="00245513" w:rsidP="00245513">
      <w:pPr>
        <w:spacing w:line="480" w:lineRule="auto"/>
        <w:jc w:val="both"/>
        <w:rPr>
          <w:lang w:val="en-GB"/>
        </w:rPr>
      </w:pPr>
      <w:r w:rsidRPr="00EE5D82">
        <w:rPr>
          <w:b/>
          <w:lang w:val="en-GB"/>
        </w:rPr>
        <w:t>Phylogenetic reconstruction</w:t>
      </w:r>
      <w:r>
        <w:rPr>
          <w:b/>
          <w:lang w:val="en-GB"/>
        </w:rPr>
        <w:t xml:space="preserve">. </w:t>
      </w:r>
      <w:r w:rsidRPr="00EE5D82">
        <w:rPr>
          <w:lang w:val="en-GB"/>
        </w:rPr>
        <w:t>We sought to build phylogenetic trees using the aforementioned protein sequence alignments following three different approaches: a maximum likelihood (ML) approach, using PhyML v3</w:t>
      </w:r>
      <w:r>
        <w:rPr>
          <w:rStyle w:val="Style1Char"/>
        </w:rPr>
        <w:t>60</w:t>
      </w:r>
      <w:r w:rsidRPr="00EE5D82">
        <w:rPr>
          <w:lang w:val="en-GB"/>
        </w:rPr>
        <w:t>, and two Bayesian approaches, using mrBayes</w:t>
      </w:r>
      <w:r>
        <w:rPr>
          <w:rStyle w:val="Style1Char"/>
        </w:rPr>
        <w:t>61</w:t>
      </w:r>
      <w:r w:rsidRPr="00EE5D82">
        <w:rPr>
          <w:lang w:val="en-GB"/>
        </w:rPr>
        <w:t xml:space="preserve"> and BEAST</w:t>
      </w:r>
      <w:r>
        <w:rPr>
          <w:rStyle w:val="Style1Char"/>
        </w:rPr>
        <w:t>62</w:t>
      </w:r>
      <w:r w:rsidRPr="00EE5D82">
        <w:rPr>
          <w:lang w:val="en-GB"/>
        </w:rPr>
        <w:t>.</w:t>
      </w:r>
    </w:p>
    <w:p w14:paraId="726BEE4C" w14:textId="77777777" w:rsidR="00245513" w:rsidRPr="00EE5D82" w:rsidRDefault="00245513" w:rsidP="00245513">
      <w:pPr>
        <w:spacing w:line="480" w:lineRule="auto"/>
        <w:jc w:val="both"/>
        <w:rPr>
          <w:b/>
          <w:lang w:val="en-GB"/>
        </w:rPr>
      </w:pPr>
      <w:r w:rsidRPr="00EE5D82">
        <w:rPr>
          <w:u w:val="single"/>
          <w:lang w:val="en-GB"/>
        </w:rPr>
        <w:t>Maximum-likelihood approach.</w:t>
      </w:r>
      <w:r w:rsidRPr="00EE5D82">
        <w:rPr>
          <w:b/>
          <w:lang w:val="en-GB"/>
        </w:rPr>
        <w:t xml:space="preserve"> </w:t>
      </w:r>
      <w:r w:rsidRPr="00EE5D82">
        <w:rPr>
          <w:lang w:val="en-GB"/>
        </w:rPr>
        <w:t xml:space="preserve">We built ML trees for each protein independently and for a concatenated alignment consisting of all of the available protein sequences for each of the ancient samples (Figs. S13, S14). We used PhyML v3 and the parameters described in the supplementary section 2.3.5a to build and optimize </w:t>
      </w:r>
      <w:r w:rsidRPr="00EE5D82">
        <w:rPr>
          <w:lang w:val="en-GB"/>
        </w:rPr>
        <w:lastRenderedPageBreak/>
        <w:t>the tree topologies, branch length and substitutions rates for each of the alignments. Support for each bipartition was obtained based on 100 non-parametric bootstrap replicates.</w:t>
      </w:r>
      <w:r w:rsidRPr="00EE5D82">
        <w:rPr>
          <w:b/>
          <w:lang w:val="en-GB"/>
        </w:rPr>
        <w:t xml:space="preserve"> </w:t>
      </w:r>
      <w:r w:rsidRPr="00EE5D82">
        <w:rPr>
          <w:lang w:val="en-GB"/>
        </w:rPr>
        <w:t>We evaluated the effect of significant missingness in the ancient samples on the inferred topology. Finally, we looked at the effect of varying which of the subset of present-day human samples was included in the tree (</w:t>
      </w:r>
      <w:r>
        <w:rPr>
          <w:lang w:val="en-GB"/>
        </w:rPr>
        <w:t>Supplementary section 2.3</w:t>
      </w:r>
      <w:r w:rsidRPr="00EE5D82">
        <w:rPr>
          <w:lang w:val="en-GB"/>
        </w:rPr>
        <w:t>.5b, c).</w:t>
      </w:r>
    </w:p>
    <w:p w14:paraId="31A1D2EB" w14:textId="77777777" w:rsidR="00245513" w:rsidRPr="00EE5D82" w:rsidRDefault="00245513" w:rsidP="00245513">
      <w:pPr>
        <w:spacing w:line="480" w:lineRule="auto"/>
        <w:jc w:val="both"/>
        <w:rPr>
          <w:lang w:val="en-GB"/>
        </w:rPr>
      </w:pPr>
      <w:r w:rsidRPr="00EE5D82">
        <w:rPr>
          <w:u w:val="single"/>
          <w:lang w:val="en-GB"/>
        </w:rPr>
        <w:t>Bayesian approach using mrBayes.</w:t>
      </w:r>
      <w:r w:rsidRPr="00EE5D82">
        <w:rPr>
          <w:lang w:val="en-GB"/>
        </w:rPr>
        <w:t xml:space="preserve"> To assess the robustness of the ML inference results, we performed Bayesian phylogenetic inference based on the concatenated alignments using </w:t>
      </w:r>
      <w:r w:rsidRPr="00EE5D82">
        <w:rPr>
          <w:i/>
          <w:lang w:val="en-GB"/>
        </w:rPr>
        <w:t xml:space="preserve">mrBayes </w:t>
      </w:r>
      <w:r w:rsidRPr="00EE5D82">
        <w:rPr>
          <w:lang w:val="en-GB"/>
        </w:rPr>
        <w:t>3.2 and the parameters described in the supplementary section 2.3.5d (Fig. S1</w:t>
      </w:r>
      <w:r>
        <w:rPr>
          <w:lang w:val="en-GB"/>
        </w:rPr>
        <w:t>6; Extended Data Fig. 8</w:t>
      </w:r>
      <w:r w:rsidRPr="00EE5D82">
        <w:rPr>
          <w:lang w:val="en-GB"/>
        </w:rPr>
        <w:t>). Bayesian inference was performed using the CIPRES Science Gateway</w:t>
      </w:r>
      <w:r>
        <w:rPr>
          <w:rStyle w:val="Style1Char"/>
        </w:rPr>
        <w:t>63</w:t>
      </w:r>
      <w:r w:rsidRPr="00EE5D82">
        <w:rPr>
          <w:lang w:val="en-GB"/>
        </w:rPr>
        <w:t>.</w:t>
      </w:r>
    </w:p>
    <w:p w14:paraId="28255E36" w14:textId="77777777" w:rsidR="00245513" w:rsidRPr="00EE5D82" w:rsidRDefault="00245513" w:rsidP="00245513">
      <w:pPr>
        <w:spacing w:line="480" w:lineRule="auto"/>
        <w:jc w:val="both"/>
        <w:rPr>
          <w:lang w:val="en-GB"/>
        </w:rPr>
      </w:pPr>
      <w:r w:rsidRPr="00EE5D82">
        <w:rPr>
          <w:u w:val="single"/>
          <w:lang w:val="en-GB"/>
        </w:rPr>
        <w:t>Bayesian approach using BEAST.</w:t>
      </w:r>
      <w:r w:rsidRPr="00EE5D82">
        <w:rPr>
          <w:lang w:val="en-GB"/>
        </w:rPr>
        <w:t xml:space="preserve"> We used BEAST 2.5</w:t>
      </w:r>
      <w:r w:rsidRPr="00EE5D82">
        <w:rPr>
          <w:lang w:val="en-US"/>
        </w:rPr>
        <w:t xml:space="preserve"> </w:t>
      </w:r>
      <w:r w:rsidRPr="00EE5D82">
        <w:rPr>
          <w:lang w:val="en-GB"/>
        </w:rPr>
        <w:t xml:space="preserve">to obtain a time calibrated tree for the seven proteins used for </w:t>
      </w:r>
      <w:r w:rsidRPr="00EE5D82">
        <w:rPr>
          <w:i/>
          <w:iCs/>
          <w:lang w:val="en-GB"/>
        </w:rPr>
        <w:t>Homo antecessor</w:t>
      </w:r>
      <w:r w:rsidRPr="00EE5D82">
        <w:rPr>
          <w:lang w:val="en-GB"/>
        </w:rPr>
        <w:t xml:space="preserve">. For this analysis, we used a concatenated alignments including the Neanderthals, the Denisovan, seven randomly chosen </w:t>
      </w:r>
      <w:r w:rsidRPr="00EE5D82">
        <w:rPr>
          <w:i/>
          <w:iCs/>
          <w:lang w:val="en-GB"/>
        </w:rPr>
        <w:t>Homo sapiens</w:t>
      </w:r>
      <w:r w:rsidRPr="00EE5D82">
        <w:rPr>
          <w:lang w:val="en-GB"/>
        </w:rPr>
        <w:t xml:space="preserve"> individuals, and a single individual per great ape species. The alignment was partitioned by gene and a coalescent constant population model was used for the tree prior. The ages of the ancient samples included in the analysis (Vindija Neanderthal: 52 ka</w:t>
      </w:r>
      <w:r>
        <w:rPr>
          <w:rStyle w:val="Style1Char"/>
        </w:rPr>
        <w:t>55</w:t>
      </w:r>
      <w:r w:rsidRPr="00EE5D82">
        <w:rPr>
          <w:lang w:val="en-GB"/>
        </w:rPr>
        <w:t>, Altai Neanderthal: 112 ka</w:t>
      </w:r>
      <w:r w:rsidRPr="00EE5D82">
        <w:rPr>
          <w:rStyle w:val="Style1Char"/>
        </w:rPr>
        <w:t>31</w:t>
      </w:r>
      <w:r w:rsidRPr="00EE5D82">
        <w:rPr>
          <w:lang w:val="en-GB"/>
        </w:rPr>
        <w:t>, Denisovan: 72 ka</w:t>
      </w:r>
      <w:r>
        <w:rPr>
          <w:rStyle w:val="Style1Char"/>
        </w:rPr>
        <w:t>56</w:t>
      </w:r>
      <w:r w:rsidRPr="00EE5D82">
        <w:rPr>
          <w:lang w:val="en-GB"/>
        </w:rPr>
        <w:t xml:space="preserve"> and</w:t>
      </w:r>
      <w:r w:rsidRPr="00EE5D82">
        <w:rPr>
          <w:i/>
          <w:iCs/>
          <w:lang w:val="en-GB"/>
        </w:rPr>
        <w:t xml:space="preserve"> Homo antecessor</w:t>
      </w:r>
      <w:r w:rsidRPr="00EE5D82">
        <w:rPr>
          <w:lang w:val="en-GB"/>
        </w:rPr>
        <w:t xml:space="preserve"> 860.5 ka</w:t>
      </w:r>
      <w:r w:rsidRPr="00EE5D82">
        <w:rPr>
          <w:rStyle w:val="Style1Char"/>
        </w:rPr>
        <w:t>11</w:t>
      </w:r>
      <w:r w:rsidRPr="00EE5D82">
        <w:rPr>
          <w:lang w:val="en-US"/>
        </w:rPr>
        <w:t>)</w:t>
      </w:r>
      <w:r w:rsidRPr="00EE5D82">
        <w:rPr>
          <w:lang w:val="en-GB"/>
        </w:rPr>
        <w:t xml:space="preserve"> were used as tip dates for calibration. For each partition, we used the JTT substitution model with four categories for the gamma parameter, for which we allowed the MCMC chain to sample the shape of the gamma distribution (with an exponentially distributed prior) and assigned independent clock models. Additionally, we set a prior for the divergence time of great apes to 23.85 </w:t>
      </w:r>
      <w:r w:rsidRPr="00EE5D82">
        <w:rPr>
          <w:rFonts w:cstheme="minorHAnsi"/>
          <w:lang w:val="en-GB"/>
        </w:rPr>
        <w:t>±</w:t>
      </w:r>
      <w:r w:rsidRPr="00EE5D82">
        <w:rPr>
          <w:lang w:val="en-GB"/>
        </w:rPr>
        <w:t xml:space="preserve"> 2.5 Ma (normally distributed)</w:t>
      </w:r>
      <w:r>
        <w:rPr>
          <w:rStyle w:val="Style1Char"/>
        </w:rPr>
        <w:t>64</w:t>
      </w:r>
      <w:r w:rsidRPr="00EE5D82">
        <w:rPr>
          <w:lang w:val="en-GB"/>
        </w:rPr>
        <w:t>, and rooted the tree using the macaque (</w:t>
      </w:r>
      <w:r w:rsidRPr="00EE5D82">
        <w:rPr>
          <w:i/>
          <w:iCs/>
          <w:lang w:val="en-GB"/>
        </w:rPr>
        <w:t>Macaca mulatta</w:t>
      </w:r>
      <w:r w:rsidRPr="00EE5D82">
        <w:rPr>
          <w:lang w:val="en-GB"/>
        </w:rPr>
        <w:t>). The overall topology of the tree was estimated for the seven partitions jointly. The convergence of the algorithm was assessed using Tracer v1.7.0</w:t>
      </w:r>
      <w:r w:rsidRPr="00953AEC">
        <w:rPr>
          <w:noProof/>
          <w:vertAlign w:val="superscript"/>
          <w:lang w:val="en-GB"/>
        </w:rPr>
        <w:t>65</w:t>
      </w:r>
      <w:r w:rsidRPr="00EE5D82">
        <w:rPr>
          <w:lang w:val="en-GB"/>
        </w:rPr>
        <w:t xml:space="preserve">. Finally, we repeated this analysis with 100 alignments, each of them consisting of seven different present-day humans chosen randomly. While the topology within the clade consisting of present-day humans, Neanderthals and Denisovan (HND) was not consistent across the replicates, 99 of the replicates consistently place the </w:t>
      </w:r>
      <w:r w:rsidRPr="00EE5D82">
        <w:rPr>
          <w:i/>
          <w:iCs/>
          <w:lang w:val="en-GB"/>
        </w:rPr>
        <w:t xml:space="preserve">Homo antecessor </w:t>
      </w:r>
      <w:r w:rsidRPr="00EE5D82">
        <w:rPr>
          <w:iCs/>
          <w:lang w:val="en-GB"/>
        </w:rPr>
        <w:t xml:space="preserve">sequence </w:t>
      </w:r>
      <w:r w:rsidRPr="00EE5D82">
        <w:rPr>
          <w:lang w:val="en-GB"/>
        </w:rPr>
        <w:t xml:space="preserve">as an outgroup to the HND clade (Fig. </w:t>
      </w:r>
      <w:r>
        <w:rPr>
          <w:lang w:val="en-GB"/>
        </w:rPr>
        <w:t>2</w:t>
      </w:r>
      <w:r w:rsidRPr="00EE5D82">
        <w:rPr>
          <w:lang w:val="en-GB"/>
        </w:rPr>
        <w:t xml:space="preserve">a). </w:t>
      </w:r>
    </w:p>
    <w:p w14:paraId="3C9BF31E" w14:textId="77777777" w:rsidR="00245513" w:rsidRPr="00EE5D82" w:rsidRDefault="00245513" w:rsidP="00245513">
      <w:pPr>
        <w:spacing w:line="480" w:lineRule="auto"/>
        <w:jc w:val="both"/>
        <w:rPr>
          <w:rFonts w:ascii="Calibri" w:hAnsi="Calibri" w:cs="Calibri"/>
          <w:lang w:val="en-GB"/>
        </w:rPr>
      </w:pPr>
      <w:r w:rsidRPr="00EE5D82">
        <w:rPr>
          <w:lang w:val="en-GB"/>
        </w:rPr>
        <w:lastRenderedPageBreak/>
        <w:t xml:space="preserve">Further details on phylogenetic analysis and results can be found in the Supplementary Information. </w:t>
      </w:r>
      <w:r w:rsidRPr="00EE5D82">
        <w:rPr>
          <w:rFonts w:ascii="Calibri" w:hAnsi="Calibri" w:cs="Calibri"/>
          <w:lang w:val="en-GB"/>
        </w:rPr>
        <w:t>Example MS/MS spectra from the MaxQuant search and overlapping sites of phylogenetic interest (SAPs) are included in the file “Key MS-MS Spectra.pdf” for both hominins.</w:t>
      </w:r>
    </w:p>
    <w:p w14:paraId="45CA93E6" w14:textId="77777777" w:rsidR="00245513" w:rsidRDefault="00245513" w:rsidP="00245513">
      <w:pPr>
        <w:spacing w:line="480" w:lineRule="auto"/>
        <w:jc w:val="both"/>
        <w:rPr>
          <w:lang w:val="en-GB"/>
        </w:rPr>
      </w:pPr>
    </w:p>
    <w:p w14:paraId="0798BBC5" w14:textId="77777777" w:rsidR="00245513" w:rsidRDefault="00245513" w:rsidP="00245513">
      <w:pPr>
        <w:pStyle w:val="Heading2"/>
        <w:spacing w:line="480" w:lineRule="auto"/>
        <w:rPr>
          <w:lang w:val="en-GB"/>
        </w:rPr>
      </w:pPr>
      <w:r w:rsidRPr="00033169">
        <w:rPr>
          <w:lang w:val="en-GB"/>
        </w:rPr>
        <w:t>Reporting summary</w:t>
      </w:r>
    </w:p>
    <w:p w14:paraId="0968268C" w14:textId="77777777" w:rsidR="00245513" w:rsidRPr="00033169" w:rsidRDefault="00245513" w:rsidP="00245513">
      <w:pPr>
        <w:spacing w:line="480" w:lineRule="auto"/>
        <w:jc w:val="both"/>
        <w:rPr>
          <w:lang w:val="en-GB"/>
        </w:rPr>
      </w:pPr>
      <w:r w:rsidRPr="00033169">
        <w:rPr>
          <w:lang w:val="en-GB"/>
        </w:rPr>
        <w:t>Further information on research design is available in the Nature</w:t>
      </w:r>
    </w:p>
    <w:p w14:paraId="7B9B8240" w14:textId="77777777" w:rsidR="00245513" w:rsidRDefault="00245513" w:rsidP="00245513">
      <w:pPr>
        <w:spacing w:line="480" w:lineRule="auto"/>
        <w:jc w:val="both"/>
        <w:rPr>
          <w:lang w:val="en-GB"/>
        </w:rPr>
      </w:pPr>
      <w:r w:rsidRPr="00033169">
        <w:rPr>
          <w:lang w:val="en-GB"/>
        </w:rPr>
        <w:t>Research Reporting Summary linked to this paper.</w:t>
      </w:r>
    </w:p>
    <w:p w14:paraId="17E0D6B3" w14:textId="77777777" w:rsidR="00245513" w:rsidRPr="00EE5D82" w:rsidRDefault="00245513" w:rsidP="00245513">
      <w:pPr>
        <w:spacing w:line="480" w:lineRule="auto"/>
        <w:jc w:val="both"/>
        <w:rPr>
          <w:lang w:val="en-GB"/>
        </w:rPr>
      </w:pPr>
    </w:p>
    <w:p w14:paraId="279957D6" w14:textId="77777777" w:rsidR="00245513" w:rsidRPr="00EE5D82" w:rsidRDefault="00245513" w:rsidP="00245513">
      <w:pPr>
        <w:pStyle w:val="Heading2"/>
        <w:spacing w:line="480" w:lineRule="auto"/>
        <w:jc w:val="both"/>
        <w:rPr>
          <w:lang w:val="en-GB"/>
        </w:rPr>
      </w:pPr>
      <w:r w:rsidRPr="00EE5D82">
        <w:rPr>
          <w:lang w:val="en-GB"/>
        </w:rPr>
        <w:t>Data Deposition</w:t>
      </w:r>
    </w:p>
    <w:p w14:paraId="40CB792B" w14:textId="77777777" w:rsidR="00245513" w:rsidRPr="00464017" w:rsidRDefault="00245513" w:rsidP="00245513">
      <w:pPr>
        <w:spacing w:line="480" w:lineRule="auto"/>
        <w:jc w:val="both"/>
        <w:rPr>
          <w:lang w:val="en-GB"/>
        </w:rPr>
      </w:pPr>
      <w:r w:rsidRPr="00EE5D82">
        <w:rPr>
          <w:lang w:val="en-GB"/>
        </w:rPr>
        <w:t xml:space="preserve">Mass spectrometry proteomics data have been deposited in the ProteomeXchange Consortium (http://proteomecentral.proteomexchange.org) via the PRIDE partner repository with the data set identifier PXD014342. Generated ancient protein consensus sequences used for phylogenetic analysis for </w:t>
      </w:r>
      <w:r w:rsidRPr="00EE5D82">
        <w:rPr>
          <w:i/>
          <w:lang w:val="en-GB"/>
        </w:rPr>
        <w:t>Homo</w:t>
      </w:r>
      <w:r w:rsidRPr="00EE5D82">
        <w:rPr>
          <w:lang w:val="en-GB"/>
        </w:rPr>
        <w:t xml:space="preserve"> </w:t>
      </w:r>
      <w:r w:rsidRPr="00EE5D82">
        <w:rPr>
          <w:i/>
          <w:lang w:val="en-GB"/>
        </w:rPr>
        <w:t>antecessor</w:t>
      </w:r>
      <w:r w:rsidRPr="00EE5D82">
        <w:rPr>
          <w:lang w:val="en-GB"/>
        </w:rPr>
        <w:t xml:space="preserve"> (Atapuerca) and </w:t>
      </w:r>
      <w:r w:rsidRPr="00EE5D82">
        <w:rPr>
          <w:i/>
          <w:lang w:val="en-GB"/>
        </w:rPr>
        <w:t>Homo</w:t>
      </w:r>
      <w:r w:rsidRPr="00EE5D82">
        <w:rPr>
          <w:lang w:val="en-GB"/>
        </w:rPr>
        <w:t xml:space="preserve"> </w:t>
      </w:r>
      <w:r w:rsidRPr="00EE5D82">
        <w:rPr>
          <w:i/>
          <w:lang w:val="en-GB"/>
        </w:rPr>
        <w:t>erectus</w:t>
      </w:r>
      <w:r w:rsidRPr="00EE5D82">
        <w:rPr>
          <w:lang w:val="en-GB"/>
        </w:rPr>
        <w:t xml:space="preserve"> (Dmanisi) hominins can be found in the supplementary file “Hominin SI File2.txt”), which is formatted as a .fasta file. Full protein sequence alignments used during phylogenetic analysis can be accessed via Figshare (https://doi/10.6084/m9.figshare.9927074). </w:t>
      </w:r>
      <w:r>
        <w:rPr>
          <w:lang w:val="en-GB"/>
        </w:rPr>
        <w:t>Amino acid racemization data is available online t</w:t>
      </w:r>
      <w:r w:rsidRPr="00EE5D82">
        <w:rPr>
          <w:lang w:val="en-GB"/>
        </w:rPr>
        <w:t>hrough the NOAA database. The wiNNer model can be accessed on GitHub (https://github.com/cox-labs/wiNNer.git).</w:t>
      </w:r>
    </w:p>
    <w:p w14:paraId="58F44AF3" w14:textId="77777777" w:rsidR="00245513" w:rsidRDefault="00245513" w:rsidP="00245513">
      <w:pPr>
        <w:spacing w:after="160" w:line="259" w:lineRule="auto"/>
        <w:rPr>
          <w:lang w:val="en-GB"/>
        </w:rPr>
      </w:pPr>
    </w:p>
    <w:p w14:paraId="2EEC2E6F" w14:textId="77777777" w:rsidR="00245513" w:rsidRPr="00464017" w:rsidRDefault="00245513" w:rsidP="00245513">
      <w:pPr>
        <w:pStyle w:val="Heading1"/>
        <w:spacing w:line="480" w:lineRule="auto"/>
        <w:rPr>
          <w:lang w:val="en-GB"/>
        </w:rPr>
      </w:pPr>
      <w:r w:rsidRPr="00464017">
        <w:rPr>
          <w:lang w:val="en-GB"/>
        </w:rPr>
        <w:t>Acknowledgements</w:t>
      </w:r>
    </w:p>
    <w:p w14:paraId="35BE3037" w14:textId="77777777" w:rsidR="00245513" w:rsidRPr="00464017" w:rsidRDefault="00245513" w:rsidP="00245513">
      <w:pPr>
        <w:spacing w:line="480" w:lineRule="auto"/>
        <w:jc w:val="both"/>
        <w:rPr>
          <w:lang w:val="en-GB"/>
        </w:rPr>
      </w:pPr>
      <w:r w:rsidRPr="00464017">
        <w:rPr>
          <w:lang w:val="en-GB"/>
        </w:rPr>
        <w:t>F.W. is support</w:t>
      </w:r>
      <w:r>
        <w:rPr>
          <w:lang w:val="en-GB"/>
        </w:rPr>
        <w:t xml:space="preserve">ed by a Marie Skłodowska Curie </w:t>
      </w:r>
      <w:r w:rsidRPr="00464017">
        <w:rPr>
          <w:lang w:val="en-GB"/>
        </w:rPr>
        <w:t>Individual Fellowship (#7955</w:t>
      </w:r>
      <w:r>
        <w:rPr>
          <w:lang w:val="en-GB"/>
        </w:rPr>
        <w:t xml:space="preserve">69). </w:t>
      </w:r>
      <w:r w:rsidRPr="00464017">
        <w:rPr>
          <w:lang w:val="en-GB"/>
        </w:rPr>
        <w:t xml:space="preserve">E.C. </w:t>
      </w:r>
      <w:r>
        <w:rPr>
          <w:lang w:val="en-GB"/>
        </w:rPr>
        <w:t xml:space="preserve">was supported by </w:t>
      </w:r>
      <w:r w:rsidRPr="00464017">
        <w:rPr>
          <w:lang w:val="en-GB"/>
        </w:rPr>
        <w:t xml:space="preserve">VILLUM </w:t>
      </w:r>
      <w:r>
        <w:rPr>
          <w:lang w:val="en-GB"/>
        </w:rPr>
        <w:t>FONDEN (#17649)</w:t>
      </w:r>
      <w:r w:rsidRPr="008F1347">
        <w:rPr>
          <w:lang w:val="en-GB"/>
        </w:rPr>
        <w:t>. E.W. is supported by the Lundbeck Foundation, the Danish National Research Foundation, the Novo Nordisk Foundation, the Carlsberg Foundation, KU2016 and the Wellcome Trust.</w:t>
      </w:r>
      <w:r>
        <w:rPr>
          <w:lang w:val="en-GB"/>
        </w:rPr>
        <w:t xml:space="preserve"> </w:t>
      </w:r>
      <w:r w:rsidRPr="00464017">
        <w:rPr>
          <w:lang w:val="en-GB"/>
        </w:rPr>
        <w:t xml:space="preserve">Without the effort of the members of the Atapuerca Research Team during fieldwork, this work would have not been possible. We would like to make a special mention to Dr. Jordi Rosell, who supervises the excavation </w:t>
      </w:r>
      <w:r w:rsidRPr="00464017">
        <w:rPr>
          <w:lang w:val="en-GB"/>
        </w:rPr>
        <w:lastRenderedPageBreak/>
        <w:t xml:space="preserve">of the TD6 level. The research of the Atapuerca Project has been supported by the Dirección General de Investigación of the Spanish Ministry </w:t>
      </w:r>
      <w:r>
        <w:rPr>
          <w:lang w:val="en-GB"/>
        </w:rPr>
        <w:t xml:space="preserve">of </w:t>
      </w:r>
      <w:r w:rsidRPr="00464017">
        <w:rPr>
          <w:lang w:val="en-GB"/>
        </w:rPr>
        <w:t>Science, Innovation, and University (grant numbers PGC2018-093925-B-C31, C32, and C33), whereas field seasons are supported by the Consejería de Cultura y Turismo of the Junta de Castilla y León and the Fundación Atapuerca. We acknowledge The Leakey Foundation through the personal support of Gordon Getty (2013) and Dub Crook (2014, 2015, 2016, 2018, and 2019) to M.M.-T</w:t>
      </w:r>
      <w:r>
        <w:rPr>
          <w:lang w:val="en-GB"/>
        </w:rPr>
        <w:t>.</w:t>
      </w:r>
      <w:r w:rsidRPr="00464017">
        <w:rPr>
          <w:lang w:val="en-GB"/>
        </w:rPr>
        <w:t>, as well as F.W. (2017). Restoration and conservation works on the material have been carried out by Pilar Fernández-Colón and Elena Lacasa from the Conservation and Restoration Area of CENIEH-ICTS (Burgos, Spain) and Lucía López-Polín from IPHES (Tarragona, Spain). The picture of the specimen ATD6-92 was made by Mario Modesto-Mata. E.C., J.C., J.V.O</w:t>
      </w:r>
      <w:r>
        <w:rPr>
          <w:lang w:val="en-GB"/>
        </w:rPr>
        <w:t>.</w:t>
      </w:r>
      <w:r w:rsidRPr="00464017">
        <w:rPr>
          <w:lang w:val="en-GB"/>
        </w:rPr>
        <w:t xml:space="preserve"> and P.Gu. are supported by the Marie Skłodowska-Curie European Training Network (ETN) TEMPERA, a project</w:t>
      </w:r>
      <w:r>
        <w:rPr>
          <w:lang w:val="en-GB"/>
        </w:rPr>
        <w:t xml:space="preserve"> funded by the European Union’s </w:t>
      </w:r>
      <w:r w:rsidRPr="00464017">
        <w:rPr>
          <w:lang w:val="en-GB"/>
        </w:rPr>
        <w:t xml:space="preserve">Framework Program for Research and Innovation Horizon 2020 (Grant Agreement </w:t>
      </w:r>
      <w:r>
        <w:rPr>
          <w:lang w:val="en-GB"/>
        </w:rPr>
        <w:t xml:space="preserve"> </w:t>
      </w:r>
      <w:r w:rsidRPr="00464017">
        <w:rPr>
          <w:lang w:val="en-GB"/>
        </w:rPr>
        <w:t xml:space="preserve">#722606). </w:t>
      </w:r>
      <w:r w:rsidRPr="00B861A8">
        <w:rPr>
          <w:lang w:val="en-GB"/>
        </w:rPr>
        <w:t>Amino acid analyses were undertaken thanks to the Leverhulme Trust (PLP-2012-116) and NERC (NE/K500987/1).</w:t>
      </w:r>
      <w:r>
        <w:rPr>
          <w:lang w:val="en-GB"/>
        </w:rPr>
        <w:t xml:space="preserve"> </w:t>
      </w:r>
      <w:r w:rsidRPr="00464017">
        <w:rPr>
          <w:lang w:val="en-GB"/>
        </w:rPr>
        <w:t>T</w:t>
      </w:r>
      <w:r>
        <w:rPr>
          <w:lang w:val="en-GB"/>
        </w:rPr>
        <w:t>.</w:t>
      </w:r>
      <w:r w:rsidRPr="00464017">
        <w:rPr>
          <w:lang w:val="en-GB"/>
        </w:rPr>
        <w:t>M</w:t>
      </w:r>
      <w:r>
        <w:rPr>
          <w:lang w:val="en-GB"/>
        </w:rPr>
        <w:t>.</w:t>
      </w:r>
      <w:r w:rsidRPr="00464017">
        <w:rPr>
          <w:lang w:val="en-GB"/>
        </w:rPr>
        <w:t>B</w:t>
      </w:r>
      <w:r>
        <w:rPr>
          <w:lang w:val="en-GB"/>
        </w:rPr>
        <w:t>.</w:t>
      </w:r>
      <w:r w:rsidRPr="00464017">
        <w:rPr>
          <w:lang w:val="en-GB"/>
        </w:rPr>
        <w:t xml:space="preserve"> is supported by BFU2017-86471-P (MINECO/FEDER, UE), U01 MH106874 grant, Howard Hughes International Early Career, Obra Social "La Caixa" and Secretaria d’Universitats i Recerca and CERCA Programme del Departament d’Economia i Coneixement de la Generalitat de Catalunya (GRC 2017 SGR 880).</w:t>
      </w:r>
      <w:r>
        <w:rPr>
          <w:lang w:val="en-GB"/>
        </w:rPr>
        <w:t xml:space="preserve"> </w:t>
      </w:r>
      <w:r w:rsidRPr="001557F2">
        <w:rPr>
          <w:lang w:val="en-GB"/>
        </w:rPr>
        <w:t xml:space="preserve">C.L.-F. is supported by a FEDER-MINECO </w:t>
      </w:r>
      <w:r>
        <w:rPr>
          <w:lang w:val="en-GB"/>
        </w:rPr>
        <w:t xml:space="preserve">grant </w:t>
      </w:r>
      <w:r w:rsidRPr="001557F2">
        <w:rPr>
          <w:lang w:val="en-GB"/>
        </w:rPr>
        <w:t>(PGC2018-095931-B-100)</w:t>
      </w:r>
      <w:r>
        <w:rPr>
          <w:lang w:val="en-GB"/>
        </w:rPr>
        <w:t xml:space="preserve">. </w:t>
      </w:r>
      <w:r w:rsidRPr="00464017">
        <w:rPr>
          <w:lang w:val="en-GB"/>
        </w:rPr>
        <w:t>M</w:t>
      </w:r>
      <w:r>
        <w:rPr>
          <w:lang w:val="en-GB"/>
        </w:rPr>
        <w:t>.</w:t>
      </w:r>
      <w:r w:rsidRPr="00464017">
        <w:rPr>
          <w:lang w:val="en-GB"/>
        </w:rPr>
        <w:t>K</w:t>
      </w:r>
      <w:r>
        <w:rPr>
          <w:lang w:val="en-GB"/>
        </w:rPr>
        <w:t>.</w:t>
      </w:r>
      <w:r w:rsidRPr="00464017">
        <w:rPr>
          <w:lang w:val="en-GB"/>
        </w:rPr>
        <w:t xml:space="preserve"> was supported by the Postdoctoral Junior Leader Fellowship Programme from “la Caixa” Banking Foundation (LCF/BQ/PR19/11700002). M.M. is supported by the Danish National Research Foundation award PROTEIOS (DNRF128). Work at the Novo Nordisk Foundation Center for Protein Research is funded in part by a donation from the Novo Nordisk Foundation (Grant number NNF14CC0001). The CRG/UPF Proteomics Unit is part of the Spanish Infrastructure for Omics Technologies (ICTS OmicsTech) and it is a member of the ProteoRed PRB3 consortium which is supported by grant PT17/0019 of the PE I+D+i 2013-2016 from the Instituto de Salud Carlos III (ISCIII) and ERDF. We acknowledge support from the Spanish Ministry of Science, Innovation and Universities, “Centro de Excelencia Severo Ochoa 2013-2017”, SEV-2012-0208, and “Secretaria d’Universitats i Recerca del Departament d’Economia i Coneixement de la Generalitat de Catalunya” (2017SGR595). D.L. </w:t>
      </w:r>
      <w:r w:rsidRPr="00464017">
        <w:rPr>
          <w:lang w:val="en-GB"/>
        </w:rPr>
        <w:lastRenderedPageBreak/>
        <w:t xml:space="preserve">and A.M. are supported by </w:t>
      </w:r>
      <w:r w:rsidRPr="00CE5001">
        <w:rPr>
          <w:lang w:val="en-GB"/>
        </w:rPr>
        <w:t>the John Templeton Foundation (</w:t>
      </w:r>
      <w:r>
        <w:rPr>
          <w:lang w:val="en-GB"/>
        </w:rPr>
        <w:t>#</w:t>
      </w:r>
      <w:r w:rsidRPr="00CE5001">
        <w:rPr>
          <w:lang w:val="en-GB"/>
        </w:rPr>
        <w:t>52935)</w:t>
      </w:r>
      <w:r>
        <w:rPr>
          <w:lang w:val="en-GB"/>
        </w:rPr>
        <w:t xml:space="preserve"> and</w:t>
      </w:r>
      <w:r w:rsidRPr="00CE5001">
        <w:rPr>
          <w:lang w:val="en-GB"/>
        </w:rPr>
        <w:t xml:space="preserve"> </w:t>
      </w:r>
      <w:r>
        <w:rPr>
          <w:lang w:val="en-GB"/>
        </w:rPr>
        <w:t xml:space="preserve">by the </w:t>
      </w:r>
      <w:r w:rsidRPr="00464017">
        <w:rPr>
          <w:lang w:val="en-GB"/>
        </w:rPr>
        <w:t>Shota Rustaveli National Science Foundation (FR18-27262).</w:t>
      </w:r>
      <w:r>
        <w:rPr>
          <w:lang w:val="en-GB"/>
        </w:rPr>
        <w:t xml:space="preserve"> We thank M.L. Schjellerup J</w:t>
      </w:r>
      <w:r>
        <w:rPr>
          <w:rFonts w:cstheme="minorHAnsi"/>
          <w:lang w:val="en-GB"/>
        </w:rPr>
        <w:t>ø</w:t>
      </w:r>
      <w:r>
        <w:rPr>
          <w:lang w:val="en-GB"/>
        </w:rPr>
        <w:t xml:space="preserve">rkov for providing specimen </w:t>
      </w:r>
      <w:r>
        <w:rPr>
          <w:rFonts w:cstheme="minorHAnsi"/>
          <w:lang w:val="en-GB"/>
        </w:rPr>
        <w:t>Ø</w:t>
      </w:r>
      <w:r>
        <w:rPr>
          <w:lang w:val="en-GB"/>
        </w:rPr>
        <w:t>1952.</w:t>
      </w:r>
    </w:p>
    <w:p w14:paraId="5C4C8A4A" w14:textId="77777777" w:rsidR="00245513" w:rsidRPr="00464017" w:rsidRDefault="00245513" w:rsidP="00245513">
      <w:pPr>
        <w:spacing w:line="480" w:lineRule="auto"/>
        <w:rPr>
          <w:lang w:val="en-GB"/>
        </w:rPr>
      </w:pPr>
    </w:p>
    <w:p w14:paraId="7F6230B1" w14:textId="77777777" w:rsidR="00245513" w:rsidRPr="00464017" w:rsidRDefault="00245513" w:rsidP="00245513">
      <w:pPr>
        <w:pStyle w:val="Heading1"/>
        <w:spacing w:line="480" w:lineRule="auto"/>
        <w:rPr>
          <w:lang w:val="en-GB"/>
        </w:rPr>
      </w:pPr>
      <w:r w:rsidRPr="00464017">
        <w:rPr>
          <w:lang w:val="en-GB"/>
        </w:rPr>
        <w:t>Author Contributions</w:t>
      </w:r>
    </w:p>
    <w:p w14:paraId="74F2E125" w14:textId="77777777" w:rsidR="00245513" w:rsidRPr="00464017" w:rsidRDefault="00245513" w:rsidP="00245513">
      <w:pPr>
        <w:spacing w:line="480" w:lineRule="auto"/>
        <w:jc w:val="both"/>
        <w:rPr>
          <w:lang w:val="en-GB"/>
        </w:rPr>
      </w:pPr>
      <w:r w:rsidRPr="00464017">
        <w:rPr>
          <w:lang w:val="en-GB"/>
        </w:rPr>
        <w:t xml:space="preserve">E.C., </w:t>
      </w:r>
      <w:r>
        <w:rPr>
          <w:lang w:val="en-GB"/>
        </w:rPr>
        <w:t xml:space="preserve">E.W., </w:t>
      </w:r>
      <w:r w:rsidRPr="00464017">
        <w:rPr>
          <w:lang w:val="en-GB"/>
        </w:rPr>
        <w:t xml:space="preserve">J.M.B. de C., </w:t>
      </w:r>
      <w:r>
        <w:rPr>
          <w:lang w:val="en-GB"/>
        </w:rPr>
        <w:t xml:space="preserve">D.L., </w:t>
      </w:r>
      <w:r w:rsidRPr="00464017">
        <w:rPr>
          <w:lang w:val="en-GB"/>
        </w:rPr>
        <w:t>C.L.-F.</w:t>
      </w:r>
      <w:r>
        <w:rPr>
          <w:lang w:val="en-GB"/>
        </w:rPr>
        <w:t xml:space="preserve"> </w:t>
      </w:r>
      <w:r w:rsidRPr="00464017">
        <w:rPr>
          <w:lang w:val="en-GB"/>
        </w:rPr>
        <w:t xml:space="preserve">and F.W. designed the study. E.C., M.M., F.W., J.R.-M., R.R.J.-C., M.R.D., C.C., M.deM. performed experiments. </w:t>
      </w:r>
      <w:r>
        <w:rPr>
          <w:lang w:val="en-GB"/>
        </w:rPr>
        <w:t xml:space="preserve">E.C., </w:t>
      </w:r>
      <w:r w:rsidRPr="00464017">
        <w:rPr>
          <w:lang w:val="en-GB"/>
        </w:rPr>
        <w:t xml:space="preserve">A.M., J.L.A., Eu.C., </w:t>
      </w:r>
      <w:r>
        <w:rPr>
          <w:lang w:val="en-GB"/>
        </w:rPr>
        <w:t xml:space="preserve">P.Ge., </w:t>
      </w:r>
      <w:r w:rsidRPr="00464017">
        <w:rPr>
          <w:lang w:val="en-GB"/>
        </w:rPr>
        <w:t>E.S., J.C., J.V.O., T.M.-B., D.L., provided material, reagents, or research infrastructure. F.W., J.R.-M., P.Gu.,</w:t>
      </w:r>
      <w:r>
        <w:rPr>
          <w:lang w:val="en-GB"/>
        </w:rPr>
        <w:t xml:space="preserve"> S.T., </w:t>
      </w:r>
      <w:r w:rsidRPr="00464017">
        <w:rPr>
          <w:lang w:val="en-GB"/>
        </w:rPr>
        <w:t>E.C., F.R., M.M.-T., J.M.B. de C., M.K., M.R.D., C.L.-F. and K.P. analy</w:t>
      </w:r>
      <w:r>
        <w:rPr>
          <w:lang w:val="en-GB"/>
        </w:rPr>
        <w:t>s</w:t>
      </w:r>
      <w:r w:rsidRPr="00464017">
        <w:rPr>
          <w:lang w:val="en-GB"/>
        </w:rPr>
        <w:t>ed data. F.W., E.C., and J.M.B. de C. wrote the manuscript with input from all other authors.</w:t>
      </w:r>
    </w:p>
    <w:p w14:paraId="24B4498B" w14:textId="77777777" w:rsidR="00245513" w:rsidRPr="00464017" w:rsidRDefault="00245513" w:rsidP="00245513">
      <w:pPr>
        <w:spacing w:line="480" w:lineRule="auto"/>
        <w:rPr>
          <w:lang w:val="en-GB"/>
        </w:rPr>
      </w:pPr>
    </w:p>
    <w:p w14:paraId="33763223" w14:textId="77777777" w:rsidR="00245513" w:rsidRPr="00464017" w:rsidRDefault="00245513" w:rsidP="00245513">
      <w:pPr>
        <w:pStyle w:val="Heading1"/>
        <w:spacing w:line="480" w:lineRule="auto"/>
        <w:rPr>
          <w:lang w:val="en-GB"/>
        </w:rPr>
      </w:pPr>
      <w:r w:rsidRPr="00464017">
        <w:rPr>
          <w:lang w:val="en-GB"/>
        </w:rPr>
        <w:t>Author Information</w:t>
      </w:r>
    </w:p>
    <w:p w14:paraId="586E3DFB" w14:textId="77777777" w:rsidR="00245513" w:rsidRPr="00464017" w:rsidRDefault="00245513" w:rsidP="00245513">
      <w:pPr>
        <w:spacing w:line="480" w:lineRule="auto"/>
        <w:rPr>
          <w:lang w:val="en-GB"/>
        </w:rPr>
      </w:pPr>
      <w:r w:rsidRPr="00464017">
        <w:rPr>
          <w:lang w:val="en-GB"/>
        </w:rPr>
        <w:t>Reprints and permission information is available at www.nature.com/reprints.</w:t>
      </w:r>
    </w:p>
    <w:p w14:paraId="184CBB26" w14:textId="77777777" w:rsidR="00245513" w:rsidRPr="00464017" w:rsidRDefault="00245513" w:rsidP="00245513">
      <w:pPr>
        <w:spacing w:line="480" w:lineRule="auto"/>
        <w:rPr>
          <w:lang w:val="en-GB"/>
        </w:rPr>
      </w:pPr>
      <w:r w:rsidRPr="00464017">
        <w:rPr>
          <w:lang w:val="en-GB"/>
        </w:rPr>
        <w:t>The authors declare no competing financial interests.</w:t>
      </w:r>
    </w:p>
    <w:p w14:paraId="52B46909" w14:textId="77777777" w:rsidR="00245513" w:rsidRDefault="00245513" w:rsidP="00245513">
      <w:pPr>
        <w:spacing w:line="480" w:lineRule="auto"/>
        <w:rPr>
          <w:lang w:val="en-GB"/>
        </w:rPr>
      </w:pPr>
      <w:r w:rsidRPr="00464017">
        <w:rPr>
          <w:lang w:val="en-GB"/>
        </w:rPr>
        <w:t>Correspondence and requests for material should be addressed to E.C.</w:t>
      </w:r>
      <w:r>
        <w:rPr>
          <w:lang w:val="en-GB"/>
        </w:rPr>
        <w:t xml:space="preserve"> (ecappellini@bio.ku.dk),</w:t>
      </w:r>
      <w:r w:rsidRPr="00464017">
        <w:rPr>
          <w:lang w:val="en-GB"/>
        </w:rPr>
        <w:t xml:space="preserve"> J.-M. Bermúdez de Castro</w:t>
      </w:r>
      <w:r>
        <w:rPr>
          <w:lang w:val="en-GB"/>
        </w:rPr>
        <w:t xml:space="preserve"> (josemaria.bermudezdecastro@cenieh.es)</w:t>
      </w:r>
      <w:r w:rsidRPr="00464017">
        <w:rPr>
          <w:lang w:val="en-GB"/>
        </w:rPr>
        <w:t>, F.W. (</w:t>
      </w:r>
      <w:hyperlink r:id="rId11" w:history="1">
        <w:r w:rsidRPr="00464017">
          <w:rPr>
            <w:rStyle w:val="Hyperlink"/>
            <w:lang w:val="en-GB"/>
          </w:rPr>
          <w:t>frido.welker@bio.ku.dk</w:t>
        </w:r>
      </w:hyperlink>
      <w:r w:rsidRPr="00464017">
        <w:rPr>
          <w:lang w:val="en-GB"/>
        </w:rPr>
        <w:t>)</w:t>
      </w:r>
      <w:r>
        <w:rPr>
          <w:lang w:val="en-GB"/>
        </w:rPr>
        <w:t>, or E.W. (</w:t>
      </w:r>
      <w:hyperlink r:id="rId12" w:history="1">
        <w:r w:rsidRPr="00077882">
          <w:rPr>
            <w:rStyle w:val="Hyperlink"/>
            <w:lang w:val="en-GB"/>
          </w:rPr>
          <w:t>ewillerslev@bio.ku.dk</w:t>
        </w:r>
      </w:hyperlink>
      <w:r>
        <w:rPr>
          <w:lang w:val="en-GB"/>
        </w:rPr>
        <w:t>)</w:t>
      </w:r>
      <w:r w:rsidRPr="00464017">
        <w:rPr>
          <w:lang w:val="en-GB"/>
        </w:rPr>
        <w:t>.</w:t>
      </w:r>
    </w:p>
    <w:p w14:paraId="6E2E5C01" w14:textId="77777777" w:rsidR="00245513" w:rsidRPr="00464017" w:rsidRDefault="00245513" w:rsidP="00245513">
      <w:pPr>
        <w:spacing w:line="480" w:lineRule="auto"/>
        <w:rPr>
          <w:lang w:val="en-GB"/>
        </w:rPr>
      </w:pPr>
    </w:p>
    <w:p w14:paraId="038C751F" w14:textId="77777777" w:rsidR="00245513" w:rsidRPr="00464017" w:rsidRDefault="00245513" w:rsidP="00245513">
      <w:pPr>
        <w:pStyle w:val="Heading1"/>
        <w:spacing w:line="480" w:lineRule="auto"/>
        <w:rPr>
          <w:lang w:val="en-GB"/>
        </w:rPr>
      </w:pPr>
      <w:r w:rsidRPr="00464017">
        <w:rPr>
          <w:lang w:val="en-GB"/>
        </w:rPr>
        <w:t>Supplementary Information</w:t>
      </w:r>
    </w:p>
    <w:p w14:paraId="3E75E953" w14:textId="77777777" w:rsidR="00245513" w:rsidRPr="00464017" w:rsidRDefault="00245513" w:rsidP="00245513">
      <w:pPr>
        <w:spacing w:line="480" w:lineRule="auto"/>
        <w:rPr>
          <w:lang w:val="en-GB"/>
        </w:rPr>
      </w:pPr>
      <w:r w:rsidRPr="00464017">
        <w:rPr>
          <w:lang w:val="en-GB"/>
        </w:rPr>
        <w:t>Supplementary information is available in the online version of this article.</w:t>
      </w:r>
    </w:p>
    <w:p w14:paraId="4C84DE6F" w14:textId="77777777" w:rsidR="00245513" w:rsidRPr="00464017" w:rsidRDefault="00245513" w:rsidP="00245513">
      <w:pPr>
        <w:spacing w:line="480" w:lineRule="auto"/>
        <w:rPr>
          <w:lang w:val="en-GB"/>
        </w:rPr>
      </w:pPr>
    </w:p>
    <w:p w14:paraId="20561487" w14:textId="77777777" w:rsidR="00245513" w:rsidRPr="00464017" w:rsidRDefault="00245513" w:rsidP="00245513">
      <w:pPr>
        <w:pStyle w:val="Heading1"/>
        <w:spacing w:line="480" w:lineRule="auto"/>
        <w:rPr>
          <w:lang w:val="en-GB"/>
        </w:rPr>
      </w:pPr>
      <w:r>
        <w:rPr>
          <w:lang w:val="en-GB"/>
        </w:rPr>
        <w:t>EXTENDED DATA TABLE LEGENDS</w:t>
      </w:r>
    </w:p>
    <w:p w14:paraId="215E4E78" w14:textId="77777777" w:rsidR="00245513" w:rsidRDefault="00245513" w:rsidP="00245513">
      <w:pPr>
        <w:spacing w:line="480" w:lineRule="auto"/>
        <w:rPr>
          <w:lang w:val="en-GB"/>
        </w:rPr>
      </w:pPr>
    </w:p>
    <w:p w14:paraId="39F519C0" w14:textId="77777777" w:rsidR="00245513" w:rsidRPr="00464017" w:rsidRDefault="00245513" w:rsidP="00245513">
      <w:pPr>
        <w:spacing w:line="480" w:lineRule="auto"/>
        <w:rPr>
          <w:lang w:val="en-GB"/>
        </w:rPr>
      </w:pPr>
      <w:r w:rsidRPr="00AD5157">
        <w:rPr>
          <w:b/>
          <w:lang w:val="en-GB"/>
        </w:rPr>
        <w:lastRenderedPageBreak/>
        <w:t>Extended Data Table 1. Extraction</w:t>
      </w:r>
      <w:r w:rsidRPr="00464017">
        <w:rPr>
          <w:b/>
          <w:lang w:val="en-GB"/>
        </w:rPr>
        <w:t xml:space="preserve"> and mass spectrometry details of analyses conducted on both</w:t>
      </w:r>
      <w:r>
        <w:rPr>
          <w:b/>
          <w:lang w:val="en-GB"/>
        </w:rPr>
        <w:t xml:space="preserve"> ancient</w:t>
      </w:r>
      <w:r w:rsidRPr="00464017">
        <w:rPr>
          <w:b/>
          <w:lang w:val="en-GB"/>
        </w:rPr>
        <w:t xml:space="preserve"> hominin specimens.</w:t>
      </w:r>
    </w:p>
    <w:p w14:paraId="0AE9B185" w14:textId="77777777" w:rsidR="00245513" w:rsidRDefault="00245513" w:rsidP="00245513">
      <w:pPr>
        <w:spacing w:line="480" w:lineRule="auto"/>
        <w:rPr>
          <w:b/>
          <w:bCs/>
          <w:lang w:val="en-GB"/>
        </w:rPr>
      </w:pPr>
      <w:r w:rsidRPr="3B1ABB18">
        <w:rPr>
          <w:rFonts w:ascii="Calibri" w:eastAsia="Calibri" w:hAnsi="Calibri" w:cs="Calibri"/>
          <w:lang w:val="en-GB"/>
        </w:rPr>
        <w:t>QE-HF = Q Exactive</w:t>
      </w:r>
      <w:r w:rsidRPr="3B1ABB18">
        <w:rPr>
          <w:rFonts w:ascii="Calibri" w:eastAsia="Calibri" w:hAnsi="Calibri" w:cs="Calibri"/>
          <w:vertAlign w:val="superscript"/>
          <w:lang w:val="en-GB"/>
        </w:rPr>
        <w:t>TM</w:t>
      </w:r>
      <w:r w:rsidRPr="3B1ABB18">
        <w:rPr>
          <w:rFonts w:ascii="Calibri" w:eastAsia="Calibri" w:hAnsi="Calibri" w:cs="Calibri"/>
          <w:lang w:val="en-GB"/>
        </w:rPr>
        <w:t xml:space="preserve"> HF hybrid quadrupole-Orbitrap mass spectrometer (Thermo Fisher Scientific). Fusion Lumos = LTQ-Orbitrap Fusion Lumos mass spectrometer (Thermo Fisher Scientific).</w:t>
      </w:r>
    </w:p>
    <w:p w14:paraId="424BFBD4" w14:textId="77777777" w:rsidR="00245513" w:rsidRDefault="00245513" w:rsidP="00245513">
      <w:pPr>
        <w:spacing w:line="480" w:lineRule="auto"/>
        <w:rPr>
          <w:lang w:val="en-GB"/>
        </w:rPr>
      </w:pPr>
      <w:r w:rsidRPr="3B1ABB18">
        <w:rPr>
          <w:rFonts w:ascii="Arial" w:hAnsi="Arial" w:cs="Arial"/>
          <w:sz w:val="14"/>
          <w:szCs w:val="14"/>
          <w:vertAlign w:val="superscript"/>
          <w:lang w:val="en-GB"/>
        </w:rPr>
        <w:t>*</w:t>
      </w:r>
      <w:r w:rsidRPr="3B1ABB18">
        <w:rPr>
          <w:lang w:val="en-GB"/>
        </w:rPr>
        <w:t>Extraction method 1: demineralization in HCl, no subsequent proteolytic digestion. Extraction method 2: demineralization in HCl, alkylation, and digestion with LysC+Trypsin. Extraction method 3: demineralization in TFA, no subsequent proteolytic digesti</w:t>
      </w:r>
      <w:r>
        <w:rPr>
          <w:lang w:val="en-GB"/>
        </w:rPr>
        <w:t>on. See SI for further details.</w:t>
      </w:r>
    </w:p>
    <w:p w14:paraId="7808DCEA" w14:textId="77777777" w:rsidR="00245513" w:rsidRDefault="00245513" w:rsidP="00245513">
      <w:pPr>
        <w:spacing w:line="480" w:lineRule="auto"/>
        <w:rPr>
          <w:b/>
          <w:lang w:val="en-GB"/>
        </w:rPr>
      </w:pPr>
    </w:p>
    <w:p w14:paraId="070FE23D" w14:textId="77777777" w:rsidR="00245513" w:rsidRPr="006A6B60" w:rsidRDefault="00245513" w:rsidP="00245513">
      <w:pPr>
        <w:spacing w:line="480" w:lineRule="auto"/>
        <w:rPr>
          <w:lang w:val="en-GB"/>
        </w:rPr>
      </w:pPr>
      <w:r w:rsidRPr="00AD5157">
        <w:rPr>
          <w:b/>
          <w:lang w:val="en-GB"/>
        </w:rPr>
        <w:t xml:space="preserve">Extended Data Table </w:t>
      </w:r>
      <w:r w:rsidRPr="006A6B60">
        <w:rPr>
          <w:b/>
          <w:lang w:val="en-GB"/>
        </w:rPr>
        <w:t>2. Ancient hominin enamel proteome composition and coverage.</w:t>
      </w:r>
    </w:p>
    <w:p w14:paraId="076700ED" w14:textId="77777777" w:rsidR="00245513" w:rsidRPr="00464017" w:rsidRDefault="00245513" w:rsidP="00245513">
      <w:pPr>
        <w:spacing w:line="480" w:lineRule="auto"/>
        <w:jc w:val="both"/>
        <w:rPr>
          <w:lang w:val="en-GB" w:eastAsia="da-DK"/>
        </w:rPr>
      </w:pPr>
      <w:r w:rsidRPr="006A6B60">
        <w:rPr>
          <w:lang w:val="en-GB"/>
        </w:rPr>
        <w:t xml:space="preserve">Proteins are included only if two or more unique peptides were observed in either the PEAKS or MaxQuant (MQ) searches. Primary accession refers to the </w:t>
      </w:r>
      <w:r w:rsidRPr="006A6B60">
        <w:rPr>
          <w:i/>
          <w:iCs/>
          <w:lang w:val="en-GB"/>
        </w:rPr>
        <w:t>Homo sapiens</w:t>
      </w:r>
      <w:r w:rsidRPr="006A6B60">
        <w:rPr>
          <w:lang w:val="en-GB"/>
        </w:rPr>
        <w:t xml:space="preserve"> entry in UniProt. </w:t>
      </w:r>
      <w:r w:rsidRPr="006A6B60">
        <w:rPr>
          <w:rFonts w:ascii="Calibri" w:eastAsia="Times New Roman" w:hAnsi="Calibri" w:cs="Calibri"/>
          <w:lang w:val="en-GB" w:eastAsia="da-DK"/>
        </w:rPr>
        <w:t>Protein sequence coverage in the final column indicates the coverage obtained after combining PEAKS and MaxQuant peptide recovery. For coverage (AA) columns, numbers in brackets refer to the number of amino acid positions uniquely identified in PEAKS or MaxQuant searches. For AMELX and AMELY</w:t>
      </w:r>
      <w:r w:rsidRPr="57CBCE7B">
        <w:rPr>
          <w:rFonts w:ascii="Calibri" w:eastAsia="Times New Roman" w:hAnsi="Calibri" w:cs="Calibri"/>
          <w:lang w:val="en-GB" w:eastAsia="da-DK"/>
        </w:rPr>
        <w:t>, coverage statistics combine counts for all isoforms present, while peptide counts only refer to the highest-ranking isoform or database entry. Direct comparisons between PEAKS and MaxQuant are uninformative due to fundamental differences in spectral identification, protein/peptide assignment, and peptide counting approaches. AA = amino acids.</w:t>
      </w:r>
    </w:p>
    <w:p w14:paraId="159B3182" w14:textId="77777777" w:rsidR="00245513" w:rsidRDefault="00245513" w:rsidP="00245513">
      <w:pPr>
        <w:spacing w:line="480" w:lineRule="auto"/>
        <w:jc w:val="both"/>
        <w:rPr>
          <w:lang w:val="en-GB" w:eastAsia="da-DK"/>
        </w:rPr>
      </w:pPr>
      <w:r w:rsidRPr="00464017">
        <w:rPr>
          <w:lang w:val="en-GB" w:eastAsia="da-DK"/>
        </w:rPr>
        <w:t>*Combined coverage calculated against the longest isoforms for each protein.</w:t>
      </w:r>
    </w:p>
    <w:p w14:paraId="7DC6FE8C" w14:textId="77777777" w:rsidR="00245513" w:rsidRPr="00464017" w:rsidRDefault="00245513" w:rsidP="00245513">
      <w:pPr>
        <w:spacing w:line="480" w:lineRule="auto"/>
        <w:jc w:val="both"/>
        <w:rPr>
          <w:lang w:val="en-GB"/>
        </w:rPr>
      </w:pPr>
    </w:p>
    <w:p w14:paraId="56203526" w14:textId="77777777" w:rsidR="00245513" w:rsidRPr="00464017" w:rsidRDefault="00245513" w:rsidP="00245513">
      <w:pPr>
        <w:pStyle w:val="Heading1"/>
        <w:spacing w:line="480" w:lineRule="auto"/>
        <w:rPr>
          <w:lang w:val="en-GB"/>
        </w:rPr>
      </w:pPr>
      <w:r>
        <w:rPr>
          <w:lang w:val="en-GB"/>
        </w:rPr>
        <w:t>EXTENDED DATA FIGURE LEGENDS</w:t>
      </w:r>
    </w:p>
    <w:p w14:paraId="2CA3C90C" w14:textId="77777777" w:rsidR="00245513" w:rsidRDefault="00245513" w:rsidP="00245513">
      <w:pPr>
        <w:spacing w:line="480" w:lineRule="auto"/>
        <w:rPr>
          <w:lang w:val="en-GB"/>
        </w:rPr>
      </w:pPr>
    </w:p>
    <w:p w14:paraId="2264ADD3" w14:textId="77777777" w:rsidR="00245513" w:rsidRPr="00464017" w:rsidRDefault="00245513" w:rsidP="00245513">
      <w:pPr>
        <w:spacing w:line="480" w:lineRule="auto"/>
        <w:jc w:val="both"/>
        <w:rPr>
          <w:lang w:val="en-GB"/>
        </w:rPr>
      </w:pPr>
      <w:r w:rsidRPr="007534ED">
        <w:rPr>
          <w:b/>
          <w:bCs/>
          <w:lang w:val="en-GB"/>
        </w:rPr>
        <w:t>Extended Data Figure 1. Location</w:t>
      </w:r>
      <w:r w:rsidRPr="00464017">
        <w:rPr>
          <w:b/>
          <w:bCs/>
          <w:lang w:val="en-GB"/>
        </w:rPr>
        <w:t xml:space="preserve"> and stratigraphy of the hominin fossils studied.</w:t>
      </w:r>
      <w:r w:rsidRPr="00464017">
        <w:rPr>
          <w:lang w:val="en-GB"/>
        </w:rPr>
        <w:t xml:space="preserve"> </w:t>
      </w:r>
      <w:r w:rsidRPr="00464017">
        <w:rPr>
          <w:b/>
          <w:bCs/>
          <w:lang w:val="en-GB"/>
        </w:rPr>
        <w:t>a,</w:t>
      </w:r>
      <w:r w:rsidRPr="00464017">
        <w:rPr>
          <w:lang w:val="en-GB"/>
        </w:rPr>
        <w:t xml:space="preserve"> G</w:t>
      </w:r>
      <w:r>
        <w:rPr>
          <w:lang w:val="en-GB"/>
        </w:rPr>
        <w:t xml:space="preserve">eographic location of Gran Dolina, Sierra de Atapuerca (Spain) </w:t>
      </w:r>
      <w:r w:rsidRPr="00464017">
        <w:rPr>
          <w:lang w:val="en-GB"/>
        </w:rPr>
        <w:t>and Dmanisi</w:t>
      </w:r>
      <w:r>
        <w:rPr>
          <w:lang w:val="en-GB"/>
        </w:rPr>
        <w:t xml:space="preserve"> (Georgia)</w:t>
      </w:r>
      <w:r w:rsidRPr="00464017">
        <w:rPr>
          <w:lang w:val="en-GB"/>
        </w:rPr>
        <w:t>.</w:t>
      </w:r>
      <w:r w:rsidRPr="00B43127">
        <w:rPr>
          <w:lang w:val="en-US"/>
        </w:rPr>
        <w:t xml:space="preserve"> </w:t>
      </w:r>
      <w:r w:rsidRPr="00B43127">
        <w:rPr>
          <w:lang w:val="en-GB"/>
        </w:rPr>
        <w:t>Base map was generated using public domain data from www.naturalearthdata.com.</w:t>
      </w:r>
      <w:r w:rsidRPr="00464017">
        <w:rPr>
          <w:lang w:val="en-GB"/>
        </w:rPr>
        <w:t xml:space="preserve"> </w:t>
      </w:r>
      <w:r w:rsidRPr="00464017">
        <w:rPr>
          <w:b/>
          <w:bCs/>
          <w:lang w:val="en-GB"/>
        </w:rPr>
        <w:t>b,</w:t>
      </w:r>
      <w:r w:rsidRPr="00464017">
        <w:rPr>
          <w:lang w:val="en-GB"/>
        </w:rPr>
        <w:t xml:space="preserve"> Summarized stratigraphic profile of Gran Dolina, </w:t>
      </w:r>
      <w:r>
        <w:rPr>
          <w:lang w:val="en-GB"/>
        </w:rPr>
        <w:t xml:space="preserve">Sierra de </w:t>
      </w:r>
      <w:r w:rsidRPr="00464017">
        <w:rPr>
          <w:lang w:val="en-GB"/>
        </w:rPr>
        <w:t>Atapuerca, including the location of hominin fossils in sublayers “Pep” and “Jordi” of unit TD6.2.</w:t>
      </w:r>
    </w:p>
    <w:p w14:paraId="0B6D30AD" w14:textId="77777777" w:rsidR="00245513" w:rsidRPr="00464017" w:rsidRDefault="00245513" w:rsidP="00245513">
      <w:pPr>
        <w:spacing w:line="480" w:lineRule="auto"/>
        <w:rPr>
          <w:lang w:val="en-GB"/>
        </w:rPr>
      </w:pPr>
    </w:p>
    <w:p w14:paraId="76F11916" w14:textId="77777777" w:rsidR="00245513" w:rsidRPr="00464017" w:rsidRDefault="00245513" w:rsidP="00245513">
      <w:pPr>
        <w:spacing w:line="480" w:lineRule="auto"/>
        <w:jc w:val="both"/>
        <w:rPr>
          <w:lang w:val="en-GB"/>
        </w:rPr>
      </w:pPr>
      <w:r w:rsidRPr="00AD5157">
        <w:rPr>
          <w:b/>
          <w:bCs/>
          <w:lang w:val="en-GB"/>
        </w:rPr>
        <w:t>Extended Data Figur</w:t>
      </w:r>
      <w:r>
        <w:rPr>
          <w:b/>
          <w:bCs/>
          <w:lang w:val="en-GB"/>
        </w:rPr>
        <w:t>e 2</w:t>
      </w:r>
      <w:r w:rsidRPr="00AD5157">
        <w:rPr>
          <w:b/>
          <w:bCs/>
          <w:lang w:val="en-GB"/>
        </w:rPr>
        <w:t>. Hominin</w:t>
      </w:r>
      <w:r w:rsidRPr="00464017">
        <w:rPr>
          <w:b/>
          <w:bCs/>
          <w:lang w:val="en-GB"/>
        </w:rPr>
        <w:t xml:space="preserve"> </w:t>
      </w:r>
      <w:r>
        <w:rPr>
          <w:b/>
          <w:bCs/>
          <w:lang w:val="en-GB"/>
        </w:rPr>
        <w:t>specimens</w:t>
      </w:r>
      <w:r w:rsidRPr="00464017">
        <w:rPr>
          <w:b/>
          <w:bCs/>
          <w:lang w:val="en-GB"/>
        </w:rPr>
        <w:t xml:space="preserve"> studied.</w:t>
      </w:r>
      <w:r w:rsidRPr="00464017">
        <w:rPr>
          <w:lang w:val="en-GB"/>
        </w:rPr>
        <w:t xml:space="preserve"> </w:t>
      </w:r>
      <w:r w:rsidRPr="00464017">
        <w:rPr>
          <w:b/>
          <w:bCs/>
          <w:lang w:val="en-GB"/>
        </w:rPr>
        <w:t>a,</w:t>
      </w:r>
      <w:r w:rsidRPr="00464017">
        <w:rPr>
          <w:lang w:val="en-GB"/>
        </w:rPr>
        <w:t xml:space="preserve"> </w:t>
      </w:r>
      <w:r>
        <w:rPr>
          <w:lang w:val="en-GB"/>
        </w:rPr>
        <w:t xml:space="preserve">Specimen </w:t>
      </w:r>
      <w:r w:rsidRPr="00464017">
        <w:rPr>
          <w:lang w:val="en-GB"/>
        </w:rPr>
        <w:t xml:space="preserve">ATD6-92 from Gran Dolina, Atapuerca (Spain), in buccal view. The fragment represents a portion of a permanent lower left first or second molar. </w:t>
      </w:r>
      <w:r w:rsidRPr="00464017">
        <w:rPr>
          <w:b/>
          <w:bCs/>
          <w:lang w:val="en-GB"/>
        </w:rPr>
        <w:t>b,</w:t>
      </w:r>
      <w:r w:rsidRPr="00464017">
        <w:rPr>
          <w:lang w:val="en-GB"/>
        </w:rPr>
        <w:t xml:space="preserve"> </w:t>
      </w:r>
      <w:r>
        <w:rPr>
          <w:lang w:val="en-GB"/>
        </w:rPr>
        <w:t>Specimen</w:t>
      </w:r>
      <w:r w:rsidRPr="00464017">
        <w:rPr>
          <w:lang w:val="en-GB"/>
        </w:rPr>
        <w:t xml:space="preserve"> D4163 from Dmanisi (Georgia)</w:t>
      </w:r>
      <w:r>
        <w:rPr>
          <w:lang w:val="en-GB"/>
        </w:rPr>
        <w:t>,</w:t>
      </w:r>
      <w:r w:rsidRPr="00464017">
        <w:rPr>
          <w:lang w:val="en-GB"/>
        </w:rPr>
        <w:t xml:space="preserve"> in occlusal view. The specimen is a fragmented right upper first molar. Note differences in scale bar between </w:t>
      </w:r>
      <w:r w:rsidRPr="00464017">
        <w:rPr>
          <w:b/>
          <w:lang w:val="en-GB"/>
        </w:rPr>
        <w:t>a</w:t>
      </w:r>
      <w:r w:rsidRPr="00464017">
        <w:rPr>
          <w:lang w:val="en-GB"/>
        </w:rPr>
        <w:t xml:space="preserve"> and </w:t>
      </w:r>
      <w:r w:rsidRPr="00464017">
        <w:rPr>
          <w:b/>
          <w:lang w:val="en-GB"/>
        </w:rPr>
        <w:t>b</w:t>
      </w:r>
      <w:r w:rsidRPr="00464017">
        <w:rPr>
          <w:lang w:val="en-GB"/>
        </w:rPr>
        <w:t>.</w:t>
      </w:r>
    </w:p>
    <w:p w14:paraId="1A5C62B2" w14:textId="77777777" w:rsidR="00245513" w:rsidRDefault="00245513" w:rsidP="00245513">
      <w:pPr>
        <w:spacing w:line="480" w:lineRule="auto"/>
        <w:jc w:val="both"/>
        <w:rPr>
          <w:lang w:val="en-GB"/>
        </w:rPr>
      </w:pPr>
    </w:p>
    <w:p w14:paraId="65430A53" w14:textId="77777777" w:rsidR="00245513" w:rsidRPr="00464017" w:rsidRDefault="00245513" w:rsidP="00245513">
      <w:pPr>
        <w:spacing w:line="480" w:lineRule="auto"/>
        <w:jc w:val="both"/>
        <w:rPr>
          <w:lang w:val="en-GB"/>
        </w:rPr>
      </w:pPr>
      <w:r w:rsidRPr="00AD5157">
        <w:rPr>
          <w:b/>
          <w:bCs/>
          <w:lang w:val="en-GB"/>
        </w:rPr>
        <w:t xml:space="preserve">Extended Data Figure </w:t>
      </w:r>
      <w:r>
        <w:rPr>
          <w:b/>
          <w:bCs/>
          <w:lang w:val="en-GB"/>
        </w:rPr>
        <w:t>3</w:t>
      </w:r>
      <w:r w:rsidRPr="00AD5157">
        <w:rPr>
          <w:b/>
          <w:bCs/>
          <w:lang w:val="en-GB"/>
        </w:rPr>
        <w:t>.</w:t>
      </w:r>
      <w:r>
        <w:rPr>
          <w:b/>
          <w:bCs/>
          <w:lang w:val="en-GB"/>
        </w:rPr>
        <w:t xml:space="preserve"> Amino acid racemization of D4163 (</w:t>
      </w:r>
      <w:r w:rsidRPr="57CBCE7B">
        <w:rPr>
          <w:b/>
          <w:bCs/>
          <w:i/>
          <w:iCs/>
          <w:lang w:val="en-GB"/>
        </w:rPr>
        <w:t xml:space="preserve">Homo erectus </w:t>
      </w:r>
      <w:r>
        <w:rPr>
          <w:b/>
          <w:bCs/>
          <w:lang w:val="en-GB"/>
        </w:rPr>
        <w:t>from Dmanisi).</w:t>
      </w:r>
      <w:r w:rsidRPr="57CBCE7B">
        <w:rPr>
          <w:lang w:val="en-GB"/>
        </w:rPr>
        <w:t xml:space="preserve"> The extent of intra-crystalline racemization in enamel for the free amino acid (FAA, x-axis) fraction and the total hydrolysable amino acids (THAA, y-axis) fraction for aspartic acid plus asparagine (here denoted Asx, </w:t>
      </w:r>
      <w:r w:rsidRPr="00B628A5">
        <w:rPr>
          <w:b/>
          <w:bCs/>
          <w:lang w:val="en-GB"/>
        </w:rPr>
        <w:t>a</w:t>
      </w:r>
      <w:r w:rsidRPr="57CBCE7B">
        <w:rPr>
          <w:lang w:val="en-GB"/>
        </w:rPr>
        <w:t xml:space="preserve">), and glutamic acid plus glutamine (here denoted Glx, </w:t>
      </w:r>
      <w:r w:rsidRPr="00B628A5">
        <w:rPr>
          <w:b/>
          <w:bCs/>
          <w:lang w:val="en-GB"/>
        </w:rPr>
        <w:t>b</w:t>
      </w:r>
      <w:r w:rsidRPr="57CBCE7B">
        <w:rPr>
          <w:lang w:val="en-GB"/>
        </w:rPr>
        <w:t xml:space="preserve">), demonstrates endogenous amino acids breaking down within a closed system. </w:t>
      </w:r>
      <w:r w:rsidRPr="00B861A8">
        <w:rPr>
          <w:lang w:val="en-GB"/>
        </w:rPr>
        <w:t>The hominin value is displayed in relation to values for enamel sample</w:t>
      </w:r>
      <w:r>
        <w:rPr>
          <w:lang w:val="en-GB"/>
        </w:rPr>
        <w:t>s from other fauna from Dmanisi</w:t>
      </w:r>
      <w:r>
        <w:rPr>
          <w:rStyle w:val="Style1Char"/>
        </w:rPr>
        <w:t>6</w:t>
      </w:r>
      <w:r w:rsidRPr="00B861A8">
        <w:rPr>
          <w:lang w:val="en-GB"/>
        </w:rPr>
        <w:t xml:space="preserve"> (blue </w:t>
      </w:r>
      <w:r w:rsidRPr="006A6B60">
        <w:rPr>
          <w:lang w:val="en-GB"/>
        </w:rPr>
        <w:t>squares) and a range of UK Pleistocene and Pliocene Proboscidea obtained previously</w:t>
      </w:r>
      <w:r w:rsidRPr="00953AEC">
        <w:rPr>
          <w:rStyle w:val="Style1Char"/>
        </w:rPr>
        <w:t>37</w:t>
      </w:r>
      <w:r w:rsidRPr="006A6B60">
        <w:rPr>
          <w:lang w:val="en-GB"/>
        </w:rPr>
        <w:t xml:space="preserve"> (grey diamonds</w:t>
      </w:r>
      <w:r w:rsidRPr="00B861A8">
        <w:rPr>
          <w:lang w:val="en-GB"/>
        </w:rPr>
        <w:t>). Fauna species are shown for comparison, but different rates in their protein breakdown mean that they will show different extents of racemization. Note differences in x- and y-axis scales.</w:t>
      </w:r>
    </w:p>
    <w:p w14:paraId="57EFECD0" w14:textId="77777777" w:rsidR="00245513" w:rsidRPr="00464017" w:rsidRDefault="00245513" w:rsidP="00245513">
      <w:pPr>
        <w:spacing w:line="480" w:lineRule="auto"/>
        <w:rPr>
          <w:lang w:val="en-GB"/>
        </w:rPr>
      </w:pPr>
    </w:p>
    <w:p w14:paraId="2A5CDF86" w14:textId="77777777" w:rsidR="00245513" w:rsidRPr="00464017" w:rsidRDefault="00245513" w:rsidP="00245513">
      <w:pPr>
        <w:spacing w:line="480" w:lineRule="auto"/>
        <w:jc w:val="both"/>
        <w:rPr>
          <w:b/>
          <w:bCs/>
          <w:lang w:val="en-GB"/>
        </w:rPr>
      </w:pPr>
      <w:r w:rsidRPr="00AD5157">
        <w:rPr>
          <w:b/>
          <w:bCs/>
          <w:lang w:val="en-GB"/>
        </w:rPr>
        <w:t xml:space="preserve">Extended Data Figure </w:t>
      </w:r>
      <w:r>
        <w:rPr>
          <w:b/>
          <w:bCs/>
          <w:lang w:val="en-GB"/>
        </w:rPr>
        <w:t>4</w:t>
      </w:r>
      <w:r w:rsidRPr="00AD5157">
        <w:rPr>
          <w:b/>
          <w:bCs/>
          <w:lang w:val="en-GB"/>
        </w:rPr>
        <w:t xml:space="preserve">. </w:t>
      </w:r>
      <w:r w:rsidRPr="00464017">
        <w:rPr>
          <w:b/>
          <w:bCs/>
          <w:lang w:val="en-GB"/>
        </w:rPr>
        <w:t xml:space="preserve">Sequence coverage for five enamel-specific proteins </w:t>
      </w:r>
      <w:r>
        <w:rPr>
          <w:b/>
          <w:bCs/>
          <w:lang w:val="en-GB"/>
        </w:rPr>
        <w:t>across Pleistocene samples and recent human controls.</w:t>
      </w:r>
      <w:r w:rsidRPr="57CBCE7B">
        <w:rPr>
          <w:lang w:val="en-GB"/>
        </w:rPr>
        <w:t xml:space="preserve"> For each protein, the bars span protein positions covered, with positions remapped to the human reference proteome. The top row indicates the position of a selection of known MMP20 and KLK4 cleavage products of the enamel-specific proteins AMELX</w:t>
      </w:r>
      <w:r w:rsidRPr="00953AEC">
        <w:rPr>
          <w:rStyle w:val="Style1Char"/>
        </w:rPr>
        <w:t>52</w:t>
      </w:r>
      <w:r w:rsidRPr="57CBCE7B">
        <w:rPr>
          <w:lang w:val="en-GB"/>
        </w:rPr>
        <w:t>, AMBN</w:t>
      </w:r>
      <w:r w:rsidRPr="00953AEC">
        <w:rPr>
          <w:rStyle w:val="Style1Char"/>
        </w:rPr>
        <w:t>49</w:t>
      </w:r>
      <w:r w:rsidRPr="57CBCE7B">
        <w:rPr>
          <w:lang w:val="en-GB"/>
        </w:rPr>
        <w:t>, and ENAM</w:t>
      </w:r>
      <w:r w:rsidRPr="00953AEC">
        <w:rPr>
          <w:rStyle w:val="Style1Char"/>
        </w:rPr>
        <w:t>53</w:t>
      </w:r>
      <w:r w:rsidRPr="57CBCE7B">
        <w:rPr>
          <w:lang w:val="en-GB"/>
        </w:rPr>
        <w:t xml:space="preserve">. </w:t>
      </w:r>
      <w:r>
        <w:rPr>
          <w:lang w:val="en-GB"/>
        </w:rPr>
        <w:t xml:space="preserve">Several </w:t>
      </w:r>
      <w:r w:rsidRPr="00707D31">
        <w:rPr>
          <w:i/>
          <w:lang w:val="en-GB"/>
        </w:rPr>
        <w:t>in vivo</w:t>
      </w:r>
      <w:r>
        <w:rPr>
          <w:lang w:val="en-GB"/>
        </w:rPr>
        <w:t xml:space="preserve"> proteolytic degradation fragments of ENAM share the same N-terminus, but have unknown C-</w:t>
      </w:r>
      <w:r w:rsidRPr="00707D31">
        <w:rPr>
          <w:lang w:val="en-GB"/>
        </w:rPr>
        <w:t>termini</w:t>
      </w:r>
      <w:r w:rsidRPr="00707D31">
        <w:rPr>
          <w:rStyle w:val="Style1Char"/>
        </w:rPr>
        <w:t>50</w:t>
      </w:r>
      <w:r w:rsidRPr="00707D31">
        <w:rPr>
          <w:lang w:val="en-GB"/>
        </w:rPr>
        <w:t>.</w:t>
      </w:r>
      <w:r>
        <w:rPr>
          <w:lang w:val="en-GB"/>
        </w:rPr>
        <w:t xml:space="preserve"> Dotted line for AMBN </w:t>
      </w:r>
      <w:r w:rsidRPr="57CBCE7B">
        <w:rPr>
          <w:lang w:val="en-GB"/>
        </w:rPr>
        <w:t>indicate</w:t>
      </w:r>
      <w:r>
        <w:rPr>
          <w:lang w:val="en-GB"/>
        </w:rPr>
        <w:t>s a putative cleavage product</w:t>
      </w:r>
      <w:r w:rsidRPr="57CBCE7B">
        <w:rPr>
          <w:lang w:val="en-GB"/>
        </w:rPr>
        <w:t xml:space="preserve"> based on known MMP20 (squares) and KLK4 (circles) </w:t>
      </w:r>
      <w:r w:rsidRPr="23FAC48D">
        <w:rPr>
          <w:i/>
          <w:iCs/>
          <w:lang w:val="en-GB"/>
        </w:rPr>
        <w:t>in vivo</w:t>
      </w:r>
      <w:r>
        <w:rPr>
          <w:lang w:val="en-GB"/>
        </w:rPr>
        <w:t xml:space="preserve"> cleavage positions. For AMTN, </w:t>
      </w:r>
      <w:r w:rsidRPr="57CBCE7B">
        <w:rPr>
          <w:lang w:val="en-GB"/>
        </w:rPr>
        <w:t xml:space="preserve">serines </w:t>
      </w:r>
      <w:r>
        <w:rPr>
          <w:lang w:val="en-GB"/>
        </w:rPr>
        <w:t xml:space="preserve">(S) </w:t>
      </w:r>
      <w:r w:rsidRPr="57CBCE7B">
        <w:rPr>
          <w:lang w:val="en-GB"/>
        </w:rPr>
        <w:t xml:space="preserve">at </w:t>
      </w:r>
      <w:r>
        <w:rPr>
          <w:lang w:val="en-GB"/>
        </w:rPr>
        <w:t>positions 115</w:t>
      </w:r>
      <w:r w:rsidRPr="57CBCE7B">
        <w:rPr>
          <w:lang w:val="en-GB"/>
        </w:rPr>
        <w:t xml:space="preserve"> and 116 </w:t>
      </w:r>
      <w:r>
        <w:rPr>
          <w:lang w:val="en-GB"/>
        </w:rPr>
        <w:t xml:space="preserve">(indicated by asterisks, *) </w:t>
      </w:r>
      <w:r w:rsidRPr="57CBCE7B">
        <w:rPr>
          <w:lang w:val="en-GB"/>
        </w:rPr>
        <w:t>are conserved amongst vertebrates and involved in mineral-binding</w:t>
      </w:r>
      <w:r>
        <w:rPr>
          <w:rStyle w:val="Style1Char"/>
        </w:rPr>
        <w:t>21</w:t>
      </w:r>
      <w:r w:rsidRPr="57CBCE7B">
        <w:rPr>
          <w:lang w:val="en-GB"/>
        </w:rPr>
        <w:t>. Additional cleavage products and MMP20/KLK4 cleavage sites are known in all enam</w:t>
      </w:r>
      <w:r w:rsidRPr="006A6B60">
        <w:rPr>
          <w:lang w:val="en-GB"/>
        </w:rPr>
        <w:t>el-specific proteins. SK339</w:t>
      </w:r>
      <w:r w:rsidRPr="00953AEC">
        <w:rPr>
          <w:noProof/>
          <w:vertAlign w:val="superscript"/>
          <w:lang w:val="en-GB"/>
        </w:rPr>
        <w:t>16</w:t>
      </w:r>
      <w:r w:rsidRPr="006A6B60">
        <w:rPr>
          <w:lang w:val="en-GB"/>
        </w:rPr>
        <w:t xml:space="preserve"> and Ø1952 </w:t>
      </w:r>
      <w:r w:rsidRPr="006A6B60">
        <w:rPr>
          <w:lang w:val="en-GB"/>
        </w:rPr>
        <w:lastRenderedPageBreak/>
        <w:t xml:space="preserve">represent two recent human control samples (see Methods). </w:t>
      </w:r>
      <w:r w:rsidRPr="006A6B60">
        <w:rPr>
          <w:i/>
          <w:iCs/>
          <w:lang w:val="en-GB"/>
        </w:rPr>
        <w:t>Steph</w:t>
      </w:r>
      <w:r w:rsidRPr="57CBCE7B">
        <w:rPr>
          <w:lang w:val="en-GB"/>
        </w:rPr>
        <w:t xml:space="preserve">. = </w:t>
      </w:r>
      <w:r w:rsidRPr="23FAC48D">
        <w:rPr>
          <w:i/>
          <w:iCs/>
          <w:lang w:val="en-GB"/>
        </w:rPr>
        <w:t>Stephanorhinus</w:t>
      </w:r>
      <w:r w:rsidRPr="00953AEC">
        <w:rPr>
          <w:iCs/>
          <w:noProof/>
          <w:vertAlign w:val="superscript"/>
          <w:lang w:val="en-GB"/>
        </w:rPr>
        <w:t>6</w:t>
      </w:r>
      <w:r w:rsidRPr="57CBCE7B">
        <w:rPr>
          <w:lang w:val="en-GB"/>
        </w:rPr>
        <w:t>. TRAP = tyrosine-rich amelogenin polypeptide. AA = amino acids. kDa = kilodalton.</w:t>
      </w:r>
    </w:p>
    <w:p w14:paraId="47F7EA1A" w14:textId="77777777" w:rsidR="00245513" w:rsidRPr="00464017" w:rsidRDefault="00245513" w:rsidP="00245513">
      <w:pPr>
        <w:spacing w:line="480" w:lineRule="auto"/>
        <w:rPr>
          <w:lang w:val="en-GB"/>
        </w:rPr>
      </w:pPr>
    </w:p>
    <w:p w14:paraId="0CDCB9CC" w14:textId="77777777" w:rsidR="00245513" w:rsidRPr="00464017" w:rsidRDefault="00245513" w:rsidP="00245513">
      <w:pPr>
        <w:spacing w:line="480" w:lineRule="auto"/>
        <w:jc w:val="both"/>
        <w:rPr>
          <w:lang w:val="en-GB"/>
        </w:rPr>
      </w:pPr>
      <w:r>
        <w:rPr>
          <w:b/>
          <w:bCs/>
          <w:lang w:val="en-GB"/>
        </w:rPr>
        <w:t>Extended Data Figure 5</w:t>
      </w:r>
      <w:r w:rsidRPr="7D9D0690">
        <w:rPr>
          <w:b/>
          <w:bCs/>
          <w:lang w:val="en-GB"/>
        </w:rPr>
        <w:t xml:space="preserve">. </w:t>
      </w:r>
      <w:r w:rsidRPr="7D9D0690">
        <w:rPr>
          <w:b/>
          <w:bCs/>
          <w:i/>
          <w:iCs/>
          <w:lang w:val="en-GB"/>
        </w:rPr>
        <w:t>Homo antecessor</w:t>
      </w:r>
      <w:r w:rsidRPr="7D9D0690">
        <w:rPr>
          <w:b/>
          <w:bCs/>
          <w:lang w:val="en-GB"/>
        </w:rPr>
        <w:t xml:space="preserve"> specimen ATD6-92 represents a male hominin.</w:t>
      </w:r>
      <w:r w:rsidRPr="7D9D0690">
        <w:rPr>
          <w:lang w:val="en-GB"/>
        </w:rPr>
        <w:t xml:space="preserve"> </w:t>
      </w:r>
      <w:r w:rsidRPr="7D9D0690">
        <w:rPr>
          <w:b/>
          <w:bCs/>
          <w:lang w:val="en-GB"/>
        </w:rPr>
        <w:t>a</w:t>
      </w:r>
      <w:r w:rsidRPr="7D9D0690">
        <w:rPr>
          <w:lang w:val="en-GB"/>
        </w:rPr>
        <w:t xml:space="preserve">, AMELY-specific peptide from the recent human control Ø1952. </w:t>
      </w:r>
      <w:r w:rsidRPr="7D9D0690">
        <w:rPr>
          <w:b/>
          <w:bCs/>
          <w:lang w:val="en-GB"/>
        </w:rPr>
        <w:t>b</w:t>
      </w:r>
      <w:r w:rsidRPr="7D9D0690">
        <w:rPr>
          <w:lang w:val="en-GB"/>
        </w:rPr>
        <w:t xml:space="preserve">, The same AMELY-specific peptide from </w:t>
      </w:r>
      <w:r w:rsidRPr="7D9D0690">
        <w:rPr>
          <w:i/>
          <w:iCs/>
          <w:lang w:val="en-GB"/>
        </w:rPr>
        <w:t>Homo antecessor</w:t>
      </w:r>
      <w:r w:rsidRPr="7D9D0690">
        <w:rPr>
          <w:lang w:val="en-GB"/>
        </w:rPr>
        <w:t xml:space="preserve">. </w:t>
      </w:r>
      <w:r w:rsidRPr="7D9D0690">
        <w:rPr>
          <w:b/>
          <w:bCs/>
          <w:lang w:val="en-GB"/>
        </w:rPr>
        <w:t>c</w:t>
      </w:r>
      <w:r w:rsidRPr="7D9D0690">
        <w:rPr>
          <w:lang w:val="en-GB"/>
        </w:rPr>
        <w:t xml:space="preserve">, Alignment of a selection of AMELY- and AMELX-specific peptide fragment ion series deriving from </w:t>
      </w:r>
      <w:r w:rsidRPr="7D9D0690">
        <w:rPr>
          <w:i/>
          <w:iCs/>
          <w:lang w:val="en-GB"/>
        </w:rPr>
        <w:t>Homo antecessor</w:t>
      </w:r>
      <w:r w:rsidRPr="7D9D0690">
        <w:rPr>
          <w:lang w:val="en-GB"/>
        </w:rPr>
        <w:t xml:space="preserve">. The alignment stretches along AMELX_HUMAN isoform 1, positions 37 to 52 only </w:t>
      </w:r>
      <w:r>
        <w:rPr>
          <w:lang w:val="en-GB"/>
        </w:rPr>
        <w:t xml:space="preserve">(AMELX: </w:t>
      </w:r>
      <w:r w:rsidRPr="7D9D0690">
        <w:rPr>
          <w:lang w:val="en-GB"/>
        </w:rPr>
        <w:t>Uniprot accession Q99217</w:t>
      </w:r>
      <w:r>
        <w:rPr>
          <w:lang w:val="en-GB"/>
        </w:rPr>
        <w:t>; AMELY: Uniprot accession Q99218</w:t>
      </w:r>
      <w:r w:rsidRPr="7D9D0690">
        <w:rPr>
          <w:lang w:val="en-GB"/>
        </w:rPr>
        <w:t>). See Figure S5 for another example of an AMELY-specific MS2 spectrum.</w:t>
      </w:r>
    </w:p>
    <w:p w14:paraId="0AD06C21" w14:textId="77777777" w:rsidR="00245513" w:rsidRPr="00464017" w:rsidRDefault="00245513" w:rsidP="00245513">
      <w:pPr>
        <w:spacing w:line="480" w:lineRule="auto"/>
        <w:rPr>
          <w:lang w:val="en-GB"/>
        </w:rPr>
      </w:pPr>
    </w:p>
    <w:p w14:paraId="78D0D71F" w14:textId="77777777" w:rsidR="00245513" w:rsidRDefault="00245513" w:rsidP="00245513">
      <w:pPr>
        <w:spacing w:line="480" w:lineRule="auto"/>
        <w:jc w:val="both"/>
        <w:rPr>
          <w:lang w:val="en-GB"/>
        </w:rPr>
      </w:pPr>
      <w:r w:rsidRPr="00AD5157">
        <w:rPr>
          <w:b/>
          <w:lang w:val="en-GB"/>
        </w:rPr>
        <w:t xml:space="preserve">Extended Data Figure </w:t>
      </w:r>
      <w:r>
        <w:rPr>
          <w:b/>
          <w:lang w:val="en-GB"/>
        </w:rPr>
        <w:t>6</w:t>
      </w:r>
      <w:r w:rsidRPr="00AD5157">
        <w:rPr>
          <w:b/>
          <w:lang w:val="en-GB"/>
        </w:rPr>
        <w:t>. Enamel</w:t>
      </w:r>
      <w:r w:rsidRPr="00464017">
        <w:rPr>
          <w:b/>
          <w:lang w:val="en-GB"/>
        </w:rPr>
        <w:t xml:space="preserve"> proteome damage.</w:t>
      </w:r>
      <w:r w:rsidRPr="00464017">
        <w:rPr>
          <w:lang w:val="en-GB"/>
        </w:rPr>
        <w:t xml:space="preserve"> </w:t>
      </w:r>
      <w:r>
        <w:rPr>
          <w:lang w:val="en-GB"/>
        </w:rPr>
        <w:t xml:space="preserve">Glutamine (Q) and asparagine (N) deamidation of enamel-specific proteins from </w:t>
      </w:r>
      <w:r w:rsidRPr="004B15BF">
        <w:rPr>
          <w:i/>
          <w:lang w:val="en-GB"/>
        </w:rPr>
        <w:t>Homo</w:t>
      </w:r>
      <w:r>
        <w:rPr>
          <w:lang w:val="en-GB"/>
        </w:rPr>
        <w:t xml:space="preserve"> </w:t>
      </w:r>
      <w:r w:rsidRPr="004B15BF">
        <w:rPr>
          <w:i/>
          <w:lang w:val="en-GB"/>
        </w:rPr>
        <w:t>antecessor</w:t>
      </w:r>
      <w:r w:rsidRPr="004B15BF">
        <w:rPr>
          <w:lang w:val="en-GB"/>
        </w:rPr>
        <w:t xml:space="preserve"> (Atapuerca, </w:t>
      </w:r>
      <w:r w:rsidRPr="004B15BF">
        <w:rPr>
          <w:b/>
          <w:lang w:val="en-GB"/>
        </w:rPr>
        <w:t>a</w:t>
      </w:r>
      <w:r w:rsidRPr="004B15BF">
        <w:rPr>
          <w:lang w:val="en-GB"/>
        </w:rPr>
        <w:t xml:space="preserve">), and </w:t>
      </w:r>
      <w:r w:rsidRPr="004B15BF">
        <w:rPr>
          <w:i/>
          <w:lang w:val="en-GB"/>
        </w:rPr>
        <w:t>Homo</w:t>
      </w:r>
      <w:r w:rsidRPr="004B15BF">
        <w:rPr>
          <w:lang w:val="en-GB"/>
        </w:rPr>
        <w:t xml:space="preserve"> </w:t>
      </w:r>
      <w:r w:rsidRPr="004B15BF">
        <w:rPr>
          <w:i/>
          <w:lang w:val="en-GB"/>
        </w:rPr>
        <w:t>erectus</w:t>
      </w:r>
      <w:r w:rsidRPr="004B15BF">
        <w:rPr>
          <w:lang w:val="en-GB"/>
        </w:rPr>
        <w:t xml:space="preserve"> (Dmanisi, </w:t>
      </w:r>
      <w:r w:rsidRPr="004B15BF">
        <w:rPr>
          <w:b/>
          <w:lang w:val="en-GB"/>
        </w:rPr>
        <w:t>b</w:t>
      </w:r>
      <w:r w:rsidRPr="004B15BF">
        <w:rPr>
          <w:lang w:val="en-GB"/>
        </w:rPr>
        <w:t xml:space="preserve">). </w:t>
      </w:r>
      <w:r>
        <w:rPr>
          <w:lang w:val="en-GB"/>
        </w:rPr>
        <w:t xml:space="preserve">Values based on 1,000 bootstrap replications of protein deamidation. </w:t>
      </w:r>
      <w:r w:rsidRPr="00464017">
        <w:rPr>
          <w:b/>
          <w:lang w:val="en-GB"/>
        </w:rPr>
        <w:t>c,</w:t>
      </w:r>
      <w:r w:rsidRPr="00464017">
        <w:rPr>
          <w:lang w:val="en-GB"/>
        </w:rPr>
        <w:t xml:space="preserve"> Relation between</w:t>
      </w:r>
      <w:r>
        <w:rPr>
          <w:lang w:val="en-GB"/>
        </w:rPr>
        <w:t xml:space="preserve"> mean</w:t>
      </w:r>
      <w:r w:rsidRPr="00464017">
        <w:rPr>
          <w:lang w:val="en-GB"/>
        </w:rPr>
        <w:t xml:space="preserve"> asparagine (N) and glutamine (Q) deamidation for all proteins in both the Atapuerca and Dmanisi hominin datasets. Error bars represent 95% CI interval window of 1</w:t>
      </w:r>
      <w:r>
        <w:rPr>
          <w:lang w:val="en-GB"/>
        </w:rPr>
        <w:t>,</w:t>
      </w:r>
      <w:r w:rsidRPr="00464017">
        <w:rPr>
          <w:lang w:val="en-GB"/>
        </w:rPr>
        <w:t>000 bootstrap replications</w:t>
      </w:r>
      <w:r>
        <w:rPr>
          <w:lang w:val="en-GB"/>
        </w:rPr>
        <w:t xml:space="preserve"> of protein deamidation</w:t>
      </w:r>
      <w:r w:rsidRPr="00464017">
        <w:rPr>
          <w:lang w:val="en-GB"/>
        </w:rPr>
        <w:t xml:space="preserve">. Dashed line </w:t>
      </w:r>
      <w:r>
        <w:rPr>
          <w:lang w:val="en-GB"/>
        </w:rPr>
        <w:t xml:space="preserve">is </w:t>
      </w:r>
      <w:r w:rsidRPr="00464017">
        <w:rPr>
          <w:lang w:val="en-GB"/>
        </w:rPr>
        <w:t xml:space="preserve">x=y. </w:t>
      </w:r>
      <w:r w:rsidRPr="00464017">
        <w:rPr>
          <w:b/>
          <w:lang w:val="en-GB"/>
        </w:rPr>
        <w:t>d,</w:t>
      </w:r>
      <w:r w:rsidRPr="00464017">
        <w:rPr>
          <w:lang w:val="en-GB"/>
        </w:rPr>
        <w:t xml:space="preserve"> Peptide length distribution of </w:t>
      </w:r>
      <w:r w:rsidRPr="00464017">
        <w:rPr>
          <w:i/>
          <w:lang w:val="en-GB"/>
        </w:rPr>
        <w:t>Homo antecessor</w:t>
      </w:r>
      <w:r w:rsidRPr="00B628A5">
        <w:rPr>
          <w:lang w:val="en-GB"/>
        </w:rPr>
        <w:t xml:space="preserve"> (Atapuerca), </w:t>
      </w:r>
      <w:r w:rsidRPr="00464017">
        <w:rPr>
          <w:i/>
          <w:lang w:val="en-GB"/>
        </w:rPr>
        <w:t>Homo erectus</w:t>
      </w:r>
      <w:r w:rsidRPr="00464017">
        <w:rPr>
          <w:lang w:val="en-GB"/>
        </w:rPr>
        <w:t xml:space="preserve"> (Dmanisi), </w:t>
      </w:r>
      <w:r>
        <w:rPr>
          <w:lang w:val="en-GB"/>
        </w:rPr>
        <w:t>four</w:t>
      </w:r>
      <w:r w:rsidRPr="00464017">
        <w:rPr>
          <w:lang w:val="en-GB"/>
        </w:rPr>
        <w:t xml:space="preserve"> previously published enamel proteomes</w:t>
      </w:r>
      <w:r>
        <w:rPr>
          <w:rStyle w:val="Style1Char"/>
        </w:rPr>
        <w:t>6,8,16</w:t>
      </w:r>
      <w:r>
        <w:rPr>
          <w:rStyle w:val="Style1Char"/>
          <w:vertAlign w:val="baseline"/>
        </w:rPr>
        <w:t>, and one additional human Medieval control sample (</w:t>
      </w:r>
      <w:r>
        <w:rPr>
          <w:rStyle w:val="Style1Char"/>
          <w:rFonts w:cstheme="minorHAnsi"/>
          <w:vertAlign w:val="baseline"/>
        </w:rPr>
        <w:t>Ø</w:t>
      </w:r>
      <w:r>
        <w:rPr>
          <w:rStyle w:val="Style1Char"/>
          <w:vertAlign w:val="baseline"/>
        </w:rPr>
        <w:t>1952)</w:t>
      </w:r>
      <w:r w:rsidRPr="00464017">
        <w:rPr>
          <w:lang w:val="en-GB"/>
        </w:rPr>
        <w:t xml:space="preserve">. </w:t>
      </w:r>
      <w:r>
        <w:rPr>
          <w:lang w:val="en-GB"/>
        </w:rPr>
        <w:t xml:space="preserve">For </w:t>
      </w:r>
      <w:r w:rsidRPr="00C1378E">
        <w:rPr>
          <w:b/>
          <w:lang w:val="en-GB"/>
        </w:rPr>
        <w:t>a</w:t>
      </w:r>
      <w:r>
        <w:rPr>
          <w:lang w:val="en-GB"/>
        </w:rPr>
        <w:t xml:space="preserve">, </w:t>
      </w:r>
      <w:r w:rsidRPr="00C1378E">
        <w:rPr>
          <w:b/>
          <w:lang w:val="en-GB"/>
        </w:rPr>
        <w:t>b</w:t>
      </w:r>
      <w:r>
        <w:rPr>
          <w:lang w:val="en-GB"/>
        </w:rPr>
        <w:t xml:space="preserve">, and </w:t>
      </w:r>
      <w:r w:rsidRPr="00C1378E">
        <w:rPr>
          <w:b/>
          <w:lang w:val="en-GB"/>
        </w:rPr>
        <w:t>d</w:t>
      </w:r>
      <w:r>
        <w:rPr>
          <w:lang w:val="en-GB"/>
        </w:rPr>
        <w:t>, the number of peptides (</w:t>
      </w:r>
      <w:r w:rsidRPr="00306377">
        <w:rPr>
          <w:i/>
          <w:lang w:val="en-GB"/>
        </w:rPr>
        <w:t>n</w:t>
      </w:r>
      <w:r>
        <w:rPr>
          <w:lang w:val="en-GB"/>
        </w:rPr>
        <w:t xml:space="preserve">) is given for each vioplot. </w:t>
      </w:r>
      <w:r w:rsidRPr="00464017">
        <w:rPr>
          <w:lang w:val="en-GB"/>
        </w:rPr>
        <w:t>The boxplots</w:t>
      </w:r>
      <w:r>
        <w:rPr>
          <w:lang w:val="en-GB"/>
        </w:rPr>
        <w:t xml:space="preserve"> within</w:t>
      </w:r>
      <w:r w:rsidRPr="00464017">
        <w:rPr>
          <w:lang w:val="en-GB"/>
        </w:rPr>
        <w:t xml:space="preserve"> define the range of the data (whiskers extending to 1.5</w:t>
      </w:r>
      <w:r>
        <w:rPr>
          <w:lang w:val="en-GB"/>
        </w:rPr>
        <w:t>x</w:t>
      </w:r>
      <w:r w:rsidRPr="00464017">
        <w:rPr>
          <w:lang w:val="en-GB"/>
        </w:rPr>
        <w:t xml:space="preserve"> the interquartile range),</w:t>
      </w:r>
      <w:r>
        <w:rPr>
          <w:lang w:val="en-GB"/>
        </w:rPr>
        <w:t xml:space="preserve"> outliers (black dots, beyond 1.5x the interquartile range),</w:t>
      </w:r>
      <w:r w:rsidRPr="00464017">
        <w:rPr>
          <w:lang w:val="en-GB"/>
        </w:rPr>
        <w:t xml:space="preserve"> 25th and 75th percentiles (boxes), and medians (</w:t>
      </w:r>
      <w:r>
        <w:rPr>
          <w:lang w:val="en-GB"/>
        </w:rPr>
        <w:t>centre lines</w:t>
      </w:r>
      <w:r w:rsidRPr="00464017">
        <w:rPr>
          <w:lang w:val="en-GB"/>
        </w:rPr>
        <w:t>).</w:t>
      </w:r>
      <w:r>
        <w:rPr>
          <w:lang w:val="en-GB"/>
        </w:rPr>
        <w:t xml:space="preserve"> </w:t>
      </w:r>
      <w:r w:rsidRPr="00B77492">
        <w:rPr>
          <w:i/>
          <w:lang w:val="en-GB"/>
        </w:rPr>
        <w:t>P</w:t>
      </w:r>
      <w:r>
        <w:rPr>
          <w:lang w:val="en-GB"/>
        </w:rPr>
        <w:t xml:space="preserve">-values of two-sided </w:t>
      </w:r>
      <w:r w:rsidRPr="00B77492">
        <w:rPr>
          <w:i/>
          <w:lang w:val="en-GB"/>
        </w:rPr>
        <w:t>t</w:t>
      </w:r>
      <w:r>
        <w:rPr>
          <w:lang w:val="en-GB"/>
        </w:rPr>
        <w:t xml:space="preserve">-tests conducted between sample pairs are </w:t>
      </w:r>
      <w:r w:rsidRPr="00C53631">
        <w:rPr>
          <w:lang w:val="en-GB"/>
        </w:rPr>
        <w:t>indicated.</w:t>
      </w:r>
      <w:r>
        <w:rPr>
          <w:lang w:val="en-GB"/>
        </w:rPr>
        <w:t xml:space="preserve"> No independent replication of these experiments was performed.</w:t>
      </w:r>
    </w:p>
    <w:p w14:paraId="7ED9B5BF" w14:textId="77777777" w:rsidR="00245513" w:rsidRPr="00464017" w:rsidRDefault="00245513" w:rsidP="00245513">
      <w:pPr>
        <w:spacing w:line="480" w:lineRule="auto"/>
        <w:rPr>
          <w:lang w:val="en-GB"/>
        </w:rPr>
      </w:pPr>
    </w:p>
    <w:p w14:paraId="011E5966" w14:textId="77777777" w:rsidR="00245513" w:rsidRPr="00464017" w:rsidRDefault="00245513" w:rsidP="00245513">
      <w:pPr>
        <w:spacing w:line="480" w:lineRule="auto"/>
        <w:jc w:val="both"/>
        <w:rPr>
          <w:lang w:val="en-GB"/>
        </w:rPr>
      </w:pPr>
      <w:r w:rsidRPr="00AD5157">
        <w:rPr>
          <w:b/>
          <w:bCs/>
          <w:lang w:val="en-GB"/>
        </w:rPr>
        <w:t xml:space="preserve">Extended Data Figure </w:t>
      </w:r>
      <w:r>
        <w:rPr>
          <w:b/>
          <w:bCs/>
          <w:lang w:val="en-GB"/>
        </w:rPr>
        <w:t>7</w:t>
      </w:r>
      <w:r w:rsidRPr="00AD5157">
        <w:rPr>
          <w:b/>
          <w:bCs/>
          <w:lang w:val="en-GB"/>
        </w:rPr>
        <w:t xml:space="preserve">. Survival of </w:t>
      </w:r>
      <w:r w:rsidRPr="7D9D0690">
        <w:rPr>
          <w:b/>
          <w:bCs/>
          <w:i/>
          <w:iCs/>
          <w:lang w:val="en-GB"/>
        </w:rPr>
        <w:t>in vivo</w:t>
      </w:r>
      <w:r w:rsidRPr="00AD5157">
        <w:rPr>
          <w:b/>
          <w:bCs/>
          <w:lang w:val="en-GB"/>
        </w:rPr>
        <w:t xml:space="preserve"> </w:t>
      </w:r>
      <w:r w:rsidRPr="009F73B0">
        <w:rPr>
          <w:b/>
          <w:bCs/>
          <w:lang w:val="en-GB"/>
        </w:rPr>
        <w:t>MMP20</w:t>
      </w:r>
      <w:r w:rsidRPr="00AD5157">
        <w:rPr>
          <w:b/>
          <w:bCs/>
          <w:lang w:val="en-GB"/>
        </w:rPr>
        <w:t xml:space="preserve"> and </w:t>
      </w:r>
      <w:r w:rsidRPr="009F73B0">
        <w:rPr>
          <w:b/>
          <w:bCs/>
          <w:lang w:val="en-GB"/>
        </w:rPr>
        <w:t>KLK4</w:t>
      </w:r>
      <w:r w:rsidRPr="00AD5157">
        <w:rPr>
          <w:b/>
          <w:bCs/>
          <w:lang w:val="en-GB"/>
        </w:rPr>
        <w:t xml:space="preserve"> cleavage sites in the Atapuerca enamel proteome.</w:t>
      </w:r>
      <w:r w:rsidRPr="00AD5157">
        <w:rPr>
          <w:lang w:val="en-GB"/>
        </w:rPr>
        <w:t xml:space="preserve"> </w:t>
      </w:r>
      <w:r w:rsidRPr="00AD5157">
        <w:rPr>
          <w:b/>
          <w:bCs/>
          <w:lang w:val="en-GB"/>
        </w:rPr>
        <w:t xml:space="preserve">a, </w:t>
      </w:r>
      <w:r w:rsidRPr="00AD5157">
        <w:rPr>
          <w:lang w:val="en-GB"/>
        </w:rPr>
        <w:t>Experimentally</w:t>
      </w:r>
      <w:r w:rsidRPr="00464017">
        <w:rPr>
          <w:lang w:val="en-GB"/>
        </w:rPr>
        <w:t xml:space="preserve"> observed cleavage matrices for ameloblastin (</w:t>
      </w:r>
      <w:r w:rsidRPr="009F73B0">
        <w:rPr>
          <w:lang w:val="en-GB"/>
        </w:rPr>
        <w:t>AMBN</w:t>
      </w:r>
      <w:r w:rsidRPr="00464017">
        <w:rPr>
          <w:lang w:val="en-GB"/>
        </w:rPr>
        <w:t>), enamelin (</w:t>
      </w:r>
      <w:r w:rsidRPr="009F73B0">
        <w:rPr>
          <w:lang w:val="en-GB"/>
        </w:rPr>
        <w:t>ENAM</w:t>
      </w:r>
      <w:r w:rsidRPr="00464017">
        <w:rPr>
          <w:lang w:val="en-GB"/>
        </w:rPr>
        <w:t>), and amelogenin (</w:t>
      </w:r>
      <w:r w:rsidRPr="009F73B0">
        <w:rPr>
          <w:lang w:val="en-GB"/>
        </w:rPr>
        <w:t>AMELX</w:t>
      </w:r>
      <w:r w:rsidRPr="00464017">
        <w:rPr>
          <w:lang w:val="en-GB"/>
        </w:rPr>
        <w:t>+</w:t>
      </w:r>
      <w:r w:rsidRPr="009F73B0">
        <w:rPr>
          <w:lang w:val="en-GB"/>
        </w:rPr>
        <w:t>AMELY</w:t>
      </w:r>
      <w:r w:rsidRPr="00464017">
        <w:rPr>
          <w:lang w:val="en-GB"/>
        </w:rPr>
        <w:t xml:space="preserve">; see Methods). Fold differences are color-coded by comparing observed PSM </w:t>
      </w:r>
      <w:r w:rsidRPr="00464017">
        <w:rPr>
          <w:lang w:val="en-GB"/>
        </w:rPr>
        <w:lastRenderedPageBreak/>
        <w:t>cleavage frequencies to a random cleavage matrix for each protein separately</w:t>
      </w:r>
      <w:r w:rsidRPr="008977FB">
        <w:rPr>
          <w:noProof/>
          <w:vertAlign w:val="superscript"/>
          <w:lang w:val="en-GB"/>
        </w:rPr>
        <w:t>7</w:t>
      </w:r>
      <w:r w:rsidRPr="00464017">
        <w:rPr>
          <w:lang w:val="en-GB"/>
        </w:rPr>
        <w:t xml:space="preserve">. </w:t>
      </w:r>
      <w:r w:rsidRPr="00464017">
        <w:rPr>
          <w:b/>
          <w:bCs/>
          <w:lang w:val="en-GB"/>
        </w:rPr>
        <w:t>b,</w:t>
      </w:r>
      <w:r w:rsidRPr="00464017">
        <w:rPr>
          <w:lang w:val="en-GB"/>
        </w:rPr>
        <w:t xml:space="preserve"> Fold differences for all observed cleavage pairs per protein. Red filled circles </w:t>
      </w:r>
      <w:r w:rsidRPr="7D9D0690">
        <w:rPr>
          <w:lang w:val="en-GB"/>
        </w:rPr>
        <w:t>represent MMP20, KLK4 and signa</w:t>
      </w:r>
      <w:r w:rsidRPr="00464017">
        <w:rPr>
          <w:lang w:val="en-GB"/>
        </w:rPr>
        <w:t>l peptide cleavage sites mentioned in the literature</w:t>
      </w:r>
      <w:r w:rsidRPr="00953AEC">
        <w:rPr>
          <w:rStyle w:val="Style1Char"/>
        </w:rPr>
        <w:t>50-53</w:t>
      </w:r>
      <w:r w:rsidRPr="00464017">
        <w:rPr>
          <w:lang w:val="en-GB"/>
        </w:rPr>
        <w:t xml:space="preserve">. Red open circles indicate cleavage sites located up to two amino acid positions away from such sites. </w:t>
      </w:r>
      <w:r w:rsidRPr="00464017">
        <w:rPr>
          <w:b/>
          <w:bCs/>
          <w:lang w:val="en-GB"/>
        </w:rPr>
        <w:t>c,</w:t>
      </w:r>
      <w:r w:rsidRPr="00464017">
        <w:rPr>
          <w:lang w:val="en-GB"/>
        </w:rPr>
        <w:t xml:space="preserve"> </w:t>
      </w:r>
      <w:r>
        <w:rPr>
          <w:lang w:val="en-GB"/>
        </w:rPr>
        <w:t>Peptide-spectrum-matches (PSM) coverage for each protein. The</w:t>
      </w:r>
      <w:r w:rsidRPr="00464017">
        <w:rPr>
          <w:lang w:val="en-GB"/>
        </w:rPr>
        <w:t xml:space="preserve"> signal peptide (thick horizontal bar labelled ”Sig.”), known </w:t>
      </w:r>
      <w:r w:rsidRPr="009F73B0">
        <w:rPr>
          <w:lang w:val="en-GB"/>
        </w:rPr>
        <w:t>MMP20</w:t>
      </w:r>
      <w:r w:rsidRPr="00464017">
        <w:rPr>
          <w:lang w:val="en-GB"/>
        </w:rPr>
        <w:t xml:space="preserve"> and </w:t>
      </w:r>
      <w:r w:rsidRPr="009F73B0">
        <w:rPr>
          <w:lang w:val="en-GB"/>
        </w:rPr>
        <w:t>KLK4</w:t>
      </w:r>
      <w:r w:rsidRPr="00464017">
        <w:rPr>
          <w:lang w:val="en-GB"/>
        </w:rPr>
        <w:t xml:space="preserve"> cleavage sites (vertical bars), and O- and N-linked glycosylation sites (asterisks)</w:t>
      </w:r>
      <w:r>
        <w:rPr>
          <w:lang w:val="en-GB"/>
        </w:rPr>
        <w:t xml:space="preserve"> are also indicated</w:t>
      </w:r>
      <w:r w:rsidRPr="00464017">
        <w:rPr>
          <w:lang w:val="en-GB"/>
        </w:rPr>
        <w:t xml:space="preserve">. For </w:t>
      </w:r>
      <w:r w:rsidRPr="009F73B0">
        <w:rPr>
          <w:lang w:val="en-GB"/>
        </w:rPr>
        <w:t>AMELX</w:t>
      </w:r>
      <w:r w:rsidRPr="00464017">
        <w:rPr>
          <w:lang w:val="en-GB"/>
        </w:rPr>
        <w:t>, peptide positions for all three known isoforms where remapped to the coordinates of isoform 3, which represents the longest isoform (</w:t>
      </w:r>
      <w:r>
        <w:rPr>
          <w:lang w:val="en-GB"/>
        </w:rPr>
        <w:t xml:space="preserve">UniProt accession </w:t>
      </w:r>
      <w:r w:rsidRPr="001B1722">
        <w:rPr>
          <w:lang w:val="en-GB"/>
        </w:rPr>
        <w:t>Q99217-3</w:t>
      </w:r>
      <w:r w:rsidRPr="00464017">
        <w:rPr>
          <w:lang w:val="en-GB"/>
        </w:rPr>
        <w:t xml:space="preserve">). Note differences in x- and y-axis between the three panels of </w:t>
      </w:r>
      <w:r w:rsidRPr="00464017">
        <w:rPr>
          <w:b/>
          <w:bCs/>
          <w:lang w:val="en-GB"/>
        </w:rPr>
        <w:t>c</w:t>
      </w:r>
      <w:r w:rsidRPr="00464017">
        <w:rPr>
          <w:lang w:val="en-GB"/>
        </w:rPr>
        <w:t>.</w:t>
      </w:r>
    </w:p>
    <w:p w14:paraId="04585F06" w14:textId="77777777" w:rsidR="00245513" w:rsidRPr="00464017" w:rsidRDefault="00245513" w:rsidP="00245513">
      <w:pPr>
        <w:spacing w:line="480" w:lineRule="auto"/>
        <w:rPr>
          <w:b/>
          <w:highlight w:val="yellow"/>
          <w:lang w:val="en-GB"/>
        </w:rPr>
      </w:pPr>
    </w:p>
    <w:p w14:paraId="4D4208CD" w14:textId="77777777" w:rsidR="00245513" w:rsidRPr="00464017" w:rsidRDefault="00245513" w:rsidP="00245513">
      <w:pPr>
        <w:spacing w:line="480" w:lineRule="auto"/>
        <w:jc w:val="both"/>
        <w:rPr>
          <w:b/>
          <w:lang w:val="en-GB"/>
        </w:rPr>
      </w:pPr>
      <w:r w:rsidRPr="00AD5157">
        <w:rPr>
          <w:b/>
          <w:lang w:val="en-GB"/>
        </w:rPr>
        <w:t xml:space="preserve">Extended Data Figure </w:t>
      </w:r>
      <w:r>
        <w:rPr>
          <w:b/>
          <w:lang w:val="en-GB"/>
        </w:rPr>
        <w:t>8</w:t>
      </w:r>
      <w:r w:rsidRPr="00AD5157">
        <w:rPr>
          <w:b/>
          <w:lang w:val="en-GB"/>
        </w:rPr>
        <w:t xml:space="preserve">. </w:t>
      </w:r>
      <w:r>
        <w:rPr>
          <w:b/>
          <w:lang w:val="en-GB"/>
        </w:rPr>
        <w:t>Ph</w:t>
      </w:r>
      <w:r w:rsidRPr="00464017">
        <w:rPr>
          <w:b/>
          <w:lang w:val="en-GB"/>
        </w:rPr>
        <w:t xml:space="preserve">ylogenetic position of </w:t>
      </w:r>
      <w:r w:rsidRPr="00464017">
        <w:rPr>
          <w:b/>
          <w:i/>
          <w:lang w:val="en-GB"/>
        </w:rPr>
        <w:t>Homo erectus</w:t>
      </w:r>
      <w:r w:rsidRPr="00464017">
        <w:rPr>
          <w:b/>
          <w:lang w:val="en-GB"/>
        </w:rPr>
        <w:t xml:space="preserve"> (D4163, Dmanisi)</w:t>
      </w:r>
      <w:r>
        <w:rPr>
          <w:b/>
          <w:lang w:val="en-GB"/>
        </w:rPr>
        <w:t xml:space="preserve"> through Bayesian analysis</w:t>
      </w:r>
      <w:r w:rsidRPr="00464017">
        <w:rPr>
          <w:b/>
          <w:lang w:val="en-GB"/>
        </w:rPr>
        <w:t>.</w:t>
      </w:r>
      <w:r w:rsidRPr="00464017">
        <w:rPr>
          <w:lang w:val="en-GB"/>
        </w:rPr>
        <w:t xml:space="preserve"> </w:t>
      </w:r>
      <w:r w:rsidRPr="00464017">
        <w:rPr>
          <w:i/>
          <w:lang w:val="en-GB"/>
        </w:rPr>
        <w:t>Nomascus leucogenys</w:t>
      </w:r>
      <w:r w:rsidRPr="00464017">
        <w:rPr>
          <w:lang w:val="en-GB"/>
        </w:rPr>
        <w:t xml:space="preserve"> and </w:t>
      </w:r>
      <w:r w:rsidRPr="00464017">
        <w:rPr>
          <w:i/>
          <w:lang w:val="en-GB"/>
        </w:rPr>
        <w:t>Macaca mulatta</w:t>
      </w:r>
      <w:r w:rsidRPr="00464017">
        <w:rPr>
          <w:lang w:val="en-GB"/>
        </w:rPr>
        <w:t xml:space="preserve"> were used as outgroups.</w:t>
      </w:r>
    </w:p>
    <w:p w14:paraId="79587878" w14:textId="77777777" w:rsidR="00245513" w:rsidRPr="00464017" w:rsidRDefault="00245513" w:rsidP="00245513">
      <w:pPr>
        <w:spacing w:line="480" w:lineRule="auto"/>
        <w:jc w:val="both"/>
        <w:rPr>
          <w:b/>
          <w:lang w:val="en-GB"/>
        </w:rPr>
      </w:pPr>
    </w:p>
    <w:p w14:paraId="2BA902DC" w14:textId="59188072" w:rsidR="00245513" w:rsidRPr="009148A1" w:rsidRDefault="00245513" w:rsidP="00245513">
      <w:pPr>
        <w:pStyle w:val="Heading1"/>
        <w:spacing w:line="480" w:lineRule="auto"/>
        <w:rPr>
          <w:lang w:val="en-GB"/>
        </w:rPr>
      </w:pPr>
      <w:r>
        <w:rPr>
          <w:lang w:val="en-GB"/>
        </w:rPr>
        <w:t>REFERENCES</w:t>
      </w:r>
    </w:p>
    <w:p w14:paraId="5888A60D" w14:textId="5F6FA0AF" w:rsidR="00245513" w:rsidRPr="008977FB" w:rsidRDefault="00245513" w:rsidP="00245513">
      <w:pPr>
        <w:pStyle w:val="EndNoteBibliography"/>
        <w:ind w:left="720" w:hanging="720"/>
      </w:pPr>
      <w:r w:rsidRPr="00464017">
        <w:rPr>
          <w:color w:val="2B579A"/>
          <w:shd w:val="clear" w:color="auto" w:fill="E6E6E6"/>
          <w:lang w:val="en-GB"/>
        </w:rPr>
        <w:fldChar w:fldCharType="begin"/>
      </w:r>
      <w:r w:rsidRPr="00CE5FA2">
        <w:rPr>
          <w:lang w:val="en-GB"/>
        </w:rPr>
        <w:instrText xml:space="preserve"> ADDIN EN.REFLIST </w:instrText>
      </w:r>
      <w:r w:rsidRPr="00464017">
        <w:rPr>
          <w:color w:val="2B579A"/>
          <w:shd w:val="clear" w:color="auto" w:fill="E6E6E6"/>
          <w:lang w:val="en-GB"/>
        </w:rPr>
        <w:fldChar w:fldCharType="separate"/>
      </w:r>
      <w:r w:rsidRPr="008977FB">
        <w:t>36</w:t>
      </w:r>
      <w:r w:rsidRPr="008977FB">
        <w:tab/>
        <w:t xml:space="preserve">Penkman, K. E. H., Kaufman, D. S., Maddy, D. &amp; Collins, M. J. Closed-system behaviour of the intra-crystalline fraction of amino acids in mollusc shells. </w:t>
      </w:r>
      <w:r w:rsidRPr="008977FB">
        <w:rPr>
          <w:i/>
        </w:rPr>
        <w:t>Quaternary Geochronology</w:t>
      </w:r>
      <w:r w:rsidRPr="008977FB">
        <w:t xml:space="preserve"> </w:t>
      </w:r>
      <w:r w:rsidRPr="008977FB">
        <w:rPr>
          <w:b/>
        </w:rPr>
        <w:t>3</w:t>
      </w:r>
      <w:r w:rsidRPr="008977FB">
        <w:t>, 2-25, doi:10.1016/j.quageo.2007.07.001 (2008).</w:t>
      </w:r>
    </w:p>
    <w:p w14:paraId="0D5730F8" w14:textId="77777777" w:rsidR="00245513" w:rsidRPr="008977FB" w:rsidRDefault="00245513" w:rsidP="00245513">
      <w:pPr>
        <w:pStyle w:val="EndNoteBibliography"/>
        <w:ind w:left="720" w:hanging="720"/>
      </w:pPr>
      <w:r w:rsidRPr="008977FB">
        <w:t>37</w:t>
      </w:r>
      <w:r w:rsidRPr="008977FB">
        <w:tab/>
        <w:t xml:space="preserve">Dickinson, M., Lister, A. M. &amp; Penkman, K. E. H. A new method for enamel amino acid racemization dating: a closed system approach. </w:t>
      </w:r>
      <w:r w:rsidRPr="008977FB">
        <w:rPr>
          <w:i/>
        </w:rPr>
        <w:t>Quaternary Geochronology</w:t>
      </w:r>
      <w:r w:rsidRPr="008977FB">
        <w:t xml:space="preserve"> </w:t>
      </w:r>
      <w:r w:rsidRPr="008977FB">
        <w:rPr>
          <w:b/>
        </w:rPr>
        <w:t>50</w:t>
      </w:r>
      <w:r w:rsidRPr="008977FB">
        <w:t>, 29-46, doi:10.1016/j.quageo.2018.11.005 (2019).</w:t>
      </w:r>
    </w:p>
    <w:p w14:paraId="64FE5150" w14:textId="77777777" w:rsidR="00245513" w:rsidRPr="008977FB" w:rsidRDefault="00245513" w:rsidP="00245513">
      <w:pPr>
        <w:pStyle w:val="EndNoteBibliography"/>
        <w:ind w:left="720" w:hanging="720"/>
      </w:pPr>
      <w:r w:rsidRPr="008977FB">
        <w:t>38</w:t>
      </w:r>
      <w:r w:rsidRPr="008977FB">
        <w:tab/>
        <w:t xml:space="preserve">Hill, R. L. Hydrolysis of proteins. </w:t>
      </w:r>
      <w:r w:rsidRPr="008977FB">
        <w:rPr>
          <w:i/>
        </w:rPr>
        <w:t>Advances in Protein Chemistry</w:t>
      </w:r>
      <w:r w:rsidRPr="008977FB">
        <w:t xml:space="preserve"> </w:t>
      </w:r>
      <w:r w:rsidRPr="008977FB">
        <w:rPr>
          <w:b/>
        </w:rPr>
        <w:t>20</w:t>
      </w:r>
      <w:r w:rsidRPr="008977FB">
        <w:t>, 37-107 (1965).</w:t>
      </w:r>
    </w:p>
    <w:p w14:paraId="0B826540" w14:textId="77777777" w:rsidR="00245513" w:rsidRPr="009E481A" w:rsidRDefault="00245513" w:rsidP="00245513">
      <w:pPr>
        <w:pStyle w:val="EndNoteBibliography"/>
        <w:ind w:left="720" w:hanging="720"/>
        <w:rPr>
          <w:lang w:val="nl-NL"/>
        </w:rPr>
      </w:pPr>
      <w:r w:rsidRPr="008977FB">
        <w:t>39</w:t>
      </w:r>
      <w:r w:rsidRPr="008977FB">
        <w:tab/>
        <w:t>Mackie, M.</w:t>
      </w:r>
      <w:r w:rsidRPr="008977FB">
        <w:rPr>
          <w:i/>
        </w:rPr>
        <w:t xml:space="preserve"> et al.</w:t>
      </w:r>
      <w:r w:rsidRPr="008977FB">
        <w:t xml:space="preserve"> Palaeoproteomic Profiling of Conservation Layers on a 14th Century Italian Wall Painting. </w:t>
      </w:r>
      <w:r w:rsidRPr="009E481A">
        <w:rPr>
          <w:i/>
          <w:lang w:val="nl-NL"/>
        </w:rPr>
        <w:t>Angewandte Chemie (International ed.)</w:t>
      </w:r>
      <w:r w:rsidRPr="009E481A">
        <w:rPr>
          <w:lang w:val="nl-NL"/>
        </w:rPr>
        <w:t xml:space="preserve"> </w:t>
      </w:r>
      <w:r w:rsidRPr="009E481A">
        <w:rPr>
          <w:b/>
          <w:lang w:val="nl-NL"/>
        </w:rPr>
        <w:t>57</w:t>
      </w:r>
      <w:r w:rsidRPr="009E481A">
        <w:rPr>
          <w:lang w:val="nl-NL"/>
        </w:rPr>
        <w:t>, 7369-7374, doi:10.1002/anie.201713020 (2018).</w:t>
      </w:r>
    </w:p>
    <w:p w14:paraId="2472ED0B" w14:textId="77777777" w:rsidR="00245513" w:rsidRPr="008977FB" w:rsidRDefault="00245513" w:rsidP="00245513">
      <w:pPr>
        <w:pStyle w:val="EndNoteBibliography"/>
        <w:ind w:left="720" w:hanging="720"/>
      </w:pPr>
      <w:r w:rsidRPr="009E481A">
        <w:rPr>
          <w:lang w:val="nl-NL"/>
        </w:rPr>
        <w:t>40</w:t>
      </w:r>
      <w:r w:rsidRPr="009E481A">
        <w:rPr>
          <w:lang w:val="nl-NL"/>
        </w:rPr>
        <w:tab/>
        <w:t>Castellano, S.</w:t>
      </w:r>
      <w:r w:rsidRPr="009E481A">
        <w:rPr>
          <w:i/>
          <w:lang w:val="nl-NL"/>
        </w:rPr>
        <w:t xml:space="preserve"> et al.</w:t>
      </w:r>
      <w:r w:rsidRPr="009E481A">
        <w:rPr>
          <w:lang w:val="nl-NL"/>
        </w:rPr>
        <w:t xml:space="preserve"> </w:t>
      </w:r>
      <w:r w:rsidRPr="008977FB">
        <w:t xml:space="preserve">Patterns of coding variation in the complete exomes of three Neandertals. </w:t>
      </w:r>
      <w:r w:rsidRPr="008977FB">
        <w:rPr>
          <w:i/>
        </w:rPr>
        <w:t>Proceedings of the National Academy of Sciences</w:t>
      </w:r>
      <w:r w:rsidRPr="008977FB">
        <w:t xml:space="preserve"> </w:t>
      </w:r>
      <w:r w:rsidRPr="008977FB">
        <w:rPr>
          <w:b/>
        </w:rPr>
        <w:t>111</w:t>
      </w:r>
      <w:r w:rsidRPr="008977FB">
        <w:t>, 6666-6671, doi:10.1073/pnas.1405138111 (2014).</w:t>
      </w:r>
    </w:p>
    <w:p w14:paraId="67FC7997" w14:textId="77777777" w:rsidR="00245513" w:rsidRPr="008977FB" w:rsidRDefault="00245513" w:rsidP="00245513">
      <w:pPr>
        <w:pStyle w:val="EndNoteBibliography"/>
        <w:ind w:left="720" w:hanging="720"/>
      </w:pPr>
      <w:r w:rsidRPr="008977FB">
        <w:t>41</w:t>
      </w:r>
      <w:r w:rsidRPr="008977FB">
        <w:tab/>
        <w:t>de Manuel, M.</w:t>
      </w:r>
      <w:r w:rsidRPr="008977FB">
        <w:rPr>
          <w:i/>
        </w:rPr>
        <w:t xml:space="preserve"> et al.</w:t>
      </w:r>
      <w:r w:rsidRPr="008977FB">
        <w:t xml:space="preserve"> Chimpanzee genomic diversity reveals ancient admixture with bonobos. </w:t>
      </w:r>
      <w:r w:rsidRPr="008977FB">
        <w:rPr>
          <w:i/>
        </w:rPr>
        <w:t>Science</w:t>
      </w:r>
      <w:r w:rsidRPr="008977FB">
        <w:t xml:space="preserve"> </w:t>
      </w:r>
      <w:r w:rsidRPr="008977FB">
        <w:rPr>
          <w:b/>
        </w:rPr>
        <w:t>354</w:t>
      </w:r>
      <w:r w:rsidRPr="008977FB">
        <w:t>, 477-481, doi:10.1126/science.aag2602 (2016).</w:t>
      </w:r>
    </w:p>
    <w:p w14:paraId="5BD17157" w14:textId="77777777" w:rsidR="00245513" w:rsidRPr="008977FB" w:rsidRDefault="00245513" w:rsidP="00245513">
      <w:pPr>
        <w:pStyle w:val="EndNoteBibliography"/>
        <w:ind w:left="720" w:hanging="720"/>
      </w:pPr>
      <w:r w:rsidRPr="008977FB">
        <w:t>42</w:t>
      </w:r>
      <w:r w:rsidRPr="008977FB">
        <w:tab/>
        <w:t>Nater, A.</w:t>
      </w:r>
      <w:r w:rsidRPr="008977FB">
        <w:rPr>
          <w:i/>
        </w:rPr>
        <w:t xml:space="preserve"> et al.</w:t>
      </w:r>
      <w:r w:rsidRPr="008977FB">
        <w:t xml:space="preserve"> Morphometric, Behavioral, and Genomic Evidence for a New Orangutan Species. </w:t>
      </w:r>
      <w:r w:rsidRPr="008977FB">
        <w:rPr>
          <w:i/>
        </w:rPr>
        <w:t>Current Biology</w:t>
      </w:r>
      <w:r w:rsidRPr="008977FB">
        <w:t xml:space="preserve"> </w:t>
      </w:r>
      <w:r w:rsidRPr="008977FB">
        <w:rPr>
          <w:b/>
        </w:rPr>
        <w:t>27</w:t>
      </w:r>
      <w:r w:rsidRPr="008977FB">
        <w:t>, 3487-3498, doi:10.1016/j.cub.2017.11.020 (2017).</w:t>
      </w:r>
    </w:p>
    <w:p w14:paraId="0CF60E7F" w14:textId="77777777" w:rsidR="00245513" w:rsidRPr="008977FB" w:rsidRDefault="00245513" w:rsidP="00245513">
      <w:pPr>
        <w:pStyle w:val="EndNoteBibliography"/>
        <w:ind w:left="720" w:hanging="720"/>
      </w:pPr>
      <w:r w:rsidRPr="008977FB">
        <w:t>43</w:t>
      </w:r>
      <w:r w:rsidRPr="008977FB">
        <w:tab/>
        <w:t>Prado-Martinez, J.</w:t>
      </w:r>
      <w:r w:rsidRPr="008977FB">
        <w:rPr>
          <w:i/>
        </w:rPr>
        <w:t xml:space="preserve"> et al.</w:t>
      </w:r>
      <w:r w:rsidRPr="008977FB">
        <w:t xml:space="preserve"> Great ape genetic diversity and population history. </w:t>
      </w:r>
      <w:r w:rsidRPr="008977FB">
        <w:rPr>
          <w:i/>
        </w:rPr>
        <w:t>Nature</w:t>
      </w:r>
      <w:r w:rsidRPr="008977FB">
        <w:t xml:space="preserve"> </w:t>
      </w:r>
      <w:r w:rsidRPr="008977FB">
        <w:rPr>
          <w:b/>
        </w:rPr>
        <w:t>499</w:t>
      </w:r>
      <w:r w:rsidRPr="008977FB">
        <w:t>, 471-475, doi:10.1038/nature12228 (2013).</w:t>
      </w:r>
    </w:p>
    <w:p w14:paraId="5696C33A" w14:textId="77777777" w:rsidR="00245513" w:rsidRPr="008977FB" w:rsidRDefault="00245513" w:rsidP="00245513">
      <w:pPr>
        <w:pStyle w:val="EndNoteBibliography"/>
        <w:ind w:left="720" w:hanging="720"/>
      </w:pPr>
      <w:r w:rsidRPr="008977FB">
        <w:t>44</w:t>
      </w:r>
      <w:r w:rsidRPr="008977FB">
        <w:tab/>
        <w:t xml:space="preserve">Hanson-Smith, V. &amp; Johnson, A. PhyloBot: A Web Portal for Automated Phylogenetics, Ancestral Sequence Reconstruction, and Exploration of Mutational Trajectories. </w:t>
      </w:r>
      <w:r w:rsidRPr="008977FB">
        <w:rPr>
          <w:i/>
        </w:rPr>
        <w:t>PLoS computational biology</w:t>
      </w:r>
      <w:r w:rsidRPr="008977FB">
        <w:t xml:space="preserve"> </w:t>
      </w:r>
      <w:r w:rsidRPr="008977FB">
        <w:rPr>
          <w:b/>
        </w:rPr>
        <w:t>12</w:t>
      </w:r>
      <w:r w:rsidRPr="008977FB">
        <w:t>, e1004976, doi:10.1371/journal.pcbi.1004976 (2016).</w:t>
      </w:r>
    </w:p>
    <w:p w14:paraId="70CC5E89" w14:textId="77777777" w:rsidR="00245513" w:rsidRPr="008977FB" w:rsidRDefault="00245513" w:rsidP="00245513">
      <w:pPr>
        <w:pStyle w:val="EndNoteBibliography"/>
        <w:ind w:left="720" w:hanging="720"/>
      </w:pPr>
      <w:r w:rsidRPr="008977FB">
        <w:lastRenderedPageBreak/>
        <w:t>45</w:t>
      </w:r>
      <w:r w:rsidRPr="008977FB">
        <w:tab/>
        <w:t xml:space="preserve">Welker, F. Elucidation of cross-species proteomic effects in human and hominin bone proteome identification through a bioinformatics experiment. </w:t>
      </w:r>
      <w:r w:rsidRPr="008977FB">
        <w:rPr>
          <w:i/>
        </w:rPr>
        <w:t>BMC Evolutionary Biology</w:t>
      </w:r>
      <w:r w:rsidRPr="008977FB">
        <w:t xml:space="preserve"> </w:t>
      </w:r>
      <w:r w:rsidRPr="008977FB">
        <w:rPr>
          <w:b/>
        </w:rPr>
        <w:t>18</w:t>
      </w:r>
      <w:r w:rsidRPr="008977FB">
        <w:t>, 23, doi:10.1186/s12862-018-1141-1 (2018).</w:t>
      </w:r>
    </w:p>
    <w:p w14:paraId="6B539F22" w14:textId="77777777" w:rsidR="00245513" w:rsidRPr="008977FB" w:rsidRDefault="00245513" w:rsidP="00245513">
      <w:pPr>
        <w:pStyle w:val="EndNoteBibliography"/>
        <w:ind w:left="720" w:hanging="720"/>
      </w:pPr>
      <w:r w:rsidRPr="008977FB">
        <w:t>46</w:t>
      </w:r>
      <w:r w:rsidRPr="008977FB">
        <w:tab/>
        <w:t>Hendy, J.</w:t>
      </w:r>
      <w:r w:rsidRPr="008977FB">
        <w:rPr>
          <w:i/>
        </w:rPr>
        <w:t xml:space="preserve"> et al.</w:t>
      </w:r>
      <w:r w:rsidRPr="008977FB">
        <w:t xml:space="preserve"> A guide to ancient protein studies. </w:t>
      </w:r>
      <w:r w:rsidRPr="008977FB">
        <w:rPr>
          <w:i/>
        </w:rPr>
        <w:t>Nature Ecology &amp; Evolution</w:t>
      </w:r>
      <w:r w:rsidRPr="008977FB">
        <w:t xml:space="preserve"> </w:t>
      </w:r>
      <w:r w:rsidRPr="008977FB">
        <w:rPr>
          <w:b/>
        </w:rPr>
        <w:t>2</w:t>
      </w:r>
      <w:r w:rsidRPr="008977FB">
        <w:t>, 791-799, doi:10.1038/s41559-018-0510-x (2018).</w:t>
      </w:r>
    </w:p>
    <w:p w14:paraId="020CD4D0" w14:textId="77777777" w:rsidR="00245513" w:rsidRPr="008977FB" w:rsidRDefault="00245513" w:rsidP="00245513">
      <w:pPr>
        <w:pStyle w:val="EndNoteBibliography"/>
        <w:ind w:left="720" w:hanging="720"/>
      </w:pPr>
      <w:r w:rsidRPr="008977FB">
        <w:t>47</w:t>
      </w:r>
      <w:r w:rsidRPr="008977FB">
        <w:tab/>
        <w:t>Zhang, J.</w:t>
      </w:r>
      <w:r w:rsidRPr="008977FB">
        <w:rPr>
          <w:i/>
        </w:rPr>
        <w:t xml:space="preserve"> et al.</w:t>
      </w:r>
      <w:r w:rsidRPr="008977FB">
        <w:t xml:space="preserve"> PEAKS DB: De novo sequencing assisted database search for sensitive and accurate peptide identification. </w:t>
      </w:r>
      <w:r w:rsidRPr="008977FB">
        <w:rPr>
          <w:i/>
        </w:rPr>
        <w:t>Molecular and Cellular Proteomics</w:t>
      </w:r>
      <w:r w:rsidRPr="008977FB">
        <w:t xml:space="preserve"> </w:t>
      </w:r>
      <w:r w:rsidRPr="008977FB">
        <w:rPr>
          <w:b/>
        </w:rPr>
        <w:t>11</w:t>
      </w:r>
      <w:r w:rsidRPr="008977FB">
        <w:t>, M111.010587, doi:10.1074/mcp.M111.010587 (2012).</w:t>
      </w:r>
    </w:p>
    <w:p w14:paraId="414CF3F9" w14:textId="77777777" w:rsidR="00245513" w:rsidRPr="008977FB" w:rsidRDefault="00245513" w:rsidP="00245513">
      <w:pPr>
        <w:pStyle w:val="EndNoteBibliography"/>
        <w:ind w:left="720" w:hanging="720"/>
      </w:pPr>
      <w:r w:rsidRPr="008977FB">
        <w:t>48</w:t>
      </w:r>
      <w:r w:rsidRPr="008977FB">
        <w:tab/>
        <w:t xml:space="preserve">Cox, J. &amp; Mann, M. MaxQuant enables high peptide identification rates, individualized p.p.b.-range mass accuracies and proteome-wide protein quantification. </w:t>
      </w:r>
      <w:r w:rsidRPr="008977FB">
        <w:rPr>
          <w:i/>
        </w:rPr>
        <w:t>Nature Biotechnology</w:t>
      </w:r>
      <w:r w:rsidRPr="008977FB">
        <w:t xml:space="preserve"> </w:t>
      </w:r>
      <w:r w:rsidRPr="008977FB">
        <w:rPr>
          <w:b/>
        </w:rPr>
        <w:t>26</w:t>
      </w:r>
      <w:r w:rsidRPr="008977FB">
        <w:t>, 1367-1372, doi:10.1038/nbt.1511 (2008).</w:t>
      </w:r>
    </w:p>
    <w:p w14:paraId="40386B14" w14:textId="77777777" w:rsidR="00245513" w:rsidRPr="008977FB" w:rsidRDefault="00245513" w:rsidP="00245513">
      <w:pPr>
        <w:pStyle w:val="EndNoteBibliography"/>
        <w:ind w:left="720" w:hanging="720"/>
      </w:pPr>
      <w:r w:rsidRPr="008977FB">
        <w:t>49</w:t>
      </w:r>
      <w:r w:rsidRPr="008977FB">
        <w:tab/>
        <w:t>Chun, Y. H. P.</w:t>
      </w:r>
      <w:r w:rsidRPr="008977FB">
        <w:rPr>
          <w:i/>
        </w:rPr>
        <w:t xml:space="preserve"> et al.</w:t>
      </w:r>
      <w:r w:rsidRPr="008977FB">
        <w:t xml:space="preserve"> Cleavage Site Specificity of MMP-20 for Secretory-stage Ameloblastin. </w:t>
      </w:r>
      <w:r w:rsidRPr="008977FB">
        <w:rPr>
          <w:i/>
        </w:rPr>
        <w:t>Journal of Dental Research</w:t>
      </w:r>
      <w:r w:rsidRPr="008977FB">
        <w:t xml:space="preserve"> </w:t>
      </w:r>
      <w:r w:rsidRPr="008977FB">
        <w:rPr>
          <w:b/>
        </w:rPr>
        <w:t>89</w:t>
      </w:r>
      <w:r w:rsidRPr="008977FB">
        <w:t>, 785-790, doi:10.1177/0022034510366903 (2010).</w:t>
      </w:r>
    </w:p>
    <w:p w14:paraId="4F70C405" w14:textId="77777777" w:rsidR="00245513" w:rsidRPr="008977FB" w:rsidRDefault="00245513" w:rsidP="00245513">
      <w:pPr>
        <w:pStyle w:val="EndNoteBibliography"/>
        <w:ind w:left="720" w:hanging="720"/>
      </w:pPr>
      <w:r w:rsidRPr="008977FB">
        <w:t>50</w:t>
      </w:r>
      <w:r w:rsidRPr="008977FB">
        <w:tab/>
        <w:t xml:space="preserve">Yamakoshi, Y., Hu, J. C. C., Fukae, M., Yamakoshi, F. &amp; Simmer, J. P. How do enamelysin and kallikrein 4 process the 32-kDa enamelin? </w:t>
      </w:r>
      <w:r w:rsidRPr="008977FB">
        <w:rPr>
          <w:i/>
        </w:rPr>
        <w:t>European Journal of Oral Sciences</w:t>
      </w:r>
      <w:r w:rsidRPr="008977FB">
        <w:t xml:space="preserve"> </w:t>
      </w:r>
      <w:r w:rsidRPr="008977FB">
        <w:rPr>
          <w:b/>
        </w:rPr>
        <w:t>114</w:t>
      </w:r>
      <w:r w:rsidRPr="008977FB">
        <w:t>, 45-51, doi:10.1111/j.1600-0722.2006.00281.x (2006).</w:t>
      </w:r>
    </w:p>
    <w:p w14:paraId="341CC0EB" w14:textId="77777777" w:rsidR="00245513" w:rsidRPr="008977FB" w:rsidRDefault="00245513" w:rsidP="00245513">
      <w:pPr>
        <w:pStyle w:val="EndNoteBibliography"/>
        <w:ind w:left="720" w:hanging="720"/>
      </w:pPr>
      <w:r w:rsidRPr="008977FB">
        <w:t>51</w:t>
      </w:r>
      <w:r w:rsidRPr="008977FB">
        <w:tab/>
        <w:t>Iwata, T.</w:t>
      </w:r>
      <w:r w:rsidRPr="008977FB">
        <w:rPr>
          <w:i/>
        </w:rPr>
        <w:t xml:space="preserve"> et al.</w:t>
      </w:r>
      <w:r w:rsidRPr="008977FB">
        <w:t xml:space="preserve"> Processing of Ameloblastin by MMP-20. </w:t>
      </w:r>
      <w:r w:rsidRPr="008977FB">
        <w:rPr>
          <w:i/>
        </w:rPr>
        <w:t>Journal of Dental Research</w:t>
      </w:r>
      <w:r w:rsidRPr="008977FB">
        <w:t xml:space="preserve"> </w:t>
      </w:r>
      <w:r w:rsidRPr="008977FB">
        <w:rPr>
          <w:b/>
        </w:rPr>
        <w:t>86</w:t>
      </w:r>
      <w:r w:rsidRPr="008977FB">
        <w:t>, 153-157, doi:10.1177/154405910708600209 (2007).</w:t>
      </w:r>
    </w:p>
    <w:p w14:paraId="4E21CDB0" w14:textId="77777777" w:rsidR="00245513" w:rsidRPr="008977FB" w:rsidRDefault="00245513" w:rsidP="00245513">
      <w:pPr>
        <w:pStyle w:val="EndNoteBibliography"/>
        <w:ind w:left="720" w:hanging="720"/>
      </w:pPr>
      <w:r w:rsidRPr="008977FB">
        <w:t>52</w:t>
      </w:r>
      <w:r w:rsidRPr="008977FB">
        <w:tab/>
        <w:t>Nagano, T.</w:t>
      </w:r>
      <w:r w:rsidRPr="008977FB">
        <w:rPr>
          <w:i/>
        </w:rPr>
        <w:t xml:space="preserve"> et al.</w:t>
      </w:r>
      <w:r w:rsidRPr="008977FB">
        <w:t xml:space="preserve"> Mmp-20 and Klk4 Cleavage Site Preferences for Amelogenin Sequences. </w:t>
      </w:r>
      <w:r w:rsidRPr="008977FB">
        <w:rPr>
          <w:i/>
        </w:rPr>
        <w:t>Journal of Dental Research</w:t>
      </w:r>
      <w:r w:rsidRPr="008977FB">
        <w:t xml:space="preserve"> </w:t>
      </w:r>
      <w:r w:rsidRPr="008977FB">
        <w:rPr>
          <w:b/>
        </w:rPr>
        <w:t>88</w:t>
      </w:r>
      <w:r w:rsidRPr="008977FB">
        <w:t>, 823-828, doi:10.1177/0022034509342694 (2009).</w:t>
      </w:r>
    </w:p>
    <w:p w14:paraId="01DCBC5F" w14:textId="77777777" w:rsidR="00245513" w:rsidRPr="008977FB" w:rsidRDefault="00245513" w:rsidP="00245513">
      <w:pPr>
        <w:pStyle w:val="EndNoteBibliography"/>
        <w:ind w:left="720" w:hanging="720"/>
      </w:pPr>
      <w:r w:rsidRPr="008977FB">
        <w:t>53</w:t>
      </w:r>
      <w:r w:rsidRPr="008977FB">
        <w:tab/>
        <w:t>Fukae, M.</w:t>
      </w:r>
      <w:r w:rsidRPr="008977FB">
        <w:rPr>
          <w:i/>
        </w:rPr>
        <w:t xml:space="preserve"> et al.</w:t>
      </w:r>
      <w:r w:rsidRPr="008977FB">
        <w:t xml:space="preserve"> Primary Structure of the Porcine 89-kDa Enamelin. </w:t>
      </w:r>
      <w:r w:rsidRPr="008977FB">
        <w:rPr>
          <w:i/>
        </w:rPr>
        <w:t>Advances in Dental Research</w:t>
      </w:r>
      <w:r w:rsidRPr="008977FB">
        <w:t xml:space="preserve"> </w:t>
      </w:r>
      <w:r w:rsidRPr="008977FB">
        <w:rPr>
          <w:b/>
        </w:rPr>
        <w:t>10</w:t>
      </w:r>
      <w:r w:rsidRPr="008977FB">
        <w:t>, 111-118, doi:10.1177/08959374960100020201 (1996).</w:t>
      </w:r>
    </w:p>
    <w:p w14:paraId="0C333D6A" w14:textId="77777777" w:rsidR="00245513" w:rsidRPr="008977FB" w:rsidRDefault="00245513" w:rsidP="00245513">
      <w:pPr>
        <w:pStyle w:val="EndNoteBibliography"/>
        <w:ind w:left="720" w:hanging="720"/>
      </w:pPr>
      <w:r w:rsidRPr="008977FB">
        <w:t>54</w:t>
      </w:r>
      <w:r w:rsidRPr="008977FB">
        <w:tab/>
        <w:t xml:space="preserve">Colaert, N., Helsens, K., Martens, L., Vandekerckhove, J. &amp; Gevaert, K. Improved visualization of protein consensus sequences by iceLogo. </w:t>
      </w:r>
      <w:r w:rsidRPr="008977FB">
        <w:rPr>
          <w:i/>
        </w:rPr>
        <w:t>Nature Methods</w:t>
      </w:r>
      <w:r w:rsidRPr="008977FB">
        <w:t xml:space="preserve"> </w:t>
      </w:r>
      <w:r w:rsidRPr="008977FB">
        <w:rPr>
          <w:b/>
        </w:rPr>
        <w:t>6</w:t>
      </w:r>
      <w:r w:rsidRPr="008977FB">
        <w:t>, 786-787, doi:10.1038/nmeth1109-786 (2009).</w:t>
      </w:r>
    </w:p>
    <w:p w14:paraId="24C7C821" w14:textId="77777777" w:rsidR="00245513" w:rsidRPr="008977FB" w:rsidRDefault="00245513" w:rsidP="00245513">
      <w:pPr>
        <w:pStyle w:val="EndNoteBibliography"/>
        <w:ind w:left="720" w:hanging="720"/>
      </w:pPr>
      <w:r w:rsidRPr="008977FB">
        <w:t>55</w:t>
      </w:r>
      <w:r w:rsidRPr="008977FB">
        <w:tab/>
        <w:t>Prüfer, K.</w:t>
      </w:r>
      <w:r w:rsidRPr="008977FB">
        <w:rPr>
          <w:i/>
        </w:rPr>
        <w:t xml:space="preserve"> et al.</w:t>
      </w:r>
      <w:r w:rsidRPr="008977FB">
        <w:t xml:space="preserve"> A high-coverage Neandertal genome from Vindija Cave in Croatia. </w:t>
      </w:r>
      <w:r w:rsidRPr="008977FB">
        <w:rPr>
          <w:i/>
        </w:rPr>
        <w:t>Science</w:t>
      </w:r>
      <w:r w:rsidRPr="008977FB">
        <w:t xml:space="preserve"> </w:t>
      </w:r>
      <w:r w:rsidRPr="008977FB">
        <w:rPr>
          <w:b/>
        </w:rPr>
        <w:t>358</w:t>
      </w:r>
      <w:r w:rsidRPr="008977FB">
        <w:t>, 655-658, doi:10.1126/science.aao1887 (2017).</w:t>
      </w:r>
    </w:p>
    <w:p w14:paraId="1F556270" w14:textId="77777777" w:rsidR="00245513" w:rsidRPr="008977FB" w:rsidRDefault="00245513" w:rsidP="00245513">
      <w:pPr>
        <w:pStyle w:val="EndNoteBibliography"/>
        <w:ind w:left="720" w:hanging="720"/>
      </w:pPr>
      <w:r w:rsidRPr="008977FB">
        <w:t>56</w:t>
      </w:r>
      <w:r w:rsidRPr="008977FB">
        <w:tab/>
        <w:t>Meyer, M.</w:t>
      </w:r>
      <w:r w:rsidRPr="008977FB">
        <w:rPr>
          <w:i/>
        </w:rPr>
        <w:t xml:space="preserve"> et al.</w:t>
      </w:r>
      <w:r w:rsidRPr="008977FB">
        <w:t xml:space="preserve"> A High-Coverage Genome Sequence from an Archaic Denisovan Individual. </w:t>
      </w:r>
      <w:r w:rsidRPr="008977FB">
        <w:rPr>
          <w:i/>
        </w:rPr>
        <w:t>Science</w:t>
      </w:r>
      <w:r w:rsidRPr="008977FB">
        <w:t xml:space="preserve"> </w:t>
      </w:r>
      <w:r w:rsidRPr="008977FB">
        <w:rPr>
          <w:b/>
        </w:rPr>
        <w:t>338</w:t>
      </w:r>
      <w:r w:rsidRPr="008977FB">
        <w:t>, 222-226, doi:10.1126/science.1224344 (2012).</w:t>
      </w:r>
    </w:p>
    <w:p w14:paraId="29AE1FB8" w14:textId="77777777" w:rsidR="00245513" w:rsidRPr="008977FB" w:rsidRDefault="00245513" w:rsidP="00245513">
      <w:pPr>
        <w:pStyle w:val="EndNoteBibliography"/>
        <w:ind w:left="720" w:hanging="720"/>
      </w:pPr>
      <w:r w:rsidRPr="008977FB">
        <w:t>57</w:t>
      </w:r>
      <w:r w:rsidRPr="008977FB">
        <w:tab/>
        <w:t>Mallick, S.</w:t>
      </w:r>
      <w:r w:rsidRPr="008977FB">
        <w:rPr>
          <w:i/>
        </w:rPr>
        <w:t xml:space="preserve"> et al.</w:t>
      </w:r>
      <w:r w:rsidRPr="008977FB">
        <w:t xml:space="preserve"> The Simons Genome Diversity Project: 300 genomes from 142 diverse populations. </w:t>
      </w:r>
      <w:r w:rsidRPr="008977FB">
        <w:rPr>
          <w:i/>
        </w:rPr>
        <w:t>Nature</w:t>
      </w:r>
      <w:r w:rsidRPr="008977FB">
        <w:t xml:space="preserve"> </w:t>
      </w:r>
      <w:r w:rsidRPr="008977FB">
        <w:rPr>
          <w:b/>
        </w:rPr>
        <w:t>538</w:t>
      </w:r>
      <w:r w:rsidRPr="008977FB">
        <w:t>, 201-206, doi:10.1038/nature18964 (2016).</w:t>
      </w:r>
    </w:p>
    <w:p w14:paraId="18039A72" w14:textId="7CF5EAFB" w:rsidR="00245513" w:rsidRPr="008977FB" w:rsidRDefault="00380AE3" w:rsidP="00245513">
      <w:pPr>
        <w:pStyle w:val="EndNoteBibliography"/>
        <w:ind w:left="720" w:hanging="720"/>
      </w:pPr>
      <w:r>
        <w:t>58</w:t>
      </w:r>
      <w:r>
        <w:tab/>
        <w:t>The 1000 Genomes Project</w:t>
      </w:r>
      <w:r w:rsidR="00245513" w:rsidRPr="008977FB">
        <w:t xml:space="preserve"> C</w:t>
      </w:r>
      <w:r>
        <w:t>onsortium</w:t>
      </w:r>
      <w:r w:rsidR="00245513" w:rsidRPr="008977FB">
        <w:rPr>
          <w:i/>
        </w:rPr>
        <w:t>.</w:t>
      </w:r>
      <w:r w:rsidR="00245513" w:rsidRPr="008977FB">
        <w:t xml:space="preserve"> A global reference for human genetic variation. </w:t>
      </w:r>
      <w:r w:rsidR="00245513" w:rsidRPr="008977FB">
        <w:rPr>
          <w:i/>
        </w:rPr>
        <w:t>Nature</w:t>
      </w:r>
      <w:r w:rsidR="00245513" w:rsidRPr="008977FB">
        <w:t xml:space="preserve"> </w:t>
      </w:r>
      <w:r w:rsidR="00245513" w:rsidRPr="008977FB">
        <w:rPr>
          <w:b/>
        </w:rPr>
        <w:t>526</w:t>
      </w:r>
      <w:r w:rsidR="00245513" w:rsidRPr="008977FB">
        <w:t>, 68-74, doi:10.1038/nature15393 (2015).</w:t>
      </w:r>
    </w:p>
    <w:p w14:paraId="5D48B2E9" w14:textId="77777777" w:rsidR="00245513" w:rsidRPr="008977FB" w:rsidRDefault="00245513" w:rsidP="00245513">
      <w:pPr>
        <w:pStyle w:val="EndNoteBibliography"/>
        <w:ind w:left="720" w:hanging="720"/>
      </w:pPr>
      <w:r w:rsidRPr="008977FB">
        <w:t>59</w:t>
      </w:r>
      <w:r w:rsidRPr="008977FB">
        <w:tab/>
        <w:t xml:space="preserve">Katoh, K., Misawa, K., Kuma, K.-i. &amp; Miyata, T. MAFFT: a novel method for rapid multiple sequence alignment based on fast Fourier transform. </w:t>
      </w:r>
      <w:r w:rsidRPr="008977FB">
        <w:rPr>
          <w:i/>
        </w:rPr>
        <w:t>Nucleic acids research</w:t>
      </w:r>
      <w:r w:rsidRPr="008977FB">
        <w:t xml:space="preserve"> </w:t>
      </w:r>
      <w:r w:rsidRPr="008977FB">
        <w:rPr>
          <w:b/>
        </w:rPr>
        <w:t>30</w:t>
      </w:r>
      <w:r w:rsidRPr="008977FB">
        <w:t>, 3059-3066, doi:10.1093/nar/gkf436 (2002).</w:t>
      </w:r>
    </w:p>
    <w:p w14:paraId="49046C46" w14:textId="77777777" w:rsidR="00245513" w:rsidRPr="008977FB" w:rsidRDefault="00245513" w:rsidP="00245513">
      <w:pPr>
        <w:pStyle w:val="EndNoteBibliography"/>
        <w:ind w:left="720" w:hanging="720"/>
      </w:pPr>
      <w:r w:rsidRPr="008977FB">
        <w:t>60</w:t>
      </w:r>
      <w:r w:rsidRPr="008977FB">
        <w:tab/>
        <w:t>Guindon, S.</w:t>
      </w:r>
      <w:r w:rsidRPr="008977FB">
        <w:rPr>
          <w:i/>
        </w:rPr>
        <w:t xml:space="preserve"> et al.</w:t>
      </w:r>
      <w:r w:rsidRPr="008977FB">
        <w:t xml:space="preserve"> New Algorithms and Methods to Estimate Maximum-Likelihood Phylogenies: Assessing the Performance of PhyML 3.0. </w:t>
      </w:r>
      <w:r w:rsidRPr="008977FB">
        <w:rPr>
          <w:i/>
        </w:rPr>
        <w:t>Systematic Biology</w:t>
      </w:r>
      <w:r w:rsidRPr="008977FB">
        <w:t xml:space="preserve"> </w:t>
      </w:r>
      <w:r w:rsidRPr="008977FB">
        <w:rPr>
          <w:b/>
        </w:rPr>
        <w:t>59</w:t>
      </w:r>
      <w:r w:rsidRPr="008977FB">
        <w:t>, 307-321, doi:10.1093/sysbio/syq010 (2010).</w:t>
      </w:r>
    </w:p>
    <w:p w14:paraId="49BA907F" w14:textId="77777777" w:rsidR="00245513" w:rsidRPr="008977FB" w:rsidRDefault="00245513" w:rsidP="00245513">
      <w:pPr>
        <w:pStyle w:val="EndNoteBibliography"/>
        <w:ind w:left="720" w:hanging="720"/>
      </w:pPr>
      <w:r w:rsidRPr="008977FB">
        <w:t>61</w:t>
      </w:r>
      <w:r w:rsidRPr="008977FB">
        <w:tab/>
        <w:t>Ronquist, F.</w:t>
      </w:r>
      <w:r w:rsidRPr="008977FB">
        <w:rPr>
          <w:i/>
        </w:rPr>
        <w:t xml:space="preserve"> et al.</w:t>
      </w:r>
      <w:r w:rsidRPr="008977FB">
        <w:t xml:space="preserve"> MrBayes 3.2: Efficient Bayesian Phylogenetic Inference and Model Choice Across a Large Model Space. </w:t>
      </w:r>
      <w:r w:rsidRPr="008977FB">
        <w:rPr>
          <w:i/>
        </w:rPr>
        <w:t>Systematic Biology</w:t>
      </w:r>
      <w:r w:rsidRPr="008977FB">
        <w:t xml:space="preserve"> </w:t>
      </w:r>
      <w:r w:rsidRPr="008977FB">
        <w:rPr>
          <w:b/>
        </w:rPr>
        <w:t>61</w:t>
      </w:r>
      <w:r w:rsidRPr="008977FB">
        <w:t>, 539-542, doi:10.1093/sysbio/sys029 (2012).</w:t>
      </w:r>
    </w:p>
    <w:p w14:paraId="15463487" w14:textId="77777777" w:rsidR="00245513" w:rsidRPr="008977FB" w:rsidRDefault="00245513" w:rsidP="00245513">
      <w:pPr>
        <w:pStyle w:val="EndNoteBibliography"/>
        <w:ind w:left="720" w:hanging="720"/>
      </w:pPr>
      <w:r w:rsidRPr="008977FB">
        <w:t>62</w:t>
      </w:r>
      <w:r w:rsidRPr="008977FB">
        <w:tab/>
        <w:t>Bouckaert, R.</w:t>
      </w:r>
      <w:r w:rsidRPr="008977FB">
        <w:rPr>
          <w:i/>
        </w:rPr>
        <w:t xml:space="preserve"> et al.</w:t>
      </w:r>
      <w:r w:rsidRPr="008977FB">
        <w:t xml:space="preserve"> BEAST 2.5: An advanced software platform for Bayesian evolutionary analysis. </w:t>
      </w:r>
      <w:r w:rsidRPr="008977FB">
        <w:rPr>
          <w:i/>
        </w:rPr>
        <w:t>PLoS computational biology</w:t>
      </w:r>
      <w:r w:rsidRPr="008977FB">
        <w:t xml:space="preserve"> </w:t>
      </w:r>
      <w:r w:rsidRPr="008977FB">
        <w:rPr>
          <w:b/>
        </w:rPr>
        <w:t>15</w:t>
      </w:r>
      <w:r w:rsidRPr="008977FB">
        <w:t>, e1006650, doi:10.1371/journal.pcbi.1006650 (2019).</w:t>
      </w:r>
    </w:p>
    <w:p w14:paraId="4159D118" w14:textId="77777777" w:rsidR="00245513" w:rsidRPr="008977FB" w:rsidRDefault="00245513" w:rsidP="00245513">
      <w:pPr>
        <w:pStyle w:val="EndNoteBibliography"/>
        <w:ind w:left="720" w:hanging="720"/>
      </w:pPr>
      <w:r w:rsidRPr="008977FB">
        <w:t>63</w:t>
      </w:r>
      <w:r w:rsidRPr="008977FB">
        <w:tab/>
        <w:t xml:space="preserve">Miller, M. A., Pfeiffer, W. &amp; Schwartz, T. in </w:t>
      </w:r>
      <w:r w:rsidRPr="008977FB">
        <w:rPr>
          <w:i/>
        </w:rPr>
        <w:t>Gateway Computing Environments Workshop (GCE)</w:t>
      </w:r>
      <w:r w:rsidRPr="008977FB">
        <w:t xml:space="preserve">    1-8 (New Orleans, 2010).</w:t>
      </w:r>
    </w:p>
    <w:p w14:paraId="2DB76C72" w14:textId="77777777" w:rsidR="00245513" w:rsidRPr="008977FB" w:rsidRDefault="00245513" w:rsidP="00245513">
      <w:pPr>
        <w:pStyle w:val="EndNoteBibliography"/>
        <w:ind w:left="720" w:hanging="720"/>
      </w:pPr>
      <w:r w:rsidRPr="008977FB">
        <w:t>64</w:t>
      </w:r>
      <w:r w:rsidRPr="008977FB">
        <w:tab/>
        <w:t xml:space="preserve">Besenbacher, S., Hvilsom, C., Marques-Bonet, T., Mailund, T. &amp; Schierup, M. H. Direct estimation of mutations in great apes reconciles phylogenetic dating. </w:t>
      </w:r>
      <w:r w:rsidRPr="008977FB">
        <w:rPr>
          <w:i/>
        </w:rPr>
        <w:t>Nature Ecology &amp; Evolution</w:t>
      </w:r>
      <w:r w:rsidRPr="008977FB">
        <w:t xml:space="preserve"> </w:t>
      </w:r>
      <w:r w:rsidRPr="008977FB">
        <w:rPr>
          <w:b/>
        </w:rPr>
        <w:t>3</w:t>
      </w:r>
      <w:r w:rsidRPr="008977FB">
        <w:t>, 286-292, doi:10.1038/s41559-018-0778-x (2019).</w:t>
      </w:r>
    </w:p>
    <w:p w14:paraId="70C82C60" w14:textId="77777777" w:rsidR="00245513" w:rsidRPr="008977FB" w:rsidRDefault="00245513" w:rsidP="00245513">
      <w:pPr>
        <w:pStyle w:val="EndNoteBibliography"/>
        <w:ind w:left="720" w:hanging="720"/>
      </w:pPr>
      <w:r w:rsidRPr="008977FB">
        <w:lastRenderedPageBreak/>
        <w:t>65</w:t>
      </w:r>
      <w:r w:rsidRPr="008977FB">
        <w:tab/>
        <w:t xml:space="preserve">Rambaut, A., Drummond, A. J., Xie, D., Baele, G. &amp; Suchard, M. A. Posterior Summarization in Bayesian Phylogenetics Using Tracer 1.7. </w:t>
      </w:r>
      <w:r w:rsidRPr="008977FB">
        <w:rPr>
          <w:i/>
        </w:rPr>
        <w:t>Systematic biology</w:t>
      </w:r>
      <w:r w:rsidRPr="008977FB">
        <w:t xml:space="preserve"> </w:t>
      </w:r>
      <w:r w:rsidRPr="008977FB">
        <w:rPr>
          <w:b/>
        </w:rPr>
        <w:t>67</w:t>
      </w:r>
      <w:r w:rsidRPr="008977FB">
        <w:t>, 901-904, doi:10.1093/sysbio/syy032 (2018).</w:t>
      </w:r>
    </w:p>
    <w:p w14:paraId="4A5B4C58" w14:textId="77777777" w:rsidR="00245513" w:rsidRPr="00464017" w:rsidRDefault="00245513" w:rsidP="00245513">
      <w:pPr>
        <w:rPr>
          <w:lang w:val="en-GB"/>
        </w:rPr>
      </w:pPr>
      <w:r w:rsidRPr="00464017">
        <w:rPr>
          <w:color w:val="2B579A"/>
          <w:shd w:val="clear" w:color="auto" w:fill="E6E6E6"/>
          <w:lang w:val="en-GB"/>
        </w:rPr>
        <w:fldChar w:fldCharType="end"/>
      </w:r>
    </w:p>
    <w:p w14:paraId="04AFA4F8" w14:textId="12D6D70F" w:rsidR="00E32998" w:rsidRPr="00245513" w:rsidRDefault="00E32998" w:rsidP="00245513"/>
    <w:sectPr w:rsidR="00E32998" w:rsidRPr="00245513" w:rsidSect="00C04CC0">
      <w:footerReference w:type="default" r:id="rId13"/>
      <w:pgSz w:w="11906" w:h="16838"/>
      <w:pgMar w:top="1701" w:right="1134" w:bottom="1701" w:left="1134"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A178E1" w16cex:dateUtc="2019-12-16T02:30:00Z"/>
  <w16cex:commentExtensible w16cex:durableId="21A17903" w16cex:dateUtc="2019-12-16T02:31:00Z"/>
  <w16cex:commentExtensible w16cex:durableId="21A18AF5" w16cex:dateUtc="2019-12-16T03:47:00Z"/>
  <w16cex:commentExtensible w16cex:durableId="21A18C74" w16cex:dateUtc="2019-12-16T03:54:00Z"/>
  <w16cex:commentExtensible w16cex:durableId="21A18D77" w16cex:dateUtc="2019-12-16T03:58:00Z"/>
  <w16cex:commentExtensible w16cex:durableId="21A19160" w16cex:dateUtc="2019-12-16T04:15:00Z"/>
  <w16cex:commentExtensible w16cex:durableId="21A19062" w16cex:dateUtc="2019-12-16T04:10:00Z"/>
  <w16cex:commentExtensible w16cex:durableId="21A1C3C8" w16cex:dateUtc="2019-12-16T07:50:00Z"/>
  <w16cex:commentExtensible w16cex:durableId="21A1758E" w16cex:dateUtc="2019-12-16T02:16:00Z"/>
  <w16cex:commentExtensible w16cex:durableId="21A17573" w16cex:dateUtc="2019-12-16T02:16:00Z"/>
  <w16cex:commentExtensible w16cex:durableId="21A176A9" w16cex:dateUtc="2019-12-16T02:21:00Z"/>
  <w16cex:commentExtensible w16cex:durableId="21A176D4" w16cex:dateUtc="2019-12-16T02:21:00Z"/>
  <w16cex:commentExtensible w16cex:durableId="21A17BE7" w16cex:dateUtc="2019-12-16T02:43:00Z"/>
  <w16cex:commentExtensible w16cex:durableId="21A17E6C" w16cex:dateUtc="2019-12-16T02:54:00Z"/>
  <w16cex:commentExtensible w16cex:durableId="21A1870F" w16cex:dateUtc="2019-12-16T03:31:00Z"/>
  <w16cex:commentExtensible w16cex:durableId="21A18E7C" w16cex:dateUtc="2019-12-16T0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69EDAD" w16cid:durableId="21A178E1"/>
  <w16cid:commentId w16cid:paraId="48E18AA9" w16cid:durableId="21A1DDEA"/>
  <w16cid:commentId w16cid:paraId="30BC82C9" w16cid:durableId="21A17903"/>
  <w16cid:commentId w16cid:paraId="346B68A9" w16cid:durableId="21A1DDEC"/>
  <w16cid:commentId w16cid:paraId="6CDD815D" w16cid:durableId="21A18AF5"/>
  <w16cid:commentId w16cid:paraId="39738913" w16cid:durableId="21A18C74"/>
  <w16cid:commentId w16cid:paraId="6B70F910" w16cid:durableId="21A18D77"/>
  <w16cid:commentId w16cid:paraId="774AC7C1" w16cid:durableId="21A1DDF0"/>
  <w16cid:commentId w16cid:paraId="517C3D6E" w16cid:durableId="21A19160"/>
  <w16cid:commentId w16cid:paraId="119114AB" w16cid:durableId="21A19062"/>
  <w16cid:commentId w16cid:paraId="0DFF3FA9" w16cid:durableId="21A1C3C8"/>
  <w16cid:commentId w16cid:paraId="54CCD9C9" w16cid:durableId="21A1758E"/>
  <w16cid:commentId w16cid:paraId="146DDC22" w16cid:durableId="21A17573"/>
  <w16cid:commentId w16cid:paraId="2A5743B7" w16cid:durableId="21A176A9"/>
  <w16cid:commentId w16cid:paraId="347A3C3F" w16cid:durableId="21A176D4"/>
  <w16cid:commentId w16cid:paraId="23C23FBF" w16cid:durableId="21A17BE7"/>
  <w16cid:commentId w16cid:paraId="768D6875" w16cid:durableId="21A17E6C"/>
  <w16cid:commentId w16cid:paraId="73D8868E" w16cid:durableId="21A1870F"/>
  <w16cid:commentId w16cid:paraId="7FDDE221" w16cid:durableId="21A18E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E9B24" w14:textId="77777777" w:rsidR="00A348E1" w:rsidRDefault="00A348E1">
      <w:r>
        <w:separator/>
      </w:r>
    </w:p>
  </w:endnote>
  <w:endnote w:type="continuationSeparator" w:id="0">
    <w:p w14:paraId="3085A990" w14:textId="77777777" w:rsidR="00A348E1" w:rsidRDefault="00A348E1">
      <w:r>
        <w:continuationSeparator/>
      </w:r>
    </w:p>
  </w:endnote>
  <w:endnote w:type="continuationNotice" w:id="1">
    <w:p w14:paraId="6EDA9535" w14:textId="77777777" w:rsidR="00A348E1" w:rsidRDefault="00A34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32258"/>
      <w:docPartObj>
        <w:docPartGallery w:val="Page Numbers (Bottom of Page)"/>
        <w:docPartUnique/>
      </w:docPartObj>
    </w:sdtPr>
    <w:sdtEndPr/>
    <w:sdtContent>
      <w:p w14:paraId="209D8E66" w14:textId="32427E40" w:rsidR="00E32998" w:rsidRDefault="00E32998">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rsidR="009E481A">
          <w:rPr>
            <w:noProof/>
          </w:rPr>
          <w:t>28</w:t>
        </w:r>
        <w:r>
          <w:rPr>
            <w:color w:val="2B579A"/>
            <w:shd w:val="clear" w:color="auto" w:fill="E6E6E6"/>
          </w:rPr>
          <w:fldChar w:fldCharType="end"/>
        </w:r>
      </w:p>
    </w:sdtContent>
  </w:sdt>
  <w:p w14:paraId="72C7C5DC" w14:textId="77777777" w:rsidR="00E32998" w:rsidRDefault="00E3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1ABB" w14:textId="77777777" w:rsidR="00A348E1" w:rsidRDefault="00A348E1">
      <w:r>
        <w:separator/>
      </w:r>
    </w:p>
  </w:footnote>
  <w:footnote w:type="continuationSeparator" w:id="0">
    <w:p w14:paraId="32C10046" w14:textId="77777777" w:rsidR="00A348E1" w:rsidRDefault="00A348E1">
      <w:r>
        <w:continuationSeparator/>
      </w:r>
    </w:p>
  </w:footnote>
  <w:footnote w:type="continuationNotice" w:id="1">
    <w:p w14:paraId="3D898052" w14:textId="77777777" w:rsidR="00A348E1" w:rsidRDefault="00A348E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D63B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E58F1"/>
    <w:multiLevelType w:val="hybridMultilevel"/>
    <w:tmpl w:val="87F2B34A"/>
    <w:lvl w:ilvl="0" w:tplc="3CFC1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73C3DF4"/>
    <w:multiLevelType w:val="hybridMultilevel"/>
    <w:tmpl w:val="D25E087E"/>
    <w:lvl w:ilvl="0" w:tplc="10DE679A">
      <w:start w:val="1"/>
      <w:numFmt w:val="decimal"/>
      <w:lvlText w:val="%1."/>
      <w:lvlJc w:val="left"/>
      <w:pPr>
        <w:ind w:left="720" w:hanging="360"/>
      </w:pPr>
    </w:lvl>
    <w:lvl w:ilvl="1" w:tplc="D592BD9A">
      <w:start w:val="1"/>
      <w:numFmt w:val="lowerLetter"/>
      <w:lvlText w:val="%2."/>
      <w:lvlJc w:val="left"/>
      <w:pPr>
        <w:ind w:left="1440" w:hanging="360"/>
      </w:pPr>
    </w:lvl>
    <w:lvl w:ilvl="2" w:tplc="3E5CCFE0">
      <w:start w:val="1"/>
      <w:numFmt w:val="lowerRoman"/>
      <w:lvlText w:val="%3."/>
      <w:lvlJc w:val="right"/>
      <w:pPr>
        <w:ind w:left="2160" w:hanging="180"/>
      </w:pPr>
    </w:lvl>
    <w:lvl w:ilvl="3" w:tplc="61B00280">
      <w:start w:val="1"/>
      <w:numFmt w:val="decimal"/>
      <w:lvlText w:val="%4."/>
      <w:lvlJc w:val="left"/>
      <w:pPr>
        <w:ind w:left="2880" w:hanging="360"/>
      </w:pPr>
    </w:lvl>
    <w:lvl w:ilvl="4" w:tplc="2BBAC976">
      <w:start w:val="1"/>
      <w:numFmt w:val="lowerLetter"/>
      <w:lvlText w:val="%5."/>
      <w:lvlJc w:val="left"/>
      <w:pPr>
        <w:ind w:left="3600" w:hanging="360"/>
      </w:pPr>
    </w:lvl>
    <w:lvl w:ilvl="5" w:tplc="349ED924">
      <w:start w:val="1"/>
      <w:numFmt w:val="lowerRoman"/>
      <w:lvlText w:val="%6."/>
      <w:lvlJc w:val="right"/>
      <w:pPr>
        <w:ind w:left="4320" w:hanging="180"/>
      </w:pPr>
    </w:lvl>
    <w:lvl w:ilvl="6" w:tplc="B4B63858">
      <w:start w:val="1"/>
      <w:numFmt w:val="decimal"/>
      <w:lvlText w:val="%7."/>
      <w:lvlJc w:val="left"/>
      <w:pPr>
        <w:ind w:left="5040" w:hanging="360"/>
      </w:pPr>
    </w:lvl>
    <w:lvl w:ilvl="7" w:tplc="F3C09D3A">
      <w:start w:val="1"/>
      <w:numFmt w:val="lowerLetter"/>
      <w:lvlText w:val="%8."/>
      <w:lvlJc w:val="left"/>
      <w:pPr>
        <w:ind w:left="5760" w:hanging="360"/>
      </w:pPr>
    </w:lvl>
    <w:lvl w:ilvl="8" w:tplc="34865608">
      <w:start w:val="1"/>
      <w:numFmt w:val="lowerRoman"/>
      <w:lvlText w:val="%9."/>
      <w:lvlJc w:val="right"/>
      <w:pPr>
        <w:ind w:left="6480" w:hanging="180"/>
      </w:pPr>
    </w:lvl>
  </w:abstractNum>
  <w:abstractNum w:abstractNumId="3" w15:restartNumberingAfterBreak="0">
    <w:nsid w:val="23AF1F7B"/>
    <w:multiLevelType w:val="hybridMultilevel"/>
    <w:tmpl w:val="F544C2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5600750"/>
    <w:multiLevelType w:val="hybridMultilevel"/>
    <w:tmpl w:val="07C0D3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86E3E"/>
    <w:multiLevelType w:val="hybridMultilevel"/>
    <w:tmpl w:val="115085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CF4518"/>
    <w:multiLevelType w:val="multilevel"/>
    <w:tmpl w:val="C3AAE17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E93BA7"/>
    <w:multiLevelType w:val="hybridMultilevel"/>
    <w:tmpl w:val="55F8954A"/>
    <w:lvl w:ilvl="0" w:tplc="A7CA95A2">
      <w:start w:val="1"/>
      <w:numFmt w:val="decimal"/>
      <w:lvlText w:val="%1."/>
      <w:lvlJc w:val="left"/>
      <w:pPr>
        <w:ind w:left="720" w:hanging="360"/>
      </w:pPr>
    </w:lvl>
    <w:lvl w:ilvl="1" w:tplc="DF0418A8">
      <w:start w:val="1"/>
      <w:numFmt w:val="lowerLetter"/>
      <w:lvlText w:val="%2."/>
      <w:lvlJc w:val="left"/>
      <w:pPr>
        <w:ind w:left="1440" w:hanging="360"/>
      </w:pPr>
    </w:lvl>
    <w:lvl w:ilvl="2" w:tplc="6D5CCAF4">
      <w:start w:val="1"/>
      <w:numFmt w:val="lowerRoman"/>
      <w:lvlText w:val="%3."/>
      <w:lvlJc w:val="right"/>
      <w:pPr>
        <w:ind w:left="2160" w:hanging="180"/>
      </w:pPr>
    </w:lvl>
    <w:lvl w:ilvl="3" w:tplc="7F402946">
      <w:start w:val="1"/>
      <w:numFmt w:val="decimal"/>
      <w:lvlText w:val="%4."/>
      <w:lvlJc w:val="left"/>
      <w:pPr>
        <w:ind w:left="2880" w:hanging="360"/>
      </w:pPr>
    </w:lvl>
    <w:lvl w:ilvl="4" w:tplc="DC821898">
      <w:start w:val="1"/>
      <w:numFmt w:val="lowerLetter"/>
      <w:lvlText w:val="%5."/>
      <w:lvlJc w:val="left"/>
      <w:pPr>
        <w:ind w:left="3600" w:hanging="360"/>
      </w:pPr>
    </w:lvl>
    <w:lvl w:ilvl="5" w:tplc="C504CA76">
      <w:start w:val="1"/>
      <w:numFmt w:val="lowerRoman"/>
      <w:lvlText w:val="%6."/>
      <w:lvlJc w:val="right"/>
      <w:pPr>
        <w:ind w:left="4320" w:hanging="180"/>
      </w:pPr>
    </w:lvl>
    <w:lvl w:ilvl="6" w:tplc="C9D235F0">
      <w:start w:val="1"/>
      <w:numFmt w:val="decimal"/>
      <w:lvlText w:val="%7."/>
      <w:lvlJc w:val="left"/>
      <w:pPr>
        <w:ind w:left="5040" w:hanging="360"/>
      </w:pPr>
    </w:lvl>
    <w:lvl w:ilvl="7" w:tplc="A65481D4">
      <w:start w:val="1"/>
      <w:numFmt w:val="lowerLetter"/>
      <w:lvlText w:val="%8."/>
      <w:lvlJc w:val="left"/>
      <w:pPr>
        <w:ind w:left="5760" w:hanging="360"/>
      </w:pPr>
    </w:lvl>
    <w:lvl w:ilvl="8" w:tplc="36385E90">
      <w:start w:val="1"/>
      <w:numFmt w:val="lowerRoman"/>
      <w:lvlText w:val="%9."/>
      <w:lvlJc w:val="right"/>
      <w:pPr>
        <w:ind w:left="6480" w:hanging="180"/>
      </w:pPr>
    </w:lvl>
  </w:abstractNum>
  <w:abstractNum w:abstractNumId="8" w15:restartNumberingAfterBreak="0">
    <w:nsid w:val="298931F3"/>
    <w:multiLevelType w:val="hybridMultilevel"/>
    <w:tmpl w:val="1C789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87D0C"/>
    <w:multiLevelType w:val="hybridMultilevel"/>
    <w:tmpl w:val="A246C686"/>
    <w:lvl w:ilvl="0" w:tplc="0409000F">
      <w:start w:val="1"/>
      <w:numFmt w:val="decimal"/>
      <w:lvlText w:val="%1."/>
      <w:lvlJc w:val="left"/>
      <w:pPr>
        <w:ind w:left="501" w:hanging="360"/>
      </w:pPr>
    </w:lvl>
    <w:lvl w:ilvl="1" w:tplc="04090019">
      <w:start w:val="1"/>
      <w:numFmt w:val="lowerLetter"/>
      <w:lvlText w:val="%2."/>
      <w:lvlJc w:val="left"/>
      <w:pPr>
        <w:ind w:left="927"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2650EC"/>
    <w:multiLevelType w:val="hybridMultilevel"/>
    <w:tmpl w:val="A246C686"/>
    <w:lvl w:ilvl="0" w:tplc="0409000F">
      <w:start w:val="1"/>
      <w:numFmt w:val="decimal"/>
      <w:lvlText w:val="%1."/>
      <w:lvlJc w:val="left"/>
      <w:pPr>
        <w:ind w:left="501" w:hanging="360"/>
      </w:pPr>
    </w:lvl>
    <w:lvl w:ilvl="1" w:tplc="04090019">
      <w:start w:val="1"/>
      <w:numFmt w:val="lowerLetter"/>
      <w:lvlText w:val="%2."/>
      <w:lvlJc w:val="left"/>
      <w:pPr>
        <w:ind w:left="927"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B697D"/>
    <w:multiLevelType w:val="hybridMultilevel"/>
    <w:tmpl w:val="5BE8637C"/>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1604CFB"/>
    <w:multiLevelType w:val="hybridMultilevel"/>
    <w:tmpl w:val="89EA3C4C"/>
    <w:lvl w:ilvl="0" w:tplc="85AEDB66">
      <w:start w:val="1"/>
      <w:numFmt w:val="decimal"/>
      <w:lvlText w:val="%1."/>
      <w:lvlJc w:val="left"/>
      <w:pPr>
        <w:ind w:left="501" w:hanging="360"/>
      </w:pPr>
      <w:rPr>
        <w:i w:val="0"/>
      </w:rPr>
    </w:lvl>
    <w:lvl w:ilvl="1" w:tplc="A60831E4">
      <w:start w:val="1"/>
      <w:numFmt w:val="lowerLetter"/>
      <w:lvlText w:val="%2."/>
      <w:lvlJc w:val="left"/>
      <w:pPr>
        <w:ind w:left="927"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3134823"/>
    <w:multiLevelType w:val="multilevel"/>
    <w:tmpl w:val="52E6B0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F153AB"/>
    <w:multiLevelType w:val="hybridMultilevel"/>
    <w:tmpl w:val="150A7D42"/>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B4351A5"/>
    <w:multiLevelType w:val="hybridMultilevel"/>
    <w:tmpl w:val="5328AFBA"/>
    <w:lvl w:ilvl="0" w:tplc="89D66E1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D1D14"/>
    <w:multiLevelType w:val="hybridMultilevel"/>
    <w:tmpl w:val="828C97E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CA11C75"/>
    <w:multiLevelType w:val="hybridMultilevel"/>
    <w:tmpl w:val="E5FECE94"/>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01B1DA9"/>
    <w:multiLevelType w:val="hybridMultilevel"/>
    <w:tmpl w:val="3DA68D5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74AD5694"/>
    <w:multiLevelType w:val="hybridMultilevel"/>
    <w:tmpl w:val="7436A8A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A205D"/>
    <w:multiLevelType w:val="hybridMultilevel"/>
    <w:tmpl w:val="78F272F0"/>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18"/>
  </w:num>
  <w:num w:numId="4">
    <w:abstractNumId w:val="0"/>
  </w:num>
  <w:num w:numId="5">
    <w:abstractNumId w:val="7"/>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11"/>
  </w:num>
  <w:num w:numId="11">
    <w:abstractNumId w:val="20"/>
  </w:num>
  <w:num w:numId="12">
    <w:abstractNumId w:val="19"/>
  </w:num>
  <w:num w:numId="13">
    <w:abstractNumId w:val="14"/>
  </w:num>
  <w:num w:numId="14">
    <w:abstractNumId w:val="16"/>
  </w:num>
  <w:num w:numId="15">
    <w:abstractNumId w:val="10"/>
  </w:num>
  <w:num w:numId="16">
    <w:abstractNumId w:val="9"/>
  </w:num>
  <w:num w:numId="17">
    <w:abstractNumId w:val="1"/>
  </w:num>
  <w:num w:numId="18">
    <w:abstractNumId w:val="8"/>
  </w:num>
  <w:num w:numId="19">
    <w:abstractNumId w:val="4"/>
  </w:num>
  <w:num w:numId="20">
    <w:abstractNumId w:val="13"/>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da-DK" w:vendorID="64" w:dllVersion="6" w:nlCheck="1" w:checkStyle="0"/>
  <w:activeWritingStyle w:appName="MSWord" w:lang="en-US"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nl-NL" w:vendorID="64" w:dllVersion="4096" w:nlCheck="1" w:checkStyle="0"/>
  <w:activeWritingStyle w:appName="MSWord" w:lang="da-DK" w:vendorID="64" w:dllVersion="409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a-DK" w:vendorID="64" w:dllVersion="131078" w:nlCheck="1" w:checkStyle="0"/>
  <w:activeWritingStyle w:appName="MSWord" w:lang="es-ES" w:vendorID="64" w:dllVersion="131078" w:nlCheck="1" w:checkStyle="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rv00spvr9awdexfzixap2trdv5z2s9vv0e&quot;&gt;Dmanisi Rhino Library&lt;record-ids&gt;&lt;item&gt;9&lt;/item&gt;&lt;item&gt;10&lt;/item&gt;&lt;item&gt;13&lt;/item&gt;&lt;item&gt;20&lt;/item&gt;&lt;item&gt;24&lt;/item&gt;&lt;item&gt;27&lt;/item&gt;&lt;item&gt;30&lt;/item&gt;&lt;item&gt;31&lt;/item&gt;&lt;item&gt;44&lt;/item&gt;&lt;item&gt;45&lt;/item&gt;&lt;item&gt;47&lt;/item&gt;&lt;item&gt;48&lt;/item&gt;&lt;item&gt;50&lt;/item&gt;&lt;item&gt;52&lt;/item&gt;&lt;item&gt;94&lt;/item&gt;&lt;item&gt;106&lt;/item&gt;&lt;item&gt;107&lt;/item&gt;&lt;item&gt;108&lt;/item&gt;&lt;item&gt;221&lt;/item&gt;&lt;item&gt;222&lt;/item&gt;&lt;item&gt;246&lt;/item&gt;&lt;item&gt;247&lt;/item&gt;&lt;item&gt;257&lt;/item&gt;&lt;item&gt;259&lt;/item&gt;&lt;item&gt;265&lt;/item&gt;&lt;item&gt;267&lt;/item&gt;&lt;item&gt;269&lt;/item&gt;&lt;item&gt;271&lt;/item&gt;&lt;item&gt;280&lt;/item&gt;&lt;item&gt;281&lt;/item&gt;&lt;item&gt;282&lt;/item&gt;&lt;item&gt;283&lt;/item&gt;&lt;item&gt;284&lt;/item&gt;&lt;item&gt;285&lt;/item&gt;&lt;item&gt;286&lt;/item&gt;&lt;item&gt;288&lt;/item&gt;&lt;item&gt;290&lt;/item&gt;&lt;item&gt;291&lt;/item&gt;&lt;item&gt;292&lt;/item&gt;&lt;item&gt;293&lt;/item&gt;&lt;item&gt;294&lt;/item&gt;&lt;item&gt;295&lt;/item&gt;&lt;item&gt;296&lt;/item&gt;&lt;item&gt;297&lt;/item&gt;&lt;item&gt;298&lt;/item&gt;&lt;item&gt;299&lt;/item&gt;&lt;item&gt;300&lt;/item&gt;&lt;item&gt;302&lt;/item&gt;&lt;item&gt;303&lt;/item&gt;&lt;item&gt;331&lt;/item&gt;&lt;item&gt;344&lt;/item&gt;&lt;item&gt;346&lt;/item&gt;&lt;item&gt;348&lt;/item&gt;&lt;item&gt;350&lt;/item&gt;&lt;item&gt;351&lt;/item&gt;&lt;item&gt;352&lt;/item&gt;&lt;item&gt;356&lt;/item&gt;&lt;item&gt;357&lt;/item&gt;&lt;item&gt;361&lt;/item&gt;&lt;item&gt;363&lt;/item&gt;&lt;item&gt;371&lt;/item&gt;&lt;item&gt;372&lt;/item&gt;&lt;/record-ids&gt;&lt;/item&gt;&lt;/Libraries&gt;"/>
  </w:docVars>
  <w:rsids>
    <w:rsidRoot w:val="00F3124F"/>
    <w:rsid w:val="00000AAC"/>
    <w:rsid w:val="00001611"/>
    <w:rsid w:val="000021C9"/>
    <w:rsid w:val="000041DD"/>
    <w:rsid w:val="0000679B"/>
    <w:rsid w:val="00006C33"/>
    <w:rsid w:val="00007F17"/>
    <w:rsid w:val="00011A4D"/>
    <w:rsid w:val="0001236D"/>
    <w:rsid w:val="00012921"/>
    <w:rsid w:val="0001295D"/>
    <w:rsid w:val="00012EA1"/>
    <w:rsid w:val="00013162"/>
    <w:rsid w:val="00013986"/>
    <w:rsid w:val="00013F70"/>
    <w:rsid w:val="000141E4"/>
    <w:rsid w:val="0001537D"/>
    <w:rsid w:val="00016757"/>
    <w:rsid w:val="00020073"/>
    <w:rsid w:val="0002023A"/>
    <w:rsid w:val="00020F80"/>
    <w:rsid w:val="00022098"/>
    <w:rsid w:val="00023B84"/>
    <w:rsid w:val="000248F1"/>
    <w:rsid w:val="0002668B"/>
    <w:rsid w:val="00027FFC"/>
    <w:rsid w:val="00032F35"/>
    <w:rsid w:val="000330A0"/>
    <w:rsid w:val="00033B58"/>
    <w:rsid w:val="00033D28"/>
    <w:rsid w:val="0003409B"/>
    <w:rsid w:val="000343E6"/>
    <w:rsid w:val="00034AE4"/>
    <w:rsid w:val="00035C5F"/>
    <w:rsid w:val="000367A9"/>
    <w:rsid w:val="0003686B"/>
    <w:rsid w:val="00036DB1"/>
    <w:rsid w:val="0003724C"/>
    <w:rsid w:val="00037425"/>
    <w:rsid w:val="000379F4"/>
    <w:rsid w:val="000405BE"/>
    <w:rsid w:val="00041EE3"/>
    <w:rsid w:val="00042574"/>
    <w:rsid w:val="000426FD"/>
    <w:rsid w:val="00043A0B"/>
    <w:rsid w:val="000448AF"/>
    <w:rsid w:val="000466CB"/>
    <w:rsid w:val="00050234"/>
    <w:rsid w:val="00050BD0"/>
    <w:rsid w:val="0005108C"/>
    <w:rsid w:val="00051880"/>
    <w:rsid w:val="00052B6B"/>
    <w:rsid w:val="00053AA6"/>
    <w:rsid w:val="000557BA"/>
    <w:rsid w:val="00055F8F"/>
    <w:rsid w:val="000564BE"/>
    <w:rsid w:val="00057265"/>
    <w:rsid w:val="00057CA3"/>
    <w:rsid w:val="000600D4"/>
    <w:rsid w:val="00060C4E"/>
    <w:rsid w:val="00061085"/>
    <w:rsid w:val="00062433"/>
    <w:rsid w:val="0006317F"/>
    <w:rsid w:val="000645EA"/>
    <w:rsid w:val="00066504"/>
    <w:rsid w:val="00066762"/>
    <w:rsid w:val="00067897"/>
    <w:rsid w:val="000678B3"/>
    <w:rsid w:val="00071C12"/>
    <w:rsid w:val="00072593"/>
    <w:rsid w:val="00072912"/>
    <w:rsid w:val="000731D3"/>
    <w:rsid w:val="00073464"/>
    <w:rsid w:val="00074DE2"/>
    <w:rsid w:val="000752A7"/>
    <w:rsid w:val="0007575A"/>
    <w:rsid w:val="00075E1C"/>
    <w:rsid w:val="00075EAB"/>
    <w:rsid w:val="00075F7C"/>
    <w:rsid w:val="00076AFF"/>
    <w:rsid w:val="000772B1"/>
    <w:rsid w:val="000803F8"/>
    <w:rsid w:val="00081D4B"/>
    <w:rsid w:val="00082C92"/>
    <w:rsid w:val="00082CE5"/>
    <w:rsid w:val="00082CF2"/>
    <w:rsid w:val="0008370A"/>
    <w:rsid w:val="00084038"/>
    <w:rsid w:val="000847BD"/>
    <w:rsid w:val="000850DA"/>
    <w:rsid w:val="0008707A"/>
    <w:rsid w:val="00093D98"/>
    <w:rsid w:val="0009502D"/>
    <w:rsid w:val="0009523E"/>
    <w:rsid w:val="00095277"/>
    <w:rsid w:val="00095923"/>
    <w:rsid w:val="000960FC"/>
    <w:rsid w:val="00096EED"/>
    <w:rsid w:val="000978EB"/>
    <w:rsid w:val="000A001E"/>
    <w:rsid w:val="000A1CFA"/>
    <w:rsid w:val="000A1F1E"/>
    <w:rsid w:val="000A3304"/>
    <w:rsid w:val="000A37C5"/>
    <w:rsid w:val="000A3E65"/>
    <w:rsid w:val="000A4366"/>
    <w:rsid w:val="000A4FDD"/>
    <w:rsid w:val="000A5658"/>
    <w:rsid w:val="000A5C9D"/>
    <w:rsid w:val="000A66D8"/>
    <w:rsid w:val="000A6B3D"/>
    <w:rsid w:val="000A7A02"/>
    <w:rsid w:val="000A7B07"/>
    <w:rsid w:val="000B2462"/>
    <w:rsid w:val="000B38B6"/>
    <w:rsid w:val="000B7B60"/>
    <w:rsid w:val="000B7F42"/>
    <w:rsid w:val="000C1A47"/>
    <w:rsid w:val="000C1EBF"/>
    <w:rsid w:val="000C28DF"/>
    <w:rsid w:val="000C2CD6"/>
    <w:rsid w:val="000C536C"/>
    <w:rsid w:val="000C5A9F"/>
    <w:rsid w:val="000C6F0D"/>
    <w:rsid w:val="000C6FEE"/>
    <w:rsid w:val="000C7928"/>
    <w:rsid w:val="000D1C8D"/>
    <w:rsid w:val="000D2ED6"/>
    <w:rsid w:val="000D407D"/>
    <w:rsid w:val="000D4673"/>
    <w:rsid w:val="000D5568"/>
    <w:rsid w:val="000D613D"/>
    <w:rsid w:val="000E09E9"/>
    <w:rsid w:val="000E1129"/>
    <w:rsid w:val="000E26C0"/>
    <w:rsid w:val="000E435E"/>
    <w:rsid w:val="000E4387"/>
    <w:rsid w:val="000E4EB5"/>
    <w:rsid w:val="000E57F5"/>
    <w:rsid w:val="000E6193"/>
    <w:rsid w:val="000E6302"/>
    <w:rsid w:val="000E6EB5"/>
    <w:rsid w:val="000F0AE4"/>
    <w:rsid w:val="000F0BC1"/>
    <w:rsid w:val="000F0DA5"/>
    <w:rsid w:val="000F474E"/>
    <w:rsid w:val="000F4AB9"/>
    <w:rsid w:val="000F4BA5"/>
    <w:rsid w:val="000F7363"/>
    <w:rsid w:val="000F76F7"/>
    <w:rsid w:val="001002FA"/>
    <w:rsid w:val="001007F1"/>
    <w:rsid w:val="00100A87"/>
    <w:rsid w:val="00100ED6"/>
    <w:rsid w:val="0010201F"/>
    <w:rsid w:val="001026D1"/>
    <w:rsid w:val="00102B71"/>
    <w:rsid w:val="0010391A"/>
    <w:rsid w:val="00103D59"/>
    <w:rsid w:val="001072A3"/>
    <w:rsid w:val="0011014B"/>
    <w:rsid w:val="0011118B"/>
    <w:rsid w:val="00111380"/>
    <w:rsid w:val="00112406"/>
    <w:rsid w:val="00112755"/>
    <w:rsid w:val="00113FB7"/>
    <w:rsid w:val="00114213"/>
    <w:rsid w:val="001142C3"/>
    <w:rsid w:val="00114976"/>
    <w:rsid w:val="001153EA"/>
    <w:rsid w:val="001155D2"/>
    <w:rsid w:val="001169D8"/>
    <w:rsid w:val="00117693"/>
    <w:rsid w:val="0011772B"/>
    <w:rsid w:val="00117BF3"/>
    <w:rsid w:val="00117D9C"/>
    <w:rsid w:val="001204B0"/>
    <w:rsid w:val="001204BE"/>
    <w:rsid w:val="00122038"/>
    <w:rsid w:val="00122954"/>
    <w:rsid w:val="00125CCC"/>
    <w:rsid w:val="00126FAD"/>
    <w:rsid w:val="00127B4D"/>
    <w:rsid w:val="00127F97"/>
    <w:rsid w:val="00130960"/>
    <w:rsid w:val="0013259B"/>
    <w:rsid w:val="00133E74"/>
    <w:rsid w:val="001344ED"/>
    <w:rsid w:val="0013527F"/>
    <w:rsid w:val="00135CC4"/>
    <w:rsid w:val="00136CC7"/>
    <w:rsid w:val="001376AE"/>
    <w:rsid w:val="00137961"/>
    <w:rsid w:val="00137DF2"/>
    <w:rsid w:val="00140684"/>
    <w:rsid w:val="00140DE7"/>
    <w:rsid w:val="00142526"/>
    <w:rsid w:val="00143791"/>
    <w:rsid w:val="00143B4C"/>
    <w:rsid w:val="00143B75"/>
    <w:rsid w:val="00144746"/>
    <w:rsid w:val="001447C6"/>
    <w:rsid w:val="00145526"/>
    <w:rsid w:val="00145B1B"/>
    <w:rsid w:val="00145F9D"/>
    <w:rsid w:val="00146EFA"/>
    <w:rsid w:val="00147713"/>
    <w:rsid w:val="001505A2"/>
    <w:rsid w:val="001505F7"/>
    <w:rsid w:val="00150643"/>
    <w:rsid w:val="00150A09"/>
    <w:rsid w:val="00150CDB"/>
    <w:rsid w:val="001525C4"/>
    <w:rsid w:val="001531DE"/>
    <w:rsid w:val="00153AA8"/>
    <w:rsid w:val="00154983"/>
    <w:rsid w:val="00154DAA"/>
    <w:rsid w:val="00154E59"/>
    <w:rsid w:val="0015521E"/>
    <w:rsid w:val="001557F2"/>
    <w:rsid w:val="00156BA1"/>
    <w:rsid w:val="00156BE2"/>
    <w:rsid w:val="0015736C"/>
    <w:rsid w:val="001602AE"/>
    <w:rsid w:val="00160ABC"/>
    <w:rsid w:val="00160E1B"/>
    <w:rsid w:val="001610B8"/>
    <w:rsid w:val="0016142E"/>
    <w:rsid w:val="00161643"/>
    <w:rsid w:val="00161F7F"/>
    <w:rsid w:val="00162481"/>
    <w:rsid w:val="00163493"/>
    <w:rsid w:val="00163A47"/>
    <w:rsid w:val="001659DF"/>
    <w:rsid w:val="00167021"/>
    <w:rsid w:val="001677AB"/>
    <w:rsid w:val="00167882"/>
    <w:rsid w:val="00167C8A"/>
    <w:rsid w:val="001705FC"/>
    <w:rsid w:val="00170A83"/>
    <w:rsid w:val="00171B45"/>
    <w:rsid w:val="00171E48"/>
    <w:rsid w:val="00173DB5"/>
    <w:rsid w:val="00176E0A"/>
    <w:rsid w:val="001771CB"/>
    <w:rsid w:val="001772D4"/>
    <w:rsid w:val="00177B70"/>
    <w:rsid w:val="00180599"/>
    <w:rsid w:val="00180F94"/>
    <w:rsid w:val="001813F1"/>
    <w:rsid w:val="00182B45"/>
    <w:rsid w:val="001843C0"/>
    <w:rsid w:val="0018469D"/>
    <w:rsid w:val="00184752"/>
    <w:rsid w:val="00184757"/>
    <w:rsid w:val="00186317"/>
    <w:rsid w:val="0018673C"/>
    <w:rsid w:val="001867D9"/>
    <w:rsid w:val="00186BED"/>
    <w:rsid w:val="00190017"/>
    <w:rsid w:val="00190163"/>
    <w:rsid w:val="00192124"/>
    <w:rsid w:val="001921FD"/>
    <w:rsid w:val="0019492C"/>
    <w:rsid w:val="00195F64"/>
    <w:rsid w:val="00196AF4"/>
    <w:rsid w:val="00197DA0"/>
    <w:rsid w:val="001A02E5"/>
    <w:rsid w:val="001A09E9"/>
    <w:rsid w:val="001A0A53"/>
    <w:rsid w:val="001A2596"/>
    <w:rsid w:val="001A2DD9"/>
    <w:rsid w:val="001A60A2"/>
    <w:rsid w:val="001A659C"/>
    <w:rsid w:val="001A7684"/>
    <w:rsid w:val="001A7FEB"/>
    <w:rsid w:val="001B1722"/>
    <w:rsid w:val="001B17BF"/>
    <w:rsid w:val="001B3637"/>
    <w:rsid w:val="001B462F"/>
    <w:rsid w:val="001B47F4"/>
    <w:rsid w:val="001B4FE1"/>
    <w:rsid w:val="001B58D8"/>
    <w:rsid w:val="001B64BE"/>
    <w:rsid w:val="001B658E"/>
    <w:rsid w:val="001B7386"/>
    <w:rsid w:val="001B7508"/>
    <w:rsid w:val="001C1209"/>
    <w:rsid w:val="001C202B"/>
    <w:rsid w:val="001C291D"/>
    <w:rsid w:val="001C4A1A"/>
    <w:rsid w:val="001C4B46"/>
    <w:rsid w:val="001C6B91"/>
    <w:rsid w:val="001C75B5"/>
    <w:rsid w:val="001C7BF5"/>
    <w:rsid w:val="001C7EBA"/>
    <w:rsid w:val="001C7F5B"/>
    <w:rsid w:val="001D0A90"/>
    <w:rsid w:val="001D1437"/>
    <w:rsid w:val="001D1552"/>
    <w:rsid w:val="001D22A7"/>
    <w:rsid w:val="001D2852"/>
    <w:rsid w:val="001D58A8"/>
    <w:rsid w:val="001D6D94"/>
    <w:rsid w:val="001D772F"/>
    <w:rsid w:val="001E1A53"/>
    <w:rsid w:val="001E1B43"/>
    <w:rsid w:val="001E2A3D"/>
    <w:rsid w:val="001E2DF6"/>
    <w:rsid w:val="001E3AB7"/>
    <w:rsid w:val="001E3CE2"/>
    <w:rsid w:val="001E4B9E"/>
    <w:rsid w:val="001E7255"/>
    <w:rsid w:val="001E76E1"/>
    <w:rsid w:val="001E77D4"/>
    <w:rsid w:val="001F0DBC"/>
    <w:rsid w:val="001F1BB4"/>
    <w:rsid w:val="001F340A"/>
    <w:rsid w:val="001F34F5"/>
    <w:rsid w:val="001F46C3"/>
    <w:rsid w:val="001F49D5"/>
    <w:rsid w:val="001F5FCC"/>
    <w:rsid w:val="001F621E"/>
    <w:rsid w:val="00200141"/>
    <w:rsid w:val="00200696"/>
    <w:rsid w:val="002009FE"/>
    <w:rsid w:val="00202F52"/>
    <w:rsid w:val="0020358C"/>
    <w:rsid w:val="002038A4"/>
    <w:rsid w:val="00204B7E"/>
    <w:rsid w:val="00204D8D"/>
    <w:rsid w:val="00204DF7"/>
    <w:rsid w:val="00204FB8"/>
    <w:rsid w:val="0020614A"/>
    <w:rsid w:val="00207F3D"/>
    <w:rsid w:val="00207FF9"/>
    <w:rsid w:val="00210C6D"/>
    <w:rsid w:val="00212093"/>
    <w:rsid w:val="00212680"/>
    <w:rsid w:val="002133DD"/>
    <w:rsid w:val="00214354"/>
    <w:rsid w:val="002145EF"/>
    <w:rsid w:val="00214E2D"/>
    <w:rsid w:val="002155B2"/>
    <w:rsid w:val="00215B7B"/>
    <w:rsid w:val="002166AF"/>
    <w:rsid w:val="002201B1"/>
    <w:rsid w:val="00220337"/>
    <w:rsid w:val="00223EFC"/>
    <w:rsid w:val="00225E52"/>
    <w:rsid w:val="00226003"/>
    <w:rsid w:val="00226809"/>
    <w:rsid w:val="00227314"/>
    <w:rsid w:val="0022746C"/>
    <w:rsid w:val="00233C18"/>
    <w:rsid w:val="00234073"/>
    <w:rsid w:val="002340BE"/>
    <w:rsid w:val="00234188"/>
    <w:rsid w:val="0023482D"/>
    <w:rsid w:val="00234A18"/>
    <w:rsid w:val="002352BE"/>
    <w:rsid w:val="00235397"/>
    <w:rsid w:val="00235561"/>
    <w:rsid w:val="0023598E"/>
    <w:rsid w:val="00235CFF"/>
    <w:rsid w:val="00235DAA"/>
    <w:rsid w:val="002363B8"/>
    <w:rsid w:val="0023695E"/>
    <w:rsid w:val="00236A28"/>
    <w:rsid w:val="0023742D"/>
    <w:rsid w:val="00237A85"/>
    <w:rsid w:val="00240825"/>
    <w:rsid w:val="00240842"/>
    <w:rsid w:val="00240EF5"/>
    <w:rsid w:val="00241A45"/>
    <w:rsid w:val="00241D0C"/>
    <w:rsid w:val="00243E1C"/>
    <w:rsid w:val="00243F6E"/>
    <w:rsid w:val="00244B15"/>
    <w:rsid w:val="00245513"/>
    <w:rsid w:val="00246DDE"/>
    <w:rsid w:val="0024734D"/>
    <w:rsid w:val="00247506"/>
    <w:rsid w:val="002513DB"/>
    <w:rsid w:val="0025266F"/>
    <w:rsid w:val="00252B03"/>
    <w:rsid w:val="00252BD4"/>
    <w:rsid w:val="00253664"/>
    <w:rsid w:val="00253690"/>
    <w:rsid w:val="002539CA"/>
    <w:rsid w:val="00253ECC"/>
    <w:rsid w:val="00255591"/>
    <w:rsid w:val="00255A95"/>
    <w:rsid w:val="00256273"/>
    <w:rsid w:val="002565E9"/>
    <w:rsid w:val="00256933"/>
    <w:rsid w:val="00256D1D"/>
    <w:rsid w:val="00260470"/>
    <w:rsid w:val="0026066F"/>
    <w:rsid w:val="00261AA8"/>
    <w:rsid w:val="00262C24"/>
    <w:rsid w:val="00263049"/>
    <w:rsid w:val="002650BA"/>
    <w:rsid w:val="002663C6"/>
    <w:rsid w:val="0027135F"/>
    <w:rsid w:val="002723A3"/>
    <w:rsid w:val="002736DC"/>
    <w:rsid w:val="00274169"/>
    <w:rsid w:val="00274858"/>
    <w:rsid w:val="0027518C"/>
    <w:rsid w:val="002757F0"/>
    <w:rsid w:val="002776FA"/>
    <w:rsid w:val="002812BF"/>
    <w:rsid w:val="002814F8"/>
    <w:rsid w:val="00281D9C"/>
    <w:rsid w:val="00282552"/>
    <w:rsid w:val="00282DC9"/>
    <w:rsid w:val="002830D9"/>
    <w:rsid w:val="002835E3"/>
    <w:rsid w:val="0028426B"/>
    <w:rsid w:val="00284BFB"/>
    <w:rsid w:val="00284C4A"/>
    <w:rsid w:val="00284E04"/>
    <w:rsid w:val="002854D0"/>
    <w:rsid w:val="00286243"/>
    <w:rsid w:val="00291A6B"/>
    <w:rsid w:val="00291D57"/>
    <w:rsid w:val="00292689"/>
    <w:rsid w:val="00297836"/>
    <w:rsid w:val="002A00D6"/>
    <w:rsid w:val="002A04B9"/>
    <w:rsid w:val="002A0978"/>
    <w:rsid w:val="002A0FD3"/>
    <w:rsid w:val="002A1E46"/>
    <w:rsid w:val="002A22FB"/>
    <w:rsid w:val="002A3C0C"/>
    <w:rsid w:val="002A4762"/>
    <w:rsid w:val="002A6912"/>
    <w:rsid w:val="002B014C"/>
    <w:rsid w:val="002B169A"/>
    <w:rsid w:val="002B1C3C"/>
    <w:rsid w:val="002B200D"/>
    <w:rsid w:val="002B2BBC"/>
    <w:rsid w:val="002B4946"/>
    <w:rsid w:val="002B494C"/>
    <w:rsid w:val="002B4C18"/>
    <w:rsid w:val="002B58BF"/>
    <w:rsid w:val="002B6A5E"/>
    <w:rsid w:val="002C02B7"/>
    <w:rsid w:val="002C0B20"/>
    <w:rsid w:val="002C0C6E"/>
    <w:rsid w:val="002C0D0F"/>
    <w:rsid w:val="002C1894"/>
    <w:rsid w:val="002C24B1"/>
    <w:rsid w:val="002C2ABA"/>
    <w:rsid w:val="002C3A12"/>
    <w:rsid w:val="002C4E22"/>
    <w:rsid w:val="002C5108"/>
    <w:rsid w:val="002C5453"/>
    <w:rsid w:val="002C594E"/>
    <w:rsid w:val="002C6212"/>
    <w:rsid w:val="002C6565"/>
    <w:rsid w:val="002D0165"/>
    <w:rsid w:val="002D09DA"/>
    <w:rsid w:val="002D0D70"/>
    <w:rsid w:val="002D1284"/>
    <w:rsid w:val="002D2B4B"/>
    <w:rsid w:val="002D3731"/>
    <w:rsid w:val="002D428A"/>
    <w:rsid w:val="002D4578"/>
    <w:rsid w:val="002D663B"/>
    <w:rsid w:val="002D6694"/>
    <w:rsid w:val="002D6982"/>
    <w:rsid w:val="002D6E1C"/>
    <w:rsid w:val="002D72BB"/>
    <w:rsid w:val="002D7EC4"/>
    <w:rsid w:val="002E03BC"/>
    <w:rsid w:val="002E0EAC"/>
    <w:rsid w:val="002E1D07"/>
    <w:rsid w:val="002E21ED"/>
    <w:rsid w:val="002E3162"/>
    <w:rsid w:val="002E3265"/>
    <w:rsid w:val="002E5291"/>
    <w:rsid w:val="002E56EE"/>
    <w:rsid w:val="002E62C1"/>
    <w:rsid w:val="002E6C0B"/>
    <w:rsid w:val="002E774C"/>
    <w:rsid w:val="002F0673"/>
    <w:rsid w:val="002F12F3"/>
    <w:rsid w:val="002F1775"/>
    <w:rsid w:val="002F3299"/>
    <w:rsid w:val="002F3FB3"/>
    <w:rsid w:val="002F5CDA"/>
    <w:rsid w:val="002F5E09"/>
    <w:rsid w:val="002F652E"/>
    <w:rsid w:val="002F66AC"/>
    <w:rsid w:val="002F77C1"/>
    <w:rsid w:val="002F79C8"/>
    <w:rsid w:val="00300AE1"/>
    <w:rsid w:val="0030282A"/>
    <w:rsid w:val="00302AD9"/>
    <w:rsid w:val="00303214"/>
    <w:rsid w:val="003034F9"/>
    <w:rsid w:val="00303609"/>
    <w:rsid w:val="003038B3"/>
    <w:rsid w:val="003038BD"/>
    <w:rsid w:val="00304675"/>
    <w:rsid w:val="00304976"/>
    <w:rsid w:val="00304A2D"/>
    <w:rsid w:val="00304F52"/>
    <w:rsid w:val="0030557F"/>
    <w:rsid w:val="003060A3"/>
    <w:rsid w:val="00306377"/>
    <w:rsid w:val="003067EA"/>
    <w:rsid w:val="00306E15"/>
    <w:rsid w:val="003078C5"/>
    <w:rsid w:val="00307CC6"/>
    <w:rsid w:val="00307E2B"/>
    <w:rsid w:val="00307E5B"/>
    <w:rsid w:val="00307FB0"/>
    <w:rsid w:val="0031180B"/>
    <w:rsid w:val="0031301F"/>
    <w:rsid w:val="00314248"/>
    <w:rsid w:val="0031500A"/>
    <w:rsid w:val="00315264"/>
    <w:rsid w:val="0031605A"/>
    <w:rsid w:val="0031620D"/>
    <w:rsid w:val="003168BB"/>
    <w:rsid w:val="00324025"/>
    <w:rsid w:val="00324C45"/>
    <w:rsid w:val="00326E0E"/>
    <w:rsid w:val="00327966"/>
    <w:rsid w:val="00330046"/>
    <w:rsid w:val="003303DD"/>
    <w:rsid w:val="003314F4"/>
    <w:rsid w:val="0033371B"/>
    <w:rsid w:val="00337941"/>
    <w:rsid w:val="00340FCA"/>
    <w:rsid w:val="003411C3"/>
    <w:rsid w:val="0034143C"/>
    <w:rsid w:val="003419C5"/>
    <w:rsid w:val="003421B6"/>
    <w:rsid w:val="00342559"/>
    <w:rsid w:val="00343CAB"/>
    <w:rsid w:val="0034576F"/>
    <w:rsid w:val="00345C0C"/>
    <w:rsid w:val="003479C2"/>
    <w:rsid w:val="00347F18"/>
    <w:rsid w:val="003511F0"/>
    <w:rsid w:val="00351943"/>
    <w:rsid w:val="003529D9"/>
    <w:rsid w:val="00354278"/>
    <w:rsid w:val="003544C4"/>
    <w:rsid w:val="00356C71"/>
    <w:rsid w:val="00357EA6"/>
    <w:rsid w:val="00360B57"/>
    <w:rsid w:val="0036102A"/>
    <w:rsid w:val="00363B12"/>
    <w:rsid w:val="00363FEE"/>
    <w:rsid w:val="003641BE"/>
    <w:rsid w:val="0036436F"/>
    <w:rsid w:val="00364659"/>
    <w:rsid w:val="00364E6C"/>
    <w:rsid w:val="00364FCF"/>
    <w:rsid w:val="00364FDC"/>
    <w:rsid w:val="00365767"/>
    <w:rsid w:val="00366CC8"/>
    <w:rsid w:val="00370497"/>
    <w:rsid w:val="00371014"/>
    <w:rsid w:val="0037170F"/>
    <w:rsid w:val="00372244"/>
    <w:rsid w:val="0037269A"/>
    <w:rsid w:val="003748B3"/>
    <w:rsid w:val="00374D16"/>
    <w:rsid w:val="003752FB"/>
    <w:rsid w:val="00375E32"/>
    <w:rsid w:val="003767A7"/>
    <w:rsid w:val="00380AE3"/>
    <w:rsid w:val="00380CF2"/>
    <w:rsid w:val="00380F15"/>
    <w:rsid w:val="0038148C"/>
    <w:rsid w:val="00381D12"/>
    <w:rsid w:val="00385021"/>
    <w:rsid w:val="00385598"/>
    <w:rsid w:val="00385CD6"/>
    <w:rsid w:val="00390623"/>
    <w:rsid w:val="00390ECB"/>
    <w:rsid w:val="003911FA"/>
    <w:rsid w:val="00391950"/>
    <w:rsid w:val="00391E4E"/>
    <w:rsid w:val="00393514"/>
    <w:rsid w:val="00393605"/>
    <w:rsid w:val="00394416"/>
    <w:rsid w:val="00396016"/>
    <w:rsid w:val="00396505"/>
    <w:rsid w:val="0039750D"/>
    <w:rsid w:val="00397B1D"/>
    <w:rsid w:val="003A0A6B"/>
    <w:rsid w:val="003A121B"/>
    <w:rsid w:val="003A1E4A"/>
    <w:rsid w:val="003A1F1C"/>
    <w:rsid w:val="003A24D7"/>
    <w:rsid w:val="003A2C65"/>
    <w:rsid w:val="003A3C25"/>
    <w:rsid w:val="003A594B"/>
    <w:rsid w:val="003A635D"/>
    <w:rsid w:val="003A745E"/>
    <w:rsid w:val="003B00B2"/>
    <w:rsid w:val="003B1608"/>
    <w:rsid w:val="003B1616"/>
    <w:rsid w:val="003B206B"/>
    <w:rsid w:val="003B2616"/>
    <w:rsid w:val="003B2AE3"/>
    <w:rsid w:val="003B4245"/>
    <w:rsid w:val="003B4ADB"/>
    <w:rsid w:val="003B5956"/>
    <w:rsid w:val="003B68EB"/>
    <w:rsid w:val="003B6F59"/>
    <w:rsid w:val="003B7C54"/>
    <w:rsid w:val="003C10C0"/>
    <w:rsid w:val="003C1114"/>
    <w:rsid w:val="003C1E90"/>
    <w:rsid w:val="003C26FD"/>
    <w:rsid w:val="003C2DD9"/>
    <w:rsid w:val="003C3569"/>
    <w:rsid w:val="003C442B"/>
    <w:rsid w:val="003C4FB2"/>
    <w:rsid w:val="003C54D9"/>
    <w:rsid w:val="003C5765"/>
    <w:rsid w:val="003C5E38"/>
    <w:rsid w:val="003C6CC4"/>
    <w:rsid w:val="003C77EC"/>
    <w:rsid w:val="003D0069"/>
    <w:rsid w:val="003D0122"/>
    <w:rsid w:val="003D030A"/>
    <w:rsid w:val="003D1874"/>
    <w:rsid w:val="003D19E6"/>
    <w:rsid w:val="003D2CA3"/>
    <w:rsid w:val="003D5034"/>
    <w:rsid w:val="003D5298"/>
    <w:rsid w:val="003D56BC"/>
    <w:rsid w:val="003D5734"/>
    <w:rsid w:val="003D58BF"/>
    <w:rsid w:val="003D5CB8"/>
    <w:rsid w:val="003D6068"/>
    <w:rsid w:val="003D695B"/>
    <w:rsid w:val="003D7889"/>
    <w:rsid w:val="003E05FA"/>
    <w:rsid w:val="003E1251"/>
    <w:rsid w:val="003E1A7C"/>
    <w:rsid w:val="003E2668"/>
    <w:rsid w:val="003E2A36"/>
    <w:rsid w:val="003E2F26"/>
    <w:rsid w:val="003E30F4"/>
    <w:rsid w:val="003E31D4"/>
    <w:rsid w:val="003E381B"/>
    <w:rsid w:val="003E5381"/>
    <w:rsid w:val="003F098A"/>
    <w:rsid w:val="003F0A08"/>
    <w:rsid w:val="003F14EE"/>
    <w:rsid w:val="003F150A"/>
    <w:rsid w:val="003F175C"/>
    <w:rsid w:val="003F4B1F"/>
    <w:rsid w:val="003F59CE"/>
    <w:rsid w:val="003F5ECA"/>
    <w:rsid w:val="003F740C"/>
    <w:rsid w:val="003F78F9"/>
    <w:rsid w:val="003F7D24"/>
    <w:rsid w:val="004000E6"/>
    <w:rsid w:val="004009F9"/>
    <w:rsid w:val="00401B91"/>
    <w:rsid w:val="004048A1"/>
    <w:rsid w:val="00404B87"/>
    <w:rsid w:val="004060C3"/>
    <w:rsid w:val="0040681C"/>
    <w:rsid w:val="00407DBA"/>
    <w:rsid w:val="00407FE9"/>
    <w:rsid w:val="00410842"/>
    <w:rsid w:val="00410F46"/>
    <w:rsid w:val="0041147B"/>
    <w:rsid w:val="004114C1"/>
    <w:rsid w:val="00413A06"/>
    <w:rsid w:val="00413B06"/>
    <w:rsid w:val="004147D3"/>
    <w:rsid w:val="004150BB"/>
    <w:rsid w:val="004163BE"/>
    <w:rsid w:val="004168C3"/>
    <w:rsid w:val="00416DD5"/>
    <w:rsid w:val="00417A0F"/>
    <w:rsid w:val="00420D4A"/>
    <w:rsid w:val="00421195"/>
    <w:rsid w:val="00421B7F"/>
    <w:rsid w:val="00422FF4"/>
    <w:rsid w:val="00423DD8"/>
    <w:rsid w:val="004247F9"/>
    <w:rsid w:val="00424AAD"/>
    <w:rsid w:val="00424B86"/>
    <w:rsid w:val="00425330"/>
    <w:rsid w:val="004253B7"/>
    <w:rsid w:val="0042617C"/>
    <w:rsid w:val="004265CE"/>
    <w:rsid w:val="00426759"/>
    <w:rsid w:val="00426D46"/>
    <w:rsid w:val="00427D22"/>
    <w:rsid w:val="00430EB4"/>
    <w:rsid w:val="00431028"/>
    <w:rsid w:val="004319B3"/>
    <w:rsid w:val="004321C3"/>
    <w:rsid w:val="00433F8B"/>
    <w:rsid w:val="00434316"/>
    <w:rsid w:val="004349B9"/>
    <w:rsid w:val="0043513B"/>
    <w:rsid w:val="00436B67"/>
    <w:rsid w:val="00437F7F"/>
    <w:rsid w:val="004404AF"/>
    <w:rsid w:val="004409DE"/>
    <w:rsid w:val="00441034"/>
    <w:rsid w:val="00442177"/>
    <w:rsid w:val="0044533E"/>
    <w:rsid w:val="0044564D"/>
    <w:rsid w:val="00445A13"/>
    <w:rsid w:val="00452970"/>
    <w:rsid w:val="00452AE9"/>
    <w:rsid w:val="00452D05"/>
    <w:rsid w:val="00452DA1"/>
    <w:rsid w:val="00453801"/>
    <w:rsid w:val="00454628"/>
    <w:rsid w:val="00455D71"/>
    <w:rsid w:val="00460D1B"/>
    <w:rsid w:val="0046257C"/>
    <w:rsid w:val="00462717"/>
    <w:rsid w:val="004630E4"/>
    <w:rsid w:val="00464017"/>
    <w:rsid w:val="00464282"/>
    <w:rsid w:val="00466F5B"/>
    <w:rsid w:val="00471A39"/>
    <w:rsid w:val="00473639"/>
    <w:rsid w:val="00474758"/>
    <w:rsid w:val="00474EDA"/>
    <w:rsid w:val="00475AAA"/>
    <w:rsid w:val="00482FD3"/>
    <w:rsid w:val="0048300E"/>
    <w:rsid w:val="0048576D"/>
    <w:rsid w:val="004860C7"/>
    <w:rsid w:val="00486450"/>
    <w:rsid w:val="00486B94"/>
    <w:rsid w:val="0049060F"/>
    <w:rsid w:val="004924B0"/>
    <w:rsid w:val="004928D8"/>
    <w:rsid w:val="00494026"/>
    <w:rsid w:val="00494863"/>
    <w:rsid w:val="004949C4"/>
    <w:rsid w:val="00494C7B"/>
    <w:rsid w:val="00494D81"/>
    <w:rsid w:val="004959E5"/>
    <w:rsid w:val="00496B3C"/>
    <w:rsid w:val="004978A1"/>
    <w:rsid w:val="004A0E89"/>
    <w:rsid w:val="004A2677"/>
    <w:rsid w:val="004A2AB5"/>
    <w:rsid w:val="004A3B1F"/>
    <w:rsid w:val="004A4055"/>
    <w:rsid w:val="004A4668"/>
    <w:rsid w:val="004A49A4"/>
    <w:rsid w:val="004A5940"/>
    <w:rsid w:val="004A65A7"/>
    <w:rsid w:val="004A6D43"/>
    <w:rsid w:val="004A713A"/>
    <w:rsid w:val="004B074D"/>
    <w:rsid w:val="004B15BF"/>
    <w:rsid w:val="004B1CB9"/>
    <w:rsid w:val="004B2846"/>
    <w:rsid w:val="004B577D"/>
    <w:rsid w:val="004B6EE3"/>
    <w:rsid w:val="004B710B"/>
    <w:rsid w:val="004B75B2"/>
    <w:rsid w:val="004C0D03"/>
    <w:rsid w:val="004C181B"/>
    <w:rsid w:val="004C2DCE"/>
    <w:rsid w:val="004C33E3"/>
    <w:rsid w:val="004C4356"/>
    <w:rsid w:val="004C497A"/>
    <w:rsid w:val="004C5F21"/>
    <w:rsid w:val="004C723F"/>
    <w:rsid w:val="004D0181"/>
    <w:rsid w:val="004D0E75"/>
    <w:rsid w:val="004D347B"/>
    <w:rsid w:val="004D47DC"/>
    <w:rsid w:val="004D4F6A"/>
    <w:rsid w:val="004D7B8C"/>
    <w:rsid w:val="004E0172"/>
    <w:rsid w:val="004E2160"/>
    <w:rsid w:val="004E5519"/>
    <w:rsid w:val="004F068D"/>
    <w:rsid w:val="004F2158"/>
    <w:rsid w:val="004F3080"/>
    <w:rsid w:val="004F3362"/>
    <w:rsid w:val="004F3B75"/>
    <w:rsid w:val="004F41DC"/>
    <w:rsid w:val="004F438A"/>
    <w:rsid w:val="004F62C1"/>
    <w:rsid w:val="004F6690"/>
    <w:rsid w:val="004F6BB9"/>
    <w:rsid w:val="004F7622"/>
    <w:rsid w:val="004F7C2C"/>
    <w:rsid w:val="004F7CA8"/>
    <w:rsid w:val="00500883"/>
    <w:rsid w:val="00500F63"/>
    <w:rsid w:val="005025E1"/>
    <w:rsid w:val="005038F4"/>
    <w:rsid w:val="0050470C"/>
    <w:rsid w:val="005048E2"/>
    <w:rsid w:val="005056D2"/>
    <w:rsid w:val="00506186"/>
    <w:rsid w:val="00506D67"/>
    <w:rsid w:val="005121CF"/>
    <w:rsid w:val="00512645"/>
    <w:rsid w:val="005133E6"/>
    <w:rsid w:val="0051375A"/>
    <w:rsid w:val="00513899"/>
    <w:rsid w:val="00513CA9"/>
    <w:rsid w:val="005179C7"/>
    <w:rsid w:val="00520674"/>
    <w:rsid w:val="00521410"/>
    <w:rsid w:val="00521DA9"/>
    <w:rsid w:val="00522436"/>
    <w:rsid w:val="005226BC"/>
    <w:rsid w:val="00522E7C"/>
    <w:rsid w:val="00524198"/>
    <w:rsid w:val="005264C3"/>
    <w:rsid w:val="00527166"/>
    <w:rsid w:val="005275AE"/>
    <w:rsid w:val="00527839"/>
    <w:rsid w:val="00527B95"/>
    <w:rsid w:val="005302F5"/>
    <w:rsid w:val="00530A3E"/>
    <w:rsid w:val="00530A80"/>
    <w:rsid w:val="00531D89"/>
    <w:rsid w:val="005336E0"/>
    <w:rsid w:val="005339EE"/>
    <w:rsid w:val="005355D7"/>
    <w:rsid w:val="0053593C"/>
    <w:rsid w:val="00540BCE"/>
    <w:rsid w:val="0054123F"/>
    <w:rsid w:val="00542EC5"/>
    <w:rsid w:val="0054305D"/>
    <w:rsid w:val="0054699A"/>
    <w:rsid w:val="00547B14"/>
    <w:rsid w:val="005509D3"/>
    <w:rsid w:val="00551A54"/>
    <w:rsid w:val="00551CFD"/>
    <w:rsid w:val="00552807"/>
    <w:rsid w:val="0055295E"/>
    <w:rsid w:val="00552AFF"/>
    <w:rsid w:val="00553534"/>
    <w:rsid w:val="00554143"/>
    <w:rsid w:val="00554A66"/>
    <w:rsid w:val="005553F4"/>
    <w:rsid w:val="005553F8"/>
    <w:rsid w:val="00556533"/>
    <w:rsid w:val="005569F6"/>
    <w:rsid w:val="0055722B"/>
    <w:rsid w:val="00560150"/>
    <w:rsid w:val="00560AE8"/>
    <w:rsid w:val="005610EA"/>
    <w:rsid w:val="005620F5"/>
    <w:rsid w:val="00562F02"/>
    <w:rsid w:val="00563406"/>
    <w:rsid w:val="005640DC"/>
    <w:rsid w:val="00564219"/>
    <w:rsid w:val="005648FA"/>
    <w:rsid w:val="00566B1D"/>
    <w:rsid w:val="00567A81"/>
    <w:rsid w:val="0057002A"/>
    <w:rsid w:val="00571D99"/>
    <w:rsid w:val="005729B9"/>
    <w:rsid w:val="00573185"/>
    <w:rsid w:val="005744C5"/>
    <w:rsid w:val="00574854"/>
    <w:rsid w:val="0057640D"/>
    <w:rsid w:val="00577A27"/>
    <w:rsid w:val="00577C42"/>
    <w:rsid w:val="005803C7"/>
    <w:rsid w:val="00580554"/>
    <w:rsid w:val="005809C0"/>
    <w:rsid w:val="00580BB4"/>
    <w:rsid w:val="00582611"/>
    <w:rsid w:val="00583046"/>
    <w:rsid w:val="005832B7"/>
    <w:rsid w:val="0058357C"/>
    <w:rsid w:val="00583848"/>
    <w:rsid w:val="00585424"/>
    <w:rsid w:val="00585BCD"/>
    <w:rsid w:val="00585EB1"/>
    <w:rsid w:val="005877F2"/>
    <w:rsid w:val="005877FF"/>
    <w:rsid w:val="005878E7"/>
    <w:rsid w:val="005905B2"/>
    <w:rsid w:val="005911F1"/>
    <w:rsid w:val="0059164C"/>
    <w:rsid w:val="00591A43"/>
    <w:rsid w:val="00592603"/>
    <w:rsid w:val="00592741"/>
    <w:rsid w:val="00593EB7"/>
    <w:rsid w:val="0059424B"/>
    <w:rsid w:val="0059496D"/>
    <w:rsid w:val="00595DDF"/>
    <w:rsid w:val="00596719"/>
    <w:rsid w:val="00596D44"/>
    <w:rsid w:val="00596DF6"/>
    <w:rsid w:val="00596E69"/>
    <w:rsid w:val="005A026D"/>
    <w:rsid w:val="005A0448"/>
    <w:rsid w:val="005A1A5A"/>
    <w:rsid w:val="005A2DEF"/>
    <w:rsid w:val="005A4B97"/>
    <w:rsid w:val="005A4BC0"/>
    <w:rsid w:val="005A54B8"/>
    <w:rsid w:val="005A668F"/>
    <w:rsid w:val="005A6C61"/>
    <w:rsid w:val="005B04F9"/>
    <w:rsid w:val="005B0804"/>
    <w:rsid w:val="005B09B8"/>
    <w:rsid w:val="005B2057"/>
    <w:rsid w:val="005B2E08"/>
    <w:rsid w:val="005B356B"/>
    <w:rsid w:val="005B3AE9"/>
    <w:rsid w:val="005B3D22"/>
    <w:rsid w:val="005B4FE7"/>
    <w:rsid w:val="005B7681"/>
    <w:rsid w:val="005B7ECD"/>
    <w:rsid w:val="005C1276"/>
    <w:rsid w:val="005C16F1"/>
    <w:rsid w:val="005C1BB4"/>
    <w:rsid w:val="005C1E87"/>
    <w:rsid w:val="005C21C2"/>
    <w:rsid w:val="005C2436"/>
    <w:rsid w:val="005C3061"/>
    <w:rsid w:val="005C3315"/>
    <w:rsid w:val="005C42F7"/>
    <w:rsid w:val="005C4C13"/>
    <w:rsid w:val="005C588A"/>
    <w:rsid w:val="005C6252"/>
    <w:rsid w:val="005C786E"/>
    <w:rsid w:val="005C788C"/>
    <w:rsid w:val="005D1118"/>
    <w:rsid w:val="005D58AE"/>
    <w:rsid w:val="005D59F1"/>
    <w:rsid w:val="005E198D"/>
    <w:rsid w:val="005E319A"/>
    <w:rsid w:val="005E398A"/>
    <w:rsid w:val="005E39A1"/>
    <w:rsid w:val="005E3BCA"/>
    <w:rsid w:val="005E580E"/>
    <w:rsid w:val="005E5A62"/>
    <w:rsid w:val="005E5D6C"/>
    <w:rsid w:val="005F1BB7"/>
    <w:rsid w:val="005F26DF"/>
    <w:rsid w:val="005F27AD"/>
    <w:rsid w:val="005F49D9"/>
    <w:rsid w:val="005F5E3F"/>
    <w:rsid w:val="005F5E8A"/>
    <w:rsid w:val="005F60C1"/>
    <w:rsid w:val="006012A1"/>
    <w:rsid w:val="00601C6C"/>
    <w:rsid w:val="00602A62"/>
    <w:rsid w:val="006036FB"/>
    <w:rsid w:val="00603A28"/>
    <w:rsid w:val="00603ADF"/>
    <w:rsid w:val="00603B64"/>
    <w:rsid w:val="00604790"/>
    <w:rsid w:val="00604E54"/>
    <w:rsid w:val="0060571B"/>
    <w:rsid w:val="006059D4"/>
    <w:rsid w:val="006060A2"/>
    <w:rsid w:val="00606DAD"/>
    <w:rsid w:val="00607961"/>
    <w:rsid w:val="006124B7"/>
    <w:rsid w:val="00614A84"/>
    <w:rsid w:val="0061575D"/>
    <w:rsid w:val="00616A49"/>
    <w:rsid w:val="00616B1C"/>
    <w:rsid w:val="00616BC6"/>
    <w:rsid w:val="00620EF7"/>
    <w:rsid w:val="0062138C"/>
    <w:rsid w:val="00621964"/>
    <w:rsid w:val="00623738"/>
    <w:rsid w:val="00624E14"/>
    <w:rsid w:val="00625E5B"/>
    <w:rsid w:val="006266B9"/>
    <w:rsid w:val="00626B9F"/>
    <w:rsid w:val="006272DC"/>
    <w:rsid w:val="00627CF2"/>
    <w:rsid w:val="00627FB7"/>
    <w:rsid w:val="00631D1B"/>
    <w:rsid w:val="00631FD1"/>
    <w:rsid w:val="00632EDC"/>
    <w:rsid w:val="00634B56"/>
    <w:rsid w:val="00634BC5"/>
    <w:rsid w:val="00635CEB"/>
    <w:rsid w:val="00636AF5"/>
    <w:rsid w:val="00637525"/>
    <w:rsid w:val="006407D5"/>
    <w:rsid w:val="006416F8"/>
    <w:rsid w:val="0064183B"/>
    <w:rsid w:val="006435CB"/>
    <w:rsid w:val="006452E8"/>
    <w:rsid w:val="00646A67"/>
    <w:rsid w:val="006473DB"/>
    <w:rsid w:val="00647DF8"/>
    <w:rsid w:val="00647E1E"/>
    <w:rsid w:val="00650436"/>
    <w:rsid w:val="00650B2C"/>
    <w:rsid w:val="00650ECE"/>
    <w:rsid w:val="00651E1A"/>
    <w:rsid w:val="00654B8D"/>
    <w:rsid w:val="00654CA0"/>
    <w:rsid w:val="006551DC"/>
    <w:rsid w:val="0065588A"/>
    <w:rsid w:val="00656FF9"/>
    <w:rsid w:val="00660B16"/>
    <w:rsid w:val="00660E06"/>
    <w:rsid w:val="00661CA7"/>
    <w:rsid w:val="0066232F"/>
    <w:rsid w:val="00662400"/>
    <w:rsid w:val="00662501"/>
    <w:rsid w:val="00663841"/>
    <w:rsid w:val="006644E1"/>
    <w:rsid w:val="00664C27"/>
    <w:rsid w:val="00665122"/>
    <w:rsid w:val="00667202"/>
    <w:rsid w:val="006674BF"/>
    <w:rsid w:val="006722B7"/>
    <w:rsid w:val="00673C4C"/>
    <w:rsid w:val="00673D54"/>
    <w:rsid w:val="00673E27"/>
    <w:rsid w:val="00676465"/>
    <w:rsid w:val="00676EBD"/>
    <w:rsid w:val="00677213"/>
    <w:rsid w:val="00677569"/>
    <w:rsid w:val="00677CA7"/>
    <w:rsid w:val="00680CC6"/>
    <w:rsid w:val="00680CF5"/>
    <w:rsid w:val="0068110A"/>
    <w:rsid w:val="00682CFA"/>
    <w:rsid w:val="00685D4C"/>
    <w:rsid w:val="00686093"/>
    <w:rsid w:val="00690577"/>
    <w:rsid w:val="00690F50"/>
    <w:rsid w:val="00692EF5"/>
    <w:rsid w:val="00693247"/>
    <w:rsid w:val="00693F49"/>
    <w:rsid w:val="006958EC"/>
    <w:rsid w:val="00695C77"/>
    <w:rsid w:val="0069625E"/>
    <w:rsid w:val="00696CF3"/>
    <w:rsid w:val="00697078"/>
    <w:rsid w:val="0069787A"/>
    <w:rsid w:val="00697BD4"/>
    <w:rsid w:val="006A0125"/>
    <w:rsid w:val="006A1FD6"/>
    <w:rsid w:val="006A2754"/>
    <w:rsid w:val="006A2847"/>
    <w:rsid w:val="006A4142"/>
    <w:rsid w:val="006A59FF"/>
    <w:rsid w:val="006A6410"/>
    <w:rsid w:val="006A6B60"/>
    <w:rsid w:val="006A71E9"/>
    <w:rsid w:val="006B031A"/>
    <w:rsid w:val="006B05F5"/>
    <w:rsid w:val="006B0AA2"/>
    <w:rsid w:val="006B0B3F"/>
    <w:rsid w:val="006B0DFF"/>
    <w:rsid w:val="006B1430"/>
    <w:rsid w:val="006B1E8D"/>
    <w:rsid w:val="006B2636"/>
    <w:rsid w:val="006B36B1"/>
    <w:rsid w:val="006B3803"/>
    <w:rsid w:val="006B50D8"/>
    <w:rsid w:val="006B7E76"/>
    <w:rsid w:val="006B7F57"/>
    <w:rsid w:val="006C0CD4"/>
    <w:rsid w:val="006C2B03"/>
    <w:rsid w:val="006C3145"/>
    <w:rsid w:val="006C3BC4"/>
    <w:rsid w:val="006C40EC"/>
    <w:rsid w:val="006C40ED"/>
    <w:rsid w:val="006C45AE"/>
    <w:rsid w:val="006C4BDD"/>
    <w:rsid w:val="006C51D7"/>
    <w:rsid w:val="006C582E"/>
    <w:rsid w:val="006D02E4"/>
    <w:rsid w:val="006D0C56"/>
    <w:rsid w:val="006D0EB3"/>
    <w:rsid w:val="006D1C3D"/>
    <w:rsid w:val="006D3A37"/>
    <w:rsid w:val="006D4089"/>
    <w:rsid w:val="006D41AB"/>
    <w:rsid w:val="006D4788"/>
    <w:rsid w:val="006D5402"/>
    <w:rsid w:val="006D54E4"/>
    <w:rsid w:val="006D550C"/>
    <w:rsid w:val="006D5DD1"/>
    <w:rsid w:val="006D7347"/>
    <w:rsid w:val="006E031B"/>
    <w:rsid w:val="006E084E"/>
    <w:rsid w:val="006E0894"/>
    <w:rsid w:val="006E0F1D"/>
    <w:rsid w:val="006E21D2"/>
    <w:rsid w:val="006E27F7"/>
    <w:rsid w:val="006E301D"/>
    <w:rsid w:val="006E30C2"/>
    <w:rsid w:val="006E3550"/>
    <w:rsid w:val="006E378F"/>
    <w:rsid w:val="006E3A73"/>
    <w:rsid w:val="006E3A75"/>
    <w:rsid w:val="006E3A99"/>
    <w:rsid w:val="006E4E4C"/>
    <w:rsid w:val="006E4EB7"/>
    <w:rsid w:val="006E4F41"/>
    <w:rsid w:val="006E5709"/>
    <w:rsid w:val="006E66E6"/>
    <w:rsid w:val="006F07E1"/>
    <w:rsid w:val="006F1D68"/>
    <w:rsid w:val="006F1F99"/>
    <w:rsid w:val="006F22A7"/>
    <w:rsid w:val="006F2D2B"/>
    <w:rsid w:val="006F3BE6"/>
    <w:rsid w:val="006F77B3"/>
    <w:rsid w:val="006F79D9"/>
    <w:rsid w:val="007000F0"/>
    <w:rsid w:val="00701160"/>
    <w:rsid w:val="00701344"/>
    <w:rsid w:val="007019D6"/>
    <w:rsid w:val="0070375A"/>
    <w:rsid w:val="00703BDB"/>
    <w:rsid w:val="00703CAF"/>
    <w:rsid w:val="007044D1"/>
    <w:rsid w:val="007048E8"/>
    <w:rsid w:val="0070553A"/>
    <w:rsid w:val="0070596C"/>
    <w:rsid w:val="007061F5"/>
    <w:rsid w:val="00706598"/>
    <w:rsid w:val="007079AB"/>
    <w:rsid w:val="00707C89"/>
    <w:rsid w:val="00707EDB"/>
    <w:rsid w:val="007106E0"/>
    <w:rsid w:val="007111F7"/>
    <w:rsid w:val="00711552"/>
    <w:rsid w:val="00712DBE"/>
    <w:rsid w:val="00713417"/>
    <w:rsid w:val="00714753"/>
    <w:rsid w:val="0071657A"/>
    <w:rsid w:val="00716B61"/>
    <w:rsid w:val="00716BA0"/>
    <w:rsid w:val="00716EA9"/>
    <w:rsid w:val="00717053"/>
    <w:rsid w:val="00721277"/>
    <w:rsid w:val="007214D5"/>
    <w:rsid w:val="007218C0"/>
    <w:rsid w:val="00721F92"/>
    <w:rsid w:val="00722800"/>
    <w:rsid w:val="007233CA"/>
    <w:rsid w:val="0072460B"/>
    <w:rsid w:val="00724B70"/>
    <w:rsid w:val="00725177"/>
    <w:rsid w:val="00725B6F"/>
    <w:rsid w:val="00727564"/>
    <w:rsid w:val="00727BE2"/>
    <w:rsid w:val="00733DE4"/>
    <w:rsid w:val="00733E79"/>
    <w:rsid w:val="00734BB8"/>
    <w:rsid w:val="00737CC9"/>
    <w:rsid w:val="007412A0"/>
    <w:rsid w:val="00744177"/>
    <w:rsid w:val="007445F4"/>
    <w:rsid w:val="00745D72"/>
    <w:rsid w:val="00746C49"/>
    <w:rsid w:val="00747216"/>
    <w:rsid w:val="00751678"/>
    <w:rsid w:val="00751EEC"/>
    <w:rsid w:val="00751F2D"/>
    <w:rsid w:val="00754014"/>
    <w:rsid w:val="00755958"/>
    <w:rsid w:val="00755D7A"/>
    <w:rsid w:val="00756D33"/>
    <w:rsid w:val="007608B4"/>
    <w:rsid w:val="00760DBE"/>
    <w:rsid w:val="0076304D"/>
    <w:rsid w:val="007645E6"/>
    <w:rsid w:val="00770A81"/>
    <w:rsid w:val="00770F9B"/>
    <w:rsid w:val="00771031"/>
    <w:rsid w:val="007722A8"/>
    <w:rsid w:val="00772BFA"/>
    <w:rsid w:val="007740E1"/>
    <w:rsid w:val="00774E41"/>
    <w:rsid w:val="00775F37"/>
    <w:rsid w:val="00777153"/>
    <w:rsid w:val="00777735"/>
    <w:rsid w:val="00780175"/>
    <w:rsid w:val="00781F64"/>
    <w:rsid w:val="0078342E"/>
    <w:rsid w:val="007837DB"/>
    <w:rsid w:val="00783FC5"/>
    <w:rsid w:val="007841CB"/>
    <w:rsid w:val="00787378"/>
    <w:rsid w:val="00787B0E"/>
    <w:rsid w:val="00790D3C"/>
    <w:rsid w:val="00790DFE"/>
    <w:rsid w:val="00791EF9"/>
    <w:rsid w:val="00792405"/>
    <w:rsid w:val="007965A2"/>
    <w:rsid w:val="00797472"/>
    <w:rsid w:val="007A0B6F"/>
    <w:rsid w:val="007A19C7"/>
    <w:rsid w:val="007A1E91"/>
    <w:rsid w:val="007A20F9"/>
    <w:rsid w:val="007A2802"/>
    <w:rsid w:val="007A289C"/>
    <w:rsid w:val="007A2AC8"/>
    <w:rsid w:val="007A2BE8"/>
    <w:rsid w:val="007A4CCC"/>
    <w:rsid w:val="007A4CDF"/>
    <w:rsid w:val="007A5F46"/>
    <w:rsid w:val="007A63B0"/>
    <w:rsid w:val="007B00B5"/>
    <w:rsid w:val="007B0A98"/>
    <w:rsid w:val="007B15F2"/>
    <w:rsid w:val="007B2857"/>
    <w:rsid w:val="007B3BCB"/>
    <w:rsid w:val="007B3C56"/>
    <w:rsid w:val="007B3FDB"/>
    <w:rsid w:val="007B42F7"/>
    <w:rsid w:val="007B522A"/>
    <w:rsid w:val="007B64F1"/>
    <w:rsid w:val="007B673B"/>
    <w:rsid w:val="007B7ECE"/>
    <w:rsid w:val="007C107F"/>
    <w:rsid w:val="007C26E1"/>
    <w:rsid w:val="007C40F0"/>
    <w:rsid w:val="007C4381"/>
    <w:rsid w:val="007C4B09"/>
    <w:rsid w:val="007C58F5"/>
    <w:rsid w:val="007C7A43"/>
    <w:rsid w:val="007D25BC"/>
    <w:rsid w:val="007D2C9C"/>
    <w:rsid w:val="007D3E17"/>
    <w:rsid w:val="007D4397"/>
    <w:rsid w:val="007D4A8F"/>
    <w:rsid w:val="007D4AB7"/>
    <w:rsid w:val="007D4AC3"/>
    <w:rsid w:val="007D5B80"/>
    <w:rsid w:val="007D6FD1"/>
    <w:rsid w:val="007D7148"/>
    <w:rsid w:val="007E1666"/>
    <w:rsid w:val="007E2C64"/>
    <w:rsid w:val="007E2C89"/>
    <w:rsid w:val="007E2FDF"/>
    <w:rsid w:val="007E34AD"/>
    <w:rsid w:val="007E385D"/>
    <w:rsid w:val="007E46AD"/>
    <w:rsid w:val="007E4BB5"/>
    <w:rsid w:val="007E69FF"/>
    <w:rsid w:val="007F05E4"/>
    <w:rsid w:val="007F15CE"/>
    <w:rsid w:val="007F1B8B"/>
    <w:rsid w:val="007F2C36"/>
    <w:rsid w:val="008003CD"/>
    <w:rsid w:val="008004C5"/>
    <w:rsid w:val="008007D0"/>
    <w:rsid w:val="00801358"/>
    <w:rsid w:val="00803927"/>
    <w:rsid w:val="00803AFC"/>
    <w:rsid w:val="00803FFB"/>
    <w:rsid w:val="00804012"/>
    <w:rsid w:val="008041E9"/>
    <w:rsid w:val="008052ED"/>
    <w:rsid w:val="0080637F"/>
    <w:rsid w:val="00807D28"/>
    <w:rsid w:val="00810933"/>
    <w:rsid w:val="00811194"/>
    <w:rsid w:val="00812135"/>
    <w:rsid w:val="008128D1"/>
    <w:rsid w:val="008131F2"/>
    <w:rsid w:val="008150CA"/>
    <w:rsid w:val="00815744"/>
    <w:rsid w:val="00815CB2"/>
    <w:rsid w:val="00816673"/>
    <w:rsid w:val="0081729D"/>
    <w:rsid w:val="00817AC6"/>
    <w:rsid w:val="00817BEE"/>
    <w:rsid w:val="008211F4"/>
    <w:rsid w:val="008235B8"/>
    <w:rsid w:val="008237B7"/>
    <w:rsid w:val="00823A29"/>
    <w:rsid w:val="00823B65"/>
    <w:rsid w:val="008249A1"/>
    <w:rsid w:val="00824A78"/>
    <w:rsid w:val="00824C1F"/>
    <w:rsid w:val="00825810"/>
    <w:rsid w:val="008258D6"/>
    <w:rsid w:val="00826E4F"/>
    <w:rsid w:val="00830BFD"/>
    <w:rsid w:val="00831A84"/>
    <w:rsid w:val="00832317"/>
    <w:rsid w:val="00832367"/>
    <w:rsid w:val="00832539"/>
    <w:rsid w:val="00832CEB"/>
    <w:rsid w:val="008332B5"/>
    <w:rsid w:val="00834013"/>
    <w:rsid w:val="00834D39"/>
    <w:rsid w:val="00835632"/>
    <w:rsid w:val="008356EA"/>
    <w:rsid w:val="00835D3D"/>
    <w:rsid w:val="00837483"/>
    <w:rsid w:val="008436C7"/>
    <w:rsid w:val="00843DB1"/>
    <w:rsid w:val="00844AF3"/>
    <w:rsid w:val="00844DDB"/>
    <w:rsid w:val="00845042"/>
    <w:rsid w:val="00846768"/>
    <w:rsid w:val="008473E2"/>
    <w:rsid w:val="008475D2"/>
    <w:rsid w:val="0084782F"/>
    <w:rsid w:val="00847856"/>
    <w:rsid w:val="00850176"/>
    <w:rsid w:val="008522FF"/>
    <w:rsid w:val="00852F18"/>
    <w:rsid w:val="00853D25"/>
    <w:rsid w:val="008553E0"/>
    <w:rsid w:val="00855D82"/>
    <w:rsid w:val="008560DA"/>
    <w:rsid w:val="008560E4"/>
    <w:rsid w:val="008571B9"/>
    <w:rsid w:val="008607CE"/>
    <w:rsid w:val="00860D56"/>
    <w:rsid w:val="008612BF"/>
    <w:rsid w:val="008618C0"/>
    <w:rsid w:val="00861949"/>
    <w:rsid w:val="00861AF2"/>
    <w:rsid w:val="008623DD"/>
    <w:rsid w:val="00862744"/>
    <w:rsid w:val="0086295A"/>
    <w:rsid w:val="00862A4A"/>
    <w:rsid w:val="00863765"/>
    <w:rsid w:val="00863BDB"/>
    <w:rsid w:val="00865BCD"/>
    <w:rsid w:val="00865CD9"/>
    <w:rsid w:val="00866B2E"/>
    <w:rsid w:val="00867C54"/>
    <w:rsid w:val="0087090D"/>
    <w:rsid w:val="008722A7"/>
    <w:rsid w:val="00873826"/>
    <w:rsid w:val="00873C22"/>
    <w:rsid w:val="00874BBA"/>
    <w:rsid w:val="00876524"/>
    <w:rsid w:val="00881270"/>
    <w:rsid w:val="00882BB9"/>
    <w:rsid w:val="008832C9"/>
    <w:rsid w:val="00883B78"/>
    <w:rsid w:val="00883F64"/>
    <w:rsid w:val="00884517"/>
    <w:rsid w:val="0088642C"/>
    <w:rsid w:val="00886839"/>
    <w:rsid w:val="00886BC2"/>
    <w:rsid w:val="00886CC9"/>
    <w:rsid w:val="0089019A"/>
    <w:rsid w:val="00891D05"/>
    <w:rsid w:val="00891FA9"/>
    <w:rsid w:val="00893156"/>
    <w:rsid w:val="00893761"/>
    <w:rsid w:val="008938C3"/>
    <w:rsid w:val="00893D8C"/>
    <w:rsid w:val="00894B5E"/>
    <w:rsid w:val="00894D7E"/>
    <w:rsid w:val="008950A3"/>
    <w:rsid w:val="00895469"/>
    <w:rsid w:val="00896ED2"/>
    <w:rsid w:val="008972E3"/>
    <w:rsid w:val="008978E6"/>
    <w:rsid w:val="008A1F6B"/>
    <w:rsid w:val="008A282E"/>
    <w:rsid w:val="008A28E8"/>
    <w:rsid w:val="008A3D32"/>
    <w:rsid w:val="008A4603"/>
    <w:rsid w:val="008A5873"/>
    <w:rsid w:val="008A6B9B"/>
    <w:rsid w:val="008B1B49"/>
    <w:rsid w:val="008B1EF9"/>
    <w:rsid w:val="008B23CA"/>
    <w:rsid w:val="008B37B8"/>
    <w:rsid w:val="008B3D83"/>
    <w:rsid w:val="008B4A05"/>
    <w:rsid w:val="008B53C5"/>
    <w:rsid w:val="008B5EB6"/>
    <w:rsid w:val="008B6B31"/>
    <w:rsid w:val="008B6E54"/>
    <w:rsid w:val="008B7187"/>
    <w:rsid w:val="008B777F"/>
    <w:rsid w:val="008C0D71"/>
    <w:rsid w:val="008C13E6"/>
    <w:rsid w:val="008C1FAE"/>
    <w:rsid w:val="008C333C"/>
    <w:rsid w:val="008C4699"/>
    <w:rsid w:val="008C516C"/>
    <w:rsid w:val="008C5C4B"/>
    <w:rsid w:val="008C67D7"/>
    <w:rsid w:val="008C680D"/>
    <w:rsid w:val="008C6F0F"/>
    <w:rsid w:val="008C705F"/>
    <w:rsid w:val="008C7687"/>
    <w:rsid w:val="008C78E1"/>
    <w:rsid w:val="008C7D2F"/>
    <w:rsid w:val="008D06F2"/>
    <w:rsid w:val="008D1A12"/>
    <w:rsid w:val="008D3554"/>
    <w:rsid w:val="008D38B7"/>
    <w:rsid w:val="008D4415"/>
    <w:rsid w:val="008D4B4F"/>
    <w:rsid w:val="008D4B7F"/>
    <w:rsid w:val="008D641F"/>
    <w:rsid w:val="008D6F1A"/>
    <w:rsid w:val="008D7392"/>
    <w:rsid w:val="008D7B3C"/>
    <w:rsid w:val="008E11E9"/>
    <w:rsid w:val="008E2EB4"/>
    <w:rsid w:val="008E3EEC"/>
    <w:rsid w:val="008E5C34"/>
    <w:rsid w:val="008E5E56"/>
    <w:rsid w:val="008E63D0"/>
    <w:rsid w:val="008E6A85"/>
    <w:rsid w:val="008E786E"/>
    <w:rsid w:val="008E7E98"/>
    <w:rsid w:val="008F04A5"/>
    <w:rsid w:val="008F0885"/>
    <w:rsid w:val="008F1347"/>
    <w:rsid w:val="008F2727"/>
    <w:rsid w:val="008F32E1"/>
    <w:rsid w:val="008F3F6C"/>
    <w:rsid w:val="008F528B"/>
    <w:rsid w:val="008F5620"/>
    <w:rsid w:val="008F6410"/>
    <w:rsid w:val="008F6D67"/>
    <w:rsid w:val="008F705E"/>
    <w:rsid w:val="008F76D3"/>
    <w:rsid w:val="008F7F39"/>
    <w:rsid w:val="00902335"/>
    <w:rsid w:val="00902474"/>
    <w:rsid w:val="00902916"/>
    <w:rsid w:val="009033E9"/>
    <w:rsid w:val="00903A4A"/>
    <w:rsid w:val="009061D5"/>
    <w:rsid w:val="0090692A"/>
    <w:rsid w:val="00906D5D"/>
    <w:rsid w:val="009076CE"/>
    <w:rsid w:val="00907855"/>
    <w:rsid w:val="009103A6"/>
    <w:rsid w:val="009104B0"/>
    <w:rsid w:val="0091087D"/>
    <w:rsid w:val="00911EB5"/>
    <w:rsid w:val="0091304F"/>
    <w:rsid w:val="00913341"/>
    <w:rsid w:val="009133B9"/>
    <w:rsid w:val="00913E57"/>
    <w:rsid w:val="00914688"/>
    <w:rsid w:val="009148A1"/>
    <w:rsid w:val="00914F5D"/>
    <w:rsid w:val="009165E5"/>
    <w:rsid w:val="00916622"/>
    <w:rsid w:val="00916B51"/>
    <w:rsid w:val="009200FD"/>
    <w:rsid w:val="00920184"/>
    <w:rsid w:val="00920AEB"/>
    <w:rsid w:val="009218FC"/>
    <w:rsid w:val="00921DDB"/>
    <w:rsid w:val="00921F88"/>
    <w:rsid w:val="009234A6"/>
    <w:rsid w:val="009241ED"/>
    <w:rsid w:val="00924480"/>
    <w:rsid w:val="009246C1"/>
    <w:rsid w:val="0092481E"/>
    <w:rsid w:val="00925719"/>
    <w:rsid w:val="00925730"/>
    <w:rsid w:val="00925B7F"/>
    <w:rsid w:val="00926B7A"/>
    <w:rsid w:val="009277EA"/>
    <w:rsid w:val="009279ED"/>
    <w:rsid w:val="00927F16"/>
    <w:rsid w:val="009322D6"/>
    <w:rsid w:val="00933340"/>
    <w:rsid w:val="009347F2"/>
    <w:rsid w:val="00934AC5"/>
    <w:rsid w:val="00935B48"/>
    <w:rsid w:val="00936A23"/>
    <w:rsid w:val="009374D9"/>
    <w:rsid w:val="00937749"/>
    <w:rsid w:val="00937757"/>
    <w:rsid w:val="009402BA"/>
    <w:rsid w:val="00941C87"/>
    <w:rsid w:val="00941EBB"/>
    <w:rsid w:val="00944E5F"/>
    <w:rsid w:val="009457F5"/>
    <w:rsid w:val="0094718D"/>
    <w:rsid w:val="0094784F"/>
    <w:rsid w:val="00947DBC"/>
    <w:rsid w:val="00950BD8"/>
    <w:rsid w:val="00950F94"/>
    <w:rsid w:val="0095319D"/>
    <w:rsid w:val="009534EF"/>
    <w:rsid w:val="00953E28"/>
    <w:rsid w:val="009545DE"/>
    <w:rsid w:val="00954CE4"/>
    <w:rsid w:val="009556EB"/>
    <w:rsid w:val="0095578C"/>
    <w:rsid w:val="00956B8F"/>
    <w:rsid w:val="00957560"/>
    <w:rsid w:val="009576E2"/>
    <w:rsid w:val="0096058B"/>
    <w:rsid w:val="00960C1A"/>
    <w:rsid w:val="00961330"/>
    <w:rsid w:val="0096290E"/>
    <w:rsid w:val="009630D7"/>
    <w:rsid w:val="00964024"/>
    <w:rsid w:val="009660CE"/>
    <w:rsid w:val="00966ADA"/>
    <w:rsid w:val="00967B66"/>
    <w:rsid w:val="00971C6B"/>
    <w:rsid w:val="00972C31"/>
    <w:rsid w:val="00973EDA"/>
    <w:rsid w:val="009747BC"/>
    <w:rsid w:val="009755FF"/>
    <w:rsid w:val="00977CA5"/>
    <w:rsid w:val="00977EFC"/>
    <w:rsid w:val="00980927"/>
    <w:rsid w:val="009811FD"/>
    <w:rsid w:val="009822F7"/>
    <w:rsid w:val="0098257D"/>
    <w:rsid w:val="00982DBB"/>
    <w:rsid w:val="009834E2"/>
    <w:rsid w:val="0098424F"/>
    <w:rsid w:val="009845B7"/>
    <w:rsid w:val="009845BC"/>
    <w:rsid w:val="0098461A"/>
    <w:rsid w:val="009849E2"/>
    <w:rsid w:val="009861D6"/>
    <w:rsid w:val="009867A2"/>
    <w:rsid w:val="00986EA0"/>
    <w:rsid w:val="00987526"/>
    <w:rsid w:val="00987C90"/>
    <w:rsid w:val="00990885"/>
    <w:rsid w:val="009913A8"/>
    <w:rsid w:val="009913C6"/>
    <w:rsid w:val="00993BFC"/>
    <w:rsid w:val="009941A1"/>
    <w:rsid w:val="00994494"/>
    <w:rsid w:val="0099454F"/>
    <w:rsid w:val="0099468F"/>
    <w:rsid w:val="00996160"/>
    <w:rsid w:val="0099659B"/>
    <w:rsid w:val="00996742"/>
    <w:rsid w:val="00996FCC"/>
    <w:rsid w:val="00997390"/>
    <w:rsid w:val="009A02D1"/>
    <w:rsid w:val="009A03D2"/>
    <w:rsid w:val="009A18F2"/>
    <w:rsid w:val="009A1A70"/>
    <w:rsid w:val="009A1D78"/>
    <w:rsid w:val="009A28A3"/>
    <w:rsid w:val="009A4634"/>
    <w:rsid w:val="009A4E91"/>
    <w:rsid w:val="009A5DA9"/>
    <w:rsid w:val="009A5DB0"/>
    <w:rsid w:val="009A6C14"/>
    <w:rsid w:val="009A7A9F"/>
    <w:rsid w:val="009A7E53"/>
    <w:rsid w:val="009B0DF2"/>
    <w:rsid w:val="009B19D8"/>
    <w:rsid w:val="009B1D37"/>
    <w:rsid w:val="009B2173"/>
    <w:rsid w:val="009B2D3B"/>
    <w:rsid w:val="009B4F9A"/>
    <w:rsid w:val="009B5030"/>
    <w:rsid w:val="009B59D5"/>
    <w:rsid w:val="009B6719"/>
    <w:rsid w:val="009B6C03"/>
    <w:rsid w:val="009C0A7B"/>
    <w:rsid w:val="009C1167"/>
    <w:rsid w:val="009C1990"/>
    <w:rsid w:val="009C1FD6"/>
    <w:rsid w:val="009C201E"/>
    <w:rsid w:val="009C2B02"/>
    <w:rsid w:val="009C2E63"/>
    <w:rsid w:val="009C4039"/>
    <w:rsid w:val="009C438E"/>
    <w:rsid w:val="009C54D0"/>
    <w:rsid w:val="009C572F"/>
    <w:rsid w:val="009C6AD8"/>
    <w:rsid w:val="009C7252"/>
    <w:rsid w:val="009D0A08"/>
    <w:rsid w:val="009D23EB"/>
    <w:rsid w:val="009D3571"/>
    <w:rsid w:val="009D4A58"/>
    <w:rsid w:val="009D4BE5"/>
    <w:rsid w:val="009D5963"/>
    <w:rsid w:val="009D5C2C"/>
    <w:rsid w:val="009D76F5"/>
    <w:rsid w:val="009E0C8A"/>
    <w:rsid w:val="009E1702"/>
    <w:rsid w:val="009E1B3F"/>
    <w:rsid w:val="009E45DB"/>
    <w:rsid w:val="009E481A"/>
    <w:rsid w:val="009E5B0A"/>
    <w:rsid w:val="009E66A3"/>
    <w:rsid w:val="009E66C4"/>
    <w:rsid w:val="009F0C84"/>
    <w:rsid w:val="009F0D98"/>
    <w:rsid w:val="009F1CAE"/>
    <w:rsid w:val="009F306B"/>
    <w:rsid w:val="009F541A"/>
    <w:rsid w:val="009F59EB"/>
    <w:rsid w:val="009F5C78"/>
    <w:rsid w:val="009F6D57"/>
    <w:rsid w:val="009F6E71"/>
    <w:rsid w:val="009F72FB"/>
    <w:rsid w:val="009F7364"/>
    <w:rsid w:val="009F73B0"/>
    <w:rsid w:val="00A0092E"/>
    <w:rsid w:val="00A02443"/>
    <w:rsid w:val="00A02ACF"/>
    <w:rsid w:val="00A0321F"/>
    <w:rsid w:val="00A04AD7"/>
    <w:rsid w:val="00A05248"/>
    <w:rsid w:val="00A0552F"/>
    <w:rsid w:val="00A062A6"/>
    <w:rsid w:val="00A0794C"/>
    <w:rsid w:val="00A1078F"/>
    <w:rsid w:val="00A110FD"/>
    <w:rsid w:val="00A13D1A"/>
    <w:rsid w:val="00A15500"/>
    <w:rsid w:val="00A15DB8"/>
    <w:rsid w:val="00A169EC"/>
    <w:rsid w:val="00A16A6C"/>
    <w:rsid w:val="00A16EBD"/>
    <w:rsid w:val="00A178BA"/>
    <w:rsid w:val="00A17D3C"/>
    <w:rsid w:val="00A20058"/>
    <w:rsid w:val="00A231FC"/>
    <w:rsid w:val="00A23A4D"/>
    <w:rsid w:val="00A247BD"/>
    <w:rsid w:val="00A24C81"/>
    <w:rsid w:val="00A24DC2"/>
    <w:rsid w:val="00A26CEE"/>
    <w:rsid w:val="00A2752B"/>
    <w:rsid w:val="00A27BB2"/>
    <w:rsid w:val="00A27F13"/>
    <w:rsid w:val="00A27F92"/>
    <w:rsid w:val="00A301C2"/>
    <w:rsid w:val="00A318CD"/>
    <w:rsid w:val="00A348E1"/>
    <w:rsid w:val="00A34EA5"/>
    <w:rsid w:val="00A35BF3"/>
    <w:rsid w:val="00A36E8B"/>
    <w:rsid w:val="00A40927"/>
    <w:rsid w:val="00A410DE"/>
    <w:rsid w:val="00A41B2B"/>
    <w:rsid w:val="00A42184"/>
    <w:rsid w:val="00A43586"/>
    <w:rsid w:val="00A440FE"/>
    <w:rsid w:val="00A45B48"/>
    <w:rsid w:val="00A46E41"/>
    <w:rsid w:val="00A472F9"/>
    <w:rsid w:val="00A529F1"/>
    <w:rsid w:val="00A53D8E"/>
    <w:rsid w:val="00A54790"/>
    <w:rsid w:val="00A5696B"/>
    <w:rsid w:val="00A5725B"/>
    <w:rsid w:val="00A5771E"/>
    <w:rsid w:val="00A577C1"/>
    <w:rsid w:val="00A5783F"/>
    <w:rsid w:val="00A60327"/>
    <w:rsid w:val="00A624C7"/>
    <w:rsid w:val="00A63284"/>
    <w:rsid w:val="00A63A81"/>
    <w:rsid w:val="00A650F3"/>
    <w:rsid w:val="00A654DF"/>
    <w:rsid w:val="00A65B84"/>
    <w:rsid w:val="00A66FBF"/>
    <w:rsid w:val="00A67A42"/>
    <w:rsid w:val="00A67BDA"/>
    <w:rsid w:val="00A706FB"/>
    <w:rsid w:val="00A70815"/>
    <w:rsid w:val="00A715AD"/>
    <w:rsid w:val="00A728C1"/>
    <w:rsid w:val="00A734A7"/>
    <w:rsid w:val="00A755EC"/>
    <w:rsid w:val="00A758EA"/>
    <w:rsid w:val="00A760AF"/>
    <w:rsid w:val="00A76C0E"/>
    <w:rsid w:val="00A76E2E"/>
    <w:rsid w:val="00A77EFD"/>
    <w:rsid w:val="00A80C2D"/>
    <w:rsid w:val="00A8152F"/>
    <w:rsid w:val="00A82816"/>
    <w:rsid w:val="00A82FDB"/>
    <w:rsid w:val="00A83E77"/>
    <w:rsid w:val="00A84987"/>
    <w:rsid w:val="00A85967"/>
    <w:rsid w:val="00A85F08"/>
    <w:rsid w:val="00A87714"/>
    <w:rsid w:val="00A87BBF"/>
    <w:rsid w:val="00A90B08"/>
    <w:rsid w:val="00A90D02"/>
    <w:rsid w:val="00A91CC5"/>
    <w:rsid w:val="00A91FE0"/>
    <w:rsid w:val="00A920B2"/>
    <w:rsid w:val="00A947AE"/>
    <w:rsid w:val="00A955A7"/>
    <w:rsid w:val="00A97097"/>
    <w:rsid w:val="00A97172"/>
    <w:rsid w:val="00AA08BF"/>
    <w:rsid w:val="00AA0D3A"/>
    <w:rsid w:val="00AA0DEF"/>
    <w:rsid w:val="00AA1FC7"/>
    <w:rsid w:val="00AA20BB"/>
    <w:rsid w:val="00AA2805"/>
    <w:rsid w:val="00AA2BF2"/>
    <w:rsid w:val="00AA3354"/>
    <w:rsid w:val="00AA4AF7"/>
    <w:rsid w:val="00AA56D0"/>
    <w:rsid w:val="00AA575F"/>
    <w:rsid w:val="00AA5DE8"/>
    <w:rsid w:val="00AA5E9A"/>
    <w:rsid w:val="00AA5F06"/>
    <w:rsid w:val="00AA6651"/>
    <w:rsid w:val="00AA6E5C"/>
    <w:rsid w:val="00AA73AE"/>
    <w:rsid w:val="00AA7641"/>
    <w:rsid w:val="00AA7A58"/>
    <w:rsid w:val="00AB03C4"/>
    <w:rsid w:val="00AB0ACC"/>
    <w:rsid w:val="00AB0C83"/>
    <w:rsid w:val="00AB14CC"/>
    <w:rsid w:val="00AB1CB8"/>
    <w:rsid w:val="00AB1E9A"/>
    <w:rsid w:val="00AB3B2F"/>
    <w:rsid w:val="00AB68C5"/>
    <w:rsid w:val="00AC24D7"/>
    <w:rsid w:val="00AC2930"/>
    <w:rsid w:val="00AC2ABE"/>
    <w:rsid w:val="00AC464D"/>
    <w:rsid w:val="00AC4F3C"/>
    <w:rsid w:val="00AC5482"/>
    <w:rsid w:val="00AC5D2E"/>
    <w:rsid w:val="00AC638E"/>
    <w:rsid w:val="00AC72B0"/>
    <w:rsid w:val="00AC776E"/>
    <w:rsid w:val="00AC7AED"/>
    <w:rsid w:val="00AD4D46"/>
    <w:rsid w:val="00AD4F47"/>
    <w:rsid w:val="00AD5157"/>
    <w:rsid w:val="00AD6A53"/>
    <w:rsid w:val="00AD72C8"/>
    <w:rsid w:val="00AE046E"/>
    <w:rsid w:val="00AE1067"/>
    <w:rsid w:val="00AE108A"/>
    <w:rsid w:val="00AE1CC4"/>
    <w:rsid w:val="00AE25FB"/>
    <w:rsid w:val="00AE2837"/>
    <w:rsid w:val="00AE2BFD"/>
    <w:rsid w:val="00AE3027"/>
    <w:rsid w:val="00AE360D"/>
    <w:rsid w:val="00AE39B0"/>
    <w:rsid w:val="00AE3AFE"/>
    <w:rsid w:val="00AE3B19"/>
    <w:rsid w:val="00AE536A"/>
    <w:rsid w:val="00AE54F8"/>
    <w:rsid w:val="00AE59A1"/>
    <w:rsid w:val="00AE5E5F"/>
    <w:rsid w:val="00AE626A"/>
    <w:rsid w:val="00AF03AF"/>
    <w:rsid w:val="00AF08E2"/>
    <w:rsid w:val="00AF09C0"/>
    <w:rsid w:val="00AF0A61"/>
    <w:rsid w:val="00AF0CA2"/>
    <w:rsid w:val="00AF4CB2"/>
    <w:rsid w:val="00AF57E0"/>
    <w:rsid w:val="00AF6C65"/>
    <w:rsid w:val="00AF745C"/>
    <w:rsid w:val="00AF7DF9"/>
    <w:rsid w:val="00B0034E"/>
    <w:rsid w:val="00B00740"/>
    <w:rsid w:val="00B00DAC"/>
    <w:rsid w:val="00B013CC"/>
    <w:rsid w:val="00B02F86"/>
    <w:rsid w:val="00B0337D"/>
    <w:rsid w:val="00B04072"/>
    <w:rsid w:val="00B045BE"/>
    <w:rsid w:val="00B04A1A"/>
    <w:rsid w:val="00B05BEC"/>
    <w:rsid w:val="00B065FE"/>
    <w:rsid w:val="00B07423"/>
    <w:rsid w:val="00B07A48"/>
    <w:rsid w:val="00B07E59"/>
    <w:rsid w:val="00B10889"/>
    <w:rsid w:val="00B11F2C"/>
    <w:rsid w:val="00B126D9"/>
    <w:rsid w:val="00B12EC6"/>
    <w:rsid w:val="00B13153"/>
    <w:rsid w:val="00B13DA8"/>
    <w:rsid w:val="00B14269"/>
    <w:rsid w:val="00B17674"/>
    <w:rsid w:val="00B1795F"/>
    <w:rsid w:val="00B17A51"/>
    <w:rsid w:val="00B2060C"/>
    <w:rsid w:val="00B22460"/>
    <w:rsid w:val="00B234C3"/>
    <w:rsid w:val="00B24961"/>
    <w:rsid w:val="00B269BA"/>
    <w:rsid w:val="00B27E0D"/>
    <w:rsid w:val="00B31057"/>
    <w:rsid w:val="00B328E9"/>
    <w:rsid w:val="00B345D3"/>
    <w:rsid w:val="00B35F05"/>
    <w:rsid w:val="00B3642F"/>
    <w:rsid w:val="00B3782C"/>
    <w:rsid w:val="00B37C3C"/>
    <w:rsid w:val="00B37CA8"/>
    <w:rsid w:val="00B40555"/>
    <w:rsid w:val="00B40C49"/>
    <w:rsid w:val="00B41887"/>
    <w:rsid w:val="00B41A55"/>
    <w:rsid w:val="00B427A9"/>
    <w:rsid w:val="00B42B1D"/>
    <w:rsid w:val="00B43127"/>
    <w:rsid w:val="00B435DE"/>
    <w:rsid w:val="00B435E4"/>
    <w:rsid w:val="00B442A0"/>
    <w:rsid w:val="00B45005"/>
    <w:rsid w:val="00B469FF"/>
    <w:rsid w:val="00B46F91"/>
    <w:rsid w:val="00B47746"/>
    <w:rsid w:val="00B4775A"/>
    <w:rsid w:val="00B51F4C"/>
    <w:rsid w:val="00B525EE"/>
    <w:rsid w:val="00B52DF7"/>
    <w:rsid w:val="00B5328D"/>
    <w:rsid w:val="00B5497B"/>
    <w:rsid w:val="00B556A4"/>
    <w:rsid w:val="00B55D5A"/>
    <w:rsid w:val="00B56953"/>
    <w:rsid w:val="00B57690"/>
    <w:rsid w:val="00B60D50"/>
    <w:rsid w:val="00B61D3D"/>
    <w:rsid w:val="00B62484"/>
    <w:rsid w:val="00B628A5"/>
    <w:rsid w:val="00B62B0C"/>
    <w:rsid w:val="00B63E38"/>
    <w:rsid w:val="00B64D67"/>
    <w:rsid w:val="00B65A92"/>
    <w:rsid w:val="00B65E7E"/>
    <w:rsid w:val="00B65F91"/>
    <w:rsid w:val="00B66081"/>
    <w:rsid w:val="00B660E0"/>
    <w:rsid w:val="00B6644A"/>
    <w:rsid w:val="00B664A8"/>
    <w:rsid w:val="00B665B3"/>
    <w:rsid w:val="00B676BB"/>
    <w:rsid w:val="00B70551"/>
    <w:rsid w:val="00B70F0F"/>
    <w:rsid w:val="00B716A9"/>
    <w:rsid w:val="00B71877"/>
    <w:rsid w:val="00B7218C"/>
    <w:rsid w:val="00B72E53"/>
    <w:rsid w:val="00B7382D"/>
    <w:rsid w:val="00B74621"/>
    <w:rsid w:val="00B749E0"/>
    <w:rsid w:val="00B77492"/>
    <w:rsid w:val="00B77638"/>
    <w:rsid w:val="00B8028D"/>
    <w:rsid w:val="00B81203"/>
    <w:rsid w:val="00B82140"/>
    <w:rsid w:val="00B8232C"/>
    <w:rsid w:val="00B83B3F"/>
    <w:rsid w:val="00B86035"/>
    <w:rsid w:val="00B861A8"/>
    <w:rsid w:val="00B869AA"/>
    <w:rsid w:val="00B86C11"/>
    <w:rsid w:val="00B909CF"/>
    <w:rsid w:val="00B920D8"/>
    <w:rsid w:val="00B9372F"/>
    <w:rsid w:val="00B954B7"/>
    <w:rsid w:val="00B95B12"/>
    <w:rsid w:val="00B974EC"/>
    <w:rsid w:val="00B97D87"/>
    <w:rsid w:val="00BA13BB"/>
    <w:rsid w:val="00BA1811"/>
    <w:rsid w:val="00BA2136"/>
    <w:rsid w:val="00BA2A27"/>
    <w:rsid w:val="00BA4790"/>
    <w:rsid w:val="00BA5379"/>
    <w:rsid w:val="00BA5B6B"/>
    <w:rsid w:val="00BA6C6D"/>
    <w:rsid w:val="00BB03DF"/>
    <w:rsid w:val="00BB0C1B"/>
    <w:rsid w:val="00BB14CF"/>
    <w:rsid w:val="00BB1A6E"/>
    <w:rsid w:val="00BB30D3"/>
    <w:rsid w:val="00BB3704"/>
    <w:rsid w:val="00BB3F6A"/>
    <w:rsid w:val="00BB4EAE"/>
    <w:rsid w:val="00BB7341"/>
    <w:rsid w:val="00BC0857"/>
    <w:rsid w:val="00BC0B9C"/>
    <w:rsid w:val="00BC0C66"/>
    <w:rsid w:val="00BC1018"/>
    <w:rsid w:val="00BC1310"/>
    <w:rsid w:val="00BC13D1"/>
    <w:rsid w:val="00BC251C"/>
    <w:rsid w:val="00BC2633"/>
    <w:rsid w:val="00BC2808"/>
    <w:rsid w:val="00BC38C1"/>
    <w:rsid w:val="00BC42DB"/>
    <w:rsid w:val="00BC45E6"/>
    <w:rsid w:val="00BC4F23"/>
    <w:rsid w:val="00BC5DCF"/>
    <w:rsid w:val="00BC6011"/>
    <w:rsid w:val="00BC6BE9"/>
    <w:rsid w:val="00BC7903"/>
    <w:rsid w:val="00BC7F6D"/>
    <w:rsid w:val="00BD00EC"/>
    <w:rsid w:val="00BD161C"/>
    <w:rsid w:val="00BD1895"/>
    <w:rsid w:val="00BD1A5C"/>
    <w:rsid w:val="00BD33BF"/>
    <w:rsid w:val="00BD3C45"/>
    <w:rsid w:val="00BD45DF"/>
    <w:rsid w:val="00BD7B36"/>
    <w:rsid w:val="00BE0B54"/>
    <w:rsid w:val="00BE0C1B"/>
    <w:rsid w:val="00BE12A4"/>
    <w:rsid w:val="00BE34D6"/>
    <w:rsid w:val="00BE3A2D"/>
    <w:rsid w:val="00BE3C84"/>
    <w:rsid w:val="00BE3E34"/>
    <w:rsid w:val="00BE48A7"/>
    <w:rsid w:val="00BE77BD"/>
    <w:rsid w:val="00BE7BC1"/>
    <w:rsid w:val="00BE7FAC"/>
    <w:rsid w:val="00BF0949"/>
    <w:rsid w:val="00BF0B31"/>
    <w:rsid w:val="00BF16EB"/>
    <w:rsid w:val="00BF175F"/>
    <w:rsid w:val="00BF1BD3"/>
    <w:rsid w:val="00BF1CF3"/>
    <w:rsid w:val="00BF1DFB"/>
    <w:rsid w:val="00BF20FA"/>
    <w:rsid w:val="00BF372F"/>
    <w:rsid w:val="00BF45B9"/>
    <w:rsid w:val="00BF6BAF"/>
    <w:rsid w:val="00C00477"/>
    <w:rsid w:val="00C00C5B"/>
    <w:rsid w:val="00C0320F"/>
    <w:rsid w:val="00C03246"/>
    <w:rsid w:val="00C0377B"/>
    <w:rsid w:val="00C03A67"/>
    <w:rsid w:val="00C03B72"/>
    <w:rsid w:val="00C0412B"/>
    <w:rsid w:val="00C04191"/>
    <w:rsid w:val="00C04470"/>
    <w:rsid w:val="00C04CC0"/>
    <w:rsid w:val="00C06211"/>
    <w:rsid w:val="00C062B3"/>
    <w:rsid w:val="00C07675"/>
    <w:rsid w:val="00C10877"/>
    <w:rsid w:val="00C114BE"/>
    <w:rsid w:val="00C123EC"/>
    <w:rsid w:val="00C12F8D"/>
    <w:rsid w:val="00C13574"/>
    <w:rsid w:val="00C1378E"/>
    <w:rsid w:val="00C15AA5"/>
    <w:rsid w:val="00C15F49"/>
    <w:rsid w:val="00C16543"/>
    <w:rsid w:val="00C16D10"/>
    <w:rsid w:val="00C17F15"/>
    <w:rsid w:val="00C2029F"/>
    <w:rsid w:val="00C2032E"/>
    <w:rsid w:val="00C209BD"/>
    <w:rsid w:val="00C20A77"/>
    <w:rsid w:val="00C2116B"/>
    <w:rsid w:val="00C22942"/>
    <w:rsid w:val="00C23354"/>
    <w:rsid w:val="00C24FE5"/>
    <w:rsid w:val="00C259D5"/>
    <w:rsid w:val="00C26AA5"/>
    <w:rsid w:val="00C27A6E"/>
    <w:rsid w:val="00C312E3"/>
    <w:rsid w:val="00C317BE"/>
    <w:rsid w:val="00C336B3"/>
    <w:rsid w:val="00C37F51"/>
    <w:rsid w:val="00C403EA"/>
    <w:rsid w:val="00C40C83"/>
    <w:rsid w:val="00C43673"/>
    <w:rsid w:val="00C44CC2"/>
    <w:rsid w:val="00C46433"/>
    <w:rsid w:val="00C46936"/>
    <w:rsid w:val="00C47176"/>
    <w:rsid w:val="00C47595"/>
    <w:rsid w:val="00C50D2C"/>
    <w:rsid w:val="00C51708"/>
    <w:rsid w:val="00C529D0"/>
    <w:rsid w:val="00C53631"/>
    <w:rsid w:val="00C558B4"/>
    <w:rsid w:val="00C56B52"/>
    <w:rsid w:val="00C56F21"/>
    <w:rsid w:val="00C57F3D"/>
    <w:rsid w:val="00C607A3"/>
    <w:rsid w:val="00C620CC"/>
    <w:rsid w:val="00C64444"/>
    <w:rsid w:val="00C65EBA"/>
    <w:rsid w:val="00C66FC0"/>
    <w:rsid w:val="00C700C5"/>
    <w:rsid w:val="00C708AF"/>
    <w:rsid w:val="00C72D03"/>
    <w:rsid w:val="00C72F94"/>
    <w:rsid w:val="00C73065"/>
    <w:rsid w:val="00C73C18"/>
    <w:rsid w:val="00C73F8D"/>
    <w:rsid w:val="00C74245"/>
    <w:rsid w:val="00C75909"/>
    <w:rsid w:val="00C75C85"/>
    <w:rsid w:val="00C768DA"/>
    <w:rsid w:val="00C8123C"/>
    <w:rsid w:val="00C826C3"/>
    <w:rsid w:val="00C82DF8"/>
    <w:rsid w:val="00C83BE6"/>
    <w:rsid w:val="00C845AC"/>
    <w:rsid w:val="00C85380"/>
    <w:rsid w:val="00C87B3A"/>
    <w:rsid w:val="00C87B97"/>
    <w:rsid w:val="00C91AFA"/>
    <w:rsid w:val="00C92DD6"/>
    <w:rsid w:val="00C936FD"/>
    <w:rsid w:val="00C93959"/>
    <w:rsid w:val="00C94CB3"/>
    <w:rsid w:val="00C95123"/>
    <w:rsid w:val="00C966CA"/>
    <w:rsid w:val="00CA1321"/>
    <w:rsid w:val="00CA138F"/>
    <w:rsid w:val="00CA1D4D"/>
    <w:rsid w:val="00CA29B6"/>
    <w:rsid w:val="00CA2FDD"/>
    <w:rsid w:val="00CA5336"/>
    <w:rsid w:val="00CA666F"/>
    <w:rsid w:val="00CA6DC4"/>
    <w:rsid w:val="00CB0F5C"/>
    <w:rsid w:val="00CB1BFB"/>
    <w:rsid w:val="00CB1FCE"/>
    <w:rsid w:val="00CB467A"/>
    <w:rsid w:val="00CB48B2"/>
    <w:rsid w:val="00CB54DD"/>
    <w:rsid w:val="00CB6E68"/>
    <w:rsid w:val="00CB75EF"/>
    <w:rsid w:val="00CB77CE"/>
    <w:rsid w:val="00CC0C5C"/>
    <w:rsid w:val="00CC18A2"/>
    <w:rsid w:val="00CC1C3E"/>
    <w:rsid w:val="00CC25B1"/>
    <w:rsid w:val="00CC37AC"/>
    <w:rsid w:val="00CC3B53"/>
    <w:rsid w:val="00CC45EA"/>
    <w:rsid w:val="00CC589D"/>
    <w:rsid w:val="00CC613A"/>
    <w:rsid w:val="00CC6804"/>
    <w:rsid w:val="00CC75F4"/>
    <w:rsid w:val="00CD054E"/>
    <w:rsid w:val="00CD0F4A"/>
    <w:rsid w:val="00CD13D5"/>
    <w:rsid w:val="00CD14FF"/>
    <w:rsid w:val="00CD15ED"/>
    <w:rsid w:val="00CD24F2"/>
    <w:rsid w:val="00CD3431"/>
    <w:rsid w:val="00CD3B35"/>
    <w:rsid w:val="00CD520F"/>
    <w:rsid w:val="00CD606E"/>
    <w:rsid w:val="00CD7422"/>
    <w:rsid w:val="00CE0293"/>
    <w:rsid w:val="00CE1DBB"/>
    <w:rsid w:val="00CE2228"/>
    <w:rsid w:val="00CE2DB2"/>
    <w:rsid w:val="00CE3066"/>
    <w:rsid w:val="00CE3C31"/>
    <w:rsid w:val="00CE4224"/>
    <w:rsid w:val="00CE5332"/>
    <w:rsid w:val="00CE5966"/>
    <w:rsid w:val="00CE5AA6"/>
    <w:rsid w:val="00CE5C95"/>
    <w:rsid w:val="00CE5FA2"/>
    <w:rsid w:val="00CE5FFE"/>
    <w:rsid w:val="00CE706B"/>
    <w:rsid w:val="00CE7B05"/>
    <w:rsid w:val="00CF0DBD"/>
    <w:rsid w:val="00CF133F"/>
    <w:rsid w:val="00CF2FA0"/>
    <w:rsid w:val="00CF3010"/>
    <w:rsid w:val="00CF3805"/>
    <w:rsid w:val="00CF3B66"/>
    <w:rsid w:val="00CF3BBC"/>
    <w:rsid w:val="00CF45C1"/>
    <w:rsid w:val="00CF63A0"/>
    <w:rsid w:val="00CF69EE"/>
    <w:rsid w:val="00CF7D6D"/>
    <w:rsid w:val="00CF7FED"/>
    <w:rsid w:val="00D0099D"/>
    <w:rsid w:val="00D01E74"/>
    <w:rsid w:val="00D02215"/>
    <w:rsid w:val="00D02B89"/>
    <w:rsid w:val="00D03F39"/>
    <w:rsid w:val="00D05EF9"/>
    <w:rsid w:val="00D0621B"/>
    <w:rsid w:val="00D06673"/>
    <w:rsid w:val="00D0698A"/>
    <w:rsid w:val="00D10AC3"/>
    <w:rsid w:val="00D11832"/>
    <w:rsid w:val="00D1394B"/>
    <w:rsid w:val="00D14E20"/>
    <w:rsid w:val="00D17474"/>
    <w:rsid w:val="00D17984"/>
    <w:rsid w:val="00D17EDE"/>
    <w:rsid w:val="00D201E5"/>
    <w:rsid w:val="00D225BD"/>
    <w:rsid w:val="00D22A11"/>
    <w:rsid w:val="00D22A95"/>
    <w:rsid w:val="00D242BB"/>
    <w:rsid w:val="00D25075"/>
    <w:rsid w:val="00D25DF9"/>
    <w:rsid w:val="00D26328"/>
    <w:rsid w:val="00D2691E"/>
    <w:rsid w:val="00D26A1F"/>
    <w:rsid w:val="00D2730A"/>
    <w:rsid w:val="00D2737A"/>
    <w:rsid w:val="00D30F3A"/>
    <w:rsid w:val="00D3134D"/>
    <w:rsid w:val="00D31BA3"/>
    <w:rsid w:val="00D32420"/>
    <w:rsid w:val="00D34E56"/>
    <w:rsid w:val="00D3798F"/>
    <w:rsid w:val="00D37C37"/>
    <w:rsid w:val="00D40763"/>
    <w:rsid w:val="00D41851"/>
    <w:rsid w:val="00D41A9F"/>
    <w:rsid w:val="00D422B8"/>
    <w:rsid w:val="00D42FC9"/>
    <w:rsid w:val="00D433EA"/>
    <w:rsid w:val="00D44370"/>
    <w:rsid w:val="00D45BFF"/>
    <w:rsid w:val="00D4736C"/>
    <w:rsid w:val="00D50BB5"/>
    <w:rsid w:val="00D5342C"/>
    <w:rsid w:val="00D5462C"/>
    <w:rsid w:val="00D56EE5"/>
    <w:rsid w:val="00D57A2E"/>
    <w:rsid w:val="00D57AFD"/>
    <w:rsid w:val="00D57B26"/>
    <w:rsid w:val="00D608C4"/>
    <w:rsid w:val="00D6116D"/>
    <w:rsid w:val="00D62ECC"/>
    <w:rsid w:val="00D63B01"/>
    <w:rsid w:val="00D64BCC"/>
    <w:rsid w:val="00D64D18"/>
    <w:rsid w:val="00D654A0"/>
    <w:rsid w:val="00D66CC0"/>
    <w:rsid w:val="00D674EB"/>
    <w:rsid w:val="00D72078"/>
    <w:rsid w:val="00D77D17"/>
    <w:rsid w:val="00D8043C"/>
    <w:rsid w:val="00D80756"/>
    <w:rsid w:val="00D815AB"/>
    <w:rsid w:val="00D84594"/>
    <w:rsid w:val="00D85AB7"/>
    <w:rsid w:val="00D8653F"/>
    <w:rsid w:val="00D86E15"/>
    <w:rsid w:val="00D87587"/>
    <w:rsid w:val="00D92733"/>
    <w:rsid w:val="00D9299D"/>
    <w:rsid w:val="00D92AFE"/>
    <w:rsid w:val="00D93A9B"/>
    <w:rsid w:val="00D9533A"/>
    <w:rsid w:val="00D96F85"/>
    <w:rsid w:val="00D97178"/>
    <w:rsid w:val="00DA0A17"/>
    <w:rsid w:val="00DA161F"/>
    <w:rsid w:val="00DA1C0E"/>
    <w:rsid w:val="00DA295E"/>
    <w:rsid w:val="00DA3F0D"/>
    <w:rsid w:val="00DA4C00"/>
    <w:rsid w:val="00DA4D92"/>
    <w:rsid w:val="00DA5781"/>
    <w:rsid w:val="00DA73C9"/>
    <w:rsid w:val="00DA7A80"/>
    <w:rsid w:val="00DA7E18"/>
    <w:rsid w:val="00DB0266"/>
    <w:rsid w:val="00DB08A7"/>
    <w:rsid w:val="00DB0BF6"/>
    <w:rsid w:val="00DB11B6"/>
    <w:rsid w:val="00DB141D"/>
    <w:rsid w:val="00DB1ACF"/>
    <w:rsid w:val="00DB1BB3"/>
    <w:rsid w:val="00DB2665"/>
    <w:rsid w:val="00DB3E5E"/>
    <w:rsid w:val="00DB48DF"/>
    <w:rsid w:val="00DB5624"/>
    <w:rsid w:val="00DB72A2"/>
    <w:rsid w:val="00DB7680"/>
    <w:rsid w:val="00DC29BF"/>
    <w:rsid w:val="00DC332D"/>
    <w:rsid w:val="00DC3C0C"/>
    <w:rsid w:val="00DC47F5"/>
    <w:rsid w:val="00DC4A89"/>
    <w:rsid w:val="00DC4B6E"/>
    <w:rsid w:val="00DC5AD4"/>
    <w:rsid w:val="00DC5BCC"/>
    <w:rsid w:val="00DC602A"/>
    <w:rsid w:val="00DC6905"/>
    <w:rsid w:val="00DC75F2"/>
    <w:rsid w:val="00DD091F"/>
    <w:rsid w:val="00DD1593"/>
    <w:rsid w:val="00DD20C5"/>
    <w:rsid w:val="00DD3263"/>
    <w:rsid w:val="00DD34CE"/>
    <w:rsid w:val="00DD396B"/>
    <w:rsid w:val="00DD3B00"/>
    <w:rsid w:val="00DD4429"/>
    <w:rsid w:val="00DD4ACF"/>
    <w:rsid w:val="00DD6055"/>
    <w:rsid w:val="00DD6809"/>
    <w:rsid w:val="00DD7D81"/>
    <w:rsid w:val="00DE00FE"/>
    <w:rsid w:val="00DE0FF4"/>
    <w:rsid w:val="00DE410D"/>
    <w:rsid w:val="00DE4754"/>
    <w:rsid w:val="00DE4BAC"/>
    <w:rsid w:val="00DE5440"/>
    <w:rsid w:val="00DE57EE"/>
    <w:rsid w:val="00DE6624"/>
    <w:rsid w:val="00DE6CBA"/>
    <w:rsid w:val="00DE6D77"/>
    <w:rsid w:val="00DE6FD0"/>
    <w:rsid w:val="00DE7E78"/>
    <w:rsid w:val="00DF130E"/>
    <w:rsid w:val="00DF18EC"/>
    <w:rsid w:val="00DF1DA5"/>
    <w:rsid w:val="00DF2401"/>
    <w:rsid w:val="00DF2B02"/>
    <w:rsid w:val="00DF344E"/>
    <w:rsid w:val="00DF37DF"/>
    <w:rsid w:val="00DF3B58"/>
    <w:rsid w:val="00DF3FA6"/>
    <w:rsid w:val="00DF424E"/>
    <w:rsid w:val="00DF4608"/>
    <w:rsid w:val="00DF47F6"/>
    <w:rsid w:val="00DF727F"/>
    <w:rsid w:val="00E00794"/>
    <w:rsid w:val="00E00823"/>
    <w:rsid w:val="00E010F5"/>
    <w:rsid w:val="00E02C12"/>
    <w:rsid w:val="00E036BF"/>
    <w:rsid w:val="00E0386C"/>
    <w:rsid w:val="00E03D66"/>
    <w:rsid w:val="00E049D6"/>
    <w:rsid w:val="00E05988"/>
    <w:rsid w:val="00E06E39"/>
    <w:rsid w:val="00E10203"/>
    <w:rsid w:val="00E105C8"/>
    <w:rsid w:val="00E106B0"/>
    <w:rsid w:val="00E10B20"/>
    <w:rsid w:val="00E10FB4"/>
    <w:rsid w:val="00E14461"/>
    <w:rsid w:val="00E14A8C"/>
    <w:rsid w:val="00E14CB0"/>
    <w:rsid w:val="00E151ED"/>
    <w:rsid w:val="00E15F8F"/>
    <w:rsid w:val="00E162EC"/>
    <w:rsid w:val="00E1692F"/>
    <w:rsid w:val="00E169FC"/>
    <w:rsid w:val="00E176FB"/>
    <w:rsid w:val="00E17D56"/>
    <w:rsid w:val="00E216FE"/>
    <w:rsid w:val="00E23D35"/>
    <w:rsid w:val="00E24BAC"/>
    <w:rsid w:val="00E25030"/>
    <w:rsid w:val="00E253B9"/>
    <w:rsid w:val="00E25FD7"/>
    <w:rsid w:val="00E267EB"/>
    <w:rsid w:val="00E27F2A"/>
    <w:rsid w:val="00E302B9"/>
    <w:rsid w:val="00E30F5F"/>
    <w:rsid w:val="00E326ED"/>
    <w:rsid w:val="00E32998"/>
    <w:rsid w:val="00E35D71"/>
    <w:rsid w:val="00E35FCD"/>
    <w:rsid w:val="00E37633"/>
    <w:rsid w:val="00E37F11"/>
    <w:rsid w:val="00E41625"/>
    <w:rsid w:val="00E41DD1"/>
    <w:rsid w:val="00E4290D"/>
    <w:rsid w:val="00E42A94"/>
    <w:rsid w:val="00E431C9"/>
    <w:rsid w:val="00E43F63"/>
    <w:rsid w:val="00E44AC4"/>
    <w:rsid w:val="00E44D39"/>
    <w:rsid w:val="00E4575B"/>
    <w:rsid w:val="00E47432"/>
    <w:rsid w:val="00E4787C"/>
    <w:rsid w:val="00E47D7E"/>
    <w:rsid w:val="00E47FB6"/>
    <w:rsid w:val="00E501B8"/>
    <w:rsid w:val="00E50634"/>
    <w:rsid w:val="00E53699"/>
    <w:rsid w:val="00E55B8E"/>
    <w:rsid w:val="00E57D8E"/>
    <w:rsid w:val="00E6050B"/>
    <w:rsid w:val="00E60F07"/>
    <w:rsid w:val="00E61D8A"/>
    <w:rsid w:val="00E62EF7"/>
    <w:rsid w:val="00E634E2"/>
    <w:rsid w:val="00E6377D"/>
    <w:rsid w:val="00E65D15"/>
    <w:rsid w:val="00E66AAD"/>
    <w:rsid w:val="00E67AAA"/>
    <w:rsid w:val="00E716B7"/>
    <w:rsid w:val="00E71A8B"/>
    <w:rsid w:val="00E74456"/>
    <w:rsid w:val="00E75048"/>
    <w:rsid w:val="00E75803"/>
    <w:rsid w:val="00E758A8"/>
    <w:rsid w:val="00E8073E"/>
    <w:rsid w:val="00E80C6F"/>
    <w:rsid w:val="00E8309B"/>
    <w:rsid w:val="00E84429"/>
    <w:rsid w:val="00E851C2"/>
    <w:rsid w:val="00E85923"/>
    <w:rsid w:val="00E86D76"/>
    <w:rsid w:val="00E87626"/>
    <w:rsid w:val="00E87A4A"/>
    <w:rsid w:val="00E9171E"/>
    <w:rsid w:val="00E92B35"/>
    <w:rsid w:val="00E92C69"/>
    <w:rsid w:val="00E9398C"/>
    <w:rsid w:val="00E953E5"/>
    <w:rsid w:val="00E96D7F"/>
    <w:rsid w:val="00E97FA1"/>
    <w:rsid w:val="00EA08B3"/>
    <w:rsid w:val="00EA0910"/>
    <w:rsid w:val="00EA0FFA"/>
    <w:rsid w:val="00EA2902"/>
    <w:rsid w:val="00EA2B17"/>
    <w:rsid w:val="00EA2D37"/>
    <w:rsid w:val="00EA3311"/>
    <w:rsid w:val="00EA3949"/>
    <w:rsid w:val="00EA3D7F"/>
    <w:rsid w:val="00EA467A"/>
    <w:rsid w:val="00EA46EA"/>
    <w:rsid w:val="00EA577F"/>
    <w:rsid w:val="00EA609D"/>
    <w:rsid w:val="00EA614C"/>
    <w:rsid w:val="00EA6C4C"/>
    <w:rsid w:val="00EA7C10"/>
    <w:rsid w:val="00EB08AE"/>
    <w:rsid w:val="00EB0E21"/>
    <w:rsid w:val="00EB2520"/>
    <w:rsid w:val="00EB2CA7"/>
    <w:rsid w:val="00EB38B8"/>
    <w:rsid w:val="00EB479D"/>
    <w:rsid w:val="00EB51A9"/>
    <w:rsid w:val="00EB53C5"/>
    <w:rsid w:val="00EB6007"/>
    <w:rsid w:val="00EB6252"/>
    <w:rsid w:val="00EB79C5"/>
    <w:rsid w:val="00EC201C"/>
    <w:rsid w:val="00EC6D22"/>
    <w:rsid w:val="00ED0E25"/>
    <w:rsid w:val="00ED2E9F"/>
    <w:rsid w:val="00ED3CE6"/>
    <w:rsid w:val="00EE0671"/>
    <w:rsid w:val="00EE0E3D"/>
    <w:rsid w:val="00EE1081"/>
    <w:rsid w:val="00EE1F42"/>
    <w:rsid w:val="00EE2F1B"/>
    <w:rsid w:val="00EE5D82"/>
    <w:rsid w:val="00EE6957"/>
    <w:rsid w:val="00EE72BF"/>
    <w:rsid w:val="00EF051E"/>
    <w:rsid w:val="00EF09E9"/>
    <w:rsid w:val="00EF3230"/>
    <w:rsid w:val="00EF3269"/>
    <w:rsid w:val="00EF5873"/>
    <w:rsid w:val="00F02FA6"/>
    <w:rsid w:val="00F045EF"/>
    <w:rsid w:val="00F05B3F"/>
    <w:rsid w:val="00F05B85"/>
    <w:rsid w:val="00F05EDF"/>
    <w:rsid w:val="00F06DAF"/>
    <w:rsid w:val="00F07AE5"/>
    <w:rsid w:val="00F10709"/>
    <w:rsid w:val="00F111FB"/>
    <w:rsid w:val="00F11BD8"/>
    <w:rsid w:val="00F139E2"/>
    <w:rsid w:val="00F14098"/>
    <w:rsid w:val="00F1456D"/>
    <w:rsid w:val="00F1588E"/>
    <w:rsid w:val="00F167B7"/>
    <w:rsid w:val="00F21EC5"/>
    <w:rsid w:val="00F232B8"/>
    <w:rsid w:val="00F234A8"/>
    <w:rsid w:val="00F23D2E"/>
    <w:rsid w:val="00F25F25"/>
    <w:rsid w:val="00F2722D"/>
    <w:rsid w:val="00F279C0"/>
    <w:rsid w:val="00F27D70"/>
    <w:rsid w:val="00F30866"/>
    <w:rsid w:val="00F3124F"/>
    <w:rsid w:val="00F312A1"/>
    <w:rsid w:val="00F31CF1"/>
    <w:rsid w:val="00F32485"/>
    <w:rsid w:val="00F32D41"/>
    <w:rsid w:val="00F32F71"/>
    <w:rsid w:val="00F339D5"/>
    <w:rsid w:val="00F354B4"/>
    <w:rsid w:val="00F35F93"/>
    <w:rsid w:val="00F36092"/>
    <w:rsid w:val="00F36FF9"/>
    <w:rsid w:val="00F37048"/>
    <w:rsid w:val="00F3732C"/>
    <w:rsid w:val="00F37AD8"/>
    <w:rsid w:val="00F40035"/>
    <w:rsid w:val="00F41E8F"/>
    <w:rsid w:val="00F43538"/>
    <w:rsid w:val="00F44A28"/>
    <w:rsid w:val="00F44ACA"/>
    <w:rsid w:val="00F4689A"/>
    <w:rsid w:val="00F471C5"/>
    <w:rsid w:val="00F51BAD"/>
    <w:rsid w:val="00F5216C"/>
    <w:rsid w:val="00F52738"/>
    <w:rsid w:val="00F55485"/>
    <w:rsid w:val="00F55FDE"/>
    <w:rsid w:val="00F56AB8"/>
    <w:rsid w:val="00F60272"/>
    <w:rsid w:val="00F60AF0"/>
    <w:rsid w:val="00F62191"/>
    <w:rsid w:val="00F62896"/>
    <w:rsid w:val="00F6374A"/>
    <w:rsid w:val="00F63EBC"/>
    <w:rsid w:val="00F64940"/>
    <w:rsid w:val="00F64A4B"/>
    <w:rsid w:val="00F6569B"/>
    <w:rsid w:val="00F66AD3"/>
    <w:rsid w:val="00F672C8"/>
    <w:rsid w:val="00F67B63"/>
    <w:rsid w:val="00F67CBC"/>
    <w:rsid w:val="00F71C8F"/>
    <w:rsid w:val="00F71DAC"/>
    <w:rsid w:val="00F739A4"/>
    <w:rsid w:val="00F746D3"/>
    <w:rsid w:val="00F74D2A"/>
    <w:rsid w:val="00F76AC6"/>
    <w:rsid w:val="00F76DB6"/>
    <w:rsid w:val="00F77128"/>
    <w:rsid w:val="00F77FEA"/>
    <w:rsid w:val="00F8091D"/>
    <w:rsid w:val="00F80AC3"/>
    <w:rsid w:val="00F8181D"/>
    <w:rsid w:val="00F82221"/>
    <w:rsid w:val="00F82533"/>
    <w:rsid w:val="00F83552"/>
    <w:rsid w:val="00F8564C"/>
    <w:rsid w:val="00F85E5B"/>
    <w:rsid w:val="00F8656C"/>
    <w:rsid w:val="00F8744A"/>
    <w:rsid w:val="00F902B0"/>
    <w:rsid w:val="00F9268A"/>
    <w:rsid w:val="00F94E46"/>
    <w:rsid w:val="00F9510A"/>
    <w:rsid w:val="00F9598D"/>
    <w:rsid w:val="00F96A66"/>
    <w:rsid w:val="00FA06DF"/>
    <w:rsid w:val="00FA25BB"/>
    <w:rsid w:val="00FA2931"/>
    <w:rsid w:val="00FA35F9"/>
    <w:rsid w:val="00FA4F46"/>
    <w:rsid w:val="00FA5296"/>
    <w:rsid w:val="00FA5496"/>
    <w:rsid w:val="00FB13AD"/>
    <w:rsid w:val="00FB3128"/>
    <w:rsid w:val="00FB55E6"/>
    <w:rsid w:val="00FB587D"/>
    <w:rsid w:val="00FB6763"/>
    <w:rsid w:val="00FB78F5"/>
    <w:rsid w:val="00FB7EDF"/>
    <w:rsid w:val="00FC23A6"/>
    <w:rsid w:val="00FC2D16"/>
    <w:rsid w:val="00FC53DE"/>
    <w:rsid w:val="00FC62FB"/>
    <w:rsid w:val="00FC7AED"/>
    <w:rsid w:val="00FD02A0"/>
    <w:rsid w:val="00FD17AC"/>
    <w:rsid w:val="00FD222B"/>
    <w:rsid w:val="00FD23D6"/>
    <w:rsid w:val="00FD4311"/>
    <w:rsid w:val="00FD5BE5"/>
    <w:rsid w:val="00FD6866"/>
    <w:rsid w:val="00FD6B12"/>
    <w:rsid w:val="00FD7078"/>
    <w:rsid w:val="00FD79C4"/>
    <w:rsid w:val="00FE007B"/>
    <w:rsid w:val="00FE075C"/>
    <w:rsid w:val="00FE0784"/>
    <w:rsid w:val="00FE1BCC"/>
    <w:rsid w:val="00FE33A5"/>
    <w:rsid w:val="00FE3FD5"/>
    <w:rsid w:val="00FE5745"/>
    <w:rsid w:val="00FE6AED"/>
    <w:rsid w:val="00FE7F5E"/>
    <w:rsid w:val="00FF1161"/>
    <w:rsid w:val="00FF1A61"/>
    <w:rsid w:val="00FF3B11"/>
    <w:rsid w:val="00FF42B4"/>
    <w:rsid w:val="00FF5241"/>
    <w:rsid w:val="00FF525F"/>
    <w:rsid w:val="00FF6711"/>
    <w:rsid w:val="00FF73E0"/>
    <w:rsid w:val="00FF7D1E"/>
    <w:rsid w:val="0B19F8D4"/>
    <w:rsid w:val="0E96B780"/>
    <w:rsid w:val="0F63E400"/>
    <w:rsid w:val="1735F369"/>
    <w:rsid w:val="1CEFB0E7"/>
    <w:rsid w:val="23FAC48D"/>
    <w:rsid w:val="25980AA3"/>
    <w:rsid w:val="28EC4797"/>
    <w:rsid w:val="29436AF5"/>
    <w:rsid w:val="2C3638FB"/>
    <w:rsid w:val="2F7EE503"/>
    <w:rsid w:val="30780A0A"/>
    <w:rsid w:val="34A3033A"/>
    <w:rsid w:val="3B1ABB18"/>
    <w:rsid w:val="401E9A81"/>
    <w:rsid w:val="42871D40"/>
    <w:rsid w:val="4C395BFB"/>
    <w:rsid w:val="4CEB9152"/>
    <w:rsid w:val="57CBCE7B"/>
    <w:rsid w:val="5B17164D"/>
    <w:rsid w:val="5CA838EB"/>
    <w:rsid w:val="65C97ADB"/>
    <w:rsid w:val="66D7E0B3"/>
    <w:rsid w:val="683DC3E2"/>
    <w:rsid w:val="6C1BE50C"/>
    <w:rsid w:val="6D283C38"/>
    <w:rsid w:val="71FCF1ED"/>
    <w:rsid w:val="737AD71F"/>
    <w:rsid w:val="7D9D0690"/>
    <w:rsid w:val="7F6EB6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54A2"/>
  <w15:chartTrackingRefBased/>
  <w15:docId w15:val="{EC70FC35-9004-4DA5-9692-65CD22EC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4EF"/>
    <w:pPr>
      <w:spacing w:after="0" w:line="240" w:lineRule="auto"/>
    </w:pPr>
  </w:style>
  <w:style w:type="paragraph" w:styleId="Heading1">
    <w:name w:val="heading 1"/>
    <w:basedOn w:val="Normal"/>
    <w:next w:val="Normal"/>
    <w:link w:val="Heading1Char"/>
    <w:uiPriority w:val="9"/>
    <w:qFormat/>
    <w:rsid w:val="00F32485"/>
    <w:pPr>
      <w:keepNext/>
      <w:keepLines/>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32485"/>
    <w:pPr>
      <w:keepNext/>
      <w:keepLines/>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E329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58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88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46C1"/>
    <w:pPr>
      <w:ind w:left="720"/>
      <w:contextualSpacing/>
    </w:pPr>
  </w:style>
  <w:style w:type="table" w:styleId="TableGrid">
    <w:name w:val="Table Grid"/>
    <w:basedOn w:val="TableNormal"/>
    <w:uiPriority w:val="59"/>
    <w:rsid w:val="0020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335"/>
    <w:rPr>
      <w:sz w:val="16"/>
      <w:szCs w:val="16"/>
    </w:rPr>
  </w:style>
  <w:style w:type="paragraph" w:styleId="CommentText">
    <w:name w:val="annotation text"/>
    <w:basedOn w:val="Normal"/>
    <w:link w:val="CommentTextChar"/>
    <w:uiPriority w:val="99"/>
    <w:semiHidden/>
    <w:unhideWhenUsed/>
    <w:rsid w:val="00902335"/>
    <w:rPr>
      <w:sz w:val="20"/>
      <w:szCs w:val="20"/>
    </w:rPr>
  </w:style>
  <w:style w:type="character" w:customStyle="1" w:styleId="CommentTextChar">
    <w:name w:val="Comment Text Char"/>
    <w:basedOn w:val="DefaultParagraphFont"/>
    <w:link w:val="CommentText"/>
    <w:uiPriority w:val="99"/>
    <w:semiHidden/>
    <w:rsid w:val="00902335"/>
    <w:rPr>
      <w:sz w:val="20"/>
      <w:szCs w:val="20"/>
    </w:rPr>
  </w:style>
  <w:style w:type="paragraph" w:styleId="CommentSubject">
    <w:name w:val="annotation subject"/>
    <w:basedOn w:val="CommentText"/>
    <w:next w:val="CommentText"/>
    <w:link w:val="CommentSubjectChar"/>
    <w:uiPriority w:val="99"/>
    <w:semiHidden/>
    <w:unhideWhenUsed/>
    <w:rsid w:val="00902335"/>
    <w:rPr>
      <w:b/>
      <w:bCs/>
    </w:rPr>
  </w:style>
  <w:style w:type="character" w:customStyle="1" w:styleId="CommentSubjectChar">
    <w:name w:val="Comment Subject Char"/>
    <w:basedOn w:val="CommentTextChar"/>
    <w:link w:val="CommentSubject"/>
    <w:uiPriority w:val="99"/>
    <w:semiHidden/>
    <w:rsid w:val="00902335"/>
    <w:rPr>
      <w:b/>
      <w:bCs/>
      <w:sz w:val="20"/>
      <w:szCs w:val="20"/>
    </w:rPr>
  </w:style>
  <w:style w:type="paragraph" w:styleId="BalloonText">
    <w:name w:val="Balloon Text"/>
    <w:basedOn w:val="Normal"/>
    <w:link w:val="BalloonTextChar"/>
    <w:uiPriority w:val="99"/>
    <w:semiHidden/>
    <w:unhideWhenUsed/>
    <w:rsid w:val="009023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35"/>
    <w:rPr>
      <w:rFonts w:ascii="Segoe UI" w:hAnsi="Segoe UI" w:cs="Segoe UI"/>
      <w:sz w:val="18"/>
      <w:szCs w:val="18"/>
    </w:rPr>
  </w:style>
  <w:style w:type="paragraph" w:styleId="ListBullet">
    <w:name w:val="List Bullet"/>
    <w:basedOn w:val="Normal"/>
    <w:uiPriority w:val="99"/>
    <w:unhideWhenUsed/>
    <w:rsid w:val="004265CE"/>
    <w:pPr>
      <w:numPr>
        <w:numId w:val="4"/>
      </w:numPr>
      <w:contextualSpacing/>
    </w:pPr>
  </w:style>
  <w:style w:type="character" w:styleId="Hyperlink">
    <w:name w:val="Hyperlink"/>
    <w:basedOn w:val="DefaultParagraphFont"/>
    <w:uiPriority w:val="99"/>
    <w:unhideWhenUsed/>
    <w:rsid w:val="00E53699"/>
    <w:rPr>
      <w:color w:val="0563C1" w:themeColor="hyperlink"/>
      <w:u w:val="single"/>
    </w:rPr>
  </w:style>
  <w:style w:type="character" w:customStyle="1" w:styleId="Heading1Char">
    <w:name w:val="Heading 1 Char"/>
    <w:basedOn w:val="DefaultParagraphFont"/>
    <w:link w:val="Heading1"/>
    <w:uiPriority w:val="9"/>
    <w:rsid w:val="00F32485"/>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32485"/>
    <w:rPr>
      <w:rFonts w:asciiTheme="majorHAnsi" w:eastAsiaTheme="majorEastAsia" w:hAnsiTheme="majorHAnsi" w:cstheme="majorBidi"/>
      <w:b/>
      <w:sz w:val="28"/>
      <w:szCs w:val="26"/>
    </w:rPr>
  </w:style>
  <w:style w:type="paragraph" w:styleId="Header">
    <w:name w:val="header"/>
    <w:basedOn w:val="Normal"/>
    <w:link w:val="HeaderChar"/>
    <w:uiPriority w:val="99"/>
    <w:unhideWhenUsed/>
    <w:rsid w:val="00F32485"/>
    <w:pPr>
      <w:tabs>
        <w:tab w:val="center" w:pos="4819"/>
        <w:tab w:val="right" w:pos="9638"/>
      </w:tabs>
    </w:pPr>
  </w:style>
  <w:style w:type="character" w:customStyle="1" w:styleId="HeaderChar">
    <w:name w:val="Header Char"/>
    <w:basedOn w:val="DefaultParagraphFont"/>
    <w:link w:val="Header"/>
    <w:uiPriority w:val="99"/>
    <w:rsid w:val="00F32485"/>
  </w:style>
  <w:style w:type="paragraph" w:styleId="Footer">
    <w:name w:val="footer"/>
    <w:basedOn w:val="Normal"/>
    <w:link w:val="FooterChar"/>
    <w:uiPriority w:val="99"/>
    <w:unhideWhenUsed/>
    <w:rsid w:val="00F32485"/>
    <w:pPr>
      <w:tabs>
        <w:tab w:val="center" w:pos="4819"/>
        <w:tab w:val="right" w:pos="9638"/>
      </w:tabs>
    </w:pPr>
  </w:style>
  <w:style w:type="character" w:customStyle="1" w:styleId="FooterChar">
    <w:name w:val="Footer Char"/>
    <w:basedOn w:val="DefaultParagraphFont"/>
    <w:link w:val="Footer"/>
    <w:uiPriority w:val="99"/>
    <w:rsid w:val="00F32485"/>
  </w:style>
  <w:style w:type="paragraph" w:customStyle="1" w:styleId="paragraph">
    <w:name w:val="paragraph"/>
    <w:basedOn w:val="Normal"/>
    <w:rsid w:val="004F438A"/>
    <w:pPr>
      <w:spacing w:before="100" w:beforeAutospacing="1" w:after="100" w:afterAutospacing="1"/>
    </w:pPr>
    <w:rPr>
      <w:rFonts w:ascii="Times New Roman" w:eastAsia="Times New Roman" w:hAnsi="Times New Roman" w:cs="Times New Roman"/>
      <w:sz w:val="24"/>
      <w:szCs w:val="24"/>
      <w:lang w:eastAsia="da-DK"/>
    </w:rPr>
  </w:style>
  <w:style w:type="character" w:customStyle="1" w:styleId="normaltextrun">
    <w:name w:val="normaltextrun"/>
    <w:basedOn w:val="DefaultParagraphFont"/>
    <w:rsid w:val="004F438A"/>
  </w:style>
  <w:style w:type="character" w:customStyle="1" w:styleId="spellingerror">
    <w:name w:val="spellingerror"/>
    <w:basedOn w:val="DefaultParagraphFont"/>
    <w:rsid w:val="004F438A"/>
  </w:style>
  <w:style w:type="character" w:customStyle="1" w:styleId="eop">
    <w:name w:val="eop"/>
    <w:basedOn w:val="DefaultParagraphFont"/>
    <w:rsid w:val="004F438A"/>
  </w:style>
  <w:style w:type="character" w:styleId="LineNumber">
    <w:name w:val="line number"/>
    <w:basedOn w:val="DefaultParagraphFont"/>
    <w:uiPriority w:val="99"/>
    <w:semiHidden/>
    <w:unhideWhenUsed/>
    <w:rsid w:val="00284C4A"/>
  </w:style>
  <w:style w:type="character" w:customStyle="1" w:styleId="contextualspellingandgrammarerror">
    <w:name w:val="contextualspellingandgrammarerror"/>
    <w:basedOn w:val="DefaultParagraphFont"/>
    <w:rsid w:val="00FA25BB"/>
  </w:style>
  <w:style w:type="paragraph" w:customStyle="1" w:styleId="EndNoteBibliographyTitle">
    <w:name w:val="EndNote Bibliography Title"/>
    <w:basedOn w:val="Normal"/>
    <w:link w:val="EndNoteBibliographyTitleChar"/>
    <w:rsid w:val="005226BC"/>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226BC"/>
    <w:rPr>
      <w:rFonts w:ascii="Calibri" w:hAnsi="Calibri" w:cs="Calibri"/>
      <w:noProof/>
      <w:lang w:val="en-US"/>
    </w:rPr>
  </w:style>
  <w:style w:type="paragraph" w:customStyle="1" w:styleId="EndNoteBibliography">
    <w:name w:val="EndNote Bibliography"/>
    <w:basedOn w:val="Normal"/>
    <w:link w:val="EndNoteBibliographyChar"/>
    <w:rsid w:val="005226BC"/>
    <w:rPr>
      <w:rFonts w:ascii="Calibri" w:hAnsi="Calibri" w:cs="Calibri"/>
      <w:noProof/>
      <w:lang w:val="en-US"/>
    </w:rPr>
  </w:style>
  <w:style w:type="character" w:customStyle="1" w:styleId="EndNoteBibliographyChar">
    <w:name w:val="EndNote Bibliography Char"/>
    <w:basedOn w:val="DefaultParagraphFont"/>
    <w:link w:val="EndNoteBibliography"/>
    <w:rsid w:val="005226BC"/>
    <w:rPr>
      <w:rFonts w:ascii="Calibri" w:hAnsi="Calibri" w:cs="Calibri"/>
      <w:noProof/>
      <w:lang w:val="en-US"/>
    </w:rPr>
  </w:style>
  <w:style w:type="character" w:styleId="FollowedHyperlink">
    <w:name w:val="FollowedHyperlink"/>
    <w:basedOn w:val="DefaultParagraphFont"/>
    <w:uiPriority w:val="99"/>
    <w:semiHidden/>
    <w:unhideWhenUsed/>
    <w:rsid w:val="001B4FE1"/>
    <w:rPr>
      <w:color w:val="954F72" w:themeColor="followedHyperlink"/>
      <w:u w:val="single"/>
    </w:rPr>
  </w:style>
  <w:style w:type="paragraph" w:styleId="Revision">
    <w:name w:val="Revision"/>
    <w:hidden/>
    <w:uiPriority w:val="99"/>
    <w:semiHidden/>
    <w:rsid w:val="00F44ACA"/>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paragraph" w:customStyle="1" w:styleId="Style1">
    <w:name w:val="Style1"/>
    <w:basedOn w:val="Normal"/>
    <w:link w:val="Style1Char"/>
    <w:qFormat/>
    <w:rsid w:val="00E60F07"/>
    <w:pPr>
      <w:ind w:firstLine="360"/>
      <w:jc w:val="both"/>
    </w:pPr>
    <w:rPr>
      <w:noProof/>
      <w:vertAlign w:val="superscript"/>
      <w:lang w:val="en-GB"/>
    </w:rPr>
  </w:style>
  <w:style w:type="character" w:customStyle="1" w:styleId="Style1Char">
    <w:name w:val="Style1 Char"/>
    <w:basedOn w:val="DefaultParagraphFont"/>
    <w:link w:val="Style1"/>
    <w:rsid w:val="00E60F07"/>
    <w:rPr>
      <w:noProof/>
      <w:vertAlign w:val="superscript"/>
      <w:lang w:val="en-GB"/>
    </w:rPr>
  </w:style>
  <w:style w:type="character" w:customStyle="1" w:styleId="Heading3Char">
    <w:name w:val="Heading 3 Char"/>
    <w:basedOn w:val="DefaultParagraphFont"/>
    <w:link w:val="Heading3"/>
    <w:uiPriority w:val="9"/>
    <w:rsid w:val="00E32998"/>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E32998"/>
    <w:pPr>
      <w:spacing w:after="200"/>
    </w:pPr>
    <w:rPr>
      <w:i/>
      <w:iCs/>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7874">
      <w:bodyDiv w:val="1"/>
      <w:marLeft w:val="0"/>
      <w:marRight w:val="0"/>
      <w:marTop w:val="0"/>
      <w:marBottom w:val="0"/>
      <w:divBdr>
        <w:top w:val="none" w:sz="0" w:space="0" w:color="auto"/>
        <w:left w:val="none" w:sz="0" w:space="0" w:color="auto"/>
        <w:bottom w:val="none" w:sz="0" w:space="0" w:color="auto"/>
        <w:right w:val="none" w:sz="0" w:space="0" w:color="auto"/>
      </w:divBdr>
      <w:divsChild>
        <w:div w:id="232081593">
          <w:marLeft w:val="0"/>
          <w:marRight w:val="0"/>
          <w:marTop w:val="0"/>
          <w:marBottom w:val="0"/>
          <w:divBdr>
            <w:top w:val="none" w:sz="0" w:space="0" w:color="auto"/>
            <w:left w:val="none" w:sz="0" w:space="0" w:color="auto"/>
            <w:bottom w:val="none" w:sz="0" w:space="0" w:color="auto"/>
            <w:right w:val="none" w:sz="0" w:space="0" w:color="auto"/>
          </w:divBdr>
        </w:div>
        <w:div w:id="301886018">
          <w:marLeft w:val="0"/>
          <w:marRight w:val="0"/>
          <w:marTop w:val="0"/>
          <w:marBottom w:val="0"/>
          <w:divBdr>
            <w:top w:val="none" w:sz="0" w:space="0" w:color="auto"/>
            <w:left w:val="none" w:sz="0" w:space="0" w:color="auto"/>
            <w:bottom w:val="none" w:sz="0" w:space="0" w:color="auto"/>
            <w:right w:val="none" w:sz="0" w:space="0" w:color="auto"/>
          </w:divBdr>
          <w:divsChild>
            <w:div w:id="253824922">
              <w:marLeft w:val="-75"/>
              <w:marRight w:val="0"/>
              <w:marTop w:val="30"/>
              <w:marBottom w:val="30"/>
              <w:divBdr>
                <w:top w:val="none" w:sz="0" w:space="0" w:color="auto"/>
                <w:left w:val="none" w:sz="0" w:space="0" w:color="auto"/>
                <w:bottom w:val="none" w:sz="0" w:space="0" w:color="auto"/>
                <w:right w:val="none" w:sz="0" w:space="0" w:color="auto"/>
              </w:divBdr>
              <w:divsChild>
                <w:div w:id="39021092">
                  <w:marLeft w:val="0"/>
                  <w:marRight w:val="0"/>
                  <w:marTop w:val="0"/>
                  <w:marBottom w:val="0"/>
                  <w:divBdr>
                    <w:top w:val="none" w:sz="0" w:space="0" w:color="auto"/>
                    <w:left w:val="none" w:sz="0" w:space="0" w:color="auto"/>
                    <w:bottom w:val="none" w:sz="0" w:space="0" w:color="auto"/>
                    <w:right w:val="none" w:sz="0" w:space="0" w:color="auto"/>
                  </w:divBdr>
                  <w:divsChild>
                    <w:div w:id="1705710240">
                      <w:marLeft w:val="0"/>
                      <w:marRight w:val="0"/>
                      <w:marTop w:val="0"/>
                      <w:marBottom w:val="0"/>
                      <w:divBdr>
                        <w:top w:val="none" w:sz="0" w:space="0" w:color="auto"/>
                        <w:left w:val="none" w:sz="0" w:space="0" w:color="auto"/>
                        <w:bottom w:val="none" w:sz="0" w:space="0" w:color="auto"/>
                        <w:right w:val="none" w:sz="0" w:space="0" w:color="auto"/>
                      </w:divBdr>
                    </w:div>
                  </w:divsChild>
                </w:div>
                <w:div w:id="70734317">
                  <w:marLeft w:val="0"/>
                  <w:marRight w:val="0"/>
                  <w:marTop w:val="0"/>
                  <w:marBottom w:val="0"/>
                  <w:divBdr>
                    <w:top w:val="none" w:sz="0" w:space="0" w:color="auto"/>
                    <w:left w:val="none" w:sz="0" w:space="0" w:color="auto"/>
                    <w:bottom w:val="none" w:sz="0" w:space="0" w:color="auto"/>
                    <w:right w:val="none" w:sz="0" w:space="0" w:color="auto"/>
                  </w:divBdr>
                  <w:divsChild>
                    <w:div w:id="767122282">
                      <w:marLeft w:val="0"/>
                      <w:marRight w:val="0"/>
                      <w:marTop w:val="0"/>
                      <w:marBottom w:val="0"/>
                      <w:divBdr>
                        <w:top w:val="none" w:sz="0" w:space="0" w:color="auto"/>
                        <w:left w:val="none" w:sz="0" w:space="0" w:color="auto"/>
                        <w:bottom w:val="none" w:sz="0" w:space="0" w:color="auto"/>
                        <w:right w:val="none" w:sz="0" w:space="0" w:color="auto"/>
                      </w:divBdr>
                    </w:div>
                  </w:divsChild>
                </w:div>
                <w:div w:id="76443533">
                  <w:marLeft w:val="0"/>
                  <w:marRight w:val="0"/>
                  <w:marTop w:val="0"/>
                  <w:marBottom w:val="0"/>
                  <w:divBdr>
                    <w:top w:val="none" w:sz="0" w:space="0" w:color="auto"/>
                    <w:left w:val="none" w:sz="0" w:space="0" w:color="auto"/>
                    <w:bottom w:val="none" w:sz="0" w:space="0" w:color="auto"/>
                    <w:right w:val="none" w:sz="0" w:space="0" w:color="auto"/>
                  </w:divBdr>
                  <w:divsChild>
                    <w:div w:id="12415948">
                      <w:marLeft w:val="0"/>
                      <w:marRight w:val="0"/>
                      <w:marTop w:val="0"/>
                      <w:marBottom w:val="0"/>
                      <w:divBdr>
                        <w:top w:val="none" w:sz="0" w:space="0" w:color="auto"/>
                        <w:left w:val="none" w:sz="0" w:space="0" w:color="auto"/>
                        <w:bottom w:val="none" w:sz="0" w:space="0" w:color="auto"/>
                        <w:right w:val="none" w:sz="0" w:space="0" w:color="auto"/>
                      </w:divBdr>
                    </w:div>
                  </w:divsChild>
                </w:div>
                <w:div w:id="83496406">
                  <w:marLeft w:val="0"/>
                  <w:marRight w:val="0"/>
                  <w:marTop w:val="0"/>
                  <w:marBottom w:val="0"/>
                  <w:divBdr>
                    <w:top w:val="none" w:sz="0" w:space="0" w:color="auto"/>
                    <w:left w:val="none" w:sz="0" w:space="0" w:color="auto"/>
                    <w:bottom w:val="none" w:sz="0" w:space="0" w:color="auto"/>
                    <w:right w:val="none" w:sz="0" w:space="0" w:color="auto"/>
                  </w:divBdr>
                  <w:divsChild>
                    <w:div w:id="1834904927">
                      <w:marLeft w:val="0"/>
                      <w:marRight w:val="0"/>
                      <w:marTop w:val="0"/>
                      <w:marBottom w:val="0"/>
                      <w:divBdr>
                        <w:top w:val="none" w:sz="0" w:space="0" w:color="auto"/>
                        <w:left w:val="none" w:sz="0" w:space="0" w:color="auto"/>
                        <w:bottom w:val="none" w:sz="0" w:space="0" w:color="auto"/>
                        <w:right w:val="none" w:sz="0" w:space="0" w:color="auto"/>
                      </w:divBdr>
                    </w:div>
                  </w:divsChild>
                </w:div>
                <w:div w:id="104693360">
                  <w:marLeft w:val="0"/>
                  <w:marRight w:val="0"/>
                  <w:marTop w:val="0"/>
                  <w:marBottom w:val="0"/>
                  <w:divBdr>
                    <w:top w:val="none" w:sz="0" w:space="0" w:color="auto"/>
                    <w:left w:val="none" w:sz="0" w:space="0" w:color="auto"/>
                    <w:bottom w:val="none" w:sz="0" w:space="0" w:color="auto"/>
                    <w:right w:val="none" w:sz="0" w:space="0" w:color="auto"/>
                  </w:divBdr>
                  <w:divsChild>
                    <w:div w:id="1429278651">
                      <w:marLeft w:val="0"/>
                      <w:marRight w:val="0"/>
                      <w:marTop w:val="0"/>
                      <w:marBottom w:val="0"/>
                      <w:divBdr>
                        <w:top w:val="none" w:sz="0" w:space="0" w:color="auto"/>
                        <w:left w:val="none" w:sz="0" w:space="0" w:color="auto"/>
                        <w:bottom w:val="none" w:sz="0" w:space="0" w:color="auto"/>
                        <w:right w:val="none" w:sz="0" w:space="0" w:color="auto"/>
                      </w:divBdr>
                    </w:div>
                  </w:divsChild>
                </w:div>
                <w:div w:id="128405772">
                  <w:marLeft w:val="0"/>
                  <w:marRight w:val="0"/>
                  <w:marTop w:val="0"/>
                  <w:marBottom w:val="0"/>
                  <w:divBdr>
                    <w:top w:val="none" w:sz="0" w:space="0" w:color="auto"/>
                    <w:left w:val="none" w:sz="0" w:space="0" w:color="auto"/>
                    <w:bottom w:val="none" w:sz="0" w:space="0" w:color="auto"/>
                    <w:right w:val="none" w:sz="0" w:space="0" w:color="auto"/>
                  </w:divBdr>
                  <w:divsChild>
                    <w:div w:id="643390274">
                      <w:marLeft w:val="0"/>
                      <w:marRight w:val="0"/>
                      <w:marTop w:val="0"/>
                      <w:marBottom w:val="0"/>
                      <w:divBdr>
                        <w:top w:val="none" w:sz="0" w:space="0" w:color="auto"/>
                        <w:left w:val="none" w:sz="0" w:space="0" w:color="auto"/>
                        <w:bottom w:val="none" w:sz="0" w:space="0" w:color="auto"/>
                        <w:right w:val="none" w:sz="0" w:space="0" w:color="auto"/>
                      </w:divBdr>
                    </w:div>
                  </w:divsChild>
                </w:div>
                <w:div w:id="145051186">
                  <w:marLeft w:val="0"/>
                  <w:marRight w:val="0"/>
                  <w:marTop w:val="0"/>
                  <w:marBottom w:val="0"/>
                  <w:divBdr>
                    <w:top w:val="none" w:sz="0" w:space="0" w:color="auto"/>
                    <w:left w:val="none" w:sz="0" w:space="0" w:color="auto"/>
                    <w:bottom w:val="none" w:sz="0" w:space="0" w:color="auto"/>
                    <w:right w:val="none" w:sz="0" w:space="0" w:color="auto"/>
                  </w:divBdr>
                  <w:divsChild>
                    <w:div w:id="1836916722">
                      <w:marLeft w:val="0"/>
                      <w:marRight w:val="0"/>
                      <w:marTop w:val="0"/>
                      <w:marBottom w:val="0"/>
                      <w:divBdr>
                        <w:top w:val="none" w:sz="0" w:space="0" w:color="auto"/>
                        <w:left w:val="none" w:sz="0" w:space="0" w:color="auto"/>
                        <w:bottom w:val="none" w:sz="0" w:space="0" w:color="auto"/>
                        <w:right w:val="none" w:sz="0" w:space="0" w:color="auto"/>
                      </w:divBdr>
                    </w:div>
                  </w:divsChild>
                </w:div>
                <w:div w:id="156963149">
                  <w:marLeft w:val="0"/>
                  <w:marRight w:val="0"/>
                  <w:marTop w:val="0"/>
                  <w:marBottom w:val="0"/>
                  <w:divBdr>
                    <w:top w:val="none" w:sz="0" w:space="0" w:color="auto"/>
                    <w:left w:val="none" w:sz="0" w:space="0" w:color="auto"/>
                    <w:bottom w:val="none" w:sz="0" w:space="0" w:color="auto"/>
                    <w:right w:val="none" w:sz="0" w:space="0" w:color="auto"/>
                  </w:divBdr>
                  <w:divsChild>
                    <w:div w:id="1138759959">
                      <w:marLeft w:val="0"/>
                      <w:marRight w:val="0"/>
                      <w:marTop w:val="0"/>
                      <w:marBottom w:val="0"/>
                      <w:divBdr>
                        <w:top w:val="none" w:sz="0" w:space="0" w:color="auto"/>
                        <w:left w:val="none" w:sz="0" w:space="0" w:color="auto"/>
                        <w:bottom w:val="none" w:sz="0" w:space="0" w:color="auto"/>
                        <w:right w:val="none" w:sz="0" w:space="0" w:color="auto"/>
                      </w:divBdr>
                    </w:div>
                  </w:divsChild>
                </w:div>
                <w:div w:id="160779773">
                  <w:marLeft w:val="0"/>
                  <w:marRight w:val="0"/>
                  <w:marTop w:val="0"/>
                  <w:marBottom w:val="0"/>
                  <w:divBdr>
                    <w:top w:val="none" w:sz="0" w:space="0" w:color="auto"/>
                    <w:left w:val="none" w:sz="0" w:space="0" w:color="auto"/>
                    <w:bottom w:val="none" w:sz="0" w:space="0" w:color="auto"/>
                    <w:right w:val="none" w:sz="0" w:space="0" w:color="auto"/>
                  </w:divBdr>
                  <w:divsChild>
                    <w:div w:id="1695110620">
                      <w:marLeft w:val="0"/>
                      <w:marRight w:val="0"/>
                      <w:marTop w:val="0"/>
                      <w:marBottom w:val="0"/>
                      <w:divBdr>
                        <w:top w:val="none" w:sz="0" w:space="0" w:color="auto"/>
                        <w:left w:val="none" w:sz="0" w:space="0" w:color="auto"/>
                        <w:bottom w:val="none" w:sz="0" w:space="0" w:color="auto"/>
                        <w:right w:val="none" w:sz="0" w:space="0" w:color="auto"/>
                      </w:divBdr>
                    </w:div>
                  </w:divsChild>
                </w:div>
                <w:div w:id="162670045">
                  <w:marLeft w:val="0"/>
                  <w:marRight w:val="0"/>
                  <w:marTop w:val="0"/>
                  <w:marBottom w:val="0"/>
                  <w:divBdr>
                    <w:top w:val="none" w:sz="0" w:space="0" w:color="auto"/>
                    <w:left w:val="none" w:sz="0" w:space="0" w:color="auto"/>
                    <w:bottom w:val="none" w:sz="0" w:space="0" w:color="auto"/>
                    <w:right w:val="none" w:sz="0" w:space="0" w:color="auto"/>
                  </w:divBdr>
                  <w:divsChild>
                    <w:div w:id="197931619">
                      <w:marLeft w:val="0"/>
                      <w:marRight w:val="0"/>
                      <w:marTop w:val="0"/>
                      <w:marBottom w:val="0"/>
                      <w:divBdr>
                        <w:top w:val="none" w:sz="0" w:space="0" w:color="auto"/>
                        <w:left w:val="none" w:sz="0" w:space="0" w:color="auto"/>
                        <w:bottom w:val="none" w:sz="0" w:space="0" w:color="auto"/>
                        <w:right w:val="none" w:sz="0" w:space="0" w:color="auto"/>
                      </w:divBdr>
                    </w:div>
                  </w:divsChild>
                </w:div>
                <w:div w:id="168521602">
                  <w:marLeft w:val="0"/>
                  <w:marRight w:val="0"/>
                  <w:marTop w:val="0"/>
                  <w:marBottom w:val="0"/>
                  <w:divBdr>
                    <w:top w:val="none" w:sz="0" w:space="0" w:color="auto"/>
                    <w:left w:val="none" w:sz="0" w:space="0" w:color="auto"/>
                    <w:bottom w:val="none" w:sz="0" w:space="0" w:color="auto"/>
                    <w:right w:val="none" w:sz="0" w:space="0" w:color="auto"/>
                  </w:divBdr>
                  <w:divsChild>
                    <w:div w:id="1756583709">
                      <w:marLeft w:val="0"/>
                      <w:marRight w:val="0"/>
                      <w:marTop w:val="0"/>
                      <w:marBottom w:val="0"/>
                      <w:divBdr>
                        <w:top w:val="none" w:sz="0" w:space="0" w:color="auto"/>
                        <w:left w:val="none" w:sz="0" w:space="0" w:color="auto"/>
                        <w:bottom w:val="none" w:sz="0" w:space="0" w:color="auto"/>
                        <w:right w:val="none" w:sz="0" w:space="0" w:color="auto"/>
                      </w:divBdr>
                    </w:div>
                  </w:divsChild>
                </w:div>
                <w:div w:id="175996882">
                  <w:marLeft w:val="0"/>
                  <w:marRight w:val="0"/>
                  <w:marTop w:val="0"/>
                  <w:marBottom w:val="0"/>
                  <w:divBdr>
                    <w:top w:val="none" w:sz="0" w:space="0" w:color="auto"/>
                    <w:left w:val="none" w:sz="0" w:space="0" w:color="auto"/>
                    <w:bottom w:val="none" w:sz="0" w:space="0" w:color="auto"/>
                    <w:right w:val="none" w:sz="0" w:space="0" w:color="auto"/>
                  </w:divBdr>
                  <w:divsChild>
                    <w:div w:id="1530528612">
                      <w:marLeft w:val="0"/>
                      <w:marRight w:val="0"/>
                      <w:marTop w:val="0"/>
                      <w:marBottom w:val="0"/>
                      <w:divBdr>
                        <w:top w:val="none" w:sz="0" w:space="0" w:color="auto"/>
                        <w:left w:val="none" w:sz="0" w:space="0" w:color="auto"/>
                        <w:bottom w:val="none" w:sz="0" w:space="0" w:color="auto"/>
                        <w:right w:val="none" w:sz="0" w:space="0" w:color="auto"/>
                      </w:divBdr>
                    </w:div>
                  </w:divsChild>
                </w:div>
                <w:div w:id="192885374">
                  <w:marLeft w:val="0"/>
                  <w:marRight w:val="0"/>
                  <w:marTop w:val="0"/>
                  <w:marBottom w:val="0"/>
                  <w:divBdr>
                    <w:top w:val="none" w:sz="0" w:space="0" w:color="auto"/>
                    <w:left w:val="none" w:sz="0" w:space="0" w:color="auto"/>
                    <w:bottom w:val="none" w:sz="0" w:space="0" w:color="auto"/>
                    <w:right w:val="none" w:sz="0" w:space="0" w:color="auto"/>
                  </w:divBdr>
                  <w:divsChild>
                    <w:div w:id="2119136067">
                      <w:marLeft w:val="0"/>
                      <w:marRight w:val="0"/>
                      <w:marTop w:val="0"/>
                      <w:marBottom w:val="0"/>
                      <w:divBdr>
                        <w:top w:val="none" w:sz="0" w:space="0" w:color="auto"/>
                        <w:left w:val="none" w:sz="0" w:space="0" w:color="auto"/>
                        <w:bottom w:val="none" w:sz="0" w:space="0" w:color="auto"/>
                        <w:right w:val="none" w:sz="0" w:space="0" w:color="auto"/>
                      </w:divBdr>
                    </w:div>
                  </w:divsChild>
                </w:div>
                <w:div w:id="228854295">
                  <w:marLeft w:val="0"/>
                  <w:marRight w:val="0"/>
                  <w:marTop w:val="0"/>
                  <w:marBottom w:val="0"/>
                  <w:divBdr>
                    <w:top w:val="none" w:sz="0" w:space="0" w:color="auto"/>
                    <w:left w:val="none" w:sz="0" w:space="0" w:color="auto"/>
                    <w:bottom w:val="none" w:sz="0" w:space="0" w:color="auto"/>
                    <w:right w:val="none" w:sz="0" w:space="0" w:color="auto"/>
                  </w:divBdr>
                  <w:divsChild>
                    <w:div w:id="1933391299">
                      <w:marLeft w:val="0"/>
                      <w:marRight w:val="0"/>
                      <w:marTop w:val="0"/>
                      <w:marBottom w:val="0"/>
                      <w:divBdr>
                        <w:top w:val="none" w:sz="0" w:space="0" w:color="auto"/>
                        <w:left w:val="none" w:sz="0" w:space="0" w:color="auto"/>
                        <w:bottom w:val="none" w:sz="0" w:space="0" w:color="auto"/>
                        <w:right w:val="none" w:sz="0" w:space="0" w:color="auto"/>
                      </w:divBdr>
                    </w:div>
                  </w:divsChild>
                </w:div>
                <w:div w:id="240523938">
                  <w:marLeft w:val="0"/>
                  <w:marRight w:val="0"/>
                  <w:marTop w:val="0"/>
                  <w:marBottom w:val="0"/>
                  <w:divBdr>
                    <w:top w:val="none" w:sz="0" w:space="0" w:color="auto"/>
                    <w:left w:val="none" w:sz="0" w:space="0" w:color="auto"/>
                    <w:bottom w:val="none" w:sz="0" w:space="0" w:color="auto"/>
                    <w:right w:val="none" w:sz="0" w:space="0" w:color="auto"/>
                  </w:divBdr>
                  <w:divsChild>
                    <w:div w:id="1158032884">
                      <w:marLeft w:val="0"/>
                      <w:marRight w:val="0"/>
                      <w:marTop w:val="0"/>
                      <w:marBottom w:val="0"/>
                      <w:divBdr>
                        <w:top w:val="none" w:sz="0" w:space="0" w:color="auto"/>
                        <w:left w:val="none" w:sz="0" w:space="0" w:color="auto"/>
                        <w:bottom w:val="none" w:sz="0" w:space="0" w:color="auto"/>
                        <w:right w:val="none" w:sz="0" w:space="0" w:color="auto"/>
                      </w:divBdr>
                    </w:div>
                  </w:divsChild>
                </w:div>
                <w:div w:id="279268378">
                  <w:marLeft w:val="0"/>
                  <w:marRight w:val="0"/>
                  <w:marTop w:val="0"/>
                  <w:marBottom w:val="0"/>
                  <w:divBdr>
                    <w:top w:val="none" w:sz="0" w:space="0" w:color="auto"/>
                    <w:left w:val="none" w:sz="0" w:space="0" w:color="auto"/>
                    <w:bottom w:val="none" w:sz="0" w:space="0" w:color="auto"/>
                    <w:right w:val="none" w:sz="0" w:space="0" w:color="auto"/>
                  </w:divBdr>
                  <w:divsChild>
                    <w:div w:id="1087727367">
                      <w:marLeft w:val="0"/>
                      <w:marRight w:val="0"/>
                      <w:marTop w:val="0"/>
                      <w:marBottom w:val="0"/>
                      <w:divBdr>
                        <w:top w:val="none" w:sz="0" w:space="0" w:color="auto"/>
                        <w:left w:val="none" w:sz="0" w:space="0" w:color="auto"/>
                        <w:bottom w:val="none" w:sz="0" w:space="0" w:color="auto"/>
                        <w:right w:val="none" w:sz="0" w:space="0" w:color="auto"/>
                      </w:divBdr>
                    </w:div>
                  </w:divsChild>
                </w:div>
                <w:div w:id="280234219">
                  <w:marLeft w:val="0"/>
                  <w:marRight w:val="0"/>
                  <w:marTop w:val="0"/>
                  <w:marBottom w:val="0"/>
                  <w:divBdr>
                    <w:top w:val="none" w:sz="0" w:space="0" w:color="auto"/>
                    <w:left w:val="none" w:sz="0" w:space="0" w:color="auto"/>
                    <w:bottom w:val="none" w:sz="0" w:space="0" w:color="auto"/>
                    <w:right w:val="none" w:sz="0" w:space="0" w:color="auto"/>
                  </w:divBdr>
                  <w:divsChild>
                    <w:div w:id="949167043">
                      <w:marLeft w:val="0"/>
                      <w:marRight w:val="0"/>
                      <w:marTop w:val="0"/>
                      <w:marBottom w:val="0"/>
                      <w:divBdr>
                        <w:top w:val="none" w:sz="0" w:space="0" w:color="auto"/>
                        <w:left w:val="none" w:sz="0" w:space="0" w:color="auto"/>
                        <w:bottom w:val="none" w:sz="0" w:space="0" w:color="auto"/>
                        <w:right w:val="none" w:sz="0" w:space="0" w:color="auto"/>
                      </w:divBdr>
                    </w:div>
                  </w:divsChild>
                </w:div>
                <w:div w:id="283734115">
                  <w:marLeft w:val="0"/>
                  <w:marRight w:val="0"/>
                  <w:marTop w:val="0"/>
                  <w:marBottom w:val="0"/>
                  <w:divBdr>
                    <w:top w:val="none" w:sz="0" w:space="0" w:color="auto"/>
                    <w:left w:val="none" w:sz="0" w:space="0" w:color="auto"/>
                    <w:bottom w:val="none" w:sz="0" w:space="0" w:color="auto"/>
                    <w:right w:val="none" w:sz="0" w:space="0" w:color="auto"/>
                  </w:divBdr>
                  <w:divsChild>
                    <w:div w:id="465781541">
                      <w:marLeft w:val="0"/>
                      <w:marRight w:val="0"/>
                      <w:marTop w:val="0"/>
                      <w:marBottom w:val="0"/>
                      <w:divBdr>
                        <w:top w:val="none" w:sz="0" w:space="0" w:color="auto"/>
                        <w:left w:val="none" w:sz="0" w:space="0" w:color="auto"/>
                        <w:bottom w:val="none" w:sz="0" w:space="0" w:color="auto"/>
                        <w:right w:val="none" w:sz="0" w:space="0" w:color="auto"/>
                      </w:divBdr>
                    </w:div>
                  </w:divsChild>
                </w:div>
                <w:div w:id="285552076">
                  <w:marLeft w:val="0"/>
                  <w:marRight w:val="0"/>
                  <w:marTop w:val="0"/>
                  <w:marBottom w:val="0"/>
                  <w:divBdr>
                    <w:top w:val="none" w:sz="0" w:space="0" w:color="auto"/>
                    <w:left w:val="none" w:sz="0" w:space="0" w:color="auto"/>
                    <w:bottom w:val="none" w:sz="0" w:space="0" w:color="auto"/>
                    <w:right w:val="none" w:sz="0" w:space="0" w:color="auto"/>
                  </w:divBdr>
                  <w:divsChild>
                    <w:div w:id="1166704626">
                      <w:marLeft w:val="0"/>
                      <w:marRight w:val="0"/>
                      <w:marTop w:val="0"/>
                      <w:marBottom w:val="0"/>
                      <w:divBdr>
                        <w:top w:val="none" w:sz="0" w:space="0" w:color="auto"/>
                        <w:left w:val="none" w:sz="0" w:space="0" w:color="auto"/>
                        <w:bottom w:val="none" w:sz="0" w:space="0" w:color="auto"/>
                        <w:right w:val="none" w:sz="0" w:space="0" w:color="auto"/>
                      </w:divBdr>
                    </w:div>
                  </w:divsChild>
                </w:div>
                <w:div w:id="343896631">
                  <w:marLeft w:val="0"/>
                  <w:marRight w:val="0"/>
                  <w:marTop w:val="0"/>
                  <w:marBottom w:val="0"/>
                  <w:divBdr>
                    <w:top w:val="none" w:sz="0" w:space="0" w:color="auto"/>
                    <w:left w:val="none" w:sz="0" w:space="0" w:color="auto"/>
                    <w:bottom w:val="none" w:sz="0" w:space="0" w:color="auto"/>
                    <w:right w:val="none" w:sz="0" w:space="0" w:color="auto"/>
                  </w:divBdr>
                  <w:divsChild>
                    <w:div w:id="994722134">
                      <w:marLeft w:val="0"/>
                      <w:marRight w:val="0"/>
                      <w:marTop w:val="0"/>
                      <w:marBottom w:val="0"/>
                      <w:divBdr>
                        <w:top w:val="none" w:sz="0" w:space="0" w:color="auto"/>
                        <w:left w:val="none" w:sz="0" w:space="0" w:color="auto"/>
                        <w:bottom w:val="none" w:sz="0" w:space="0" w:color="auto"/>
                        <w:right w:val="none" w:sz="0" w:space="0" w:color="auto"/>
                      </w:divBdr>
                    </w:div>
                  </w:divsChild>
                </w:div>
                <w:div w:id="405343092">
                  <w:marLeft w:val="0"/>
                  <w:marRight w:val="0"/>
                  <w:marTop w:val="0"/>
                  <w:marBottom w:val="0"/>
                  <w:divBdr>
                    <w:top w:val="none" w:sz="0" w:space="0" w:color="auto"/>
                    <w:left w:val="none" w:sz="0" w:space="0" w:color="auto"/>
                    <w:bottom w:val="none" w:sz="0" w:space="0" w:color="auto"/>
                    <w:right w:val="none" w:sz="0" w:space="0" w:color="auto"/>
                  </w:divBdr>
                  <w:divsChild>
                    <w:div w:id="1360665642">
                      <w:marLeft w:val="0"/>
                      <w:marRight w:val="0"/>
                      <w:marTop w:val="0"/>
                      <w:marBottom w:val="0"/>
                      <w:divBdr>
                        <w:top w:val="none" w:sz="0" w:space="0" w:color="auto"/>
                        <w:left w:val="none" w:sz="0" w:space="0" w:color="auto"/>
                        <w:bottom w:val="none" w:sz="0" w:space="0" w:color="auto"/>
                        <w:right w:val="none" w:sz="0" w:space="0" w:color="auto"/>
                      </w:divBdr>
                    </w:div>
                  </w:divsChild>
                </w:div>
                <w:div w:id="426079575">
                  <w:marLeft w:val="0"/>
                  <w:marRight w:val="0"/>
                  <w:marTop w:val="0"/>
                  <w:marBottom w:val="0"/>
                  <w:divBdr>
                    <w:top w:val="none" w:sz="0" w:space="0" w:color="auto"/>
                    <w:left w:val="none" w:sz="0" w:space="0" w:color="auto"/>
                    <w:bottom w:val="none" w:sz="0" w:space="0" w:color="auto"/>
                    <w:right w:val="none" w:sz="0" w:space="0" w:color="auto"/>
                  </w:divBdr>
                  <w:divsChild>
                    <w:div w:id="614100897">
                      <w:marLeft w:val="0"/>
                      <w:marRight w:val="0"/>
                      <w:marTop w:val="0"/>
                      <w:marBottom w:val="0"/>
                      <w:divBdr>
                        <w:top w:val="none" w:sz="0" w:space="0" w:color="auto"/>
                        <w:left w:val="none" w:sz="0" w:space="0" w:color="auto"/>
                        <w:bottom w:val="none" w:sz="0" w:space="0" w:color="auto"/>
                        <w:right w:val="none" w:sz="0" w:space="0" w:color="auto"/>
                      </w:divBdr>
                    </w:div>
                  </w:divsChild>
                </w:div>
                <w:div w:id="438447529">
                  <w:marLeft w:val="0"/>
                  <w:marRight w:val="0"/>
                  <w:marTop w:val="0"/>
                  <w:marBottom w:val="0"/>
                  <w:divBdr>
                    <w:top w:val="none" w:sz="0" w:space="0" w:color="auto"/>
                    <w:left w:val="none" w:sz="0" w:space="0" w:color="auto"/>
                    <w:bottom w:val="none" w:sz="0" w:space="0" w:color="auto"/>
                    <w:right w:val="none" w:sz="0" w:space="0" w:color="auto"/>
                  </w:divBdr>
                  <w:divsChild>
                    <w:div w:id="1063674464">
                      <w:marLeft w:val="0"/>
                      <w:marRight w:val="0"/>
                      <w:marTop w:val="0"/>
                      <w:marBottom w:val="0"/>
                      <w:divBdr>
                        <w:top w:val="none" w:sz="0" w:space="0" w:color="auto"/>
                        <w:left w:val="none" w:sz="0" w:space="0" w:color="auto"/>
                        <w:bottom w:val="none" w:sz="0" w:space="0" w:color="auto"/>
                        <w:right w:val="none" w:sz="0" w:space="0" w:color="auto"/>
                      </w:divBdr>
                    </w:div>
                  </w:divsChild>
                </w:div>
                <w:div w:id="492064227">
                  <w:marLeft w:val="0"/>
                  <w:marRight w:val="0"/>
                  <w:marTop w:val="0"/>
                  <w:marBottom w:val="0"/>
                  <w:divBdr>
                    <w:top w:val="none" w:sz="0" w:space="0" w:color="auto"/>
                    <w:left w:val="none" w:sz="0" w:space="0" w:color="auto"/>
                    <w:bottom w:val="none" w:sz="0" w:space="0" w:color="auto"/>
                    <w:right w:val="none" w:sz="0" w:space="0" w:color="auto"/>
                  </w:divBdr>
                  <w:divsChild>
                    <w:div w:id="1365597678">
                      <w:marLeft w:val="0"/>
                      <w:marRight w:val="0"/>
                      <w:marTop w:val="0"/>
                      <w:marBottom w:val="0"/>
                      <w:divBdr>
                        <w:top w:val="none" w:sz="0" w:space="0" w:color="auto"/>
                        <w:left w:val="none" w:sz="0" w:space="0" w:color="auto"/>
                        <w:bottom w:val="none" w:sz="0" w:space="0" w:color="auto"/>
                        <w:right w:val="none" w:sz="0" w:space="0" w:color="auto"/>
                      </w:divBdr>
                    </w:div>
                  </w:divsChild>
                </w:div>
                <w:div w:id="505942770">
                  <w:marLeft w:val="0"/>
                  <w:marRight w:val="0"/>
                  <w:marTop w:val="0"/>
                  <w:marBottom w:val="0"/>
                  <w:divBdr>
                    <w:top w:val="none" w:sz="0" w:space="0" w:color="auto"/>
                    <w:left w:val="none" w:sz="0" w:space="0" w:color="auto"/>
                    <w:bottom w:val="none" w:sz="0" w:space="0" w:color="auto"/>
                    <w:right w:val="none" w:sz="0" w:space="0" w:color="auto"/>
                  </w:divBdr>
                  <w:divsChild>
                    <w:div w:id="1648590661">
                      <w:marLeft w:val="0"/>
                      <w:marRight w:val="0"/>
                      <w:marTop w:val="0"/>
                      <w:marBottom w:val="0"/>
                      <w:divBdr>
                        <w:top w:val="none" w:sz="0" w:space="0" w:color="auto"/>
                        <w:left w:val="none" w:sz="0" w:space="0" w:color="auto"/>
                        <w:bottom w:val="none" w:sz="0" w:space="0" w:color="auto"/>
                        <w:right w:val="none" w:sz="0" w:space="0" w:color="auto"/>
                      </w:divBdr>
                    </w:div>
                  </w:divsChild>
                </w:div>
                <w:div w:id="512376628">
                  <w:marLeft w:val="0"/>
                  <w:marRight w:val="0"/>
                  <w:marTop w:val="0"/>
                  <w:marBottom w:val="0"/>
                  <w:divBdr>
                    <w:top w:val="none" w:sz="0" w:space="0" w:color="auto"/>
                    <w:left w:val="none" w:sz="0" w:space="0" w:color="auto"/>
                    <w:bottom w:val="none" w:sz="0" w:space="0" w:color="auto"/>
                    <w:right w:val="none" w:sz="0" w:space="0" w:color="auto"/>
                  </w:divBdr>
                  <w:divsChild>
                    <w:div w:id="1838110680">
                      <w:marLeft w:val="0"/>
                      <w:marRight w:val="0"/>
                      <w:marTop w:val="0"/>
                      <w:marBottom w:val="0"/>
                      <w:divBdr>
                        <w:top w:val="none" w:sz="0" w:space="0" w:color="auto"/>
                        <w:left w:val="none" w:sz="0" w:space="0" w:color="auto"/>
                        <w:bottom w:val="none" w:sz="0" w:space="0" w:color="auto"/>
                        <w:right w:val="none" w:sz="0" w:space="0" w:color="auto"/>
                      </w:divBdr>
                    </w:div>
                  </w:divsChild>
                </w:div>
                <w:div w:id="520709191">
                  <w:marLeft w:val="0"/>
                  <w:marRight w:val="0"/>
                  <w:marTop w:val="0"/>
                  <w:marBottom w:val="0"/>
                  <w:divBdr>
                    <w:top w:val="none" w:sz="0" w:space="0" w:color="auto"/>
                    <w:left w:val="none" w:sz="0" w:space="0" w:color="auto"/>
                    <w:bottom w:val="none" w:sz="0" w:space="0" w:color="auto"/>
                    <w:right w:val="none" w:sz="0" w:space="0" w:color="auto"/>
                  </w:divBdr>
                  <w:divsChild>
                    <w:div w:id="1988314258">
                      <w:marLeft w:val="0"/>
                      <w:marRight w:val="0"/>
                      <w:marTop w:val="0"/>
                      <w:marBottom w:val="0"/>
                      <w:divBdr>
                        <w:top w:val="none" w:sz="0" w:space="0" w:color="auto"/>
                        <w:left w:val="none" w:sz="0" w:space="0" w:color="auto"/>
                        <w:bottom w:val="none" w:sz="0" w:space="0" w:color="auto"/>
                        <w:right w:val="none" w:sz="0" w:space="0" w:color="auto"/>
                      </w:divBdr>
                    </w:div>
                  </w:divsChild>
                </w:div>
                <w:div w:id="526984488">
                  <w:marLeft w:val="0"/>
                  <w:marRight w:val="0"/>
                  <w:marTop w:val="0"/>
                  <w:marBottom w:val="0"/>
                  <w:divBdr>
                    <w:top w:val="none" w:sz="0" w:space="0" w:color="auto"/>
                    <w:left w:val="none" w:sz="0" w:space="0" w:color="auto"/>
                    <w:bottom w:val="none" w:sz="0" w:space="0" w:color="auto"/>
                    <w:right w:val="none" w:sz="0" w:space="0" w:color="auto"/>
                  </w:divBdr>
                  <w:divsChild>
                    <w:div w:id="984621903">
                      <w:marLeft w:val="0"/>
                      <w:marRight w:val="0"/>
                      <w:marTop w:val="0"/>
                      <w:marBottom w:val="0"/>
                      <w:divBdr>
                        <w:top w:val="none" w:sz="0" w:space="0" w:color="auto"/>
                        <w:left w:val="none" w:sz="0" w:space="0" w:color="auto"/>
                        <w:bottom w:val="none" w:sz="0" w:space="0" w:color="auto"/>
                        <w:right w:val="none" w:sz="0" w:space="0" w:color="auto"/>
                      </w:divBdr>
                    </w:div>
                  </w:divsChild>
                </w:div>
                <w:div w:id="539559566">
                  <w:marLeft w:val="0"/>
                  <w:marRight w:val="0"/>
                  <w:marTop w:val="0"/>
                  <w:marBottom w:val="0"/>
                  <w:divBdr>
                    <w:top w:val="none" w:sz="0" w:space="0" w:color="auto"/>
                    <w:left w:val="none" w:sz="0" w:space="0" w:color="auto"/>
                    <w:bottom w:val="none" w:sz="0" w:space="0" w:color="auto"/>
                    <w:right w:val="none" w:sz="0" w:space="0" w:color="auto"/>
                  </w:divBdr>
                  <w:divsChild>
                    <w:div w:id="1361512689">
                      <w:marLeft w:val="0"/>
                      <w:marRight w:val="0"/>
                      <w:marTop w:val="0"/>
                      <w:marBottom w:val="0"/>
                      <w:divBdr>
                        <w:top w:val="none" w:sz="0" w:space="0" w:color="auto"/>
                        <w:left w:val="none" w:sz="0" w:space="0" w:color="auto"/>
                        <w:bottom w:val="none" w:sz="0" w:space="0" w:color="auto"/>
                        <w:right w:val="none" w:sz="0" w:space="0" w:color="auto"/>
                      </w:divBdr>
                    </w:div>
                  </w:divsChild>
                </w:div>
                <w:div w:id="547378947">
                  <w:marLeft w:val="0"/>
                  <w:marRight w:val="0"/>
                  <w:marTop w:val="0"/>
                  <w:marBottom w:val="0"/>
                  <w:divBdr>
                    <w:top w:val="none" w:sz="0" w:space="0" w:color="auto"/>
                    <w:left w:val="none" w:sz="0" w:space="0" w:color="auto"/>
                    <w:bottom w:val="none" w:sz="0" w:space="0" w:color="auto"/>
                    <w:right w:val="none" w:sz="0" w:space="0" w:color="auto"/>
                  </w:divBdr>
                  <w:divsChild>
                    <w:div w:id="1572541102">
                      <w:marLeft w:val="0"/>
                      <w:marRight w:val="0"/>
                      <w:marTop w:val="0"/>
                      <w:marBottom w:val="0"/>
                      <w:divBdr>
                        <w:top w:val="none" w:sz="0" w:space="0" w:color="auto"/>
                        <w:left w:val="none" w:sz="0" w:space="0" w:color="auto"/>
                        <w:bottom w:val="none" w:sz="0" w:space="0" w:color="auto"/>
                        <w:right w:val="none" w:sz="0" w:space="0" w:color="auto"/>
                      </w:divBdr>
                    </w:div>
                  </w:divsChild>
                </w:div>
                <w:div w:id="564951513">
                  <w:marLeft w:val="0"/>
                  <w:marRight w:val="0"/>
                  <w:marTop w:val="0"/>
                  <w:marBottom w:val="0"/>
                  <w:divBdr>
                    <w:top w:val="none" w:sz="0" w:space="0" w:color="auto"/>
                    <w:left w:val="none" w:sz="0" w:space="0" w:color="auto"/>
                    <w:bottom w:val="none" w:sz="0" w:space="0" w:color="auto"/>
                    <w:right w:val="none" w:sz="0" w:space="0" w:color="auto"/>
                  </w:divBdr>
                  <w:divsChild>
                    <w:div w:id="854853607">
                      <w:marLeft w:val="0"/>
                      <w:marRight w:val="0"/>
                      <w:marTop w:val="0"/>
                      <w:marBottom w:val="0"/>
                      <w:divBdr>
                        <w:top w:val="none" w:sz="0" w:space="0" w:color="auto"/>
                        <w:left w:val="none" w:sz="0" w:space="0" w:color="auto"/>
                        <w:bottom w:val="none" w:sz="0" w:space="0" w:color="auto"/>
                        <w:right w:val="none" w:sz="0" w:space="0" w:color="auto"/>
                      </w:divBdr>
                    </w:div>
                  </w:divsChild>
                </w:div>
                <w:div w:id="569777658">
                  <w:marLeft w:val="0"/>
                  <w:marRight w:val="0"/>
                  <w:marTop w:val="0"/>
                  <w:marBottom w:val="0"/>
                  <w:divBdr>
                    <w:top w:val="none" w:sz="0" w:space="0" w:color="auto"/>
                    <w:left w:val="none" w:sz="0" w:space="0" w:color="auto"/>
                    <w:bottom w:val="none" w:sz="0" w:space="0" w:color="auto"/>
                    <w:right w:val="none" w:sz="0" w:space="0" w:color="auto"/>
                  </w:divBdr>
                  <w:divsChild>
                    <w:div w:id="1593053132">
                      <w:marLeft w:val="0"/>
                      <w:marRight w:val="0"/>
                      <w:marTop w:val="0"/>
                      <w:marBottom w:val="0"/>
                      <w:divBdr>
                        <w:top w:val="none" w:sz="0" w:space="0" w:color="auto"/>
                        <w:left w:val="none" w:sz="0" w:space="0" w:color="auto"/>
                        <w:bottom w:val="none" w:sz="0" w:space="0" w:color="auto"/>
                        <w:right w:val="none" w:sz="0" w:space="0" w:color="auto"/>
                      </w:divBdr>
                    </w:div>
                  </w:divsChild>
                </w:div>
                <w:div w:id="596326049">
                  <w:marLeft w:val="0"/>
                  <w:marRight w:val="0"/>
                  <w:marTop w:val="0"/>
                  <w:marBottom w:val="0"/>
                  <w:divBdr>
                    <w:top w:val="none" w:sz="0" w:space="0" w:color="auto"/>
                    <w:left w:val="none" w:sz="0" w:space="0" w:color="auto"/>
                    <w:bottom w:val="none" w:sz="0" w:space="0" w:color="auto"/>
                    <w:right w:val="none" w:sz="0" w:space="0" w:color="auto"/>
                  </w:divBdr>
                  <w:divsChild>
                    <w:div w:id="604966684">
                      <w:marLeft w:val="0"/>
                      <w:marRight w:val="0"/>
                      <w:marTop w:val="0"/>
                      <w:marBottom w:val="0"/>
                      <w:divBdr>
                        <w:top w:val="none" w:sz="0" w:space="0" w:color="auto"/>
                        <w:left w:val="none" w:sz="0" w:space="0" w:color="auto"/>
                        <w:bottom w:val="none" w:sz="0" w:space="0" w:color="auto"/>
                        <w:right w:val="none" w:sz="0" w:space="0" w:color="auto"/>
                      </w:divBdr>
                    </w:div>
                  </w:divsChild>
                </w:div>
                <w:div w:id="598023144">
                  <w:marLeft w:val="0"/>
                  <w:marRight w:val="0"/>
                  <w:marTop w:val="0"/>
                  <w:marBottom w:val="0"/>
                  <w:divBdr>
                    <w:top w:val="none" w:sz="0" w:space="0" w:color="auto"/>
                    <w:left w:val="none" w:sz="0" w:space="0" w:color="auto"/>
                    <w:bottom w:val="none" w:sz="0" w:space="0" w:color="auto"/>
                    <w:right w:val="none" w:sz="0" w:space="0" w:color="auto"/>
                  </w:divBdr>
                  <w:divsChild>
                    <w:div w:id="1633290221">
                      <w:marLeft w:val="0"/>
                      <w:marRight w:val="0"/>
                      <w:marTop w:val="0"/>
                      <w:marBottom w:val="0"/>
                      <w:divBdr>
                        <w:top w:val="none" w:sz="0" w:space="0" w:color="auto"/>
                        <w:left w:val="none" w:sz="0" w:space="0" w:color="auto"/>
                        <w:bottom w:val="none" w:sz="0" w:space="0" w:color="auto"/>
                        <w:right w:val="none" w:sz="0" w:space="0" w:color="auto"/>
                      </w:divBdr>
                    </w:div>
                  </w:divsChild>
                </w:div>
                <w:div w:id="635329885">
                  <w:marLeft w:val="0"/>
                  <w:marRight w:val="0"/>
                  <w:marTop w:val="0"/>
                  <w:marBottom w:val="0"/>
                  <w:divBdr>
                    <w:top w:val="none" w:sz="0" w:space="0" w:color="auto"/>
                    <w:left w:val="none" w:sz="0" w:space="0" w:color="auto"/>
                    <w:bottom w:val="none" w:sz="0" w:space="0" w:color="auto"/>
                    <w:right w:val="none" w:sz="0" w:space="0" w:color="auto"/>
                  </w:divBdr>
                  <w:divsChild>
                    <w:div w:id="2069498128">
                      <w:marLeft w:val="0"/>
                      <w:marRight w:val="0"/>
                      <w:marTop w:val="0"/>
                      <w:marBottom w:val="0"/>
                      <w:divBdr>
                        <w:top w:val="none" w:sz="0" w:space="0" w:color="auto"/>
                        <w:left w:val="none" w:sz="0" w:space="0" w:color="auto"/>
                        <w:bottom w:val="none" w:sz="0" w:space="0" w:color="auto"/>
                        <w:right w:val="none" w:sz="0" w:space="0" w:color="auto"/>
                      </w:divBdr>
                    </w:div>
                  </w:divsChild>
                </w:div>
                <w:div w:id="644698076">
                  <w:marLeft w:val="0"/>
                  <w:marRight w:val="0"/>
                  <w:marTop w:val="0"/>
                  <w:marBottom w:val="0"/>
                  <w:divBdr>
                    <w:top w:val="none" w:sz="0" w:space="0" w:color="auto"/>
                    <w:left w:val="none" w:sz="0" w:space="0" w:color="auto"/>
                    <w:bottom w:val="none" w:sz="0" w:space="0" w:color="auto"/>
                    <w:right w:val="none" w:sz="0" w:space="0" w:color="auto"/>
                  </w:divBdr>
                  <w:divsChild>
                    <w:div w:id="194511509">
                      <w:marLeft w:val="0"/>
                      <w:marRight w:val="0"/>
                      <w:marTop w:val="0"/>
                      <w:marBottom w:val="0"/>
                      <w:divBdr>
                        <w:top w:val="none" w:sz="0" w:space="0" w:color="auto"/>
                        <w:left w:val="none" w:sz="0" w:space="0" w:color="auto"/>
                        <w:bottom w:val="none" w:sz="0" w:space="0" w:color="auto"/>
                        <w:right w:val="none" w:sz="0" w:space="0" w:color="auto"/>
                      </w:divBdr>
                    </w:div>
                  </w:divsChild>
                </w:div>
                <w:div w:id="680351787">
                  <w:marLeft w:val="0"/>
                  <w:marRight w:val="0"/>
                  <w:marTop w:val="0"/>
                  <w:marBottom w:val="0"/>
                  <w:divBdr>
                    <w:top w:val="none" w:sz="0" w:space="0" w:color="auto"/>
                    <w:left w:val="none" w:sz="0" w:space="0" w:color="auto"/>
                    <w:bottom w:val="none" w:sz="0" w:space="0" w:color="auto"/>
                    <w:right w:val="none" w:sz="0" w:space="0" w:color="auto"/>
                  </w:divBdr>
                  <w:divsChild>
                    <w:div w:id="651251201">
                      <w:marLeft w:val="0"/>
                      <w:marRight w:val="0"/>
                      <w:marTop w:val="0"/>
                      <w:marBottom w:val="0"/>
                      <w:divBdr>
                        <w:top w:val="none" w:sz="0" w:space="0" w:color="auto"/>
                        <w:left w:val="none" w:sz="0" w:space="0" w:color="auto"/>
                        <w:bottom w:val="none" w:sz="0" w:space="0" w:color="auto"/>
                        <w:right w:val="none" w:sz="0" w:space="0" w:color="auto"/>
                      </w:divBdr>
                    </w:div>
                  </w:divsChild>
                </w:div>
                <w:div w:id="693654576">
                  <w:marLeft w:val="0"/>
                  <w:marRight w:val="0"/>
                  <w:marTop w:val="0"/>
                  <w:marBottom w:val="0"/>
                  <w:divBdr>
                    <w:top w:val="none" w:sz="0" w:space="0" w:color="auto"/>
                    <w:left w:val="none" w:sz="0" w:space="0" w:color="auto"/>
                    <w:bottom w:val="none" w:sz="0" w:space="0" w:color="auto"/>
                    <w:right w:val="none" w:sz="0" w:space="0" w:color="auto"/>
                  </w:divBdr>
                  <w:divsChild>
                    <w:div w:id="1153638446">
                      <w:marLeft w:val="0"/>
                      <w:marRight w:val="0"/>
                      <w:marTop w:val="0"/>
                      <w:marBottom w:val="0"/>
                      <w:divBdr>
                        <w:top w:val="none" w:sz="0" w:space="0" w:color="auto"/>
                        <w:left w:val="none" w:sz="0" w:space="0" w:color="auto"/>
                        <w:bottom w:val="none" w:sz="0" w:space="0" w:color="auto"/>
                        <w:right w:val="none" w:sz="0" w:space="0" w:color="auto"/>
                      </w:divBdr>
                    </w:div>
                  </w:divsChild>
                </w:div>
                <w:div w:id="752557013">
                  <w:marLeft w:val="0"/>
                  <w:marRight w:val="0"/>
                  <w:marTop w:val="0"/>
                  <w:marBottom w:val="0"/>
                  <w:divBdr>
                    <w:top w:val="none" w:sz="0" w:space="0" w:color="auto"/>
                    <w:left w:val="none" w:sz="0" w:space="0" w:color="auto"/>
                    <w:bottom w:val="none" w:sz="0" w:space="0" w:color="auto"/>
                    <w:right w:val="none" w:sz="0" w:space="0" w:color="auto"/>
                  </w:divBdr>
                  <w:divsChild>
                    <w:div w:id="799804154">
                      <w:marLeft w:val="0"/>
                      <w:marRight w:val="0"/>
                      <w:marTop w:val="0"/>
                      <w:marBottom w:val="0"/>
                      <w:divBdr>
                        <w:top w:val="none" w:sz="0" w:space="0" w:color="auto"/>
                        <w:left w:val="none" w:sz="0" w:space="0" w:color="auto"/>
                        <w:bottom w:val="none" w:sz="0" w:space="0" w:color="auto"/>
                        <w:right w:val="none" w:sz="0" w:space="0" w:color="auto"/>
                      </w:divBdr>
                    </w:div>
                  </w:divsChild>
                </w:div>
                <w:div w:id="777603073">
                  <w:marLeft w:val="0"/>
                  <w:marRight w:val="0"/>
                  <w:marTop w:val="0"/>
                  <w:marBottom w:val="0"/>
                  <w:divBdr>
                    <w:top w:val="none" w:sz="0" w:space="0" w:color="auto"/>
                    <w:left w:val="none" w:sz="0" w:space="0" w:color="auto"/>
                    <w:bottom w:val="none" w:sz="0" w:space="0" w:color="auto"/>
                    <w:right w:val="none" w:sz="0" w:space="0" w:color="auto"/>
                  </w:divBdr>
                  <w:divsChild>
                    <w:div w:id="1132670627">
                      <w:marLeft w:val="0"/>
                      <w:marRight w:val="0"/>
                      <w:marTop w:val="0"/>
                      <w:marBottom w:val="0"/>
                      <w:divBdr>
                        <w:top w:val="none" w:sz="0" w:space="0" w:color="auto"/>
                        <w:left w:val="none" w:sz="0" w:space="0" w:color="auto"/>
                        <w:bottom w:val="none" w:sz="0" w:space="0" w:color="auto"/>
                        <w:right w:val="none" w:sz="0" w:space="0" w:color="auto"/>
                      </w:divBdr>
                    </w:div>
                  </w:divsChild>
                </w:div>
                <w:div w:id="822745248">
                  <w:marLeft w:val="0"/>
                  <w:marRight w:val="0"/>
                  <w:marTop w:val="0"/>
                  <w:marBottom w:val="0"/>
                  <w:divBdr>
                    <w:top w:val="none" w:sz="0" w:space="0" w:color="auto"/>
                    <w:left w:val="none" w:sz="0" w:space="0" w:color="auto"/>
                    <w:bottom w:val="none" w:sz="0" w:space="0" w:color="auto"/>
                    <w:right w:val="none" w:sz="0" w:space="0" w:color="auto"/>
                  </w:divBdr>
                  <w:divsChild>
                    <w:div w:id="35279165">
                      <w:marLeft w:val="0"/>
                      <w:marRight w:val="0"/>
                      <w:marTop w:val="0"/>
                      <w:marBottom w:val="0"/>
                      <w:divBdr>
                        <w:top w:val="none" w:sz="0" w:space="0" w:color="auto"/>
                        <w:left w:val="none" w:sz="0" w:space="0" w:color="auto"/>
                        <w:bottom w:val="none" w:sz="0" w:space="0" w:color="auto"/>
                        <w:right w:val="none" w:sz="0" w:space="0" w:color="auto"/>
                      </w:divBdr>
                    </w:div>
                  </w:divsChild>
                </w:div>
                <w:div w:id="839465822">
                  <w:marLeft w:val="0"/>
                  <w:marRight w:val="0"/>
                  <w:marTop w:val="0"/>
                  <w:marBottom w:val="0"/>
                  <w:divBdr>
                    <w:top w:val="none" w:sz="0" w:space="0" w:color="auto"/>
                    <w:left w:val="none" w:sz="0" w:space="0" w:color="auto"/>
                    <w:bottom w:val="none" w:sz="0" w:space="0" w:color="auto"/>
                    <w:right w:val="none" w:sz="0" w:space="0" w:color="auto"/>
                  </w:divBdr>
                  <w:divsChild>
                    <w:div w:id="1693609389">
                      <w:marLeft w:val="0"/>
                      <w:marRight w:val="0"/>
                      <w:marTop w:val="0"/>
                      <w:marBottom w:val="0"/>
                      <w:divBdr>
                        <w:top w:val="none" w:sz="0" w:space="0" w:color="auto"/>
                        <w:left w:val="none" w:sz="0" w:space="0" w:color="auto"/>
                        <w:bottom w:val="none" w:sz="0" w:space="0" w:color="auto"/>
                        <w:right w:val="none" w:sz="0" w:space="0" w:color="auto"/>
                      </w:divBdr>
                    </w:div>
                  </w:divsChild>
                </w:div>
                <w:div w:id="842161957">
                  <w:marLeft w:val="0"/>
                  <w:marRight w:val="0"/>
                  <w:marTop w:val="0"/>
                  <w:marBottom w:val="0"/>
                  <w:divBdr>
                    <w:top w:val="none" w:sz="0" w:space="0" w:color="auto"/>
                    <w:left w:val="none" w:sz="0" w:space="0" w:color="auto"/>
                    <w:bottom w:val="none" w:sz="0" w:space="0" w:color="auto"/>
                    <w:right w:val="none" w:sz="0" w:space="0" w:color="auto"/>
                  </w:divBdr>
                  <w:divsChild>
                    <w:div w:id="1889760319">
                      <w:marLeft w:val="0"/>
                      <w:marRight w:val="0"/>
                      <w:marTop w:val="0"/>
                      <w:marBottom w:val="0"/>
                      <w:divBdr>
                        <w:top w:val="none" w:sz="0" w:space="0" w:color="auto"/>
                        <w:left w:val="none" w:sz="0" w:space="0" w:color="auto"/>
                        <w:bottom w:val="none" w:sz="0" w:space="0" w:color="auto"/>
                        <w:right w:val="none" w:sz="0" w:space="0" w:color="auto"/>
                      </w:divBdr>
                    </w:div>
                  </w:divsChild>
                </w:div>
                <w:div w:id="864903859">
                  <w:marLeft w:val="0"/>
                  <w:marRight w:val="0"/>
                  <w:marTop w:val="0"/>
                  <w:marBottom w:val="0"/>
                  <w:divBdr>
                    <w:top w:val="none" w:sz="0" w:space="0" w:color="auto"/>
                    <w:left w:val="none" w:sz="0" w:space="0" w:color="auto"/>
                    <w:bottom w:val="none" w:sz="0" w:space="0" w:color="auto"/>
                    <w:right w:val="none" w:sz="0" w:space="0" w:color="auto"/>
                  </w:divBdr>
                  <w:divsChild>
                    <w:div w:id="1390418640">
                      <w:marLeft w:val="0"/>
                      <w:marRight w:val="0"/>
                      <w:marTop w:val="0"/>
                      <w:marBottom w:val="0"/>
                      <w:divBdr>
                        <w:top w:val="none" w:sz="0" w:space="0" w:color="auto"/>
                        <w:left w:val="none" w:sz="0" w:space="0" w:color="auto"/>
                        <w:bottom w:val="none" w:sz="0" w:space="0" w:color="auto"/>
                        <w:right w:val="none" w:sz="0" w:space="0" w:color="auto"/>
                      </w:divBdr>
                    </w:div>
                  </w:divsChild>
                </w:div>
                <w:div w:id="884828889">
                  <w:marLeft w:val="0"/>
                  <w:marRight w:val="0"/>
                  <w:marTop w:val="0"/>
                  <w:marBottom w:val="0"/>
                  <w:divBdr>
                    <w:top w:val="none" w:sz="0" w:space="0" w:color="auto"/>
                    <w:left w:val="none" w:sz="0" w:space="0" w:color="auto"/>
                    <w:bottom w:val="none" w:sz="0" w:space="0" w:color="auto"/>
                    <w:right w:val="none" w:sz="0" w:space="0" w:color="auto"/>
                  </w:divBdr>
                  <w:divsChild>
                    <w:div w:id="1314874550">
                      <w:marLeft w:val="0"/>
                      <w:marRight w:val="0"/>
                      <w:marTop w:val="0"/>
                      <w:marBottom w:val="0"/>
                      <w:divBdr>
                        <w:top w:val="none" w:sz="0" w:space="0" w:color="auto"/>
                        <w:left w:val="none" w:sz="0" w:space="0" w:color="auto"/>
                        <w:bottom w:val="none" w:sz="0" w:space="0" w:color="auto"/>
                        <w:right w:val="none" w:sz="0" w:space="0" w:color="auto"/>
                      </w:divBdr>
                    </w:div>
                  </w:divsChild>
                </w:div>
                <w:div w:id="898974609">
                  <w:marLeft w:val="0"/>
                  <w:marRight w:val="0"/>
                  <w:marTop w:val="0"/>
                  <w:marBottom w:val="0"/>
                  <w:divBdr>
                    <w:top w:val="none" w:sz="0" w:space="0" w:color="auto"/>
                    <w:left w:val="none" w:sz="0" w:space="0" w:color="auto"/>
                    <w:bottom w:val="none" w:sz="0" w:space="0" w:color="auto"/>
                    <w:right w:val="none" w:sz="0" w:space="0" w:color="auto"/>
                  </w:divBdr>
                  <w:divsChild>
                    <w:div w:id="169418001">
                      <w:marLeft w:val="0"/>
                      <w:marRight w:val="0"/>
                      <w:marTop w:val="0"/>
                      <w:marBottom w:val="0"/>
                      <w:divBdr>
                        <w:top w:val="none" w:sz="0" w:space="0" w:color="auto"/>
                        <w:left w:val="none" w:sz="0" w:space="0" w:color="auto"/>
                        <w:bottom w:val="none" w:sz="0" w:space="0" w:color="auto"/>
                        <w:right w:val="none" w:sz="0" w:space="0" w:color="auto"/>
                      </w:divBdr>
                    </w:div>
                  </w:divsChild>
                </w:div>
                <w:div w:id="899629955">
                  <w:marLeft w:val="0"/>
                  <w:marRight w:val="0"/>
                  <w:marTop w:val="0"/>
                  <w:marBottom w:val="0"/>
                  <w:divBdr>
                    <w:top w:val="none" w:sz="0" w:space="0" w:color="auto"/>
                    <w:left w:val="none" w:sz="0" w:space="0" w:color="auto"/>
                    <w:bottom w:val="none" w:sz="0" w:space="0" w:color="auto"/>
                    <w:right w:val="none" w:sz="0" w:space="0" w:color="auto"/>
                  </w:divBdr>
                  <w:divsChild>
                    <w:div w:id="1331372739">
                      <w:marLeft w:val="0"/>
                      <w:marRight w:val="0"/>
                      <w:marTop w:val="0"/>
                      <w:marBottom w:val="0"/>
                      <w:divBdr>
                        <w:top w:val="none" w:sz="0" w:space="0" w:color="auto"/>
                        <w:left w:val="none" w:sz="0" w:space="0" w:color="auto"/>
                        <w:bottom w:val="none" w:sz="0" w:space="0" w:color="auto"/>
                        <w:right w:val="none" w:sz="0" w:space="0" w:color="auto"/>
                      </w:divBdr>
                    </w:div>
                  </w:divsChild>
                </w:div>
                <w:div w:id="954672077">
                  <w:marLeft w:val="0"/>
                  <w:marRight w:val="0"/>
                  <w:marTop w:val="0"/>
                  <w:marBottom w:val="0"/>
                  <w:divBdr>
                    <w:top w:val="none" w:sz="0" w:space="0" w:color="auto"/>
                    <w:left w:val="none" w:sz="0" w:space="0" w:color="auto"/>
                    <w:bottom w:val="none" w:sz="0" w:space="0" w:color="auto"/>
                    <w:right w:val="none" w:sz="0" w:space="0" w:color="auto"/>
                  </w:divBdr>
                  <w:divsChild>
                    <w:div w:id="669914932">
                      <w:marLeft w:val="0"/>
                      <w:marRight w:val="0"/>
                      <w:marTop w:val="0"/>
                      <w:marBottom w:val="0"/>
                      <w:divBdr>
                        <w:top w:val="none" w:sz="0" w:space="0" w:color="auto"/>
                        <w:left w:val="none" w:sz="0" w:space="0" w:color="auto"/>
                        <w:bottom w:val="none" w:sz="0" w:space="0" w:color="auto"/>
                        <w:right w:val="none" w:sz="0" w:space="0" w:color="auto"/>
                      </w:divBdr>
                    </w:div>
                  </w:divsChild>
                </w:div>
                <w:div w:id="1019353427">
                  <w:marLeft w:val="0"/>
                  <w:marRight w:val="0"/>
                  <w:marTop w:val="0"/>
                  <w:marBottom w:val="0"/>
                  <w:divBdr>
                    <w:top w:val="none" w:sz="0" w:space="0" w:color="auto"/>
                    <w:left w:val="none" w:sz="0" w:space="0" w:color="auto"/>
                    <w:bottom w:val="none" w:sz="0" w:space="0" w:color="auto"/>
                    <w:right w:val="none" w:sz="0" w:space="0" w:color="auto"/>
                  </w:divBdr>
                  <w:divsChild>
                    <w:div w:id="1632200523">
                      <w:marLeft w:val="0"/>
                      <w:marRight w:val="0"/>
                      <w:marTop w:val="0"/>
                      <w:marBottom w:val="0"/>
                      <w:divBdr>
                        <w:top w:val="none" w:sz="0" w:space="0" w:color="auto"/>
                        <w:left w:val="none" w:sz="0" w:space="0" w:color="auto"/>
                        <w:bottom w:val="none" w:sz="0" w:space="0" w:color="auto"/>
                        <w:right w:val="none" w:sz="0" w:space="0" w:color="auto"/>
                      </w:divBdr>
                    </w:div>
                  </w:divsChild>
                </w:div>
                <w:div w:id="1021738166">
                  <w:marLeft w:val="0"/>
                  <w:marRight w:val="0"/>
                  <w:marTop w:val="0"/>
                  <w:marBottom w:val="0"/>
                  <w:divBdr>
                    <w:top w:val="none" w:sz="0" w:space="0" w:color="auto"/>
                    <w:left w:val="none" w:sz="0" w:space="0" w:color="auto"/>
                    <w:bottom w:val="none" w:sz="0" w:space="0" w:color="auto"/>
                    <w:right w:val="none" w:sz="0" w:space="0" w:color="auto"/>
                  </w:divBdr>
                  <w:divsChild>
                    <w:div w:id="1536700541">
                      <w:marLeft w:val="0"/>
                      <w:marRight w:val="0"/>
                      <w:marTop w:val="0"/>
                      <w:marBottom w:val="0"/>
                      <w:divBdr>
                        <w:top w:val="none" w:sz="0" w:space="0" w:color="auto"/>
                        <w:left w:val="none" w:sz="0" w:space="0" w:color="auto"/>
                        <w:bottom w:val="none" w:sz="0" w:space="0" w:color="auto"/>
                        <w:right w:val="none" w:sz="0" w:space="0" w:color="auto"/>
                      </w:divBdr>
                    </w:div>
                  </w:divsChild>
                </w:div>
                <w:div w:id="1031220816">
                  <w:marLeft w:val="0"/>
                  <w:marRight w:val="0"/>
                  <w:marTop w:val="0"/>
                  <w:marBottom w:val="0"/>
                  <w:divBdr>
                    <w:top w:val="none" w:sz="0" w:space="0" w:color="auto"/>
                    <w:left w:val="none" w:sz="0" w:space="0" w:color="auto"/>
                    <w:bottom w:val="none" w:sz="0" w:space="0" w:color="auto"/>
                    <w:right w:val="none" w:sz="0" w:space="0" w:color="auto"/>
                  </w:divBdr>
                  <w:divsChild>
                    <w:div w:id="863439200">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sChild>
                    <w:div w:id="2135635420">
                      <w:marLeft w:val="0"/>
                      <w:marRight w:val="0"/>
                      <w:marTop w:val="0"/>
                      <w:marBottom w:val="0"/>
                      <w:divBdr>
                        <w:top w:val="none" w:sz="0" w:space="0" w:color="auto"/>
                        <w:left w:val="none" w:sz="0" w:space="0" w:color="auto"/>
                        <w:bottom w:val="none" w:sz="0" w:space="0" w:color="auto"/>
                        <w:right w:val="none" w:sz="0" w:space="0" w:color="auto"/>
                      </w:divBdr>
                    </w:div>
                  </w:divsChild>
                </w:div>
                <w:div w:id="1074232876">
                  <w:marLeft w:val="0"/>
                  <w:marRight w:val="0"/>
                  <w:marTop w:val="0"/>
                  <w:marBottom w:val="0"/>
                  <w:divBdr>
                    <w:top w:val="none" w:sz="0" w:space="0" w:color="auto"/>
                    <w:left w:val="none" w:sz="0" w:space="0" w:color="auto"/>
                    <w:bottom w:val="none" w:sz="0" w:space="0" w:color="auto"/>
                    <w:right w:val="none" w:sz="0" w:space="0" w:color="auto"/>
                  </w:divBdr>
                  <w:divsChild>
                    <w:div w:id="831674606">
                      <w:marLeft w:val="0"/>
                      <w:marRight w:val="0"/>
                      <w:marTop w:val="0"/>
                      <w:marBottom w:val="0"/>
                      <w:divBdr>
                        <w:top w:val="none" w:sz="0" w:space="0" w:color="auto"/>
                        <w:left w:val="none" w:sz="0" w:space="0" w:color="auto"/>
                        <w:bottom w:val="none" w:sz="0" w:space="0" w:color="auto"/>
                        <w:right w:val="none" w:sz="0" w:space="0" w:color="auto"/>
                      </w:divBdr>
                    </w:div>
                  </w:divsChild>
                </w:div>
                <w:div w:id="1079986942">
                  <w:marLeft w:val="0"/>
                  <w:marRight w:val="0"/>
                  <w:marTop w:val="0"/>
                  <w:marBottom w:val="0"/>
                  <w:divBdr>
                    <w:top w:val="none" w:sz="0" w:space="0" w:color="auto"/>
                    <w:left w:val="none" w:sz="0" w:space="0" w:color="auto"/>
                    <w:bottom w:val="none" w:sz="0" w:space="0" w:color="auto"/>
                    <w:right w:val="none" w:sz="0" w:space="0" w:color="auto"/>
                  </w:divBdr>
                  <w:divsChild>
                    <w:div w:id="986276409">
                      <w:marLeft w:val="0"/>
                      <w:marRight w:val="0"/>
                      <w:marTop w:val="0"/>
                      <w:marBottom w:val="0"/>
                      <w:divBdr>
                        <w:top w:val="none" w:sz="0" w:space="0" w:color="auto"/>
                        <w:left w:val="none" w:sz="0" w:space="0" w:color="auto"/>
                        <w:bottom w:val="none" w:sz="0" w:space="0" w:color="auto"/>
                        <w:right w:val="none" w:sz="0" w:space="0" w:color="auto"/>
                      </w:divBdr>
                    </w:div>
                  </w:divsChild>
                </w:div>
                <w:div w:id="1092360209">
                  <w:marLeft w:val="0"/>
                  <w:marRight w:val="0"/>
                  <w:marTop w:val="0"/>
                  <w:marBottom w:val="0"/>
                  <w:divBdr>
                    <w:top w:val="none" w:sz="0" w:space="0" w:color="auto"/>
                    <w:left w:val="none" w:sz="0" w:space="0" w:color="auto"/>
                    <w:bottom w:val="none" w:sz="0" w:space="0" w:color="auto"/>
                    <w:right w:val="none" w:sz="0" w:space="0" w:color="auto"/>
                  </w:divBdr>
                  <w:divsChild>
                    <w:div w:id="428038826">
                      <w:marLeft w:val="0"/>
                      <w:marRight w:val="0"/>
                      <w:marTop w:val="0"/>
                      <w:marBottom w:val="0"/>
                      <w:divBdr>
                        <w:top w:val="none" w:sz="0" w:space="0" w:color="auto"/>
                        <w:left w:val="none" w:sz="0" w:space="0" w:color="auto"/>
                        <w:bottom w:val="none" w:sz="0" w:space="0" w:color="auto"/>
                        <w:right w:val="none" w:sz="0" w:space="0" w:color="auto"/>
                      </w:divBdr>
                    </w:div>
                  </w:divsChild>
                </w:div>
                <w:div w:id="1111435801">
                  <w:marLeft w:val="0"/>
                  <w:marRight w:val="0"/>
                  <w:marTop w:val="0"/>
                  <w:marBottom w:val="0"/>
                  <w:divBdr>
                    <w:top w:val="none" w:sz="0" w:space="0" w:color="auto"/>
                    <w:left w:val="none" w:sz="0" w:space="0" w:color="auto"/>
                    <w:bottom w:val="none" w:sz="0" w:space="0" w:color="auto"/>
                    <w:right w:val="none" w:sz="0" w:space="0" w:color="auto"/>
                  </w:divBdr>
                  <w:divsChild>
                    <w:div w:id="600527506">
                      <w:marLeft w:val="0"/>
                      <w:marRight w:val="0"/>
                      <w:marTop w:val="0"/>
                      <w:marBottom w:val="0"/>
                      <w:divBdr>
                        <w:top w:val="none" w:sz="0" w:space="0" w:color="auto"/>
                        <w:left w:val="none" w:sz="0" w:space="0" w:color="auto"/>
                        <w:bottom w:val="none" w:sz="0" w:space="0" w:color="auto"/>
                        <w:right w:val="none" w:sz="0" w:space="0" w:color="auto"/>
                      </w:divBdr>
                    </w:div>
                  </w:divsChild>
                </w:div>
                <w:div w:id="1140077216">
                  <w:marLeft w:val="0"/>
                  <w:marRight w:val="0"/>
                  <w:marTop w:val="0"/>
                  <w:marBottom w:val="0"/>
                  <w:divBdr>
                    <w:top w:val="none" w:sz="0" w:space="0" w:color="auto"/>
                    <w:left w:val="none" w:sz="0" w:space="0" w:color="auto"/>
                    <w:bottom w:val="none" w:sz="0" w:space="0" w:color="auto"/>
                    <w:right w:val="none" w:sz="0" w:space="0" w:color="auto"/>
                  </w:divBdr>
                  <w:divsChild>
                    <w:div w:id="1213154681">
                      <w:marLeft w:val="0"/>
                      <w:marRight w:val="0"/>
                      <w:marTop w:val="0"/>
                      <w:marBottom w:val="0"/>
                      <w:divBdr>
                        <w:top w:val="none" w:sz="0" w:space="0" w:color="auto"/>
                        <w:left w:val="none" w:sz="0" w:space="0" w:color="auto"/>
                        <w:bottom w:val="none" w:sz="0" w:space="0" w:color="auto"/>
                        <w:right w:val="none" w:sz="0" w:space="0" w:color="auto"/>
                      </w:divBdr>
                    </w:div>
                  </w:divsChild>
                </w:div>
                <w:div w:id="1140802180">
                  <w:marLeft w:val="0"/>
                  <w:marRight w:val="0"/>
                  <w:marTop w:val="0"/>
                  <w:marBottom w:val="0"/>
                  <w:divBdr>
                    <w:top w:val="none" w:sz="0" w:space="0" w:color="auto"/>
                    <w:left w:val="none" w:sz="0" w:space="0" w:color="auto"/>
                    <w:bottom w:val="none" w:sz="0" w:space="0" w:color="auto"/>
                    <w:right w:val="none" w:sz="0" w:space="0" w:color="auto"/>
                  </w:divBdr>
                  <w:divsChild>
                    <w:div w:id="130485778">
                      <w:marLeft w:val="0"/>
                      <w:marRight w:val="0"/>
                      <w:marTop w:val="0"/>
                      <w:marBottom w:val="0"/>
                      <w:divBdr>
                        <w:top w:val="none" w:sz="0" w:space="0" w:color="auto"/>
                        <w:left w:val="none" w:sz="0" w:space="0" w:color="auto"/>
                        <w:bottom w:val="none" w:sz="0" w:space="0" w:color="auto"/>
                        <w:right w:val="none" w:sz="0" w:space="0" w:color="auto"/>
                      </w:divBdr>
                    </w:div>
                  </w:divsChild>
                </w:div>
                <w:div w:id="1190333532">
                  <w:marLeft w:val="0"/>
                  <w:marRight w:val="0"/>
                  <w:marTop w:val="0"/>
                  <w:marBottom w:val="0"/>
                  <w:divBdr>
                    <w:top w:val="none" w:sz="0" w:space="0" w:color="auto"/>
                    <w:left w:val="none" w:sz="0" w:space="0" w:color="auto"/>
                    <w:bottom w:val="none" w:sz="0" w:space="0" w:color="auto"/>
                    <w:right w:val="none" w:sz="0" w:space="0" w:color="auto"/>
                  </w:divBdr>
                  <w:divsChild>
                    <w:div w:id="43412596">
                      <w:marLeft w:val="0"/>
                      <w:marRight w:val="0"/>
                      <w:marTop w:val="0"/>
                      <w:marBottom w:val="0"/>
                      <w:divBdr>
                        <w:top w:val="none" w:sz="0" w:space="0" w:color="auto"/>
                        <w:left w:val="none" w:sz="0" w:space="0" w:color="auto"/>
                        <w:bottom w:val="none" w:sz="0" w:space="0" w:color="auto"/>
                        <w:right w:val="none" w:sz="0" w:space="0" w:color="auto"/>
                      </w:divBdr>
                    </w:div>
                  </w:divsChild>
                </w:div>
                <w:div w:id="1227960388">
                  <w:marLeft w:val="0"/>
                  <w:marRight w:val="0"/>
                  <w:marTop w:val="0"/>
                  <w:marBottom w:val="0"/>
                  <w:divBdr>
                    <w:top w:val="none" w:sz="0" w:space="0" w:color="auto"/>
                    <w:left w:val="none" w:sz="0" w:space="0" w:color="auto"/>
                    <w:bottom w:val="none" w:sz="0" w:space="0" w:color="auto"/>
                    <w:right w:val="none" w:sz="0" w:space="0" w:color="auto"/>
                  </w:divBdr>
                  <w:divsChild>
                    <w:div w:id="1181243777">
                      <w:marLeft w:val="0"/>
                      <w:marRight w:val="0"/>
                      <w:marTop w:val="0"/>
                      <w:marBottom w:val="0"/>
                      <w:divBdr>
                        <w:top w:val="none" w:sz="0" w:space="0" w:color="auto"/>
                        <w:left w:val="none" w:sz="0" w:space="0" w:color="auto"/>
                        <w:bottom w:val="none" w:sz="0" w:space="0" w:color="auto"/>
                        <w:right w:val="none" w:sz="0" w:space="0" w:color="auto"/>
                      </w:divBdr>
                    </w:div>
                  </w:divsChild>
                </w:div>
                <w:div w:id="1232235620">
                  <w:marLeft w:val="0"/>
                  <w:marRight w:val="0"/>
                  <w:marTop w:val="0"/>
                  <w:marBottom w:val="0"/>
                  <w:divBdr>
                    <w:top w:val="none" w:sz="0" w:space="0" w:color="auto"/>
                    <w:left w:val="none" w:sz="0" w:space="0" w:color="auto"/>
                    <w:bottom w:val="none" w:sz="0" w:space="0" w:color="auto"/>
                    <w:right w:val="none" w:sz="0" w:space="0" w:color="auto"/>
                  </w:divBdr>
                  <w:divsChild>
                    <w:div w:id="178278207">
                      <w:marLeft w:val="0"/>
                      <w:marRight w:val="0"/>
                      <w:marTop w:val="0"/>
                      <w:marBottom w:val="0"/>
                      <w:divBdr>
                        <w:top w:val="none" w:sz="0" w:space="0" w:color="auto"/>
                        <w:left w:val="none" w:sz="0" w:space="0" w:color="auto"/>
                        <w:bottom w:val="none" w:sz="0" w:space="0" w:color="auto"/>
                        <w:right w:val="none" w:sz="0" w:space="0" w:color="auto"/>
                      </w:divBdr>
                    </w:div>
                  </w:divsChild>
                </w:div>
                <w:div w:id="1236863943">
                  <w:marLeft w:val="0"/>
                  <w:marRight w:val="0"/>
                  <w:marTop w:val="0"/>
                  <w:marBottom w:val="0"/>
                  <w:divBdr>
                    <w:top w:val="none" w:sz="0" w:space="0" w:color="auto"/>
                    <w:left w:val="none" w:sz="0" w:space="0" w:color="auto"/>
                    <w:bottom w:val="none" w:sz="0" w:space="0" w:color="auto"/>
                    <w:right w:val="none" w:sz="0" w:space="0" w:color="auto"/>
                  </w:divBdr>
                  <w:divsChild>
                    <w:div w:id="1955822656">
                      <w:marLeft w:val="0"/>
                      <w:marRight w:val="0"/>
                      <w:marTop w:val="0"/>
                      <w:marBottom w:val="0"/>
                      <w:divBdr>
                        <w:top w:val="none" w:sz="0" w:space="0" w:color="auto"/>
                        <w:left w:val="none" w:sz="0" w:space="0" w:color="auto"/>
                        <w:bottom w:val="none" w:sz="0" w:space="0" w:color="auto"/>
                        <w:right w:val="none" w:sz="0" w:space="0" w:color="auto"/>
                      </w:divBdr>
                    </w:div>
                  </w:divsChild>
                </w:div>
                <w:div w:id="1297029465">
                  <w:marLeft w:val="0"/>
                  <w:marRight w:val="0"/>
                  <w:marTop w:val="0"/>
                  <w:marBottom w:val="0"/>
                  <w:divBdr>
                    <w:top w:val="none" w:sz="0" w:space="0" w:color="auto"/>
                    <w:left w:val="none" w:sz="0" w:space="0" w:color="auto"/>
                    <w:bottom w:val="none" w:sz="0" w:space="0" w:color="auto"/>
                    <w:right w:val="none" w:sz="0" w:space="0" w:color="auto"/>
                  </w:divBdr>
                  <w:divsChild>
                    <w:div w:id="1128233017">
                      <w:marLeft w:val="0"/>
                      <w:marRight w:val="0"/>
                      <w:marTop w:val="0"/>
                      <w:marBottom w:val="0"/>
                      <w:divBdr>
                        <w:top w:val="none" w:sz="0" w:space="0" w:color="auto"/>
                        <w:left w:val="none" w:sz="0" w:space="0" w:color="auto"/>
                        <w:bottom w:val="none" w:sz="0" w:space="0" w:color="auto"/>
                        <w:right w:val="none" w:sz="0" w:space="0" w:color="auto"/>
                      </w:divBdr>
                    </w:div>
                  </w:divsChild>
                </w:div>
                <w:div w:id="1316035413">
                  <w:marLeft w:val="0"/>
                  <w:marRight w:val="0"/>
                  <w:marTop w:val="0"/>
                  <w:marBottom w:val="0"/>
                  <w:divBdr>
                    <w:top w:val="none" w:sz="0" w:space="0" w:color="auto"/>
                    <w:left w:val="none" w:sz="0" w:space="0" w:color="auto"/>
                    <w:bottom w:val="none" w:sz="0" w:space="0" w:color="auto"/>
                    <w:right w:val="none" w:sz="0" w:space="0" w:color="auto"/>
                  </w:divBdr>
                  <w:divsChild>
                    <w:div w:id="1249575828">
                      <w:marLeft w:val="0"/>
                      <w:marRight w:val="0"/>
                      <w:marTop w:val="0"/>
                      <w:marBottom w:val="0"/>
                      <w:divBdr>
                        <w:top w:val="none" w:sz="0" w:space="0" w:color="auto"/>
                        <w:left w:val="none" w:sz="0" w:space="0" w:color="auto"/>
                        <w:bottom w:val="none" w:sz="0" w:space="0" w:color="auto"/>
                        <w:right w:val="none" w:sz="0" w:space="0" w:color="auto"/>
                      </w:divBdr>
                    </w:div>
                  </w:divsChild>
                </w:div>
                <w:div w:id="1324313262">
                  <w:marLeft w:val="0"/>
                  <w:marRight w:val="0"/>
                  <w:marTop w:val="0"/>
                  <w:marBottom w:val="0"/>
                  <w:divBdr>
                    <w:top w:val="none" w:sz="0" w:space="0" w:color="auto"/>
                    <w:left w:val="none" w:sz="0" w:space="0" w:color="auto"/>
                    <w:bottom w:val="none" w:sz="0" w:space="0" w:color="auto"/>
                    <w:right w:val="none" w:sz="0" w:space="0" w:color="auto"/>
                  </w:divBdr>
                  <w:divsChild>
                    <w:div w:id="1168056965">
                      <w:marLeft w:val="0"/>
                      <w:marRight w:val="0"/>
                      <w:marTop w:val="0"/>
                      <w:marBottom w:val="0"/>
                      <w:divBdr>
                        <w:top w:val="none" w:sz="0" w:space="0" w:color="auto"/>
                        <w:left w:val="none" w:sz="0" w:space="0" w:color="auto"/>
                        <w:bottom w:val="none" w:sz="0" w:space="0" w:color="auto"/>
                        <w:right w:val="none" w:sz="0" w:space="0" w:color="auto"/>
                      </w:divBdr>
                    </w:div>
                  </w:divsChild>
                </w:div>
                <w:div w:id="1360593585">
                  <w:marLeft w:val="0"/>
                  <w:marRight w:val="0"/>
                  <w:marTop w:val="0"/>
                  <w:marBottom w:val="0"/>
                  <w:divBdr>
                    <w:top w:val="none" w:sz="0" w:space="0" w:color="auto"/>
                    <w:left w:val="none" w:sz="0" w:space="0" w:color="auto"/>
                    <w:bottom w:val="none" w:sz="0" w:space="0" w:color="auto"/>
                    <w:right w:val="none" w:sz="0" w:space="0" w:color="auto"/>
                  </w:divBdr>
                  <w:divsChild>
                    <w:div w:id="1369722287">
                      <w:marLeft w:val="0"/>
                      <w:marRight w:val="0"/>
                      <w:marTop w:val="0"/>
                      <w:marBottom w:val="0"/>
                      <w:divBdr>
                        <w:top w:val="none" w:sz="0" w:space="0" w:color="auto"/>
                        <w:left w:val="none" w:sz="0" w:space="0" w:color="auto"/>
                        <w:bottom w:val="none" w:sz="0" w:space="0" w:color="auto"/>
                        <w:right w:val="none" w:sz="0" w:space="0" w:color="auto"/>
                      </w:divBdr>
                    </w:div>
                  </w:divsChild>
                </w:div>
                <w:div w:id="1366446659">
                  <w:marLeft w:val="0"/>
                  <w:marRight w:val="0"/>
                  <w:marTop w:val="0"/>
                  <w:marBottom w:val="0"/>
                  <w:divBdr>
                    <w:top w:val="none" w:sz="0" w:space="0" w:color="auto"/>
                    <w:left w:val="none" w:sz="0" w:space="0" w:color="auto"/>
                    <w:bottom w:val="none" w:sz="0" w:space="0" w:color="auto"/>
                    <w:right w:val="none" w:sz="0" w:space="0" w:color="auto"/>
                  </w:divBdr>
                  <w:divsChild>
                    <w:div w:id="1516841132">
                      <w:marLeft w:val="0"/>
                      <w:marRight w:val="0"/>
                      <w:marTop w:val="0"/>
                      <w:marBottom w:val="0"/>
                      <w:divBdr>
                        <w:top w:val="none" w:sz="0" w:space="0" w:color="auto"/>
                        <w:left w:val="none" w:sz="0" w:space="0" w:color="auto"/>
                        <w:bottom w:val="none" w:sz="0" w:space="0" w:color="auto"/>
                        <w:right w:val="none" w:sz="0" w:space="0" w:color="auto"/>
                      </w:divBdr>
                    </w:div>
                  </w:divsChild>
                </w:div>
                <w:div w:id="1379011328">
                  <w:marLeft w:val="0"/>
                  <w:marRight w:val="0"/>
                  <w:marTop w:val="0"/>
                  <w:marBottom w:val="0"/>
                  <w:divBdr>
                    <w:top w:val="none" w:sz="0" w:space="0" w:color="auto"/>
                    <w:left w:val="none" w:sz="0" w:space="0" w:color="auto"/>
                    <w:bottom w:val="none" w:sz="0" w:space="0" w:color="auto"/>
                    <w:right w:val="none" w:sz="0" w:space="0" w:color="auto"/>
                  </w:divBdr>
                  <w:divsChild>
                    <w:div w:id="479881355">
                      <w:marLeft w:val="0"/>
                      <w:marRight w:val="0"/>
                      <w:marTop w:val="0"/>
                      <w:marBottom w:val="0"/>
                      <w:divBdr>
                        <w:top w:val="none" w:sz="0" w:space="0" w:color="auto"/>
                        <w:left w:val="none" w:sz="0" w:space="0" w:color="auto"/>
                        <w:bottom w:val="none" w:sz="0" w:space="0" w:color="auto"/>
                        <w:right w:val="none" w:sz="0" w:space="0" w:color="auto"/>
                      </w:divBdr>
                    </w:div>
                  </w:divsChild>
                </w:div>
                <w:div w:id="1430542122">
                  <w:marLeft w:val="0"/>
                  <w:marRight w:val="0"/>
                  <w:marTop w:val="0"/>
                  <w:marBottom w:val="0"/>
                  <w:divBdr>
                    <w:top w:val="none" w:sz="0" w:space="0" w:color="auto"/>
                    <w:left w:val="none" w:sz="0" w:space="0" w:color="auto"/>
                    <w:bottom w:val="none" w:sz="0" w:space="0" w:color="auto"/>
                    <w:right w:val="none" w:sz="0" w:space="0" w:color="auto"/>
                  </w:divBdr>
                  <w:divsChild>
                    <w:div w:id="278731">
                      <w:marLeft w:val="0"/>
                      <w:marRight w:val="0"/>
                      <w:marTop w:val="0"/>
                      <w:marBottom w:val="0"/>
                      <w:divBdr>
                        <w:top w:val="none" w:sz="0" w:space="0" w:color="auto"/>
                        <w:left w:val="none" w:sz="0" w:space="0" w:color="auto"/>
                        <w:bottom w:val="none" w:sz="0" w:space="0" w:color="auto"/>
                        <w:right w:val="none" w:sz="0" w:space="0" w:color="auto"/>
                      </w:divBdr>
                    </w:div>
                  </w:divsChild>
                </w:div>
                <w:div w:id="1457526147">
                  <w:marLeft w:val="0"/>
                  <w:marRight w:val="0"/>
                  <w:marTop w:val="0"/>
                  <w:marBottom w:val="0"/>
                  <w:divBdr>
                    <w:top w:val="none" w:sz="0" w:space="0" w:color="auto"/>
                    <w:left w:val="none" w:sz="0" w:space="0" w:color="auto"/>
                    <w:bottom w:val="none" w:sz="0" w:space="0" w:color="auto"/>
                    <w:right w:val="none" w:sz="0" w:space="0" w:color="auto"/>
                  </w:divBdr>
                  <w:divsChild>
                    <w:div w:id="1221285422">
                      <w:marLeft w:val="0"/>
                      <w:marRight w:val="0"/>
                      <w:marTop w:val="0"/>
                      <w:marBottom w:val="0"/>
                      <w:divBdr>
                        <w:top w:val="none" w:sz="0" w:space="0" w:color="auto"/>
                        <w:left w:val="none" w:sz="0" w:space="0" w:color="auto"/>
                        <w:bottom w:val="none" w:sz="0" w:space="0" w:color="auto"/>
                        <w:right w:val="none" w:sz="0" w:space="0" w:color="auto"/>
                      </w:divBdr>
                    </w:div>
                  </w:divsChild>
                </w:div>
                <w:div w:id="1480996444">
                  <w:marLeft w:val="0"/>
                  <w:marRight w:val="0"/>
                  <w:marTop w:val="0"/>
                  <w:marBottom w:val="0"/>
                  <w:divBdr>
                    <w:top w:val="none" w:sz="0" w:space="0" w:color="auto"/>
                    <w:left w:val="none" w:sz="0" w:space="0" w:color="auto"/>
                    <w:bottom w:val="none" w:sz="0" w:space="0" w:color="auto"/>
                    <w:right w:val="none" w:sz="0" w:space="0" w:color="auto"/>
                  </w:divBdr>
                  <w:divsChild>
                    <w:div w:id="1859732664">
                      <w:marLeft w:val="0"/>
                      <w:marRight w:val="0"/>
                      <w:marTop w:val="0"/>
                      <w:marBottom w:val="0"/>
                      <w:divBdr>
                        <w:top w:val="none" w:sz="0" w:space="0" w:color="auto"/>
                        <w:left w:val="none" w:sz="0" w:space="0" w:color="auto"/>
                        <w:bottom w:val="none" w:sz="0" w:space="0" w:color="auto"/>
                        <w:right w:val="none" w:sz="0" w:space="0" w:color="auto"/>
                      </w:divBdr>
                    </w:div>
                  </w:divsChild>
                </w:div>
                <w:div w:id="1506744668">
                  <w:marLeft w:val="0"/>
                  <w:marRight w:val="0"/>
                  <w:marTop w:val="0"/>
                  <w:marBottom w:val="0"/>
                  <w:divBdr>
                    <w:top w:val="none" w:sz="0" w:space="0" w:color="auto"/>
                    <w:left w:val="none" w:sz="0" w:space="0" w:color="auto"/>
                    <w:bottom w:val="none" w:sz="0" w:space="0" w:color="auto"/>
                    <w:right w:val="none" w:sz="0" w:space="0" w:color="auto"/>
                  </w:divBdr>
                  <w:divsChild>
                    <w:div w:id="336687611">
                      <w:marLeft w:val="0"/>
                      <w:marRight w:val="0"/>
                      <w:marTop w:val="0"/>
                      <w:marBottom w:val="0"/>
                      <w:divBdr>
                        <w:top w:val="none" w:sz="0" w:space="0" w:color="auto"/>
                        <w:left w:val="none" w:sz="0" w:space="0" w:color="auto"/>
                        <w:bottom w:val="none" w:sz="0" w:space="0" w:color="auto"/>
                        <w:right w:val="none" w:sz="0" w:space="0" w:color="auto"/>
                      </w:divBdr>
                    </w:div>
                  </w:divsChild>
                </w:div>
                <w:div w:id="1512140750">
                  <w:marLeft w:val="0"/>
                  <w:marRight w:val="0"/>
                  <w:marTop w:val="0"/>
                  <w:marBottom w:val="0"/>
                  <w:divBdr>
                    <w:top w:val="none" w:sz="0" w:space="0" w:color="auto"/>
                    <w:left w:val="none" w:sz="0" w:space="0" w:color="auto"/>
                    <w:bottom w:val="none" w:sz="0" w:space="0" w:color="auto"/>
                    <w:right w:val="none" w:sz="0" w:space="0" w:color="auto"/>
                  </w:divBdr>
                  <w:divsChild>
                    <w:div w:id="301497055">
                      <w:marLeft w:val="0"/>
                      <w:marRight w:val="0"/>
                      <w:marTop w:val="0"/>
                      <w:marBottom w:val="0"/>
                      <w:divBdr>
                        <w:top w:val="none" w:sz="0" w:space="0" w:color="auto"/>
                        <w:left w:val="none" w:sz="0" w:space="0" w:color="auto"/>
                        <w:bottom w:val="none" w:sz="0" w:space="0" w:color="auto"/>
                        <w:right w:val="none" w:sz="0" w:space="0" w:color="auto"/>
                      </w:divBdr>
                    </w:div>
                  </w:divsChild>
                </w:div>
                <w:div w:id="1530070800">
                  <w:marLeft w:val="0"/>
                  <w:marRight w:val="0"/>
                  <w:marTop w:val="0"/>
                  <w:marBottom w:val="0"/>
                  <w:divBdr>
                    <w:top w:val="none" w:sz="0" w:space="0" w:color="auto"/>
                    <w:left w:val="none" w:sz="0" w:space="0" w:color="auto"/>
                    <w:bottom w:val="none" w:sz="0" w:space="0" w:color="auto"/>
                    <w:right w:val="none" w:sz="0" w:space="0" w:color="auto"/>
                  </w:divBdr>
                  <w:divsChild>
                    <w:div w:id="865602066">
                      <w:marLeft w:val="0"/>
                      <w:marRight w:val="0"/>
                      <w:marTop w:val="0"/>
                      <w:marBottom w:val="0"/>
                      <w:divBdr>
                        <w:top w:val="none" w:sz="0" w:space="0" w:color="auto"/>
                        <w:left w:val="none" w:sz="0" w:space="0" w:color="auto"/>
                        <w:bottom w:val="none" w:sz="0" w:space="0" w:color="auto"/>
                        <w:right w:val="none" w:sz="0" w:space="0" w:color="auto"/>
                      </w:divBdr>
                    </w:div>
                  </w:divsChild>
                </w:div>
                <w:div w:id="1537816983">
                  <w:marLeft w:val="0"/>
                  <w:marRight w:val="0"/>
                  <w:marTop w:val="0"/>
                  <w:marBottom w:val="0"/>
                  <w:divBdr>
                    <w:top w:val="none" w:sz="0" w:space="0" w:color="auto"/>
                    <w:left w:val="none" w:sz="0" w:space="0" w:color="auto"/>
                    <w:bottom w:val="none" w:sz="0" w:space="0" w:color="auto"/>
                    <w:right w:val="none" w:sz="0" w:space="0" w:color="auto"/>
                  </w:divBdr>
                  <w:divsChild>
                    <w:div w:id="539754765">
                      <w:marLeft w:val="0"/>
                      <w:marRight w:val="0"/>
                      <w:marTop w:val="0"/>
                      <w:marBottom w:val="0"/>
                      <w:divBdr>
                        <w:top w:val="none" w:sz="0" w:space="0" w:color="auto"/>
                        <w:left w:val="none" w:sz="0" w:space="0" w:color="auto"/>
                        <w:bottom w:val="none" w:sz="0" w:space="0" w:color="auto"/>
                        <w:right w:val="none" w:sz="0" w:space="0" w:color="auto"/>
                      </w:divBdr>
                    </w:div>
                  </w:divsChild>
                </w:div>
                <w:div w:id="1552156515">
                  <w:marLeft w:val="0"/>
                  <w:marRight w:val="0"/>
                  <w:marTop w:val="0"/>
                  <w:marBottom w:val="0"/>
                  <w:divBdr>
                    <w:top w:val="none" w:sz="0" w:space="0" w:color="auto"/>
                    <w:left w:val="none" w:sz="0" w:space="0" w:color="auto"/>
                    <w:bottom w:val="none" w:sz="0" w:space="0" w:color="auto"/>
                    <w:right w:val="none" w:sz="0" w:space="0" w:color="auto"/>
                  </w:divBdr>
                  <w:divsChild>
                    <w:div w:id="497692681">
                      <w:marLeft w:val="0"/>
                      <w:marRight w:val="0"/>
                      <w:marTop w:val="0"/>
                      <w:marBottom w:val="0"/>
                      <w:divBdr>
                        <w:top w:val="none" w:sz="0" w:space="0" w:color="auto"/>
                        <w:left w:val="none" w:sz="0" w:space="0" w:color="auto"/>
                        <w:bottom w:val="none" w:sz="0" w:space="0" w:color="auto"/>
                        <w:right w:val="none" w:sz="0" w:space="0" w:color="auto"/>
                      </w:divBdr>
                    </w:div>
                  </w:divsChild>
                </w:div>
                <w:div w:id="1555580785">
                  <w:marLeft w:val="0"/>
                  <w:marRight w:val="0"/>
                  <w:marTop w:val="0"/>
                  <w:marBottom w:val="0"/>
                  <w:divBdr>
                    <w:top w:val="none" w:sz="0" w:space="0" w:color="auto"/>
                    <w:left w:val="none" w:sz="0" w:space="0" w:color="auto"/>
                    <w:bottom w:val="none" w:sz="0" w:space="0" w:color="auto"/>
                    <w:right w:val="none" w:sz="0" w:space="0" w:color="auto"/>
                  </w:divBdr>
                  <w:divsChild>
                    <w:div w:id="360594272">
                      <w:marLeft w:val="0"/>
                      <w:marRight w:val="0"/>
                      <w:marTop w:val="0"/>
                      <w:marBottom w:val="0"/>
                      <w:divBdr>
                        <w:top w:val="none" w:sz="0" w:space="0" w:color="auto"/>
                        <w:left w:val="none" w:sz="0" w:space="0" w:color="auto"/>
                        <w:bottom w:val="none" w:sz="0" w:space="0" w:color="auto"/>
                        <w:right w:val="none" w:sz="0" w:space="0" w:color="auto"/>
                      </w:divBdr>
                    </w:div>
                  </w:divsChild>
                </w:div>
                <w:div w:id="1564560305">
                  <w:marLeft w:val="0"/>
                  <w:marRight w:val="0"/>
                  <w:marTop w:val="0"/>
                  <w:marBottom w:val="0"/>
                  <w:divBdr>
                    <w:top w:val="none" w:sz="0" w:space="0" w:color="auto"/>
                    <w:left w:val="none" w:sz="0" w:space="0" w:color="auto"/>
                    <w:bottom w:val="none" w:sz="0" w:space="0" w:color="auto"/>
                    <w:right w:val="none" w:sz="0" w:space="0" w:color="auto"/>
                  </w:divBdr>
                  <w:divsChild>
                    <w:div w:id="1308168913">
                      <w:marLeft w:val="0"/>
                      <w:marRight w:val="0"/>
                      <w:marTop w:val="0"/>
                      <w:marBottom w:val="0"/>
                      <w:divBdr>
                        <w:top w:val="none" w:sz="0" w:space="0" w:color="auto"/>
                        <w:left w:val="none" w:sz="0" w:space="0" w:color="auto"/>
                        <w:bottom w:val="none" w:sz="0" w:space="0" w:color="auto"/>
                        <w:right w:val="none" w:sz="0" w:space="0" w:color="auto"/>
                      </w:divBdr>
                    </w:div>
                  </w:divsChild>
                </w:div>
                <w:div w:id="1603104305">
                  <w:marLeft w:val="0"/>
                  <w:marRight w:val="0"/>
                  <w:marTop w:val="0"/>
                  <w:marBottom w:val="0"/>
                  <w:divBdr>
                    <w:top w:val="none" w:sz="0" w:space="0" w:color="auto"/>
                    <w:left w:val="none" w:sz="0" w:space="0" w:color="auto"/>
                    <w:bottom w:val="none" w:sz="0" w:space="0" w:color="auto"/>
                    <w:right w:val="none" w:sz="0" w:space="0" w:color="auto"/>
                  </w:divBdr>
                  <w:divsChild>
                    <w:div w:id="1233352444">
                      <w:marLeft w:val="0"/>
                      <w:marRight w:val="0"/>
                      <w:marTop w:val="0"/>
                      <w:marBottom w:val="0"/>
                      <w:divBdr>
                        <w:top w:val="none" w:sz="0" w:space="0" w:color="auto"/>
                        <w:left w:val="none" w:sz="0" w:space="0" w:color="auto"/>
                        <w:bottom w:val="none" w:sz="0" w:space="0" w:color="auto"/>
                        <w:right w:val="none" w:sz="0" w:space="0" w:color="auto"/>
                      </w:divBdr>
                    </w:div>
                  </w:divsChild>
                </w:div>
                <w:div w:id="1634553704">
                  <w:marLeft w:val="0"/>
                  <w:marRight w:val="0"/>
                  <w:marTop w:val="0"/>
                  <w:marBottom w:val="0"/>
                  <w:divBdr>
                    <w:top w:val="none" w:sz="0" w:space="0" w:color="auto"/>
                    <w:left w:val="none" w:sz="0" w:space="0" w:color="auto"/>
                    <w:bottom w:val="none" w:sz="0" w:space="0" w:color="auto"/>
                    <w:right w:val="none" w:sz="0" w:space="0" w:color="auto"/>
                  </w:divBdr>
                  <w:divsChild>
                    <w:div w:id="480467013">
                      <w:marLeft w:val="0"/>
                      <w:marRight w:val="0"/>
                      <w:marTop w:val="0"/>
                      <w:marBottom w:val="0"/>
                      <w:divBdr>
                        <w:top w:val="none" w:sz="0" w:space="0" w:color="auto"/>
                        <w:left w:val="none" w:sz="0" w:space="0" w:color="auto"/>
                        <w:bottom w:val="none" w:sz="0" w:space="0" w:color="auto"/>
                        <w:right w:val="none" w:sz="0" w:space="0" w:color="auto"/>
                      </w:divBdr>
                    </w:div>
                  </w:divsChild>
                </w:div>
                <w:div w:id="1650598652">
                  <w:marLeft w:val="0"/>
                  <w:marRight w:val="0"/>
                  <w:marTop w:val="0"/>
                  <w:marBottom w:val="0"/>
                  <w:divBdr>
                    <w:top w:val="none" w:sz="0" w:space="0" w:color="auto"/>
                    <w:left w:val="none" w:sz="0" w:space="0" w:color="auto"/>
                    <w:bottom w:val="none" w:sz="0" w:space="0" w:color="auto"/>
                    <w:right w:val="none" w:sz="0" w:space="0" w:color="auto"/>
                  </w:divBdr>
                  <w:divsChild>
                    <w:div w:id="1495758228">
                      <w:marLeft w:val="0"/>
                      <w:marRight w:val="0"/>
                      <w:marTop w:val="0"/>
                      <w:marBottom w:val="0"/>
                      <w:divBdr>
                        <w:top w:val="none" w:sz="0" w:space="0" w:color="auto"/>
                        <w:left w:val="none" w:sz="0" w:space="0" w:color="auto"/>
                        <w:bottom w:val="none" w:sz="0" w:space="0" w:color="auto"/>
                        <w:right w:val="none" w:sz="0" w:space="0" w:color="auto"/>
                      </w:divBdr>
                    </w:div>
                  </w:divsChild>
                </w:div>
                <w:div w:id="1660421522">
                  <w:marLeft w:val="0"/>
                  <w:marRight w:val="0"/>
                  <w:marTop w:val="0"/>
                  <w:marBottom w:val="0"/>
                  <w:divBdr>
                    <w:top w:val="none" w:sz="0" w:space="0" w:color="auto"/>
                    <w:left w:val="none" w:sz="0" w:space="0" w:color="auto"/>
                    <w:bottom w:val="none" w:sz="0" w:space="0" w:color="auto"/>
                    <w:right w:val="none" w:sz="0" w:space="0" w:color="auto"/>
                  </w:divBdr>
                  <w:divsChild>
                    <w:div w:id="210074388">
                      <w:marLeft w:val="0"/>
                      <w:marRight w:val="0"/>
                      <w:marTop w:val="0"/>
                      <w:marBottom w:val="0"/>
                      <w:divBdr>
                        <w:top w:val="none" w:sz="0" w:space="0" w:color="auto"/>
                        <w:left w:val="none" w:sz="0" w:space="0" w:color="auto"/>
                        <w:bottom w:val="none" w:sz="0" w:space="0" w:color="auto"/>
                        <w:right w:val="none" w:sz="0" w:space="0" w:color="auto"/>
                      </w:divBdr>
                    </w:div>
                  </w:divsChild>
                </w:div>
                <w:div w:id="1691056860">
                  <w:marLeft w:val="0"/>
                  <w:marRight w:val="0"/>
                  <w:marTop w:val="0"/>
                  <w:marBottom w:val="0"/>
                  <w:divBdr>
                    <w:top w:val="none" w:sz="0" w:space="0" w:color="auto"/>
                    <w:left w:val="none" w:sz="0" w:space="0" w:color="auto"/>
                    <w:bottom w:val="none" w:sz="0" w:space="0" w:color="auto"/>
                    <w:right w:val="none" w:sz="0" w:space="0" w:color="auto"/>
                  </w:divBdr>
                  <w:divsChild>
                    <w:div w:id="2119370138">
                      <w:marLeft w:val="0"/>
                      <w:marRight w:val="0"/>
                      <w:marTop w:val="0"/>
                      <w:marBottom w:val="0"/>
                      <w:divBdr>
                        <w:top w:val="none" w:sz="0" w:space="0" w:color="auto"/>
                        <w:left w:val="none" w:sz="0" w:space="0" w:color="auto"/>
                        <w:bottom w:val="none" w:sz="0" w:space="0" w:color="auto"/>
                        <w:right w:val="none" w:sz="0" w:space="0" w:color="auto"/>
                      </w:divBdr>
                    </w:div>
                  </w:divsChild>
                </w:div>
                <w:div w:id="1706637795">
                  <w:marLeft w:val="0"/>
                  <w:marRight w:val="0"/>
                  <w:marTop w:val="0"/>
                  <w:marBottom w:val="0"/>
                  <w:divBdr>
                    <w:top w:val="none" w:sz="0" w:space="0" w:color="auto"/>
                    <w:left w:val="none" w:sz="0" w:space="0" w:color="auto"/>
                    <w:bottom w:val="none" w:sz="0" w:space="0" w:color="auto"/>
                    <w:right w:val="none" w:sz="0" w:space="0" w:color="auto"/>
                  </w:divBdr>
                  <w:divsChild>
                    <w:div w:id="1243679741">
                      <w:marLeft w:val="0"/>
                      <w:marRight w:val="0"/>
                      <w:marTop w:val="0"/>
                      <w:marBottom w:val="0"/>
                      <w:divBdr>
                        <w:top w:val="none" w:sz="0" w:space="0" w:color="auto"/>
                        <w:left w:val="none" w:sz="0" w:space="0" w:color="auto"/>
                        <w:bottom w:val="none" w:sz="0" w:space="0" w:color="auto"/>
                        <w:right w:val="none" w:sz="0" w:space="0" w:color="auto"/>
                      </w:divBdr>
                    </w:div>
                  </w:divsChild>
                </w:div>
                <w:div w:id="1706754981">
                  <w:marLeft w:val="0"/>
                  <w:marRight w:val="0"/>
                  <w:marTop w:val="0"/>
                  <w:marBottom w:val="0"/>
                  <w:divBdr>
                    <w:top w:val="none" w:sz="0" w:space="0" w:color="auto"/>
                    <w:left w:val="none" w:sz="0" w:space="0" w:color="auto"/>
                    <w:bottom w:val="none" w:sz="0" w:space="0" w:color="auto"/>
                    <w:right w:val="none" w:sz="0" w:space="0" w:color="auto"/>
                  </w:divBdr>
                  <w:divsChild>
                    <w:div w:id="1079257307">
                      <w:marLeft w:val="0"/>
                      <w:marRight w:val="0"/>
                      <w:marTop w:val="0"/>
                      <w:marBottom w:val="0"/>
                      <w:divBdr>
                        <w:top w:val="none" w:sz="0" w:space="0" w:color="auto"/>
                        <w:left w:val="none" w:sz="0" w:space="0" w:color="auto"/>
                        <w:bottom w:val="none" w:sz="0" w:space="0" w:color="auto"/>
                        <w:right w:val="none" w:sz="0" w:space="0" w:color="auto"/>
                      </w:divBdr>
                    </w:div>
                  </w:divsChild>
                </w:div>
                <w:div w:id="1718434235">
                  <w:marLeft w:val="0"/>
                  <w:marRight w:val="0"/>
                  <w:marTop w:val="0"/>
                  <w:marBottom w:val="0"/>
                  <w:divBdr>
                    <w:top w:val="none" w:sz="0" w:space="0" w:color="auto"/>
                    <w:left w:val="none" w:sz="0" w:space="0" w:color="auto"/>
                    <w:bottom w:val="none" w:sz="0" w:space="0" w:color="auto"/>
                    <w:right w:val="none" w:sz="0" w:space="0" w:color="auto"/>
                  </w:divBdr>
                  <w:divsChild>
                    <w:div w:id="270087618">
                      <w:marLeft w:val="0"/>
                      <w:marRight w:val="0"/>
                      <w:marTop w:val="0"/>
                      <w:marBottom w:val="0"/>
                      <w:divBdr>
                        <w:top w:val="none" w:sz="0" w:space="0" w:color="auto"/>
                        <w:left w:val="none" w:sz="0" w:space="0" w:color="auto"/>
                        <w:bottom w:val="none" w:sz="0" w:space="0" w:color="auto"/>
                        <w:right w:val="none" w:sz="0" w:space="0" w:color="auto"/>
                      </w:divBdr>
                    </w:div>
                  </w:divsChild>
                </w:div>
                <w:div w:id="1721444090">
                  <w:marLeft w:val="0"/>
                  <w:marRight w:val="0"/>
                  <w:marTop w:val="0"/>
                  <w:marBottom w:val="0"/>
                  <w:divBdr>
                    <w:top w:val="none" w:sz="0" w:space="0" w:color="auto"/>
                    <w:left w:val="none" w:sz="0" w:space="0" w:color="auto"/>
                    <w:bottom w:val="none" w:sz="0" w:space="0" w:color="auto"/>
                    <w:right w:val="none" w:sz="0" w:space="0" w:color="auto"/>
                  </w:divBdr>
                  <w:divsChild>
                    <w:div w:id="48965694">
                      <w:marLeft w:val="0"/>
                      <w:marRight w:val="0"/>
                      <w:marTop w:val="0"/>
                      <w:marBottom w:val="0"/>
                      <w:divBdr>
                        <w:top w:val="none" w:sz="0" w:space="0" w:color="auto"/>
                        <w:left w:val="none" w:sz="0" w:space="0" w:color="auto"/>
                        <w:bottom w:val="none" w:sz="0" w:space="0" w:color="auto"/>
                        <w:right w:val="none" w:sz="0" w:space="0" w:color="auto"/>
                      </w:divBdr>
                    </w:div>
                  </w:divsChild>
                </w:div>
                <w:div w:id="1743746952">
                  <w:marLeft w:val="0"/>
                  <w:marRight w:val="0"/>
                  <w:marTop w:val="0"/>
                  <w:marBottom w:val="0"/>
                  <w:divBdr>
                    <w:top w:val="none" w:sz="0" w:space="0" w:color="auto"/>
                    <w:left w:val="none" w:sz="0" w:space="0" w:color="auto"/>
                    <w:bottom w:val="none" w:sz="0" w:space="0" w:color="auto"/>
                    <w:right w:val="none" w:sz="0" w:space="0" w:color="auto"/>
                  </w:divBdr>
                  <w:divsChild>
                    <w:div w:id="1591356382">
                      <w:marLeft w:val="0"/>
                      <w:marRight w:val="0"/>
                      <w:marTop w:val="0"/>
                      <w:marBottom w:val="0"/>
                      <w:divBdr>
                        <w:top w:val="none" w:sz="0" w:space="0" w:color="auto"/>
                        <w:left w:val="none" w:sz="0" w:space="0" w:color="auto"/>
                        <w:bottom w:val="none" w:sz="0" w:space="0" w:color="auto"/>
                        <w:right w:val="none" w:sz="0" w:space="0" w:color="auto"/>
                      </w:divBdr>
                    </w:div>
                  </w:divsChild>
                </w:div>
                <w:div w:id="1744180217">
                  <w:marLeft w:val="0"/>
                  <w:marRight w:val="0"/>
                  <w:marTop w:val="0"/>
                  <w:marBottom w:val="0"/>
                  <w:divBdr>
                    <w:top w:val="none" w:sz="0" w:space="0" w:color="auto"/>
                    <w:left w:val="none" w:sz="0" w:space="0" w:color="auto"/>
                    <w:bottom w:val="none" w:sz="0" w:space="0" w:color="auto"/>
                    <w:right w:val="none" w:sz="0" w:space="0" w:color="auto"/>
                  </w:divBdr>
                  <w:divsChild>
                    <w:div w:id="375155148">
                      <w:marLeft w:val="0"/>
                      <w:marRight w:val="0"/>
                      <w:marTop w:val="0"/>
                      <w:marBottom w:val="0"/>
                      <w:divBdr>
                        <w:top w:val="none" w:sz="0" w:space="0" w:color="auto"/>
                        <w:left w:val="none" w:sz="0" w:space="0" w:color="auto"/>
                        <w:bottom w:val="none" w:sz="0" w:space="0" w:color="auto"/>
                        <w:right w:val="none" w:sz="0" w:space="0" w:color="auto"/>
                      </w:divBdr>
                    </w:div>
                  </w:divsChild>
                </w:div>
                <w:div w:id="1779720701">
                  <w:marLeft w:val="0"/>
                  <w:marRight w:val="0"/>
                  <w:marTop w:val="0"/>
                  <w:marBottom w:val="0"/>
                  <w:divBdr>
                    <w:top w:val="none" w:sz="0" w:space="0" w:color="auto"/>
                    <w:left w:val="none" w:sz="0" w:space="0" w:color="auto"/>
                    <w:bottom w:val="none" w:sz="0" w:space="0" w:color="auto"/>
                    <w:right w:val="none" w:sz="0" w:space="0" w:color="auto"/>
                  </w:divBdr>
                  <w:divsChild>
                    <w:div w:id="321397872">
                      <w:marLeft w:val="0"/>
                      <w:marRight w:val="0"/>
                      <w:marTop w:val="0"/>
                      <w:marBottom w:val="0"/>
                      <w:divBdr>
                        <w:top w:val="none" w:sz="0" w:space="0" w:color="auto"/>
                        <w:left w:val="none" w:sz="0" w:space="0" w:color="auto"/>
                        <w:bottom w:val="none" w:sz="0" w:space="0" w:color="auto"/>
                        <w:right w:val="none" w:sz="0" w:space="0" w:color="auto"/>
                      </w:divBdr>
                    </w:div>
                  </w:divsChild>
                </w:div>
                <w:div w:id="1826386541">
                  <w:marLeft w:val="0"/>
                  <w:marRight w:val="0"/>
                  <w:marTop w:val="0"/>
                  <w:marBottom w:val="0"/>
                  <w:divBdr>
                    <w:top w:val="none" w:sz="0" w:space="0" w:color="auto"/>
                    <w:left w:val="none" w:sz="0" w:space="0" w:color="auto"/>
                    <w:bottom w:val="none" w:sz="0" w:space="0" w:color="auto"/>
                    <w:right w:val="none" w:sz="0" w:space="0" w:color="auto"/>
                  </w:divBdr>
                  <w:divsChild>
                    <w:div w:id="1757625768">
                      <w:marLeft w:val="0"/>
                      <w:marRight w:val="0"/>
                      <w:marTop w:val="0"/>
                      <w:marBottom w:val="0"/>
                      <w:divBdr>
                        <w:top w:val="none" w:sz="0" w:space="0" w:color="auto"/>
                        <w:left w:val="none" w:sz="0" w:space="0" w:color="auto"/>
                        <w:bottom w:val="none" w:sz="0" w:space="0" w:color="auto"/>
                        <w:right w:val="none" w:sz="0" w:space="0" w:color="auto"/>
                      </w:divBdr>
                    </w:div>
                  </w:divsChild>
                </w:div>
                <w:div w:id="1852834025">
                  <w:marLeft w:val="0"/>
                  <w:marRight w:val="0"/>
                  <w:marTop w:val="0"/>
                  <w:marBottom w:val="0"/>
                  <w:divBdr>
                    <w:top w:val="none" w:sz="0" w:space="0" w:color="auto"/>
                    <w:left w:val="none" w:sz="0" w:space="0" w:color="auto"/>
                    <w:bottom w:val="none" w:sz="0" w:space="0" w:color="auto"/>
                    <w:right w:val="none" w:sz="0" w:space="0" w:color="auto"/>
                  </w:divBdr>
                  <w:divsChild>
                    <w:div w:id="722408826">
                      <w:marLeft w:val="0"/>
                      <w:marRight w:val="0"/>
                      <w:marTop w:val="0"/>
                      <w:marBottom w:val="0"/>
                      <w:divBdr>
                        <w:top w:val="none" w:sz="0" w:space="0" w:color="auto"/>
                        <w:left w:val="none" w:sz="0" w:space="0" w:color="auto"/>
                        <w:bottom w:val="none" w:sz="0" w:space="0" w:color="auto"/>
                        <w:right w:val="none" w:sz="0" w:space="0" w:color="auto"/>
                      </w:divBdr>
                    </w:div>
                  </w:divsChild>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124005949">
                      <w:marLeft w:val="0"/>
                      <w:marRight w:val="0"/>
                      <w:marTop w:val="0"/>
                      <w:marBottom w:val="0"/>
                      <w:divBdr>
                        <w:top w:val="none" w:sz="0" w:space="0" w:color="auto"/>
                        <w:left w:val="none" w:sz="0" w:space="0" w:color="auto"/>
                        <w:bottom w:val="none" w:sz="0" w:space="0" w:color="auto"/>
                        <w:right w:val="none" w:sz="0" w:space="0" w:color="auto"/>
                      </w:divBdr>
                    </w:div>
                  </w:divsChild>
                </w:div>
                <w:div w:id="1888374341">
                  <w:marLeft w:val="0"/>
                  <w:marRight w:val="0"/>
                  <w:marTop w:val="0"/>
                  <w:marBottom w:val="0"/>
                  <w:divBdr>
                    <w:top w:val="none" w:sz="0" w:space="0" w:color="auto"/>
                    <w:left w:val="none" w:sz="0" w:space="0" w:color="auto"/>
                    <w:bottom w:val="none" w:sz="0" w:space="0" w:color="auto"/>
                    <w:right w:val="none" w:sz="0" w:space="0" w:color="auto"/>
                  </w:divBdr>
                  <w:divsChild>
                    <w:div w:id="627247695">
                      <w:marLeft w:val="0"/>
                      <w:marRight w:val="0"/>
                      <w:marTop w:val="0"/>
                      <w:marBottom w:val="0"/>
                      <w:divBdr>
                        <w:top w:val="none" w:sz="0" w:space="0" w:color="auto"/>
                        <w:left w:val="none" w:sz="0" w:space="0" w:color="auto"/>
                        <w:bottom w:val="none" w:sz="0" w:space="0" w:color="auto"/>
                        <w:right w:val="none" w:sz="0" w:space="0" w:color="auto"/>
                      </w:divBdr>
                    </w:div>
                  </w:divsChild>
                </w:div>
                <w:div w:id="1905480675">
                  <w:marLeft w:val="0"/>
                  <w:marRight w:val="0"/>
                  <w:marTop w:val="0"/>
                  <w:marBottom w:val="0"/>
                  <w:divBdr>
                    <w:top w:val="none" w:sz="0" w:space="0" w:color="auto"/>
                    <w:left w:val="none" w:sz="0" w:space="0" w:color="auto"/>
                    <w:bottom w:val="none" w:sz="0" w:space="0" w:color="auto"/>
                    <w:right w:val="none" w:sz="0" w:space="0" w:color="auto"/>
                  </w:divBdr>
                  <w:divsChild>
                    <w:div w:id="56436995">
                      <w:marLeft w:val="0"/>
                      <w:marRight w:val="0"/>
                      <w:marTop w:val="0"/>
                      <w:marBottom w:val="0"/>
                      <w:divBdr>
                        <w:top w:val="none" w:sz="0" w:space="0" w:color="auto"/>
                        <w:left w:val="none" w:sz="0" w:space="0" w:color="auto"/>
                        <w:bottom w:val="none" w:sz="0" w:space="0" w:color="auto"/>
                        <w:right w:val="none" w:sz="0" w:space="0" w:color="auto"/>
                      </w:divBdr>
                    </w:div>
                  </w:divsChild>
                </w:div>
                <w:div w:id="1909148221">
                  <w:marLeft w:val="0"/>
                  <w:marRight w:val="0"/>
                  <w:marTop w:val="0"/>
                  <w:marBottom w:val="0"/>
                  <w:divBdr>
                    <w:top w:val="none" w:sz="0" w:space="0" w:color="auto"/>
                    <w:left w:val="none" w:sz="0" w:space="0" w:color="auto"/>
                    <w:bottom w:val="none" w:sz="0" w:space="0" w:color="auto"/>
                    <w:right w:val="none" w:sz="0" w:space="0" w:color="auto"/>
                  </w:divBdr>
                  <w:divsChild>
                    <w:div w:id="217517573">
                      <w:marLeft w:val="0"/>
                      <w:marRight w:val="0"/>
                      <w:marTop w:val="0"/>
                      <w:marBottom w:val="0"/>
                      <w:divBdr>
                        <w:top w:val="none" w:sz="0" w:space="0" w:color="auto"/>
                        <w:left w:val="none" w:sz="0" w:space="0" w:color="auto"/>
                        <w:bottom w:val="none" w:sz="0" w:space="0" w:color="auto"/>
                        <w:right w:val="none" w:sz="0" w:space="0" w:color="auto"/>
                      </w:divBdr>
                    </w:div>
                  </w:divsChild>
                </w:div>
                <w:div w:id="1918513701">
                  <w:marLeft w:val="0"/>
                  <w:marRight w:val="0"/>
                  <w:marTop w:val="0"/>
                  <w:marBottom w:val="0"/>
                  <w:divBdr>
                    <w:top w:val="none" w:sz="0" w:space="0" w:color="auto"/>
                    <w:left w:val="none" w:sz="0" w:space="0" w:color="auto"/>
                    <w:bottom w:val="none" w:sz="0" w:space="0" w:color="auto"/>
                    <w:right w:val="none" w:sz="0" w:space="0" w:color="auto"/>
                  </w:divBdr>
                  <w:divsChild>
                    <w:div w:id="1886722920">
                      <w:marLeft w:val="0"/>
                      <w:marRight w:val="0"/>
                      <w:marTop w:val="0"/>
                      <w:marBottom w:val="0"/>
                      <w:divBdr>
                        <w:top w:val="none" w:sz="0" w:space="0" w:color="auto"/>
                        <w:left w:val="none" w:sz="0" w:space="0" w:color="auto"/>
                        <w:bottom w:val="none" w:sz="0" w:space="0" w:color="auto"/>
                        <w:right w:val="none" w:sz="0" w:space="0" w:color="auto"/>
                      </w:divBdr>
                    </w:div>
                  </w:divsChild>
                </w:div>
                <w:div w:id="1928878834">
                  <w:marLeft w:val="0"/>
                  <w:marRight w:val="0"/>
                  <w:marTop w:val="0"/>
                  <w:marBottom w:val="0"/>
                  <w:divBdr>
                    <w:top w:val="none" w:sz="0" w:space="0" w:color="auto"/>
                    <w:left w:val="none" w:sz="0" w:space="0" w:color="auto"/>
                    <w:bottom w:val="none" w:sz="0" w:space="0" w:color="auto"/>
                    <w:right w:val="none" w:sz="0" w:space="0" w:color="auto"/>
                  </w:divBdr>
                  <w:divsChild>
                    <w:div w:id="508645121">
                      <w:marLeft w:val="0"/>
                      <w:marRight w:val="0"/>
                      <w:marTop w:val="0"/>
                      <w:marBottom w:val="0"/>
                      <w:divBdr>
                        <w:top w:val="none" w:sz="0" w:space="0" w:color="auto"/>
                        <w:left w:val="none" w:sz="0" w:space="0" w:color="auto"/>
                        <w:bottom w:val="none" w:sz="0" w:space="0" w:color="auto"/>
                        <w:right w:val="none" w:sz="0" w:space="0" w:color="auto"/>
                      </w:divBdr>
                    </w:div>
                  </w:divsChild>
                </w:div>
                <w:div w:id="1960909663">
                  <w:marLeft w:val="0"/>
                  <w:marRight w:val="0"/>
                  <w:marTop w:val="0"/>
                  <w:marBottom w:val="0"/>
                  <w:divBdr>
                    <w:top w:val="none" w:sz="0" w:space="0" w:color="auto"/>
                    <w:left w:val="none" w:sz="0" w:space="0" w:color="auto"/>
                    <w:bottom w:val="none" w:sz="0" w:space="0" w:color="auto"/>
                    <w:right w:val="none" w:sz="0" w:space="0" w:color="auto"/>
                  </w:divBdr>
                  <w:divsChild>
                    <w:div w:id="168638277">
                      <w:marLeft w:val="0"/>
                      <w:marRight w:val="0"/>
                      <w:marTop w:val="0"/>
                      <w:marBottom w:val="0"/>
                      <w:divBdr>
                        <w:top w:val="none" w:sz="0" w:space="0" w:color="auto"/>
                        <w:left w:val="none" w:sz="0" w:space="0" w:color="auto"/>
                        <w:bottom w:val="none" w:sz="0" w:space="0" w:color="auto"/>
                        <w:right w:val="none" w:sz="0" w:space="0" w:color="auto"/>
                      </w:divBdr>
                    </w:div>
                  </w:divsChild>
                </w:div>
                <w:div w:id="1974753276">
                  <w:marLeft w:val="0"/>
                  <w:marRight w:val="0"/>
                  <w:marTop w:val="0"/>
                  <w:marBottom w:val="0"/>
                  <w:divBdr>
                    <w:top w:val="none" w:sz="0" w:space="0" w:color="auto"/>
                    <w:left w:val="none" w:sz="0" w:space="0" w:color="auto"/>
                    <w:bottom w:val="none" w:sz="0" w:space="0" w:color="auto"/>
                    <w:right w:val="none" w:sz="0" w:space="0" w:color="auto"/>
                  </w:divBdr>
                  <w:divsChild>
                    <w:div w:id="2047635854">
                      <w:marLeft w:val="0"/>
                      <w:marRight w:val="0"/>
                      <w:marTop w:val="0"/>
                      <w:marBottom w:val="0"/>
                      <w:divBdr>
                        <w:top w:val="none" w:sz="0" w:space="0" w:color="auto"/>
                        <w:left w:val="none" w:sz="0" w:space="0" w:color="auto"/>
                        <w:bottom w:val="none" w:sz="0" w:space="0" w:color="auto"/>
                        <w:right w:val="none" w:sz="0" w:space="0" w:color="auto"/>
                      </w:divBdr>
                    </w:div>
                  </w:divsChild>
                </w:div>
                <w:div w:id="1985038627">
                  <w:marLeft w:val="0"/>
                  <w:marRight w:val="0"/>
                  <w:marTop w:val="0"/>
                  <w:marBottom w:val="0"/>
                  <w:divBdr>
                    <w:top w:val="none" w:sz="0" w:space="0" w:color="auto"/>
                    <w:left w:val="none" w:sz="0" w:space="0" w:color="auto"/>
                    <w:bottom w:val="none" w:sz="0" w:space="0" w:color="auto"/>
                    <w:right w:val="none" w:sz="0" w:space="0" w:color="auto"/>
                  </w:divBdr>
                  <w:divsChild>
                    <w:div w:id="1478842514">
                      <w:marLeft w:val="0"/>
                      <w:marRight w:val="0"/>
                      <w:marTop w:val="0"/>
                      <w:marBottom w:val="0"/>
                      <w:divBdr>
                        <w:top w:val="none" w:sz="0" w:space="0" w:color="auto"/>
                        <w:left w:val="none" w:sz="0" w:space="0" w:color="auto"/>
                        <w:bottom w:val="none" w:sz="0" w:space="0" w:color="auto"/>
                        <w:right w:val="none" w:sz="0" w:space="0" w:color="auto"/>
                      </w:divBdr>
                    </w:div>
                  </w:divsChild>
                </w:div>
                <w:div w:id="2016764378">
                  <w:marLeft w:val="0"/>
                  <w:marRight w:val="0"/>
                  <w:marTop w:val="0"/>
                  <w:marBottom w:val="0"/>
                  <w:divBdr>
                    <w:top w:val="none" w:sz="0" w:space="0" w:color="auto"/>
                    <w:left w:val="none" w:sz="0" w:space="0" w:color="auto"/>
                    <w:bottom w:val="none" w:sz="0" w:space="0" w:color="auto"/>
                    <w:right w:val="none" w:sz="0" w:space="0" w:color="auto"/>
                  </w:divBdr>
                  <w:divsChild>
                    <w:div w:id="1298873238">
                      <w:marLeft w:val="0"/>
                      <w:marRight w:val="0"/>
                      <w:marTop w:val="0"/>
                      <w:marBottom w:val="0"/>
                      <w:divBdr>
                        <w:top w:val="none" w:sz="0" w:space="0" w:color="auto"/>
                        <w:left w:val="none" w:sz="0" w:space="0" w:color="auto"/>
                        <w:bottom w:val="none" w:sz="0" w:space="0" w:color="auto"/>
                        <w:right w:val="none" w:sz="0" w:space="0" w:color="auto"/>
                      </w:divBdr>
                    </w:div>
                  </w:divsChild>
                </w:div>
                <w:div w:id="2017686440">
                  <w:marLeft w:val="0"/>
                  <w:marRight w:val="0"/>
                  <w:marTop w:val="0"/>
                  <w:marBottom w:val="0"/>
                  <w:divBdr>
                    <w:top w:val="none" w:sz="0" w:space="0" w:color="auto"/>
                    <w:left w:val="none" w:sz="0" w:space="0" w:color="auto"/>
                    <w:bottom w:val="none" w:sz="0" w:space="0" w:color="auto"/>
                    <w:right w:val="none" w:sz="0" w:space="0" w:color="auto"/>
                  </w:divBdr>
                  <w:divsChild>
                    <w:div w:id="639576480">
                      <w:marLeft w:val="0"/>
                      <w:marRight w:val="0"/>
                      <w:marTop w:val="0"/>
                      <w:marBottom w:val="0"/>
                      <w:divBdr>
                        <w:top w:val="none" w:sz="0" w:space="0" w:color="auto"/>
                        <w:left w:val="none" w:sz="0" w:space="0" w:color="auto"/>
                        <w:bottom w:val="none" w:sz="0" w:space="0" w:color="auto"/>
                        <w:right w:val="none" w:sz="0" w:space="0" w:color="auto"/>
                      </w:divBdr>
                    </w:div>
                  </w:divsChild>
                </w:div>
                <w:div w:id="2090803635">
                  <w:marLeft w:val="0"/>
                  <w:marRight w:val="0"/>
                  <w:marTop w:val="0"/>
                  <w:marBottom w:val="0"/>
                  <w:divBdr>
                    <w:top w:val="none" w:sz="0" w:space="0" w:color="auto"/>
                    <w:left w:val="none" w:sz="0" w:space="0" w:color="auto"/>
                    <w:bottom w:val="none" w:sz="0" w:space="0" w:color="auto"/>
                    <w:right w:val="none" w:sz="0" w:space="0" w:color="auto"/>
                  </w:divBdr>
                  <w:divsChild>
                    <w:div w:id="1585190993">
                      <w:marLeft w:val="0"/>
                      <w:marRight w:val="0"/>
                      <w:marTop w:val="0"/>
                      <w:marBottom w:val="0"/>
                      <w:divBdr>
                        <w:top w:val="none" w:sz="0" w:space="0" w:color="auto"/>
                        <w:left w:val="none" w:sz="0" w:space="0" w:color="auto"/>
                        <w:bottom w:val="none" w:sz="0" w:space="0" w:color="auto"/>
                        <w:right w:val="none" w:sz="0" w:space="0" w:color="auto"/>
                      </w:divBdr>
                    </w:div>
                  </w:divsChild>
                </w:div>
                <w:div w:id="2095471302">
                  <w:marLeft w:val="0"/>
                  <w:marRight w:val="0"/>
                  <w:marTop w:val="0"/>
                  <w:marBottom w:val="0"/>
                  <w:divBdr>
                    <w:top w:val="none" w:sz="0" w:space="0" w:color="auto"/>
                    <w:left w:val="none" w:sz="0" w:space="0" w:color="auto"/>
                    <w:bottom w:val="none" w:sz="0" w:space="0" w:color="auto"/>
                    <w:right w:val="none" w:sz="0" w:space="0" w:color="auto"/>
                  </w:divBdr>
                  <w:divsChild>
                    <w:div w:id="586113167">
                      <w:marLeft w:val="0"/>
                      <w:marRight w:val="0"/>
                      <w:marTop w:val="0"/>
                      <w:marBottom w:val="0"/>
                      <w:divBdr>
                        <w:top w:val="none" w:sz="0" w:space="0" w:color="auto"/>
                        <w:left w:val="none" w:sz="0" w:space="0" w:color="auto"/>
                        <w:bottom w:val="none" w:sz="0" w:space="0" w:color="auto"/>
                        <w:right w:val="none" w:sz="0" w:space="0" w:color="auto"/>
                      </w:divBdr>
                    </w:div>
                  </w:divsChild>
                </w:div>
                <w:div w:id="2100128424">
                  <w:marLeft w:val="0"/>
                  <w:marRight w:val="0"/>
                  <w:marTop w:val="0"/>
                  <w:marBottom w:val="0"/>
                  <w:divBdr>
                    <w:top w:val="none" w:sz="0" w:space="0" w:color="auto"/>
                    <w:left w:val="none" w:sz="0" w:space="0" w:color="auto"/>
                    <w:bottom w:val="none" w:sz="0" w:space="0" w:color="auto"/>
                    <w:right w:val="none" w:sz="0" w:space="0" w:color="auto"/>
                  </w:divBdr>
                  <w:divsChild>
                    <w:div w:id="223298478">
                      <w:marLeft w:val="0"/>
                      <w:marRight w:val="0"/>
                      <w:marTop w:val="0"/>
                      <w:marBottom w:val="0"/>
                      <w:divBdr>
                        <w:top w:val="none" w:sz="0" w:space="0" w:color="auto"/>
                        <w:left w:val="none" w:sz="0" w:space="0" w:color="auto"/>
                        <w:bottom w:val="none" w:sz="0" w:space="0" w:color="auto"/>
                        <w:right w:val="none" w:sz="0" w:space="0" w:color="auto"/>
                      </w:divBdr>
                    </w:div>
                  </w:divsChild>
                </w:div>
                <w:div w:id="2105959225">
                  <w:marLeft w:val="0"/>
                  <w:marRight w:val="0"/>
                  <w:marTop w:val="0"/>
                  <w:marBottom w:val="0"/>
                  <w:divBdr>
                    <w:top w:val="none" w:sz="0" w:space="0" w:color="auto"/>
                    <w:left w:val="none" w:sz="0" w:space="0" w:color="auto"/>
                    <w:bottom w:val="none" w:sz="0" w:space="0" w:color="auto"/>
                    <w:right w:val="none" w:sz="0" w:space="0" w:color="auto"/>
                  </w:divBdr>
                  <w:divsChild>
                    <w:div w:id="1185705665">
                      <w:marLeft w:val="0"/>
                      <w:marRight w:val="0"/>
                      <w:marTop w:val="0"/>
                      <w:marBottom w:val="0"/>
                      <w:divBdr>
                        <w:top w:val="none" w:sz="0" w:space="0" w:color="auto"/>
                        <w:left w:val="none" w:sz="0" w:space="0" w:color="auto"/>
                        <w:bottom w:val="none" w:sz="0" w:space="0" w:color="auto"/>
                        <w:right w:val="none" w:sz="0" w:space="0" w:color="auto"/>
                      </w:divBdr>
                    </w:div>
                  </w:divsChild>
                </w:div>
                <w:div w:id="2134054809">
                  <w:marLeft w:val="0"/>
                  <w:marRight w:val="0"/>
                  <w:marTop w:val="0"/>
                  <w:marBottom w:val="0"/>
                  <w:divBdr>
                    <w:top w:val="none" w:sz="0" w:space="0" w:color="auto"/>
                    <w:left w:val="none" w:sz="0" w:space="0" w:color="auto"/>
                    <w:bottom w:val="none" w:sz="0" w:space="0" w:color="auto"/>
                    <w:right w:val="none" w:sz="0" w:space="0" w:color="auto"/>
                  </w:divBdr>
                  <w:divsChild>
                    <w:div w:id="318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3334">
          <w:marLeft w:val="0"/>
          <w:marRight w:val="0"/>
          <w:marTop w:val="0"/>
          <w:marBottom w:val="0"/>
          <w:divBdr>
            <w:top w:val="none" w:sz="0" w:space="0" w:color="auto"/>
            <w:left w:val="none" w:sz="0" w:space="0" w:color="auto"/>
            <w:bottom w:val="none" w:sz="0" w:space="0" w:color="auto"/>
            <w:right w:val="none" w:sz="0" w:space="0" w:color="auto"/>
          </w:divBdr>
        </w:div>
      </w:divsChild>
    </w:div>
    <w:div w:id="397821448">
      <w:bodyDiv w:val="1"/>
      <w:marLeft w:val="0"/>
      <w:marRight w:val="0"/>
      <w:marTop w:val="0"/>
      <w:marBottom w:val="0"/>
      <w:divBdr>
        <w:top w:val="none" w:sz="0" w:space="0" w:color="auto"/>
        <w:left w:val="none" w:sz="0" w:space="0" w:color="auto"/>
        <w:bottom w:val="none" w:sz="0" w:space="0" w:color="auto"/>
        <w:right w:val="none" w:sz="0" w:space="0" w:color="auto"/>
      </w:divBdr>
    </w:div>
    <w:div w:id="404113424">
      <w:bodyDiv w:val="1"/>
      <w:marLeft w:val="0"/>
      <w:marRight w:val="0"/>
      <w:marTop w:val="0"/>
      <w:marBottom w:val="0"/>
      <w:divBdr>
        <w:top w:val="none" w:sz="0" w:space="0" w:color="auto"/>
        <w:left w:val="none" w:sz="0" w:space="0" w:color="auto"/>
        <w:bottom w:val="none" w:sz="0" w:space="0" w:color="auto"/>
        <w:right w:val="none" w:sz="0" w:space="0" w:color="auto"/>
      </w:divBdr>
    </w:div>
    <w:div w:id="495073889">
      <w:bodyDiv w:val="1"/>
      <w:marLeft w:val="0"/>
      <w:marRight w:val="0"/>
      <w:marTop w:val="0"/>
      <w:marBottom w:val="0"/>
      <w:divBdr>
        <w:top w:val="none" w:sz="0" w:space="0" w:color="auto"/>
        <w:left w:val="none" w:sz="0" w:space="0" w:color="auto"/>
        <w:bottom w:val="none" w:sz="0" w:space="0" w:color="auto"/>
        <w:right w:val="none" w:sz="0" w:space="0" w:color="auto"/>
      </w:divBdr>
      <w:divsChild>
        <w:div w:id="65811587">
          <w:marLeft w:val="0"/>
          <w:marRight w:val="0"/>
          <w:marTop w:val="0"/>
          <w:marBottom w:val="0"/>
          <w:divBdr>
            <w:top w:val="none" w:sz="0" w:space="0" w:color="auto"/>
            <w:left w:val="none" w:sz="0" w:space="0" w:color="auto"/>
            <w:bottom w:val="none" w:sz="0" w:space="0" w:color="auto"/>
            <w:right w:val="none" w:sz="0" w:space="0" w:color="auto"/>
          </w:divBdr>
        </w:div>
        <w:div w:id="1136144278">
          <w:marLeft w:val="0"/>
          <w:marRight w:val="0"/>
          <w:marTop w:val="0"/>
          <w:marBottom w:val="0"/>
          <w:divBdr>
            <w:top w:val="none" w:sz="0" w:space="0" w:color="auto"/>
            <w:left w:val="none" w:sz="0" w:space="0" w:color="auto"/>
            <w:bottom w:val="none" w:sz="0" w:space="0" w:color="auto"/>
            <w:right w:val="none" w:sz="0" w:space="0" w:color="auto"/>
          </w:divBdr>
        </w:div>
        <w:div w:id="1883665021">
          <w:marLeft w:val="0"/>
          <w:marRight w:val="0"/>
          <w:marTop w:val="0"/>
          <w:marBottom w:val="0"/>
          <w:divBdr>
            <w:top w:val="none" w:sz="0" w:space="0" w:color="auto"/>
            <w:left w:val="none" w:sz="0" w:space="0" w:color="auto"/>
            <w:bottom w:val="none" w:sz="0" w:space="0" w:color="auto"/>
            <w:right w:val="none" w:sz="0" w:space="0" w:color="auto"/>
          </w:divBdr>
          <w:divsChild>
            <w:div w:id="1636330867">
              <w:marLeft w:val="-75"/>
              <w:marRight w:val="0"/>
              <w:marTop w:val="30"/>
              <w:marBottom w:val="30"/>
              <w:divBdr>
                <w:top w:val="none" w:sz="0" w:space="0" w:color="auto"/>
                <w:left w:val="none" w:sz="0" w:space="0" w:color="auto"/>
                <w:bottom w:val="none" w:sz="0" w:space="0" w:color="auto"/>
                <w:right w:val="none" w:sz="0" w:space="0" w:color="auto"/>
              </w:divBdr>
              <w:divsChild>
                <w:div w:id="35668402">
                  <w:marLeft w:val="0"/>
                  <w:marRight w:val="0"/>
                  <w:marTop w:val="0"/>
                  <w:marBottom w:val="0"/>
                  <w:divBdr>
                    <w:top w:val="none" w:sz="0" w:space="0" w:color="auto"/>
                    <w:left w:val="none" w:sz="0" w:space="0" w:color="auto"/>
                    <w:bottom w:val="none" w:sz="0" w:space="0" w:color="auto"/>
                    <w:right w:val="none" w:sz="0" w:space="0" w:color="auto"/>
                  </w:divBdr>
                  <w:divsChild>
                    <w:div w:id="729814604">
                      <w:marLeft w:val="0"/>
                      <w:marRight w:val="0"/>
                      <w:marTop w:val="0"/>
                      <w:marBottom w:val="0"/>
                      <w:divBdr>
                        <w:top w:val="none" w:sz="0" w:space="0" w:color="auto"/>
                        <w:left w:val="none" w:sz="0" w:space="0" w:color="auto"/>
                        <w:bottom w:val="none" w:sz="0" w:space="0" w:color="auto"/>
                        <w:right w:val="none" w:sz="0" w:space="0" w:color="auto"/>
                      </w:divBdr>
                    </w:div>
                  </w:divsChild>
                </w:div>
                <w:div w:id="111558355">
                  <w:marLeft w:val="0"/>
                  <w:marRight w:val="0"/>
                  <w:marTop w:val="0"/>
                  <w:marBottom w:val="0"/>
                  <w:divBdr>
                    <w:top w:val="none" w:sz="0" w:space="0" w:color="auto"/>
                    <w:left w:val="none" w:sz="0" w:space="0" w:color="auto"/>
                    <w:bottom w:val="none" w:sz="0" w:space="0" w:color="auto"/>
                    <w:right w:val="none" w:sz="0" w:space="0" w:color="auto"/>
                  </w:divBdr>
                  <w:divsChild>
                    <w:div w:id="1748728497">
                      <w:marLeft w:val="0"/>
                      <w:marRight w:val="0"/>
                      <w:marTop w:val="0"/>
                      <w:marBottom w:val="0"/>
                      <w:divBdr>
                        <w:top w:val="none" w:sz="0" w:space="0" w:color="auto"/>
                        <w:left w:val="none" w:sz="0" w:space="0" w:color="auto"/>
                        <w:bottom w:val="none" w:sz="0" w:space="0" w:color="auto"/>
                        <w:right w:val="none" w:sz="0" w:space="0" w:color="auto"/>
                      </w:divBdr>
                    </w:div>
                  </w:divsChild>
                </w:div>
                <w:div w:id="131220097">
                  <w:marLeft w:val="0"/>
                  <w:marRight w:val="0"/>
                  <w:marTop w:val="0"/>
                  <w:marBottom w:val="0"/>
                  <w:divBdr>
                    <w:top w:val="none" w:sz="0" w:space="0" w:color="auto"/>
                    <w:left w:val="none" w:sz="0" w:space="0" w:color="auto"/>
                    <w:bottom w:val="none" w:sz="0" w:space="0" w:color="auto"/>
                    <w:right w:val="none" w:sz="0" w:space="0" w:color="auto"/>
                  </w:divBdr>
                  <w:divsChild>
                    <w:div w:id="1429042364">
                      <w:marLeft w:val="0"/>
                      <w:marRight w:val="0"/>
                      <w:marTop w:val="0"/>
                      <w:marBottom w:val="0"/>
                      <w:divBdr>
                        <w:top w:val="none" w:sz="0" w:space="0" w:color="auto"/>
                        <w:left w:val="none" w:sz="0" w:space="0" w:color="auto"/>
                        <w:bottom w:val="none" w:sz="0" w:space="0" w:color="auto"/>
                        <w:right w:val="none" w:sz="0" w:space="0" w:color="auto"/>
                      </w:divBdr>
                    </w:div>
                  </w:divsChild>
                </w:div>
                <w:div w:id="140075992">
                  <w:marLeft w:val="0"/>
                  <w:marRight w:val="0"/>
                  <w:marTop w:val="0"/>
                  <w:marBottom w:val="0"/>
                  <w:divBdr>
                    <w:top w:val="none" w:sz="0" w:space="0" w:color="auto"/>
                    <w:left w:val="none" w:sz="0" w:space="0" w:color="auto"/>
                    <w:bottom w:val="none" w:sz="0" w:space="0" w:color="auto"/>
                    <w:right w:val="none" w:sz="0" w:space="0" w:color="auto"/>
                  </w:divBdr>
                  <w:divsChild>
                    <w:div w:id="331564314">
                      <w:marLeft w:val="0"/>
                      <w:marRight w:val="0"/>
                      <w:marTop w:val="0"/>
                      <w:marBottom w:val="0"/>
                      <w:divBdr>
                        <w:top w:val="none" w:sz="0" w:space="0" w:color="auto"/>
                        <w:left w:val="none" w:sz="0" w:space="0" w:color="auto"/>
                        <w:bottom w:val="none" w:sz="0" w:space="0" w:color="auto"/>
                        <w:right w:val="none" w:sz="0" w:space="0" w:color="auto"/>
                      </w:divBdr>
                    </w:div>
                  </w:divsChild>
                </w:div>
                <w:div w:id="184371272">
                  <w:marLeft w:val="0"/>
                  <w:marRight w:val="0"/>
                  <w:marTop w:val="0"/>
                  <w:marBottom w:val="0"/>
                  <w:divBdr>
                    <w:top w:val="none" w:sz="0" w:space="0" w:color="auto"/>
                    <w:left w:val="none" w:sz="0" w:space="0" w:color="auto"/>
                    <w:bottom w:val="none" w:sz="0" w:space="0" w:color="auto"/>
                    <w:right w:val="none" w:sz="0" w:space="0" w:color="auto"/>
                  </w:divBdr>
                  <w:divsChild>
                    <w:div w:id="869993750">
                      <w:marLeft w:val="0"/>
                      <w:marRight w:val="0"/>
                      <w:marTop w:val="0"/>
                      <w:marBottom w:val="0"/>
                      <w:divBdr>
                        <w:top w:val="none" w:sz="0" w:space="0" w:color="auto"/>
                        <w:left w:val="none" w:sz="0" w:space="0" w:color="auto"/>
                        <w:bottom w:val="none" w:sz="0" w:space="0" w:color="auto"/>
                        <w:right w:val="none" w:sz="0" w:space="0" w:color="auto"/>
                      </w:divBdr>
                    </w:div>
                  </w:divsChild>
                </w:div>
                <w:div w:id="202181873">
                  <w:marLeft w:val="0"/>
                  <w:marRight w:val="0"/>
                  <w:marTop w:val="0"/>
                  <w:marBottom w:val="0"/>
                  <w:divBdr>
                    <w:top w:val="none" w:sz="0" w:space="0" w:color="auto"/>
                    <w:left w:val="none" w:sz="0" w:space="0" w:color="auto"/>
                    <w:bottom w:val="none" w:sz="0" w:space="0" w:color="auto"/>
                    <w:right w:val="none" w:sz="0" w:space="0" w:color="auto"/>
                  </w:divBdr>
                  <w:divsChild>
                    <w:div w:id="467553776">
                      <w:marLeft w:val="0"/>
                      <w:marRight w:val="0"/>
                      <w:marTop w:val="0"/>
                      <w:marBottom w:val="0"/>
                      <w:divBdr>
                        <w:top w:val="none" w:sz="0" w:space="0" w:color="auto"/>
                        <w:left w:val="none" w:sz="0" w:space="0" w:color="auto"/>
                        <w:bottom w:val="none" w:sz="0" w:space="0" w:color="auto"/>
                        <w:right w:val="none" w:sz="0" w:space="0" w:color="auto"/>
                      </w:divBdr>
                    </w:div>
                  </w:divsChild>
                </w:div>
                <w:div w:id="212541068">
                  <w:marLeft w:val="0"/>
                  <w:marRight w:val="0"/>
                  <w:marTop w:val="0"/>
                  <w:marBottom w:val="0"/>
                  <w:divBdr>
                    <w:top w:val="none" w:sz="0" w:space="0" w:color="auto"/>
                    <w:left w:val="none" w:sz="0" w:space="0" w:color="auto"/>
                    <w:bottom w:val="none" w:sz="0" w:space="0" w:color="auto"/>
                    <w:right w:val="none" w:sz="0" w:space="0" w:color="auto"/>
                  </w:divBdr>
                  <w:divsChild>
                    <w:div w:id="1572544868">
                      <w:marLeft w:val="0"/>
                      <w:marRight w:val="0"/>
                      <w:marTop w:val="0"/>
                      <w:marBottom w:val="0"/>
                      <w:divBdr>
                        <w:top w:val="none" w:sz="0" w:space="0" w:color="auto"/>
                        <w:left w:val="none" w:sz="0" w:space="0" w:color="auto"/>
                        <w:bottom w:val="none" w:sz="0" w:space="0" w:color="auto"/>
                        <w:right w:val="none" w:sz="0" w:space="0" w:color="auto"/>
                      </w:divBdr>
                    </w:div>
                  </w:divsChild>
                </w:div>
                <w:div w:id="232207540">
                  <w:marLeft w:val="0"/>
                  <w:marRight w:val="0"/>
                  <w:marTop w:val="0"/>
                  <w:marBottom w:val="0"/>
                  <w:divBdr>
                    <w:top w:val="none" w:sz="0" w:space="0" w:color="auto"/>
                    <w:left w:val="none" w:sz="0" w:space="0" w:color="auto"/>
                    <w:bottom w:val="none" w:sz="0" w:space="0" w:color="auto"/>
                    <w:right w:val="none" w:sz="0" w:space="0" w:color="auto"/>
                  </w:divBdr>
                  <w:divsChild>
                    <w:div w:id="39326158">
                      <w:marLeft w:val="0"/>
                      <w:marRight w:val="0"/>
                      <w:marTop w:val="0"/>
                      <w:marBottom w:val="0"/>
                      <w:divBdr>
                        <w:top w:val="none" w:sz="0" w:space="0" w:color="auto"/>
                        <w:left w:val="none" w:sz="0" w:space="0" w:color="auto"/>
                        <w:bottom w:val="none" w:sz="0" w:space="0" w:color="auto"/>
                        <w:right w:val="none" w:sz="0" w:space="0" w:color="auto"/>
                      </w:divBdr>
                    </w:div>
                  </w:divsChild>
                </w:div>
                <w:div w:id="237596321">
                  <w:marLeft w:val="0"/>
                  <w:marRight w:val="0"/>
                  <w:marTop w:val="0"/>
                  <w:marBottom w:val="0"/>
                  <w:divBdr>
                    <w:top w:val="none" w:sz="0" w:space="0" w:color="auto"/>
                    <w:left w:val="none" w:sz="0" w:space="0" w:color="auto"/>
                    <w:bottom w:val="none" w:sz="0" w:space="0" w:color="auto"/>
                    <w:right w:val="none" w:sz="0" w:space="0" w:color="auto"/>
                  </w:divBdr>
                  <w:divsChild>
                    <w:div w:id="1493107042">
                      <w:marLeft w:val="0"/>
                      <w:marRight w:val="0"/>
                      <w:marTop w:val="0"/>
                      <w:marBottom w:val="0"/>
                      <w:divBdr>
                        <w:top w:val="none" w:sz="0" w:space="0" w:color="auto"/>
                        <w:left w:val="none" w:sz="0" w:space="0" w:color="auto"/>
                        <w:bottom w:val="none" w:sz="0" w:space="0" w:color="auto"/>
                        <w:right w:val="none" w:sz="0" w:space="0" w:color="auto"/>
                      </w:divBdr>
                    </w:div>
                  </w:divsChild>
                </w:div>
                <w:div w:id="267978969">
                  <w:marLeft w:val="0"/>
                  <w:marRight w:val="0"/>
                  <w:marTop w:val="0"/>
                  <w:marBottom w:val="0"/>
                  <w:divBdr>
                    <w:top w:val="none" w:sz="0" w:space="0" w:color="auto"/>
                    <w:left w:val="none" w:sz="0" w:space="0" w:color="auto"/>
                    <w:bottom w:val="none" w:sz="0" w:space="0" w:color="auto"/>
                    <w:right w:val="none" w:sz="0" w:space="0" w:color="auto"/>
                  </w:divBdr>
                  <w:divsChild>
                    <w:div w:id="614605280">
                      <w:marLeft w:val="0"/>
                      <w:marRight w:val="0"/>
                      <w:marTop w:val="0"/>
                      <w:marBottom w:val="0"/>
                      <w:divBdr>
                        <w:top w:val="none" w:sz="0" w:space="0" w:color="auto"/>
                        <w:left w:val="none" w:sz="0" w:space="0" w:color="auto"/>
                        <w:bottom w:val="none" w:sz="0" w:space="0" w:color="auto"/>
                        <w:right w:val="none" w:sz="0" w:space="0" w:color="auto"/>
                      </w:divBdr>
                    </w:div>
                  </w:divsChild>
                </w:div>
                <w:div w:id="281887514">
                  <w:marLeft w:val="0"/>
                  <w:marRight w:val="0"/>
                  <w:marTop w:val="0"/>
                  <w:marBottom w:val="0"/>
                  <w:divBdr>
                    <w:top w:val="none" w:sz="0" w:space="0" w:color="auto"/>
                    <w:left w:val="none" w:sz="0" w:space="0" w:color="auto"/>
                    <w:bottom w:val="none" w:sz="0" w:space="0" w:color="auto"/>
                    <w:right w:val="none" w:sz="0" w:space="0" w:color="auto"/>
                  </w:divBdr>
                  <w:divsChild>
                    <w:div w:id="994920123">
                      <w:marLeft w:val="0"/>
                      <w:marRight w:val="0"/>
                      <w:marTop w:val="0"/>
                      <w:marBottom w:val="0"/>
                      <w:divBdr>
                        <w:top w:val="none" w:sz="0" w:space="0" w:color="auto"/>
                        <w:left w:val="none" w:sz="0" w:space="0" w:color="auto"/>
                        <w:bottom w:val="none" w:sz="0" w:space="0" w:color="auto"/>
                        <w:right w:val="none" w:sz="0" w:space="0" w:color="auto"/>
                      </w:divBdr>
                    </w:div>
                  </w:divsChild>
                </w:div>
                <w:div w:id="299968001">
                  <w:marLeft w:val="0"/>
                  <w:marRight w:val="0"/>
                  <w:marTop w:val="0"/>
                  <w:marBottom w:val="0"/>
                  <w:divBdr>
                    <w:top w:val="none" w:sz="0" w:space="0" w:color="auto"/>
                    <w:left w:val="none" w:sz="0" w:space="0" w:color="auto"/>
                    <w:bottom w:val="none" w:sz="0" w:space="0" w:color="auto"/>
                    <w:right w:val="none" w:sz="0" w:space="0" w:color="auto"/>
                  </w:divBdr>
                  <w:divsChild>
                    <w:div w:id="2100521528">
                      <w:marLeft w:val="0"/>
                      <w:marRight w:val="0"/>
                      <w:marTop w:val="0"/>
                      <w:marBottom w:val="0"/>
                      <w:divBdr>
                        <w:top w:val="none" w:sz="0" w:space="0" w:color="auto"/>
                        <w:left w:val="none" w:sz="0" w:space="0" w:color="auto"/>
                        <w:bottom w:val="none" w:sz="0" w:space="0" w:color="auto"/>
                        <w:right w:val="none" w:sz="0" w:space="0" w:color="auto"/>
                      </w:divBdr>
                    </w:div>
                  </w:divsChild>
                </w:div>
                <w:div w:id="304553795">
                  <w:marLeft w:val="0"/>
                  <w:marRight w:val="0"/>
                  <w:marTop w:val="0"/>
                  <w:marBottom w:val="0"/>
                  <w:divBdr>
                    <w:top w:val="none" w:sz="0" w:space="0" w:color="auto"/>
                    <w:left w:val="none" w:sz="0" w:space="0" w:color="auto"/>
                    <w:bottom w:val="none" w:sz="0" w:space="0" w:color="auto"/>
                    <w:right w:val="none" w:sz="0" w:space="0" w:color="auto"/>
                  </w:divBdr>
                  <w:divsChild>
                    <w:div w:id="1444379707">
                      <w:marLeft w:val="0"/>
                      <w:marRight w:val="0"/>
                      <w:marTop w:val="0"/>
                      <w:marBottom w:val="0"/>
                      <w:divBdr>
                        <w:top w:val="none" w:sz="0" w:space="0" w:color="auto"/>
                        <w:left w:val="none" w:sz="0" w:space="0" w:color="auto"/>
                        <w:bottom w:val="none" w:sz="0" w:space="0" w:color="auto"/>
                        <w:right w:val="none" w:sz="0" w:space="0" w:color="auto"/>
                      </w:divBdr>
                    </w:div>
                  </w:divsChild>
                </w:div>
                <w:div w:id="356197049">
                  <w:marLeft w:val="0"/>
                  <w:marRight w:val="0"/>
                  <w:marTop w:val="0"/>
                  <w:marBottom w:val="0"/>
                  <w:divBdr>
                    <w:top w:val="none" w:sz="0" w:space="0" w:color="auto"/>
                    <w:left w:val="none" w:sz="0" w:space="0" w:color="auto"/>
                    <w:bottom w:val="none" w:sz="0" w:space="0" w:color="auto"/>
                    <w:right w:val="none" w:sz="0" w:space="0" w:color="auto"/>
                  </w:divBdr>
                  <w:divsChild>
                    <w:div w:id="1876887586">
                      <w:marLeft w:val="0"/>
                      <w:marRight w:val="0"/>
                      <w:marTop w:val="0"/>
                      <w:marBottom w:val="0"/>
                      <w:divBdr>
                        <w:top w:val="none" w:sz="0" w:space="0" w:color="auto"/>
                        <w:left w:val="none" w:sz="0" w:space="0" w:color="auto"/>
                        <w:bottom w:val="none" w:sz="0" w:space="0" w:color="auto"/>
                        <w:right w:val="none" w:sz="0" w:space="0" w:color="auto"/>
                      </w:divBdr>
                    </w:div>
                  </w:divsChild>
                </w:div>
                <w:div w:id="362246377">
                  <w:marLeft w:val="0"/>
                  <w:marRight w:val="0"/>
                  <w:marTop w:val="0"/>
                  <w:marBottom w:val="0"/>
                  <w:divBdr>
                    <w:top w:val="none" w:sz="0" w:space="0" w:color="auto"/>
                    <w:left w:val="none" w:sz="0" w:space="0" w:color="auto"/>
                    <w:bottom w:val="none" w:sz="0" w:space="0" w:color="auto"/>
                    <w:right w:val="none" w:sz="0" w:space="0" w:color="auto"/>
                  </w:divBdr>
                  <w:divsChild>
                    <w:div w:id="1350375766">
                      <w:marLeft w:val="0"/>
                      <w:marRight w:val="0"/>
                      <w:marTop w:val="0"/>
                      <w:marBottom w:val="0"/>
                      <w:divBdr>
                        <w:top w:val="none" w:sz="0" w:space="0" w:color="auto"/>
                        <w:left w:val="none" w:sz="0" w:space="0" w:color="auto"/>
                        <w:bottom w:val="none" w:sz="0" w:space="0" w:color="auto"/>
                        <w:right w:val="none" w:sz="0" w:space="0" w:color="auto"/>
                      </w:divBdr>
                    </w:div>
                  </w:divsChild>
                </w:div>
                <w:div w:id="390082425">
                  <w:marLeft w:val="0"/>
                  <w:marRight w:val="0"/>
                  <w:marTop w:val="0"/>
                  <w:marBottom w:val="0"/>
                  <w:divBdr>
                    <w:top w:val="none" w:sz="0" w:space="0" w:color="auto"/>
                    <w:left w:val="none" w:sz="0" w:space="0" w:color="auto"/>
                    <w:bottom w:val="none" w:sz="0" w:space="0" w:color="auto"/>
                    <w:right w:val="none" w:sz="0" w:space="0" w:color="auto"/>
                  </w:divBdr>
                  <w:divsChild>
                    <w:div w:id="42948261">
                      <w:marLeft w:val="0"/>
                      <w:marRight w:val="0"/>
                      <w:marTop w:val="0"/>
                      <w:marBottom w:val="0"/>
                      <w:divBdr>
                        <w:top w:val="none" w:sz="0" w:space="0" w:color="auto"/>
                        <w:left w:val="none" w:sz="0" w:space="0" w:color="auto"/>
                        <w:bottom w:val="none" w:sz="0" w:space="0" w:color="auto"/>
                        <w:right w:val="none" w:sz="0" w:space="0" w:color="auto"/>
                      </w:divBdr>
                    </w:div>
                  </w:divsChild>
                </w:div>
                <w:div w:id="405802214">
                  <w:marLeft w:val="0"/>
                  <w:marRight w:val="0"/>
                  <w:marTop w:val="0"/>
                  <w:marBottom w:val="0"/>
                  <w:divBdr>
                    <w:top w:val="none" w:sz="0" w:space="0" w:color="auto"/>
                    <w:left w:val="none" w:sz="0" w:space="0" w:color="auto"/>
                    <w:bottom w:val="none" w:sz="0" w:space="0" w:color="auto"/>
                    <w:right w:val="none" w:sz="0" w:space="0" w:color="auto"/>
                  </w:divBdr>
                  <w:divsChild>
                    <w:div w:id="205921840">
                      <w:marLeft w:val="0"/>
                      <w:marRight w:val="0"/>
                      <w:marTop w:val="0"/>
                      <w:marBottom w:val="0"/>
                      <w:divBdr>
                        <w:top w:val="none" w:sz="0" w:space="0" w:color="auto"/>
                        <w:left w:val="none" w:sz="0" w:space="0" w:color="auto"/>
                        <w:bottom w:val="none" w:sz="0" w:space="0" w:color="auto"/>
                        <w:right w:val="none" w:sz="0" w:space="0" w:color="auto"/>
                      </w:divBdr>
                    </w:div>
                  </w:divsChild>
                </w:div>
                <w:div w:id="408694740">
                  <w:marLeft w:val="0"/>
                  <w:marRight w:val="0"/>
                  <w:marTop w:val="0"/>
                  <w:marBottom w:val="0"/>
                  <w:divBdr>
                    <w:top w:val="none" w:sz="0" w:space="0" w:color="auto"/>
                    <w:left w:val="none" w:sz="0" w:space="0" w:color="auto"/>
                    <w:bottom w:val="none" w:sz="0" w:space="0" w:color="auto"/>
                    <w:right w:val="none" w:sz="0" w:space="0" w:color="auto"/>
                  </w:divBdr>
                  <w:divsChild>
                    <w:div w:id="157036938">
                      <w:marLeft w:val="0"/>
                      <w:marRight w:val="0"/>
                      <w:marTop w:val="0"/>
                      <w:marBottom w:val="0"/>
                      <w:divBdr>
                        <w:top w:val="none" w:sz="0" w:space="0" w:color="auto"/>
                        <w:left w:val="none" w:sz="0" w:space="0" w:color="auto"/>
                        <w:bottom w:val="none" w:sz="0" w:space="0" w:color="auto"/>
                        <w:right w:val="none" w:sz="0" w:space="0" w:color="auto"/>
                      </w:divBdr>
                    </w:div>
                  </w:divsChild>
                </w:div>
                <w:div w:id="432094454">
                  <w:marLeft w:val="0"/>
                  <w:marRight w:val="0"/>
                  <w:marTop w:val="0"/>
                  <w:marBottom w:val="0"/>
                  <w:divBdr>
                    <w:top w:val="none" w:sz="0" w:space="0" w:color="auto"/>
                    <w:left w:val="none" w:sz="0" w:space="0" w:color="auto"/>
                    <w:bottom w:val="none" w:sz="0" w:space="0" w:color="auto"/>
                    <w:right w:val="none" w:sz="0" w:space="0" w:color="auto"/>
                  </w:divBdr>
                  <w:divsChild>
                    <w:div w:id="29573655">
                      <w:marLeft w:val="0"/>
                      <w:marRight w:val="0"/>
                      <w:marTop w:val="0"/>
                      <w:marBottom w:val="0"/>
                      <w:divBdr>
                        <w:top w:val="none" w:sz="0" w:space="0" w:color="auto"/>
                        <w:left w:val="none" w:sz="0" w:space="0" w:color="auto"/>
                        <w:bottom w:val="none" w:sz="0" w:space="0" w:color="auto"/>
                        <w:right w:val="none" w:sz="0" w:space="0" w:color="auto"/>
                      </w:divBdr>
                    </w:div>
                  </w:divsChild>
                </w:div>
                <w:div w:id="454325510">
                  <w:marLeft w:val="0"/>
                  <w:marRight w:val="0"/>
                  <w:marTop w:val="0"/>
                  <w:marBottom w:val="0"/>
                  <w:divBdr>
                    <w:top w:val="none" w:sz="0" w:space="0" w:color="auto"/>
                    <w:left w:val="none" w:sz="0" w:space="0" w:color="auto"/>
                    <w:bottom w:val="none" w:sz="0" w:space="0" w:color="auto"/>
                    <w:right w:val="none" w:sz="0" w:space="0" w:color="auto"/>
                  </w:divBdr>
                  <w:divsChild>
                    <w:div w:id="1900246812">
                      <w:marLeft w:val="0"/>
                      <w:marRight w:val="0"/>
                      <w:marTop w:val="0"/>
                      <w:marBottom w:val="0"/>
                      <w:divBdr>
                        <w:top w:val="none" w:sz="0" w:space="0" w:color="auto"/>
                        <w:left w:val="none" w:sz="0" w:space="0" w:color="auto"/>
                        <w:bottom w:val="none" w:sz="0" w:space="0" w:color="auto"/>
                        <w:right w:val="none" w:sz="0" w:space="0" w:color="auto"/>
                      </w:divBdr>
                    </w:div>
                  </w:divsChild>
                </w:div>
                <w:div w:id="460611128">
                  <w:marLeft w:val="0"/>
                  <w:marRight w:val="0"/>
                  <w:marTop w:val="0"/>
                  <w:marBottom w:val="0"/>
                  <w:divBdr>
                    <w:top w:val="none" w:sz="0" w:space="0" w:color="auto"/>
                    <w:left w:val="none" w:sz="0" w:space="0" w:color="auto"/>
                    <w:bottom w:val="none" w:sz="0" w:space="0" w:color="auto"/>
                    <w:right w:val="none" w:sz="0" w:space="0" w:color="auto"/>
                  </w:divBdr>
                  <w:divsChild>
                    <w:div w:id="1448770226">
                      <w:marLeft w:val="0"/>
                      <w:marRight w:val="0"/>
                      <w:marTop w:val="0"/>
                      <w:marBottom w:val="0"/>
                      <w:divBdr>
                        <w:top w:val="none" w:sz="0" w:space="0" w:color="auto"/>
                        <w:left w:val="none" w:sz="0" w:space="0" w:color="auto"/>
                        <w:bottom w:val="none" w:sz="0" w:space="0" w:color="auto"/>
                        <w:right w:val="none" w:sz="0" w:space="0" w:color="auto"/>
                      </w:divBdr>
                    </w:div>
                  </w:divsChild>
                </w:div>
                <w:div w:id="479225351">
                  <w:marLeft w:val="0"/>
                  <w:marRight w:val="0"/>
                  <w:marTop w:val="0"/>
                  <w:marBottom w:val="0"/>
                  <w:divBdr>
                    <w:top w:val="none" w:sz="0" w:space="0" w:color="auto"/>
                    <w:left w:val="none" w:sz="0" w:space="0" w:color="auto"/>
                    <w:bottom w:val="none" w:sz="0" w:space="0" w:color="auto"/>
                    <w:right w:val="none" w:sz="0" w:space="0" w:color="auto"/>
                  </w:divBdr>
                  <w:divsChild>
                    <w:div w:id="14312546">
                      <w:marLeft w:val="0"/>
                      <w:marRight w:val="0"/>
                      <w:marTop w:val="0"/>
                      <w:marBottom w:val="0"/>
                      <w:divBdr>
                        <w:top w:val="none" w:sz="0" w:space="0" w:color="auto"/>
                        <w:left w:val="none" w:sz="0" w:space="0" w:color="auto"/>
                        <w:bottom w:val="none" w:sz="0" w:space="0" w:color="auto"/>
                        <w:right w:val="none" w:sz="0" w:space="0" w:color="auto"/>
                      </w:divBdr>
                    </w:div>
                  </w:divsChild>
                </w:div>
                <w:div w:id="485318075">
                  <w:marLeft w:val="0"/>
                  <w:marRight w:val="0"/>
                  <w:marTop w:val="0"/>
                  <w:marBottom w:val="0"/>
                  <w:divBdr>
                    <w:top w:val="none" w:sz="0" w:space="0" w:color="auto"/>
                    <w:left w:val="none" w:sz="0" w:space="0" w:color="auto"/>
                    <w:bottom w:val="none" w:sz="0" w:space="0" w:color="auto"/>
                    <w:right w:val="none" w:sz="0" w:space="0" w:color="auto"/>
                  </w:divBdr>
                  <w:divsChild>
                    <w:div w:id="1952740771">
                      <w:marLeft w:val="0"/>
                      <w:marRight w:val="0"/>
                      <w:marTop w:val="0"/>
                      <w:marBottom w:val="0"/>
                      <w:divBdr>
                        <w:top w:val="none" w:sz="0" w:space="0" w:color="auto"/>
                        <w:left w:val="none" w:sz="0" w:space="0" w:color="auto"/>
                        <w:bottom w:val="none" w:sz="0" w:space="0" w:color="auto"/>
                        <w:right w:val="none" w:sz="0" w:space="0" w:color="auto"/>
                      </w:divBdr>
                    </w:div>
                  </w:divsChild>
                </w:div>
                <w:div w:id="488055618">
                  <w:marLeft w:val="0"/>
                  <w:marRight w:val="0"/>
                  <w:marTop w:val="0"/>
                  <w:marBottom w:val="0"/>
                  <w:divBdr>
                    <w:top w:val="none" w:sz="0" w:space="0" w:color="auto"/>
                    <w:left w:val="none" w:sz="0" w:space="0" w:color="auto"/>
                    <w:bottom w:val="none" w:sz="0" w:space="0" w:color="auto"/>
                    <w:right w:val="none" w:sz="0" w:space="0" w:color="auto"/>
                  </w:divBdr>
                  <w:divsChild>
                    <w:div w:id="704988586">
                      <w:marLeft w:val="0"/>
                      <w:marRight w:val="0"/>
                      <w:marTop w:val="0"/>
                      <w:marBottom w:val="0"/>
                      <w:divBdr>
                        <w:top w:val="none" w:sz="0" w:space="0" w:color="auto"/>
                        <w:left w:val="none" w:sz="0" w:space="0" w:color="auto"/>
                        <w:bottom w:val="none" w:sz="0" w:space="0" w:color="auto"/>
                        <w:right w:val="none" w:sz="0" w:space="0" w:color="auto"/>
                      </w:divBdr>
                    </w:div>
                  </w:divsChild>
                </w:div>
                <w:div w:id="490097919">
                  <w:marLeft w:val="0"/>
                  <w:marRight w:val="0"/>
                  <w:marTop w:val="0"/>
                  <w:marBottom w:val="0"/>
                  <w:divBdr>
                    <w:top w:val="none" w:sz="0" w:space="0" w:color="auto"/>
                    <w:left w:val="none" w:sz="0" w:space="0" w:color="auto"/>
                    <w:bottom w:val="none" w:sz="0" w:space="0" w:color="auto"/>
                    <w:right w:val="none" w:sz="0" w:space="0" w:color="auto"/>
                  </w:divBdr>
                  <w:divsChild>
                    <w:div w:id="2104255469">
                      <w:marLeft w:val="0"/>
                      <w:marRight w:val="0"/>
                      <w:marTop w:val="0"/>
                      <w:marBottom w:val="0"/>
                      <w:divBdr>
                        <w:top w:val="none" w:sz="0" w:space="0" w:color="auto"/>
                        <w:left w:val="none" w:sz="0" w:space="0" w:color="auto"/>
                        <w:bottom w:val="none" w:sz="0" w:space="0" w:color="auto"/>
                        <w:right w:val="none" w:sz="0" w:space="0" w:color="auto"/>
                      </w:divBdr>
                    </w:div>
                  </w:divsChild>
                </w:div>
                <w:div w:id="497772253">
                  <w:marLeft w:val="0"/>
                  <w:marRight w:val="0"/>
                  <w:marTop w:val="0"/>
                  <w:marBottom w:val="0"/>
                  <w:divBdr>
                    <w:top w:val="none" w:sz="0" w:space="0" w:color="auto"/>
                    <w:left w:val="none" w:sz="0" w:space="0" w:color="auto"/>
                    <w:bottom w:val="none" w:sz="0" w:space="0" w:color="auto"/>
                    <w:right w:val="none" w:sz="0" w:space="0" w:color="auto"/>
                  </w:divBdr>
                  <w:divsChild>
                    <w:div w:id="425080072">
                      <w:marLeft w:val="0"/>
                      <w:marRight w:val="0"/>
                      <w:marTop w:val="0"/>
                      <w:marBottom w:val="0"/>
                      <w:divBdr>
                        <w:top w:val="none" w:sz="0" w:space="0" w:color="auto"/>
                        <w:left w:val="none" w:sz="0" w:space="0" w:color="auto"/>
                        <w:bottom w:val="none" w:sz="0" w:space="0" w:color="auto"/>
                        <w:right w:val="none" w:sz="0" w:space="0" w:color="auto"/>
                      </w:divBdr>
                    </w:div>
                  </w:divsChild>
                </w:div>
                <w:div w:id="511457937">
                  <w:marLeft w:val="0"/>
                  <w:marRight w:val="0"/>
                  <w:marTop w:val="0"/>
                  <w:marBottom w:val="0"/>
                  <w:divBdr>
                    <w:top w:val="none" w:sz="0" w:space="0" w:color="auto"/>
                    <w:left w:val="none" w:sz="0" w:space="0" w:color="auto"/>
                    <w:bottom w:val="none" w:sz="0" w:space="0" w:color="auto"/>
                    <w:right w:val="none" w:sz="0" w:space="0" w:color="auto"/>
                  </w:divBdr>
                  <w:divsChild>
                    <w:div w:id="1111633110">
                      <w:marLeft w:val="0"/>
                      <w:marRight w:val="0"/>
                      <w:marTop w:val="0"/>
                      <w:marBottom w:val="0"/>
                      <w:divBdr>
                        <w:top w:val="none" w:sz="0" w:space="0" w:color="auto"/>
                        <w:left w:val="none" w:sz="0" w:space="0" w:color="auto"/>
                        <w:bottom w:val="none" w:sz="0" w:space="0" w:color="auto"/>
                        <w:right w:val="none" w:sz="0" w:space="0" w:color="auto"/>
                      </w:divBdr>
                    </w:div>
                  </w:divsChild>
                </w:div>
                <w:div w:id="530995385">
                  <w:marLeft w:val="0"/>
                  <w:marRight w:val="0"/>
                  <w:marTop w:val="0"/>
                  <w:marBottom w:val="0"/>
                  <w:divBdr>
                    <w:top w:val="none" w:sz="0" w:space="0" w:color="auto"/>
                    <w:left w:val="none" w:sz="0" w:space="0" w:color="auto"/>
                    <w:bottom w:val="none" w:sz="0" w:space="0" w:color="auto"/>
                    <w:right w:val="none" w:sz="0" w:space="0" w:color="auto"/>
                  </w:divBdr>
                  <w:divsChild>
                    <w:div w:id="2036885719">
                      <w:marLeft w:val="0"/>
                      <w:marRight w:val="0"/>
                      <w:marTop w:val="0"/>
                      <w:marBottom w:val="0"/>
                      <w:divBdr>
                        <w:top w:val="none" w:sz="0" w:space="0" w:color="auto"/>
                        <w:left w:val="none" w:sz="0" w:space="0" w:color="auto"/>
                        <w:bottom w:val="none" w:sz="0" w:space="0" w:color="auto"/>
                        <w:right w:val="none" w:sz="0" w:space="0" w:color="auto"/>
                      </w:divBdr>
                    </w:div>
                  </w:divsChild>
                </w:div>
                <w:div w:id="533931536">
                  <w:marLeft w:val="0"/>
                  <w:marRight w:val="0"/>
                  <w:marTop w:val="0"/>
                  <w:marBottom w:val="0"/>
                  <w:divBdr>
                    <w:top w:val="none" w:sz="0" w:space="0" w:color="auto"/>
                    <w:left w:val="none" w:sz="0" w:space="0" w:color="auto"/>
                    <w:bottom w:val="none" w:sz="0" w:space="0" w:color="auto"/>
                    <w:right w:val="none" w:sz="0" w:space="0" w:color="auto"/>
                  </w:divBdr>
                  <w:divsChild>
                    <w:div w:id="1299919186">
                      <w:marLeft w:val="0"/>
                      <w:marRight w:val="0"/>
                      <w:marTop w:val="0"/>
                      <w:marBottom w:val="0"/>
                      <w:divBdr>
                        <w:top w:val="none" w:sz="0" w:space="0" w:color="auto"/>
                        <w:left w:val="none" w:sz="0" w:space="0" w:color="auto"/>
                        <w:bottom w:val="none" w:sz="0" w:space="0" w:color="auto"/>
                        <w:right w:val="none" w:sz="0" w:space="0" w:color="auto"/>
                      </w:divBdr>
                    </w:div>
                  </w:divsChild>
                </w:div>
                <w:div w:id="535897944">
                  <w:marLeft w:val="0"/>
                  <w:marRight w:val="0"/>
                  <w:marTop w:val="0"/>
                  <w:marBottom w:val="0"/>
                  <w:divBdr>
                    <w:top w:val="none" w:sz="0" w:space="0" w:color="auto"/>
                    <w:left w:val="none" w:sz="0" w:space="0" w:color="auto"/>
                    <w:bottom w:val="none" w:sz="0" w:space="0" w:color="auto"/>
                    <w:right w:val="none" w:sz="0" w:space="0" w:color="auto"/>
                  </w:divBdr>
                  <w:divsChild>
                    <w:div w:id="1167742419">
                      <w:marLeft w:val="0"/>
                      <w:marRight w:val="0"/>
                      <w:marTop w:val="0"/>
                      <w:marBottom w:val="0"/>
                      <w:divBdr>
                        <w:top w:val="none" w:sz="0" w:space="0" w:color="auto"/>
                        <w:left w:val="none" w:sz="0" w:space="0" w:color="auto"/>
                        <w:bottom w:val="none" w:sz="0" w:space="0" w:color="auto"/>
                        <w:right w:val="none" w:sz="0" w:space="0" w:color="auto"/>
                      </w:divBdr>
                    </w:div>
                  </w:divsChild>
                </w:div>
                <w:div w:id="537741782">
                  <w:marLeft w:val="0"/>
                  <w:marRight w:val="0"/>
                  <w:marTop w:val="0"/>
                  <w:marBottom w:val="0"/>
                  <w:divBdr>
                    <w:top w:val="none" w:sz="0" w:space="0" w:color="auto"/>
                    <w:left w:val="none" w:sz="0" w:space="0" w:color="auto"/>
                    <w:bottom w:val="none" w:sz="0" w:space="0" w:color="auto"/>
                    <w:right w:val="none" w:sz="0" w:space="0" w:color="auto"/>
                  </w:divBdr>
                  <w:divsChild>
                    <w:div w:id="936015978">
                      <w:marLeft w:val="0"/>
                      <w:marRight w:val="0"/>
                      <w:marTop w:val="0"/>
                      <w:marBottom w:val="0"/>
                      <w:divBdr>
                        <w:top w:val="none" w:sz="0" w:space="0" w:color="auto"/>
                        <w:left w:val="none" w:sz="0" w:space="0" w:color="auto"/>
                        <w:bottom w:val="none" w:sz="0" w:space="0" w:color="auto"/>
                        <w:right w:val="none" w:sz="0" w:space="0" w:color="auto"/>
                      </w:divBdr>
                    </w:div>
                  </w:divsChild>
                </w:div>
                <w:div w:id="571235516">
                  <w:marLeft w:val="0"/>
                  <w:marRight w:val="0"/>
                  <w:marTop w:val="0"/>
                  <w:marBottom w:val="0"/>
                  <w:divBdr>
                    <w:top w:val="none" w:sz="0" w:space="0" w:color="auto"/>
                    <w:left w:val="none" w:sz="0" w:space="0" w:color="auto"/>
                    <w:bottom w:val="none" w:sz="0" w:space="0" w:color="auto"/>
                    <w:right w:val="none" w:sz="0" w:space="0" w:color="auto"/>
                  </w:divBdr>
                  <w:divsChild>
                    <w:div w:id="643511661">
                      <w:marLeft w:val="0"/>
                      <w:marRight w:val="0"/>
                      <w:marTop w:val="0"/>
                      <w:marBottom w:val="0"/>
                      <w:divBdr>
                        <w:top w:val="none" w:sz="0" w:space="0" w:color="auto"/>
                        <w:left w:val="none" w:sz="0" w:space="0" w:color="auto"/>
                        <w:bottom w:val="none" w:sz="0" w:space="0" w:color="auto"/>
                        <w:right w:val="none" w:sz="0" w:space="0" w:color="auto"/>
                      </w:divBdr>
                    </w:div>
                  </w:divsChild>
                </w:div>
                <w:div w:id="679433837">
                  <w:marLeft w:val="0"/>
                  <w:marRight w:val="0"/>
                  <w:marTop w:val="0"/>
                  <w:marBottom w:val="0"/>
                  <w:divBdr>
                    <w:top w:val="none" w:sz="0" w:space="0" w:color="auto"/>
                    <w:left w:val="none" w:sz="0" w:space="0" w:color="auto"/>
                    <w:bottom w:val="none" w:sz="0" w:space="0" w:color="auto"/>
                    <w:right w:val="none" w:sz="0" w:space="0" w:color="auto"/>
                  </w:divBdr>
                  <w:divsChild>
                    <w:div w:id="1721519124">
                      <w:marLeft w:val="0"/>
                      <w:marRight w:val="0"/>
                      <w:marTop w:val="0"/>
                      <w:marBottom w:val="0"/>
                      <w:divBdr>
                        <w:top w:val="none" w:sz="0" w:space="0" w:color="auto"/>
                        <w:left w:val="none" w:sz="0" w:space="0" w:color="auto"/>
                        <w:bottom w:val="none" w:sz="0" w:space="0" w:color="auto"/>
                        <w:right w:val="none" w:sz="0" w:space="0" w:color="auto"/>
                      </w:divBdr>
                    </w:div>
                  </w:divsChild>
                </w:div>
                <w:div w:id="712850118">
                  <w:marLeft w:val="0"/>
                  <w:marRight w:val="0"/>
                  <w:marTop w:val="0"/>
                  <w:marBottom w:val="0"/>
                  <w:divBdr>
                    <w:top w:val="none" w:sz="0" w:space="0" w:color="auto"/>
                    <w:left w:val="none" w:sz="0" w:space="0" w:color="auto"/>
                    <w:bottom w:val="none" w:sz="0" w:space="0" w:color="auto"/>
                    <w:right w:val="none" w:sz="0" w:space="0" w:color="auto"/>
                  </w:divBdr>
                  <w:divsChild>
                    <w:div w:id="755247608">
                      <w:marLeft w:val="0"/>
                      <w:marRight w:val="0"/>
                      <w:marTop w:val="0"/>
                      <w:marBottom w:val="0"/>
                      <w:divBdr>
                        <w:top w:val="none" w:sz="0" w:space="0" w:color="auto"/>
                        <w:left w:val="none" w:sz="0" w:space="0" w:color="auto"/>
                        <w:bottom w:val="none" w:sz="0" w:space="0" w:color="auto"/>
                        <w:right w:val="none" w:sz="0" w:space="0" w:color="auto"/>
                      </w:divBdr>
                    </w:div>
                  </w:divsChild>
                </w:div>
                <w:div w:id="727874598">
                  <w:marLeft w:val="0"/>
                  <w:marRight w:val="0"/>
                  <w:marTop w:val="0"/>
                  <w:marBottom w:val="0"/>
                  <w:divBdr>
                    <w:top w:val="none" w:sz="0" w:space="0" w:color="auto"/>
                    <w:left w:val="none" w:sz="0" w:space="0" w:color="auto"/>
                    <w:bottom w:val="none" w:sz="0" w:space="0" w:color="auto"/>
                    <w:right w:val="none" w:sz="0" w:space="0" w:color="auto"/>
                  </w:divBdr>
                  <w:divsChild>
                    <w:div w:id="551119050">
                      <w:marLeft w:val="0"/>
                      <w:marRight w:val="0"/>
                      <w:marTop w:val="0"/>
                      <w:marBottom w:val="0"/>
                      <w:divBdr>
                        <w:top w:val="none" w:sz="0" w:space="0" w:color="auto"/>
                        <w:left w:val="none" w:sz="0" w:space="0" w:color="auto"/>
                        <w:bottom w:val="none" w:sz="0" w:space="0" w:color="auto"/>
                        <w:right w:val="none" w:sz="0" w:space="0" w:color="auto"/>
                      </w:divBdr>
                    </w:div>
                  </w:divsChild>
                </w:div>
                <w:div w:id="729305569">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735593716">
                  <w:marLeft w:val="0"/>
                  <w:marRight w:val="0"/>
                  <w:marTop w:val="0"/>
                  <w:marBottom w:val="0"/>
                  <w:divBdr>
                    <w:top w:val="none" w:sz="0" w:space="0" w:color="auto"/>
                    <w:left w:val="none" w:sz="0" w:space="0" w:color="auto"/>
                    <w:bottom w:val="none" w:sz="0" w:space="0" w:color="auto"/>
                    <w:right w:val="none" w:sz="0" w:space="0" w:color="auto"/>
                  </w:divBdr>
                  <w:divsChild>
                    <w:div w:id="1918780422">
                      <w:marLeft w:val="0"/>
                      <w:marRight w:val="0"/>
                      <w:marTop w:val="0"/>
                      <w:marBottom w:val="0"/>
                      <w:divBdr>
                        <w:top w:val="none" w:sz="0" w:space="0" w:color="auto"/>
                        <w:left w:val="none" w:sz="0" w:space="0" w:color="auto"/>
                        <w:bottom w:val="none" w:sz="0" w:space="0" w:color="auto"/>
                        <w:right w:val="none" w:sz="0" w:space="0" w:color="auto"/>
                      </w:divBdr>
                    </w:div>
                  </w:divsChild>
                </w:div>
                <w:div w:id="769742799">
                  <w:marLeft w:val="0"/>
                  <w:marRight w:val="0"/>
                  <w:marTop w:val="0"/>
                  <w:marBottom w:val="0"/>
                  <w:divBdr>
                    <w:top w:val="none" w:sz="0" w:space="0" w:color="auto"/>
                    <w:left w:val="none" w:sz="0" w:space="0" w:color="auto"/>
                    <w:bottom w:val="none" w:sz="0" w:space="0" w:color="auto"/>
                    <w:right w:val="none" w:sz="0" w:space="0" w:color="auto"/>
                  </w:divBdr>
                  <w:divsChild>
                    <w:div w:id="597524103">
                      <w:marLeft w:val="0"/>
                      <w:marRight w:val="0"/>
                      <w:marTop w:val="0"/>
                      <w:marBottom w:val="0"/>
                      <w:divBdr>
                        <w:top w:val="none" w:sz="0" w:space="0" w:color="auto"/>
                        <w:left w:val="none" w:sz="0" w:space="0" w:color="auto"/>
                        <w:bottom w:val="none" w:sz="0" w:space="0" w:color="auto"/>
                        <w:right w:val="none" w:sz="0" w:space="0" w:color="auto"/>
                      </w:divBdr>
                    </w:div>
                  </w:divsChild>
                </w:div>
                <w:div w:id="781192197">
                  <w:marLeft w:val="0"/>
                  <w:marRight w:val="0"/>
                  <w:marTop w:val="0"/>
                  <w:marBottom w:val="0"/>
                  <w:divBdr>
                    <w:top w:val="none" w:sz="0" w:space="0" w:color="auto"/>
                    <w:left w:val="none" w:sz="0" w:space="0" w:color="auto"/>
                    <w:bottom w:val="none" w:sz="0" w:space="0" w:color="auto"/>
                    <w:right w:val="none" w:sz="0" w:space="0" w:color="auto"/>
                  </w:divBdr>
                  <w:divsChild>
                    <w:div w:id="1883706838">
                      <w:marLeft w:val="0"/>
                      <w:marRight w:val="0"/>
                      <w:marTop w:val="0"/>
                      <w:marBottom w:val="0"/>
                      <w:divBdr>
                        <w:top w:val="none" w:sz="0" w:space="0" w:color="auto"/>
                        <w:left w:val="none" w:sz="0" w:space="0" w:color="auto"/>
                        <w:bottom w:val="none" w:sz="0" w:space="0" w:color="auto"/>
                        <w:right w:val="none" w:sz="0" w:space="0" w:color="auto"/>
                      </w:divBdr>
                    </w:div>
                  </w:divsChild>
                </w:div>
                <w:div w:id="791633259">
                  <w:marLeft w:val="0"/>
                  <w:marRight w:val="0"/>
                  <w:marTop w:val="0"/>
                  <w:marBottom w:val="0"/>
                  <w:divBdr>
                    <w:top w:val="none" w:sz="0" w:space="0" w:color="auto"/>
                    <w:left w:val="none" w:sz="0" w:space="0" w:color="auto"/>
                    <w:bottom w:val="none" w:sz="0" w:space="0" w:color="auto"/>
                    <w:right w:val="none" w:sz="0" w:space="0" w:color="auto"/>
                  </w:divBdr>
                  <w:divsChild>
                    <w:div w:id="1294560662">
                      <w:marLeft w:val="0"/>
                      <w:marRight w:val="0"/>
                      <w:marTop w:val="0"/>
                      <w:marBottom w:val="0"/>
                      <w:divBdr>
                        <w:top w:val="none" w:sz="0" w:space="0" w:color="auto"/>
                        <w:left w:val="none" w:sz="0" w:space="0" w:color="auto"/>
                        <w:bottom w:val="none" w:sz="0" w:space="0" w:color="auto"/>
                        <w:right w:val="none" w:sz="0" w:space="0" w:color="auto"/>
                      </w:divBdr>
                    </w:div>
                  </w:divsChild>
                </w:div>
                <w:div w:id="804546235">
                  <w:marLeft w:val="0"/>
                  <w:marRight w:val="0"/>
                  <w:marTop w:val="0"/>
                  <w:marBottom w:val="0"/>
                  <w:divBdr>
                    <w:top w:val="none" w:sz="0" w:space="0" w:color="auto"/>
                    <w:left w:val="none" w:sz="0" w:space="0" w:color="auto"/>
                    <w:bottom w:val="none" w:sz="0" w:space="0" w:color="auto"/>
                    <w:right w:val="none" w:sz="0" w:space="0" w:color="auto"/>
                  </w:divBdr>
                  <w:divsChild>
                    <w:div w:id="1011761578">
                      <w:marLeft w:val="0"/>
                      <w:marRight w:val="0"/>
                      <w:marTop w:val="0"/>
                      <w:marBottom w:val="0"/>
                      <w:divBdr>
                        <w:top w:val="none" w:sz="0" w:space="0" w:color="auto"/>
                        <w:left w:val="none" w:sz="0" w:space="0" w:color="auto"/>
                        <w:bottom w:val="none" w:sz="0" w:space="0" w:color="auto"/>
                        <w:right w:val="none" w:sz="0" w:space="0" w:color="auto"/>
                      </w:divBdr>
                    </w:div>
                  </w:divsChild>
                </w:div>
                <w:div w:id="823819389">
                  <w:marLeft w:val="0"/>
                  <w:marRight w:val="0"/>
                  <w:marTop w:val="0"/>
                  <w:marBottom w:val="0"/>
                  <w:divBdr>
                    <w:top w:val="none" w:sz="0" w:space="0" w:color="auto"/>
                    <w:left w:val="none" w:sz="0" w:space="0" w:color="auto"/>
                    <w:bottom w:val="none" w:sz="0" w:space="0" w:color="auto"/>
                    <w:right w:val="none" w:sz="0" w:space="0" w:color="auto"/>
                  </w:divBdr>
                  <w:divsChild>
                    <w:div w:id="1295988411">
                      <w:marLeft w:val="0"/>
                      <w:marRight w:val="0"/>
                      <w:marTop w:val="0"/>
                      <w:marBottom w:val="0"/>
                      <w:divBdr>
                        <w:top w:val="none" w:sz="0" w:space="0" w:color="auto"/>
                        <w:left w:val="none" w:sz="0" w:space="0" w:color="auto"/>
                        <w:bottom w:val="none" w:sz="0" w:space="0" w:color="auto"/>
                        <w:right w:val="none" w:sz="0" w:space="0" w:color="auto"/>
                      </w:divBdr>
                    </w:div>
                  </w:divsChild>
                </w:div>
                <w:div w:id="871189576">
                  <w:marLeft w:val="0"/>
                  <w:marRight w:val="0"/>
                  <w:marTop w:val="0"/>
                  <w:marBottom w:val="0"/>
                  <w:divBdr>
                    <w:top w:val="none" w:sz="0" w:space="0" w:color="auto"/>
                    <w:left w:val="none" w:sz="0" w:space="0" w:color="auto"/>
                    <w:bottom w:val="none" w:sz="0" w:space="0" w:color="auto"/>
                    <w:right w:val="none" w:sz="0" w:space="0" w:color="auto"/>
                  </w:divBdr>
                  <w:divsChild>
                    <w:div w:id="786697765">
                      <w:marLeft w:val="0"/>
                      <w:marRight w:val="0"/>
                      <w:marTop w:val="0"/>
                      <w:marBottom w:val="0"/>
                      <w:divBdr>
                        <w:top w:val="none" w:sz="0" w:space="0" w:color="auto"/>
                        <w:left w:val="none" w:sz="0" w:space="0" w:color="auto"/>
                        <w:bottom w:val="none" w:sz="0" w:space="0" w:color="auto"/>
                        <w:right w:val="none" w:sz="0" w:space="0" w:color="auto"/>
                      </w:divBdr>
                    </w:div>
                  </w:divsChild>
                </w:div>
                <w:div w:id="871573066">
                  <w:marLeft w:val="0"/>
                  <w:marRight w:val="0"/>
                  <w:marTop w:val="0"/>
                  <w:marBottom w:val="0"/>
                  <w:divBdr>
                    <w:top w:val="none" w:sz="0" w:space="0" w:color="auto"/>
                    <w:left w:val="none" w:sz="0" w:space="0" w:color="auto"/>
                    <w:bottom w:val="none" w:sz="0" w:space="0" w:color="auto"/>
                    <w:right w:val="none" w:sz="0" w:space="0" w:color="auto"/>
                  </w:divBdr>
                  <w:divsChild>
                    <w:div w:id="1652054604">
                      <w:marLeft w:val="0"/>
                      <w:marRight w:val="0"/>
                      <w:marTop w:val="0"/>
                      <w:marBottom w:val="0"/>
                      <w:divBdr>
                        <w:top w:val="none" w:sz="0" w:space="0" w:color="auto"/>
                        <w:left w:val="none" w:sz="0" w:space="0" w:color="auto"/>
                        <w:bottom w:val="none" w:sz="0" w:space="0" w:color="auto"/>
                        <w:right w:val="none" w:sz="0" w:space="0" w:color="auto"/>
                      </w:divBdr>
                    </w:div>
                  </w:divsChild>
                </w:div>
                <w:div w:id="873999708">
                  <w:marLeft w:val="0"/>
                  <w:marRight w:val="0"/>
                  <w:marTop w:val="0"/>
                  <w:marBottom w:val="0"/>
                  <w:divBdr>
                    <w:top w:val="none" w:sz="0" w:space="0" w:color="auto"/>
                    <w:left w:val="none" w:sz="0" w:space="0" w:color="auto"/>
                    <w:bottom w:val="none" w:sz="0" w:space="0" w:color="auto"/>
                    <w:right w:val="none" w:sz="0" w:space="0" w:color="auto"/>
                  </w:divBdr>
                  <w:divsChild>
                    <w:div w:id="10227808">
                      <w:marLeft w:val="0"/>
                      <w:marRight w:val="0"/>
                      <w:marTop w:val="0"/>
                      <w:marBottom w:val="0"/>
                      <w:divBdr>
                        <w:top w:val="none" w:sz="0" w:space="0" w:color="auto"/>
                        <w:left w:val="none" w:sz="0" w:space="0" w:color="auto"/>
                        <w:bottom w:val="none" w:sz="0" w:space="0" w:color="auto"/>
                        <w:right w:val="none" w:sz="0" w:space="0" w:color="auto"/>
                      </w:divBdr>
                    </w:div>
                  </w:divsChild>
                </w:div>
                <w:div w:id="889725605">
                  <w:marLeft w:val="0"/>
                  <w:marRight w:val="0"/>
                  <w:marTop w:val="0"/>
                  <w:marBottom w:val="0"/>
                  <w:divBdr>
                    <w:top w:val="none" w:sz="0" w:space="0" w:color="auto"/>
                    <w:left w:val="none" w:sz="0" w:space="0" w:color="auto"/>
                    <w:bottom w:val="none" w:sz="0" w:space="0" w:color="auto"/>
                    <w:right w:val="none" w:sz="0" w:space="0" w:color="auto"/>
                  </w:divBdr>
                  <w:divsChild>
                    <w:div w:id="288170248">
                      <w:marLeft w:val="0"/>
                      <w:marRight w:val="0"/>
                      <w:marTop w:val="0"/>
                      <w:marBottom w:val="0"/>
                      <w:divBdr>
                        <w:top w:val="none" w:sz="0" w:space="0" w:color="auto"/>
                        <w:left w:val="none" w:sz="0" w:space="0" w:color="auto"/>
                        <w:bottom w:val="none" w:sz="0" w:space="0" w:color="auto"/>
                        <w:right w:val="none" w:sz="0" w:space="0" w:color="auto"/>
                      </w:divBdr>
                    </w:div>
                  </w:divsChild>
                </w:div>
                <w:div w:id="904872514">
                  <w:marLeft w:val="0"/>
                  <w:marRight w:val="0"/>
                  <w:marTop w:val="0"/>
                  <w:marBottom w:val="0"/>
                  <w:divBdr>
                    <w:top w:val="none" w:sz="0" w:space="0" w:color="auto"/>
                    <w:left w:val="none" w:sz="0" w:space="0" w:color="auto"/>
                    <w:bottom w:val="none" w:sz="0" w:space="0" w:color="auto"/>
                    <w:right w:val="none" w:sz="0" w:space="0" w:color="auto"/>
                  </w:divBdr>
                  <w:divsChild>
                    <w:div w:id="1207723250">
                      <w:marLeft w:val="0"/>
                      <w:marRight w:val="0"/>
                      <w:marTop w:val="0"/>
                      <w:marBottom w:val="0"/>
                      <w:divBdr>
                        <w:top w:val="none" w:sz="0" w:space="0" w:color="auto"/>
                        <w:left w:val="none" w:sz="0" w:space="0" w:color="auto"/>
                        <w:bottom w:val="none" w:sz="0" w:space="0" w:color="auto"/>
                        <w:right w:val="none" w:sz="0" w:space="0" w:color="auto"/>
                      </w:divBdr>
                    </w:div>
                  </w:divsChild>
                </w:div>
                <w:div w:id="909928783">
                  <w:marLeft w:val="0"/>
                  <w:marRight w:val="0"/>
                  <w:marTop w:val="0"/>
                  <w:marBottom w:val="0"/>
                  <w:divBdr>
                    <w:top w:val="none" w:sz="0" w:space="0" w:color="auto"/>
                    <w:left w:val="none" w:sz="0" w:space="0" w:color="auto"/>
                    <w:bottom w:val="none" w:sz="0" w:space="0" w:color="auto"/>
                    <w:right w:val="none" w:sz="0" w:space="0" w:color="auto"/>
                  </w:divBdr>
                  <w:divsChild>
                    <w:div w:id="1829711123">
                      <w:marLeft w:val="0"/>
                      <w:marRight w:val="0"/>
                      <w:marTop w:val="0"/>
                      <w:marBottom w:val="0"/>
                      <w:divBdr>
                        <w:top w:val="none" w:sz="0" w:space="0" w:color="auto"/>
                        <w:left w:val="none" w:sz="0" w:space="0" w:color="auto"/>
                        <w:bottom w:val="none" w:sz="0" w:space="0" w:color="auto"/>
                        <w:right w:val="none" w:sz="0" w:space="0" w:color="auto"/>
                      </w:divBdr>
                    </w:div>
                  </w:divsChild>
                </w:div>
                <w:div w:id="913707468">
                  <w:marLeft w:val="0"/>
                  <w:marRight w:val="0"/>
                  <w:marTop w:val="0"/>
                  <w:marBottom w:val="0"/>
                  <w:divBdr>
                    <w:top w:val="none" w:sz="0" w:space="0" w:color="auto"/>
                    <w:left w:val="none" w:sz="0" w:space="0" w:color="auto"/>
                    <w:bottom w:val="none" w:sz="0" w:space="0" w:color="auto"/>
                    <w:right w:val="none" w:sz="0" w:space="0" w:color="auto"/>
                  </w:divBdr>
                  <w:divsChild>
                    <w:div w:id="1776359424">
                      <w:marLeft w:val="0"/>
                      <w:marRight w:val="0"/>
                      <w:marTop w:val="0"/>
                      <w:marBottom w:val="0"/>
                      <w:divBdr>
                        <w:top w:val="none" w:sz="0" w:space="0" w:color="auto"/>
                        <w:left w:val="none" w:sz="0" w:space="0" w:color="auto"/>
                        <w:bottom w:val="none" w:sz="0" w:space="0" w:color="auto"/>
                        <w:right w:val="none" w:sz="0" w:space="0" w:color="auto"/>
                      </w:divBdr>
                    </w:div>
                  </w:divsChild>
                </w:div>
                <w:div w:id="925769918">
                  <w:marLeft w:val="0"/>
                  <w:marRight w:val="0"/>
                  <w:marTop w:val="0"/>
                  <w:marBottom w:val="0"/>
                  <w:divBdr>
                    <w:top w:val="none" w:sz="0" w:space="0" w:color="auto"/>
                    <w:left w:val="none" w:sz="0" w:space="0" w:color="auto"/>
                    <w:bottom w:val="none" w:sz="0" w:space="0" w:color="auto"/>
                    <w:right w:val="none" w:sz="0" w:space="0" w:color="auto"/>
                  </w:divBdr>
                  <w:divsChild>
                    <w:div w:id="2012835892">
                      <w:marLeft w:val="0"/>
                      <w:marRight w:val="0"/>
                      <w:marTop w:val="0"/>
                      <w:marBottom w:val="0"/>
                      <w:divBdr>
                        <w:top w:val="none" w:sz="0" w:space="0" w:color="auto"/>
                        <w:left w:val="none" w:sz="0" w:space="0" w:color="auto"/>
                        <w:bottom w:val="none" w:sz="0" w:space="0" w:color="auto"/>
                        <w:right w:val="none" w:sz="0" w:space="0" w:color="auto"/>
                      </w:divBdr>
                    </w:div>
                  </w:divsChild>
                </w:div>
                <w:div w:id="987904707">
                  <w:marLeft w:val="0"/>
                  <w:marRight w:val="0"/>
                  <w:marTop w:val="0"/>
                  <w:marBottom w:val="0"/>
                  <w:divBdr>
                    <w:top w:val="none" w:sz="0" w:space="0" w:color="auto"/>
                    <w:left w:val="none" w:sz="0" w:space="0" w:color="auto"/>
                    <w:bottom w:val="none" w:sz="0" w:space="0" w:color="auto"/>
                    <w:right w:val="none" w:sz="0" w:space="0" w:color="auto"/>
                  </w:divBdr>
                  <w:divsChild>
                    <w:div w:id="570232287">
                      <w:marLeft w:val="0"/>
                      <w:marRight w:val="0"/>
                      <w:marTop w:val="0"/>
                      <w:marBottom w:val="0"/>
                      <w:divBdr>
                        <w:top w:val="none" w:sz="0" w:space="0" w:color="auto"/>
                        <w:left w:val="none" w:sz="0" w:space="0" w:color="auto"/>
                        <w:bottom w:val="none" w:sz="0" w:space="0" w:color="auto"/>
                        <w:right w:val="none" w:sz="0" w:space="0" w:color="auto"/>
                      </w:divBdr>
                    </w:div>
                  </w:divsChild>
                </w:div>
                <w:div w:id="994798289">
                  <w:marLeft w:val="0"/>
                  <w:marRight w:val="0"/>
                  <w:marTop w:val="0"/>
                  <w:marBottom w:val="0"/>
                  <w:divBdr>
                    <w:top w:val="none" w:sz="0" w:space="0" w:color="auto"/>
                    <w:left w:val="none" w:sz="0" w:space="0" w:color="auto"/>
                    <w:bottom w:val="none" w:sz="0" w:space="0" w:color="auto"/>
                    <w:right w:val="none" w:sz="0" w:space="0" w:color="auto"/>
                  </w:divBdr>
                  <w:divsChild>
                    <w:div w:id="2131896171">
                      <w:marLeft w:val="0"/>
                      <w:marRight w:val="0"/>
                      <w:marTop w:val="0"/>
                      <w:marBottom w:val="0"/>
                      <w:divBdr>
                        <w:top w:val="none" w:sz="0" w:space="0" w:color="auto"/>
                        <w:left w:val="none" w:sz="0" w:space="0" w:color="auto"/>
                        <w:bottom w:val="none" w:sz="0" w:space="0" w:color="auto"/>
                        <w:right w:val="none" w:sz="0" w:space="0" w:color="auto"/>
                      </w:divBdr>
                    </w:div>
                  </w:divsChild>
                </w:div>
                <w:div w:id="1023869340">
                  <w:marLeft w:val="0"/>
                  <w:marRight w:val="0"/>
                  <w:marTop w:val="0"/>
                  <w:marBottom w:val="0"/>
                  <w:divBdr>
                    <w:top w:val="none" w:sz="0" w:space="0" w:color="auto"/>
                    <w:left w:val="none" w:sz="0" w:space="0" w:color="auto"/>
                    <w:bottom w:val="none" w:sz="0" w:space="0" w:color="auto"/>
                    <w:right w:val="none" w:sz="0" w:space="0" w:color="auto"/>
                  </w:divBdr>
                  <w:divsChild>
                    <w:div w:id="617181550">
                      <w:marLeft w:val="0"/>
                      <w:marRight w:val="0"/>
                      <w:marTop w:val="0"/>
                      <w:marBottom w:val="0"/>
                      <w:divBdr>
                        <w:top w:val="none" w:sz="0" w:space="0" w:color="auto"/>
                        <w:left w:val="none" w:sz="0" w:space="0" w:color="auto"/>
                        <w:bottom w:val="none" w:sz="0" w:space="0" w:color="auto"/>
                        <w:right w:val="none" w:sz="0" w:space="0" w:color="auto"/>
                      </w:divBdr>
                    </w:div>
                  </w:divsChild>
                </w:div>
                <w:div w:id="1025835082">
                  <w:marLeft w:val="0"/>
                  <w:marRight w:val="0"/>
                  <w:marTop w:val="0"/>
                  <w:marBottom w:val="0"/>
                  <w:divBdr>
                    <w:top w:val="none" w:sz="0" w:space="0" w:color="auto"/>
                    <w:left w:val="none" w:sz="0" w:space="0" w:color="auto"/>
                    <w:bottom w:val="none" w:sz="0" w:space="0" w:color="auto"/>
                    <w:right w:val="none" w:sz="0" w:space="0" w:color="auto"/>
                  </w:divBdr>
                  <w:divsChild>
                    <w:div w:id="798038566">
                      <w:marLeft w:val="0"/>
                      <w:marRight w:val="0"/>
                      <w:marTop w:val="0"/>
                      <w:marBottom w:val="0"/>
                      <w:divBdr>
                        <w:top w:val="none" w:sz="0" w:space="0" w:color="auto"/>
                        <w:left w:val="none" w:sz="0" w:space="0" w:color="auto"/>
                        <w:bottom w:val="none" w:sz="0" w:space="0" w:color="auto"/>
                        <w:right w:val="none" w:sz="0" w:space="0" w:color="auto"/>
                      </w:divBdr>
                    </w:div>
                  </w:divsChild>
                </w:div>
                <w:div w:id="1061949171">
                  <w:marLeft w:val="0"/>
                  <w:marRight w:val="0"/>
                  <w:marTop w:val="0"/>
                  <w:marBottom w:val="0"/>
                  <w:divBdr>
                    <w:top w:val="none" w:sz="0" w:space="0" w:color="auto"/>
                    <w:left w:val="none" w:sz="0" w:space="0" w:color="auto"/>
                    <w:bottom w:val="none" w:sz="0" w:space="0" w:color="auto"/>
                    <w:right w:val="none" w:sz="0" w:space="0" w:color="auto"/>
                  </w:divBdr>
                  <w:divsChild>
                    <w:div w:id="1039089500">
                      <w:marLeft w:val="0"/>
                      <w:marRight w:val="0"/>
                      <w:marTop w:val="0"/>
                      <w:marBottom w:val="0"/>
                      <w:divBdr>
                        <w:top w:val="none" w:sz="0" w:space="0" w:color="auto"/>
                        <w:left w:val="none" w:sz="0" w:space="0" w:color="auto"/>
                        <w:bottom w:val="none" w:sz="0" w:space="0" w:color="auto"/>
                        <w:right w:val="none" w:sz="0" w:space="0" w:color="auto"/>
                      </w:divBdr>
                    </w:div>
                  </w:divsChild>
                </w:div>
                <w:div w:id="1066806812">
                  <w:marLeft w:val="0"/>
                  <w:marRight w:val="0"/>
                  <w:marTop w:val="0"/>
                  <w:marBottom w:val="0"/>
                  <w:divBdr>
                    <w:top w:val="none" w:sz="0" w:space="0" w:color="auto"/>
                    <w:left w:val="none" w:sz="0" w:space="0" w:color="auto"/>
                    <w:bottom w:val="none" w:sz="0" w:space="0" w:color="auto"/>
                    <w:right w:val="none" w:sz="0" w:space="0" w:color="auto"/>
                  </w:divBdr>
                  <w:divsChild>
                    <w:div w:id="1724600881">
                      <w:marLeft w:val="0"/>
                      <w:marRight w:val="0"/>
                      <w:marTop w:val="0"/>
                      <w:marBottom w:val="0"/>
                      <w:divBdr>
                        <w:top w:val="none" w:sz="0" w:space="0" w:color="auto"/>
                        <w:left w:val="none" w:sz="0" w:space="0" w:color="auto"/>
                        <w:bottom w:val="none" w:sz="0" w:space="0" w:color="auto"/>
                        <w:right w:val="none" w:sz="0" w:space="0" w:color="auto"/>
                      </w:divBdr>
                    </w:div>
                  </w:divsChild>
                </w:div>
                <w:div w:id="1086079237">
                  <w:marLeft w:val="0"/>
                  <w:marRight w:val="0"/>
                  <w:marTop w:val="0"/>
                  <w:marBottom w:val="0"/>
                  <w:divBdr>
                    <w:top w:val="none" w:sz="0" w:space="0" w:color="auto"/>
                    <w:left w:val="none" w:sz="0" w:space="0" w:color="auto"/>
                    <w:bottom w:val="none" w:sz="0" w:space="0" w:color="auto"/>
                    <w:right w:val="none" w:sz="0" w:space="0" w:color="auto"/>
                  </w:divBdr>
                  <w:divsChild>
                    <w:div w:id="1488745648">
                      <w:marLeft w:val="0"/>
                      <w:marRight w:val="0"/>
                      <w:marTop w:val="0"/>
                      <w:marBottom w:val="0"/>
                      <w:divBdr>
                        <w:top w:val="none" w:sz="0" w:space="0" w:color="auto"/>
                        <w:left w:val="none" w:sz="0" w:space="0" w:color="auto"/>
                        <w:bottom w:val="none" w:sz="0" w:space="0" w:color="auto"/>
                        <w:right w:val="none" w:sz="0" w:space="0" w:color="auto"/>
                      </w:divBdr>
                    </w:div>
                  </w:divsChild>
                </w:div>
                <w:div w:id="1093430645">
                  <w:marLeft w:val="0"/>
                  <w:marRight w:val="0"/>
                  <w:marTop w:val="0"/>
                  <w:marBottom w:val="0"/>
                  <w:divBdr>
                    <w:top w:val="none" w:sz="0" w:space="0" w:color="auto"/>
                    <w:left w:val="none" w:sz="0" w:space="0" w:color="auto"/>
                    <w:bottom w:val="none" w:sz="0" w:space="0" w:color="auto"/>
                    <w:right w:val="none" w:sz="0" w:space="0" w:color="auto"/>
                  </w:divBdr>
                  <w:divsChild>
                    <w:div w:id="1083531673">
                      <w:marLeft w:val="0"/>
                      <w:marRight w:val="0"/>
                      <w:marTop w:val="0"/>
                      <w:marBottom w:val="0"/>
                      <w:divBdr>
                        <w:top w:val="none" w:sz="0" w:space="0" w:color="auto"/>
                        <w:left w:val="none" w:sz="0" w:space="0" w:color="auto"/>
                        <w:bottom w:val="none" w:sz="0" w:space="0" w:color="auto"/>
                        <w:right w:val="none" w:sz="0" w:space="0" w:color="auto"/>
                      </w:divBdr>
                    </w:div>
                  </w:divsChild>
                </w:div>
                <w:div w:id="1099836668">
                  <w:marLeft w:val="0"/>
                  <w:marRight w:val="0"/>
                  <w:marTop w:val="0"/>
                  <w:marBottom w:val="0"/>
                  <w:divBdr>
                    <w:top w:val="none" w:sz="0" w:space="0" w:color="auto"/>
                    <w:left w:val="none" w:sz="0" w:space="0" w:color="auto"/>
                    <w:bottom w:val="none" w:sz="0" w:space="0" w:color="auto"/>
                    <w:right w:val="none" w:sz="0" w:space="0" w:color="auto"/>
                  </w:divBdr>
                  <w:divsChild>
                    <w:div w:id="1931280579">
                      <w:marLeft w:val="0"/>
                      <w:marRight w:val="0"/>
                      <w:marTop w:val="0"/>
                      <w:marBottom w:val="0"/>
                      <w:divBdr>
                        <w:top w:val="none" w:sz="0" w:space="0" w:color="auto"/>
                        <w:left w:val="none" w:sz="0" w:space="0" w:color="auto"/>
                        <w:bottom w:val="none" w:sz="0" w:space="0" w:color="auto"/>
                        <w:right w:val="none" w:sz="0" w:space="0" w:color="auto"/>
                      </w:divBdr>
                    </w:div>
                  </w:divsChild>
                </w:div>
                <w:div w:id="1126854828">
                  <w:marLeft w:val="0"/>
                  <w:marRight w:val="0"/>
                  <w:marTop w:val="0"/>
                  <w:marBottom w:val="0"/>
                  <w:divBdr>
                    <w:top w:val="none" w:sz="0" w:space="0" w:color="auto"/>
                    <w:left w:val="none" w:sz="0" w:space="0" w:color="auto"/>
                    <w:bottom w:val="none" w:sz="0" w:space="0" w:color="auto"/>
                    <w:right w:val="none" w:sz="0" w:space="0" w:color="auto"/>
                  </w:divBdr>
                  <w:divsChild>
                    <w:div w:id="453796329">
                      <w:marLeft w:val="0"/>
                      <w:marRight w:val="0"/>
                      <w:marTop w:val="0"/>
                      <w:marBottom w:val="0"/>
                      <w:divBdr>
                        <w:top w:val="none" w:sz="0" w:space="0" w:color="auto"/>
                        <w:left w:val="none" w:sz="0" w:space="0" w:color="auto"/>
                        <w:bottom w:val="none" w:sz="0" w:space="0" w:color="auto"/>
                        <w:right w:val="none" w:sz="0" w:space="0" w:color="auto"/>
                      </w:divBdr>
                    </w:div>
                  </w:divsChild>
                </w:div>
                <w:div w:id="1163282087">
                  <w:marLeft w:val="0"/>
                  <w:marRight w:val="0"/>
                  <w:marTop w:val="0"/>
                  <w:marBottom w:val="0"/>
                  <w:divBdr>
                    <w:top w:val="none" w:sz="0" w:space="0" w:color="auto"/>
                    <w:left w:val="none" w:sz="0" w:space="0" w:color="auto"/>
                    <w:bottom w:val="none" w:sz="0" w:space="0" w:color="auto"/>
                    <w:right w:val="none" w:sz="0" w:space="0" w:color="auto"/>
                  </w:divBdr>
                  <w:divsChild>
                    <w:div w:id="1817531033">
                      <w:marLeft w:val="0"/>
                      <w:marRight w:val="0"/>
                      <w:marTop w:val="0"/>
                      <w:marBottom w:val="0"/>
                      <w:divBdr>
                        <w:top w:val="none" w:sz="0" w:space="0" w:color="auto"/>
                        <w:left w:val="none" w:sz="0" w:space="0" w:color="auto"/>
                        <w:bottom w:val="none" w:sz="0" w:space="0" w:color="auto"/>
                        <w:right w:val="none" w:sz="0" w:space="0" w:color="auto"/>
                      </w:divBdr>
                    </w:div>
                  </w:divsChild>
                </w:div>
                <w:div w:id="1176266191">
                  <w:marLeft w:val="0"/>
                  <w:marRight w:val="0"/>
                  <w:marTop w:val="0"/>
                  <w:marBottom w:val="0"/>
                  <w:divBdr>
                    <w:top w:val="none" w:sz="0" w:space="0" w:color="auto"/>
                    <w:left w:val="none" w:sz="0" w:space="0" w:color="auto"/>
                    <w:bottom w:val="none" w:sz="0" w:space="0" w:color="auto"/>
                    <w:right w:val="none" w:sz="0" w:space="0" w:color="auto"/>
                  </w:divBdr>
                  <w:divsChild>
                    <w:div w:id="409667673">
                      <w:marLeft w:val="0"/>
                      <w:marRight w:val="0"/>
                      <w:marTop w:val="0"/>
                      <w:marBottom w:val="0"/>
                      <w:divBdr>
                        <w:top w:val="none" w:sz="0" w:space="0" w:color="auto"/>
                        <w:left w:val="none" w:sz="0" w:space="0" w:color="auto"/>
                        <w:bottom w:val="none" w:sz="0" w:space="0" w:color="auto"/>
                        <w:right w:val="none" w:sz="0" w:space="0" w:color="auto"/>
                      </w:divBdr>
                    </w:div>
                  </w:divsChild>
                </w:div>
                <w:div w:id="1186867050">
                  <w:marLeft w:val="0"/>
                  <w:marRight w:val="0"/>
                  <w:marTop w:val="0"/>
                  <w:marBottom w:val="0"/>
                  <w:divBdr>
                    <w:top w:val="none" w:sz="0" w:space="0" w:color="auto"/>
                    <w:left w:val="none" w:sz="0" w:space="0" w:color="auto"/>
                    <w:bottom w:val="none" w:sz="0" w:space="0" w:color="auto"/>
                    <w:right w:val="none" w:sz="0" w:space="0" w:color="auto"/>
                  </w:divBdr>
                  <w:divsChild>
                    <w:div w:id="2123374876">
                      <w:marLeft w:val="0"/>
                      <w:marRight w:val="0"/>
                      <w:marTop w:val="0"/>
                      <w:marBottom w:val="0"/>
                      <w:divBdr>
                        <w:top w:val="none" w:sz="0" w:space="0" w:color="auto"/>
                        <w:left w:val="none" w:sz="0" w:space="0" w:color="auto"/>
                        <w:bottom w:val="none" w:sz="0" w:space="0" w:color="auto"/>
                        <w:right w:val="none" w:sz="0" w:space="0" w:color="auto"/>
                      </w:divBdr>
                    </w:div>
                  </w:divsChild>
                </w:div>
                <w:div w:id="1194810554">
                  <w:marLeft w:val="0"/>
                  <w:marRight w:val="0"/>
                  <w:marTop w:val="0"/>
                  <w:marBottom w:val="0"/>
                  <w:divBdr>
                    <w:top w:val="none" w:sz="0" w:space="0" w:color="auto"/>
                    <w:left w:val="none" w:sz="0" w:space="0" w:color="auto"/>
                    <w:bottom w:val="none" w:sz="0" w:space="0" w:color="auto"/>
                    <w:right w:val="none" w:sz="0" w:space="0" w:color="auto"/>
                  </w:divBdr>
                  <w:divsChild>
                    <w:div w:id="944267840">
                      <w:marLeft w:val="0"/>
                      <w:marRight w:val="0"/>
                      <w:marTop w:val="0"/>
                      <w:marBottom w:val="0"/>
                      <w:divBdr>
                        <w:top w:val="none" w:sz="0" w:space="0" w:color="auto"/>
                        <w:left w:val="none" w:sz="0" w:space="0" w:color="auto"/>
                        <w:bottom w:val="none" w:sz="0" w:space="0" w:color="auto"/>
                        <w:right w:val="none" w:sz="0" w:space="0" w:color="auto"/>
                      </w:divBdr>
                    </w:div>
                  </w:divsChild>
                </w:div>
                <w:div w:id="1212620369">
                  <w:marLeft w:val="0"/>
                  <w:marRight w:val="0"/>
                  <w:marTop w:val="0"/>
                  <w:marBottom w:val="0"/>
                  <w:divBdr>
                    <w:top w:val="none" w:sz="0" w:space="0" w:color="auto"/>
                    <w:left w:val="none" w:sz="0" w:space="0" w:color="auto"/>
                    <w:bottom w:val="none" w:sz="0" w:space="0" w:color="auto"/>
                    <w:right w:val="none" w:sz="0" w:space="0" w:color="auto"/>
                  </w:divBdr>
                  <w:divsChild>
                    <w:div w:id="12073126">
                      <w:marLeft w:val="0"/>
                      <w:marRight w:val="0"/>
                      <w:marTop w:val="0"/>
                      <w:marBottom w:val="0"/>
                      <w:divBdr>
                        <w:top w:val="none" w:sz="0" w:space="0" w:color="auto"/>
                        <w:left w:val="none" w:sz="0" w:space="0" w:color="auto"/>
                        <w:bottom w:val="none" w:sz="0" w:space="0" w:color="auto"/>
                        <w:right w:val="none" w:sz="0" w:space="0" w:color="auto"/>
                      </w:divBdr>
                    </w:div>
                  </w:divsChild>
                </w:div>
                <w:div w:id="1221868371">
                  <w:marLeft w:val="0"/>
                  <w:marRight w:val="0"/>
                  <w:marTop w:val="0"/>
                  <w:marBottom w:val="0"/>
                  <w:divBdr>
                    <w:top w:val="none" w:sz="0" w:space="0" w:color="auto"/>
                    <w:left w:val="none" w:sz="0" w:space="0" w:color="auto"/>
                    <w:bottom w:val="none" w:sz="0" w:space="0" w:color="auto"/>
                    <w:right w:val="none" w:sz="0" w:space="0" w:color="auto"/>
                  </w:divBdr>
                  <w:divsChild>
                    <w:div w:id="870142263">
                      <w:marLeft w:val="0"/>
                      <w:marRight w:val="0"/>
                      <w:marTop w:val="0"/>
                      <w:marBottom w:val="0"/>
                      <w:divBdr>
                        <w:top w:val="none" w:sz="0" w:space="0" w:color="auto"/>
                        <w:left w:val="none" w:sz="0" w:space="0" w:color="auto"/>
                        <w:bottom w:val="none" w:sz="0" w:space="0" w:color="auto"/>
                        <w:right w:val="none" w:sz="0" w:space="0" w:color="auto"/>
                      </w:divBdr>
                    </w:div>
                  </w:divsChild>
                </w:div>
                <w:div w:id="1273052153">
                  <w:marLeft w:val="0"/>
                  <w:marRight w:val="0"/>
                  <w:marTop w:val="0"/>
                  <w:marBottom w:val="0"/>
                  <w:divBdr>
                    <w:top w:val="none" w:sz="0" w:space="0" w:color="auto"/>
                    <w:left w:val="none" w:sz="0" w:space="0" w:color="auto"/>
                    <w:bottom w:val="none" w:sz="0" w:space="0" w:color="auto"/>
                    <w:right w:val="none" w:sz="0" w:space="0" w:color="auto"/>
                  </w:divBdr>
                  <w:divsChild>
                    <w:div w:id="492338193">
                      <w:marLeft w:val="0"/>
                      <w:marRight w:val="0"/>
                      <w:marTop w:val="0"/>
                      <w:marBottom w:val="0"/>
                      <w:divBdr>
                        <w:top w:val="none" w:sz="0" w:space="0" w:color="auto"/>
                        <w:left w:val="none" w:sz="0" w:space="0" w:color="auto"/>
                        <w:bottom w:val="none" w:sz="0" w:space="0" w:color="auto"/>
                        <w:right w:val="none" w:sz="0" w:space="0" w:color="auto"/>
                      </w:divBdr>
                    </w:div>
                  </w:divsChild>
                </w:div>
                <w:div w:id="1317683280">
                  <w:marLeft w:val="0"/>
                  <w:marRight w:val="0"/>
                  <w:marTop w:val="0"/>
                  <w:marBottom w:val="0"/>
                  <w:divBdr>
                    <w:top w:val="none" w:sz="0" w:space="0" w:color="auto"/>
                    <w:left w:val="none" w:sz="0" w:space="0" w:color="auto"/>
                    <w:bottom w:val="none" w:sz="0" w:space="0" w:color="auto"/>
                    <w:right w:val="none" w:sz="0" w:space="0" w:color="auto"/>
                  </w:divBdr>
                  <w:divsChild>
                    <w:div w:id="1313565198">
                      <w:marLeft w:val="0"/>
                      <w:marRight w:val="0"/>
                      <w:marTop w:val="0"/>
                      <w:marBottom w:val="0"/>
                      <w:divBdr>
                        <w:top w:val="none" w:sz="0" w:space="0" w:color="auto"/>
                        <w:left w:val="none" w:sz="0" w:space="0" w:color="auto"/>
                        <w:bottom w:val="none" w:sz="0" w:space="0" w:color="auto"/>
                        <w:right w:val="none" w:sz="0" w:space="0" w:color="auto"/>
                      </w:divBdr>
                    </w:div>
                  </w:divsChild>
                </w:div>
                <w:div w:id="1330595695">
                  <w:marLeft w:val="0"/>
                  <w:marRight w:val="0"/>
                  <w:marTop w:val="0"/>
                  <w:marBottom w:val="0"/>
                  <w:divBdr>
                    <w:top w:val="none" w:sz="0" w:space="0" w:color="auto"/>
                    <w:left w:val="none" w:sz="0" w:space="0" w:color="auto"/>
                    <w:bottom w:val="none" w:sz="0" w:space="0" w:color="auto"/>
                    <w:right w:val="none" w:sz="0" w:space="0" w:color="auto"/>
                  </w:divBdr>
                  <w:divsChild>
                    <w:div w:id="1114909110">
                      <w:marLeft w:val="0"/>
                      <w:marRight w:val="0"/>
                      <w:marTop w:val="0"/>
                      <w:marBottom w:val="0"/>
                      <w:divBdr>
                        <w:top w:val="none" w:sz="0" w:space="0" w:color="auto"/>
                        <w:left w:val="none" w:sz="0" w:space="0" w:color="auto"/>
                        <w:bottom w:val="none" w:sz="0" w:space="0" w:color="auto"/>
                        <w:right w:val="none" w:sz="0" w:space="0" w:color="auto"/>
                      </w:divBdr>
                    </w:div>
                  </w:divsChild>
                </w:div>
                <w:div w:id="1354302808">
                  <w:marLeft w:val="0"/>
                  <w:marRight w:val="0"/>
                  <w:marTop w:val="0"/>
                  <w:marBottom w:val="0"/>
                  <w:divBdr>
                    <w:top w:val="none" w:sz="0" w:space="0" w:color="auto"/>
                    <w:left w:val="none" w:sz="0" w:space="0" w:color="auto"/>
                    <w:bottom w:val="none" w:sz="0" w:space="0" w:color="auto"/>
                    <w:right w:val="none" w:sz="0" w:space="0" w:color="auto"/>
                  </w:divBdr>
                  <w:divsChild>
                    <w:div w:id="1018507226">
                      <w:marLeft w:val="0"/>
                      <w:marRight w:val="0"/>
                      <w:marTop w:val="0"/>
                      <w:marBottom w:val="0"/>
                      <w:divBdr>
                        <w:top w:val="none" w:sz="0" w:space="0" w:color="auto"/>
                        <w:left w:val="none" w:sz="0" w:space="0" w:color="auto"/>
                        <w:bottom w:val="none" w:sz="0" w:space="0" w:color="auto"/>
                        <w:right w:val="none" w:sz="0" w:space="0" w:color="auto"/>
                      </w:divBdr>
                    </w:div>
                  </w:divsChild>
                </w:div>
                <w:div w:id="1362784034">
                  <w:marLeft w:val="0"/>
                  <w:marRight w:val="0"/>
                  <w:marTop w:val="0"/>
                  <w:marBottom w:val="0"/>
                  <w:divBdr>
                    <w:top w:val="none" w:sz="0" w:space="0" w:color="auto"/>
                    <w:left w:val="none" w:sz="0" w:space="0" w:color="auto"/>
                    <w:bottom w:val="none" w:sz="0" w:space="0" w:color="auto"/>
                    <w:right w:val="none" w:sz="0" w:space="0" w:color="auto"/>
                  </w:divBdr>
                  <w:divsChild>
                    <w:div w:id="1234045664">
                      <w:marLeft w:val="0"/>
                      <w:marRight w:val="0"/>
                      <w:marTop w:val="0"/>
                      <w:marBottom w:val="0"/>
                      <w:divBdr>
                        <w:top w:val="none" w:sz="0" w:space="0" w:color="auto"/>
                        <w:left w:val="none" w:sz="0" w:space="0" w:color="auto"/>
                        <w:bottom w:val="none" w:sz="0" w:space="0" w:color="auto"/>
                        <w:right w:val="none" w:sz="0" w:space="0" w:color="auto"/>
                      </w:divBdr>
                    </w:div>
                  </w:divsChild>
                </w:div>
                <w:div w:id="1367028261">
                  <w:marLeft w:val="0"/>
                  <w:marRight w:val="0"/>
                  <w:marTop w:val="0"/>
                  <w:marBottom w:val="0"/>
                  <w:divBdr>
                    <w:top w:val="none" w:sz="0" w:space="0" w:color="auto"/>
                    <w:left w:val="none" w:sz="0" w:space="0" w:color="auto"/>
                    <w:bottom w:val="none" w:sz="0" w:space="0" w:color="auto"/>
                    <w:right w:val="none" w:sz="0" w:space="0" w:color="auto"/>
                  </w:divBdr>
                  <w:divsChild>
                    <w:div w:id="1133137420">
                      <w:marLeft w:val="0"/>
                      <w:marRight w:val="0"/>
                      <w:marTop w:val="0"/>
                      <w:marBottom w:val="0"/>
                      <w:divBdr>
                        <w:top w:val="none" w:sz="0" w:space="0" w:color="auto"/>
                        <w:left w:val="none" w:sz="0" w:space="0" w:color="auto"/>
                        <w:bottom w:val="none" w:sz="0" w:space="0" w:color="auto"/>
                        <w:right w:val="none" w:sz="0" w:space="0" w:color="auto"/>
                      </w:divBdr>
                    </w:div>
                  </w:divsChild>
                </w:div>
                <w:div w:id="1450928033">
                  <w:marLeft w:val="0"/>
                  <w:marRight w:val="0"/>
                  <w:marTop w:val="0"/>
                  <w:marBottom w:val="0"/>
                  <w:divBdr>
                    <w:top w:val="none" w:sz="0" w:space="0" w:color="auto"/>
                    <w:left w:val="none" w:sz="0" w:space="0" w:color="auto"/>
                    <w:bottom w:val="none" w:sz="0" w:space="0" w:color="auto"/>
                    <w:right w:val="none" w:sz="0" w:space="0" w:color="auto"/>
                  </w:divBdr>
                  <w:divsChild>
                    <w:div w:id="1873883352">
                      <w:marLeft w:val="0"/>
                      <w:marRight w:val="0"/>
                      <w:marTop w:val="0"/>
                      <w:marBottom w:val="0"/>
                      <w:divBdr>
                        <w:top w:val="none" w:sz="0" w:space="0" w:color="auto"/>
                        <w:left w:val="none" w:sz="0" w:space="0" w:color="auto"/>
                        <w:bottom w:val="none" w:sz="0" w:space="0" w:color="auto"/>
                        <w:right w:val="none" w:sz="0" w:space="0" w:color="auto"/>
                      </w:divBdr>
                    </w:div>
                  </w:divsChild>
                </w:div>
                <w:div w:id="1480540451">
                  <w:marLeft w:val="0"/>
                  <w:marRight w:val="0"/>
                  <w:marTop w:val="0"/>
                  <w:marBottom w:val="0"/>
                  <w:divBdr>
                    <w:top w:val="none" w:sz="0" w:space="0" w:color="auto"/>
                    <w:left w:val="none" w:sz="0" w:space="0" w:color="auto"/>
                    <w:bottom w:val="none" w:sz="0" w:space="0" w:color="auto"/>
                    <w:right w:val="none" w:sz="0" w:space="0" w:color="auto"/>
                  </w:divBdr>
                  <w:divsChild>
                    <w:div w:id="2003464569">
                      <w:marLeft w:val="0"/>
                      <w:marRight w:val="0"/>
                      <w:marTop w:val="0"/>
                      <w:marBottom w:val="0"/>
                      <w:divBdr>
                        <w:top w:val="none" w:sz="0" w:space="0" w:color="auto"/>
                        <w:left w:val="none" w:sz="0" w:space="0" w:color="auto"/>
                        <w:bottom w:val="none" w:sz="0" w:space="0" w:color="auto"/>
                        <w:right w:val="none" w:sz="0" w:space="0" w:color="auto"/>
                      </w:divBdr>
                    </w:div>
                  </w:divsChild>
                </w:div>
                <w:div w:id="1485052257">
                  <w:marLeft w:val="0"/>
                  <w:marRight w:val="0"/>
                  <w:marTop w:val="0"/>
                  <w:marBottom w:val="0"/>
                  <w:divBdr>
                    <w:top w:val="none" w:sz="0" w:space="0" w:color="auto"/>
                    <w:left w:val="none" w:sz="0" w:space="0" w:color="auto"/>
                    <w:bottom w:val="none" w:sz="0" w:space="0" w:color="auto"/>
                    <w:right w:val="none" w:sz="0" w:space="0" w:color="auto"/>
                  </w:divBdr>
                  <w:divsChild>
                    <w:div w:id="974942815">
                      <w:marLeft w:val="0"/>
                      <w:marRight w:val="0"/>
                      <w:marTop w:val="0"/>
                      <w:marBottom w:val="0"/>
                      <w:divBdr>
                        <w:top w:val="none" w:sz="0" w:space="0" w:color="auto"/>
                        <w:left w:val="none" w:sz="0" w:space="0" w:color="auto"/>
                        <w:bottom w:val="none" w:sz="0" w:space="0" w:color="auto"/>
                        <w:right w:val="none" w:sz="0" w:space="0" w:color="auto"/>
                      </w:divBdr>
                    </w:div>
                  </w:divsChild>
                </w:div>
                <w:div w:id="1508906312">
                  <w:marLeft w:val="0"/>
                  <w:marRight w:val="0"/>
                  <w:marTop w:val="0"/>
                  <w:marBottom w:val="0"/>
                  <w:divBdr>
                    <w:top w:val="none" w:sz="0" w:space="0" w:color="auto"/>
                    <w:left w:val="none" w:sz="0" w:space="0" w:color="auto"/>
                    <w:bottom w:val="none" w:sz="0" w:space="0" w:color="auto"/>
                    <w:right w:val="none" w:sz="0" w:space="0" w:color="auto"/>
                  </w:divBdr>
                  <w:divsChild>
                    <w:div w:id="1447579863">
                      <w:marLeft w:val="0"/>
                      <w:marRight w:val="0"/>
                      <w:marTop w:val="0"/>
                      <w:marBottom w:val="0"/>
                      <w:divBdr>
                        <w:top w:val="none" w:sz="0" w:space="0" w:color="auto"/>
                        <w:left w:val="none" w:sz="0" w:space="0" w:color="auto"/>
                        <w:bottom w:val="none" w:sz="0" w:space="0" w:color="auto"/>
                        <w:right w:val="none" w:sz="0" w:space="0" w:color="auto"/>
                      </w:divBdr>
                    </w:div>
                  </w:divsChild>
                </w:div>
                <w:div w:id="1527017650">
                  <w:marLeft w:val="0"/>
                  <w:marRight w:val="0"/>
                  <w:marTop w:val="0"/>
                  <w:marBottom w:val="0"/>
                  <w:divBdr>
                    <w:top w:val="none" w:sz="0" w:space="0" w:color="auto"/>
                    <w:left w:val="none" w:sz="0" w:space="0" w:color="auto"/>
                    <w:bottom w:val="none" w:sz="0" w:space="0" w:color="auto"/>
                    <w:right w:val="none" w:sz="0" w:space="0" w:color="auto"/>
                  </w:divBdr>
                  <w:divsChild>
                    <w:div w:id="1612980602">
                      <w:marLeft w:val="0"/>
                      <w:marRight w:val="0"/>
                      <w:marTop w:val="0"/>
                      <w:marBottom w:val="0"/>
                      <w:divBdr>
                        <w:top w:val="none" w:sz="0" w:space="0" w:color="auto"/>
                        <w:left w:val="none" w:sz="0" w:space="0" w:color="auto"/>
                        <w:bottom w:val="none" w:sz="0" w:space="0" w:color="auto"/>
                        <w:right w:val="none" w:sz="0" w:space="0" w:color="auto"/>
                      </w:divBdr>
                    </w:div>
                  </w:divsChild>
                </w:div>
                <w:div w:id="1549537639">
                  <w:marLeft w:val="0"/>
                  <w:marRight w:val="0"/>
                  <w:marTop w:val="0"/>
                  <w:marBottom w:val="0"/>
                  <w:divBdr>
                    <w:top w:val="none" w:sz="0" w:space="0" w:color="auto"/>
                    <w:left w:val="none" w:sz="0" w:space="0" w:color="auto"/>
                    <w:bottom w:val="none" w:sz="0" w:space="0" w:color="auto"/>
                    <w:right w:val="none" w:sz="0" w:space="0" w:color="auto"/>
                  </w:divBdr>
                  <w:divsChild>
                    <w:div w:id="1215773752">
                      <w:marLeft w:val="0"/>
                      <w:marRight w:val="0"/>
                      <w:marTop w:val="0"/>
                      <w:marBottom w:val="0"/>
                      <w:divBdr>
                        <w:top w:val="none" w:sz="0" w:space="0" w:color="auto"/>
                        <w:left w:val="none" w:sz="0" w:space="0" w:color="auto"/>
                        <w:bottom w:val="none" w:sz="0" w:space="0" w:color="auto"/>
                        <w:right w:val="none" w:sz="0" w:space="0" w:color="auto"/>
                      </w:divBdr>
                    </w:div>
                  </w:divsChild>
                </w:div>
                <w:div w:id="1580335271">
                  <w:marLeft w:val="0"/>
                  <w:marRight w:val="0"/>
                  <w:marTop w:val="0"/>
                  <w:marBottom w:val="0"/>
                  <w:divBdr>
                    <w:top w:val="none" w:sz="0" w:space="0" w:color="auto"/>
                    <w:left w:val="none" w:sz="0" w:space="0" w:color="auto"/>
                    <w:bottom w:val="none" w:sz="0" w:space="0" w:color="auto"/>
                    <w:right w:val="none" w:sz="0" w:space="0" w:color="auto"/>
                  </w:divBdr>
                  <w:divsChild>
                    <w:div w:id="1721779791">
                      <w:marLeft w:val="0"/>
                      <w:marRight w:val="0"/>
                      <w:marTop w:val="0"/>
                      <w:marBottom w:val="0"/>
                      <w:divBdr>
                        <w:top w:val="none" w:sz="0" w:space="0" w:color="auto"/>
                        <w:left w:val="none" w:sz="0" w:space="0" w:color="auto"/>
                        <w:bottom w:val="none" w:sz="0" w:space="0" w:color="auto"/>
                        <w:right w:val="none" w:sz="0" w:space="0" w:color="auto"/>
                      </w:divBdr>
                    </w:div>
                  </w:divsChild>
                </w:div>
                <w:div w:id="1582983313">
                  <w:marLeft w:val="0"/>
                  <w:marRight w:val="0"/>
                  <w:marTop w:val="0"/>
                  <w:marBottom w:val="0"/>
                  <w:divBdr>
                    <w:top w:val="none" w:sz="0" w:space="0" w:color="auto"/>
                    <w:left w:val="none" w:sz="0" w:space="0" w:color="auto"/>
                    <w:bottom w:val="none" w:sz="0" w:space="0" w:color="auto"/>
                    <w:right w:val="none" w:sz="0" w:space="0" w:color="auto"/>
                  </w:divBdr>
                  <w:divsChild>
                    <w:div w:id="30229077">
                      <w:marLeft w:val="0"/>
                      <w:marRight w:val="0"/>
                      <w:marTop w:val="0"/>
                      <w:marBottom w:val="0"/>
                      <w:divBdr>
                        <w:top w:val="none" w:sz="0" w:space="0" w:color="auto"/>
                        <w:left w:val="none" w:sz="0" w:space="0" w:color="auto"/>
                        <w:bottom w:val="none" w:sz="0" w:space="0" w:color="auto"/>
                        <w:right w:val="none" w:sz="0" w:space="0" w:color="auto"/>
                      </w:divBdr>
                    </w:div>
                  </w:divsChild>
                </w:div>
                <w:div w:id="1649086420">
                  <w:marLeft w:val="0"/>
                  <w:marRight w:val="0"/>
                  <w:marTop w:val="0"/>
                  <w:marBottom w:val="0"/>
                  <w:divBdr>
                    <w:top w:val="none" w:sz="0" w:space="0" w:color="auto"/>
                    <w:left w:val="none" w:sz="0" w:space="0" w:color="auto"/>
                    <w:bottom w:val="none" w:sz="0" w:space="0" w:color="auto"/>
                    <w:right w:val="none" w:sz="0" w:space="0" w:color="auto"/>
                  </w:divBdr>
                  <w:divsChild>
                    <w:div w:id="1839419223">
                      <w:marLeft w:val="0"/>
                      <w:marRight w:val="0"/>
                      <w:marTop w:val="0"/>
                      <w:marBottom w:val="0"/>
                      <w:divBdr>
                        <w:top w:val="none" w:sz="0" w:space="0" w:color="auto"/>
                        <w:left w:val="none" w:sz="0" w:space="0" w:color="auto"/>
                        <w:bottom w:val="none" w:sz="0" w:space="0" w:color="auto"/>
                        <w:right w:val="none" w:sz="0" w:space="0" w:color="auto"/>
                      </w:divBdr>
                    </w:div>
                  </w:divsChild>
                </w:div>
                <w:div w:id="1676496681">
                  <w:marLeft w:val="0"/>
                  <w:marRight w:val="0"/>
                  <w:marTop w:val="0"/>
                  <w:marBottom w:val="0"/>
                  <w:divBdr>
                    <w:top w:val="none" w:sz="0" w:space="0" w:color="auto"/>
                    <w:left w:val="none" w:sz="0" w:space="0" w:color="auto"/>
                    <w:bottom w:val="none" w:sz="0" w:space="0" w:color="auto"/>
                    <w:right w:val="none" w:sz="0" w:space="0" w:color="auto"/>
                  </w:divBdr>
                  <w:divsChild>
                    <w:div w:id="638455908">
                      <w:marLeft w:val="0"/>
                      <w:marRight w:val="0"/>
                      <w:marTop w:val="0"/>
                      <w:marBottom w:val="0"/>
                      <w:divBdr>
                        <w:top w:val="none" w:sz="0" w:space="0" w:color="auto"/>
                        <w:left w:val="none" w:sz="0" w:space="0" w:color="auto"/>
                        <w:bottom w:val="none" w:sz="0" w:space="0" w:color="auto"/>
                        <w:right w:val="none" w:sz="0" w:space="0" w:color="auto"/>
                      </w:divBdr>
                    </w:div>
                  </w:divsChild>
                </w:div>
                <w:div w:id="1683045829">
                  <w:marLeft w:val="0"/>
                  <w:marRight w:val="0"/>
                  <w:marTop w:val="0"/>
                  <w:marBottom w:val="0"/>
                  <w:divBdr>
                    <w:top w:val="none" w:sz="0" w:space="0" w:color="auto"/>
                    <w:left w:val="none" w:sz="0" w:space="0" w:color="auto"/>
                    <w:bottom w:val="none" w:sz="0" w:space="0" w:color="auto"/>
                    <w:right w:val="none" w:sz="0" w:space="0" w:color="auto"/>
                  </w:divBdr>
                  <w:divsChild>
                    <w:div w:id="2098554983">
                      <w:marLeft w:val="0"/>
                      <w:marRight w:val="0"/>
                      <w:marTop w:val="0"/>
                      <w:marBottom w:val="0"/>
                      <w:divBdr>
                        <w:top w:val="none" w:sz="0" w:space="0" w:color="auto"/>
                        <w:left w:val="none" w:sz="0" w:space="0" w:color="auto"/>
                        <w:bottom w:val="none" w:sz="0" w:space="0" w:color="auto"/>
                        <w:right w:val="none" w:sz="0" w:space="0" w:color="auto"/>
                      </w:divBdr>
                    </w:div>
                  </w:divsChild>
                </w:div>
                <w:div w:id="1720469957">
                  <w:marLeft w:val="0"/>
                  <w:marRight w:val="0"/>
                  <w:marTop w:val="0"/>
                  <w:marBottom w:val="0"/>
                  <w:divBdr>
                    <w:top w:val="none" w:sz="0" w:space="0" w:color="auto"/>
                    <w:left w:val="none" w:sz="0" w:space="0" w:color="auto"/>
                    <w:bottom w:val="none" w:sz="0" w:space="0" w:color="auto"/>
                    <w:right w:val="none" w:sz="0" w:space="0" w:color="auto"/>
                  </w:divBdr>
                  <w:divsChild>
                    <w:div w:id="1882281859">
                      <w:marLeft w:val="0"/>
                      <w:marRight w:val="0"/>
                      <w:marTop w:val="0"/>
                      <w:marBottom w:val="0"/>
                      <w:divBdr>
                        <w:top w:val="none" w:sz="0" w:space="0" w:color="auto"/>
                        <w:left w:val="none" w:sz="0" w:space="0" w:color="auto"/>
                        <w:bottom w:val="none" w:sz="0" w:space="0" w:color="auto"/>
                        <w:right w:val="none" w:sz="0" w:space="0" w:color="auto"/>
                      </w:divBdr>
                    </w:div>
                  </w:divsChild>
                </w:div>
                <w:div w:id="1729572108">
                  <w:marLeft w:val="0"/>
                  <w:marRight w:val="0"/>
                  <w:marTop w:val="0"/>
                  <w:marBottom w:val="0"/>
                  <w:divBdr>
                    <w:top w:val="none" w:sz="0" w:space="0" w:color="auto"/>
                    <w:left w:val="none" w:sz="0" w:space="0" w:color="auto"/>
                    <w:bottom w:val="none" w:sz="0" w:space="0" w:color="auto"/>
                    <w:right w:val="none" w:sz="0" w:space="0" w:color="auto"/>
                  </w:divBdr>
                  <w:divsChild>
                    <w:div w:id="639188375">
                      <w:marLeft w:val="0"/>
                      <w:marRight w:val="0"/>
                      <w:marTop w:val="0"/>
                      <w:marBottom w:val="0"/>
                      <w:divBdr>
                        <w:top w:val="none" w:sz="0" w:space="0" w:color="auto"/>
                        <w:left w:val="none" w:sz="0" w:space="0" w:color="auto"/>
                        <w:bottom w:val="none" w:sz="0" w:space="0" w:color="auto"/>
                        <w:right w:val="none" w:sz="0" w:space="0" w:color="auto"/>
                      </w:divBdr>
                    </w:div>
                  </w:divsChild>
                </w:div>
                <w:div w:id="1747148434">
                  <w:marLeft w:val="0"/>
                  <w:marRight w:val="0"/>
                  <w:marTop w:val="0"/>
                  <w:marBottom w:val="0"/>
                  <w:divBdr>
                    <w:top w:val="none" w:sz="0" w:space="0" w:color="auto"/>
                    <w:left w:val="none" w:sz="0" w:space="0" w:color="auto"/>
                    <w:bottom w:val="none" w:sz="0" w:space="0" w:color="auto"/>
                    <w:right w:val="none" w:sz="0" w:space="0" w:color="auto"/>
                  </w:divBdr>
                  <w:divsChild>
                    <w:div w:id="2025594097">
                      <w:marLeft w:val="0"/>
                      <w:marRight w:val="0"/>
                      <w:marTop w:val="0"/>
                      <w:marBottom w:val="0"/>
                      <w:divBdr>
                        <w:top w:val="none" w:sz="0" w:space="0" w:color="auto"/>
                        <w:left w:val="none" w:sz="0" w:space="0" w:color="auto"/>
                        <w:bottom w:val="none" w:sz="0" w:space="0" w:color="auto"/>
                        <w:right w:val="none" w:sz="0" w:space="0" w:color="auto"/>
                      </w:divBdr>
                    </w:div>
                  </w:divsChild>
                </w:div>
                <w:div w:id="1756053952">
                  <w:marLeft w:val="0"/>
                  <w:marRight w:val="0"/>
                  <w:marTop w:val="0"/>
                  <w:marBottom w:val="0"/>
                  <w:divBdr>
                    <w:top w:val="none" w:sz="0" w:space="0" w:color="auto"/>
                    <w:left w:val="none" w:sz="0" w:space="0" w:color="auto"/>
                    <w:bottom w:val="none" w:sz="0" w:space="0" w:color="auto"/>
                    <w:right w:val="none" w:sz="0" w:space="0" w:color="auto"/>
                  </w:divBdr>
                  <w:divsChild>
                    <w:div w:id="1774008924">
                      <w:marLeft w:val="0"/>
                      <w:marRight w:val="0"/>
                      <w:marTop w:val="0"/>
                      <w:marBottom w:val="0"/>
                      <w:divBdr>
                        <w:top w:val="none" w:sz="0" w:space="0" w:color="auto"/>
                        <w:left w:val="none" w:sz="0" w:space="0" w:color="auto"/>
                        <w:bottom w:val="none" w:sz="0" w:space="0" w:color="auto"/>
                        <w:right w:val="none" w:sz="0" w:space="0" w:color="auto"/>
                      </w:divBdr>
                    </w:div>
                  </w:divsChild>
                </w:div>
                <w:div w:id="1809743224">
                  <w:marLeft w:val="0"/>
                  <w:marRight w:val="0"/>
                  <w:marTop w:val="0"/>
                  <w:marBottom w:val="0"/>
                  <w:divBdr>
                    <w:top w:val="none" w:sz="0" w:space="0" w:color="auto"/>
                    <w:left w:val="none" w:sz="0" w:space="0" w:color="auto"/>
                    <w:bottom w:val="none" w:sz="0" w:space="0" w:color="auto"/>
                    <w:right w:val="none" w:sz="0" w:space="0" w:color="auto"/>
                  </w:divBdr>
                  <w:divsChild>
                    <w:div w:id="2075619435">
                      <w:marLeft w:val="0"/>
                      <w:marRight w:val="0"/>
                      <w:marTop w:val="0"/>
                      <w:marBottom w:val="0"/>
                      <w:divBdr>
                        <w:top w:val="none" w:sz="0" w:space="0" w:color="auto"/>
                        <w:left w:val="none" w:sz="0" w:space="0" w:color="auto"/>
                        <w:bottom w:val="none" w:sz="0" w:space="0" w:color="auto"/>
                        <w:right w:val="none" w:sz="0" w:space="0" w:color="auto"/>
                      </w:divBdr>
                    </w:div>
                  </w:divsChild>
                </w:div>
                <w:div w:id="1857425621">
                  <w:marLeft w:val="0"/>
                  <w:marRight w:val="0"/>
                  <w:marTop w:val="0"/>
                  <w:marBottom w:val="0"/>
                  <w:divBdr>
                    <w:top w:val="none" w:sz="0" w:space="0" w:color="auto"/>
                    <w:left w:val="none" w:sz="0" w:space="0" w:color="auto"/>
                    <w:bottom w:val="none" w:sz="0" w:space="0" w:color="auto"/>
                    <w:right w:val="none" w:sz="0" w:space="0" w:color="auto"/>
                  </w:divBdr>
                  <w:divsChild>
                    <w:div w:id="180241886">
                      <w:marLeft w:val="0"/>
                      <w:marRight w:val="0"/>
                      <w:marTop w:val="0"/>
                      <w:marBottom w:val="0"/>
                      <w:divBdr>
                        <w:top w:val="none" w:sz="0" w:space="0" w:color="auto"/>
                        <w:left w:val="none" w:sz="0" w:space="0" w:color="auto"/>
                        <w:bottom w:val="none" w:sz="0" w:space="0" w:color="auto"/>
                        <w:right w:val="none" w:sz="0" w:space="0" w:color="auto"/>
                      </w:divBdr>
                    </w:div>
                  </w:divsChild>
                </w:div>
                <w:div w:id="1905067511">
                  <w:marLeft w:val="0"/>
                  <w:marRight w:val="0"/>
                  <w:marTop w:val="0"/>
                  <w:marBottom w:val="0"/>
                  <w:divBdr>
                    <w:top w:val="none" w:sz="0" w:space="0" w:color="auto"/>
                    <w:left w:val="none" w:sz="0" w:space="0" w:color="auto"/>
                    <w:bottom w:val="none" w:sz="0" w:space="0" w:color="auto"/>
                    <w:right w:val="none" w:sz="0" w:space="0" w:color="auto"/>
                  </w:divBdr>
                  <w:divsChild>
                    <w:div w:id="1528986532">
                      <w:marLeft w:val="0"/>
                      <w:marRight w:val="0"/>
                      <w:marTop w:val="0"/>
                      <w:marBottom w:val="0"/>
                      <w:divBdr>
                        <w:top w:val="none" w:sz="0" w:space="0" w:color="auto"/>
                        <w:left w:val="none" w:sz="0" w:space="0" w:color="auto"/>
                        <w:bottom w:val="none" w:sz="0" w:space="0" w:color="auto"/>
                        <w:right w:val="none" w:sz="0" w:space="0" w:color="auto"/>
                      </w:divBdr>
                    </w:div>
                  </w:divsChild>
                </w:div>
                <w:div w:id="1922175947">
                  <w:marLeft w:val="0"/>
                  <w:marRight w:val="0"/>
                  <w:marTop w:val="0"/>
                  <w:marBottom w:val="0"/>
                  <w:divBdr>
                    <w:top w:val="none" w:sz="0" w:space="0" w:color="auto"/>
                    <w:left w:val="none" w:sz="0" w:space="0" w:color="auto"/>
                    <w:bottom w:val="none" w:sz="0" w:space="0" w:color="auto"/>
                    <w:right w:val="none" w:sz="0" w:space="0" w:color="auto"/>
                  </w:divBdr>
                  <w:divsChild>
                    <w:div w:id="852300627">
                      <w:marLeft w:val="0"/>
                      <w:marRight w:val="0"/>
                      <w:marTop w:val="0"/>
                      <w:marBottom w:val="0"/>
                      <w:divBdr>
                        <w:top w:val="none" w:sz="0" w:space="0" w:color="auto"/>
                        <w:left w:val="none" w:sz="0" w:space="0" w:color="auto"/>
                        <w:bottom w:val="none" w:sz="0" w:space="0" w:color="auto"/>
                        <w:right w:val="none" w:sz="0" w:space="0" w:color="auto"/>
                      </w:divBdr>
                    </w:div>
                  </w:divsChild>
                </w:div>
                <w:div w:id="1947420195">
                  <w:marLeft w:val="0"/>
                  <w:marRight w:val="0"/>
                  <w:marTop w:val="0"/>
                  <w:marBottom w:val="0"/>
                  <w:divBdr>
                    <w:top w:val="none" w:sz="0" w:space="0" w:color="auto"/>
                    <w:left w:val="none" w:sz="0" w:space="0" w:color="auto"/>
                    <w:bottom w:val="none" w:sz="0" w:space="0" w:color="auto"/>
                    <w:right w:val="none" w:sz="0" w:space="0" w:color="auto"/>
                  </w:divBdr>
                  <w:divsChild>
                    <w:div w:id="919213858">
                      <w:marLeft w:val="0"/>
                      <w:marRight w:val="0"/>
                      <w:marTop w:val="0"/>
                      <w:marBottom w:val="0"/>
                      <w:divBdr>
                        <w:top w:val="none" w:sz="0" w:space="0" w:color="auto"/>
                        <w:left w:val="none" w:sz="0" w:space="0" w:color="auto"/>
                        <w:bottom w:val="none" w:sz="0" w:space="0" w:color="auto"/>
                        <w:right w:val="none" w:sz="0" w:space="0" w:color="auto"/>
                      </w:divBdr>
                    </w:div>
                  </w:divsChild>
                </w:div>
                <w:div w:id="1960139293">
                  <w:marLeft w:val="0"/>
                  <w:marRight w:val="0"/>
                  <w:marTop w:val="0"/>
                  <w:marBottom w:val="0"/>
                  <w:divBdr>
                    <w:top w:val="none" w:sz="0" w:space="0" w:color="auto"/>
                    <w:left w:val="none" w:sz="0" w:space="0" w:color="auto"/>
                    <w:bottom w:val="none" w:sz="0" w:space="0" w:color="auto"/>
                    <w:right w:val="none" w:sz="0" w:space="0" w:color="auto"/>
                  </w:divBdr>
                  <w:divsChild>
                    <w:div w:id="2061243727">
                      <w:marLeft w:val="0"/>
                      <w:marRight w:val="0"/>
                      <w:marTop w:val="0"/>
                      <w:marBottom w:val="0"/>
                      <w:divBdr>
                        <w:top w:val="none" w:sz="0" w:space="0" w:color="auto"/>
                        <w:left w:val="none" w:sz="0" w:space="0" w:color="auto"/>
                        <w:bottom w:val="none" w:sz="0" w:space="0" w:color="auto"/>
                        <w:right w:val="none" w:sz="0" w:space="0" w:color="auto"/>
                      </w:divBdr>
                    </w:div>
                  </w:divsChild>
                </w:div>
                <w:div w:id="1963342406">
                  <w:marLeft w:val="0"/>
                  <w:marRight w:val="0"/>
                  <w:marTop w:val="0"/>
                  <w:marBottom w:val="0"/>
                  <w:divBdr>
                    <w:top w:val="none" w:sz="0" w:space="0" w:color="auto"/>
                    <w:left w:val="none" w:sz="0" w:space="0" w:color="auto"/>
                    <w:bottom w:val="none" w:sz="0" w:space="0" w:color="auto"/>
                    <w:right w:val="none" w:sz="0" w:space="0" w:color="auto"/>
                  </w:divBdr>
                  <w:divsChild>
                    <w:div w:id="1824665112">
                      <w:marLeft w:val="0"/>
                      <w:marRight w:val="0"/>
                      <w:marTop w:val="0"/>
                      <w:marBottom w:val="0"/>
                      <w:divBdr>
                        <w:top w:val="none" w:sz="0" w:space="0" w:color="auto"/>
                        <w:left w:val="none" w:sz="0" w:space="0" w:color="auto"/>
                        <w:bottom w:val="none" w:sz="0" w:space="0" w:color="auto"/>
                        <w:right w:val="none" w:sz="0" w:space="0" w:color="auto"/>
                      </w:divBdr>
                    </w:div>
                  </w:divsChild>
                </w:div>
                <w:div w:id="1964577885">
                  <w:marLeft w:val="0"/>
                  <w:marRight w:val="0"/>
                  <w:marTop w:val="0"/>
                  <w:marBottom w:val="0"/>
                  <w:divBdr>
                    <w:top w:val="none" w:sz="0" w:space="0" w:color="auto"/>
                    <w:left w:val="none" w:sz="0" w:space="0" w:color="auto"/>
                    <w:bottom w:val="none" w:sz="0" w:space="0" w:color="auto"/>
                    <w:right w:val="none" w:sz="0" w:space="0" w:color="auto"/>
                  </w:divBdr>
                  <w:divsChild>
                    <w:div w:id="1704986861">
                      <w:marLeft w:val="0"/>
                      <w:marRight w:val="0"/>
                      <w:marTop w:val="0"/>
                      <w:marBottom w:val="0"/>
                      <w:divBdr>
                        <w:top w:val="none" w:sz="0" w:space="0" w:color="auto"/>
                        <w:left w:val="none" w:sz="0" w:space="0" w:color="auto"/>
                        <w:bottom w:val="none" w:sz="0" w:space="0" w:color="auto"/>
                        <w:right w:val="none" w:sz="0" w:space="0" w:color="auto"/>
                      </w:divBdr>
                    </w:div>
                  </w:divsChild>
                </w:div>
                <w:div w:id="1980109204">
                  <w:marLeft w:val="0"/>
                  <w:marRight w:val="0"/>
                  <w:marTop w:val="0"/>
                  <w:marBottom w:val="0"/>
                  <w:divBdr>
                    <w:top w:val="none" w:sz="0" w:space="0" w:color="auto"/>
                    <w:left w:val="none" w:sz="0" w:space="0" w:color="auto"/>
                    <w:bottom w:val="none" w:sz="0" w:space="0" w:color="auto"/>
                    <w:right w:val="none" w:sz="0" w:space="0" w:color="auto"/>
                  </w:divBdr>
                  <w:divsChild>
                    <w:div w:id="494145757">
                      <w:marLeft w:val="0"/>
                      <w:marRight w:val="0"/>
                      <w:marTop w:val="0"/>
                      <w:marBottom w:val="0"/>
                      <w:divBdr>
                        <w:top w:val="none" w:sz="0" w:space="0" w:color="auto"/>
                        <w:left w:val="none" w:sz="0" w:space="0" w:color="auto"/>
                        <w:bottom w:val="none" w:sz="0" w:space="0" w:color="auto"/>
                        <w:right w:val="none" w:sz="0" w:space="0" w:color="auto"/>
                      </w:divBdr>
                    </w:div>
                  </w:divsChild>
                </w:div>
                <w:div w:id="1993368693">
                  <w:marLeft w:val="0"/>
                  <w:marRight w:val="0"/>
                  <w:marTop w:val="0"/>
                  <w:marBottom w:val="0"/>
                  <w:divBdr>
                    <w:top w:val="none" w:sz="0" w:space="0" w:color="auto"/>
                    <w:left w:val="none" w:sz="0" w:space="0" w:color="auto"/>
                    <w:bottom w:val="none" w:sz="0" w:space="0" w:color="auto"/>
                    <w:right w:val="none" w:sz="0" w:space="0" w:color="auto"/>
                  </w:divBdr>
                  <w:divsChild>
                    <w:div w:id="975841756">
                      <w:marLeft w:val="0"/>
                      <w:marRight w:val="0"/>
                      <w:marTop w:val="0"/>
                      <w:marBottom w:val="0"/>
                      <w:divBdr>
                        <w:top w:val="none" w:sz="0" w:space="0" w:color="auto"/>
                        <w:left w:val="none" w:sz="0" w:space="0" w:color="auto"/>
                        <w:bottom w:val="none" w:sz="0" w:space="0" w:color="auto"/>
                        <w:right w:val="none" w:sz="0" w:space="0" w:color="auto"/>
                      </w:divBdr>
                    </w:div>
                  </w:divsChild>
                </w:div>
                <w:div w:id="1999189119">
                  <w:marLeft w:val="0"/>
                  <w:marRight w:val="0"/>
                  <w:marTop w:val="0"/>
                  <w:marBottom w:val="0"/>
                  <w:divBdr>
                    <w:top w:val="none" w:sz="0" w:space="0" w:color="auto"/>
                    <w:left w:val="none" w:sz="0" w:space="0" w:color="auto"/>
                    <w:bottom w:val="none" w:sz="0" w:space="0" w:color="auto"/>
                    <w:right w:val="none" w:sz="0" w:space="0" w:color="auto"/>
                  </w:divBdr>
                  <w:divsChild>
                    <w:div w:id="936866447">
                      <w:marLeft w:val="0"/>
                      <w:marRight w:val="0"/>
                      <w:marTop w:val="0"/>
                      <w:marBottom w:val="0"/>
                      <w:divBdr>
                        <w:top w:val="none" w:sz="0" w:space="0" w:color="auto"/>
                        <w:left w:val="none" w:sz="0" w:space="0" w:color="auto"/>
                        <w:bottom w:val="none" w:sz="0" w:space="0" w:color="auto"/>
                        <w:right w:val="none" w:sz="0" w:space="0" w:color="auto"/>
                      </w:divBdr>
                    </w:div>
                  </w:divsChild>
                </w:div>
                <w:div w:id="2041857911">
                  <w:marLeft w:val="0"/>
                  <w:marRight w:val="0"/>
                  <w:marTop w:val="0"/>
                  <w:marBottom w:val="0"/>
                  <w:divBdr>
                    <w:top w:val="none" w:sz="0" w:space="0" w:color="auto"/>
                    <w:left w:val="none" w:sz="0" w:space="0" w:color="auto"/>
                    <w:bottom w:val="none" w:sz="0" w:space="0" w:color="auto"/>
                    <w:right w:val="none" w:sz="0" w:space="0" w:color="auto"/>
                  </w:divBdr>
                  <w:divsChild>
                    <w:div w:id="1314601481">
                      <w:marLeft w:val="0"/>
                      <w:marRight w:val="0"/>
                      <w:marTop w:val="0"/>
                      <w:marBottom w:val="0"/>
                      <w:divBdr>
                        <w:top w:val="none" w:sz="0" w:space="0" w:color="auto"/>
                        <w:left w:val="none" w:sz="0" w:space="0" w:color="auto"/>
                        <w:bottom w:val="none" w:sz="0" w:space="0" w:color="auto"/>
                        <w:right w:val="none" w:sz="0" w:space="0" w:color="auto"/>
                      </w:divBdr>
                    </w:div>
                  </w:divsChild>
                </w:div>
                <w:div w:id="2052610296">
                  <w:marLeft w:val="0"/>
                  <w:marRight w:val="0"/>
                  <w:marTop w:val="0"/>
                  <w:marBottom w:val="0"/>
                  <w:divBdr>
                    <w:top w:val="none" w:sz="0" w:space="0" w:color="auto"/>
                    <w:left w:val="none" w:sz="0" w:space="0" w:color="auto"/>
                    <w:bottom w:val="none" w:sz="0" w:space="0" w:color="auto"/>
                    <w:right w:val="none" w:sz="0" w:space="0" w:color="auto"/>
                  </w:divBdr>
                  <w:divsChild>
                    <w:div w:id="866142917">
                      <w:marLeft w:val="0"/>
                      <w:marRight w:val="0"/>
                      <w:marTop w:val="0"/>
                      <w:marBottom w:val="0"/>
                      <w:divBdr>
                        <w:top w:val="none" w:sz="0" w:space="0" w:color="auto"/>
                        <w:left w:val="none" w:sz="0" w:space="0" w:color="auto"/>
                        <w:bottom w:val="none" w:sz="0" w:space="0" w:color="auto"/>
                        <w:right w:val="none" w:sz="0" w:space="0" w:color="auto"/>
                      </w:divBdr>
                    </w:div>
                  </w:divsChild>
                </w:div>
                <w:div w:id="2065373951">
                  <w:marLeft w:val="0"/>
                  <w:marRight w:val="0"/>
                  <w:marTop w:val="0"/>
                  <w:marBottom w:val="0"/>
                  <w:divBdr>
                    <w:top w:val="none" w:sz="0" w:space="0" w:color="auto"/>
                    <w:left w:val="none" w:sz="0" w:space="0" w:color="auto"/>
                    <w:bottom w:val="none" w:sz="0" w:space="0" w:color="auto"/>
                    <w:right w:val="none" w:sz="0" w:space="0" w:color="auto"/>
                  </w:divBdr>
                  <w:divsChild>
                    <w:div w:id="733427636">
                      <w:marLeft w:val="0"/>
                      <w:marRight w:val="0"/>
                      <w:marTop w:val="0"/>
                      <w:marBottom w:val="0"/>
                      <w:divBdr>
                        <w:top w:val="none" w:sz="0" w:space="0" w:color="auto"/>
                        <w:left w:val="none" w:sz="0" w:space="0" w:color="auto"/>
                        <w:bottom w:val="none" w:sz="0" w:space="0" w:color="auto"/>
                        <w:right w:val="none" w:sz="0" w:space="0" w:color="auto"/>
                      </w:divBdr>
                    </w:div>
                  </w:divsChild>
                </w:div>
                <w:div w:id="2069068068">
                  <w:marLeft w:val="0"/>
                  <w:marRight w:val="0"/>
                  <w:marTop w:val="0"/>
                  <w:marBottom w:val="0"/>
                  <w:divBdr>
                    <w:top w:val="none" w:sz="0" w:space="0" w:color="auto"/>
                    <w:left w:val="none" w:sz="0" w:space="0" w:color="auto"/>
                    <w:bottom w:val="none" w:sz="0" w:space="0" w:color="auto"/>
                    <w:right w:val="none" w:sz="0" w:space="0" w:color="auto"/>
                  </w:divBdr>
                  <w:divsChild>
                    <w:div w:id="181822744">
                      <w:marLeft w:val="0"/>
                      <w:marRight w:val="0"/>
                      <w:marTop w:val="0"/>
                      <w:marBottom w:val="0"/>
                      <w:divBdr>
                        <w:top w:val="none" w:sz="0" w:space="0" w:color="auto"/>
                        <w:left w:val="none" w:sz="0" w:space="0" w:color="auto"/>
                        <w:bottom w:val="none" w:sz="0" w:space="0" w:color="auto"/>
                        <w:right w:val="none" w:sz="0" w:space="0" w:color="auto"/>
                      </w:divBdr>
                    </w:div>
                  </w:divsChild>
                </w:div>
                <w:div w:id="2069109037">
                  <w:marLeft w:val="0"/>
                  <w:marRight w:val="0"/>
                  <w:marTop w:val="0"/>
                  <w:marBottom w:val="0"/>
                  <w:divBdr>
                    <w:top w:val="none" w:sz="0" w:space="0" w:color="auto"/>
                    <w:left w:val="none" w:sz="0" w:space="0" w:color="auto"/>
                    <w:bottom w:val="none" w:sz="0" w:space="0" w:color="auto"/>
                    <w:right w:val="none" w:sz="0" w:space="0" w:color="auto"/>
                  </w:divBdr>
                  <w:divsChild>
                    <w:div w:id="264770014">
                      <w:marLeft w:val="0"/>
                      <w:marRight w:val="0"/>
                      <w:marTop w:val="0"/>
                      <w:marBottom w:val="0"/>
                      <w:divBdr>
                        <w:top w:val="none" w:sz="0" w:space="0" w:color="auto"/>
                        <w:left w:val="none" w:sz="0" w:space="0" w:color="auto"/>
                        <w:bottom w:val="none" w:sz="0" w:space="0" w:color="auto"/>
                        <w:right w:val="none" w:sz="0" w:space="0" w:color="auto"/>
                      </w:divBdr>
                    </w:div>
                  </w:divsChild>
                </w:div>
                <w:div w:id="2093159469">
                  <w:marLeft w:val="0"/>
                  <w:marRight w:val="0"/>
                  <w:marTop w:val="0"/>
                  <w:marBottom w:val="0"/>
                  <w:divBdr>
                    <w:top w:val="none" w:sz="0" w:space="0" w:color="auto"/>
                    <w:left w:val="none" w:sz="0" w:space="0" w:color="auto"/>
                    <w:bottom w:val="none" w:sz="0" w:space="0" w:color="auto"/>
                    <w:right w:val="none" w:sz="0" w:space="0" w:color="auto"/>
                  </w:divBdr>
                  <w:divsChild>
                    <w:div w:id="861628323">
                      <w:marLeft w:val="0"/>
                      <w:marRight w:val="0"/>
                      <w:marTop w:val="0"/>
                      <w:marBottom w:val="0"/>
                      <w:divBdr>
                        <w:top w:val="none" w:sz="0" w:space="0" w:color="auto"/>
                        <w:left w:val="none" w:sz="0" w:space="0" w:color="auto"/>
                        <w:bottom w:val="none" w:sz="0" w:space="0" w:color="auto"/>
                        <w:right w:val="none" w:sz="0" w:space="0" w:color="auto"/>
                      </w:divBdr>
                    </w:div>
                  </w:divsChild>
                </w:div>
                <w:div w:id="2095586940">
                  <w:marLeft w:val="0"/>
                  <w:marRight w:val="0"/>
                  <w:marTop w:val="0"/>
                  <w:marBottom w:val="0"/>
                  <w:divBdr>
                    <w:top w:val="none" w:sz="0" w:space="0" w:color="auto"/>
                    <w:left w:val="none" w:sz="0" w:space="0" w:color="auto"/>
                    <w:bottom w:val="none" w:sz="0" w:space="0" w:color="auto"/>
                    <w:right w:val="none" w:sz="0" w:space="0" w:color="auto"/>
                  </w:divBdr>
                  <w:divsChild>
                    <w:div w:id="2047824962">
                      <w:marLeft w:val="0"/>
                      <w:marRight w:val="0"/>
                      <w:marTop w:val="0"/>
                      <w:marBottom w:val="0"/>
                      <w:divBdr>
                        <w:top w:val="none" w:sz="0" w:space="0" w:color="auto"/>
                        <w:left w:val="none" w:sz="0" w:space="0" w:color="auto"/>
                        <w:bottom w:val="none" w:sz="0" w:space="0" w:color="auto"/>
                        <w:right w:val="none" w:sz="0" w:space="0" w:color="auto"/>
                      </w:divBdr>
                    </w:div>
                  </w:divsChild>
                </w:div>
                <w:div w:id="2117288914">
                  <w:marLeft w:val="0"/>
                  <w:marRight w:val="0"/>
                  <w:marTop w:val="0"/>
                  <w:marBottom w:val="0"/>
                  <w:divBdr>
                    <w:top w:val="none" w:sz="0" w:space="0" w:color="auto"/>
                    <w:left w:val="none" w:sz="0" w:space="0" w:color="auto"/>
                    <w:bottom w:val="none" w:sz="0" w:space="0" w:color="auto"/>
                    <w:right w:val="none" w:sz="0" w:space="0" w:color="auto"/>
                  </w:divBdr>
                  <w:divsChild>
                    <w:div w:id="1038897484">
                      <w:marLeft w:val="0"/>
                      <w:marRight w:val="0"/>
                      <w:marTop w:val="0"/>
                      <w:marBottom w:val="0"/>
                      <w:divBdr>
                        <w:top w:val="none" w:sz="0" w:space="0" w:color="auto"/>
                        <w:left w:val="none" w:sz="0" w:space="0" w:color="auto"/>
                        <w:bottom w:val="none" w:sz="0" w:space="0" w:color="auto"/>
                        <w:right w:val="none" w:sz="0" w:space="0" w:color="auto"/>
                      </w:divBdr>
                    </w:div>
                  </w:divsChild>
                </w:div>
                <w:div w:id="2134640424">
                  <w:marLeft w:val="0"/>
                  <w:marRight w:val="0"/>
                  <w:marTop w:val="0"/>
                  <w:marBottom w:val="0"/>
                  <w:divBdr>
                    <w:top w:val="none" w:sz="0" w:space="0" w:color="auto"/>
                    <w:left w:val="none" w:sz="0" w:space="0" w:color="auto"/>
                    <w:bottom w:val="none" w:sz="0" w:space="0" w:color="auto"/>
                    <w:right w:val="none" w:sz="0" w:space="0" w:color="auto"/>
                  </w:divBdr>
                  <w:divsChild>
                    <w:div w:id="1750812523">
                      <w:marLeft w:val="0"/>
                      <w:marRight w:val="0"/>
                      <w:marTop w:val="0"/>
                      <w:marBottom w:val="0"/>
                      <w:divBdr>
                        <w:top w:val="none" w:sz="0" w:space="0" w:color="auto"/>
                        <w:left w:val="none" w:sz="0" w:space="0" w:color="auto"/>
                        <w:bottom w:val="none" w:sz="0" w:space="0" w:color="auto"/>
                        <w:right w:val="none" w:sz="0" w:space="0" w:color="auto"/>
                      </w:divBdr>
                    </w:div>
                  </w:divsChild>
                </w:div>
                <w:div w:id="2140296417">
                  <w:marLeft w:val="0"/>
                  <w:marRight w:val="0"/>
                  <w:marTop w:val="0"/>
                  <w:marBottom w:val="0"/>
                  <w:divBdr>
                    <w:top w:val="none" w:sz="0" w:space="0" w:color="auto"/>
                    <w:left w:val="none" w:sz="0" w:space="0" w:color="auto"/>
                    <w:bottom w:val="none" w:sz="0" w:space="0" w:color="auto"/>
                    <w:right w:val="none" w:sz="0" w:space="0" w:color="auto"/>
                  </w:divBdr>
                  <w:divsChild>
                    <w:div w:id="47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91986">
      <w:bodyDiv w:val="1"/>
      <w:marLeft w:val="0"/>
      <w:marRight w:val="0"/>
      <w:marTop w:val="0"/>
      <w:marBottom w:val="0"/>
      <w:divBdr>
        <w:top w:val="none" w:sz="0" w:space="0" w:color="auto"/>
        <w:left w:val="none" w:sz="0" w:space="0" w:color="auto"/>
        <w:bottom w:val="none" w:sz="0" w:space="0" w:color="auto"/>
        <w:right w:val="none" w:sz="0" w:space="0" w:color="auto"/>
      </w:divBdr>
      <w:divsChild>
        <w:div w:id="1279215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553270">
              <w:marLeft w:val="0"/>
              <w:marRight w:val="0"/>
              <w:marTop w:val="0"/>
              <w:marBottom w:val="0"/>
              <w:divBdr>
                <w:top w:val="none" w:sz="0" w:space="0" w:color="auto"/>
                <w:left w:val="none" w:sz="0" w:space="0" w:color="auto"/>
                <w:bottom w:val="none" w:sz="0" w:space="0" w:color="auto"/>
                <w:right w:val="none" w:sz="0" w:space="0" w:color="auto"/>
              </w:divBdr>
              <w:divsChild>
                <w:div w:id="276986621">
                  <w:marLeft w:val="0"/>
                  <w:marRight w:val="0"/>
                  <w:marTop w:val="0"/>
                  <w:marBottom w:val="0"/>
                  <w:divBdr>
                    <w:top w:val="none" w:sz="0" w:space="0" w:color="auto"/>
                    <w:left w:val="none" w:sz="0" w:space="0" w:color="auto"/>
                    <w:bottom w:val="none" w:sz="0" w:space="0" w:color="auto"/>
                    <w:right w:val="none" w:sz="0" w:space="0" w:color="auto"/>
                  </w:divBdr>
                  <w:divsChild>
                    <w:div w:id="1340042528">
                      <w:marLeft w:val="0"/>
                      <w:marRight w:val="0"/>
                      <w:marTop w:val="0"/>
                      <w:marBottom w:val="0"/>
                      <w:divBdr>
                        <w:top w:val="none" w:sz="0" w:space="0" w:color="auto"/>
                        <w:left w:val="none" w:sz="0" w:space="0" w:color="auto"/>
                        <w:bottom w:val="none" w:sz="0" w:space="0" w:color="auto"/>
                        <w:right w:val="none" w:sz="0" w:space="0" w:color="auto"/>
                      </w:divBdr>
                      <w:divsChild>
                        <w:div w:id="11776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03646">
      <w:bodyDiv w:val="1"/>
      <w:marLeft w:val="0"/>
      <w:marRight w:val="0"/>
      <w:marTop w:val="0"/>
      <w:marBottom w:val="0"/>
      <w:divBdr>
        <w:top w:val="none" w:sz="0" w:space="0" w:color="auto"/>
        <w:left w:val="none" w:sz="0" w:space="0" w:color="auto"/>
        <w:bottom w:val="none" w:sz="0" w:space="0" w:color="auto"/>
        <w:right w:val="none" w:sz="0" w:space="0" w:color="auto"/>
      </w:divBdr>
    </w:div>
    <w:div w:id="760756408">
      <w:bodyDiv w:val="1"/>
      <w:marLeft w:val="0"/>
      <w:marRight w:val="0"/>
      <w:marTop w:val="0"/>
      <w:marBottom w:val="0"/>
      <w:divBdr>
        <w:top w:val="none" w:sz="0" w:space="0" w:color="auto"/>
        <w:left w:val="none" w:sz="0" w:space="0" w:color="auto"/>
        <w:bottom w:val="none" w:sz="0" w:space="0" w:color="auto"/>
        <w:right w:val="none" w:sz="0" w:space="0" w:color="auto"/>
      </w:divBdr>
    </w:div>
    <w:div w:id="1034967007">
      <w:bodyDiv w:val="1"/>
      <w:marLeft w:val="0"/>
      <w:marRight w:val="0"/>
      <w:marTop w:val="0"/>
      <w:marBottom w:val="0"/>
      <w:divBdr>
        <w:top w:val="none" w:sz="0" w:space="0" w:color="auto"/>
        <w:left w:val="none" w:sz="0" w:space="0" w:color="auto"/>
        <w:bottom w:val="none" w:sz="0" w:space="0" w:color="auto"/>
        <w:right w:val="none" w:sz="0" w:space="0" w:color="auto"/>
      </w:divBdr>
      <w:divsChild>
        <w:div w:id="12609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998092">
              <w:marLeft w:val="0"/>
              <w:marRight w:val="0"/>
              <w:marTop w:val="0"/>
              <w:marBottom w:val="0"/>
              <w:divBdr>
                <w:top w:val="none" w:sz="0" w:space="0" w:color="auto"/>
                <w:left w:val="none" w:sz="0" w:space="0" w:color="auto"/>
                <w:bottom w:val="none" w:sz="0" w:space="0" w:color="auto"/>
                <w:right w:val="none" w:sz="0" w:space="0" w:color="auto"/>
              </w:divBdr>
              <w:divsChild>
                <w:div w:id="1585990810">
                  <w:marLeft w:val="0"/>
                  <w:marRight w:val="0"/>
                  <w:marTop w:val="0"/>
                  <w:marBottom w:val="0"/>
                  <w:divBdr>
                    <w:top w:val="none" w:sz="0" w:space="0" w:color="auto"/>
                    <w:left w:val="none" w:sz="0" w:space="0" w:color="auto"/>
                    <w:bottom w:val="none" w:sz="0" w:space="0" w:color="auto"/>
                    <w:right w:val="none" w:sz="0" w:space="0" w:color="auto"/>
                  </w:divBdr>
                  <w:divsChild>
                    <w:div w:id="945038174">
                      <w:marLeft w:val="0"/>
                      <w:marRight w:val="0"/>
                      <w:marTop w:val="0"/>
                      <w:marBottom w:val="0"/>
                      <w:divBdr>
                        <w:top w:val="none" w:sz="0" w:space="0" w:color="auto"/>
                        <w:left w:val="none" w:sz="0" w:space="0" w:color="auto"/>
                        <w:bottom w:val="none" w:sz="0" w:space="0" w:color="auto"/>
                        <w:right w:val="none" w:sz="0" w:space="0" w:color="auto"/>
                      </w:divBdr>
                      <w:divsChild>
                        <w:div w:id="13602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233">
      <w:bodyDiv w:val="1"/>
      <w:marLeft w:val="0"/>
      <w:marRight w:val="0"/>
      <w:marTop w:val="0"/>
      <w:marBottom w:val="0"/>
      <w:divBdr>
        <w:top w:val="none" w:sz="0" w:space="0" w:color="auto"/>
        <w:left w:val="none" w:sz="0" w:space="0" w:color="auto"/>
        <w:bottom w:val="none" w:sz="0" w:space="0" w:color="auto"/>
        <w:right w:val="none" w:sz="0" w:space="0" w:color="auto"/>
      </w:divBdr>
      <w:divsChild>
        <w:div w:id="2085951288">
          <w:marLeft w:val="0"/>
          <w:marRight w:val="0"/>
          <w:marTop w:val="0"/>
          <w:marBottom w:val="0"/>
          <w:divBdr>
            <w:top w:val="none" w:sz="0" w:space="0" w:color="auto"/>
            <w:left w:val="none" w:sz="0" w:space="0" w:color="auto"/>
            <w:bottom w:val="none" w:sz="0" w:space="0" w:color="auto"/>
            <w:right w:val="none" w:sz="0" w:space="0" w:color="auto"/>
          </w:divBdr>
          <w:divsChild>
            <w:div w:id="710542913">
              <w:marLeft w:val="0"/>
              <w:marRight w:val="0"/>
              <w:marTop w:val="0"/>
              <w:marBottom w:val="0"/>
              <w:divBdr>
                <w:top w:val="none" w:sz="0" w:space="0" w:color="auto"/>
                <w:left w:val="none" w:sz="0" w:space="0" w:color="auto"/>
                <w:bottom w:val="none" w:sz="0" w:space="0" w:color="auto"/>
                <w:right w:val="none" w:sz="0" w:space="0" w:color="auto"/>
              </w:divBdr>
              <w:divsChild>
                <w:div w:id="12017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3292">
      <w:bodyDiv w:val="1"/>
      <w:marLeft w:val="0"/>
      <w:marRight w:val="0"/>
      <w:marTop w:val="0"/>
      <w:marBottom w:val="0"/>
      <w:divBdr>
        <w:top w:val="none" w:sz="0" w:space="0" w:color="auto"/>
        <w:left w:val="none" w:sz="0" w:space="0" w:color="auto"/>
        <w:bottom w:val="none" w:sz="0" w:space="0" w:color="auto"/>
        <w:right w:val="none" w:sz="0" w:space="0" w:color="auto"/>
      </w:divBdr>
      <w:divsChild>
        <w:div w:id="794257748">
          <w:marLeft w:val="0"/>
          <w:marRight w:val="0"/>
          <w:marTop w:val="0"/>
          <w:marBottom w:val="0"/>
          <w:divBdr>
            <w:top w:val="none" w:sz="0" w:space="0" w:color="auto"/>
            <w:left w:val="none" w:sz="0" w:space="0" w:color="auto"/>
            <w:bottom w:val="none" w:sz="0" w:space="0" w:color="auto"/>
            <w:right w:val="none" w:sz="0" w:space="0" w:color="auto"/>
          </w:divBdr>
        </w:div>
        <w:div w:id="998659663">
          <w:marLeft w:val="0"/>
          <w:marRight w:val="0"/>
          <w:marTop w:val="0"/>
          <w:marBottom w:val="0"/>
          <w:divBdr>
            <w:top w:val="none" w:sz="0" w:space="0" w:color="auto"/>
            <w:left w:val="none" w:sz="0" w:space="0" w:color="auto"/>
            <w:bottom w:val="none" w:sz="0" w:space="0" w:color="auto"/>
            <w:right w:val="none" w:sz="0" w:space="0" w:color="auto"/>
          </w:divBdr>
        </w:div>
      </w:divsChild>
    </w:div>
    <w:div w:id="1633747259">
      <w:bodyDiv w:val="1"/>
      <w:marLeft w:val="0"/>
      <w:marRight w:val="0"/>
      <w:marTop w:val="0"/>
      <w:marBottom w:val="0"/>
      <w:divBdr>
        <w:top w:val="none" w:sz="0" w:space="0" w:color="auto"/>
        <w:left w:val="none" w:sz="0" w:space="0" w:color="auto"/>
        <w:bottom w:val="none" w:sz="0" w:space="0" w:color="auto"/>
        <w:right w:val="none" w:sz="0" w:space="0" w:color="auto"/>
      </w:divBdr>
    </w:div>
    <w:div w:id="1642147873">
      <w:bodyDiv w:val="1"/>
      <w:marLeft w:val="0"/>
      <w:marRight w:val="0"/>
      <w:marTop w:val="0"/>
      <w:marBottom w:val="0"/>
      <w:divBdr>
        <w:top w:val="none" w:sz="0" w:space="0" w:color="auto"/>
        <w:left w:val="none" w:sz="0" w:space="0" w:color="auto"/>
        <w:bottom w:val="none" w:sz="0" w:space="0" w:color="auto"/>
        <w:right w:val="none" w:sz="0" w:space="0" w:color="auto"/>
      </w:divBdr>
    </w:div>
    <w:div w:id="1985545748">
      <w:bodyDiv w:val="1"/>
      <w:marLeft w:val="0"/>
      <w:marRight w:val="0"/>
      <w:marTop w:val="0"/>
      <w:marBottom w:val="0"/>
      <w:divBdr>
        <w:top w:val="none" w:sz="0" w:space="0" w:color="auto"/>
        <w:left w:val="none" w:sz="0" w:space="0" w:color="auto"/>
        <w:bottom w:val="none" w:sz="0" w:space="0" w:color="auto"/>
        <w:right w:val="none" w:sz="0" w:space="0" w:color="auto"/>
      </w:divBdr>
      <w:divsChild>
        <w:div w:id="276104313">
          <w:marLeft w:val="0"/>
          <w:marRight w:val="0"/>
          <w:marTop w:val="0"/>
          <w:marBottom w:val="0"/>
          <w:divBdr>
            <w:top w:val="none" w:sz="0" w:space="0" w:color="auto"/>
            <w:left w:val="none" w:sz="0" w:space="0" w:color="auto"/>
            <w:bottom w:val="none" w:sz="0" w:space="0" w:color="auto"/>
            <w:right w:val="none" w:sz="0" w:space="0" w:color="auto"/>
          </w:divBdr>
          <w:divsChild>
            <w:div w:id="912012192">
              <w:marLeft w:val="-75"/>
              <w:marRight w:val="0"/>
              <w:marTop w:val="30"/>
              <w:marBottom w:val="30"/>
              <w:divBdr>
                <w:top w:val="none" w:sz="0" w:space="0" w:color="auto"/>
                <w:left w:val="none" w:sz="0" w:space="0" w:color="auto"/>
                <w:bottom w:val="none" w:sz="0" w:space="0" w:color="auto"/>
                <w:right w:val="none" w:sz="0" w:space="0" w:color="auto"/>
              </w:divBdr>
              <w:divsChild>
                <w:div w:id="16932827">
                  <w:marLeft w:val="0"/>
                  <w:marRight w:val="0"/>
                  <w:marTop w:val="0"/>
                  <w:marBottom w:val="0"/>
                  <w:divBdr>
                    <w:top w:val="none" w:sz="0" w:space="0" w:color="auto"/>
                    <w:left w:val="none" w:sz="0" w:space="0" w:color="auto"/>
                    <w:bottom w:val="none" w:sz="0" w:space="0" w:color="auto"/>
                    <w:right w:val="none" w:sz="0" w:space="0" w:color="auto"/>
                  </w:divBdr>
                  <w:divsChild>
                    <w:div w:id="457797366">
                      <w:marLeft w:val="0"/>
                      <w:marRight w:val="0"/>
                      <w:marTop w:val="0"/>
                      <w:marBottom w:val="0"/>
                      <w:divBdr>
                        <w:top w:val="none" w:sz="0" w:space="0" w:color="auto"/>
                        <w:left w:val="none" w:sz="0" w:space="0" w:color="auto"/>
                        <w:bottom w:val="none" w:sz="0" w:space="0" w:color="auto"/>
                        <w:right w:val="none" w:sz="0" w:space="0" w:color="auto"/>
                      </w:divBdr>
                    </w:div>
                  </w:divsChild>
                </w:div>
                <w:div w:id="39869132">
                  <w:marLeft w:val="0"/>
                  <w:marRight w:val="0"/>
                  <w:marTop w:val="0"/>
                  <w:marBottom w:val="0"/>
                  <w:divBdr>
                    <w:top w:val="none" w:sz="0" w:space="0" w:color="auto"/>
                    <w:left w:val="none" w:sz="0" w:space="0" w:color="auto"/>
                    <w:bottom w:val="none" w:sz="0" w:space="0" w:color="auto"/>
                    <w:right w:val="none" w:sz="0" w:space="0" w:color="auto"/>
                  </w:divBdr>
                  <w:divsChild>
                    <w:div w:id="619455817">
                      <w:marLeft w:val="0"/>
                      <w:marRight w:val="0"/>
                      <w:marTop w:val="0"/>
                      <w:marBottom w:val="0"/>
                      <w:divBdr>
                        <w:top w:val="none" w:sz="0" w:space="0" w:color="auto"/>
                        <w:left w:val="none" w:sz="0" w:space="0" w:color="auto"/>
                        <w:bottom w:val="none" w:sz="0" w:space="0" w:color="auto"/>
                        <w:right w:val="none" w:sz="0" w:space="0" w:color="auto"/>
                      </w:divBdr>
                    </w:div>
                  </w:divsChild>
                </w:div>
                <w:div w:id="44793452">
                  <w:marLeft w:val="0"/>
                  <w:marRight w:val="0"/>
                  <w:marTop w:val="0"/>
                  <w:marBottom w:val="0"/>
                  <w:divBdr>
                    <w:top w:val="none" w:sz="0" w:space="0" w:color="auto"/>
                    <w:left w:val="none" w:sz="0" w:space="0" w:color="auto"/>
                    <w:bottom w:val="none" w:sz="0" w:space="0" w:color="auto"/>
                    <w:right w:val="none" w:sz="0" w:space="0" w:color="auto"/>
                  </w:divBdr>
                  <w:divsChild>
                    <w:div w:id="532116401">
                      <w:marLeft w:val="0"/>
                      <w:marRight w:val="0"/>
                      <w:marTop w:val="0"/>
                      <w:marBottom w:val="0"/>
                      <w:divBdr>
                        <w:top w:val="none" w:sz="0" w:space="0" w:color="auto"/>
                        <w:left w:val="none" w:sz="0" w:space="0" w:color="auto"/>
                        <w:bottom w:val="none" w:sz="0" w:space="0" w:color="auto"/>
                        <w:right w:val="none" w:sz="0" w:space="0" w:color="auto"/>
                      </w:divBdr>
                    </w:div>
                  </w:divsChild>
                </w:div>
                <w:div w:id="55590679">
                  <w:marLeft w:val="0"/>
                  <w:marRight w:val="0"/>
                  <w:marTop w:val="0"/>
                  <w:marBottom w:val="0"/>
                  <w:divBdr>
                    <w:top w:val="none" w:sz="0" w:space="0" w:color="auto"/>
                    <w:left w:val="none" w:sz="0" w:space="0" w:color="auto"/>
                    <w:bottom w:val="none" w:sz="0" w:space="0" w:color="auto"/>
                    <w:right w:val="none" w:sz="0" w:space="0" w:color="auto"/>
                  </w:divBdr>
                  <w:divsChild>
                    <w:div w:id="1424768007">
                      <w:marLeft w:val="0"/>
                      <w:marRight w:val="0"/>
                      <w:marTop w:val="0"/>
                      <w:marBottom w:val="0"/>
                      <w:divBdr>
                        <w:top w:val="none" w:sz="0" w:space="0" w:color="auto"/>
                        <w:left w:val="none" w:sz="0" w:space="0" w:color="auto"/>
                        <w:bottom w:val="none" w:sz="0" w:space="0" w:color="auto"/>
                        <w:right w:val="none" w:sz="0" w:space="0" w:color="auto"/>
                      </w:divBdr>
                    </w:div>
                  </w:divsChild>
                </w:div>
                <w:div w:id="79447006">
                  <w:marLeft w:val="0"/>
                  <w:marRight w:val="0"/>
                  <w:marTop w:val="0"/>
                  <w:marBottom w:val="0"/>
                  <w:divBdr>
                    <w:top w:val="none" w:sz="0" w:space="0" w:color="auto"/>
                    <w:left w:val="none" w:sz="0" w:space="0" w:color="auto"/>
                    <w:bottom w:val="none" w:sz="0" w:space="0" w:color="auto"/>
                    <w:right w:val="none" w:sz="0" w:space="0" w:color="auto"/>
                  </w:divBdr>
                  <w:divsChild>
                    <w:div w:id="1380789268">
                      <w:marLeft w:val="0"/>
                      <w:marRight w:val="0"/>
                      <w:marTop w:val="0"/>
                      <w:marBottom w:val="0"/>
                      <w:divBdr>
                        <w:top w:val="none" w:sz="0" w:space="0" w:color="auto"/>
                        <w:left w:val="none" w:sz="0" w:space="0" w:color="auto"/>
                        <w:bottom w:val="none" w:sz="0" w:space="0" w:color="auto"/>
                        <w:right w:val="none" w:sz="0" w:space="0" w:color="auto"/>
                      </w:divBdr>
                    </w:div>
                  </w:divsChild>
                </w:div>
                <w:div w:id="112407514">
                  <w:marLeft w:val="0"/>
                  <w:marRight w:val="0"/>
                  <w:marTop w:val="0"/>
                  <w:marBottom w:val="0"/>
                  <w:divBdr>
                    <w:top w:val="none" w:sz="0" w:space="0" w:color="auto"/>
                    <w:left w:val="none" w:sz="0" w:space="0" w:color="auto"/>
                    <w:bottom w:val="none" w:sz="0" w:space="0" w:color="auto"/>
                    <w:right w:val="none" w:sz="0" w:space="0" w:color="auto"/>
                  </w:divBdr>
                  <w:divsChild>
                    <w:div w:id="1363287536">
                      <w:marLeft w:val="0"/>
                      <w:marRight w:val="0"/>
                      <w:marTop w:val="0"/>
                      <w:marBottom w:val="0"/>
                      <w:divBdr>
                        <w:top w:val="none" w:sz="0" w:space="0" w:color="auto"/>
                        <w:left w:val="none" w:sz="0" w:space="0" w:color="auto"/>
                        <w:bottom w:val="none" w:sz="0" w:space="0" w:color="auto"/>
                        <w:right w:val="none" w:sz="0" w:space="0" w:color="auto"/>
                      </w:divBdr>
                    </w:div>
                  </w:divsChild>
                </w:div>
                <w:div w:id="117189375">
                  <w:marLeft w:val="0"/>
                  <w:marRight w:val="0"/>
                  <w:marTop w:val="0"/>
                  <w:marBottom w:val="0"/>
                  <w:divBdr>
                    <w:top w:val="none" w:sz="0" w:space="0" w:color="auto"/>
                    <w:left w:val="none" w:sz="0" w:space="0" w:color="auto"/>
                    <w:bottom w:val="none" w:sz="0" w:space="0" w:color="auto"/>
                    <w:right w:val="none" w:sz="0" w:space="0" w:color="auto"/>
                  </w:divBdr>
                  <w:divsChild>
                    <w:div w:id="1330058779">
                      <w:marLeft w:val="0"/>
                      <w:marRight w:val="0"/>
                      <w:marTop w:val="0"/>
                      <w:marBottom w:val="0"/>
                      <w:divBdr>
                        <w:top w:val="none" w:sz="0" w:space="0" w:color="auto"/>
                        <w:left w:val="none" w:sz="0" w:space="0" w:color="auto"/>
                        <w:bottom w:val="none" w:sz="0" w:space="0" w:color="auto"/>
                        <w:right w:val="none" w:sz="0" w:space="0" w:color="auto"/>
                      </w:divBdr>
                    </w:div>
                  </w:divsChild>
                </w:div>
                <w:div w:id="119810371">
                  <w:marLeft w:val="0"/>
                  <w:marRight w:val="0"/>
                  <w:marTop w:val="0"/>
                  <w:marBottom w:val="0"/>
                  <w:divBdr>
                    <w:top w:val="none" w:sz="0" w:space="0" w:color="auto"/>
                    <w:left w:val="none" w:sz="0" w:space="0" w:color="auto"/>
                    <w:bottom w:val="none" w:sz="0" w:space="0" w:color="auto"/>
                    <w:right w:val="none" w:sz="0" w:space="0" w:color="auto"/>
                  </w:divBdr>
                  <w:divsChild>
                    <w:div w:id="1332216685">
                      <w:marLeft w:val="0"/>
                      <w:marRight w:val="0"/>
                      <w:marTop w:val="0"/>
                      <w:marBottom w:val="0"/>
                      <w:divBdr>
                        <w:top w:val="none" w:sz="0" w:space="0" w:color="auto"/>
                        <w:left w:val="none" w:sz="0" w:space="0" w:color="auto"/>
                        <w:bottom w:val="none" w:sz="0" w:space="0" w:color="auto"/>
                        <w:right w:val="none" w:sz="0" w:space="0" w:color="auto"/>
                      </w:divBdr>
                    </w:div>
                  </w:divsChild>
                </w:div>
                <w:div w:id="140776194">
                  <w:marLeft w:val="0"/>
                  <w:marRight w:val="0"/>
                  <w:marTop w:val="0"/>
                  <w:marBottom w:val="0"/>
                  <w:divBdr>
                    <w:top w:val="none" w:sz="0" w:space="0" w:color="auto"/>
                    <w:left w:val="none" w:sz="0" w:space="0" w:color="auto"/>
                    <w:bottom w:val="none" w:sz="0" w:space="0" w:color="auto"/>
                    <w:right w:val="none" w:sz="0" w:space="0" w:color="auto"/>
                  </w:divBdr>
                  <w:divsChild>
                    <w:div w:id="408814062">
                      <w:marLeft w:val="0"/>
                      <w:marRight w:val="0"/>
                      <w:marTop w:val="0"/>
                      <w:marBottom w:val="0"/>
                      <w:divBdr>
                        <w:top w:val="none" w:sz="0" w:space="0" w:color="auto"/>
                        <w:left w:val="none" w:sz="0" w:space="0" w:color="auto"/>
                        <w:bottom w:val="none" w:sz="0" w:space="0" w:color="auto"/>
                        <w:right w:val="none" w:sz="0" w:space="0" w:color="auto"/>
                      </w:divBdr>
                    </w:div>
                  </w:divsChild>
                </w:div>
                <w:div w:id="165286758">
                  <w:marLeft w:val="0"/>
                  <w:marRight w:val="0"/>
                  <w:marTop w:val="0"/>
                  <w:marBottom w:val="0"/>
                  <w:divBdr>
                    <w:top w:val="none" w:sz="0" w:space="0" w:color="auto"/>
                    <w:left w:val="none" w:sz="0" w:space="0" w:color="auto"/>
                    <w:bottom w:val="none" w:sz="0" w:space="0" w:color="auto"/>
                    <w:right w:val="none" w:sz="0" w:space="0" w:color="auto"/>
                  </w:divBdr>
                  <w:divsChild>
                    <w:div w:id="533418981">
                      <w:marLeft w:val="0"/>
                      <w:marRight w:val="0"/>
                      <w:marTop w:val="0"/>
                      <w:marBottom w:val="0"/>
                      <w:divBdr>
                        <w:top w:val="none" w:sz="0" w:space="0" w:color="auto"/>
                        <w:left w:val="none" w:sz="0" w:space="0" w:color="auto"/>
                        <w:bottom w:val="none" w:sz="0" w:space="0" w:color="auto"/>
                        <w:right w:val="none" w:sz="0" w:space="0" w:color="auto"/>
                      </w:divBdr>
                    </w:div>
                  </w:divsChild>
                </w:div>
                <w:div w:id="226453973">
                  <w:marLeft w:val="0"/>
                  <w:marRight w:val="0"/>
                  <w:marTop w:val="0"/>
                  <w:marBottom w:val="0"/>
                  <w:divBdr>
                    <w:top w:val="none" w:sz="0" w:space="0" w:color="auto"/>
                    <w:left w:val="none" w:sz="0" w:space="0" w:color="auto"/>
                    <w:bottom w:val="none" w:sz="0" w:space="0" w:color="auto"/>
                    <w:right w:val="none" w:sz="0" w:space="0" w:color="auto"/>
                  </w:divBdr>
                  <w:divsChild>
                    <w:div w:id="342631597">
                      <w:marLeft w:val="0"/>
                      <w:marRight w:val="0"/>
                      <w:marTop w:val="0"/>
                      <w:marBottom w:val="0"/>
                      <w:divBdr>
                        <w:top w:val="none" w:sz="0" w:space="0" w:color="auto"/>
                        <w:left w:val="none" w:sz="0" w:space="0" w:color="auto"/>
                        <w:bottom w:val="none" w:sz="0" w:space="0" w:color="auto"/>
                        <w:right w:val="none" w:sz="0" w:space="0" w:color="auto"/>
                      </w:divBdr>
                    </w:div>
                  </w:divsChild>
                </w:div>
                <w:div w:id="240215375">
                  <w:marLeft w:val="0"/>
                  <w:marRight w:val="0"/>
                  <w:marTop w:val="0"/>
                  <w:marBottom w:val="0"/>
                  <w:divBdr>
                    <w:top w:val="none" w:sz="0" w:space="0" w:color="auto"/>
                    <w:left w:val="none" w:sz="0" w:space="0" w:color="auto"/>
                    <w:bottom w:val="none" w:sz="0" w:space="0" w:color="auto"/>
                    <w:right w:val="none" w:sz="0" w:space="0" w:color="auto"/>
                  </w:divBdr>
                  <w:divsChild>
                    <w:div w:id="1638485014">
                      <w:marLeft w:val="0"/>
                      <w:marRight w:val="0"/>
                      <w:marTop w:val="0"/>
                      <w:marBottom w:val="0"/>
                      <w:divBdr>
                        <w:top w:val="none" w:sz="0" w:space="0" w:color="auto"/>
                        <w:left w:val="none" w:sz="0" w:space="0" w:color="auto"/>
                        <w:bottom w:val="none" w:sz="0" w:space="0" w:color="auto"/>
                        <w:right w:val="none" w:sz="0" w:space="0" w:color="auto"/>
                      </w:divBdr>
                    </w:div>
                  </w:divsChild>
                </w:div>
                <w:div w:id="272830511">
                  <w:marLeft w:val="0"/>
                  <w:marRight w:val="0"/>
                  <w:marTop w:val="0"/>
                  <w:marBottom w:val="0"/>
                  <w:divBdr>
                    <w:top w:val="none" w:sz="0" w:space="0" w:color="auto"/>
                    <w:left w:val="none" w:sz="0" w:space="0" w:color="auto"/>
                    <w:bottom w:val="none" w:sz="0" w:space="0" w:color="auto"/>
                    <w:right w:val="none" w:sz="0" w:space="0" w:color="auto"/>
                  </w:divBdr>
                  <w:divsChild>
                    <w:div w:id="862983647">
                      <w:marLeft w:val="0"/>
                      <w:marRight w:val="0"/>
                      <w:marTop w:val="0"/>
                      <w:marBottom w:val="0"/>
                      <w:divBdr>
                        <w:top w:val="none" w:sz="0" w:space="0" w:color="auto"/>
                        <w:left w:val="none" w:sz="0" w:space="0" w:color="auto"/>
                        <w:bottom w:val="none" w:sz="0" w:space="0" w:color="auto"/>
                        <w:right w:val="none" w:sz="0" w:space="0" w:color="auto"/>
                      </w:divBdr>
                    </w:div>
                  </w:divsChild>
                </w:div>
                <w:div w:id="289282943">
                  <w:marLeft w:val="0"/>
                  <w:marRight w:val="0"/>
                  <w:marTop w:val="0"/>
                  <w:marBottom w:val="0"/>
                  <w:divBdr>
                    <w:top w:val="none" w:sz="0" w:space="0" w:color="auto"/>
                    <w:left w:val="none" w:sz="0" w:space="0" w:color="auto"/>
                    <w:bottom w:val="none" w:sz="0" w:space="0" w:color="auto"/>
                    <w:right w:val="none" w:sz="0" w:space="0" w:color="auto"/>
                  </w:divBdr>
                  <w:divsChild>
                    <w:div w:id="1493453289">
                      <w:marLeft w:val="0"/>
                      <w:marRight w:val="0"/>
                      <w:marTop w:val="0"/>
                      <w:marBottom w:val="0"/>
                      <w:divBdr>
                        <w:top w:val="none" w:sz="0" w:space="0" w:color="auto"/>
                        <w:left w:val="none" w:sz="0" w:space="0" w:color="auto"/>
                        <w:bottom w:val="none" w:sz="0" w:space="0" w:color="auto"/>
                        <w:right w:val="none" w:sz="0" w:space="0" w:color="auto"/>
                      </w:divBdr>
                    </w:div>
                  </w:divsChild>
                </w:div>
                <w:div w:id="290982073">
                  <w:marLeft w:val="0"/>
                  <w:marRight w:val="0"/>
                  <w:marTop w:val="0"/>
                  <w:marBottom w:val="0"/>
                  <w:divBdr>
                    <w:top w:val="none" w:sz="0" w:space="0" w:color="auto"/>
                    <w:left w:val="none" w:sz="0" w:space="0" w:color="auto"/>
                    <w:bottom w:val="none" w:sz="0" w:space="0" w:color="auto"/>
                    <w:right w:val="none" w:sz="0" w:space="0" w:color="auto"/>
                  </w:divBdr>
                  <w:divsChild>
                    <w:div w:id="1781366136">
                      <w:marLeft w:val="0"/>
                      <w:marRight w:val="0"/>
                      <w:marTop w:val="0"/>
                      <w:marBottom w:val="0"/>
                      <w:divBdr>
                        <w:top w:val="none" w:sz="0" w:space="0" w:color="auto"/>
                        <w:left w:val="none" w:sz="0" w:space="0" w:color="auto"/>
                        <w:bottom w:val="none" w:sz="0" w:space="0" w:color="auto"/>
                        <w:right w:val="none" w:sz="0" w:space="0" w:color="auto"/>
                      </w:divBdr>
                    </w:div>
                  </w:divsChild>
                </w:div>
                <w:div w:id="291717256">
                  <w:marLeft w:val="0"/>
                  <w:marRight w:val="0"/>
                  <w:marTop w:val="0"/>
                  <w:marBottom w:val="0"/>
                  <w:divBdr>
                    <w:top w:val="none" w:sz="0" w:space="0" w:color="auto"/>
                    <w:left w:val="none" w:sz="0" w:space="0" w:color="auto"/>
                    <w:bottom w:val="none" w:sz="0" w:space="0" w:color="auto"/>
                    <w:right w:val="none" w:sz="0" w:space="0" w:color="auto"/>
                  </w:divBdr>
                  <w:divsChild>
                    <w:div w:id="83721589">
                      <w:marLeft w:val="0"/>
                      <w:marRight w:val="0"/>
                      <w:marTop w:val="0"/>
                      <w:marBottom w:val="0"/>
                      <w:divBdr>
                        <w:top w:val="none" w:sz="0" w:space="0" w:color="auto"/>
                        <w:left w:val="none" w:sz="0" w:space="0" w:color="auto"/>
                        <w:bottom w:val="none" w:sz="0" w:space="0" w:color="auto"/>
                        <w:right w:val="none" w:sz="0" w:space="0" w:color="auto"/>
                      </w:divBdr>
                    </w:div>
                  </w:divsChild>
                </w:div>
                <w:div w:id="292248801">
                  <w:marLeft w:val="0"/>
                  <w:marRight w:val="0"/>
                  <w:marTop w:val="0"/>
                  <w:marBottom w:val="0"/>
                  <w:divBdr>
                    <w:top w:val="none" w:sz="0" w:space="0" w:color="auto"/>
                    <w:left w:val="none" w:sz="0" w:space="0" w:color="auto"/>
                    <w:bottom w:val="none" w:sz="0" w:space="0" w:color="auto"/>
                    <w:right w:val="none" w:sz="0" w:space="0" w:color="auto"/>
                  </w:divBdr>
                  <w:divsChild>
                    <w:div w:id="2092196124">
                      <w:marLeft w:val="0"/>
                      <w:marRight w:val="0"/>
                      <w:marTop w:val="0"/>
                      <w:marBottom w:val="0"/>
                      <w:divBdr>
                        <w:top w:val="none" w:sz="0" w:space="0" w:color="auto"/>
                        <w:left w:val="none" w:sz="0" w:space="0" w:color="auto"/>
                        <w:bottom w:val="none" w:sz="0" w:space="0" w:color="auto"/>
                        <w:right w:val="none" w:sz="0" w:space="0" w:color="auto"/>
                      </w:divBdr>
                    </w:div>
                  </w:divsChild>
                </w:div>
                <w:div w:id="314799965">
                  <w:marLeft w:val="0"/>
                  <w:marRight w:val="0"/>
                  <w:marTop w:val="0"/>
                  <w:marBottom w:val="0"/>
                  <w:divBdr>
                    <w:top w:val="none" w:sz="0" w:space="0" w:color="auto"/>
                    <w:left w:val="none" w:sz="0" w:space="0" w:color="auto"/>
                    <w:bottom w:val="none" w:sz="0" w:space="0" w:color="auto"/>
                    <w:right w:val="none" w:sz="0" w:space="0" w:color="auto"/>
                  </w:divBdr>
                  <w:divsChild>
                    <w:div w:id="16319599">
                      <w:marLeft w:val="0"/>
                      <w:marRight w:val="0"/>
                      <w:marTop w:val="0"/>
                      <w:marBottom w:val="0"/>
                      <w:divBdr>
                        <w:top w:val="none" w:sz="0" w:space="0" w:color="auto"/>
                        <w:left w:val="none" w:sz="0" w:space="0" w:color="auto"/>
                        <w:bottom w:val="none" w:sz="0" w:space="0" w:color="auto"/>
                        <w:right w:val="none" w:sz="0" w:space="0" w:color="auto"/>
                      </w:divBdr>
                    </w:div>
                  </w:divsChild>
                </w:div>
                <w:div w:id="375548047">
                  <w:marLeft w:val="0"/>
                  <w:marRight w:val="0"/>
                  <w:marTop w:val="0"/>
                  <w:marBottom w:val="0"/>
                  <w:divBdr>
                    <w:top w:val="none" w:sz="0" w:space="0" w:color="auto"/>
                    <w:left w:val="none" w:sz="0" w:space="0" w:color="auto"/>
                    <w:bottom w:val="none" w:sz="0" w:space="0" w:color="auto"/>
                    <w:right w:val="none" w:sz="0" w:space="0" w:color="auto"/>
                  </w:divBdr>
                  <w:divsChild>
                    <w:div w:id="2082172452">
                      <w:marLeft w:val="0"/>
                      <w:marRight w:val="0"/>
                      <w:marTop w:val="0"/>
                      <w:marBottom w:val="0"/>
                      <w:divBdr>
                        <w:top w:val="none" w:sz="0" w:space="0" w:color="auto"/>
                        <w:left w:val="none" w:sz="0" w:space="0" w:color="auto"/>
                        <w:bottom w:val="none" w:sz="0" w:space="0" w:color="auto"/>
                        <w:right w:val="none" w:sz="0" w:space="0" w:color="auto"/>
                      </w:divBdr>
                    </w:div>
                  </w:divsChild>
                </w:div>
                <w:div w:id="376976376">
                  <w:marLeft w:val="0"/>
                  <w:marRight w:val="0"/>
                  <w:marTop w:val="0"/>
                  <w:marBottom w:val="0"/>
                  <w:divBdr>
                    <w:top w:val="none" w:sz="0" w:space="0" w:color="auto"/>
                    <w:left w:val="none" w:sz="0" w:space="0" w:color="auto"/>
                    <w:bottom w:val="none" w:sz="0" w:space="0" w:color="auto"/>
                    <w:right w:val="none" w:sz="0" w:space="0" w:color="auto"/>
                  </w:divBdr>
                  <w:divsChild>
                    <w:div w:id="508563414">
                      <w:marLeft w:val="0"/>
                      <w:marRight w:val="0"/>
                      <w:marTop w:val="0"/>
                      <w:marBottom w:val="0"/>
                      <w:divBdr>
                        <w:top w:val="none" w:sz="0" w:space="0" w:color="auto"/>
                        <w:left w:val="none" w:sz="0" w:space="0" w:color="auto"/>
                        <w:bottom w:val="none" w:sz="0" w:space="0" w:color="auto"/>
                        <w:right w:val="none" w:sz="0" w:space="0" w:color="auto"/>
                      </w:divBdr>
                    </w:div>
                  </w:divsChild>
                </w:div>
                <w:div w:id="382872025">
                  <w:marLeft w:val="0"/>
                  <w:marRight w:val="0"/>
                  <w:marTop w:val="0"/>
                  <w:marBottom w:val="0"/>
                  <w:divBdr>
                    <w:top w:val="none" w:sz="0" w:space="0" w:color="auto"/>
                    <w:left w:val="none" w:sz="0" w:space="0" w:color="auto"/>
                    <w:bottom w:val="none" w:sz="0" w:space="0" w:color="auto"/>
                    <w:right w:val="none" w:sz="0" w:space="0" w:color="auto"/>
                  </w:divBdr>
                  <w:divsChild>
                    <w:div w:id="1378971700">
                      <w:marLeft w:val="0"/>
                      <w:marRight w:val="0"/>
                      <w:marTop w:val="0"/>
                      <w:marBottom w:val="0"/>
                      <w:divBdr>
                        <w:top w:val="none" w:sz="0" w:space="0" w:color="auto"/>
                        <w:left w:val="none" w:sz="0" w:space="0" w:color="auto"/>
                        <w:bottom w:val="none" w:sz="0" w:space="0" w:color="auto"/>
                        <w:right w:val="none" w:sz="0" w:space="0" w:color="auto"/>
                      </w:divBdr>
                    </w:div>
                  </w:divsChild>
                </w:div>
                <w:div w:id="455411156">
                  <w:marLeft w:val="0"/>
                  <w:marRight w:val="0"/>
                  <w:marTop w:val="0"/>
                  <w:marBottom w:val="0"/>
                  <w:divBdr>
                    <w:top w:val="none" w:sz="0" w:space="0" w:color="auto"/>
                    <w:left w:val="none" w:sz="0" w:space="0" w:color="auto"/>
                    <w:bottom w:val="none" w:sz="0" w:space="0" w:color="auto"/>
                    <w:right w:val="none" w:sz="0" w:space="0" w:color="auto"/>
                  </w:divBdr>
                  <w:divsChild>
                    <w:div w:id="1325821246">
                      <w:marLeft w:val="0"/>
                      <w:marRight w:val="0"/>
                      <w:marTop w:val="0"/>
                      <w:marBottom w:val="0"/>
                      <w:divBdr>
                        <w:top w:val="none" w:sz="0" w:space="0" w:color="auto"/>
                        <w:left w:val="none" w:sz="0" w:space="0" w:color="auto"/>
                        <w:bottom w:val="none" w:sz="0" w:space="0" w:color="auto"/>
                        <w:right w:val="none" w:sz="0" w:space="0" w:color="auto"/>
                      </w:divBdr>
                    </w:div>
                  </w:divsChild>
                </w:div>
                <w:div w:id="458451526">
                  <w:marLeft w:val="0"/>
                  <w:marRight w:val="0"/>
                  <w:marTop w:val="0"/>
                  <w:marBottom w:val="0"/>
                  <w:divBdr>
                    <w:top w:val="none" w:sz="0" w:space="0" w:color="auto"/>
                    <w:left w:val="none" w:sz="0" w:space="0" w:color="auto"/>
                    <w:bottom w:val="none" w:sz="0" w:space="0" w:color="auto"/>
                    <w:right w:val="none" w:sz="0" w:space="0" w:color="auto"/>
                  </w:divBdr>
                  <w:divsChild>
                    <w:div w:id="1009134696">
                      <w:marLeft w:val="0"/>
                      <w:marRight w:val="0"/>
                      <w:marTop w:val="0"/>
                      <w:marBottom w:val="0"/>
                      <w:divBdr>
                        <w:top w:val="none" w:sz="0" w:space="0" w:color="auto"/>
                        <w:left w:val="none" w:sz="0" w:space="0" w:color="auto"/>
                        <w:bottom w:val="none" w:sz="0" w:space="0" w:color="auto"/>
                        <w:right w:val="none" w:sz="0" w:space="0" w:color="auto"/>
                      </w:divBdr>
                    </w:div>
                  </w:divsChild>
                </w:div>
                <w:div w:id="475612994">
                  <w:marLeft w:val="0"/>
                  <w:marRight w:val="0"/>
                  <w:marTop w:val="0"/>
                  <w:marBottom w:val="0"/>
                  <w:divBdr>
                    <w:top w:val="none" w:sz="0" w:space="0" w:color="auto"/>
                    <w:left w:val="none" w:sz="0" w:space="0" w:color="auto"/>
                    <w:bottom w:val="none" w:sz="0" w:space="0" w:color="auto"/>
                    <w:right w:val="none" w:sz="0" w:space="0" w:color="auto"/>
                  </w:divBdr>
                  <w:divsChild>
                    <w:div w:id="1404261162">
                      <w:marLeft w:val="0"/>
                      <w:marRight w:val="0"/>
                      <w:marTop w:val="0"/>
                      <w:marBottom w:val="0"/>
                      <w:divBdr>
                        <w:top w:val="none" w:sz="0" w:space="0" w:color="auto"/>
                        <w:left w:val="none" w:sz="0" w:space="0" w:color="auto"/>
                        <w:bottom w:val="none" w:sz="0" w:space="0" w:color="auto"/>
                        <w:right w:val="none" w:sz="0" w:space="0" w:color="auto"/>
                      </w:divBdr>
                    </w:div>
                  </w:divsChild>
                </w:div>
                <w:div w:id="483666795">
                  <w:marLeft w:val="0"/>
                  <w:marRight w:val="0"/>
                  <w:marTop w:val="0"/>
                  <w:marBottom w:val="0"/>
                  <w:divBdr>
                    <w:top w:val="none" w:sz="0" w:space="0" w:color="auto"/>
                    <w:left w:val="none" w:sz="0" w:space="0" w:color="auto"/>
                    <w:bottom w:val="none" w:sz="0" w:space="0" w:color="auto"/>
                    <w:right w:val="none" w:sz="0" w:space="0" w:color="auto"/>
                  </w:divBdr>
                  <w:divsChild>
                    <w:div w:id="993685626">
                      <w:marLeft w:val="0"/>
                      <w:marRight w:val="0"/>
                      <w:marTop w:val="0"/>
                      <w:marBottom w:val="0"/>
                      <w:divBdr>
                        <w:top w:val="none" w:sz="0" w:space="0" w:color="auto"/>
                        <w:left w:val="none" w:sz="0" w:space="0" w:color="auto"/>
                        <w:bottom w:val="none" w:sz="0" w:space="0" w:color="auto"/>
                        <w:right w:val="none" w:sz="0" w:space="0" w:color="auto"/>
                      </w:divBdr>
                    </w:div>
                  </w:divsChild>
                </w:div>
                <w:div w:id="531844319">
                  <w:marLeft w:val="0"/>
                  <w:marRight w:val="0"/>
                  <w:marTop w:val="0"/>
                  <w:marBottom w:val="0"/>
                  <w:divBdr>
                    <w:top w:val="none" w:sz="0" w:space="0" w:color="auto"/>
                    <w:left w:val="none" w:sz="0" w:space="0" w:color="auto"/>
                    <w:bottom w:val="none" w:sz="0" w:space="0" w:color="auto"/>
                    <w:right w:val="none" w:sz="0" w:space="0" w:color="auto"/>
                  </w:divBdr>
                  <w:divsChild>
                    <w:div w:id="1599679168">
                      <w:marLeft w:val="0"/>
                      <w:marRight w:val="0"/>
                      <w:marTop w:val="0"/>
                      <w:marBottom w:val="0"/>
                      <w:divBdr>
                        <w:top w:val="none" w:sz="0" w:space="0" w:color="auto"/>
                        <w:left w:val="none" w:sz="0" w:space="0" w:color="auto"/>
                        <w:bottom w:val="none" w:sz="0" w:space="0" w:color="auto"/>
                        <w:right w:val="none" w:sz="0" w:space="0" w:color="auto"/>
                      </w:divBdr>
                    </w:div>
                  </w:divsChild>
                </w:div>
                <w:div w:id="568540493">
                  <w:marLeft w:val="0"/>
                  <w:marRight w:val="0"/>
                  <w:marTop w:val="0"/>
                  <w:marBottom w:val="0"/>
                  <w:divBdr>
                    <w:top w:val="none" w:sz="0" w:space="0" w:color="auto"/>
                    <w:left w:val="none" w:sz="0" w:space="0" w:color="auto"/>
                    <w:bottom w:val="none" w:sz="0" w:space="0" w:color="auto"/>
                    <w:right w:val="none" w:sz="0" w:space="0" w:color="auto"/>
                  </w:divBdr>
                  <w:divsChild>
                    <w:div w:id="1958171438">
                      <w:marLeft w:val="0"/>
                      <w:marRight w:val="0"/>
                      <w:marTop w:val="0"/>
                      <w:marBottom w:val="0"/>
                      <w:divBdr>
                        <w:top w:val="none" w:sz="0" w:space="0" w:color="auto"/>
                        <w:left w:val="none" w:sz="0" w:space="0" w:color="auto"/>
                        <w:bottom w:val="none" w:sz="0" w:space="0" w:color="auto"/>
                        <w:right w:val="none" w:sz="0" w:space="0" w:color="auto"/>
                      </w:divBdr>
                    </w:div>
                  </w:divsChild>
                </w:div>
                <w:div w:id="576480103">
                  <w:marLeft w:val="0"/>
                  <w:marRight w:val="0"/>
                  <w:marTop w:val="0"/>
                  <w:marBottom w:val="0"/>
                  <w:divBdr>
                    <w:top w:val="none" w:sz="0" w:space="0" w:color="auto"/>
                    <w:left w:val="none" w:sz="0" w:space="0" w:color="auto"/>
                    <w:bottom w:val="none" w:sz="0" w:space="0" w:color="auto"/>
                    <w:right w:val="none" w:sz="0" w:space="0" w:color="auto"/>
                  </w:divBdr>
                  <w:divsChild>
                    <w:div w:id="2057578496">
                      <w:marLeft w:val="0"/>
                      <w:marRight w:val="0"/>
                      <w:marTop w:val="0"/>
                      <w:marBottom w:val="0"/>
                      <w:divBdr>
                        <w:top w:val="none" w:sz="0" w:space="0" w:color="auto"/>
                        <w:left w:val="none" w:sz="0" w:space="0" w:color="auto"/>
                        <w:bottom w:val="none" w:sz="0" w:space="0" w:color="auto"/>
                        <w:right w:val="none" w:sz="0" w:space="0" w:color="auto"/>
                      </w:divBdr>
                    </w:div>
                  </w:divsChild>
                </w:div>
                <w:div w:id="578635092">
                  <w:marLeft w:val="0"/>
                  <w:marRight w:val="0"/>
                  <w:marTop w:val="0"/>
                  <w:marBottom w:val="0"/>
                  <w:divBdr>
                    <w:top w:val="none" w:sz="0" w:space="0" w:color="auto"/>
                    <w:left w:val="none" w:sz="0" w:space="0" w:color="auto"/>
                    <w:bottom w:val="none" w:sz="0" w:space="0" w:color="auto"/>
                    <w:right w:val="none" w:sz="0" w:space="0" w:color="auto"/>
                  </w:divBdr>
                  <w:divsChild>
                    <w:div w:id="214632790">
                      <w:marLeft w:val="0"/>
                      <w:marRight w:val="0"/>
                      <w:marTop w:val="0"/>
                      <w:marBottom w:val="0"/>
                      <w:divBdr>
                        <w:top w:val="none" w:sz="0" w:space="0" w:color="auto"/>
                        <w:left w:val="none" w:sz="0" w:space="0" w:color="auto"/>
                        <w:bottom w:val="none" w:sz="0" w:space="0" w:color="auto"/>
                        <w:right w:val="none" w:sz="0" w:space="0" w:color="auto"/>
                      </w:divBdr>
                    </w:div>
                  </w:divsChild>
                </w:div>
                <w:div w:id="594291016">
                  <w:marLeft w:val="0"/>
                  <w:marRight w:val="0"/>
                  <w:marTop w:val="0"/>
                  <w:marBottom w:val="0"/>
                  <w:divBdr>
                    <w:top w:val="none" w:sz="0" w:space="0" w:color="auto"/>
                    <w:left w:val="none" w:sz="0" w:space="0" w:color="auto"/>
                    <w:bottom w:val="none" w:sz="0" w:space="0" w:color="auto"/>
                    <w:right w:val="none" w:sz="0" w:space="0" w:color="auto"/>
                  </w:divBdr>
                  <w:divsChild>
                    <w:div w:id="1097407357">
                      <w:marLeft w:val="0"/>
                      <w:marRight w:val="0"/>
                      <w:marTop w:val="0"/>
                      <w:marBottom w:val="0"/>
                      <w:divBdr>
                        <w:top w:val="none" w:sz="0" w:space="0" w:color="auto"/>
                        <w:left w:val="none" w:sz="0" w:space="0" w:color="auto"/>
                        <w:bottom w:val="none" w:sz="0" w:space="0" w:color="auto"/>
                        <w:right w:val="none" w:sz="0" w:space="0" w:color="auto"/>
                      </w:divBdr>
                    </w:div>
                  </w:divsChild>
                </w:div>
                <w:div w:id="683896021">
                  <w:marLeft w:val="0"/>
                  <w:marRight w:val="0"/>
                  <w:marTop w:val="0"/>
                  <w:marBottom w:val="0"/>
                  <w:divBdr>
                    <w:top w:val="none" w:sz="0" w:space="0" w:color="auto"/>
                    <w:left w:val="none" w:sz="0" w:space="0" w:color="auto"/>
                    <w:bottom w:val="none" w:sz="0" w:space="0" w:color="auto"/>
                    <w:right w:val="none" w:sz="0" w:space="0" w:color="auto"/>
                  </w:divBdr>
                  <w:divsChild>
                    <w:div w:id="963577050">
                      <w:marLeft w:val="0"/>
                      <w:marRight w:val="0"/>
                      <w:marTop w:val="0"/>
                      <w:marBottom w:val="0"/>
                      <w:divBdr>
                        <w:top w:val="none" w:sz="0" w:space="0" w:color="auto"/>
                        <w:left w:val="none" w:sz="0" w:space="0" w:color="auto"/>
                        <w:bottom w:val="none" w:sz="0" w:space="0" w:color="auto"/>
                        <w:right w:val="none" w:sz="0" w:space="0" w:color="auto"/>
                      </w:divBdr>
                    </w:div>
                  </w:divsChild>
                </w:div>
                <w:div w:id="760294866">
                  <w:marLeft w:val="0"/>
                  <w:marRight w:val="0"/>
                  <w:marTop w:val="0"/>
                  <w:marBottom w:val="0"/>
                  <w:divBdr>
                    <w:top w:val="none" w:sz="0" w:space="0" w:color="auto"/>
                    <w:left w:val="none" w:sz="0" w:space="0" w:color="auto"/>
                    <w:bottom w:val="none" w:sz="0" w:space="0" w:color="auto"/>
                    <w:right w:val="none" w:sz="0" w:space="0" w:color="auto"/>
                  </w:divBdr>
                  <w:divsChild>
                    <w:div w:id="700322525">
                      <w:marLeft w:val="0"/>
                      <w:marRight w:val="0"/>
                      <w:marTop w:val="0"/>
                      <w:marBottom w:val="0"/>
                      <w:divBdr>
                        <w:top w:val="none" w:sz="0" w:space="0" w:color="auto"/>
                        <w:left w:val="none" w:sz="0" w:space="0" w:color="auto"/>
                        <w:bottom w:val="none" w:sz="0" w:space="0" w:color="auto"/>
                        <w:right w:val="none" w:sz="0" w:space="0" w:color="auto"/>
                      </w:divBdr>
                    </w:div>
                  </w:divsChild>
                </w:div>
                <w:div w:id="771244423">
                  <w:marLeft w:val="0"/>
                  <w:marRight w:val="0"/>
                  <w:marTop w:val="0"/>
                  <w:marBottom w:val="0"/>
                  <w:divBdr>
                    <w:top w:val="none" w:sz="0" w:space="0" w:color="auto"/>
                    <w:left w:val="none" w:sz="0" w:space="0" w:color="auto"/>
                    <w:bottom w:val="none" w:sz="0" w:space="0" w:color="auto"/>
                    <w:right w:val="none" w:sz="0" w:space="0" w:color="auto"/>
                  </w:divBdr>
                  <w:divsChild>
                    <w:div w:id="1270242492">
                      <w:marLeft w:val="0"/>
                      <w:marRight w:val="0"/>
                      <w:marTop w:val="0"/>
                      <w:marBottom w:val="0"/>
                      <w:divBdr>
                        <w:top w:val="none" w:sz="0" w:space="0" w:color="auto"/>
                        <w:left w:val="none" w:sz="0" w:space="0" w:color="auto"/>
                        <w:bottom w:val="none" w:sz="0" w:space="0" w:color="auto"/>
                        <w:right w:val="none" w:sz="0" w:space="0" w:color="auto"/>
                      </w:divBdr>
                    </w:div>
                  </w:divsChild>
                </w:div>
                <w:div w:id="828131594">
                  <w:marLeft w:val="0"/>
                  <w:marRight w:val="0"/>
                  <w:marTop w:val="0"/>
                  <w:marBottom w:val="0"/>
                  <w:divBdr>
                    <w:top w:val="none" w:sz="0" w:space="0" w:color="auto"/>
                    <w:left w:val="none" w:sz="0" w:space="0" w:color="auto"/>
                    <w:bottom w:val="none" w:sz="0" w:space="0" w:color="auto"/>
                    <w:right w:val="none" w:sz="0" w:space="0" w:color="auto"/>
                  </w:divBdr>
                  <w:divsChild>
                    <w:div w:id="192352078">
                      <w:marLeft w:val="0"/>
                      <w:marRight w:val="0"/>
                      <w:marTop w:val="0"/>
                      <w:marBottom w:val="0"/>
                      <w:divBdr>
                        <w:top w:val="none" w:sz="0" w:space="0" w:color="auto"/>
                        <w:left w:val="none" w:sz="0" w:space="0" w:color="auto"/>
                        <w:bottom w:val="none" w:sz="0" w:space="0" w:color="auto"/>
                        <w:right w:val="none" w:sz="0" w:space="0" w:color="auto"/>
                      </w:divBdr>
                    </w:div>
                  </w:divsChild>
                </w:div>
                <w:div w:id="880441604">
                  <w:marLeft w:val="0"/>
                  <w:marRight w:val="0"/>
                  <w:marTop w:val="0"/>
                  <w:marBottom w:val="0"/>
                  <w:divBdr>
                    <w:top w:val="none" w:sz="0" w:space="0" w:color="auto"/>
                    <w:left w:val="none" w:sz="0" w:space="0" w:color="auto"/>
                    <w:bottom w:val="none" w:sz="0" w:space="0" w:color="auto"/>
                    <w:right w:val="none" w:sz="0" w:space="0" w:color="auto"/>
                  </w:divBdr>
                  <w:divsChild>
                    <w:div w:id="867568358">
                      <w:marLeft w:val="0"/>
                      <w:marRight w:val="0"/>
                      <w:marTop w:val="0"/>
                      <w:marBottom w:val="0"/>
                      <w:divBdr>
                        <w:top w:val="none" w:sz="0" w:space="0" w:color="auto"/>
                        <w:left w:val="none" w:sz="0" w:space="0" w:color="auto"/>
                        <w:bottom w:val="none" w:sz="0" w:space="0" w:color="auto"/>
                        <w:right w:val="none" w:sz="0" w:space="0" w:color="auto"/>
                      </w:divBdr>
                    </w:div>
                  </w:divsChild>
                </w:div>
                <w:div w:id="920600568">
                  <w:marLeft w:val="0"/>
                  <w:marRight w:val="0"/>
                  <w:marTop w:val="0"/>
                  <w:marBottom w:val="0"/>
                  <w:divBdr>
                    <w:top w:val="none" w:sz="0" w:space="0" w:color="auto"/>
                    <w:left w:val="none" w:sz="0" w:space="0" w:color="auto"/>
                    <w:bottom w:val="none" w:sz="0" w:space="0" w:color="auto"/>
                    <w:right w:val="none" w:sz="0" w:space="0" w:color="auto"/>
                  </w:divBdr>
                  <w:divsChild>
                    <w:div w:id="1196309576">
                      <w:marLeft w:val="0"/>
                      <w:marRight w:val="0"/>
                      <w:marTop w:val="0"/>
                      <w:marBottom w:val="0"/>
                      <w:divBdr>
                        <w:top w:val="none" w:sz="0" w:space="0" w:color="auto"/>
                        <w:left w:val="none" w:sz="0" w:space="0" w:color="auto"/>
                        <w:bottom w:val="none" w:sz="0" w:space="0" w:color="auto"/>
                        <w:right w:val="none" w:sz="0" w:space="0" w:color="auto"/>
                      </w:divBdr>
                    </w:div>
                  </w:divsChild>
                </w:div>
                <w:div w:id="937104063">
                  <w:marLeft w:val="0"/>
                  <w:marRight w:val="0"/>
                  <w:marTop w:val="0"/>
                  <w:marBottom w:val="0"/>
                  <w:divBdr>
                    <w:top w:val="none" w:sz="0" w:space="0" w:color="auto"/>
                    <w:left w:val="none" w:sz="0" w:space="0" w:color="auto"/>
                    <w:bottom w:val="none" w:sz="0" w:space="0" w:color="auto"/>
                    <w:right w:val="none" w:sz="0" w:space="0" w:color="auto"/>
                  </w:divBdr>
                  <w:divsChild>
                    <w:div w:id="1177769237">
                      <w:marLeft w:val="0"/>
                      <w:marRight w:val="0"/>
                      <w:marTop w:val="0"/>
                      <w:marBottom w:val="0"/>
                      <w:divBdr>
                        <w:top w:val="none" w:sz="0" w:space="0" w:color="auto"/>
                        <w:left w:val="none" w:sz="0" w:space="0" w:color="auto"/>
                        <w:bottom w:val="none" w:sz="0" w:space="0" w:color="auto"/>
                        <w:right w:val="none" w:sz="0" w:space="0" w:color="auto"/>
                      </w:divBdr>
                    </w:div>
                  </w:divsChild>
                </w:div>
                <w:div w:id="938686305">
                  <w:marLeft w:val="0"/>
                  <w:marRight w:val="0"/>
                  <w:marTop w:val="0"/>
                  <w:marBottom w:val="0"/>
                  <w:divBdr>
                    <w:top w:val="none" w:sz="0" w:space="0" w:color="auto"/>
                    <w:left w:val="none" w:sz="0" w:space="0" w:color="auto"/>
                    <w:bottom w:val="none" w:sz="0" w:space="0" w:color="auto"/>
                    <w:right w:val="none" w:sz="0" w:space="0" w:color="auto"/>
                  </w:divBdr>
                  <w:divsChild>
                    <w:div w:id="2006786338">
                      <w:marLeft w:val="0"/>
                      <w:marRight w:val="0"/>
                      <w:marTop w:val="0"/>
                      <w:marBottom w:val="0"/>
                      <w:divBdr>
                        <w:top w:val="none" w:sz="0" w:space="0" w:color="auto"/>
                        <w:left w:val="none" w:sz="0" w:space="0" w:color="auto"/>
                        <w:bottom w:val="none" w:sz="0" w:space="0" w:color="auto"/>
                        <w:right w:val="none" w:sz="0" w:space="0" w:color="auto"/>
                      </w:divBdr>
                    </w:div>
                  </w:divsChild>
                </w:div>
                <w:div w:id="975333648">
                  <w:marLeft w:val="0"/>
                  <w:marRight w:val="0"/>
                  <w:marTop w:val="0"/>
                  <w:marBottom w:val="0"/>
                  <w:divBdr>
                    <w:top w:val="none" w:sz="0" w:space="0" w:color="auto"/>
                    <w:left w:val="none" w:sz="0" w:space="0" w:color="auto"/>
                    <w:bottom w:val="none" w:sz="0" w:space="0" w:color="auto"/>
                    <w:right w:val="none" w:sz="0" w:space="0" w:color="auto"/>
                  </w:divBdr>
                  <w:divsChild>
                    <w:div w:id="175577068">
                      <w:marLeft w:val="0"/>
                      <w:marRight w:val="0"/>
                      <w:marTop w:val="0"/>
                      <w:marBottom w:val="0"/>
                      <w:divBdr>
                        <w:top w:val="none" w:sz="0" w:space="0" w:color="auto"/>
                        <w:left w:val="none" w:sz="0" w:space="0" w:color="auto"/>
                        <w:bottom w:val="none" w:sz="0" w:space="0" w:color="auto"/>
                        <w:right w:val="none" w:sz="0" w:space="0" w:color="auto"/>
                      </w:divBdr>
                    </w:div>
                  </w:divsChild>
                </w:div>
                <w:div w:id="983511359">
                  <w:marLeft w:val="0"/>
                  <w:marRight w:val="0"/>
                  <w:marTop w:val="0"/>
                  <w:marBottom w:val="0"/>
                  <w:divBdr>
                    <w:top w:val="none" w:sz="0" w:space="0" w:color="auto"/>
                    <w:left w:val="none" w:sz="0" w:space="0" w:color="auto"/>
                    <w:bottom w:val="none" w:sz="0" w:space="0" w:color="auto"/>
                    <w:right w:val="none" w:sz="0" w:space="0" w:color="auto"/>
                  </w:divBdr>
                  <w:divsChild>
                    <w:div w:id="1036389802">
                      <w:marLeft w:val="0"/>
                      <w:marRight w:val="0"/>
                      <w:marTop w:val="0"/>
                      <w:marBottom w:val="0"/>
                      <w:divBdr>
                        <w:top w:val="none" w:sz="0" w:space="0" w:color="auto"/>
                        <w:left w:val="none" w:sz="0" w:space="0" w:color="auto"/>
                        <w:bottom w:val="none" w:sz="0" w:space="0" w:color="auto"/>
                        <w:right w:val="none" w:sz="0" w:space="0" w:color="auto"/>
                      </w:divBdr>
                    </w:div>
                  </w:divsChild>
                </w:div>
                <w:div w:id="1001544627">
                  <w:marLeft w:val="0"/>
                  <w:marRight w:val="0"/>
                  <w:marTop w:val="0"/>
                  <w:marBottom w:val="0"/>
                  <w:divBdr>
                    <w:top w:val="none" w:sz="0" w:space="0" w:color="auto"/>
                    <w:left w:val="none" w:sz="0" w:space="0" w:color="auto"/>
                    <w:bottom w:val="none" w:sz="0" w:space="0" w:color="auto"/>
                    <w:right w:val="none" w:sz="0" w:space="0" w:color="auto"/>
                  </w:divBdr>
                  <w:divsChild>
                    <w:div w:id="1304969882">
                      <w:marLeft w:val="0"/>
                      <w:marRight w:val="0"/>
                      <w:marTop w:val="0"/>
                      <w:marBottom w:val="0"/>
                      <w:divBdr>
                        <w:top w:val="none" w:sz="0" w:space="0" w:color="auto"/>
                        <w:left w:val="none" w:sz="0" w:space="0" w:color="auto"/>
                        <w:bottom w:val="none" w:sz="0" w:space="0" w:color="auto"/>
                        <w:right w:val="none" w:sz="0" w:space="0" w:color="auto"/>
                      </w:divBdr>
                    </w:div>
                  </w:divsChild>
                </w:div>
                <w:div w:id="1040739176">
                  <w:marLeft w:val="0"/>
                  <w:marRight w:val="0"/>
                  <w:marTop w:val="0"/>
                  <w:marBottom w:val="0"/>
                  <w:divBdr>
                    <w:top w:val="none" w:sz="0" w:space="0" w:color="auto"/>
                    <w:left w:val="none" w:sz="0" w:space="0" w:color="auto"/>
                    <w:bottom w:val="none" w:sz="0" w:space="0" w:color="auto"/>
                    <w:right w:val="none" w:sz="0" w:space="0" w:color="auto"/>
                  </w:divBdr>
                  <w:divsChild>
                    <w:div w:id="185144106">
                      <w:marLeft w:val="0"/>
                      <w:marRight w:val="0"/>
                      <w:marTop w:val="0"/>
                      <w:marBottom w:val="0"/>
                      <w:divBdr>
                        <w:top w:val="none" w:sz="0" w:space="0" w:color="auto"/>
                        <w:left w:val="none" w:sz="0" w:space="0" w:color="auto"/>
                        <w:bottom w:val="none" w:sz="0" w:space="0" w:color="auto"/>
                        <w:right w:val="none" w:sz="0" w:space="0" w:color="auto"/>
                      </w:divBdr>
                    </w:div>
                  </w:divsChild>
                </w:div>
                <w:div w:id="1062867521">
                  <w:marLeft w:val="0"/>
                  <w:marRight w:val="0"/>
                  <w:marTop w:val="0"/>
                  <w:marBottom w:val="0"/>
                  <w:divBdr>
                    <w:top w:val="none" w:sz="0" w:space="0" w:color="auto"/>
                    <w:left w:val="none" w:sz="0" w:space="0" w:color="auto"/>
                    <w:bottom w:val="none" w:sz="0" w:space="0" w:color="auto"/>
                    <w:right w:val="none" w:sz="0" w:space="0" w:color="auto"/>
                  </w:divBdr>
                  <w:divsChild>
                    <w:div w:id="1376584959">
                      <w:marLeft w:val="0"/>
                      <w:marRight w:val="0"/>
                      <w:marTop w:val="0"/>
                      <w:marBottom w:val="0"/>
                      <w:divBdr>
                        <w:top w:val="none" w:sz="0" w:space="0" w:color="auto"/>
                        <w:left w:val="none" w:sz="0" w:space="0" w:color="auto"/>
                        <w:bottom w:val="none" w:sz="0" w:space="0" w:color="auto"/>
                        <w:right w:val="none" w:sz="0" w:space="0" w:color="auto"/>
                      </w:divBdr>
                    </w:div>
                  </w:divsChild>
                </w:div>
                <w:div w:id="1064379609">
                  <w:marLeft w:val="0"/>
                  <w:marRight w:val="0"/>
                  <w:marTop w:val="0"/>
                  <w:marBottom w:val="0"/>
                  <w:divBdr>
                    <w:top w:val="none" w:sz="0" w:space="0" w:color="auto"/>
                    <w:left w:val="none" w:sz="0" w:space="0" w:color="auto"/>
                    <w:bottom w:val="none" w:sz="0" w:space="0" w:color="auto"/>
                    <w:right w:val="none" w:sz="0" w:space="0" w:color="auto"/>
                  </w:divBdr>
                  <w:divsChild>
                    <w:div w:id="1598755332">
                      <w:marLeft w:val="0"/>
                      <w:marRight w:val="0"/>
                      <w:marTop w:val="0"/>
                      <w:marBottom w:val="0"/>
                      <w:divBdr>
                        <w:top w:val="none" w:sz="0" w:space="0" w:color="auto"/>
                        <w:left w:val="none" w:sz="0" w:space="0" w:color="auto"/>
                        <w:bottom w:val="none" w:sz="0" w:space="0" w:color="auto"/>
                        <w:right w:val="none" w:sz="0" w:space="0" w:color="auto"/>
                      </w:divBdr>
                    </w:div>
                  </w:divsChild>
                </w:div>
                <w:div w:id="1075709943">
                  <w:marLeft w:val="0"/>
                  <w:marRight w:val="0"/>
                  <w:marTop w:val="0"/>
                  <w:marBottom w:val="0"/>
                  <w:divBdr>
                    <w:top w:val="none" w:sz="0" w:space="0" w:color="auto"/>
                    <w:left w:val="none" w:sz="0" w:space="0" w:color="auto"/>
                    <w:bottom w:val="none" w:sz="0" w:space="0" w:color="auto"/>
                    <w:right w:val="none" w:sz="0" w:space="0" w:color="auto"/>
                  </w:divBdr>
                  <w:divsChild>
                    <w:div w:id="1215896212">
                      <w:marLeft w:val="0"/>
                      <w:marRight w:val="0"/>
                      <w:marTop w:val="0"/>
                      <w:marBottom w:val="0"/>
                      <w:divBdr>
                        <w:top w:val="none" w:sz="0" w:space="0" w:color="auto"/>
                        <w:left w:val="none" w:sz="0" w:space="0" w:color="auto"/>
                        <w:bottom w:val="none" w:sz="0" w:space="0" w:color="auto"/>
                        <w:right w:val="none" w:sz="0" w:space="0" w:color="auto"/>
                      </w:divBdr>
                    </w:div>
                  </w:divsChild>
                </w:div>
                <w:div w:id="1086731724">
                  <w:marLeft w:val="0"/>
                  <w:marRight w:val="0"/>
                  <w:marTop w:val="0"/>
                  <w:marBottom w:val="0"/>
                  <w:divBdr>
                    <w:top w:val="none" w:sz="0" w:space="0" w:color="auto"/>
                    <w:left w:val="none" w:sz="0" w:space="0" w:color="auto"/>
                    <w:bottom w:val="none" w:sz="0" w:space="0" w:color="auto"/>
                    <w:right w:val="none" w:sz="0" w:space="0" w:color="auto"/>
                  </w:divBdr>
                  <w:divsChild>
                    <w:div w:id="632370258">
                      <w:marLeft w:val="0"/>
                      <w:marRight w:val="0"/>
                      <w:marTop w:val="0"/>
                      <w:marBottom w:val="0"/>
                      <w:divBdr>
                        <w:top w:val="none" w:sz="0" w:space="0" w:color="auto"/>
                        <w:left w:val="none" w:sz="0" w:space="0" w:color="auto"/>
                        <w:bottom w:val="none" w:sz="0" w:space="0" w:color="auto"/>
                        <w:right w:val="none" w:sz="0" w:space="0" w:color="auto"/>
                      </w:divBdr>
                    </w:div>
                  </w:divsChild>
                </w:div>
                <w:div w:id="1088043041">
                  <w:marLeft w:val="0"/>
                  <w:marRight w:val="0"/>
                  <w:marTop w:val="0"/>
                  <w:marBottom w:val="0"/>
                  <w:divBdr>
                    <w:top w:val="none" w:sz="0" w:space="0" w:color="auto"/>
                    <w:left w:val="none" w:sz="0" w:space="0" w:color="auto"/>
                    <w:bottom w:val="none" w:sz="0" w:space="0" w:color="auto"/>
                    <w:right w:val="none" w:sz="0" w:space="0" w:color="auto"/>
                  </w:divBdr>
                  <w:divsChild>
                    <w:div w:id="2088337238">
                      <w:marLeft w:val="0"/>
                      <w:marRight w:val="0"/>
                      <w:marTop w:val="0"/>
                      <w:marBottom w:val="0"/>
                      <w:divBdr>
                        <w:top w:val="none" w:sz="0" w:space="0" w:color="auto"/>
                        <w:left w:val="none" w:sz="0" w:space="0" w:color="auto"/>
                        <w:bottom w:val="none" w:sz="0" w:space="0" w:color="auto"/>
                        <w:right w:val="none" w:sz="0" w:space="0" w:color="auto"/>
                      </w:divBdr>
                    </w:div>
                  </w:divsChild>
                </w:div>
                <w:div w:id="1127700603">
                  <w:marLeft w:val="0"/>
                  <w:marRight w:val="0"/>
                  <w:marTop w:val="0"/>
                  <w:marBottom w:val="0"/>
                  <w:divBdr>
                    <w:top w:val="none" w:sz="0" w:space="0" w:color="auto"/>
                    <w:left w:val="none" w:sz="0" w:space="0" w:color="auto"/>
                    <w:bottom w:val="none" w:sz="0" w:space="0" w:color="auto"/>
                    <w:right w:val="none" w:sz="0" w:space="0" w:color="auto"/>
                  </w:divBdr>
                  <w:divsChild>
                    <w:div w:id="1469518184">
                      <w:marLeft w:val="0"/>
                      <w:marRight w:val="0"/>
                      <w:marTop w:val="0"/>
                      <w:marBottom w:val="0"/>
                      <w:divBdr>
                        <w:top w:val="none" w:sz="0" w:space="0" w:color="auto"/>
                        <w:left w:val="none" w:sz="0" w:space="0" w:color="auto"/>
                        <w:bottom w:val="none" w:sz="0" w:space="0" w:color="auto"/>
                        <w:right w:val="none" w:sz="0" w:space="0" w:color="auto"/>
                      </w:divBdr>
                    </w:div>
                  </w:divsChild>
                </w:div>
                <w:div w:id="1129200661">
                  <w:marLeft w:val="0"/>
                  <w:marRight w:val="0"/>
                  <w:marTop w:val="0"/>
                  <w:marBottom w:val="0"/>
                  <w:divBdr>
                    <w:top w:val="none" w:sz="0" w:space="0" w:color="auto"/>
                    <w:left w:val="none" w:sz="0" w:space="0" w:color="auto"/>
                    <w:bottom w:val="none" w:sz="0" w:space="0" w:color="auto"/>
                    <w:right w:val="none" w:sz="0" w:space="0" w:color="auto"/>
                  </w:divBdr>
                  <w:divsChild>
                    <w:div w:id="930550610">
                      <w:marLeft w:val="0"/>
                      <w:marRight w:val="0"/>
                      <w:marTop w:val="0"/>
                      <w:marBottom w:val="0"/>
                      <w:divBdr>
                        <w:top w:val="none" w:sz="0" w:space="0" w:color="auto"/>
                        <w:left w:val="none" w:sz="0" w:space="0" w:color="auto"/>
                        <w:bottom w:val="none" w:sz="0" w:space="0" w:color="auto"/>
                        <w:right w:val="none" w:sz="0" w:space="0" w:color="auto"/>
                      </w:divBdr>
                    </w:div>
                  </w:divsChild>
                </w:div>
                <w:div w:id="1147865608">
                  <w:marLeft w:val="0"/>
                  <w:marRight w:val="0"/>
                  <w:marTop w:val="0"/>
                  <w:marBottom w:val="0"/>
                  <w:divBdr>
                    <w:top w:val="none" w:sz="0" w:space="0" w:color="auto"/>
                    <w:left w:val="none" w:sz="0" w:space="0" w:color="auto"/>
                    <w:bottom w:val="none" w:sz="0" w:space="0" w:color="auto"/>
                    <w:right w:val="none" w:sz="0" w:space="0" w:color="auto"/>
                  </w:divBdr>
                  <w:divsChild>
                    <w:div w:id="529608279">
                      <w:marLeft w:val="0"/>
                      <w:marRight w:val="0"/>
                      <w:marTop w:val="0"/>
                      <w:marBottom w:val="0"/>
                      <w:divBdr>
                        <w:top w:val="none" w:sz="0" w:space="0" w:color="auto"/>
                        <w:left w:val="none" w:sz="0" w:space="0" w:color="auto"/>
                        <w:bottom w:val="none" w:sz="0" w:space="0" w:color="auto"/>
                        <w:right w:val="none" w:sz="0" w:space="0" w:color="auto"/>
                      </w:divBdr>
                    </w:div>
                  </w:divsChild>
                </w:div>
                <w:div w:id="1178497439">
                  <w:marLeft w:val="0"/>
                  <w:marRight w:val="0"/>
                  <w:marTop w:val="0"/>
                  <w:marBottom w:val="0"/>
                  <w:divBdr>
                    <w:top w:val="none" w:sz="0" w:space="0" w:color="auto"/>
                    <w:left w:val="none" w:sz="0" w:space="0" w:color="auto"/>
                    <w:bottom w:val="none" w:sz="0" w:space="0" w:color="auto"/>
                    <w:right w:val="none" w:sz="0" w:space="0" w:color="auto"/>
                  </w:divBdr>
                  <w:divsChild>
                    <w:div w:id="1542859450">
                      <w:marLeft w:val="0"/>
                      <w:marRight w:val="0"/>
                      <w:marTop w:val="0"/>
                      <w:marBottom w:val="0"/>
                      <w:divBdr>
                        <w:top w:val="none" w:sz="0" w:space="0" w:color="auto"/>
                        <w:left w:val="none" w:sz="0" w:space="0" w:color="auto"/>
                        <w:bottom w:val="none" w:sz="0" w:space="0" w:color="auto"/>
                        <w:right w:val="none" w:sz="0" w:space="0" w:color="auto"/>
                      </w:divBdr>
                    </w:div>
                  </w:divsChild>
                </w:div>
                <w:div w:id="1211570155">
                  <w:marLeft w:val="0"/>
                  <w:marRight w:val="0"/>
                  <w:marTop w:val="0"/>
                  <w:marBottom w:val="0"/>
                  <w:divBdr>
                    <w:top w:val="none" w:sz="0" w:space="0" w:color="auto"/>
                    <w:left w:val="none" w:sz="0" w:space="0" w:color="auto"/>
                    <w:bottom w:val="none" w:sz="0" w:space="0" w:color="auto"/>
                    <w:right w:val="none" w:sz="0" w:space="0" w:color="auto"/>
                  </w:divBdr>
                  <w:divsChild>
                    <w:div w:id="1134249470">
                      <w:marLeft w:val="0"/>
                      <w:marRight w:val="0"/>
                      <w:marTop w:val="0"/>
                      <w:marBottom w:val="0"/>
                      <w:divBdr>
                        <w:top w:val="none" w:sz="0" w:space="0" w:color="auto"/>
                        <w:left w:val="none" w:sz="0" w:space="0" w:color="auto"/>
                        <w:bottom w:val="none" w:sz="0" w:space="0" w:color="auto"/>
                        <w:right w:val="none" w:sz="0" w:space="0" w:color="auto"/>
                      </w:divBdr>
                    </w:div>
                  </w:divsChild>
                </w:div>
                <w:div w:id="1237861209">
                  <w:marLeft w:val="0"/>
                  <w:marRight w:val="0"/>
                  <w:marTop w:val="0"/>
                  <w:marBottom w:val="0"/>
                  <w:divBdr>
                    <w:top w:val="none" w:sz="0" w:space="0" w:color="auto"/>
                    <w:left w:val="none" w:sz="0" w:space="0" w:color="auto"/>
                    <w:bottom w:val="none" w:sz="0" w:space="0" w:color="auto"/>
                    <w:right w:val="none" w:sz="0" w:space="0" w:color="auto"/>
                  </w:divBdr>
                  <w:divsChild>
                    <w:div w:id="1247108615">
                      <w:marLeft w:val="0"/>
                      <w:marRight w:val="0"/>
                      <w:marTop w:val="0"/>
                      <w:marBottom w:val="0"/>
                      <w:divBdr>
                        <w:top w:val="none" w:sz="0" w:space="0" w:color="auto"/>
                        <w:left w:val="none" w:sz="0" w:space="0" w:color="auto"/>
                        <w:bottom w:val="none" w:sz="0" w:space="0" w:color="auto"/>
                        <w:right w:val="none" w:sz="0" w:space="0" w:color="auto"/>
                      </w:divBdr>
                    </w:div>
                  </w:divsChild>
                </w:div>
                <w:div w:id="1262058650">
                  <w:marLeft w:val="0"/>
                  <w:marRight w:val="0"/>
                  <w:marTop w:val="0"/>
                  <w:marBottom w:val="0"/>
                  <w:divBdr>
                    <w:top w:val="none" w:sz="0" w:space="0" w:color="auto"/>
                    <w:left w:val="none" w:sz="0" w:space="0" w:color="auto"/>
                    <w:bottom w:val="none" w:sz="0" w:space="0" w:color="auto"/>
                    <w:right w:val="none" w:sz="0" w:space="0" w:color="auto"/>
                  </w:divBdr>
                  <w:divsChild>
                    <w:div w:id="805854226">
                      <w:marLeft w:val="0"/>
                      <w:marRight w:val="0"/>
                      <w:marTop w:val="0"/>
                      <w:marBottom w:val="0"/>
                      <w:divBdr>
                        <w:top w:val="none" w:sz="0" w:space="0" w:color="auto"/>
                        <w:left w:val="none" w:sz="0" w:space="0" w:color="auto"/>
                        <w:bottom w:val="none" w:sz="0" w:space="0" w:color="auto"/>
                        <w:right w:val="none" w:sz="0" w:space="0" w:color="auto"/>
                      </w:divBdr>
                    </w:div>
                  </w:divsChild>
                </w:div>
                <w:div w:id="1270773031">
                  <w:marLeft w:val="0"/>
                  <w:marRight w:val="0"/>
                  <w:marTop w:val="0"/>
                  <w:marBottom w:val="0"/>
                  <w:divBdr>
                    <w:top w:val="none" w:sz="0" w:space="0" w:color="auto"/>
                    <w:left w:val="none" w:sz="0" w:space="0" w:color="auto"/>
                    <w:bottom w:val="none" w:sz="0" w:space="0" w:color="auto"/>
                    <w:right w:val="none" w:sz="0" w:space="0" w:color="auto"/>
                  </w:divBdr>
                  <w:divsChild>
                    <w:div w:id="1935045936">
                      <w:marLeft w:val="0"/>
                      <w:marRight w:val="0"/>
                      <w:marTop w:val="0"/>
                      <w:marBottom w:val="0"/>
                      <w:divBdr>
                        <w:top w:val="none" w:sz="0" w:space="0" w:color="auto"/>
                        <w:left w:val="none" w:sz="0" w:space="0" w:color="auto"/>
                        <w:bottom w:val="none" w:sz="0" w:space="0" w:color="auto"/>
                        <w:right w:val="none" w:sz="0" w:space="0" w:color="auto"/>
                      </w:divBdr>
                    </w:div>
                  </w:divsChild>
                </w:div>
                <w:div w:id="1327201299">
                  <w:marLeft w:val="0"/>
                  <w:marRight w:val="0"/>
                  <w:marTop w:val="0"/>
                  <w:marBottom w:val="0"/>
                  <w:divBdr>
                    <w:top w:val="none" w:sz="0" w:space="0" w:color="auto"/>
                    <w:left w:val="none" w:sz="0" w:space="0" w:color="auto"/>
                    <w:bottom w:val="none" w:sz="0" w:space="0" w:color="auto"/>
                    <w:right w:val="none" w:sz="0" w:space="0" w:color="auto"/>
                  </w:divBdr>
                  <w:divsChild>
                    <w:div w:id="851071514">
                      <w:marLeft w:val="0"/>
                      <w:marRight w:val="0"/>
                      <w:marTop w:val="0"/>
                      <w:marBottom w:val="0"/>
                      <w:divBdr>
                        <w:top w:val="none" w:sz="0" w:space="0" w:color="auto"/>
                        <w:left w:val="none" w:sz="0" w:space="0" w:color="auto"/>
                        <w:bottom w:val="none" w:sz="0" w:space="0" w:color="auto"/>
                        <w:right w:val="none" w:sz="0" w:space="0" w:color="auto"/>
                      </w:divBdr>
                    </w:div>
                  </w:divsChild>
                </w:div>
                <w:div w:id="1340305164">
                  <w:marLeft w:val="0"/>
                  <w:marRight w:val="0"/>
                  <w:marTop w:val="0"/>
                  <w:marBottom w:val="0"/>
                  <w:divBdr>
                    <w:top w:val="none" w:sz="0" w:space="0" w:color="auto"/>
                    <w:left w:val="none" w:sz="0" w:space="0" w:color="auto"/>
                    <w:bottom w:val="none" w:sz="0" w:space="0" w:color="auto"/>
                    <w:right w:val="none" w:sz="0" w:space="0" w:color="auto"/>
                  </w:divBdr>
                  <w:divsChild>
                    <w:div w:id="2013995086">
                      <w:marLeft w:val="0"/>
                      <w:marRight w:val="0"/>
                      <w:marTop w:val="0"/>
                      <w:marBottom w:val="0"/>
                      <w:divBdr>
                        <w:top w:val="none" w:sz="0" w:space="0" w:color="auto"/>
                        <w:left w:val="none" w:sz="0" w:space="0" w:color="auto"/>
                        <w:bottom w:val="none" w:sz="0" w:space="0" w:color="auto"/>
                        <w:right w:val="none" w:sz="0" w:space="0" w:color="auto"/>
                      </w:divBdr>
                    </w:div>
                  </w:divsChild>
                </w:div>
                <w:div w:id="1368680392">
                  <w:marLeft w:val="0"/>
                  <w:marRight w:val="0"/>
                  <w:marTop w:val="0"/>
                  <w:marBottom w:val="0"/>
                  <w:divBdr>
                    <w:top w:val="none" w:sz="0" w:space="0" w:color="auto"/>
                    <w:left w:val="none" w:sz="0" w:space="0" w:color="auto"/>
                    <w:bottom w:val="none" w:sz="0" w:space="0" w:color="auto"/>
                    <w:right w:val="none" w:sz="0" w:space="0" w:color="auto"/>
                  </w:divBdr>
                  <w:divsChild>
                    <w:div w:id="711657264">
                      <w:marLeft w:val="0"/>
                      <w:marRight w:val="0"/>
                      <w:marTop w:val="0"/>
                      <w:marBottom w:val="0"/>
                      <w:divBdr>
                        <w:top w:val="none" w:sz="0" w:space="0" w:color="auto"/>
                        <w:left w:val="none" w:sz="0" w:space="0" w:color="auto"/>
                        <w:bottom w:val="none" w:sz="0" w:space="0" w:color="auto"/>
                        <w:right w:val="none" w:sz="0" w:space="0" w:color="auto"/>
                      </w:divBdr>
                    </w:div>
                  </w:divsChild>
                </w:div>
                <w:div w:id="1371415724">
                  <w:marLeft w:val="0"/>
                  <w:marRight w:val="0"/>
                  <w:marTop w:val="0"/>
                  <w:marBottom w:val="0"/>
                  <w:divBdr>
                    <w:top w:val="none" w:sz="0" w:space="0" w:color="auto"/>
                    <w:left w:val="none" w:sz="0" w:space="0" w:color="auto"/>
                    <w:bottom w:val="none" w:sz="0" w:space="0" w:color="auto"/>
                    <w:right w:val="none" w:sz="0" w:space="0" w:color="auto"/>
                  </w:divBdr>
                  <w:divsChild>
                    <w:div w:id="1266186921">
                      <w:marLeft w:val="0"/>
                      <w:marRight w:val="0"/>
                      <w:marTop w:val="0"/>
                      <w:marBottom w:val="0"/>
                      <w:divBdr>
                        <w:top w:val="none" w:sz="0" w:space="0" w:color="auto"/>
                        <w:left w:val="none" w:sz="0" w:space="0" w:color="auto"/>
                        <w:bottom w:val="none" w:sz="0" w:space="0" w:color="auto"/>
                        <w:right w:val="none" w:sz="0" w:space="0" w:color="auto"/>
                      </w:divBdr>
                    </w:div>
                  </w:divsChild>
                </w:div>
                <w:div w:id="1415593816">
                  <w:marLeft w:val="0"/>
                  <w:marRight w:val="0"/>
                  <w:marTop w:val="0"/>
                  <w:marBottom w:val="0"/>
                  <w:divBdr>
                    <w:top w:val="none" w:sz="0" w:space="0" w:color="auto"/>
                    <w:left w:val="none" w:sz="0" w:space="0" w:color="auto"/>
                    <w:bottom w:val="none" w:sz="0" w:space="0" w:color="auto"/>
                    <w:right w:val="none" w:sz="0" w:space="0" w:color="auto"/>
                  </w:divBdr>
                  <w:divsChild>
                    <w:div w:id="1114443706">
                      <w:marLeft w:val="0"/>
                      <w:marRight w:val="0"/>
                      <w:marTop w:val="0"/>
                      <w:marBottom w:val="0"/>
                      <w:divBdr>
                        <w:top w:val="none" w:sz="0" w:space="0" w:color="auto"/>
                        <w:left w:val="none" w:sz="0" w:space="0" w:color="auto"/>
                        <w:bottom w:val="none" w:sz="0" w:space="0" w:color="auto"/>
                        <w:right w:val="none" w:sz="0" w:space="0" w:color="auto"/>
                      </w:divBdr>
                    </w:div>
                  </w:divsChild>
                </w:div>
                <w:div w:id="1422679645">
                  <w:marLeft w:val="0"/>
                  <w:marRight w:val="0"/>
                  <w:marTop w:val="0"/>
                  <w:marBottom w:val="0"/>
                  <w:divBdr>
                    <w:top w:val="none" w:sz="0" w:space="0" w:color="auto"/>
                    <w:left w:val="none" w:sz="0" w:space="0" w:color="auto"/>
                    <w:bottom w:val="none" w:sz="0" w:space="0" w:color="auto"/>
                    <w:right w:val="none" w:sz="0" w:space="0" w:color="auto"/>
                  </w:divBdr>
                  <w:divsChild>
                    <w:div w:id="216941375">
                      <w:marLeft w:val="0"/>
                      <w:marRight w:val="0"/>
                      <w:marTop w:val="0"/>
                      <w:marBottom w:val="0"/>
                      <w:divBdr>
                        <w:top w:val="none" w:sz="0" w:space="0" w:color="auto"/>
                        <w:left w:val="none" w:sz="0" w:space="0" w:color="auto"/>
                        <w:bottom w:val="none" w:sz="0" w:space="0" w:color="auto"/>
                        <w:right w:val="none" w:sz="0" w:space="0" w:color="auto"/>
                      </w:divBdr>
                    </w:div>
                  </w:divsChild>
                </w:div>
                <w:div w:id="1426267509">
                  <w:marLeft w:val="0"/>
                  <w:marRight w:val="0"/>
                  <w:marTop w:val="0"/>
                  <w:marBottom w:val="0"/>
                  <w:divBdr>
                    <w:top w:val="none" w:sz="0" w:space="0" w:color="auto"/>
                    <w:left w:val="none" w:sz="0" w:space="0" w:color="auto"/>
                    <w:bottom w:val="none" w:sz="0" w:space="0" w:color="auto"/>
                    <w:right w:val="none" w:sz="0" w:space="0" w:color="auto"/>
                  </w:divBdr>
                  <w:divsChild>
                    <w:div w:id="1604071009">
                      <w:marLeft w:val="0"/>
                      <w:marRight w:val="0"/>
                      <w:marTop w:val="0"/>
                      <w:marBottom w:val="0"/>
                      <w:divBdr>
                        <w:top w:val="none" w:sz="0" w:space="0" w:color="auto"/>
                        <w:left w:val="none" w:sz="0" w:space="0" w:color="auto"/>
                        <w:bottom w:val="none" w:sz="0" w:space="0" w:color="auto"/>
                        <w:right w:val="none" w:sz="0" w:space="0" w:color="auto"/>
                      </w:divBdr>
                    </w:div>
                  </w:divsChild>
                </w:div>
                <w:div w:id="1434277076">
                  <w:marLeft w:val="0"/>
                  <w:marRight w:val="0"/>
                  <w:marTop w:val="0"/>
                  <w:marBottom w:val="0"/>
                  <w:divBdr>
                    <w:top w:val="none" w:sz="0" w:space="0" w:color="auto"/>
                    <w:left w:val="none" w:sz="0" w:space="0" w:color="auto"/>
                    <w:bottom w:val="none" w:sz="0" w:space="0" w:color="auto"/>
                    <w:right w:val="none" w:sz="0" w:space="0" w:color="auto"/>
                  </w:divBdr>
                  <w:divsChild>
                    <w:div w:id="2141530197">
                      <w:marLeft w:val="0"/>
                      <w:marRight w:val="0"/>
                      <w:marTop w:val="0"/>
                      <w:marBottom w:val="0"/>
                      <w:divBdr>
                        <w:top w:val="none" w:sz="0" w:space="0" w:color="auto"/>
                        <w:left w:val="none" w:sz="0" w:space="0" w:color="auto"/>
                        <w:bottom w:val="none" w:sz="0" w:space="0" w:color="auto"/>
                        <w:right w:val="none" w:sz="0" w:space="0" w:color="auto"/>
                      </w:divBdr>
                    </w:div>
                  </w:divsChild>
                </w:div>
                <w:div w:id="1447195787">
                  <w:marLeft w:val="0"/>
                  <w:marRight w:val="0"/>
                  <w:marTop w:val="0"/>
                  <w:marBottom w:val="0"/>
                  <w:divBdr>
                    <w:top w:val="none" w:sz="0" w:space="0" w:color="auto"/>
                    <w:left w:val="none" w:sz="0" w:space="0" w:color="auto"/>
                    <w:bottom w:val="none" w:sz="0" w:space="0" w:color="auto"/>
                    <w:right w:val="none" w:sz="0" w:space="0" w:color="auto"/>
                  </w:divBdr>
                  <w:divsChild>
                    <w:div w:id="1345280639">
                      <w:marLeft w:val="0"/>
                      <w:marRight w:val="0"/>
                      <w:marTop w:val="0"/>
                      <w:marBottom w:val="0"/>
                      <w:divBdr>
                        <w:top w:val="none" w:sz="0" w:space="0" w:color="auto"/>
                        <w:left w:val="none" w:sz="0" w:space="0" w:color="auto"/>
                        <w:bottom w:val="none" w:sz="0" w:space="0" w:color="auto"/>
                        <w:right w:val="none" w:sz="0" w:space="0" w:color="auto"/>
                      </w:divBdr>
                    </w:div>
                  </w:divsChild>
                </w:div>
                <w:div w:id="1455561887">
                  <w:marLeft w:val="0"/>
                  <w:marRight w:val="0"/>
                  <w:marTop w:val="0"/>
                  <w:marBottom w:val="0"/>
                  <w:divBdr>
                    <w:top w:val="none" w:sz="0" w:space="0" w:color="auto"/>
                    <w:left w:val="none" w:sz="0" w:space="0" w:color="auto"/>
                    <w:bottom w:val="none" w:sz="0" w:space="0" w:color="auto"/>
                    <w:right w:val="none" w:sz="0" w:space="0" w:color="auto"/>
                  </w:divBdr>
                  <w:divsChild>
                    <w:div w:id="950547992">
                      <w:marLeft w:val="0"/>
                      <w:marRight w:val="0"/>
                      <w:marTop w:val="0"/>
                      <w:marBottom w:val="0"/>
                      <w:divBdr>
                        <w:top w:val="none" w:sz="0" w:space="0" w:color="auto"/>
                        <w:left w:val="none" w:sz="0" w:space="0" w:color="auto"/>
                        <w:bottom w:val="none" w:sz="0" w:space="0" w:color="auto"/>
                        <w:right w:val="none" w:sz="0" w:space="0" w:color="auto"/>
                      </w:divBdr>
                    </w:div>
                  </w:divsChild>
                </w:div>
                <w:div w:id="1463842762">
                  <w:marLeft w:val="0"/>
                  <w:marRight w:val="0"/>
                  <w:marTop w:val="0"/>
                  <w:marBottom w:val="0"/>
                  <w:divBdr>
                    <w:top w:val="none" w:sz="0" w:space="0" w:color="auto"/>
                    <w:left w:val="none" w:sz="0" w:space="0" w:color="auto"/>
                    <w:bottom w:val="none" w:sz="0" w:space="0" w:color="auto"/>
                    <w:right w:val="none" w:sz="0" w:space="0" w:color="auto"/>
                  </w:divBdr>
                  <w:divsChild>
                    <w:div w:id="1568149334">
                      <w:marLeft w:val="0"/>
                      <w:marRight w:val="0"/>
                      <w:marTop w:val="0"/>
                      <w:marBottom w:val="0"/>
                      <w:divBdr>
                        <w:top w:val="none" w:sz="0" w:space="0" w:color="auto"/>
                        <w:left w:val="none" w:sz="0" w:space="0" w:color="auto"/>
                        <w:bottom w:val="none" w:sz="0" w:space="0" w:color="auto"/>
                        <w:right w:val="none" w:sz="0" w:space="0" w:color="auto"/>
                      </w:divBdr>
                    </w:div>
                  </w:divsChild>
                </w:div>
                <w:div w:id="1493837739">
                  <w:marLeft w:val="0"/>
                  <w:marRight w:val="0"/>
                  <w:marTop w:val="0"/>
                  <w:marBottom w:val="0"/>
                  <w:divBdr>
                    <w:top w:val="none" w:sz="0" w:space="0" w:color="auto"/>
                    <w:left w:val="none" w:sz="0" w:space="0" w:color="auto"/>
                    <w:bottom w:val="none" w:sz="0" w:space="0" w:color="auto"/>
                    <w:right w:val="none" w:sz="0" w:space="0" w:color="auto"/>
                  </w:divBdr>
                  <w:divsChild>
                    <w:div w:id="93551967">
                      <w:marLeft w:val="0"/>
                      <w:marRight w:val="0"/>
                      <w:marTop w:val="0"/>
                      <w:marBottom w:val="0"/>
                      <w:divBdr>
                        <w:top w:val="none" w:sz="0" w:space="0" w:color="auto"/>
                        <w:left w:val="none" w:sz="0" w:space="0" w:color="auto"/>
                        <w:bottom w:val="none" w:sz="0" w:space="0" w:color="auto"/>
                        <w:right w:val="none" w:sz="0" w:space="0" w:color="auto"/>
                      </w:divBdr>
                    </w:div>
                  </w:divsChild>
                </w:div>
                <w:div w:id="1501043174">
                  <w:marLeft w:val="0"/>
                  <w:marRight w:val="0"/>
                  <w:marTop w:val="0"/>
                  <w:marBottom w:val="0"/>
                  <w:divBdr>
                    <w:top w:val="none" w:sz="0" w:space="0" w:color="auto"/>
                    <w:left w:val="none" w:sz="0" w:space="0" w:color="auto"/>
                    <w:bottom w:val="none" w:sz="0" w:space="0" w:color="auto"/>
                    <w:right w:val="none" w:sz="0" w:space="0" w:color="auto"/>
                  </w:divBdr>
                  <w:divsChild>
                    <w:div w:id="623272736">
                      <w:marLeft w:val="0"/>
                      <w:marRight w:val="0"/>
                      <w:marTop w:val="0"/>
                      <w:marBottom w:val="0"/>
                      <w:divBdr>
                        <w:top w:val="none" w:sz="0" w:space="0" w:color="auto"/>
                        <w:left w:val="none" w:sz="0" w:space="0" w:color="auto"/>
                        <w:bottom w:val="none" w:sz="0" w:space="0" w:color="auto"/>
                        <w:right w:val="none" w:sz="0" w:space="0" w:color="auto"/>
                      </w:divBdr>
                    </w:div>
                  </w:divsChild>
                </w:div>
                <w:div w:id="1509370865">
                  <w:marLeft w:val="0"/>
                  <w:marRight w:val="0"/>
                  <w:marTop w:val="0"/>
                  <w:marBottom w:val="0"/>
                  <w:divBdr>
                    <w:top w:val="none" w:sz="0" w:space="0" w:color="auto"/>
                    <w:left w:val="none" w:sz="0" w:space="0" w:color="auto"/>
                    <w:bottom w:val="none" w:sz="0" w:space="0" w:color="auto"/>
                    <w:right w:val="none" w:sz="0" w:space="0" w:color="auto"/>
                  </w:divBdr>
                  <w:divsChild>
                    <w:div w:id="454449534">
                      <w:marLeft w:val="0"/>
                      <w:marRight w:val="0"/>
                      <w:marTop w:val="0"/>
                      <w:marBottom w:val="0"/>
                      <w:divBdr>
                        <w:top w:val="none" w:sz="0" w:space="0" w:color="auto"/>
                        <w:left w:val="none" w:sz="0" w:space="0" w:color="auto"/>
                        <w:bottom w:val="none" w:sz="0" w:space="0" w:color="auto"/>
                        <w:right w:val="none" w:sz="0" w:space="0" w:color="auto"/>
                      </w:divBdr>
                    </w:div>
                  </w:divsChild>
                </w:div>
                <w:div w:id="1518230414">
                  <w:marLeft w:val="0"/>
                  <w:marRight w:val="0"/>
                  <w:marTop w:val="0"/>
                  <w:marBottom w:val="0"/>
                  <w:divBdr>
                    <w:top w:val="none" w:sz="0" w:space="0" w:color="auto"/>
                    <w:left w:val="none" w:sz="0" w:space="0" w:color="auto"/>
                    <w:bottom w:val="none" w:sz="0" w:space="0" w:color="auto"/>
                    <w:right w:val="none" w:sz="0" w:space="0" w:color="auto"/>
                  </w:divBdr>
                  <w:divsChild>
                    <w:div w:id="1718384807">
                      <w:marLeft w:val="0"/>
                      <w:marRight w:val="0"/>
                      <w:marTop w:val="0"/>
                      <w:marBottom w:val="0"/>
                      <w:divBdr>
                        <w:top w:val="none" w:sz="0" w:space="0" w:color="auto"/>
                        <w:left w:val="none" w:sz="0" w:space="0" w:color="auto"/>
                        <w:bottom w:val="none" w:sz="0" w:space="0" w:color="auto"/>
                        <w:right w:val="none" w:sz="0" w:space="0" w:color="auto"/>
                      </w:divBdr>
                    </w:div>
                  </w:divsChild>
                </w:div>
                <w:div w:id="1548492788">
                  <w:marLeft w:val="0"/>
                  <w:marRight w:val="0"/>
                  <w:marTop w:val="0"/>
                  <w:marBottom w:val="0"/>
                  <w:divBdr>
                    <w:top w:val="none" w:sz="0" w:space="0" w:color="auto"/>
                    <w:left w:val="none" w:sz="0" w:space="0" w:color="auto"/>
                    <w:bottom w:val="none" w:sz="0" w:space="0" w:color="auto"/>
                    <w:right w:val="none" w:sz="0" w:space="0" w:color="auto"/>
                  </w:divBdr>
                  <w:divsChild>
                    <w:div w:id="2078168476">
                      <w:marLeft w:val="0"/>
                      <w:marRight w:val="0"/>
                      <w:marTop w:val="0"/>
                      <w:marBottom w:val="0"/>
                      <w:divBdr>
                        <w:top w:val="none" w:sz="0" w:space="0" w:color="auto"/>
                        <w:left w:val="none" w:sz="0" w:space="0" w:color="auto"/>
                        <w:bottom w:val="none" w:sz="0" w:space="0" w:color="auto"/>
                        <w:right w:val="none" w:sz="0" w:space="0" w:color="auto"/>
                      </w:divBdr>
                    </w:div>
                  </w:divsChild>
                </w:div>
                <w:div w:id="1553037054">
                  <w:marLeft w:val="0"/>
                  <w:marRight w:val="0"/>
                  <w:marTop w:val="0"/>
                  <w:marBottom w:val="0"/>
                  <w:divBdr>
                    <w:top w:val="none" w:sz="0" w:space="0" w:color="auto"/>
                    <w:left w:val="none" w:sz="0" w:space="0" w:color="auto"/>
                    <w:bottom w:val="none" w:sz="0" w:space="0" w:color="auto"/>
                    <w:right w:val="none" w:sz="0" w:space="0" w:color="auto"/>
                  </w:divBdr>
                  <w:divsChild>
                    <w:div w:id="588197790">
                      <w:marLeft w:val="0"/>
                      <w:marRight w:val="0"/>
                      <w:marTop w:val="0"/>
                      <w:marBottom w:val="0"/>
                      <w:divBdr>
                        <w:top w:val="none" w:sz="0" w:space="0" w:color="auto"/>
                        <w:left w:val="none" w:sz="0" w:space="0" w:color="auto"/>
                        <w:bottom w:val="none" w:sz="0" w:space="0" w:color="auto"/>
                        <w:right w:val="none" w:sz="0" w:space="0" w:color="auto"/>
                      </w:divBdr>
                    </w:div>
                  </w:divsChild>
                </w:div>
                <w:div w:id="1553541911">
                  <w:marLeft w:val="0"/>
                  <w:marRight w:val="0"/>
                  <w:marTop w:val="0"/>
                  <w:marBottom w:val="0"/>
                  <w:divBdr>
                    <w:top w:val="none" w:sz="0" w:space="0" w:color="auto"/>
                    <w:left w:val="none" w:sz="0" w:space="0" w:color="auto"/>
                    <w:bottom w:val="none" w:sz="0" w:space="0" w:color="auto"/>
                    <w:right w:val="none" w:sz="0" w:space="0" w:color="auto"/>
                  </w:divBdr>
                  <w:divsChild>
                    <w:div w:id="2067365219">
                      <w:marLeft w:val="0"/>
                      <w:marRight w:val="0"/>
                      <w:marTop w:val="0"/>
                      <w:marBottom w:val="0"/>
                      <w:divBdr>
                        <w:top w:val="none" w:sz="0" w:space="0" w:color="auto"/>
                        <w:left w:val="none" w:sz="0" w:space="0" w:color="auto"/>
                        <w:bottom w:val="none" w:sz="0" w:space="0" w:color="auto"/>
                        <w:right w:val="none" w:sz="0" w:space="0" w:color="auto"/>
                      </w:divBdr>
                    </w:div>
                  </w:divsChild>
                </w:div>
                <w:div w:id="1569804983">
                  <w:marLeft w:val="0"/>
                  <w:marRight w:val="0"/>
                  <w:marTop w:val="0"/>
                  <w:marBottom w:val="0"/>
                  <w:divBdr>
                    <w:top w:val="none" w:sz="0" w:space="0" w:color="auto"/>
                    <w:left w:val="none" w:sz="0" w:space="0" w:color="auto"/>
                    <w:bottom w:val="none" w:sz="0" w:space="0" w:color="auto"/>
                    <w:right w:val="none" w:sz="0" w:space="0" w:color="auto"/>
                  </w:divBdr>
                  <w:divsChild>
                    <w:div w:id="2092195145">
                      <w:marLeft w:val="0"/>
                      <w:marRight w:val="0"/>
                      <w:marTop w:val="0"/>
                      <w:marBottom w:val="0"/>
                      <w:divBdr>
                        <w:top w:val="none" w:sz="0" w:space="0" w:color="auto"/>
                        <w:left w:val="none" w:sz="0" w:space="0" w:color="auto"/>
                        <w:bottom w:val="none" w:sz="0" w:space="0" w:color="auto"/>
                        <w:right w:val="none" w:sz="0" w:space="0" w:color="auto"/>
                      </w:divBdr>
                    </w:div>
                  </w:divsChild>
                </w:div>
                <w:div w:id="1598555428">
                  <w:marLeft w:val="0"/>
                  <w:marRight w:val="0"/>
                  <w:marTop w:val="0"/>
                  <w:marBottom w:val="0"/>
                  <w:divBdr>
                    <w:top w:val="none" w:sz="0" w:space="0" w:color="auto"/>
                    <w:left w:val="none" w:sz="0" w:space="0" w:color="auto"/>
                    <w:bottom w:val="none" w:sz="0" w:space="0" w:color="auto"/>
                    <w:right w:val="none" w:sz="0" w:space="0" w:color="auto"/>
                  </w:divBdr>
                  <w:divsChild>
                    <w:div w:id="610750045">
                      <w:marLeft w:val="0"/>
                      <w:marRight w:val="0"/>
                      <w:marTop w:val="0"/>
                      <w:marBottom w:val="0"/>
                      <w:divBdr>
                        <w:top w:val="none" w:sz="0" w:space="0" w:color="auto"/>
                        <w:left w:val="none" w:sz="0" w:space="0" w:color="auto"/>
                        <w:bottom w:val="none" w:sz="0" w:space="0" w:color="auto"/>
                        <w:right w:val="none" w:sz="0" w:space="0" w:color="auto"/>
                      </w:divBdr>
                    </w:div>
                  </w:divsChild>
                </w:div>
                <w:div w:id="1605764642">
                  <w:marLeft w:val="0"/>
                  <w:marRight w:val="0"/>
                  <w:marTop w:val="0"/>
                  <w:marBottom w:val="0"/>
                  <w:divBdr>
                    <w:top w:val="none" w:sz="0" w:space="0" w:color="auto"/>
                    <w:left w:val="none" w:sz="0" w:space="0" w:color="auto"/>
                    <w:bottom w:val="none" w:sz="0" w:space="0" w:color="auto"/>
                    <w:right w:val="none" w:sz="0" w:space="0" w:color="auto"/>
                  </w:divBdr>
                  <w:divsChild>
                    <w:div w:id="380206748">
                      <w:marLeft w:val="0"/>
                      <w:marRight w:val="0"/>
                      <w:marTop w:val="0"/>
                      <w:marBottom w:val="0"/>
                      <w:divBdr>
                        <w:top w:val="none" w:sz="0" w:space="0" w:color="auto"/>
                        <w:left w:val="none" w:sz="0" w:space="0" w:color="auto"/>
                        <w:bottom w:val="none" w:sz="0" w:space="0" w:color="auto"/>
                        <w:right w:val="none" w:sz="0" w:space="0" w:color="auto"/>
                      </w:divBdr>
                    </w:div>
                  </w:divsChild>
                </w:div>
                <w:div w:id="1613895344">
                  <w:marLeft w:val="0"/>
                  <w:marRight w:val="0"/>
                  <w:marTop w:val="0"/>
                  <w:marBottom w:val="0"/>
                  <w:divBdr>
                    <w:top w:val="none" w:sz="0" w:space="0" w:color="auto"/>
                    <w:left w:val="none" w:sz="0" w:space="0" w:color="auto"/>
                    <w:bottom w:val="none" w:sz="0" w:space="0" w:color="auto"/>
                    <w:right w:val="none" w:sz="0" w:space="0" w:color="auto"/>
                  </w:divBdr>
                  <w:divsChild>
                    <w:div w:id="450326879">
                      <w:marLeft w:val="0"/>
                      <w:marRight w:val="0"/>
                      <w:marTop w:val="0"/>
                      <w:marBottom w:val="0"/>
                      <w:divBdr>
                        <w:top w:val="none" w:sz="0" w:space="0" w:color="auto"/>
                        <w:left w:val="none" w:sz="0" w:space="0" w:color="auto"/>
                        <w:bottom w:val="none" w:sz="0" w:space="0" w:color="auto"/>
                        <w:right w:val="none" w:sz="0" w:space="0" w:color="auto"/>
                      </w:divBdr>
                    </w:div>
                  </w:divsChild>
                </w:div>
                <w:div w:id="1631931612">
                  <w:marLeft w:val="0"/>
                  <w:marRight w:val="0"/>
                  <w:marTop w:val="0"/>
                  <w:marBottom w:val="0"/>
                  <w:divBdr>
                    <w:top w:val="none" w:sz="0" w:space="0" w:color="auto"/>
                    <w:left w:val="none" w:sz="0" w:space="0" w:color="auto"/>
                    <w:bottom w:val="none" w:sz="0" w:space="0" w:color="auto"/>
                    <w:right w:val="none" w:sz="0" w:space="0" w:color="auto"/>
                  </w:divBdr>
                  <w:divsChild>
                    <w:div w:id="29383062">
                      <w:marLeft w:val="0"/>
                      <w:marRight w:val="0"/>
                      <w:marTop w:val="0"/>
                      <w:marBottom w:val="0"/>
                      <w:divBdr>
                        <w:top w:val="none" w:sz="0" w:space="0" w:color="auto"/>
                        <w:left w:val="none" w:sz="0" w:space="0" w:color="auto"/>
                        <w:bottom w:val="none" w:sz="0" w:space="0" w:color="auto"/>
                        <w:right w:val="none" w:sz="0" w:space="0" w:color="auto"/>
                      </w:divBdr>
                    </w:div>
                  </w:divsChild>
                </w:div>
                <w:div w:id="1655597366">
                  <w:marLeft w:val="0"/>
                  <w:marRight w:val="0"/>
                  <w:marTop w:val="0"/>
                  <w:marBottom w:val="0"/>
                  <w:divBdr>
                    <w:top w:val="none" w:sz="0" w:space="0" w:color="auto"/>
                    <w:left w:val="none" w:sz="0" w:space="0" w:color="auto"/>
                    <w:bottom w:val="none" w:sz="0" w:space="0" w:color="auto"/>
                    <w:right w:val="none" w:sz="0" w:space="0" w:color="auto"/>
                  </w:divBdr>
                  <w:divsChild>
                    <w:div w:id="249120358">
                      <w:marLeft w:val="0"/>
                      <w:marRight w:val="0"/>
                      <w:marTop w:val="0"/>
                      <w:marBottom w:val="0"/>
                      <w:divBdr>
                        <w:top w:val="none" w:sz="0" w:space="0" w:color="auto"/>
                        <w:left w:val="none" w:sz="0" w:space="0" w:color="auto"/>
                        <w:bottom w:val="none" w:sz="0" w:space="0" w:color="auto"/>
                        <w:right w:val="none" w:sz="0" w:space="0" w:color="auto"/>
                      </w:divBdr>
                    </w:div>
                  </w:divsChild>
                </w:div>
                <w:div w:id="1674606705">
                  <w:marLeft w:val="0"/>
                  <w:marRight w:val="0"/>
                  <w:marTop w:val="0"/>
                  <w:marBottom w:val="0"/>
                  <w:divBdr>
                    <w:top w:val="none" w:sz="0" w:space="0" w:color="auto"/>
                    <w:left w:val="none" w:sz="0" w:space="0" w:color="auto"/>
                    <w:bottom w:val="none" w:sz="0" w:space="0" w:color="auto"/>
                    <w:right w:val="none" w:sz="0" w:space="0" w:color="auto"/>
                  </w:divBdr>
                  <w:divsChild>
                    <w:div w:id="548881348">
                      <w:marLeft w:val="0"/>
                      <w:marRight w:val="0"/>
                      <w:marTop w:val="0"/>
                      <w:marBottom w:val="0"/>
                      <w:divBdr>
                        <w:top w:val="none" w:sz="0" w:space="0" w:color="auto"/>
                        <w:left w:val="none" w:sz="0" w:space="0" w:color="auto"/>
                        <w:bottom w:val="none" w:sz="0" w:space="0" w:color="auto"/>
                        <w:right w:val="none" w:sz="0" w:space="0" w:color="auto"/>
                      </w:divBdr>
                    </w:div>
                  </w:divsChild>
                </w:div>
                <w:div w:id="1706175244">
                  <w:marLeft w:val="0"/>
                  <w:marRight w:val="0"/>
                  <w:marTop w:val="0"/>
                  <w:marBottom w:val="0"/>
                  <w:divBdr>
                    <w:top w:val="none" w:sz="0" w:space="0" w:color="auto"/>
                    <w:left w:val="none" w:sz="0" w:space="0" w:color="auto"/>
                    <w:bottom w:val="none" w:sz="0" w:space="0" w:color="auto"/>
                    <w:right w:val="none" w:sz="0" w:space="0" w:color="auto"/>
                  </w:divBdr>
                  <w:divsChild>
                    <w:div w:id="1238631283">
                      <w:marLeft w:val="0"/>
                      <w:marRight w:val="0"/>
                      <w:marTop w:val="0"/>
                      <w:marBottom w:val="0"/>
                      <w:divBdr>
                        <w:top w:val="none" w:sz="0" w:space="0" w:color="auto"/>
                        <w:left w:val="none" w:sz="0" w:space="0" w:color="auto"/>
                        <w:bottom w:val="none" w:sz="0" w:space="0" w:color="auto"/>
                        <w:right w:val="none" w:sz="0" w:space="0" w:color="auto"/>
                      </w:divBdr>
                    </w:div>
                  </w:divsChild>
                </w:div>
                <w:div w:id="1742823762">
                  <w:marLeft w:val="0"/>
                  <w:marRight w:val="0"/>
                  <w:marTop w:val="0"/>
                  <w:marBottom w:val="0"/>
                  <w:divBdr>
                    <w:top w:val="none" w:sz="0" w:space="0" w:color="auto"/>
                    <w:left w:val="none" w:sz="0" w:space="0" w:color="auto"/>
                    <w:bottom w:val="none" w:sz="0" w:space="0" w:color="auto"/>
                    <w:right w:val="none" w:sz="0" w:space="0" w:color="auto"/>
                  </w:divBdr>
                  <w:divsChild>
                    <w:div w:id="644092658">
                      <w:marLeft w:val="0"/>
                      <w:marRight w:val="0"/>
                      <w:marTop w:val="0"/>
                      <w:marBottom w:val="0"/>
                      <w:divBdr>
                        <w:top w:val="none" w:sz="0" w:space="0" w:color="auto"/>
                        <w:left w:val="none" w:sz="0" w:space="0" w:color="auto"/>
                        <w:bottom w:val="none" w:sz="0" w:space="0" w:color="auto"/>
                        <w:right w:val="none" w:sz="0" w:space="0" w:color="auto"/>
                      </w:divBdr>
                    </w:div>
                  </w:divsChild>
                </w:div>
                <w:div w:id="1744599368">
                  <w:marLeft w:val="0"/>
                  <w:marRight w:val="0"/>
                  <w:marTop w:val="0"/>
                  <w:marBottom w:val="0"/>
                  <w:divBdr>
                    <w:top w:val="none" w:sz="0" w:space="0" w:color="auto"/>
                    <w:left w:val="none" w:sz="0" w:space="0" w:color="auto"/>
                    <w:bottom w:val="none" w:sz="0" w:space="0" w:color="auto"/>
                    <w:right w:val="none" w:sz="0" w:space="0" w:color="auto"/>
                  </w:divBdr>
                  <w:divsChild>
                    <w:div w:id="1050130">
                      <w:marLeft w:val="0"/>
                      <w:marRight w:val="0"/>
                      <w:marTop w:val="0"/>
                      <w:marBottom w:val="0"/>
                      <w:divBdr>
                        <w:top w:val="none" w:sz="0" w:space="0" w:color="auto"/>
                        <w:left w:val="none" w:sz="0" w:space="0" w:color="auto"/>
                        <w:bottom w:val="none" w:sz="0" w:space="0" w:color="auto"/>
                        <w:right w:val="none" w:sz="0" w:space="0" w:color="auto"/>
                      </w:divBdr>
                    </w:div>
                  </w:divsChild>
                </w:div>
                <w:div w:id="1752002849">
                  <w:marLeft w:val="0"/>
                  <w:marRight w:val="0"/>
                  <w:marTop w:val="0"/>
                  <w:marBottom w:val="0"/>
                  <w:divBdr>
                    <w:top w:val="none" w:sz="0" w:space="0" w:color="auto"/>
                    <w:left w:val="none" w:sz="0" w:space="0" w:color="auto"/>
                    <w:bottom w:val="none" w:sz="0" w:space="0" w:color="auto"/>
                    <w:right w:val="none" w:sz="0" w:space="0" w:color="auto"/>
                  </w:divBdr>
                  <w:divsChild>
                    <w:div w:id="798693874">
                      <w:marLeft w:val="0"/>
                      <w:marRight w:val="0"/>
                      <w:marTop w:val="0"/>
                      <w:marBottom w:val="0"/>
                      <w:divBdr>
                        <w:top w:val="none" w:sz="0" w:space="0" w:color="auto"/>
                        <w:left w:val="none" w:sz="0" w:space="0" w:color="auto"/>
                        <w:bottom w:val="none" w:sz="0" w:space="0" w:color="auto"/>
                        <w:right w:val="none" w:sz="0" w:space="0" w:color="auto"/>
                      </w:divBdr>
                    </w:div>
                  </w:divsChild>
                </w:div>
                <w:div w:id="1770851746">
                  <w:marLeft w:val="0"/>
                  <w:marRight w:val="0"/>
                  <w:marTop w:val="0"/>
                  <w:marBottom w:val="0"/>
                  <w:divBdr>
                    <w:top w:val="none" w:sz="0" w:space="0" w:color="auto"/>
                    <w:left w:val="none" w:sz="0" w:space="0" w:color="auto"/>
                    <w:bottom w:val="none" w:sz="0" w:space="0" w:color="auto"/>
                    <w:right w:val="none" w:sz="0" w:space="0" w:color="auto"/>
                  </w:divBdr>
                  <w:divsChild>
                    <w:div w:id="754396042">
                      <w:marLeft w:val="0"/>
                      <w:marRight w:val="0"/>
                      <w:marTop w:val="0"/>
                      <w:marBottom w:val="0"/>
                      <w:divBdr>
                        <w:top w:val="none" w:sz="0" w:space="0" w:color="auto"/>
                        <w:left w:val="none" w:sz="0" w:space="0" w:color="auto"/>
                        <w:bottom w:val="none" w:sz="0" w:space="0" w:color="auto"/>
                        <w:right w:val="none" w:sz="0" w:space="0" w:color="auto"/>
                      </w:divBdr>
                    </w:div>
                  </w:divsChild>
                </w:div>
                <w:div w:id="1796676126">
                  <w:marLeft w:val="0"/>
                  <w:marRight w:val="0"/>
                  <w:marTop w:val="0"/>
                  <w:marBottom w:val="0"/>
                  <w:divBdr>
                    <w:top w:val="none" w:sz="0" w:space="0" w:color="auto"/>
                    <w:left w:val="none" w:sz="0" w:space="0" w:color="auto"/>
                    <w:bottom w:val="none" w:sz="0" w:space="0" w:color="auto"/>
                    <w:right w:val="none" w:sz="0" w:space="0" w:color="auto"/>
                  </w:divBdr>
                  <w:divsChild>
                    <w:div w:id="4594993">
                      <w:marLeft w:val="0"/>
                      <w:marRight w:val="0"/>
                      <w:marTop w:val="0"/>
                      <w:marBottom w:val="0"/>
                      <w:divBdr>
                        <w:top w:val="none" w:sz="0" w:space="0" w:color="auto"/>
                        <w:left w:val="none" w:sz="0" w:space="0" w:color="auto"/>
                        <w:bottom w:val="none" w:sz="0" w:space="0" w:color="auto"/>
                        <w:right w:val="none" w:sz="0" w:space="0" w:color="auto"/>
                      </w:divBdr>
                    </w:div>
                  </w:divsChild>
                </w:div>
                <w:div w:id="1807888842">
                  <w:marLeft w:val="0"/>
                  <w:marRight w:val="0"/>
                  <w:marTop w:val="0"/>
                  <w:marBottom w:val="0"/>
                  <w:divBdr>
                    <w:top w:val="none" w:sz="0" w:space="0" w:color="auto"/>
                    <w:left w:val="none" w:sz="0" w:space="0" w:color="auto"/>
                    <w:bottom w:val="none" w:sz="0" w:space="0" w:color="auto"/>
                    <w:right w:val="none" w:sz="0" w:space="0" w:color="auto"/>
                  </w:divBdr>
                  <w:divsChild>
                    <w:div w:id="302541447">
                      <w:marLeft w:val="0"/>
                      <w:marRight w:val="0"/>
                      <w:marTop w:val="0"/>
                      <w:marBottom w:val="0"/>
                      <w:divBdr>
                        <w:top w:val="none" w:sz="0" w:space="0" w:color="auto"/>
                        <w:left w:val="none" w:sz="0" w:space="0" w:color="auto"/>
                        <w:bottom w:val="none" w:sz="0" w:space="0" w:color="auto"/>
                        <w:right w:val="none" w:sz="0" w:space="0" w:color="auto"/>
                      </w:divBdr>
                    </w:div>
                  </w:divsChild>
                </w:div>
                <w:div w:id="1811364175">
                  <w:marLeft w:val="0"/>
                  <w:marRight w:val="0"/>
                  <w:marTop w:val="0"/>
                  <w:marBottom w:val="0"/>
                  <w:divBdr>
                    <w:top w:val="none" w:sz="0" w:space="0" w:color="auto"/>
                    <w:left w:val="none" w:sz="0" w:space="0" w:color="auto"/>
                    <w:bottom w:val="none" w:sz="0" w:space="0" w:color="auto"/>
                    <w:right w:val="none" w:sz="0" w:space="0" w:color="auto"/>
                  </w:divBdr>
                  <w:divsChild>
                    <w:div w:id="766269349">
                      <w:marLeft w:val="0"/>
                      <w:marRight w:val="0"/>
                      <w:marTop w:val="0"/>
                      <w:marBottom w:val="0"/>
                      <w:divBdr>
                        <w:top w:val="none" w:sz="0" w:space="0" w:color="auto"/>
                        <w:left w:val="none" w:sz="0" w:space="0" w:color="auto"/>
                        <w:bottom w:val="none" w:sz="0" w:space="0" w:color="auto"/>
                        <w:right w:val="none" w:sz="0" w:space="0" w:color="auto"/>
                      </w:divBdr>
                    </w:div>
                  </w:divsChild>
                </w:div>
                <w:div w:id="1818187701">
                  <w:marLeft w:val="0"/>
                  <w:marRight w:val="0"/>
                  <w:marTop w:val="0"/>
                  <w:marBottom w:val="0"/>
                  <w:divBdr>
                    <w:top w:val="none" w:sz="0" w:space="0" w:color="auto"/>
                    <w:left w:val="none" w:sz="0" w:space="0" w:color="auto"/>
                    <w:bottom w:val="none" w:sz="0" w:space="0" w:color="auto"/>
                    <w:right w:val="none" w:sz="0" w:space="0" w:color="auto"/>
                  </w:divBdr>
                  <w:divsChild>
                    <w:div w:id="376901816">
                      <w:marLeft w:val="0"/>
                      <w:marRight w:val="0"/>
                      <w:marTop w:val="0"/>
                      <w:marBottom w:val="0"/>
                      <w:divBdr>
                        <w:top w:val="none" w:sz="0" w:space="0" w:color="auto"/>
                        <w:left w:val="none" w:sz="0" w:space="0" w:color="auto"/>
                        <w:bottom w:val="none" w:sz="0" w:space="0" w:color="auto"/>
                        <w:right w:val="none" w:sz="0" w:space="0" w:color="auto"/>
                      </w:divBdr>
                    </w:div>
                  </w:divsChild>
                </w:div>
                <w:div w:id="1828281260">
                  <w:marLeft w:val="0"/>
                  <w:marRight w:val="0"/>
                  <w:marTop w:val="0"/>
                  <w:marBottom w:val="0"/>
                  <w:divBdr>
                    <w:top w:val="none" w:sz="0" w:space="0" w:color="auto"/>
                    <w:left w:val="none" w:sz="0" w:space="0" w:color="auto"/>
                    <w:bottom w:val="none" w:sz="0" w:space="0" w:color="auto"/>
                    <w:right w:val="none" w:sz="0" w:space="0" w:color="auto"/>
                  </w:divBdr>
                  <w:divsChild>
                    <w:div w:id="775373271">
                      <w:marLeft w:val="0"/>
                      <w:marRight w:val="0"/>
                      <w:marTop w:val="0"/>
                      <w:marBottom w:val="0"/>
                      <w:divBdr>
                        <w:top w:val="none" w:sz="0" w:space="0" w:color="auto"/>
                        <w:left w:val="none" w:sz="0" w:space="0" w:color="auto"/>
                        <w:bottom w:val="none" w:sz="0" w:space="0" w:color="auto"/>
                        <w:right w:val="none" w:sz="0" w:space="0" w:color="auto"/>
                      </w:divBdr>
                    </w:div>
                  </w:divsChild>
                </w:div>
                <w:div w:id="1836191368">
                  <w:marLeft w:val="0"/>
                  <w:marRight w:val="0"/>
                  <w:marTop w:val="0"/>
                  <w:marBottom w:val="0"/>
                  <w:divBdr>
                    <w:top w:val="none" w:sz="0" w:space="0" w:color="auto"/>
                    <w:left w:val="none" w:sz="0" w:space="0" w:color="auto"/>
                    <w:bottom w:val="none" w:sz="0" w:space="0" w:color="auto"/>
                    <w:right w:val="none" w:sz="0" w:space="0" w:color="auto"/>
                  </w:divBdr>
                  <w:divsChild>
                    <w:div w:id="982273836">
                      <w:marLeft w:val="0"/>
                      <w:marRight w:val="0"/>
                      <w:marTop w:val="0"/>
                      <w:marBottom w:val="0"/>
                      <w:divBdr>
                        <w:top w:val="none" w:sz="0" w:space="0" w:color="auto"/>
                        <w:left w:val="none" w:sz="0" w:space="0" w:color="auto"/>
                        <w:bottom w:val="none" w:sz="0" w:space="0" w:color="auto"/>
                        <w:right w:val="none" w:sz="0" w:space="0" w:color="auto"/>
                      </w:divBdr>
                    </w:div>
                  </w:divsChild>
                </w:div>
                <w:div w:id="1842575558">
                  <w:marLeft w:val="0"/>
                  <w:marRight w:val="0"/>
                  <w:marTop w:val="0"/>
                  <w:marBottom w:val="0"/>
                  <w:divBdr>
                    <w:top w:val="none" w:sz="0" w:space="0" w:color="auto"/>
                    <w:left w:val="none" w:sz="0" w:space="0" w:color="auto"/>
                    <w:bottom w:val="none" w:sz="0" w:space="0" w:color="auto"/>
                    <w:right w:val="none" w:sz="0" w:space="0" w:color="auto"/>
                  </w:divBdr>
                  <w:divsChild>
                    <w:div w:id="503319295">
                      <w:marLeft w:val="0"/>
                      <w:marRight w:val="0"/>
                      <w:marTop w:val="0"/>
                      <w:marBottom w:val="0"/>
                      <w:divBdr>
                        <w:top w:val="none" w:sz="0" w:space="0" w:color="auto"/>
                        <w:left w:val="none" w:sz="0" w:space="0" w:color="auto"/>
                        <w:bottom w:val="none" w:sz="0" w:space="0" w:color="auto"/>
                        <w:right w:val="none" w:sz="0" w:space="0" w:color="auto"/>
                      </w:divBdr>
                    </w:div>
                  </w:divsChild>
                </w:div>
                <w:div w:id="1853572532">
                  <w:marLeft w:val="0"/>
                  <w:marRight w:val="0"/>
                  <w:marTop w:val="0"/>
                  <w:marBottom w:val="0"/>
                  <w:divBdr>
                    <w:top w:val="none" w:sz="0" w:space="0" w:color="auto"/>
                    <w:left w:val="none" w:sz="0" w:space="0" w:color="auto"/>
                    <w:bottom w:val="none" w:sz="0" w:space="0" w:color="auto"/>
                    <w:right w:val="none" w:sz="0" w:space="0" w:color="auto"/>
                  </w:divBdr>
                  <w:divsChild>
                    <w:div w:id="1179320373">
                      <w:marLeft w:val="0"/>
                      <w:marRight w:val="0"/>
                      <w:marTop w:val="0"/>
                      <w:marBottom w:val="0"/>
                      <w:divBdr>
                        <w:top w:val="none" w:sz="0" w:space="0" w:color="auto"/>
                        <w:left w:val="none" w:sz="0" w:space="0" w:color="auto"/>
                        <w:bottom w:val="none" w:sz="0" w:space="0" w:color="auto"/>
                        <w:right w:val="none" w:sz="0" w:space="0" w:color="auto"/>
                      </w:divBdr>
                    </w:div>
                  </w:divsChild>
                </w:div>
                <w:div w:id="1856767648">
                  <w:marLeft w:val="0"/>
                  <w:marRight w:val="0"/>
                  <w:marTop w:val="0"/>
                  <w:marBottom w:val="0"/>
                  <w:divBdr>
                    <w:top w:val="none" w:sz="0" w:space="0" w:color="auto"/>
                    <w:left w:val="none" w:sz="0" w:space="0" w:color="auto"/>
                    <w:bottom w:val="none" w:sz="0" w:space="0" w:color="auto"/>
                    <w:right w:val="none" w:sz="0" w:space="0" w:color="auto"/>
                  </w:divBdr>
                  <w:divsChild>
                    <w:div w:id="919220557">
                      <w:marLeft w:val="0"/>
                      <w:marRight w:val="0"/>
                      <w:marTop w:val="0"/>
                      <w:marBottom w:val="0"/>
                      <w:divBdr>
                        <w:top w:val="none" w:sz="0" w:space="0" w:color="auto"/>
                        <w:left w:val="none" w:sz="0" w:space="0" w:color="auto"/>
                        <w:bottom w:val="none" w:sz="0" w:space="0" w:color="auto"/>
                        <w:right w:val="none" w:sz="0" w:space="0" w:color="auto"/>
                      </w:divBdr>
                    </w:div>
                  </w:divsChild>
                </w:div>
                <w:div w:id="1904439041">
                  <w:marLeft w:val="0"/>
                  <w:marRight w:val="0"/>
                  <w:marTop w:val="0"/>
                  <w:marBottom w:val="0"/>
                  <w:divBdr>
                    <w:top w:val="none" w:sz="0" w:space="0" w:color="auto"/>
                    <w:left w:val="none" w:sz="0" w:space="0" w:color="auto"/>
                    <w:bottom w:val="none" w:sz="0" w:space="0" w:color="auto"/>
                    <w:right w:val="none" w:sz="0" w:space="0" w:color="auto"/>
                  </w:divBdr>
                  <w:divsChild>
                    <w:div w:id="1445347976">
                      <w:marLeft w:val="0"/>
                      <w:marRight w:val="0"/>
                      <w:marTop w:val="0"/>
                      <w:marBottom w:val="0"/>
                      <w:divBdr>
                        <w:top w:val="none" w:sz="0" w:space="0" w:color="auto"/>
                        <w:left w:val="none" w:sz="0" w:space="0" w:color="auto"/>
                        <w:bottom w:val="none" w:sz="0" w:space="0" w:color="auto"/>
                        <w:right w:val="none" w:sz="0" w:space="0" w:color="auto"/>
                      </w:divBdr>
                    </w:div>
                  </w:divsChild>
                </w:div>
                <w:div w:id="1915897147">
                  <w:marLeft w:val="0"/>
                  <w:marRight w:val="0"/>
                  <w:marTop w:val="0"/>
                  <w:marBottom w:val="0"/>
                  <w:divBdr>
                    <w:top w:val="none" w:sz="0" w:space="0" w:color="auto"/>
                    <w:left w:val="none" w:sz="0" w:space="0" w:color="auto"/>
                    <w:bottom w:val="none" w:sz="0" w:space="0" w:color="auto"/>
                    <w:right w:val="none" w:sz="0" w:space="0" w:color="auto"/>
                  </w:divBdr>
                  <w:divsChild>
                    <w:div w:id="364599592">
                      <w:marLeft w:val="0"/>
                      <w:marRight w:val="0"/>
                      <w:marTop w:val="0"/>
                      <w:marBottom w:val="0"/>
                      <w:divBdr>
                        <w:top w:val="none" w:sz="0" w:space="0" w:color="auto"/>
                        <w:left w:val="none" w:sz="0" w:space="0" w:color="auto"/>
                        <w:bottom w:val="none" w:sz="0" w:space="0" w:color="auto"/>
                        <w:right w:val="none" w:sz="0" w:space="0" w:color="auto"/>
                      </w:divBdr>
                    </w:div>
                  </w:divsChild>
                </w:div>
                <w:div w:id="1929922274">
                  <w:marLeft w:val="0"/>
                  <w:marRight w:val="0"/>
                  <w:marTop w:val="0"/>
                  <w:marBottom w:val="0"/>
                  <w:divBdr>
                    <w:top w:val="none" w:sz="0" w:space="0" w:color="auto"/>
                    <w:left w:val="none" w:sz="0" w:space="0" w:color="auto"/>
                    <w:bottom w:val="none" w:sz="0" w:space="0" w:color="auto"/>
                    <w:right w:val="none" w:sz="0" w:space="0" w:color="auto"/>
                  </w:divBdr>
                  <w:divsChild>
                    <w:div w:id="290937582">
                      <w:marLeft w:val="0"/>
                      <w:marRight w:val="0"/>
                      <w:marTop w:val="0"/>
                      <w:marBottom w:val="0"/>
                      <w:divBdr>
                        <w:top w:val="none" w:sz="0" w:space="0" w:color="auto"/>
                        <w:left w:val="none" w:sz="0" w:space="0" w:color="auto"/>
                        <w:bottom w:val="none" w:sz="0" w:space="0" w:color="auto"/>
                        <w:right w:val="none" w:sz="0" w:space="0" w:color="auto"/>
                      </w:divBdr>
                    </w:div>
                  </w:divsChild>
                </w:div>
                <w:div w:id="1938169715">
                  <w:marLeft w:val="0"/>
                  <w:marRight w:val="0"/>
                  <w:marTop w:val="0"/>
                  <w:marBottom w:val="0"/>
                  <w:divBdr>
                    <w:top w:val="none" w:sz="0" w:space="0" w:color="auto"/>
                    <w:left w:val="none" w:sz="0" w:space="0" w:color="auto"/>
                    <w:bottom w:val="none" w:sz="0" w:space="0" w:color="auto"/>
                    <w:right w:val="none" w:sz="0" w:space="0" w:color="auto"/>
                  </w:divBdr>
                  <w:divsChild>
                    <w:div w:id="603538613">
                      <w:marLeft w:val="0"/>
                      <w:marRight w:val="0"/>
                      <w:marTop w:val="0"/>
                      <w:marBottom w:val="0"/>
                      <w:divBdr>
                        <w:top w:val="none" w:sz="0" w:space="0" w:color="auto"/>
                        <w:left w:val="none" w:sz="0" w:space="0" w:color="auto"/>
                        <w:bottom w:val="none" w:sz="0" w:space="0" w:color="auto"/>
                        <w:right w:val="none" w:sz="0" w:space="0" w:color="auto"/>
                      </w:divBdr>
                    </w:div>
                  </w:divsChild>
                </w:div>
                <w:div w:id="1941991219">
                  <w:marLeft w:val="0"/>
                  <w:marRight w:val="0"/>
                  <w:marTop w:val="0"/>
                  <w:marBottom w:val="0"/>
                  <w:divBdr>
                    <w:top w:val="none" w:sz="0" w:space="0" w:color="auto"/>
                    <w:left w:val="none" w:sz="0" w:space="0" w:color="auto"/>
                    <w:bottom w:val="none" w:sz="0" w:space="0" w:color="auto"/>
                    <w:right w:val="none" w:sz="0" w:space="0" w:color="auto"/>
                  </w:divBdr>
                  <w:divsChild>
                    <w:div w:id="778987227">
                      <w:marLeft w:val="0"/>
                      <w:marRight w:val="0"/>
                      <w:marTop w:val="0"/>
                      <w:marBottom w:val="0"/>
                      <w:divBdr>
                        <w:top w:val="none" w:sz="0" w:space="0" w:color="auto"/>
                        <w:left w:val="none" w:sz="0" w:space="0" w:color="auto"/>
                        <w:bottom w:val="none" w:sz="0" w:space="0" w:color="auto"/>
                        <w:right w:val="none" w:sz="0" w:space="0" w:color="auto"/>
                      </w:divBdr>
                    </w:div>
                  </w:divsChild>
                </w:div>
                <w:div w:id="1991521321">
                  <w:marLeft w:val="0"/>
                  <w:marRight w:val="0"/>
                  <w:marTop w:val="0"/>
                  <w:marBottom w:val="0"/>
                  <w:divBdr>
                    <w:top w:val="none" w:sz="0" w:space="0" w:color="auto"/>
                    <w:left w:val="none" w:sz="0" w:space="0" w:color="auto"/>
                    <w:bottom w:val="none" w:sz="0" w:space="0" w:color="auto"/>
                    <w:right w:val="none" w:sz="0" w:space="0" w:color="auto"/>
                  </w:divBdr>
                  <w:divsChild>
                    <w:div w:id="1175609804">
                      <w:marLeft w:val="0"/>
                      <w:marRight w:val="0"/>
                      <w:marTop w:val="0"/>
                      <w:marBottom w:val="0"/>
                      <w:divBdr>
                        <w:top w:val="none" w:sz="0" w:space="0" w:color="auto"/>
                        <w:left w:val="none" w:sz="0" w:space="0" w:color="auto"/>
                        <w:bottom w:val="none" w:sz="0" w:space="0" w:color="auto"/>
                        <w:right w:val="none" w:sz="0" w:space="0" w:color="auto"/>
                      </w:divBdr>
                    </w:div>
                  </w:divsChild>
                </w:div>
                <w:div w:id="2036030561">
                  <w:marLeft w:val="0"/>
                  <w:marRight w:val="0"/>
                  <w:marTop w:val="0"/>
                  <w:marBottom w:val="0"/>
                  <w:divBdr>
                    <w:top w:val="none" w:sz="0" w:space="0" w:color="auto"/>
                    <w:left w:val="none" w:sz="0" w:space="0" w:color="auto"/>
                    <w:bottom w:val="none" w:sz="0" w:space="0" w:color="auto"/>
                    <w:right w:val="none" w:sz="0" w:space="0" w:color="auto"/>
                  </w:divBdr>
                  <w:divsChild>
                    <w:div w:id="2072263033">
                      <w:marLeft w:val="0"/>
                      <w:marRight w:val="0"/>
                      <w:marTop w:val="0"/>
                      <w:marBottom w:val="0"/>
                      <w:divBdr>
                        <w:top w:val="none" w:sz="0" w:space="0" w:color="auto"/>
                        <w:left w:val="none" w:sz="0" w:space="0" w:color="auto"/>
                        <w:bottom w:val="none" w:sz="0" w:space="0" w:color="auto"/>
                        <w:right w:val="none" w:sz="0" w:space="0" w:color="auto"/>
                      </w:divBdr>
                    </w:div>
                  </w:divsChild>
                </w:div>
                <w:div w:id="2049068009">
                  <w:marLeft w:val="0"/>
                  <w:marRight w:val="0"/>
                  <w:marTop w:val="0"/>
                  <w:marBottom w:val="0"/>
                  <w:divBdr>
                    <w:top w:val="none" w:sz="0" w:space="0" w:color="auto"/>
                    <w:left w:val="none" w:sz="0" w:space="0" w:color="auto"/>
                    <w:bottom w:val="none" w:sz="0" w:space="0" w:color="auto"/>
                    <w:right w:val="none" w:sz="0" w:space="0" w:color="auto"/>
                  </w:divBdr>
                  <w:divsChild>
                    <w:div w:id="1158035336">
                      <w:marLeft w:val="0"/>
                      <w:marRight w:val="0"/>
                      <w:marTop w:val="0"/>
                      <w:marBottom w:val="0"/>
                      <w:divBdr>
                        <w:top w:val="none" w:sz="0" w:space="0" w:color="auto"/>
                        <w:left w:val="none" w:sz="0" w:space="0" w:color="auto"/>
                        <w:bottom w:val="none" w:sz="0" w:space="0" w:color="auto"/>
                        <w:right w:val="none" w:sz="0" w:space="0" w:color="auto"/>
                      </w:divBdr>
                    </w:div>
                  </w:divsChild>
                </w:div>
                <w:div w:id="2056419398">
                  <w:marLeft w:val="0"/>
                  <w:marRight w:val="0"/>
                  <w:marTop w:val="0"/>
                  <w:marBottom w:val="0"/>
                  <w:divBdr>
                    <w:top w:val="none" w:sz="0" w:space="0" w:color="auto"/>
                    <w:left w:val="none" w:sz="0" w:space="0" w:color="auto"/>
                    <w:bottom w:val="none" w:sz="0" w:space="0" w:color="auto"/>
                    <w:right w:val="none" w:sz="0" w:space="0" w:color="auto"/>
                  </w:divBdr>
                  <w:divsChild>
                    <w:div w:id="1878662136">
                      <w:marLeft w:val="0"/>
                      <w:marRight w:val="0"/>
                      <w:marTop w:val="0"/>
                      <w:marBottom w:val="0"/>
                      <w:divBdr>
                        <w:top w:val="none" w:sz="0" w:space="0" w:color="auto"/>
                        <w:left w:val="none" w:sz="0" w:space="0" w:color="auto"/>
                        <w:bottom w:val="none" w:sz="0" w:space="0" w:color="auto"/>
                        <w:right w:val="none" w:sz="0" w:space="0" w:color="auto"/>
                      </w:divBdr>
                    </w:div>
                  </w:divsChild>
                </w:div>
                <w:div w:id="2083672421">
                  <w:marLeft w:val="0"/>
                  <w:marRight w:val="0"/>
                  <w:marTop w:val="0"/>
                  <w:marBottom w:val="0"/>
                  <w:divBdr>
                    <w:top w:val="none" w:sz="0" w:space="0" w:color="auto"/>
                    <w:left w:val="none" w:sz="0" w:space="0" w:color="auto"/>
                    <w:bottom w:val="none" w:sz="0" w:space="0" w:color="auto"/>
                    <w:right w:val="none" w:sz="0" w:space="0" w:color="auto"/>
                  </w:divBdr>
                  <w:divsChild>
                    <w:div w:id="120927252">
                      <w:marLeft w:val="0"/>
                      <w:marRight w:val="0"/>
                      <w:marTop w:val="0"/>
                      <w:marBottom w:val="0"/>
                      <w:divBdr>
                        <w:top w:val="none" w:sz="0" w:space="0" w:color="auto"/>
                        <w:left w:val="none" w:sz="0" w:space="0" w:color="auto"/>
                        <w:bottom w:val="none" w:sz="0" w:space="0" w:color="auto"/>
                        <w:right w:val="none" w:sz="0" w:space="0" w:color="auto"/>
                      </w:divBdr>
                    </w:div>
                  </w:divsChild>
                </w:div>
                <w:div w:id="2098819994">
                  <w:marLeft w:val="0"/>
                  <w:marRight w:val="0"/>
                  <w:marTop w:val="0"/>
                  <w:marBottom w:val="0"/>
                  <w:divBdr>
                    <w:top w:val="none" w:sz="0" w:space="0" w:color="auto"/>
                    <w:left w:val="none" w:sz="0" w:space="0" w:color="auto"/>
                    <w:bottom w:val="none" w:sz="0" w:space="0" w:color="auto"/>
                    <w:right w:val="none" w:sz="0" w:space="0" w:color="auto"/>
                  </w:divBdr>
                  <w:divsChild>
                    <w:div w:id="963269728">
                      <w:marLeft w:val="0"/>
                      <w:marRight w:val="0"/>
                      <w:marTop w:val="0"/>
                      <w:marBottom w:val="0"/>
                      <w:divBdr>
                        <w:top w:val="none" w:sz="0" w:space="0" w:color="auto"/>
                        <w:left w:val="none" w:sz="0" w:space="0" w:color="auto"/>
                        <w:bottom w:val="none" w:sz="0" w:space="0" w:color="auto"/>
                        <w:right w:val="none" w:sz="0" w:space="0" w:color="auto"/>
                      </w:divBdr>
                    </w:div>
                  </w:divsChild>
                </w:div>
                <w:div w:id="2113015168">
                  <w:marLeft w:val="0"/>
                  <w:marRight w:val="0"/>
                  <w:marTop w:val="0"/>
                  <w:marBottom w:val="0"/>
                  <w:divBdr>
                    <w:top w:val="none" w:sz="0" w:space="0" w:color="auto"/>
                    <w:left w:val="none" w:sz="0" w:space="0" w:color="auto"/>
                    <w:bottom w:val="none" w:sz="0" w:space="0" w:color="auto"/>
                    <w:right w:val="none" w:sz="0" w:space="0" w:color="auto"/>
                  </w:divBdr>
                  <w:divsChild>
                    <w:div w:id="1727099415">
                      <w:marLeft w:val="0"/>
                      <w:marRight w:val="0"/>
                      <w:marTop w:val="0"/>
                      <w:marBottom w:val="0"/>
                      <w:divBdr>
                        <w:top w:val="none" w:sz="0" w:space="0" w:color="auto"/>
                        <w:left w:val="none" w:sz="0" w:space="0" w:color="auto"/>
                        <w:bottom w:val="none" w:sz="0" w:space="0" w:color="auto"/>
                        <w:right w:val="none" w:sz="0" w:space="0" w:color="auto"/>
                      </w:divBdr>
                    </w:div>
                  </w:divsChild>
                </w:div>
                <w:div w:id="2114200648">
                  <w:marLeft w:val="0"/>
                  <w:marRight w:val="0"/>
                  <w:marTop w:val="0"/>
                  <w:marBottom w:val="0"/>
                  <w:divBdr>
                    <w:top w:val="none" w:sz="0" w:space="0" w:color="auto"/>
                    <w:left w:val="none" w:sz="0" w:space="0" w:color="auto"/>
                    <w:bottom w:val="none" w:sz="0" w:space="0" w:color="auto"/>
                    <w:right w:val="none" w:sz="0" w:space="0" w:color="auto"/>
                  </w:divBdr>
                  <w:divsChild>
                    <w:div w:id="1667661229">
                      <w:marLeft w:val="0"/>
                      <w:marRight w:val="0"/>
                      <w:marTop w:val="0"/>
                      <w:marBottom w:val="0"/>
                      <w:divBdr>
                        <w:top w:val="none" w:sz="0" w:space="0" w:color="auto"/>
                        <w:left w:val="none" w:sz="0" w:space="0" w:color="auto"/>
                        <w:bottom w:val="none" w:sz="0" w:space="0" w:color="auto"/>
                        <w:right w:val="none" w:sz="0" w:space="0" w:color="auto"/>
                      </w:divBdr>
                    </w:div>
                  </w:divsChild>
                </w:div>
                <w:div w:id="2115438826">
                  <w:marLeft w:val="0"/>
                  <w:marRight w:val="0"/>
                  <w:marTop w:val="0"/>
                  <w:marBottom w:val="0"/>
                  <w:divBdr>
                    <w:top w:val="none" w:sz="0" w:space="0" w:color="auto"/>
                    <w:left w:val="none" w:sz="0" w:space="0" w:color="auto"/>
                    <w:bottom w:val="none" w:sz="0" w:space="0" w:color="auto"/>
                    <w:right w:val="none" w:sz="0" w:space="0" w:color="auto"/>
                  </w:divBdr>
                  <w:divsChild>
                    <w:div w:id="14458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2929">
          <w:marLeft w:val="0"/>
          <w:marRight w:val="0"/>
          <w:marTop w:val="0"/>
          <w:marBottom w:val="0"/>
          <w:divBdr>
            <w:top w:val="none" w:sz="0" w:space="0" w:color="auto"/>
            <w:left w:val="none" w:sz="0" w:space="0" w:color="auto"/>
            <w:bottom w:val="none" w:sz="0" w:space="0" w:color="auto"/>
            <w:right w:val="none" w:sz="0" w:space="0" w:color="auto"/>
          </w:divBdr>
        </w:div>
        <w:div w:id="2133010096">
          <w:marLeft w:val="0"/>
          <w:marRight w:val="0"/>
          <w:marTop w:val="0"/>
          <w:marBottom w:val="0"/>
          <w:divBdr>
            <w:top w:val="none" w:sz="0" w:space="0" w:color="auto"/>
            <w:left w:val="none" w:sz="0" w:space="0" w:color="auto"/>
            <w:bottom w:val="none" w:sz="0" w:space="0" w:color="auto"/>
            <w:right w:val="none" w:sz="0" w:space="0" w:color="auto"/>
          </w:divBdr>
        </w:div>
      </w:divsChild>
    </w:div>
    <w:div w:id="2001493618">
      <w:bodyDiv w:val="1"/>
      <w:marLeft w:val="0"/>
      <w:marRight w:val="0"/>
      <w:marTop w:val="0"/>
      <w:marBottom w:val="0"/>
      <w:divBdr>
        <w:top w:val="none" w:sz="0" w:space="0" w:color="auto"/>
        <w:left w:val="none" w:sz="0" w:space="0" w:color="auto"/>
        <w:bottom w:val="none" w:sz="0" w:space="0" w:color="auto"/>
        <w:right w:val="none" w:sz="0" w:space="0" w:color="auto"/>
      </w:divBdr>
      <w:divsChild>
        <w:div w:id="322974898">
          <w:marLeft w:val="0"/>
          <w:marRight w:val="0"/>
          <w:marTop w:val="0"/>
          <w:marBottom w:val="0"/>
          <w:divBdr>
            <w:top w:val="none" w:sz="0" w:space="0" w:color="auto"/>
            <w:left w:val="none" w:sz="0" w:space="0" w:color="auto"/>
            <w:bottom w:val="none" w:sz="0" w:space="0" w:color="auto"/>
            <w:right w:val="none" w:sz="0" w:space="0" w:color="auto"/>
          </w:divBdr>
        </w:div>
        <w:div w:id="70425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appellini@bio.ku.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illerslev@bio.ku.dk"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do.welker@bio.ku.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semaria.bermudezdecastro@cenieh.es" TargetMode="External"/><Relationship Id="rId4" Type="http://schemas.openxmlformats.org/officeDocument/2006/relationships/settings" Target="settings.xml"/><Relationship Id="rId9" Type="http://schemas.openxmlformats.org/officeDocument/2006/relationships/hyperlink" Target="mailto:ewillerslev@bio.ku.d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A54AF-48C8-4C79-A9FE-CC9C6110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9082</Words>
  <Characters>55314</Characters>
  <Application>Microsoft Office Word</Application>
  <DocSecurity>0</DocSecurity>
  <Lines>757</Lines>
  <Paragraphs>195</Paragraphs>
  <ScaleCrop>false</ScaleCrop>
  <HeadingPairs>
    <vt:vector size="2" baseType="variant">
      <vt:variant>
        <vt:lpstr>Title</vt:lpstr>
      </vt:variant>
      <vt:variant>
        <vt:i4>1</vt:i4>
      </vt:variant>
    </vt:vector>
  </HeadingPairs>
  <TitlesOfParts>
    <vt:vector size="1" baseType="lpstr">
      <vt:lpstr/>
    </vt:vector>
  </TitlesOfParts>
  <Company>Faculty of SCIENCE, University of Copenhagen</Company>
  <LinksUpToDate>false</LinksUpToDate>
  <CharactersWithSpaces>64201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Frido Welker</dc:creator>
  <cp:keywords/>
  <dc:description/>
  <cp:lastModifiedBy>Frido Welker</cp:lastModifiedBy>
  <cp:revision>2</cp:revision>
  <cp:lastPrinted>2019-12-09T09:18:00Z</cp:lastPrinted>
  <dcterms:created xsi:type="dcterms:W3CDTF">2019-12-21T09:35:00Z</dcterms:created>
  <dcterms:modified xsi:type="dcterms:W3CDTF">2019-12-21T09:35:00Z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