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3E3C" w:rsidRPr="000128E4" w:rsidRDefault="00B43E3C" w:rsidP="00726F1B">
      <w:pPr>
        <w:rPr>
          <w:rFonts w:cs="Times New Roman"/>
          <w:b/>
          <w:sz w:val="24"/>
          <w:szCs w:val="24"/>
        </w:rPr>
      </w:pPr>
      <w:bookmarkStart w:id="0" w:name="_GoBack"/>
      <w:bookmarkEnd w:id="0"/>
      <w:r w:rsidRPr="000128E4">
        <w:rPr>
          <w:rFonts w:cs="Times New Roman"/>
          <w:b/>
          <w:sz w:val="24"/>
          <w:szCs w:val="24"/>
        </w:rPr>
        <w:t xml:space="preserve">Asynchronous Carbon Sink Saturation in African and Amazonian Tropical Forests </w:t>
      </w:r>
    </w:p>
    <w:p w:rsidR="00B43E3C" w:rsidRDefault="00B43E3C" w:rsidP="00726F1B">
      <w:pPr>
        <w:rPr>
          <w:rFonts w:cs="Times New Roman"/>
          <w:b/>
          <w:sz w:val="24"/>
          <w:szCs w:val="24"/>
        </w:rPr>
      </w:pPr>
      <w:r w:rsidRPr="000128E4">
        <w:rPr>
          <w:rFonts w:cs="Times New Roman"/>
          <w:b/>
          <w:sz w:val="24"/>
          <w:szCs w:val="24"/>
        </w:rPr>
        <w:t xml:space="preserve"> </w:t>
      </w:r>
    </w:p>
    <w:p w:rsidR="00B43E3C" w:rsidRPr="000128E4" w:rsidRDefault="00B43E3C" w:rsidP="00726F1B">
      <w:pPr>
        <w:pStyle w:val="Heading1"/>
      </w:pPr>
      <w:r>
        <w:t>Authors</w:t>
      </w:r>
    </w:p>
    <w:p w:rsidR="00B43E3C" w:rsidRPr="00B277FB" w:rsidRDefault="00B43E3C" w:rsidP="00726F1B">
      <w:pPr>
        <w:rPr>
          <w:vertAlign w:val="superscript"/>
          <w:lang w:eastAsia="nl-BE"/>
        </w:rPr>
      </w:pPr>
      <w:r w:rsidRPr="000128E4">
        <w:rPr>
          <w:sz w:val="24"/>
          <w:szCs w:val="24"/>
          <w:lang w:eastAsia="nl-BE"/>
        </w:rPr>
        <w:t>Wannes Hubau</w:t>
      </w:r>
      <w:r w:rsidRPr="000128E4">
        <w:rPr>
          <w:sz w:val="24"/>
          <w:szCs w:val="24"/>
          <w:vertAlign w:val="superscript"/>
          <w:lang w:eastAsia="nl-BE"/>
        </w:rPr>
        <w:t>1,2,3</w:t>
      </w:r>
      <w:r w:rsidRPr="000128E4">
        <w:rPr>
          <w:sz w:val="24"/>
          <w:szCs w:val="24"/>
          <w:lang w:eastAsia="nl-BE"/>
        </w:rPr>
        <w:t>*, Simon L. Lewis</w:t>
      </w:r>
      <w:r w:rsidRPr="000128E4">
        <w:rPr>
          <w:sz w:val="24"/>
          <w:szCs w:val="24"/>
          <w:vertAlign w:val="superscript"/>
          <w:lang w:eastAsia="nl-BE"/>
        </w:rPr>
        <w:t>1,4</w:t>
      </w:r>
      <w:r w:rsidRPr="000128E4">
        <w:rPr>
          <w:sz w:val="24"/>
          <w:szCs w:val="24"/>
          <w:lang w:eastAsia="nl-BE"/>
        </w:rPr>
        <w:t xml:space="preserve">*, </w:t>
      </w:r>
      <w:r w:rsidRPr="001A5073">
        <w:rPr>
          <w:lang w:eastAsia="nl-BE"/>
        </w:rPr>
        <w:t>Oliver L. Phillips</w:t>
      </w:r>
      <w:r w:rsidRPr="001A5073">
        <w:rPr>
          <w:vertAlign w:val="superscript"/>
          <w:lang w:eastAsia="nl-BE"/>
        </w:rPr>
        <w:t>1</w:t>
      </w:r>
      <w:r w:rsidRPr="001A5073">
        <w:rPr>
          <w:lang w:eastAsia="nl-BE"/>
        </w:rPr>
        <w:t>, Kofi Affum-Baffoe</w:t>
      </w:r>
      <w:r w:rsidRPr="001A5073">
        <w:rPr>
          <w:vertAlign w:val="superscript"/>
          <w:lang w:eastAsia="nl-BE"/>
        </w:rPr>
        <w:t>5</w:t>
      </w:r>
      <w:r w:rsidRPr="001A5073">
        <w:rPr>
          <w:lang w:eastAsia="nl-BE"/>
        </w:rPr>
        <w:t>, Hans Beeckman</w:t>
      </w:r>
      <w:r w:rsidRPr="001A5073">
        <w:rPr>
          <w:vertAlign w:val="superscript"/>
          <w:lang w:eastAsia="nl-BE"/>
        </w:rPr>
        <w:t>2</w:t>
      </w:r>
      <w:r w:rsidRPr="001A5073">
        <w:rPr>
          <w:lang w:eastAsia="nl-BE"/>
        </w:rPr>
        <w:t>, Aida Cuní-Sanchez</w:t>
      </w:r>
      <w:r w:rsidRPr="001A5073">
        <w:rPr>
          <w:vertAlign w:val="superscript"/>
          <w:lang w:eastAsia="nl-BE"/>
        </w:rPr>
        <w:t>4,6</w:t>
      </w:r>
      <w:r w:rsidRPr="001A5073">
        <w:rPr>
          <w:lang w:eastAsia="nl-BE"/>
        </w:rPr>
        <w:t>, Armandu K. Daniels</w:t>
      </w:r>
      <w:r w:rsidRPr="001A5073">
        <w:rPr>
          <w:vertAlign w:val="superscript"/>
          <w:lang w:eastAsia="nl-BE"/>
        </w:rPr>
        <w:t>7</w:t>
      </w:r>
      <w:r w:rsidRPr="001A5073">
        <w:rPr>
          <w:lang w:eastAsia="nl-BE"/>
        </w:rPr>
        <w:t>, Corneille E.N. Ewango</w:t>
      </w:r>
      <w:r w:rsidRPr="001A5073">
        <w:rPr>
          <w:vertAlign w:val="superscript"/>
          <w:lang w:eastAsia="nl-BE"/>
        </w:rPr>
        <w:t>8,9,10</w:t>
      </w:r>
      <w:r w:rsidRPr="001A5073">
        <w:rPr>
          <w:lang w:eastAsia="nl-BE"/>
        </w:rPr>
        <w:t>, Sophie Fauset</w:t>
      </w:r>
      <w:r w:rsidRPr="001A5073">
        <w:rPr>
          <w:vertAlign w:val="superscript"/>
          <w:lang w:eastAsia="nl-BE"/>
        </w:rPr>
        <w:t>11,1</w:t>
      </w:r>
      <w:r w:rsidRPr="001A5073">
        <w:rPr>
          <w:lang w:eastAsia="nl-BE"/>
        </w:rPr>
        <w:t xml:space="preserve">, Jacques M. Mukinzi </w:t>
      </w:r>
      <w:r w:rsidRPr="001A5073">
        <w:rPr>
          <w:vertAlign w:val="superscript"/>
          <w:lang w:eastAsia="nl-BE"/>
        </w:rPr>
        <w:t>8,12,13</w:t>
      </w:r>
      <w:r w:rsidRPr="001A5073">
        <w:rPr>
          <w:lang w:eastAsia="nl-BE"/>
        </w:rPr>
        <w:t>, Douglas Sheil</w:t>
      </w:r>
      <w:r w:rsidRPr="001A5073">
        <w:rPr>
          <w:vertAlign w:val="superscript"/>
          <w:lang w:eastAsia="nl-BE"/>
        </w:rPr>
        <w:t>14,15,16</w:t>
      </w:r>
      <w:r w:rsidRPr="001A5073">
        <w:rPr>
          <w:lang w:eastAsia="nl-BE"/>
        </w:rPr>
        <w:t>, Bonaventure Sonké</w:t>
      </w:r>
      <w:r w:rsidRPr="001A5073">
        <w:rPr>
          <w:vertAlign w:val="superscript"/>
          <w:lang w:eastAsia="nl-BE"/>
        </w:rPr>
        <w:t>17</w:t>
      </w:r>
      <w:r w:rsidRPr="001A5073">
        <w:rPr>
          <w:lang w:eastAsia="nl-BE"/>
        </w:rPr>
        <w:t>, Martin J.P. Sullivan</w:t>
      </w:r>
      <w:r w:rsidRPr="001A5073">
        <w:rPr>
          <w:vertAlign w:val="superscript"/>
          <w:lang w:eastAsia="nl-BE"/>
        </w:rPr>
        <w:t>1,18</w:t>
      </w:r>
      <w:r w:rsidRPr="001A5073">
        <w:rPr>
          <w:lang w:eastAsia="nl-BE"/>
        </w:rPr>
        <w:t>, Terry C.H. Sunderland</w:t>
      </w:r>
      <w:r w:rsidRPr="001A5073">
        <w:rPr>
          <w:vertAlign w:val="superscript"/>
          <w:lang w:eastAsia="nl-BE"/>
        </w:rPr>
        <w:t>16,19</w:t>
      </w:r>
      <w:r w:rsidRPr="001A5073">
        <w:rPr>
          <w:lang w:eastAsia="nl-BE"/>
        </w:rPr>
        <w:t>, Hermann Taedoumg</w:t>
      </w:r>
      <w:r w:rsidRPr="001A5073">
        <w:rPr>
          <w:vertAlign w:val="superscript"/>
          <w:lang w:eastAsia="nl-BE"/>
        </w:rPr>
        <w:t>17,20</w:t>
      </w:r>
      <w:r w:rsidRPr="001A5073">
        <w:rPr>
          <w:lang w:eastAsia="nl-BE"/>
        </w:rPr>
        <w:t>, Sean C. Thomas</w:t>
      </w:r>
      <w:r w:rsidRPr="001A5073">
        <w:rPr>
          <w:vertAlign w:val="superscript"/>
          <w:lang w:eastAsia="nl-BE"/>
        </w:rPr>
        <w:t>21</w:t>
      </w:r>
      <w:r w:rsidRPr="001A5073">
        <w:rPr>
          <w:lang w:eastAsia="nl-BE"/>
        </w:rPr>
        <w:t>, Lee J.T. White</w:t>
      </w:r>
      <w:r w:rsidRPr="001A5073">
        <w:rPr>
          <w:vertAlign w:val="superscript"/>
          <w:lang w:eastAsia="nl-BE"/>
        </w:rPr>
        <w:t>22,23,24</w:t>
      </w:r>
      <w:r w:rsidRPr="001A5073">
        <w:rPr>
          <w:lang w:eastAsia="nl-BE"/>
        </w:rPr>
        <w:t>, Katharine A. Abernethy</w:t>
      </w:r>
      <w:r w:rsidRPr="001A5073">
        <w:rPr>
          <w:vertAlign w:val="superscript"/>
          <w:lang w:eastAsia="nl-BE"/>
        </w:rPr>
        <w:t>24,23</w:t>
      </w:r>
      <w:r w:rsidRPr="001A5073">
        <w:rPr>
          <w:lang w:eastAsia="nl-BE"/>
        </w:rPr>
        <w:t>, Stephen Adu-Bredu</w:t>
      </w:r>
      <w:r w:rsidRPr="001A5073">
        <w:rPr>
          <w:vertAlign w:val="superscript"/>
          <w:lang w:eastAsia="nl-BE"/>
        </w:rPr>
        <w:t>25</w:t>
      </w:r>
      <w:r w:rsidRPr="001A5073">
        <w:rPr>
          <w:lang w:eastAsia="nl-BE"/>
        </w:rPr>
        <w:t>, Christian A. Amani</w:t>
      </w:r>
      <w:r w:rsidRPr="001A5073">
        <w:rPr>
          <w:vertAlign w:val="superscript"/>
          <w:lang w:eastAsia="nl-BE"/>
        </w:rPr>
        <w:t>26,16</w:t>
      </w:r>
      <w:r w:rsidRPr="001A5073">
        <w:rPr>
          <w:lang w:eastAsia="nl-BE"/>
        </w:rPr>
        <w:t>, Timothy R. Baker</w:t>
      </w:r>
      <w:r w:rsidRPr="001A5073">
        <w:rPr>
          <w:vertAlign w:val="superscript"/>
          <w:lang w:eastAsia="nl-BE"/>
        </w:rPr>
        <w:t>1</w:t>
      </w:r>
      <w:r w:rsidRPr="001A5073">
        <w:rPr>
          <w:lang w:eastAsia="nl-BE"/>
        </w:rPr>
        <w:t>, Lindsay F. Banin</w:t>
      </w:r>
      <w:r w:rsidRPr="001A5073">
        <w:rPr>
          <w:vertAlign w:val="superscript"/>
          <w:lang w:eastAsia="nl-BE"/>
        </w:rPr>
        <w:t>27</w:t>
      </w:r>
      <w:r w:rsidRPr="001A5073">
        <w:rPr>
          <w:lang w:eastAsia="nl-BE"/>
        </w:rPr>
        <w:t>, Fidèle Baya</w:t>
      </w:r>
      <w:r w:rsidRPr="001A5073">
        <w:rPr>
          <w:vertAlign w:val="superscript"/>
          <w:lang w:eastAsia="nl-BE"/>
        </w:rPr>
        <w:t>28,29</w:t>
      </w:r>
      <w:r w:rsidRPr="001A5073">
        <w:rPr>
          <w:lang w:eastAsia="nl-BE"/>
        </w:rPr>
        <w:t>, Serge K. Begne</w:t>
      </w:r>
      <w:r w:rsidRPr="001A5073">
        <w:rPr>
          <w:vertAlign w:val="superscript"/>
          <w:lang w:eastAsia="nl-BE"/>
        </w:rPr>
        <w:t>17,1</w:t>
      </w:r>
      <w:r w:rsidRPr="001A5073">
        <w:rPr>
          <w:lang w:eastAsia="nl-BE"/>
        </w:rPr>
        <w:t>, Amy C. Bennett</w:t>
      </w:r>
      <w:r w:rsidRPr="001A5073">
        <w:rPr>
          <w:vertAlign w:val="superscript"/>
          <w:lang w:eastAsia="nl-BE"/>
        </w:rPr>
        <w:t>1</w:t>
      </w:r>
      <w:r w:rsidRPr="001A5073">
        <w:rPr>
          <w:lang w:eastAsia="nl-BE"/>
        </w:rPr>
        <w:t>, Fabrice Benedet</w:t>
      </w:r>
      <w:r w:rsidRPr="001A5073">
        <w:rPr>
          <w:vertAlign w:val="superscript"/>
          <w:lang w:eastAsia="nl-BE"/>
        </w:rPr>
        <w:t>30,31</w:t>
      </w:r>
      <w:r w:rsidRPr="001A5073">
        <w:rPr>
          <w:lang w:eastAsia="nl-BE"/>
        </w:rPr>
        <w:t>, Robert Bitariho</w:t>
      </w:r>
      <w:r w:rsidRPr="001A5073">
        <w:rPr>
          <w:vertAlign w:val="superscript"/>
          <w:lang w:eastAsia="nl-BE"/>
        </w:rPr>
        <w:t>15</w:t>
      </w:r>
      <w:r w:rsidRPr="001A5073">
        <w:rPr>
          <w:lang w:eastAsia="nl-BE"/>
        </w:rPr>
        <w:t>, Yannick E. Bocko</w:t>
      </w:r>
      <w:r w:rsidRPr="001A5073">
        <w:rPr>
          <w:vertAlign w:val="superscript"/>
          <w:lang w:eastAsia="nl-BE"/>
        </w:rPr>
        <w:t>32</w:t>
      </w:r>
      <w:r w:rsidRPr="001A5073">
        <w:rPr>
          <w:lang w:eastAsia="nl-BE"/>
        </w:rPr>
        <w:t>, Pascal Boeckx</w:t>
      </w:r>
      <w:r w:rsidRPr="001A5073">
        <w:rPr>
          <w:vertAlign w:val="superscript"/>
          <w:lang w:eastAsia="nl-BE"/>
        </w:rPr>
        <w:t>33</w:t>
      </w:r>
      <w:r w:rsidRPr="001A5073">
        <w:rPr>
          <w:lang w:eastAsia="nl-BE"/>
        </w:rPr>
        <w:t>, Patrick Boundja</w:t>
      </w:r>
      <w:r w:rsidRPr="001A5073">
        <w:rPr>
          <w:vertAlign w:val="superscript"/>
          <w:lang w:eastAsia="nl-BE"/>
        </w:rPr>
        <w:t>34,16,35</w:t>
      </w:r>
      <w:r w:rsidRPr="001A5073">
        <w:rPr>
          <w:lang w:eastAsia="nl-BE"/>
        </w:rPr>
        <w:t>, Roel J.W. Brienen</w:t>
      </w:r>
      <w:r w:rsidRPr="001A5073">
        <w:rPr>
          <w:vertAlign w:val="superscript"/>
          <w:lang w:eastAsia="nl-BE"/>
        </w:rPr>
        <w:t>1</w:t>
      </w:r>
      <w:r w:rsidRPr="001A5073">
        <w:rPr>
          <w:lang w:eastAsia="nl-BE"/>
        </w:rPr>
        <w:t>, Terry Brncic</w:t>
      </w:r>
      <w:r w:rsidRPr="001A5073">
        <w:rPr>
          <w:vertAlign w:val="superscript"/>
          <w:lang w:eastAsia="nl-BE"/>
        </w:rPr>
        <w:t>34</w:t>
      </w:r>
      <w:r w:rsidRPr="001A5073">
        <w:rPr>
          <w:lang w:eastAsia="nl-BE"/>
        </w:rPr>
        <w:t>, Eric Chezeaux</w:t>
      </w:r>
      <w:r w:rsidRPr="001A5073">
        <w:rPr>
          <w:vertAlign w:val="superscript"/>
          <w:lang w:eastAsia="nl-BE"/>
        </w:rPr>
        <w:t>36</w:t>
      </w:r>
      <w:r w:rsidRPr="001A5073">
        <w:rPr>
          <w:lang w:eastAsia="nl-BE"/>
        </w:rPr>
        <w:t>, George B. Chuyong</w:t>
      </w:r>
      <w:r w:rsidRPr="001A5073">
        <w:rPr>
          <w:vertAlign w:val="superscript"/>
          <w:lang w:eastAsia="nl-BE"/>
        </w:rPr>
        <w:t>37</w:t>
      </w:r>
      <w:r w:rsidRPr="001A5073">
        <w:rPr>
          <w:lang w:eastAsia="nl-BE"/>
        </w:rPr>
        <w:t>, Connie J. Clark</w:t>
      </w:r>
      <w:r w:rsidRPr="001A5073">
        <w:rPr>
          <w:vertAlign w:val="superscript"/>
          <w:lang w:eastAsia="nl-BE"/>
        </w:rPr>
        <w:t>38</w:t>
      </w:r>
      <w:r w:rsidRPr="001A5073">
        <w:rPr>
          <w:lang w:eastAsia="nl-BE"/>
        </w:rPr>
        <w:t>, Murray Collins</w:t>
      </w:r>
      <w:r w:rsidRPr="001A5073">
        <w:rPr>
          <w:vertAlign w:val="superscript"/>
          <w:lang w:eastAsia="nl-BE"/>
        </w:rPr>
        <w:t>39,40</w:t>
      </w:r>
      <w:r w:rsidRPr="001A5073">
        <w:rPr>
          <w:lang w:eastAsia="nl-BE"/>
        </w:rPr>
        <w:t>, James A. Comiskey</w:t>
      </w:r>
      <w:r w:rsidRPr="001A5073">
        <w:rPr>
          <w:vertAlign w:val="superscript"/>
          <w:lang w:eastAsia="nl-BE"/>
        </w:rPr>
        <w:t>41,42</w:t>
      </w:r>
      <w:r w:rsidRPr="001A5073">
        <w:rPr>
          <w:lang w:eastAsia="nl-BE"/>
        </w:rPr>
        <w:t>, David A. Coomes</w:t>
      </w:r>
      <w:r w:rsidRPr="001A5073">
        <w:rPr>
          <w:vertAlign w:val="superscript"/>
          <w:lang w:eastAsia="nl-BE"/>
        </w:rPr>
        <w:t>43</w:t>
      </w:r>
      <w:r w:rsidRPr="001A5073">
        <w:rPr>
          <w:lang w:eastAsia="nl-BE"/>
        </w:rPr>
        <w:t>, Greta C. Dargie</w:t>
      </w:r>
      <w:r w:rsidRPr="001A5073">
        <w:rPr>
          <w:vertAlign w:val="superscript"/>
          <w:lang w:eastAsia="nl-BE"/>
        </w:rPr>
        <w:t>1</w:t>
      </w:r>
      <w:r w:rsidRPr="001A5073">
        <w:rPr>
          <w:lang w:eastAsia="nl-BE"/>
        </w:rPr>
        <w:t>, Thales de Haulleville</w:t>
      </w:r>
      <w:r w:rsidRPr="001A5073">
        <w:rPr>
          <w:vertAlign w:val="superscript"/>
          <w:lang w:eastAsia="nl-BE"/>
        </w:rPr>
        <w:t>2</w:t>
      </w:r>
      <w:r w:rsidRPr="001A5073">
        <w:rPr>
          <w:lang w:eastAsia="nl-BE"/>
        </w:rPr>
        <w:t>, Marie Noel Djuikouo K.</w:t>
      </w:r>
      <w:r w:rsidRPr="001A5073">
        <w:rPr>
          <w:vertAlign w:val="superscript"/>
          <w:lang w:eastAsia="nl-BE"/>
        </w:rPr>
        <w:t>37</w:t>
      </w:r>
      <w:r w:rsidRPr="001A5073">
        <w:rPr>
          <w:lang w:eastAsia="nl-BE"/>
        </w:rPr>
        <w:t>, Jean-Louis Doucet</w:t>
      </w:r>
      <w:r w:rsidRPr="001A5073">
        <w:rPr>
          <w:vertAlign w:val="superscript"/>
          <w:lang w:eastAsia="nl-BE"/>
        </w:rPr>
        <w:t>44</w:t>
      </w:r>
      <w:r w:rsidRPr="001A5073">
        <w:rPr>
          <w:lang w:eastAsia="nl-BE"/>
        </w:rPr>
        <w:t>, Adriane Esquivel-Muelbert</w:t>
      </w:r>
      <w:r w:rsidRPr="001A5073">
        <w:rPr>
          <w:vertAlign w:val="superscript"/>
          <w:lang w:eastAsia="nl-BE"/>
        </w:rPr>
        <w:t>1,45</w:t>
      </w:r>
      <w:r w:rsidRPr="001A5073">
        <w:rPr>
          <w:lang w:eastAsia="nl-BE"/>
        </w:rPr>
        <w:t>, Ted R. Feldpausch</w:t>
      </w:r>
      <w:r w:rsidRPr="001A5073">
        <w:rPr>
          <w:vertAlign w:val="superscript"/>
          <w:lang w:eastAsia="nl-BE"/>
        </w:rPr>
        <w:t>46</w:t>
      </w:r>
      <w:r w:rsidRPr="001A5073">
        <w:rPr>
          <w:lang w:eastAsia="nl-BE"/>
        </w:rPr>
        <w:t>, Alusine Fofanah</w:t>
      </w:r>
      <w:r w:rsidRPr="001A5073">
        <w:rPr>
          <w:vertAlign w:val="superscript"/>
          <w:lang w:eastAsia="nl-BE"/>
        </w:rPr>
        <w:t>47</w:t>
      </w:r>
      <w:r w:rsidRPr="001A5073">
        <w:rPr>
          <w:lang w:eastAsia="nl-BE"/>
        </w:rPr>
        <w:t>, Ernest G. Foli</w:t>
      </w:r>
      <w:r w:rsidRPr="001A5073">
        <w:rPr>
          <w:vertAlign w:val="superscript"/>
          <w:lang w:eastAsia="nl-BE"/>
        </w:rPr>
        <w:t>25</w:t>
      </w:r>
      <w:r w:rsidRPr="001A5073">
        <w:rPr>
          <w:lang w:eastAsia="nl-BE"/>
        </w:rPr>
        <w:t>, Martin Gilpin</w:t>
      </w:r>
      <w:r w:rsidRPr="001A5073">
        <w:rPr>
          <w:vertAlign w:val="superscript"/>
          <w:lang w:eastAsia="nl-BE"/>
        </w:rPr>
        <w:t>1</w:t>
      </w:r>
      <w:r w:rsidRPr="001A5073">
        <w:rPr>
          <w:lang w:eastAsia="nl-BE"/>
        </w:rPr>
        <w:t>, Emanuel Gloor</w:t>
      </w:r>
      <w:r w:rsidRPr="001A5073">
        <w:rPr>
          <w:vertAlign w:val="superscript"/>
          <w:lang w:eastAsia="nl-BE"/>
        </w:rPr>
        <w:t>1</w:t>
      </w:r>
      <w:r w:rsidRPr="001A5073">
        <w:rPr>
          <w:lang w:eastAsia="nl-BE"/>
        </w:rPr>
        <w:t>, Christelle Gonmadje</w:t>
      </w:r>
      <w:r w:rsidRPr="001A5073">
        <w:rPr>
          <w:vertAlign w:val="superscript"/>
          <w:lang w:eastAsia="nl-BE"/>
        </w:rPr>
        <w:t>48</w:t>
      </w:r>
      <w:r w:rsidRPr="001A5073">
        <w:rPr>
          <w:lang w:eastAsia="nl-BE"/>
        </w:rPr>
        <w:t>, Sylvie Gourlet-Fleury</w:t>
      </w:r>
      <w:r w:rsidRPr="001A5073">
        <w:rPr>
          <w:vertAlign w:val="superscript"/>
          <w:lang w:eastAsia="nl-BE"/>
        </w:rPr>
        <w:t>30,31</w:t>
      </w:r>
      <w:r w:rsidRPr="001A5073">
        <w:rPr>
          <w:lang w:eastAsia="nl-BE"/>
        </w:rPr>
        <w:t xml:space="preserve">, Jefferson S. Hall </w:t>
      </w:r>
      <w:r w:rsidRPr="001A5073">
        <w:rPr>
          <w:vertAlign w:val="superscript"/>
          <w:lang w:eastAsia="nl-BE"/>
        </w:rPr>
        <w:t>49</w:t>
      </w:r>
      <w:r w:rsidRPr="001A5073">
        <w:rPr>
          <w:lang w:eastAsia="nl-BE"/>
        </w:rPr>
        <w:t>, Alan C. Hamilton</w:t>
      </w:r>
      <w:r w:rsidRPr="001A5073">
        <w:rPr>
          <w:vertAlign w:val="superscript"/>
          <w:lang w:eastAsia="nl-BE"/>
        </w:rPr>
        <w:t>50</w:t>
      </w:r>
      <w:r w:rsidRPr="001A5073">
        <w:rPr>
          <w:lang w:eastAsia="nl-BE"/>
        </w:rPr>
        <w:t>, David J. Harris</w:t>
      </w:r>
      <w:r w:rsidRPr="001A5073">
        <w:rPr>
          <w:vertAlign w:val="superscript"/>
          <w:lang w:eastAsia="nl-BE"/>
        </w:rPr>
        <w:t>51</w:t>
      </w:r>
      <w:r w:rsidRPr="001A5073">
        <w:rPr>
          <w:lang w:eastAsia="nl-BE"/>
        </w:rPr>
        <w:t>, Terese B. Hart</w:t>
      </w:r>
      <w:r w:rsidRPr="001A5073">
        <w:rPr>
          <w:vertAlign w:val="superscript"/>
          <w:lang w:eastAsia="nl-BE"/>
        </w:rPr>
        <w:t>52,53</w:t>
      </w:r>
      <w:r w:rsidRPr="001A5073">
        <w:rPr>
          <w:lang w:eastAsia="nl-BE"/>
        </w:rPr>
        <w:t>, Mireille B.N. Hockemba</w:t>
      </w:r>
      <w:r w:rsidRPr="001A5073">
        <w:rPr>
          <w:vertAlign w:val="superscript"/>
          <w:lang w:eastAsia="nl-BE"/>
        </w:rPr>
        <w:t>34</w:t>
      </w:r>
      <w:r w:rsidRPr="001A5073">
        <w:rPr>
          <w:lang w:eastAsia="nl-BE"/>
        </w:rPr>
        <w:t>, Annette Hladik</w:t>
      </w:r>
      <w:r w:rsidRPr="001A5073">
        <w:rPr>
          <w:vertAlign w:val="superscript"/>
          <w:lang w:eastAsia="nl-BE"/>
        </w:rPr>
        <w:t>54</w:t>
      </w:r>
      <w:r w:rsidRPr="001A5073">
        <w:rPr>
          <w:lang w:eastAsia="nl-BE"/>
        </w:rPr>
        <w:t>, Suspense A. Ifo</w:t>
      </w:r>
      <w:r w:rsidRPr="001A5073">
        <w:rPr>
          <w:vertAlign w:val="superscript"/>
          <w:lang w:eastAsia="nl-BE"/>
        </w:rPr>
        <w:t>55</w:t>
      </w:r>
      <w:r w:rsidRPr="001A5073">
        <w:rPr>
          <w:lang w:eastAsia="nl-BE"/>
        </w:rPr>
        <w:t>, Kathryn J. Jeffery</w:t>
      </w:r>
      <w:r w:rsidRPr="001A5073">
        <w:rPr>
          <w:vertAlign w:val="superscript"/>
          <w:lang w:eastAsia="nl-BE"/>
        </w:rPr>
        <w:t>24</w:t>
      </w:r>
      <w:r w:rsidRPr="001A5073">
        <w:rPr>
          <w:lang w:eastAsia="nl-BE"/>
        </w:rPr>
        <w:t>, Tommaso Jucker</w:t>
      </w:r>
      <w:r w:rsidRPr="001A5073">
        <w:rPr>
          <w:vertAlign w:val="superscript"/>
          <w:lang w:eastAsia="nl-BE"/>
        </w:rPr>
        <w:t>56</w:t>
      </w:r>
      <w:r w:rsidRPr="001A5073">
        <w:rPr>
          <w:lang w:eastAsia="nl-BE"/>
        </w:rPr>
        <w:t>, Emmanuel Kasongo Yakusu</w:t>
      </w:r>
      <w:r w:rsidRPr="001A5073">
        <w:rPr>
          <w:vertAlign w:val="superscript"/>
          <w:lang w:eastAsia="nl-BE"/>
        </w:rPr>
        <w:t>10,3,2</w:t>
      </w:r>
      <w:r w:rsidRPr="001A5073">
        <w:rPr>
          <w:lang w:eastAsia="nl-BE"/>
        </w:rPr>
        <w:t>, Elizabeth Kearsley</w:t>
      </w:r>
      <w:r w:rsidRPr="001A5073">
        <w:rPr>
          <w:vertAlign w:val="superscript"/>
          <w:lang w:eastAsia="nl-BE"/>
        </w:rPr>
        <w:t>57,2</w:t>
      </w:r>
      <w:r w:rsidRPr="001A5073">
        <w:rPr>
          <w:lang w:eastAsia="nl-BE"/>
        </w:rPr>
        <w:t>, David Kenfack</w:t>
      </w:r>
      <w:r w:rsidRPr="001A5073">
        <w:rPr>
          <w:vertAlign w:val="superscript"/>
          <w:lang w:eastAsia="nl-BE"/>
        </w:rPr>
        <w:t>49,58</w:t>
      </w:r>
      <w:r w:rsidRPr="001A5073">
        <w:rPr>
          <w:lang w:eastAsia="nl-BE"/>
        </w:rPr>
        <w:t>, Alexander Koch</w:t>
      </w:r>
      <w:r w:rsidRPr="001A5073">
        <w:rPr>
          <w:vertAlign w:val="superscript"/>
          <w:lang w:eastAsia="nl-BE"/>
        </w:rPr>
        <w:t>4,59</w:t>
      </w:r>
      <w:r w:rsidRPr="001A5073">
        <w:rPr>
          <w:lang w:eastAsia="nl-BE"/>
        </w:rPr>
        <w:t>, Miguel E. Leal</w:t>
      </w:r>
      <w:r w:rsidRPr="001A5073">
        <w:rPr>
          <w:vertAlign w:val="superscript"/>
          <w:lang w:eastAsia="nl-BE"/>
        </w:rPr>
        <w:t>60</w:t>
      </w:r>
      <w:r w:rsidRPr="001A5073">
        <w:rPr>
          <w:lang w:eastAsia="nl-BE"/>
        </w:rPr>
        <w:t>, Aurora Levesley</w:t>
      </w:r>
      <w:r w:rsidRPr="001A5073">
        <w:rPr>
          <w:vertAlign w:val="superscript"/>
          <w:lang w:eastAsia="nl-BE"/>
        </w:rPr>
        <w:t>1</w:t>
      </w:r>
      <w:r w:rsidRPr="001A5073">
        <w:rPr>
          <w:lang w:eastAsia="nl-BE"/>
        </w:rPr>
        <w:t>, Jeremy A. Lindsell</w:t>
      </w:r>
      <w:r w:rsidRPr="001A5073">
        <w:rPr>
          <w:vertAlign w:val="superscript"/>
          <w:lang w:eastAsia="nl-BE"/>
        </w:rPr>
        <w:t>61,62</w:t>
      </w:r>
      <w:r w:rsidRPr="001A5073">
        <w:rPr>
          <w:lang w:eastAsia="nl-BE"/>
        </w:rPr>
        <w:t>, Janvier Lisingo</w:t>
      </w:r>
      <w:r w:rsidRPr="001A5073">
        <w:rPr>
          <w:vertAlign w:val="superscript"/>
          <w:lang w:eastAsia="nl-BE"/>
        </w:rPr>
        <w:t>63</w:t>
      </w:r>
      <w:r w:rsidRPr="001A5073">
        <w:rPr>
          <w:lang w:eastAsia="nl-BE"/>
        </w:rPr>
        <w:t>, Gabriela Lopez-Gonzalez</w:t>
      </w:r>
      <w:r w:rsidRPr="001A5073">
        <w:rPr>
          <w:vertAlign w:val="superscript"/>
          <w:lang w:eastAsia="nl-BE"/>
        </w:rPr>
        <w:t>1</w:t>
      </w:r>
      <w:r w:rsidRPr="001A5073">
        <w:rPr>
          <w:lang w:eastAsia="nl-BE"/>
        </w:rPr>
        <w:t>, Jon C. Lovett</w:t>
      </w:r>
      <w:r w:rsidRPr="001A5073">
        <w:rPr>
          <w:vertAlign w:val="superscript"/>
          <w:lang w:eastAsia="nl-BE"/>
        </w:rPr>
        <w:t>1,64</w:t>
      </w:r>
      <w:r w:rsidRPr="001A5073">
        <w:rPr>
          <w:lang w:eastAsia="nl-BE"/>
        </w:rPr>
        <w:t>, Jean-Remy Makana</w:t>
      </w:r>
      <w:r w:rsidRPr="001A5073">
        <w:rPr>
          <w:vertAlign w:val="superscript"/>
          <w:lang w:eastAsia="nl-BE"/>
        </w:rPr>
        <w:t>63</w:t>
      </w:r>
      <w:r w:rsidRPr="001A5073">
        <w:rPr>
          <w:lang w:eastAsia="nl-BE"/>
        </w:rPr>
        <w:t>, Yadvinder Malhi</w:t>
      </w:r>
      <w:r w:rsidRPr="001A5073">
        <w:rPr>
          <w:vertAlign w:val="superscript"/>
          <w:lang w:eastAsia="nl-BE"/>
        </w:rPr>
        <w:t>65</w:t>
      </w:r>
      <w:r w:rsidRPr="001A5073">
        <w:rPr>
          <w:lang w:eastAsia="nl-BE"/>
        </w:rPr>
        <w:t>, Andrew R. Marshall</w:t>
      </w:r>
      <w:r w:rsidRPr="001A5073">
        <w:rPr>
          <w:vertAlign w:val="superscript"/>
          <w:lang w:eastAsia="nl-BE"/>
        </w:rPr>
        <w:t>6,66,67</w:t>
      </w:r>
      <w:r w:rsidRPr="001A5073">
        <w:rPr>
          <w:lang w:eastAsia="nl-BE"/>
        </w:rPr>
        <w:t>, Jim Martin</w:t>
      </w:r>
      <w:r w:rsidRPr="001A5073">
        <w:rPr>
          <w:vertAlign w:val="superscript"/>
          <w:lang w:eastAsia="nl-BE"/>
        </w:rPr>
        <w:t>68</w:t>
      </w:r>
      <w:r w:rsidRPr="001A5073">
        <w:rPr>
          <w:lang w:eastAsia="nl-BE"/>
        </w:rPr>
        <w:t>, Emanuel H. Martin</w:t>
      </w:r>
      <w:r w:rsidRPr="001A5073">
        <w:rPr>
          <w:vertAlign w:val="superscript"/>
          <w:lang w:eastAsia="nl-BE"/>
        </w:rPr>
        <w:t>58,69</w:t>
      </w:r>
      <w:r w:rsidRPr="001A5073">
        <w:rPr>
          <w:lang w:eastAsia="nl-BE"/>
        </w:rPr>
        <w:t>, Faustin M. Mbayu</w:t>
      </w:r>
      <w:r w:rsidRPr="001A5073">
        <w:rPr>
          <w:vertAlign w:val="superscript"/>
          <w:lang w:eastAsia="nl-BE"/>
        </w:rPr>
        <w:t>10</w:t>
      </w:r>
      <w:r w:rsidRPr="001A5073">
        <w:rPr>
          <w:lang w:eastAsia="nl-BE"/>
        </w:rPr>
        <w:t>, Vincent P. Medjibe</w:t>
      </w:r>
      <w:r w:rsidRPr="001A5073">
        <w:rPr>
          <w:vertAlign w:val="superscript"/>
          <w:lang w:eastAsia="nl-BE"/>
        </w:rPr>
        <w:t>70,71,38</w:t>
      </w:r>
      <w:r w:rsidRPr="001A5073">
        <w:rPr>
          <w:lang w:eastAsia="nl-BE"/>
        </w:rPr>
        <w:t>, Vianet Mihindou</w:t>
      </w:r>
      <w:r w:rsidRPr="001A5073">
        <w:rPr>
          <w:vertAlign w:val="superscript"/>
          <w:lang w:eastAsia="nl-BE"/>
        </w:rPr>
        <w:t>71,22</w:t>
      </w:r>
      <w:r w:rsidRPr="001A5073">
        <w:rPr>
          <w:lang w:eastAsia="nl-BE"/>
        </w:rPr>
        <w:t>, Edward T.A. Mitchard</w:t>
      </w:r>
      <w:r w:rsidRPr="001A5073">
        <w:rPr>
          <w:vertAlign w:val="superscript"/>
          <w:lang w:eastAsia="nl-BE"/>
        </w:rPr>
        <w:t>39</w:t>
      </w:r>
      <w:r w:rsidRPr="001A5073">
        <w:rPr>
          <w:lang w:eastAsia="nl-BE"/>
        </w:rPr>
        <w:t>, Sam Moore</w:t>
      </w:r>
      <w:r w:rsidRPr="001A5073">
        <w:rPr>
          <w:vertAlign w:val="superscript"/>
          <w:lang w:eastAsia="nl-BE"/>
        </w:rPr>
        <w:t>65</w:t>
      </w:r>
      <w:r w:rsidRPr="001A5073">
        <w:rPr>
          <w:lang w:eastAsia="nl-BE"/>
        </w:rPr>
        <w:t>, Pantaleo K.T. Munishi</w:t>
      </w:r>
      <w:r w:rsidRPr="001A5073">
        <w:rPr>
          <w:vertAlign w:val="superscript"/>
          <w:lang w:eastAsia="nl-BE"/>
        </w:rPr>
        <w:t>72</w:t>
      </w:r>
      <w:r w:rsidRPr="001A5073">
        <w:rPr>
          <w:lang w:eastAsia="nl-BE"/>
        </w:rPr>
        <w:t>, Natacha Nssi Bengone</w:t>
      </w:r>
      <w:r w:rsidRPr="001A5073">
        <w:rPr>
          <w:vertAlign w:val="superscript"/>
          <w:lang w:eastAsia="nl-BE"/>
        </w:rPr>
        <w:t>22</w:t>
      </w:r>
      <w:r w:rsidRPr="001A5073">
        <w:rPr>
          <w:lang w:eastAsia="nl-BE"/>
        </w:rPr>
        <w:t>, Lucas Ojo</w:t>
      </w:r>
      <w:r w:rsidRPr="001A5073">
        <w:rPr>
          <w:vertAlign w:val="superscript"/>
          <w:lang w:eastAsia="nl-BE"/>
        </w:rPr>
        <w:t>73</w:t>
      </w:r>
      <w:r w:rsidRPr="001A5073">
        <w:rPr>
          <w:lang w:eastAsia="nl-BE"/>
        </w:rPr>
        <w:t>, Fidèle Evouna Ondo</w:t>
      </w:r>
      <w:r w:rsidRPr="001A5073">
        <w:rPr>
          <w:vertAlign w:val="superscript"/>
          <w:lang w:eastAsia="nl-BE"/>
        </w:rPr>
        <w:t>71</w:t>
      </w:r>
      <w:r w:rsidRPr="001A5073">
        <w:rPr>
          <w:lang w:eastAsia="nl-BE"/>
        </w:rPr>
        <w:t>, Kelvin Peh</w:t>
      </w:r>
      <w:r w:rsidRPr="001A5073">
        <w:rPr>
          <w:vertAlign w:val="superscript"/>
          <w:lang w:eastAsia="nl-BE"/>
        </w:rPr>
        <w:t>74,75</w:t>
      </w:r>
      <w:r w:rsidRPr="001A5073">
        <w:rPr>
          <w:lang w:eastAsia="nl-BE"/>
        </w:rPr>
        <w:t>, Georgia C. Pickavance</w:t>
      </w:r>
      <w:r w:rsidRPr="001A5073">
        <w:rPr>
          <w:vertAlign w:val="superscript"/>
          <w:lang w:eastAsia="nl-BE"/>
        </w:rPr>
        <w:t>1</w:t>
      </w:r>
      <w:r w:rsidRPr="001A5073">
        <w:rPr>
          <w:lang w:eastAsia="nl-BE"/>
        </w:rPr>
        <w:t>, Axel D. Poulsen</w:t>
      </w:r>
      <w:r w:rsidRPr="001A5073">
        <w:rPr>
          <w:vertAlign w:val="superscript"/>
          <w:lang w:eastAsia="nl-BE"/>
        </w:rPr>
        <w:t>51</w:t>
      </w:r>
      <w:r w:rsidRPr="001A5073">
        <w:rPr>
          <w:lang w:eastAsia="nl-BE"/>
        </w:rPr>
        <w:t>, John R. Poulsen</w:t>
      </w:r>
      <w:r w:rsidRPr="001A5073">
        <w:rPr>
          <w:vertAlign w:val="superscript"/>
          <w:lang w:eastAsia="nl-BE"/>
        </w:rPr>
        <w:t>38</w:t>
      </w:r>
      <w:r w:rsidRPr="001A5073">
        <w:rPr>
          <w:lang w:eastAsia="nl-BE"/>
        </w:rPr>
        <w:t>, Lan Qie</w:t>
      </w:r>
      <w:r w:rsidRPr="001A5073">
        <w:rPr>
          <w:vertAlign w:val="superscript"/>
          <w:lang w:eastAsia="nl-BE"/>
        </w:rPr>
        <w:t>1,76</w:t>
      </w:r>
      <w:r w:rsidRPr="001A5073">
        <w:rPr>
          <w:lang w:eastAsia="nl-BE"/>
        </w:rPr>
        <w:t>, Jan Reitsma</w:t>
      </w:r>
      <w:r w:rsidRPr="001A5073">
        <w:rPr>
          <w:vertAlign w:val="superscript"/>
          <w:lang w:eastAsia="nl-BE"/>
        </w:rPr>
        <w:t>77</w:t>
      </w:r>
      <w:r w:rsidRPr="001A5073">
        <w:rPr>
          <w:lang w:eastAsia="nl-BE"/>
        </w:rPr>
        <w:t>, Francesco Rovero</w:t>
      </w:r>
      <w:r w:rsidRPr="001A5073">
        <w:rPr>
          <w:vertAlign w:val="superscript"/>
          <w:lang w:eastAsia="nl-BE"/>
        </w:rPr>
        <w:t>78,79</w:t>
      </w:r>
      <w:r w:rsidRPr="001A5073">
        <w:rPr>
          <w:lang w:eastAsia="nl-BE"/>
        </w:rPr>
        <w:t>, Michael D. Swaine</w:t>
      </w:r>
      <w:r w:rsidRPr="001A5073">
        <w:rPr>
          <w:vertAlign w:val="superscript"/>
          <w:lang w:eastAsia="nl-BE"/>
        </w:rPr>
        <w:t>80</w:t>
      </w:r>
      <w:r w:rsidRPr="001A5073">
        <w:rPr>
          <w:lang w:eastAsia="nl-BE"/>
        </w:rPr>
        <w:t>, Joey Talbot</w:t>
      </w:r>
      <w:r w:rsidRPr="001A5073">
        <w:rPr>
          <w:vertAlign w:val="superscript"/>
          <w:lang w:eastAsia="nl-BE"/>
        </w:rPr>
        <w:t>1</w:t>
      </w:r>
      <w:r w:rsidRPr="001A5073">
        <w:rPr>
          <w:lang w:eastAsia="nl-BE"/>
        </w:rPr>
        <w:t>, James Taplin</w:t>
      </w:r>
      <w:r w:rsidRPr="001A5073">
        <w:rPr>
          <w:vertAlign w:val="superscript"/>
          <w:lang w:eastAsia="nl-BE"/>
        </w:rPr>
        <w:t>81</w:t>
      </w:r>
      <w:r w:rsidRPr="001A5073">
        <w:rPr>
          <w:lang w:eastAsia="nl-BE"/>
        </w:rPr>
        <w:t>, David M. Taylor</w:t>
      </w:r>
      <w:r w:rsidRPr="001A5073">
        <w:rPr>
          <w:vertAlign w:val="superscript"/>
          <w:lang w:eastAsia="nl-BE"/>
        </w:rPr>
        <w:t>82</w:t>
      </w:r>
      <w:r w:rsidRPr="001A5073">
        <w:rPr>
          <w:lang w:eastAsia="nl-BE"/>
        </w:rPr>
        <w:t>, Duncan W. Thomas</w:t>
      </w:r>
      <w:r w:rsidRPr="001A5073">
        <w:rPr>
          <w:vertAlign w:val="superscript"/>
          <w:lang w:eastAsia="nl-BE"/>
        </w:rPr>
        <w:t>83</w:t>
      </w:r>
      <w:r w:rsidRPr="001A5073">
        <w:rPr>
          <w:lang w:eastAsia="nl-BE"/>
        </w:rPr>
        <w:t>, Benjamin Toirambe</w:t>
      </w:r>
      <w:r w:rsidRPr="001A5073">
        <w:rPr>
          <w:vertAlign w:val="superscript"/>
          <w:lang w:eastAsia="nl-BE"/>
        </w:rPr>
        <w:t>84,2</w:t>
      </w:r>
      <w:r w:rsidRPr="001A5073">
        <w:rPr>
          <w:lang w:eastAsia="nl-BE"/>
        </w:rPr>
        <w:t>, John Tshibamba Mukendi</w:t>
      </w:r>
      <w:r w:rsidRPr="001A5073">
        <w:rPr>
          <w:vertAlign w:val="superscript"/>
          <w:lang w:eastAsia="nl-BE"/>
        </w:rPr>
        <w:t>2,10,85</w:t>
      </w:r>
      <w:r w:rsidRPr="001A5073">
        <w:rPr>
          <w:lang w:eastAsia="nl-BE"/>
        </w:rPr>
        <w:t>, Darlington Tuagben</w:t>
      </w:r>
      <w:r w:rsidRPr="001A5073">
        <w:rPr>
          <w:vertAlign w:val="superscript"/>
          <w:lang w:eastAsia="nl-BE"/>
        </w:rPr>
        <w:t>7</w:t>
      </w:r>
      <w:r w:rsidRPr="001A5073">
        <w:rPr>
          <w:lang w:eastAsia="nl-BE"/>
        </w:rPr>
        <w:t>, Peter M. Umunay</w:t>
      </w:r>
      <w:r w:rsidRPr="001A5073">
        <w:rPr>
          <w:vertAlign w:val="superscript"/>
          <w:lang w:eastAsia="nl-BE"/>
        </w:rPr>
        <w:t>86,87</w:t>
      </w:r>
      <w:r w:rsidRPr="001A5073">
        <w:rPr>
          <w:lang w:eastAsia="nl-BE"/>
        </w:rPr>
        <w:t>, Geertje M.F. Van Der Heijden</w:t>
      </w:r>
      <w:r w:rsidRPr="001A5073">
        <w:rPr>
          <w:vertAlign w:val="superscript"/>
          <w:lang w:eastAsia="nl-BE"/>
        </w:rPr>
        <w:t>88</w:t>
      </w:r>
      <w:r w:rsidRPr="001A5073">
        <w:rPr>
          <w:lang w:eastAsia="nl-BE"/>
        </w:rPr>
        <w:t>, Hans Verbeeck</w:t>
      </w:r>
      <w:r w:rsidRPr="001A5073">
        <w:rPr>
          <w:vertAlign w:val="superscript"/>
          <w:lang w:eastAsia="nl-BE"/>
        </w:rPr>
        <w:t>57</w:t>
      </w:r>
      <w:r w:rsidRPr="001A5073">
        <w:rPr>
          <w:lang w:eastAsia="nl-BE"/>
        </w:rPr>
        <w:t>, Jason Vleminckx</w:t>
      </w:r>
      <w:r w:rsidRPr="001A5073">
        <w:rPr>
          <w:vertAlign w:val="superscript"/>
          <w:lang w:eastAsia="nl-BE"/>
        </w:rPr>
        <w:t>89,90</w:t>
      </w:r>
      <w:r w:rsidRPr="001A5073">
        <w:rPr>
          <w:lang w:eastAsia="nl-BE"/>
        </w:rPr>
        <w:t>, Simon Willcock</w:t>
      </w:r>
      <w:r w:rsidRPr="001A5073">
        <w:rPr>
          <w:vertAlign w:val="superscript"/>
          <w:lang w:eastAsia="nl-BE"/>
        </w:rPr>
        <w:t>91</w:t>
      </w:r>
      <w:r w:rsidRPr="001A5073">
        <w:rPr>
          <w:lang w:eastAsia="nl-BE"/>
        </w:rPr>
        <w:t>, Hannsjoerg Woell</w:t>
      </w:r>
      <w:r w:rsidRPr="001A5073">
        <w:rPr>
          <w:vertAlign w:val="superscript"/>
          <w:lang w:eastAsia="nl-BE"/>
        </w:rPr>
        <w:t>92</w:t>
      </w:r>
      <w:r w:rsidRPr="001A5073">
        <w:rPr>
          <w:lang w:eastAsia="nl-BE"/>
        </w:rPr>
        <w:t>, John T. Woods</w:t>
      </w:r>
      <w:r w:rsidRPr="001A5073">
        <w:rPr>
          <w:vertAlign w:val="superscript"/>
          <w:lang w:eastAsia="nl-BE"/>
        </w:rPr>
        <w:t>93</w:t>
      </w:r>
      <w:r w:rsidRPr="001A5073">
        <w:rPr>
          <w:lang w:eastAsia="nl-BE"/>
        </w:rPr>
        <w:t>, Lise Zemagho</w:t>
      </w:r>
      <w:r w:rsidRPr="00B277FB">
        <w:rPr>
          <w:vertAlign w:val="superscript"/>
          <w:lang w:eastAsia="nl-BE"/>
        </w:rPr>
        <w:t>17</w:t>
      </w:r>
    </w:p>
    <w:p w:rsidR="00B43E3C" w:rsidRPr="000128E4" w:rsidRDefault="00B43E3C" w:rsidP="00726F1B">
      <w:pPr>
        <w:rPr>
          <w:rFonts w:cs="Times New Roman"/>
          <w:sz w:val="24"/>
          <w:szCs w:val="24"/>
        </w:rPr>
      </w:pPr>
    </w:p>
    <w:p w:rsidR="00B43E3C" w:rsidRPr="000128E4" w:rsidRDefault="00B43E3C" w:rsidP="00726F1B">
      <w:pPr>
        <w:rPr>
          <w:rFonts w:cs="Times New Roman"/>
          <w:sz w:val="24"/>
          <w:szCs w:val="24"/>
        </w:rPr>
      </w:pPr>
      <w:r w:rsidRPr="000128E4">
        <w:rPr>
          <w:rFonts w:cs="Times New Roman"/>
          <w:sz w:val="24"/>
          <w:szCs w:val="24"/>
        </w:rPr>
        <w:t>*Contributed equally</w:t>
      </w:r>
    </w:p>
    <w:p w:rsidR="00B43E3C" w:rsidRDefault="00B43E3C" w:rsidP="00726F1B">
      <w:pPr>
        <w:rPr>
          <w:rFonts w:cs="Times New Roman"/>
          <w:sz w:val="24"/>
          <w:szCs w:val="24"/>
        </w:rPr>
      </w:pPr>
    </w:p>
    <w:p w:rsidR="00B43E3C" w:rsidRPr="000128E4" w:rsidRDefault="00B43E3C" w:rsidP="00726F1B">
      <w:pPr>
        <w:pStyle w:val="Heading1"/>
      </w:pPr>
      <w:r>
        <w:lastRenderedPageBreak/>
        <w:t>Author affiliations</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Leeds, School of Geography, Leeds,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Royal Museum for Central Africa, Service of Wood Biology, Tervuren, Belgium</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Ghent University, Department of Environment, Laboratory of Wood Technology (Woodlab), Ghent, Belgium</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College London, Department of Geography, London,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Forestry Commission of Ghana, Mensuration Unit, Kumasi, Ghana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York, Department of Environment and Geography, York,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Forestry Development Authority of the Government of Liberia (FDA), Monrovia, Liberia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Wildlife Conservation Society, DR Congo Programme, Kinshasa, Democratic Republic of Congo</w:t>
      </w:r>
    </w:p>
    <w:p w:rsidR="00B43E3C" w:rsidRPr="00B277FB" w:rsidRDefault="00B43E3C" w:rsidP="00726F1B">
      <w:pPr>
        <w:pStyle w:val="ListParagraph"/>
        <w:numPr>
          <w:ilvl w:val="0"/>
          <w:numId w:val="10"/>
        </w:numPr>
        <w:rPr>
          <w:rFonts w:cs="Times New Roman"/>
          <w:sz w:val="24"/>
          <w:szCs w:val="24"/>
          <w:lang w:val="fr-FR"/>
        </w:rPr>
      </w:pPr>
      <w:r w:rsidRPr="00B277FB">
        <w:rPr>
          <w:rFonts w:cs="Times New Roman"/>
          <w:sz w:val="24"/>
          <w:szCs w:val="24"/>
          <w:lang w:val="fr-FR"/>
        </w:rPr>
        <w:t>Centre de Formation et de Recherche en Conservation Forestiere (CEFRECOF), Epulu, Democratic Republic of Congo</w:t>
      </w:r>
    </w:p>
    <w:p w:rsidR="00B43E3C" w:rsidRPr="00B277FB" w:rsidRDefault="00B43E3C" w:rsidP="00726F1B">
      <w:pPr>
        <w:pStyle w:val="ListParagraph"/>
        <w:numPr>
          <w:ilvl w:val="0"/>
          <w:numId w:val="10"/>
        </w:numPr>
        <w:rPr>
          <w:rFonts w:cs="Times New Roman"/>
          <w:sz w:val="24"/>
          <w:szCs w:val="24"/>
          <w:lang w:val="fr-FR"/>
        </w:rPr>
      </w:pPr>
      <w:r w:rsidRPr="00B277FB">
        <w:rPr>
          <w:rFonts w:cs="Times New Roman"/>
          <w:sz w:val="24"/>
          <w:szCs w:val="24"/>
          <w:lang w:val="fr-FR"/>
        </w:rPr>
        <w:t>Université de Kisangani, Faculté de Gestion de Ressources Naturelles Renouvelables, Kisangani, Democratic Republic of Congo</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Plymouth, School of Geography, E</w:t>
      </w:r>
      <w:r>
        <w:rPr>
          <w:rFonts w:cs="Times New Roman"/>
          <w:sz w:val="24"/>
          <w:szCs w:val="24"/>
        </w:rPr>
        <w:t>arth and Environmental Sciences</w:t>
      </w:r>
      <w:r w:rsidRPr="00B277FB">
        <w:rPr>
          <w:rFonts w:cs="Times New Roman"/>
          <w:sz w:val="24"/>
          <w:szCs w:val="24"/>
        </w:rPr>
        <w:t>, Plymouth,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Salonga National Park, Kinshasa, Democratic Republic of Congo</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World</w:t>
      </w:r>
      <w:r>
        <w:rPr>
          <w:rFonts w:cs="Times New Roman"/>
          <w:sz w:val="24"/>
          <w:szCs w:val="24"/>
        </w:rPr>
        <w:t xml:space="preserve"> </w:t>
      </w:r>
      <w:r w:rsidRPr="00B277FB">
        <w:rPr>
          <w:rFonts w:cs="Times New Roman"/>
          <w:sz w:val="24"/>
          <w:szCs w:val="24"/>
        </w:rPr>
        <w:t>Wide Fund for Nature, Gland, Switzerland</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Norwegian University of Life Sciences, Faculty of Environmental Sciences and Natural Resource Management, Ås, Norway</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Mbarara University of Science and Technology (MUST), The Institute of Tropical Forest Conservation (ITFC) , Mbarara, Uganda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Center for International Forestry Research (CIFOR), Bogor, Indonesia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lastRenderedPageBreak/>
        <w:t>University of Yaounde I, Plant Systematic and Ecology Laboratory, Higher Teachers' Training College, Yaounde, Cameroon</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Manchester Metropolitan University, Department of Natural Sciences, Manchester,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British Columbia, Faculty of Forestry, Vancouver, Canada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Biodiversity International, Yaounde, Cameroon</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Toronto, Faculty of Forestry, Toronto, Canada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Ministry of Forests, Seas, Environment and Climate, Libreville, Gabon</w:t>
      </w:r>
    </w:p>
    <w:p w:rsidR="00B43E3C" w:rsidRPr="00B277FB" w:rsidRDefault="00B43E3C" w:rsidP="00726F1B">
      <w:pPr>
        <w:pStyle w:val="ListParagraph"/>
        <w:numPr>
          <w:ilvl w:val="0"/>
          <w:numId w:val="10"/>
        </w:numPr>
        <w:rPr>
          <w:rFonts w:cs="Times New Roman"/>
          <w:sz w:val="24"/>
          <w:szCs w:val="24"/>
          <w:lang w:val="fr-FR"/>
        </w:rPr>
      </w:pPr>
      <w:r w:rsidRPr="00B277FB">
        <w:rPr>
          <w:rFonts w:cs="Times New Roman"/>
          <w:sz w:val="24"/>
          <w:szCs w:val="24"/>
          <w:lang w:val="fr-FR"/>
        </w:rPr>
        <w:t>Institut de Recherche en Ecologie Tropicale, Libreville, Gabon</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Stirling, Biological and Environmental Sciences, Stirling,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Forestry Research Institute of Ghana (FORIG), Kumasi, Ghana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Université Officielle de Bukavu, Bukavu, Democratic Republic of Congo</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Centre for Ecology and Hydrology, Penicuik, UK</w:t>
      </w:r>
    </w:p>
    <w:p w:rsidR="00B43E3C" w:rsidRPr="00B277FB" w:rsidRDefault="00B43E3C" w:rsidP="00726F1B">
      <w:pPr>
        <w:pStyle w:val="ListParagraph"/>
        <w:numPr>
          <w:ilvl w:val="0"/>
          <w:numId w:val="10"/>
        </w:numPr>
        <w:rPr>
          <w:rFonts w:cs="Times New Roman"/>
          <w:sz w:val="24"/>
          <w:szCs w:val="24"/>
          <w:lang w:val="fr-FR"/>
        </w:rPr>
      </w:pPr>
      <w:r w:rsidRPr="00B277FB">
        <w:rPr>
          <w:rFonts w:cs="Times New Roman"/>
          <w:sz w:val="24"/>
          <w:szCs w:val="24"/>
          <w:lang w:val="fr-FR"/>
        </w:rPr>
        <w:t>Ministère des Eaux, Forêts, Chasse et Pêche (MEFCP), Bangui, Central African Republic</w:t>
      </w:r>
    </w:p>
    <w:p w:rsidR="00B43E3C" w:rsidRPr="00B277FB" w:rsidRDefault="00B43E3C" w:rsidP="00726F1B">
      <w:pPr>
        <w:pStyle w:val="ListParagraph"/>
        <w:numPr>
          <w:ilvl w:val="0"/>
          <w:numId w:val="10"/>
        </w:numPr>
        <w:rPr>
          <w:rFonts w:cs="Times New Roman"/>
          <w:sz w:val="24"/>
          <w:szCs w:val="24"/>
          <w:lang w:val="fr-FR"/>
        </w:rPr>
      </w:pPr>
      <w:r w:rsidRPr="00B277FB">
        <w:rPr>
          <w:rFonts w:cs="Times New Roman"/>
          <w:sz w:val="24"/>
          <w:szCs w:val="24"/>
          <w:lang w:val="fr-FR"/>
        </w:rPr>
        <w:t>Institut Centrafricain de Recherche Agronomique (ICRA), Bangui, Central African Republic</w:t>
      </w:r>
    </w:p>
    <w:p w:rsidR="00B43E3C" w:rsidRPr="00B277FB" w:rsidRDefault="00B43E3C" w:rsidP="00726F1B">
      <w:pPr>
        <w:pStyle w:val="ListParagraph"/>
        <w:numPr>
          <w:ilvl w:val="0"/>
          <w:numId w:val="10"/>
        </w:numPr>
        <w:rPr>
          <w:rFonts w:cs="Times New Roman"/>
          <w:sz w:val="24"/>
          <w:szCs w:val="24"/>
          <w:lang w:val="fr-FR"/>
        </w:rPr>
      </w:pPr>
      <w:r w:rsidRPr="00B277FB">
        <w:rPr>
          <w:rFonts w:cs="Times New Roman"/>
          <w:sz w:val="24"/>
          <w:szCs w:val="24"/>
          <w:lang w:val="fr-FR"/>
        </w:rPr>
        <w:t>Centre de coopération International en Recherche Agronomique pour le Développement (CIRAD), Forêts et Sociétés (F&amp;S), Montpellier, France</w:t>
      </w:r>
    </w:p>
    <w:p w:rsidR="00B43E3C" w:rsidRPr="00B277FB" w:rsidRDefault="00B43E3C" w:rsidP="00726F1B">
      <w:pPr>
        <w:pStyle w:val="ListParagraph"/>
        <w:numPr>
          <w:ilvl w:val="0"/>
          <w:numId w:val="10"/>
        </w:numPr>
        <w:rPr>
          <w:rFonts w:cs="Times New Roman"/>
          <w:sz w:val="24"/>
          <w:szCs w:val="24"/>
          <w:lang w:val="fr-FR"/>
        </w:rPr>
      </w:pPr>
      <w:r w:rsidRPr="00B277FB">
        <w:rPr>
          <w:rFonts w:cs="Times New Roman"/>
          <w:sz w:val="24"/>
          <w:szCs w:val="24"/>
          <w:lang w:val="fr-FR"/>
        </w:rPr>
        <w:t>Université de Montpellier, Forêts et Sociétés (F&amp;S), Montpellier, France</w:t>
      </w:r>
    </w:p>
    <w:p w:rsidR="00B43E3C" w:rsidRPr="00B277FB" w:rsidRDefault="00B43E3C" w:rsidP="00726F1B">
      <w:pPr>
        <w:pStyle w:val="ListParagraph"/>
        <w:numPr>
          <w:ilvl w:val="0"/>
          <w:numId w:val="10"/>
        </w:numPr>
        <w:rPr>
          <w:rFonts w:cs="Times New Roman"/>
          <w:sz w:val="24"/>
          <w:szCs w:val="24"/>
          <w:lang w:val="fr-FR"/>
        </w:rPr>
      </w:pPr>
      <w:r w:rsidRPr="00B277FB">
        <w:rPr>
          <w:rFonts w:cs="Times New Roman"/>
          <w:sz w:val="24"/>
          <w:szCs w:val="24"/>
          <w:lang w:val="fr-FR"/>
        </w:rPr>
        <w:t>Université Marien Ngouabi, Faculté des Sciences et Techniques, Laboratoire de Botanique et Ecologie, Brazzaville, Republic of Congo</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Ghent University, Isotope Bioscience Laboratory-ISOFYS, Gent, Belgium</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Wildlife Conservation Society, Congo Programme, Brazzaville, Republic of Congo</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Resources and Synergies Development (R&amp;SD), Singapore, Singapore</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Rougier-Gabon, Libreville, Gabon</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Buea, Faculty of Science, Department of Botany and Plant Physiology, Buea, Cameroon</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lastRenderedPageBreak/>
        <w:t>Duke University, Nicholas School of the Environment, Durham, NC, USA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Edinburgh, School of GeoSciences, Edinburgh,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Grantham Research Institute on Climate Change and the Environment, London, UK, London,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National Park Service, Inventory &amp; Monitoring Program, Fredericksburg, VA, USA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Smithsonian Institution, Washington, DC, USA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Cambridge, Department of Plant Sciences, Cambridge,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Liège, Forest Resources Management, Gembloux Agro-Bio Tech, Liège, Belgium</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Birmingham, School of Geography, Earth and Environmental Sciences, Birmingham,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Exeter, Geography, College of Life and Environmental Sciences, Exeter,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The Gola Rainforest National Park, Kenema, Sierra Leone</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National Herbarium, Yaounde, Cameroon</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Smithsonian Tropical Research Institute, Forest Global Earth Observatory (ForestGEO), Washington, DC, USA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Kunming Institute of Botany, Kunming, China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Royal Botanic Garden Edinburgh, Edinburgh,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Lukuru Wildlife Research Foundation, Kinshasa, Democratic Republic of Congo</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Yale Peabody Museum of Natural History, Division of Vertebrate Zoology, New Haven, CT, USA</w:t>
      </w:r>
    </w:p>
    <w:p w:rsidR="00B43E3C" w:rsidRPr="00B277FB" w:rsidRDefault="00B43E3C" w:rsidP="00726F1B">
      <w:pPr>
        <w:pStyle w:val="ListParagraph"/>
        <w:numPr>
          <w:ilvl w:val="0"/>
          <w:numId w:val="10"/>
        </w:numPr>
        <w:rPr>
          <w:rFonts w:cs="Times New Roman"/>
          <w:sz w:val="24"/>
          <w:szCs w:val="24"/>
          <w:lang w:val="fr-FR"/>
        </w:rPr>
      </w:pPr>
      <w:r w:rsidRPr="00B277FB">
        <w:rPr>
          <w:rFonts w:cs="Times New Roman"/>
          <w:sz w:val="24"/>
          <w:szCs w:val="24"/>
          <w:lang w:val="fr-FR"/>
        </w:rPr>
        <w:t>Muséum National d'Histoire Naturel, Département Hommes, natures, sociétés, Paris, France</w:t>
      </w:r>
    </w:p>
    <w:p w:rsidR="00B43E3C" w:rsidRPr="00B277FB" w:rsidRDefault="00B43E3C" w:rsidP="00726F1B">
      <w:pPr>
        <w:pStyle w:val="ListParagraph"/>
        <w:numPr>
          <w:ilvl w:val="0"/>
          <w:numId w:val="10"/>
        </w:numPr>
        <w:rPr>
          <w:rFonts w:cs="Times New Roman"/>
          <w:sz w:val="24"/>
          <w:szCs w:val="24"/>
          <w:lang w:val="fr-FR"/>
        </w:rPr>
      </w:pPr>
      <w:r w:rsidRPr="00B277FB">
        <w:rPr>
          <w:rFonts w:cs="Times New Roman"/>
          <w:sz w:val="24"/>
          <w:szCs w:val="24"/>
          <w:lang w:val="fr-FR"/>
        </w:rPr>
        <w:t>Université Marien Ngouabi, École Normale Supérieure (ENS), Département des Sciences et Vie de la Terre, Laboratoire de Géomatique et d'Ecologie Tropicale Appliquée, Brazzaville, Republic of Congo</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lastRenderedPageBreak/>
        <w:t>University of Bristol, School of Biological Sciences, Bristol,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Ghent University, Department of Environment, Computational &amp; Applied Vegetation Ecology (Cavelab), Ghent, Belgium</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Tropical Ecology, Assessment and Monitoring (TEAM) Network, Arlington, VA, USA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Hong Kong, Department of Earth Sciences, Hong Kong, Hong Kong SAR</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Wildlife Conservation Society, Uganda Programme, Kampala, Uganda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A Rocha International, Cambridge,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The Royal Society for the Protection of Birds, Centre of Conservation Science, Sandy, UK</w:t>
      </w:r>
    </w:p>
    <w:p w:rsidR="00B43E3C" w:rsidRPr="00B277FB" w:rsidRDefault="00B43E3C" w:rsidP="00726F1B">
      <w:pPr>
        <w:pStyle w:val="ListParagraph"/>
        <w:numPr>
          <w:ilvl w:val="0"/>
          <w:numId w:val="10"/>
        </w:numPr>
        <w:rPr>
          <w:rFonts w:cs="Times New Roman"/>
          <w:sz w:val="24"/>
          <w:szCs w:val="24"/>
          <w:lang w:val="fr-FR"/>
        </w:rPr>
      </w:pPr>
      <w:r w:rsidRPr="00B277FB">
        <w:rPr>
          <w:rFonts w:cs="Times New Roman"/>
          <w:sz w:val="24"/>
          <w:szCs w:val="24"/>
          <w:lang w:val="fr-FR"/>
        </w:rPr>
        <w:t>Université de Kisangani, Faculté des Sciences, Laboratoire d'écologie et aménagement forestier, Kisangani, Democratic Republic of Congo</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Royal Botanic Gardens, Kew,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Oxford, Environmental Change Institute, School of Geography and the Environment, Oxford,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the Sunshine Coast, Tropical Forests and People Research Centre, Sippy Downs, Australia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Flamingo Land Ltd, Kirby Misperton,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Fleming College, Peterborough, Canada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Udzungwa Ecological Monitoring Centre, Mang'ula, Tanzania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Commission of Central African Forests (COMIFAC), Yaounde, Cameroon</w:t>
      </w:r>
    </w:p>
    <w:p w:rsidR="00B43E3C" w:rsidRPr="00B277FB" w:rsidRDefault="00B43E3C" w:rsidP="00726F1B">
      <w:pPr>
        <w:pStyle w:val="ListParagraph"/>
        <w:numPr>
          <w:ilvl w:val="0"/>
          <w:numId w:val="10"/>
        </w:numPr>
        <w:rPr>
          <w:rFonts w:cs="Times New Roman"/>
          <w:sz w:val="24"/>
          <w:szCs w:val="24"/>
          <w:lang w:val="fr-FR"/>
        </w:rPr>
      </w:pPr>
      <w:r w:rsidRPr="00B277FB">
        <w:rPr>
          <w:rFonts w:cs="Times New Roman"/>
          <w:sz w:val="24"/>
          <w:szCs w:val="24"/>
          <w:lang w:val="fr-FR"/>
        </w:rPr>
        <w:t>Agence Nationale des Parcs Nationaux, Libreville, Gabon</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Sokoine University of Agriculture, Morogoro, Tanzania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Abeokuta, Abeokuta, Nigeria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Southampton, School of Biological Sciences, Southampton,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Cambridge, Department of Zoology, Conservation Science Group, Cambridge,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lastRenderedPageBreak/>
        <w:t>University of Lincoln, School of Life Sciences, Lincoln,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Bureau Waardenburg, Culemborg, The Netherlands</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Florence, Department of Biology, Florence, Italy</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MUSE - Museo delle Scienze, Tropical Biodiversity Section , Trento, Italy</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Aberdeen, Department of Plant &amp; Soil Science, School of Biological Sciences, Aberdeen,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UK Research &amp; Innovation, Innovate UK, London,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National University of Singapore, Department of Geography, Singapore, Singapore</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Washington State University, Biology Department, Vancouver, WA, USA</w:t>
      </w:r>
    </w:p>
    <w:p w:rsidR="00B43E3C" w:rsidRPr="00B277FB" w:rsidRDefault="00B43E3C" w:rsidP="00726F1B">
      <w:pPr>
        <w:pStyle w:val="ListParagraph"/>
        <w:numPr>
          <w:ilvl w:val="0"/>
          <w:numId w:val="10"/>
        </w:numPr>
        <w:rPr>
          <w:rFonts w:cs="Times New Roman"/>
          <w:sz w:val="24"/>
          <w:szCs w:val="24"/>
          <w:lang w:val="fr-FR"/>
        </w:rPr>
      </w:pPr>
      <w:r w:rsidRPr="00B277FB">
        <w:rPr>
          <w:rFonts w:cs="Times New Roman"/>
          <w:sz w:val="24"/>
          <w:szCs w:val="24"/>
          <w:lang w:val="fr-FR"/>
        </w:rPr>
        <w:t>Ministère de l'Environnement et Développement Durable, Kinshasa, Democratic Republic of Congo</w:t>
      </w:r>
    </w:p>
    <w:p w:rsidR="00B43E3C" w:rsidRPr="00B277FB" w:rsidRDefault="00B43E3C" w:rsidP="00726F1B">
      <w:pPr>
        <w:pStyle w:val="ListParagraph"/>
        <w:numPr>
          <w:ilvl w:val="0"/>
          <w:numId w:val="10"/>
        </w:numPr>
        <w:rPr>
          <w:rFonts w:cs="Times New Roman"/>
          <w:sz w:val="24"/>
          <w:szCs w:val="24"/>
          <w:lang w:val="fr-FR"/>
        </w:rPr>
      </w:pPr>
      <w:r w:rsidRPr="00B277FB">
        <w:rPr>
          <w:rFonts w:cs="Times New Roman"/>
          <w:sz w:val="24"/>
          <w:szCs w:val="24"/>
          <w:lang w:val="fr-FR"/>
        </w:rPr>
        <w:t>Université de Mbujimayi, Faculté des Sciences Appliquées, Mbujimayi, Democratic Republic of Congo</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Yale University, Yale School of Forestry &amp; Environmental Studies, New Haven, CT, USA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Wildlife Conservation Society, New York, NY, USA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Nottingham, School of Geography, Nottingham,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Florida International University, International Center for Tropical Botany, Department of Biological Sciences, Florida, FL, USA</w:t>
      </w:r>
    </w:p>
    <w:p w:rsidR="00B43E3C" w:rsidRPr="00B277FB" w:rsidRDefault="00B43E3C" w:rsidP="00726F1B">
      <w:pPr>
        <w:pStyle w:val="ListParagraph"/>
        <w:numPr>
          <w:ilvl w:val="0"/>
          <w:numId w:val="10"/>
        </w:numPr>
        <w:rPr>
          <w:rFonts w:cs="Times New Roman"/>
          <w:sz w:val="24"/>
          <w:szCs w:val="24"/>
          <w:lang w:val="fr-FR"/>
        </w:rPr>
      </w:pPr>
      <w:r w:rsidRPr="00B277FB">
        <w:rPr>
          <w:rFonts w:cs="Times New Roman"/>
          <w:sz w:val="24"/>
          <w:szCs w:val="24"/>
          <w:lang w:val="fr-FR"/>
        </w:rPr>
        <w:t>Université Libre de Bruxelles, Faculté des Sciences, Service d’Évolution Biologique et écologie, Brussels, Belgium</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Bangor, School of Natural Sciences, Bangor, UK</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Sommersbergseestrasse, Bad Aussee, Austria</w:t>
      </w:r>
    </w:p>
    <w:p w:rsidR="00B43E3C" w:rsidRPr="00B277FB" w:rsidRDefault="00B43E3C" w:rsidP="00726F1B">
      <w:pPr>
        <w:pStyle w:val="ListParagraph"/>
        <w:numPr>
          <w:ilvl w:val="0"/>
          <w:numId w:val="10"/>
        </w:numPr>
        <w:rPr>
          <w:rFonts w:cs="Times New Roman"/>
          <w:sz w:val="24"/>
          <w:szCs w:val="24"/>
        </w:rPr>
      </w:pPr>
      <w:r w:rsidRPr="00B277FB">
        <w:rPr>
          <w:rFonts w:cs="Times New Roman"/>
          <w:sz w:val="24"/>
          <w:szCs w:val="24"/>
        </w:rPr>
        <w:t>University of Liberia, W.R.T College of Agriculture and Forestry, Monrovia, Liberia</w:t>
      </w:r>
    </w:p>
    <w:p w:rsidR="00B43E3C" w:rsidRDefault="00B43E3C" w:rsidP="00726F1B"/>
    <w:p w:rsidR="00B43E3C" w:rsidRDefault="00B43E3C" w:rsidP="00726F1B"/>
    <w:p w:rsidR="00B43E3C" w:rsidRPr="000128E4" w:rsidRDefault="00B43E3C" w:rsidP="00726F1B">
      <w:pPr>
        <w:pStyle w:val="Heading1"/>
      </w:pPr>
      <w:r w:rsidRPr="000128E4">
        <w:lastRenderedPageBreak/>
        <w:t>Summary</w:t>
      </w:r>
    </w:p>
    <w:p w:rsidR="00B43E3C" w:rsidRDefault="00B43E3C" w:rsidP="00726F1B">
      <w:pPr>
        <w:rPr>
          <w:rFonts w:cs="Times New Roman"/>
          <w:b/>
          <w:sz w:val="24"/>
          <w:szCs w:val="24"/>
        </w:rPr>
      </w:pPr>
    </w:p>
    <w:p w:rsidR="00B43E3C" w:rsidRPr="00C0388B" w:rsidRDefault="00B43E3C" w:rsidP="00726F1B">
      <w:pPr>
        <w:rPr>
          <w:rFonts w:cs="Times New Roman"/>
          <w:b/>
          <w:sz w:val="24"/>
          <w:szCs w:val="24"/>
        </w:rPr>
      </w:pPr>
      <w:r w:rsidRPr="00C0388B">
        <w:rPr>
          <w:rFonts w:cs="Times New Roman"/>
          <w:b/>
          <w:sz w:val="24"/>
          <w:szCs w:val="24"/>
        </w:rPr>
        <w:t xml:space="preserve">Structurally intact tropical forests sequestered ~50% of global terrestrial carbon uptake over the 1990s and early 2000s, </w:t>
      </w:r>
      <w:r>
        <w:rPr>
          <w:rFonts w:cs="Times New Roman"/>
          <w:b/>
          <w:sz w:val="24"/>
          <w:szCs w:val="24"/>
        </w:rPr>
        <w:t xml:space="preserve">removing </w:t>
      </w:r>
      <w:r w:rsidRPr="00C0388B">
        <w:rPr>
          <w:rFonts w:cs="Times New Roman"/>
          <w:b/>
          <w:sz w:val="24"/>
          <w:szCs w:val="24"/>
        </w:rPr>
        <w:t>~15% of anthropogenic CO</w:t>
      </w:r>
      <w:r w:rsidRPr="00C0388B">
        <w:rPr>
          <w:rFonts w:cs="Times New Roman"/>
          <w:b/>
          <w:sz w:val="24"/>
          <w:szCs w:val="24"/>
          <w:vertAlign w:val="subscript"/>
        </w:rPr>
        <w:t>2</w:t>
      </w:r>
      <w:r w:rsidRPr="00C0388B">
        <w:rPr>
          <w:rFonts w:cs="Times New Roman"/>
          <w:b/>
          <w:sz w:val="24"/>
          <w:szCs w:val="24"/>
        </w:rPr>
        <w:t xml:space="preserve"> emis</w:t>
      </w:r>
      <w:r>
        <w:rPr>
          <w:rFonts w:cs="Times New Roman"/>
          <w:b/>
          <w:sz w:val="24"/>
          <w:szCs w:val="24"/>
        </w:rPr>
        <w:t>s</w:t>
      </w:r>
      <w:r w:rsidRPr="00C0388B">
        <w:rPr>
          <w:rFonts w:cs="Times New Roman"/>
          <w:b/>
          <w:sz w:val="24"/>
          <w:szCs w:val="24"/>
        </w:rPr>
        <w:t>ions</w:t>
      </w:r>
      <w:r w:rsidRPr="00C0388B">
        <w:rPr>
          <w:rFonts w:cs="Times New Roman"/>
          <w:b/>
          <w:noProof/>
          <w:sz w:val="24"/>
          <w:szCs w:val="24"/>
          <w:vertAlign w:val="superscript"/>
        </w:rPr>
        <w:t>1-3</w:t>
      </w:r>
      <w:r w:rsidRPr="00C0388B">
        <w:rPr>
          <w:rFonts w:cs="Times New Roman"/>
          <w:b/>
          <w:sz w:val="24"/>
          <w:szCs w:val="24"/>
        </w:rPr>
        <w:t>. Climate-driven vegetation models typically predict that this tropical forest ‘carbon sink’ will continue for decades</w:t>
      </w:r>
      <w:r w:rsidRPr="00C0388B">
        <w:rPr>
          <w:rFonts w:cs="Times New Roman"/>
          <w:b/>
          <w:noProof/>
          <w:sz w:val="24"/>
          <w:szCs w:val="24"/>
          <w:vertAlign w:val="superscript"/>
        </w:rPr>
        <w:t>4,5</w:t>
      </w:r>
      <w:r w:rsidRPr="00C0388B">
        <w:rPr>
          <w:rFonts w:cs="Times New Roman"/>
          <w:b/>
          <w:sz w:val="24"/>
          <w:szCs w:val="24"/>
        </w:rPr>
        <w:t xml:space="preserve">. </w:t>
      </w:r>
      <w:r w:rsidRPr="00010277">
        <w:rPr>
          <w:rFonts w:cs="Times New Roman"/>
          <w:b/>
          <w:sz w:val="24"/>
          <w:szCs w:val="24"/>
        </w:rPr>
        <w:t>Here, we assess trends in the carbon sink using 244 structurally intact African tropical forests spanning 11 countries</w:t>
      </w:r>
      <w:r>
        <w:rPr>
          <w:rFonts w:cs="Times New Roman"/>
          <w:b/>
          <w:sz w:val="24"/>
          <w:szCs w:val="24"/>
        </w:rPr>
        <w:t>,</w:t>
      </w:r>
      <w:r w:rsidRPr="00010277">
        <w:rPr>
          <w:rFonts w:cs="Times New Roman"/>
          <w:b/>
          <w:sz w:val="24"/>
          <w:szCs w:val="24"/>
        </w:rPr>
        <w:t xml:space="preserve"> </w:t>
      </w:r>
      <w:r>
        <w:rPr>
          <w:rFonts w:cs="Times New Roman"/>
          <w:b/>
          <w:sz w:val="24"/>
          <w:szCs w:val="24"/>
        </w:rPr>
        <w:t>we</w:t>
      </w:r>
      <w:r w:rsidRPr="00010277">
        <w:rPr>
          <w:rFonts w:cs="Times New Roman"/>
          <w:b/>
          <w:sz w:val="24"/>
          <w:szCs w:val="24"/>
        </w:rPr>
        <w:t xml:space="preserve"> compare them with 32</w:t>
      </w:r>
      <w:r>
        <w:rPr>
          <w:rFonts w:cs="Times New Roman"/>
          <w:b/>
          <w:sz w:val="24"/>
          <w:szCs w:val="24"/>
        </w:rPr>
        <w:t>1 published plots from Amazonia</w:t>
      </w:r>
      <w:r w:rsidRPr="00010277">
        <w:rPr>
          <w:rFonts w:cs="Times New Roman"/>
          <w:b/>
          <w:sz w:val="24"/>
          <w:szCs w:val="24"/>
        </w:rPr>
        <w:t xml:space="preserve"> and investigate the underlying drivers of the trends.</w:t>
      </w:r>
      <w:r>
        <w:rPr>
          <w:rFonts w:cs="Times New Roman"/>
          <w:b/>
          <w:sz w:val="24"/>
          <w:szCs w:val="24"/>
        </w:rPr>
        <w:t xml:space="preserve"> </w:t>
      </w:r>
      <w:r w:rsidRPr="00D67FF1">
        <w:rPr>
          <w:rFonts w:cs="Times New Roman"/>
          <w:b/>
          <w:sz w:val="24"/>
          <w:szCs w:val="24"/>
        </w:rPr>
        <w:t xml:space="preserve">The carbon sink in live </w:t>
      </w:r>
      <w:r>
        <w:rPr>
          <w:rFonts w:cs="Times New Roman"/>
          <w:b/>
          <w:sz w:val="24"/>
          <w:szCs w:val="24"/>
        </w:rPr>
        <w:t xml:space="preserve">aboveground </w:t>
      </w:r>
      <w:r w:rsidRPr="00D67FF1">
        <w:rPr>
          <w:rFonts w:cs="Times New Roman"/>
          <w:b/>
          <w:sz w:val="24"/>
          <w:szCs w:val="24"/>
        </w:rPr>
        <w:t>biomass in intact African tropical forests has been stable for the three decades to 2015</w:t>
      </w:r>
      <w:r>
        <w:rPr>
          <w:rFonts w:cs="Times New Roman"/>
          <w:b/>
          <w:sz w:val="24"/>
          <w:szCs w:val="24"/>
        </w:rPr>
        <w:t xml:space="preserve">, at </w:t>
      </w:r>
      <w:r w:rsidRPr="00C0388B">
        <w:rPr>
          <w:rFonts w:cs="Times New Roman"/>
          <w:b/>
          <w:sz w:val="24"/>
          <w:szCs w:val="24"/>
        </w:rPr>
        <w:t>0.66 Mg C ha</w:t>
      </w:r>
      <w:r w:rsidRPr="00C0388B">
        <w:rPr>
          <w:rFonts w:cs="Times New Roman"/>
          <w:b/>
          <w:sz w:val="24"/>
          <w:szCs w:val="24"/>
          <w:vertAlign w:val="superscript"/>
        </w:rPr>
        <w:t>-1</w:t>
      </w:r>
      <w:r w:rsidRPr="00C0388B">
        <w:rPr>
          <w:rFonts w:cs="Times New Roman"/>
          <w:b/>
          <w:sz w:val="24"/>
          <w:szCs w:val="24"/>
        </w:rPr>
        <w:t xml:space="preserve"> yr</w:t>
      </w:r>
      <w:r w:rsidRPr="00C0388B">
        <w:rPr>
          <w:rFonts w:cs="Times New Roman"/>
          <w:b/>
          <w:sz w:val="24"/>
          <w:szCs w:val="24"/>
          <w:vertAlign w:val="superscript"/>
        </w:rPr>
        <w:t>-1</w:t>
      </w:r>
      <w:r>
        <w:rPr>
          <w:rFonts w:cs="Times New Roman"/>
          <w:b/>
          <w:sz w:val="24"/>
          <w:szCs w:val="24"/>
        </w:rPr>
        <w:t xml:space="preserve"> (95% CI:</w:t>
      </w:r>
      <w:r w:rsidRPr="00C0388B">
        <w:rPr>
          <w:rFonts w:cs="Times New Roman"/>
          <w:b/>
          <w:sz w:val="24"/>
          <w:szCs w:val="24"/>
        </w:rPr>
        <w:t>0.53-0.79)</w:t>
      </w:r>
      <w:r w:rsidRPr="00D67FF1">
        <w:rPr>
          <w:rFonts w:cs="Times New Roman"/>
          <w:b/>
          <w:sz w:val="24"/>
          <w:szCs w:val="24"/>
        </w:rPr>
        <w:t>, in contrast to the long-term decline in Amazon</w:t>
      </w:r>
      <w:r>
        <w:rPr>
          <w:rFonts w:cs="Times New Roman"/>
          <w:b/>
          <w:sz w:val="24"/>
          <w:szCs w:val="24"/>
        </w:rPr>
        <w:t>ian</w:t>
      </w:r>
      <w:r w:rsidRPr="00D67FF1">
        <w:rPr>
          <w:rFonts w:cs="Times New Roman"/>
          <w:b/>
          <w:sz w:val="24"/>
          <w:szCs w:val="24"/>
        </w:rPr>
        <w:t xml:space="preserve"> forests</w:t>
      </w:r>
      <w:r w:rsidRPr="00C0388B">
        <w:rPr>
          <w:rFonts w:cs="Times New Roman"/>
          <w:b/>
          <w:noProof/>
          <w:sz w:val="24"/>
          <w:szCs w:val="24"/>
          <w:vertAlign w:val="superscript"/>
        </w:rPr>
        <w:t>6</w:t>
      </w:r>
      <w:r w:rsidRPr="00C0388B">
        <w:rPr>
          <w:rFonts w:cs="Times New Roman"/>
          <w:b/>
          <w:sz w:val="24"/>
          <w:szCs w:val="24"/>
        </w:rPr>
        <w:t xml:space="preserve">. Thus, the carbon sink responses of Earth’s two largest expanses of tropical forest have diverged. </w:t>
      </w:r>
      <w:r w:rsidRPr="00D67FF1">
        <w:rPr>
          <w:rFonts w:cs="Times New Roman"/>
          <w:b/>
          <w:sz w:val="24"/>
          <w:szCs w:val="24"/>
        </w:rPr>
        <w:t>The difference is largely driven by carbon losses from tree mortality, with no detectable multi-decadal trend in Africa and a long-term increase in Amazonia</w:t>
      </w:r>
      <w:r>
        <w:rPr>
          <w:rFonts w:cs="Times New Roman"/>
          <w:b/>
          <w:sz w:val="24"/>
          <w:szCs w:val="24"/>
        </w:rPr>
        <w:t>. B</w:t>
      </w:r>
      <w:r w:rsidRPr="00C0388B">
        <w:rPr>
          <w:rFonts w:cs="Times New Roman"/>
          <w:b/>
          <w:sz w:val="24"/>
          <w:szCs w:val="24"/>
        </w:rPr>
        <w:t>oth continents show increasing tree growth</w:t>
      </w:r>
      <w:r>
        <w:rPr>
          <w:rFonts w:cs="Times New Roman"/>
          <w:b/>
          <w:sz w:val="24"/>
          <w:szCs w:val="24"/>
        </w:rPr>
        <w:t xml:space="preserve">, </w:t>
      </w:r>
      <w:r w:rsidRPr="00C0388B">
        <w:rPr>
          <w:rFonts w:cs="Times New Roman"/>
          <w:b/>
          <w:sz w:val="24"/>
          <w:szCs w:val="24"/>
        </w:rPr>
        <w:t>consistent with the expected net effect of rising atmospheric CO</w:t>
      </w:r>
      <w:r w:rsidRPr="00C0388B">
        <w:rPr>
          <w:rFonts w:cs="Times New Roman"/>
          <w:b/>
          <w:sz w:val="24"/>
          <w:szCs w:val="24"/>
          <w:vertAlign w:val="subscript"/>
        </w:rPr>
        <w:t>2</w:t>
      </w:r>
      <w:r w:rsidRPr="00C0388B">
        <w:rPr>
          <w:rFonts w:cs="Times New Roman"/>
          <w:b/>
          <w:sz w:val="24"/>
          <w:szCs w:val="24"/>
        </w:rPr>
        <w:t xml:space="preserve"> and air temperature</w:t>
      </w:r>
      <w:r w:rsidRPr="005A2EB8">
        <w:rPr>
          <w:rFonts w:cs="Times New Roman"/>
          <w:b/>
          <w:noProof/>
          <w:sz w:val="24"/>
          <w:szCs w:val="24"/>
          <w:vertAlign w:val="superscript"/>
        </w:rPr>
        <w:t>7-9</w:t>
      </w:r>
      <w:r w:rsidRPr="00C0388B">
        <w:rPr>
          <w:rFonts w:cs="Times New Roman"/>
          <w:b/>
          <w:sz w:val="24"/>
          <w:szCs w:val="24"/>
        </w:rPr>
        <w:t xml:space="preserve">. Despite the past stability of the African carbon sink, our data suggest a </w:t>
      </w:r>
      <w:r w:rsidRPr="000F1266">
        <w:rPr>
          <w:rFonts w:cs="Times New Roman"/>
          <w:b/>
          <w:sz w:val="24"/>
          <w:szCs w:val="24"/>
        </w:rPr>
        <w:t>post-</w:t>
      </w:r>
      <w:r w:rsidRPr="00C0388B">
        <w:rPr>
          <w:rFonts w:cs="Times New Roman"/>
          <w:b/>
          <w:sz w:val="24"/>
          <w:szCs w:val="24"/>
        </w:rPr>
        <w:t>2010 increase in carbon losses, delayed compared to Amazonia, indicating asynchronous carbon sink saturation on the two continents.</w:t>
      </w:r>
      <w:r>
        <w:rPr>
          <w:rFonts w:cs="Times New Roman"/>
          <w:b/>
          <w:sz w:val="24"/>
          <w:szCs w:val="24"/>
        </w:rPr>
        <w:t xml:space="preserve"> A </w:t>
      </w:r>
      <w:r w:rsidRPr="00C0388B">
        <w:rPr>
          <w:rFonts w:cs="Times New Roman"/>
          <w:b/>
          <w:sz w:val="24"/>
          <w:szCs w:val="24"/>
        </w:rPr>
        <w:t>statistical model including CO</w:t>
      </w:r>
      <w:r w:rsidRPr="00C0388B">
        <w:rPr>
          <w:rFonts w:cs="Times New Roman"/>
          <w:b/>
          <w:sz w:val="24"/>
          <w:szCs w:val="24"/>
          <w:vertAlign w:val="subscript"/>
        </w:rPr>
        <w:t>2</w:t>
      </w:r>
      <w:r w:rsidRPr="00C0388B">
        <w:rPr>
          <w:rFonts w:cs="Times New Roman"/>
          <w:b/>
          <w:sz w:val="24"/>
          <w:szCs w:val="24"/>
        </w:rPr>
        <w:t>, temperature, drought and forest dynamics account</w:t>
      </w:r>
      <w:r>
        <w:rPr>
          <w:rFonts w:cs="Times New Roman"/>
          <w:b/>
          <w:sz w:val="24"/>
          <w:szCs w:val="24"/>
        </w:rPr>
        <w:t>s</w:t>
      </w:r>
      <w:r w:rsidRPr="00C0388B">
        <w:rPr>
          <w:rFonts w:cs="Times New Roman"/>
          <w:b/>
          <w:sz w:val="24"/>
          <w:szCs w:val="24"/>
        </w:rPr>
        <w:t xml:space="preserve"> for the observed trends</w:t>
      </w:r>
      <w:r>
        <w:rPr>
          <w:rFonts w:cs="Times New Roman"/>
          <w:b/>
          <w:sz w:val="24"/>
          <w:szCs w:val="24"/>
        </w:rPr>
        <w:t xml:space="preserve"> and </w:t>
      </w:r>
      <w:r w:rsidRPr="00C0388B">
        <w:rPr>
          <w:rFonts w:cs="Times New Roman"/>
          <w:b/>
          <w:sz w:val="24"/>
          <w:szCs w:val="24"/>
        </w:rPr>
        <w:t xml:space="preserve">indicates a long-term </w:t>
      </w:r>
      <w:r>
        <w:rPr>
          <w:rFonts w:cs="Times New Roman"/>
          <w:b/>
          <w:sz w:val="24"/>
          <w:szCs w:val="24"/>
        </w:rPr>
        <w:t xml:space="preserve">future </w:t>
      </w:r>
      <w:r w:rsidRPr="00C0388B">
        <w:rPr>
          <w:rFonts w:cs="Times New Roman"/>
          <w:b/>
          <w:sz w:val="24"/>
          <w:szCs w:val="24"/>
        </w:rPr>
        <w:t>decline in the African sink, while the Amazonian sink continues to rapidly weaken. Overall, the uptake of carbon into Earth’s intact tropical forests peaked in the 1990s</w:t>
      </w:r>
      <w:r>
        <w:rPr>
          <w:rFonts w:cs="Times New Roman"/>
          <w:b/>
          <w:sz w:val="24"/>
          <w:szCs w:val="24"/>
        </w:rPr>
        <w:t xml:space="preserve">. </w:t>
      </w:r>
      <w:r w:rsidRPr="00BA3ED3">
        <w:rPr>
          <w:rFonts w:cs="Times New Roman"/>
          <w:b/>
          <w:sz w:val="24"/>
          <w:szCs w:val="24"/>
        </w:rPr>
        <w:t>Given that the global terrestrial carbon sink is increasing in size, observations indicating greater recent carbon uptake into the Northern hemisphere landmass</w:t>
      </w:r>
      <w:r w:rsidRPr="00BA3ED3">
        <w:rPr>
          <w:rFonts w:cs="Times New Roman"/>
          <w:b/>
          <w:noProof/>
          <w:sz w:val="24"/>
          <w:szCs w:val="24"/>
          <w:vertAlign w:val="superscript"/>
        </w:rPr>
        <w:t>10</w:t>
      </w:r>
      <w:r w:rsidRPr="00BA3ED3">
        <w:rPr>
          <w:rFonts w:cs="Times New Roman"/>
          <w:b/>
          <w:sz w:val="24"/>
          <w:szCs w:val="24"/>
        </w:rPr>
        <w:t xml:space="preserve"> reinforce our conclusion that the intact tropical forest carbon sink has already saturated</w:t>
      </w:r>
      <w:r w:rsidRPr="00007589">
        <w:rPr>
          <w:rFonts w:cs="Times New Roman"/>
          <w:sz w:val="24"/>
          <w:szCs w:val="24"/>
        </w:rPr>
        <w:t>.</w:t>
      </w:r>
      <w:r>
        <w:rPr>
          <w:rFonts w:cs="Times New Roman"/>
          <w:b/>
          <w:sz w:val="24"/>
          <w:szCs w:val="24"/>
        </w:rPr>
        <w:t xml:space="preserve"> </w:t>
      </w:r>
      <w:r w:rsidRPr="000F1266">
        <w:rPr>
          <w:rFonts w:cs="Times New Roman"/>
          <w:b/>
          <w:sz w:val="24"/>
          <w:szCs w:val="24"/>
        </w:rPr>
        <w:t xml:space="preserve">This </w:t>
      </w:r>
      <w:r>
        <w:rPr>
          <w:rFonts w:cs="Times New Roman"/>
          <w:b/>
          <w:sz w:val="24"/>
          <w:szCs w:val="24"/>
        </w:rPr>
        <w:t xml:space="preserve">tropical </w:t>
      </w:r>
      <w:r w:rsidRPr="000F1266">
        <w:rPr>
          <w:rFonts w:cs="Times New Roman"/>
          <w:b/>
          <w:sz w:val="24"/>
          <w:szCs w:val="24"/>
        </w:rPr>
        <w:t>forest sink saturation and ongoing decline has consequences for policies to stabilise Earth’s climate.</w:t>
      </w:r>
    </w:p>
    <w:p w:rsidR="00B43E3C" w:rsidRDefault="00B43E3C" w:rsidP="00726F1B">
      <w:pPr>
        <w:pStyle w:val="Heading1"/>
      </w:pPr>
      <w:r w:rsidRPr="007B6DF5">
        <w:lastRenderedPageBreak/>
        <w:t>Main</w:t>
      </w:r>
      <w:r>
        <w:t xml:space="preserve"> text</w:t>
      </w:r>
    </w:p>
    <w:p w:rsidR="00B43E3C" w:rsidRPr="000128E4" w:rsidRDefault="00B43E3C" w:rsidP="00726F1B"/>
    <w:p w:rsidR="00B43E3C" w:rsidRPr="00C0388B" w:rsidRDefault="00B43E3C" w:rsidP="00726F1B">
      <w:pPr>
        <w:rPr>
          <w:rFonts w:cs="Times New Roman"/>
          <w:sz w:val="24"/>
          <w:szCs w:val="24"/>
        </w:rPr>
      </w:pPr>
      <w:r w:rsidRPr="00C0388B">
        <w:rPr>
          <w:rFonts w:cs="Times New Roman"/>
          <w:sz w:val="24"/>
          <w:szCs w:val="24"/>
        </w:rPr>
        <w:t xml:space="preserve">Tropical forests account for </w:t>
      </w:r>
      <w:r>
        <w:rPr>
          <w:rFonts w:cs="Times New Roman"/>
          <w:sz w:val="24"/>
          <w:szCs w:val="24"/>
        </w:rPr>
        <w:t xml:space="preserve">approximately </w:t>
      </w:r>
      <w:r w:rsidRPr="00C0388B">
        <w:rPr>
          <w:rFonts w:cs="Times New Roman"/>
          <w:sz w:val="24"/>
          <w:szCs w:val="24"/>
        </w:rPr>
        <w:t xml:space="preserve">one-third of Earth’s terrestrial Gross Primary Productivity and </w:t>
      </w:r>
      <w:r>
        <w:rPr>
          <w:rFonts w:cs="Times New Roman"/>
          <w:sz w:val="24"/>
          <w:szCs w:val="24"/>
        </w:rPr>
        <w:t>one-</w:t>
      </w:r>
      <w:r w:rsidRPr="00C0388B">
        <w:rPr>
          <w:rFonts w:cs="Times New Roman"/>
          <w:color w:val="292526"/>
          <w:sz w:val="24"/>
          <w:szCs w:val="24"/>
          <w:lang w:val="en-GB"/>
        </w:rPr>
        <w:t>half of Earth’s carbon stored in terrestrial vegetation</w:t>
      </w:r>
      <w:r w:rsidRPr="005A2EB8">
        <w:rPr>
          <w:rFonts w:cs="Times New Roman"/>
          <w:noProof/>
          <w:color w:val="292526"/>
          <w:sz w:val="24"/>
          <w:szCs w:val="24"/>
          <w:vertAlign w:val="superscript"/>
          <w:lang w:val="en-GB"/>
        </w:rPr>
        <w:t>11</w:t>
      </w:r>
      <w:r w:rsidRPr="00C0388B">
        <w:rPr>
          <w:rFonts w:cs="Times New Roman"/>
          <w:color w:val="292526"/>
          <w:sz w:val="24"/>
          <w:szCs w:val="24"/>
          <w:lang w:val="en-GB"/>
        </w:rPr>
        <w:t xml:space="preserve">. Thus, small biome-wide changes in tree growth and mortality can have global impacts, either buffering or exacerbating the increase in </w:t>
      </w:r>
      <w:r>
        <w:rPr>
          <w:rFonts w:cs="Times New Roman"/>
          <w:color w:val="292526"/>
          <w:sz w:val="24"/>
          <w:szCs w:val="24"/>
          <w:lang w:val="en-GB"/>
        </w:rPr>
        <w:t xml:space="preserve">atmospheric </w:t>
      </w:r>
      <w:r w:rsidRPr="00C0388B">
        <w:rPr>
          <w:rFonts w:cs="Times New Roman"/>
          <w:color w:val="292526"/>
          <w:sz w:val="24"/>
          <w:szCs w:val="24"/>
          <w:lang w:val="en-GB"/>
        </w:rPr>
        <w:t>CO</w:t>
      </w:r>
      <w:r w:rsidRPr="00C0388B">
        <w:rPr>
          <w:rFonts w:cs="Times New Roman"/>
          <w:color w:val="292526"/>
          <w:sz w:val="24"/>
          <w:szCs w:val="24"/>
          <w:vertAlign w:val="subscript"/>
          <w:lang w:val="en-GB"/>
        </w:rPr>
        <w:t>2</w:t>
      </w:r>
      <w:r w:rsidRPr="00C0388B">
        <w:rPr>
          <w:rFonts w:cs="Times New Roman"/>
          <w:color w:val="292526"/>
          <w:sz w:val="24"/>
          <w:szCs w:val="24"/>
          <w:lang w:val="en-GB"/>
        </w:rPr>
        <w:t xml:space="preserve">. </w:t>
      </w:r>
      <w:r w:rsidRPr="00C0388B">
        <w:rPr>
          <w:rFonts w:cs="Times New Roman"/>
          <w:sz w:val="24"/>
          <w:szCs w:val="24"/>
        </w:rPr>
        <w:t>Models</w:t>
      </w:r>
      <w:r w:rsidRPr="005A2EB8">
        <w:rPr>
          <w:rFonts w:cs="Times New Roman"/>
          <w:noProof/>
          <w:sz w:val="24"/>
          <w:szCs w:val="24"/>
          <w:vertAlign w:val="superscript"/>
        </w:rPr>
        <w:t>2,4,5,7,12</w:t>
      </w:r>
      <w:r w:rsidRPr="00C0388B">
        <w:rPr>
          <w:rFonts w:cs="Times New Roman"/>
          <w:sz w:val="24"/>
          <w:szCs w:val="24"/>
        </w:rPr>
        <w:t>, ground-based observations</w:t>
      </w:r>
      <w:r w:rsidRPr="005A2EB8">
        <w:rPr>
          <w:rFonts w:cs="Times New Roman"/>
          <w:noProof/>
          <w:sz w:val="24"/>
          <w:szCs w:val="24"/>
          <w:vertAlign w:val="superscript"/>
        </w:rPr>
        <w:t>13-15</w:t>
      </w:r>
      <w:r w:rsidRPr="00C0388B">
        <w:rPr>
          <w:rFonts w:cs="Times New Roman"/>
          <w:sz w:val="24"/>
          <w:szCs w:val="24"/>
        </w:rPr>
        <w:t>, airborne atmospheric CO</w:t>
      </w:r>
      <w:r w:rsidRPr="00C0388B">
        <w:rPr>
          <w:rFonts w:cs="Times New Roman"/>
          <w:sz w:val="24"/>
          <w:szCs w:val="24"/>
          <w:vertAlign w:val="subscript"/>
        </w:rPr>
        <w:t>2</w:t>
      </w:r>
      <w:r w:rsidRPr="00C0388B">
        <w:rPr>
          <w:rFonts w:cs="Times New Roman"/>
          <w:sz w:val="24"/>
          <w:szCs w:val="24"/>
        </w:rPr>
        <w:t xml:space="preserve"> measurements</w:t>
      </w:r>
      <w:r w:rsidRPr="005A2EB8">
        <w:rPr>
          <w:rFonts w:cs="Times New Roman"/>
          <w:noProof/>
          <w:sz w:val="24"/>
          <w:szCs w:val="24"/>
          <w:vertAlign w:val="superscript"/>
        </w:rPr>
        <w:t>3,16</w:t>
      </w:r>
      <w:r w:rsidRPr="00C0388B">
        <w:rPr>
          <w:rFonts w:cs="Times New Roman"/>
          <w:sz w:val="24"/>
          <w:szCs w:val="24"/>
        </w:rPr>
        <w:t>, inferences from remotely sensed data</w:t>
      </w:r>
      <w:r w:rsidRPr="00EB02F2">
        <w:rPr>
          <w:rFonts w:cs="Times New Roman"/>
          <w:noProof/>
          <w:sz w:val="24"/>
          <w:szCs w:val="24"/>
          <w:vertAlign w:val="superscript"/>
        </w:rPr>
        <w:t>17</w:t>
      </w:r>
      <w:r w:rsidRPr="00C0388B">
        <w:rPr>
          <w:rFonts w:cs="Times New Roman"/>
          <w:sz w:val="24"/>
          <w:szCs w:val="24"/>
        </w:rPr>
        <w:t>, and synthetic approaches</w:t>
      </w:r>
      <w:r w:rsidRPr="00EB02F2">
        <w:rPr>
          <w:rFonts w:cs="Times New Roman"/>
          <w:noProof/>
          <w:sz w:val="24"/>
          <w:szCs w:val="24"/>
          <w:vertAlign w:val="superscript"/>
        </w:rPr>
        <w:t>3,8,18</w:t>
      </w:r>
      <w:r w:rsidRPr="00C0388B">
        <w:rPr>
          <w:rFonts w:cs="Times New Roman"/>
          <w:sz w:val="24"/>
          <w:szCs w:val="24"/>
        </w:rPr>
        <w:t xml:space="preserve"> each suggest that, after accounting for land-use change, remaining structurally intact tropical forests (i.e. not impacted by </w:t>
      </w:r>
      <w:r>
        <w:rPr>
          <w:rFonts w:cs="Times New Roman"/>
          <w:sz w:val="24"/>
          <w:szCs w:val="24"/>
        </w:rPr>
        <w:t xml:space="preserve">direct anthropogenic impacts such as </w:t>
      </w:r>
      <w:r w:rsidRPr="00C0388B">
        <w:rPr>
          <w:rFonts w:cs="Times New Roman"/>
          <w:sz w:val="24"/>
          <w:szCs w:val="24"/>
        </w:rPr>
        <w:t xml:space="preserve">logging) are increasing in carbon stocks. This structurally intact tropical forest carbon sink is estimated at </w:t>
      </w:r>
      <w:r>
        <w:rPr>
          <w:rFonts w:cs="Times New Roman"/>
          <w:sz w:val="24"/>
          <w:szCs w:val="24"/>
        </w:rPr>
        <w:t>~</w:t>
      </w:r>
      <w:r w:rsidRPr="00C0388B">
        <w:rPr>
          <w:rFonts w:cs="Times New Roman"/>
          <w:sz w:val="24"/>
          <w:szCs w:val="24"/>
        </w:rPr>
        <w:t>1</w:t>
      </w:r>
      <w:r>
        <w:rPr>
          <w:rFonts w:cs="Times New Roman"/>
          <w:sz w:val="24"/>
          <w:szCs w:val="24"/>
        </w:rPr>
        <w:t>.2</w:t>
      </w:r>
      <w:r w:rsidRPr="00C0388B">
        <w:rPr>
          <w:rFonts w:cs="Times New Roman"/>
          <w:sz w:val="24"/>
          <w:szCs w:val="24"/>
        </w:rPr>
        <w:t xml:space="preserve"> Pg C yr</w:t>
      </w:r>
      <w:r w:rsidRPr="00C0388B">
        <w:rPr>
          <w:rFonts w:cs="Times New Roman"/>
          <w:sz w:val="24"/>
          <w:szCs w:val="24"/>
          <w:vertAlign w:val="superscript"/>
        </w:rPr>
        <w:t>-1</w:t>
      </w:r>
      <w:r w:rsidRPr="00C0388B">
        <w:rPr>
          <w:rFonts w:cs="Times New Roman"/>
          <w:sz w:val="24"/>
          <w:szCs w:val="24"/>
        </w:rPr>
        <w:t xml:space="preserve"> over 1990-2007 using </w:t>
      </w:r>
      <w:r>
        <w:rPr>
          <w:rFonts w:cs="Times New Roman"/>
          <w:sz w:val="24"/>
          <w:szCs w:val="24"/>
        </w:rPr>
        <w:t xml:space="preserve">scaled </w:t>
      </w:r>
      <w:r w:rsidRPr="00C0388B">
        <w:rPr>
          <w:rFonts w:cs="Times New Roman"/>
          <w:sz w:val="24"/>
          <w:szCs w:val="24"/>
        </w:rPr>
        <w:t>inventory plot measurements</w:t>
      </w:r>
      <w:r w:rsidRPr="00D172EE">
        <w:rPr>
          <w:rFonts w:cs="Times New Roman"/>
          <w:noProof/>
          <w:sz w:val="24"/>
          <w:szCs w:val="24"/>
          <w:vertAlign w:val="superscript"/>
        </w:rPr>
        <w:t>1</w:t>
      </w:r>
      <w:r w:rsidRPr="00C0388B">
        <w:rPr>
          <w:rFonts w:cs="Times New Roman"/>
          <w:sz w:val="24"/>
          <w:szCs w:val="24"/>
        </w:rPr>
        <w:t>. Yet, despite its policy relevance, changes in this key carbon sink remain highly uncertain</w:t>
      </w:r>
      <w:r w:rsidRPr="00EB02F2">
        <w:rPr>
          <w:rFonts w:cs="Times New Roman"/>
          <w:noProof/>
          <w:sz w:val="24"/>
          <w:szCs w:val="24"/>
          <w:vertAlign w:val="superscript"/>
        </w:rPr>
        <w:t>19,20</w:t>
      </w:r>
      <w:r w:rsidRPr="00C0388B">
        <w:rPr>
          <w:rFonts w:cs="Times New Roman"/>
          <w:sz w:val="24"/>
          <w:szCs w:val="24"/>
        </w:rPr>
        <w:t>.</w:t>
      </w:r>
    </w:p>
    <w:p w:rsidR="00B43E3C" w:rsidRPr="00C0388B" w:rsidRDefault="00B43E3C" w:rsidP="00726F1B">
      <w:pPr>
        <w:rPr>
          <w:rFonts w:cs="Times New Roman"/>
          <w:sz w:val="24"/>
          <w:szCs w:val="24"/>
        </w:rPr>
      </w:pPr>
      <w:r w:rsidRPr="00C0388B">
        <w:rPr>
          <w:rFonts w:cs="Times New Roman"/>
          <w:sz w:val="24"/>
          <w:szCs w:val="24"/>
        </w:rPr>
        <w:t xml:space="preserve"> </w:t>
      </w:r>
    </w:p>
    <w:p w:rsidR="00B43E3C" w:rsidRPr="00C0388B" w:rsidRDefault="00B43E3C" w:rsidP="00726F1B">
      <w:pPr>
        <w:rPr>
          <w:rFonts w:cs="Times New Roman"/>
          <w:sz w:val="24"/>
          <w:szCs w:val="24"/>
        </w:rPr>
      </w:pPr>
      <w:r>
        <w:rPr>
          <w:rFonts w:cs="Times New Roman"/>
          <w:sz w:val="24"/>
          <w:szCs w:val="24"/>
        </w:rPr>
        <w:t xml:space="preserve">Globally the </w:t>
      </w:r>
      <w:r w:rsidRPr="00C0388B">
        <w:rPr>
          <w:rFonts w:cs="Times New Roman"/>
          <w:sz w:val="24"/>
          <w:szCs w:val="24"/>
        </w:rPr>
        <w:t xml:space="preserve">terrestrial carbon sink </w:t>
      </w:r>
      <w:r>
        <w:rPr>
          <w:rFonts w:cs="Times New Roman"/>
          <w:sz w:val="24"/>
          <w:szCs w:val="24"/>
        </w:rPr>
        <w:t>is increasing</w:t>
      </w:r>
      <w:r w:rsidRPr="000304F6">
        <w:rPr>
          <w:rFonts w:cs="Times New Roman"/>
          <w:noProof/>
          <w:sz w:val="24"/>
          <w:szCs w:val="24"/>
          <w:vertAlign w:val="superscript"/>
        </w:rPr>
        <w:t>2,7,8</w:t>
      </w:r>
      <w:r w:rsidRPr="00C0388B">
        <w:rPr>
          <w:rFonts w:cs="Times New Roman"/>
          <w:noProof/>
          <w:sz w:val="24"/>
          <w:szCs w:val="24"/>
          <w:vertAlign w:val="superscript"/>
        </w:rPr>
        <w:t>,</w:t>
      </w:r>
      <w:r w:rsidRPr="00EB02F2">
        <w:rPr>
          <w:rFonts w:cs="Times New Roman"/>
          <w:noProof/>
          <w:sz w:val="24"/>
          <w:szCs w:val="24"/>
          <w:vertAlign w:val="superscript"/>
        </w:rPr>
        <w:t>21</w:t>
      </w:r>
      <w:r>
        <w:rPr>
          <w:rFonts w:cs="Times New Roman"/>
          <w:sz w:val="24"/>
          <w:szCs w:val="24"/>
        </w:rPr>
        <w:t>. Between 1990 and 2017 the land surface sequestered ~30% of all anthropogenic carbon dioxide emissions</w:t>
      </w:r>
      <w:r w:rsidRPr="00EB02F2">
        <w:rPr>
          <w:rFonts w:cs="Times New Roman"/>
          <w:noProof/>
          <w:sz w:val="24"/>
          <w:szCs w:val="24"/>
          <w:vertAlign w:val="superscript"/>
        </w:rPr>
        <w:t>1,21</w:t>
      </w:r>
      <w:r>
        <w:rPr>
          <w:rFonts w:cs="Times New Roman"/>
          <w:sz w:val="24"/>
          <w:szCs w:val="24"/>
        </w:rPr>
        <w:t xml:space="preserve">. </w:t>
      </w:r>
      <w:r w:rsidRPr="00C0388B">
        <w:rPr>
          <w:rFonts w:cs="Times New Roman"/>
          <w:sz w:val="24"/>
          <w:szCs w:val="24"/>
        </w:rPr>
        <w:t>Rising CO</w:t>
      </w:r>
      <w:r w:rsidRPr="00C0388B">
        <w:rPr>
          <w:rFonts w:cs="Times New Roman"/>
          <w:sz w:val="24"/>
          <w:szCs w:val="24"/>
          <w:vertAlign w:val="subscript"/>
        </w:rPr>
        <w:t>2</w:t>
      </w:r>
      <w:r w:rsidRPr="00C0388B">
        <w:rPr>
          <w:rFonts w:cs="Times New Roman"/>
          <w:sz w:val="24"/>
          <w:szCs w:val="24"/>
        </w:rPr>
        <w:t xml:space="preserve"> concentrations are thought to have boosted photosynthesis more than rising air temperatures have enhanced respiration, resulting in an increasing global terrestrial carbon sink</w:t>
      </w:r>
      <w:r w:rsidRPr="000304F6">
        <w:rPr>
          <w:rFonts w:cs="Times New Roman"/>
          <w:noProof/>
          <w:sz w:val="24"/>
          <w:szCs w:val="24"/>
          <w:vertAlign w:val="superscript"/>
        </w:rPr>
        <w:t>2,4,7,8</w:t>
      </w:r>
      <w:r w:rsidRPr="00C0388B">
        <w:rPr>
          <w:rFonts w:cs="Times New Roman"/>
          <w:noProof/>
          <w:sz w:val="24"/>
          <w:szCs w:val="24"/>
          <w:vertAlign w:val="superscript"/>
        </w:rPr>
        <w:t>,</w:t>
      </w:r>
      <w:r w:rsidRPr="00EB02F2">
        <w:rPr>
          <w:rFonts w:cs="Times New Roman"/>
          <w:noProof/>
          <w:sz w:val="24"/>
          <w:szCs w:val="24"/>
          <w:vertAlign w:val="superscript"/>
        </w:rPr>
        <w:t>21</w:t>
      </w:r>
      <w:r w:rsidRPr="00C0388B">
        <w:rPr>
          <w:rFonts w:cs="Times New Roman"/>
          <w:sz w:val="24"/>
          <w:szCs w:val="24"/>
        </w:rPr>
        <w:t>. Yet, for Amazonia, recent results from repeated censuses of intact forest inventory plots show a progressive two-decade decline in sink strength primarily due to an increase of carbon losses from tree mortality</w:t>
      </w:r>
      <w:r w:rsidRPr="00D172EE">
        <w:rPr>
          <w:rFonts w:cs="Times New Roman"/>
          <w:noProof/>
          <w:sz w:val="24"/>
          <w:szCs w:val="24"/>
          <w:vertAlign w:val="superscript"/>
        </w:rPr>
        <w:t>6</w:t>
      </w:r>
      <w:r w:rsidRPr="00C0388B">
        <w:rPr>
          <w:rFonts w:cs="Times New Roman"/>
          <w:sz w:val="24"/>
          <w:szCs w:val="24"/>
        </w:rPr>
        <w:t>. It is unclear if this simply reflects region-specific drought impacts</w:t>
      </w:r>
      <w:r w:rsidRPr="00EB02F2">
        <w:rPr>
          <w:rFonts w:cs="Times New Roman"/>
          <w:noProof/>
          <w:sz w:val="24"/>
          <w:szCs w:val="24"/>
          <w:vertAlign w:val="superscript"/>
        </w:rPr>
        <w:t>22,23</w:t>
      </w:r>
      <w:r w:rsidRPr="00C0388B">
        <w:rPr>
          <w:rFonts w:cs="Times New Roman"/>
          <w:sz w:val="24"/>
          <w:szCs w:val="24"/>
        </w:rPr>
        <w:t>, or potentially chronic pan-tropical impacts of either heat-related tree mortality</w:t>
      </w:r>
      <w:r w:rsidRPr="00EB02F2">
        <w:rPr>
          <w:rFonts w:cs="Times New Roman"/>
          <w:noProof/>
          <w:sz w:val="24"/>
          <w:szCs w:val="24"/>
          <w:vertAlign w:val="superscript"/>
        </w:rPr>
        <w:t>24,25</w:t>
      </w:r>
      <w:r>
        <w:rPr>
          <w:rFonts w:cs="Times New Roman"/>
          <w:sz w:val="24"/>
          <w:szCs w:val="24"/>
        </w:rPr>
        <w:t xml:space="preserve">, </w:t>
      </w:r>
      <w:r w:rsidRPr="00C0388B">
        <w:rPr>
          <w:rFonts w:cs="Times New Roman"/>
          <w:sz w:val="24"/>
          <w:szCs w:val="24"/>
        </w:rPr>
        <w:t xml:space="preserve">or internal forest dynamics resulting </w:t>
      </w:r>
      <w:r>
        <w:rPr>
          <w:rFonts w:cs="Times New Roman"/>
          <w:sz w:val="24"/>
          <w:szCs w:val="24"/>
        </w:rPr>
        <w:t>from</w:t>
      </w:r>
      <w:r w:rsidRPr="00C0388B">
        <w:rPr>
          <w:rFonts w:cs="Times New Roman"/>
          <w:sz w:val="24"/>
          <w:szCs w:val="24"/>
        </w:rPr>
        <w:t xml:space="preserve"> past increases in carbon gains leaving the system</w:t>
      </w:r>
      <w:r w:rsidRPr="00EB02F2">
        <w:rPr>
          <w:rFonts w:cs="Times New Roman"/>
          <w:noProof/>
          <w:sz w:val="24"/>
          <w:szCs w:val="24"/>
          <w:vertAlign w:val="superscript"/>
        </w:rPr>
        <w:t>26</w:t>
      </w:r>
      <w:r w:rsidRPr="00C0388B">
        <w:rPr>
          <w:rFonts w:cs="Times New Roman"/>
          <w:sz w:val="24"/>
          <w:szCs w:val="24"/>
        </w:rPr>
        <w:t xml:space="preserve">. A more recent deceleration of the rate of increase in carbon gains from tree growth is also contributing to the declining </w:t>
      </w:r>
      <w:r>
        <w:rPr>
          <w:rFonts w:cs="Times New Roman"/>
          <w:sz w:val="24"/>
          <w:szCs w:val="24"/>
        </w:rPr>
        <w:t xml:space="preserve">Amazon </w:t>
      </w:r>
      <w:r w:rsidRPr="00C0388B">
        <w:rPr>
          <w:rFonts w:cs="Times New Roman"/>
          <w:sz w:val="24"/>
          <w:szCs w:val="24"/>
        </w:rPr>
        <w:t>sink</w:t>
      </w:r>
      <w:r w:rsidRPr="00D172EE">
        <w:rPr>
          <w:rFonts w:cs="Times New Roman"/>
          <w:noProof/>
          <w:sz w:val="24"/>
          <w:szCs w:val="24"/>
          <w:vertAlign w:val="superscript"/>
        </w:rPr>
        <w:t>6</w:t>
      </w:r>
      <w:r w:rsidRPr="00C0388B">
        <w:rPr>
          <w:rFonts w:cs="Times New Roman"/>
          <w:sz w:val="24"/>
          <w:szCs w:val="24"/>
        </w:rPr>
        <w:t>. Again, it is not known if this is a result of either pan-tropical CO</w:t>
      </w:r>
      <w:r w:rsidRPr="00C0388B">
        <w:rPr>
          <w:rFonts w:cs="Times New Roman"/>
          <w:sz w:val="24"/>
          <w:szCs w:val="24"/>
          <w:vertAlign w:val="subscript"/>
        </w:rPr>
        <w:t>2</w:t>
      </w:r>
      <w:r w:rsidRPr="00C0388B">
        <w:rPr>
          <w:rFonts w:cs="Times New Roman"/>
          <w:sz w:val="24"/>
          <w:szCs w:val="24"/>
        </w:rPr>
        <w:t xml:space="preserve"> fertilisation saturation</w:t>
      </w:r>
      <w:r>
        <w:rPr>
          <w:rFonts w:cs="Times New Roman"/>
          <w:sz w:val="24"/>
          <w:szCs w:val="24"/>
        </w:rPr>
        <w:t>,</w:t>
      </w:r>
      <w:r w:rsidRPr="00C0388B">
        <w:rPr>
          <w:rFonts w:cs="Times New Roman"/>
          <w:sz w:val="24"/>
          <w:szCs w:val="24"/>
        </w:rPr>
        <w:t xml:space="preserve"> or rising air temperatures, or </w:t>
      </w:r>
      <w:r>
        <w:rPr>
          <w:rFonts w:cs="Times New Roman"/>
          <w:sz w:val="24"/>
          <w:szCs w:val="24"/>
        </w:rPr>
        <w:t xml:space="preserve">is </w:t>
      </w:r>
      <w:r w:rsidRPr="00C0388B">
        <w:rPr>
          <w:rFonts w:cs="Times New Roman"/>
          <w:sz w:val="24"/>
          <w:szCs w:val="24"/>
        </w:rPr>
        <w:t xml:space="preserve">merely a regional drought impact. To address these uncertainties, we (i) analyze an unprecedented long-term </w:t>
      </w:r>
      <w:r w:rsidRPr="00C0388B">
        <w:rPr>
          <w:rFonts w:cs="Times New Roman"/>
          <w:sz w:val="24"/>
          <w:szCs w:val="24"/>
        </w:rPr>
        <w:lastRenderedPageBreak/>
        <w:t>inventory dataset from Africa, (ii) pool the new African and existing Amazonian records to investigate the putative environmental drivers of changes in the tropical forest carbon sink, and (iii) project its likely future evolution.</w:t>
      </w:r>
    </w:p>
    <w:p w:rsidR="00B43E3C" w:rsidRDefault="00B43E3C" w:rsidP="00726F1B">
      <w:pPr>
        <w:rPr>
          <w:rFonts w:cs="Times New Roman"/>
          <w:sz w:val="24"/>
          <w:szCs w:val="24"/>
        </w:rPr>
      </w:pPr>
    </w:p>
    <w:p w:rsidR="00B43E3C" w:rsidRPr="00C0388B" w:rsidRDefault="00B43E3C" w:rsidP="00726F1B">
      <w:pPr>
        <w:rPr>
          <w:rFonts w:cs="Times New Roman"/>
          <w:sz w:val="24"/>
          <w:szCs w:val="24"/>
        </w:rPr>
      </w:pPr>
      <w:r w:rsidRPr="00C0388B">
        <w:rPr>
          <w:rFonts w:cs="Times New Roman"/>
          <w:sz w:val="24"/>
          <w:szCs w:val="24"/>
        </w:rPr>
        <w:t>We collected, compiled and analysed data from structurally intact old-growth forests from the African Tropical Rainforest Observation Network</w:t>
      </w:r>
      <w:r w:rsidRPr="00EB02F2">
        <w:rPr>
          <w:rFonts w:cs="Times New Roman"/>
          <w:noProof/>
          <w:sz w:val="24"/>
          <w:szCs w:val="24"/>
          <w:vertAlign w:val="superscript"/>
        </w:rPr>
        <w:t>27</w:t>
      </w:r>
      <w:r w:rsidRPr="00C0388B">
        <w:rPr>
          <w:rFonts w:cs="Times New Roman"/>
          <w:sz w:val="24"/>
          <w:szCs w:val="24"/>
        </w:rPr>
        <w:t xml:space="preserve"> (217 plots) and other sources (27 plots) spanning the period 1968 to 2015 (Extended Data Figure 1</w:t>
      </w:r>
      <w:r>
        <w:rPr>
          <w:rFonts w:cs="Times New Roman"/>
          <w:sz w:val="24"/>
          <w:szCs w:val="24"/>
        </w:rPr>
        <w:t>; Supplementary Table 1</w:t>
      </w:r>
      <w:r w:rsidRPr="00C0388B">
        <w:rPr>
          <w:rFonts w:cs="Times New Roman"/>
          <w:sz w:val="24"/>
          <w:szCs w:val="24"/>
        </w:rPr>
        <w:t xml:space="preserve">). In each plot (mean size, 1.1 ha), all trees ≥100 mm in stem diameter were identified, mapped and measured at least </w:t>
      </w:r>
      <w:r>
        <w:rPr>
          <w:rFonts w:cs="Times New Roman"/>
          <w:sz w:val="24"/>
          <w:szCs w:val="24"/>
        </w:rPr>
        <w:t>twice</w:t>
      </w:r>
      <w:r w:rsidRPr="00C0388B">
        <w:rPr>
          <w:rFonts w:cs="Times New Roman"/>
          <w:sz w:val="24"/>
          <w:szCs w:val="24"/>
        </w:rPr>
        <w:t xml:space="preserve"> using standardi</w:t>
      </w:r>
      <w:r>
        <w:rPr>
          <w:rFonts w:cs="Times New Roman"/>
          <w:sz w:val="24"/>
          <w:szCs w:val="24"/>
        </w:rPr>
        <w:t>s</w:t>
      </w:r>
      <w:r w:rsidRPr="00C0388B">
        <w:rPr>
          <w:rFonts w:cs="Times New Roman"/>
          <w:sz w:val="24"/>
          <w:szCs w:val="24"/>
        </w:rPr>
        <w:t>ed methods (135,625 trees monitored)</w:t>
      </w:r>
      <w:r>
        <w:rPr>
          <w:rFonts w:cs="Times New Roman"/>
          <w:sz w:val="24"/>
          <w:szCs w:val="24"/>
        </w:rPr>
        <w:t>.</w:t>
      </w:r>
      <w:r w:rsidRPr="00C0388B">
        <w:rPr>
          <w:rFonts w:cs="Times New Roman"/>
          <w:sz w:val="24"/>
          <w:szCs w:val="24"/>
        </w:rPr>
        <w:t xml:space="preserve"> </w:t>
      </w:r>
      <w:r>
        <w:rPr>
          <w:rFonts w:cs="Times New Roman"/>
          <w:sz w:val="24"/>
          <w:szCs w:val="24"/>
        </w:rPr>
        <w:t>L</w:t>
      </w:r>
      <w:r w:rsidRPr="00C0388B">
        <w:rPr>
          <w:rFonts w:cs="Times New Roman"/>
          <w:sz w:val="24"/>
          <w:szCs w:val="24"/>
        </w:rPr>
        <w:t xml:space="preserve">ive biomass carbon stocks </w:t>
      </w:r>
      <w:r>
        <w:rPr>
          <w:rFonts w:cs="Times New Roman"/>
          <w:sz w:val="24"/>
          <w:szCs w:val="24"/>
        </w:rPr>
        <w:t xml:space="preserve">were </w:t>
      </w:r>
      <w:r w:rsidRPr="00C0388B">
        <w:rPr>
          <w:rFonts w:cs="Times New Roman"/>
          <w:sz w:val="24"/>
          <w:szCs w:val="24"/>
        </w:rPr>
        <w:t xml:space="preserve">estimated for each census date, with carbon gains and losses calculated for each interval (Extended Data Figure 2). </w:t>
      </w:r>
    </w:p>
    <w:p w:rsidR="00B43E3C" w:rsidRDefault="00B43E3C" w:rsidP="00726F1B">
      <w:pPr>
        <w:rPr>
          <w:rFonts w:cs="Times New Roman"/>
          <w:sz w:val="24"/>
          <w:szCs w:val="24"/>
        </w:rPr>
      </w:pPr>
    </w:p>
    <w:p w:rsidR="00B43E3C" w:rsidRPr="006E64EB" w:rsidRDefault="00B43E3C" w:rsidP="00726F1B">
      <w:pPr>
        <w:pStyle w:val="Heading2"/>
      </w:pPr>
      <w:r w:rsidRPr="006E64EB">
        <w:t>Continental Carbon Sink Trends</w:t>
      </w:r>
    </w:p>
    <w:p w:rsidR="00B43E3C" w:rsidRPr="00C0388B" w:rsidRDefault="00B43E3C" w:rsidP="00726F1B">
      <w:pPr>
        <w:rPr>
          <w:rFonts w:cs="Times New Roman"/>
          <w:sz w:val="24"/>
          <w:szCs w:val="24"/>
        </w:rPr>
      </w:pPr>
      <w:r w:rsidRPr="00C0388B">
        <w:rPr>
          <w:rFonts w:cs="Times New Roman"/>
          <w:sz w:val="24"/>
          <w:szCs w:val="24"/>
        </w:rPr>
        <w:t>We detect no long-term trend in the per unit area African tropical forest carbon sink over three decades to 2015 (Figure 1). The aboveground live biomass sink averaged 0.66 Mg C ha</w:t>
      </w:r>
      <w:r w:rsidRPr="00C0388B">
        <w:rPr>
          <w:rFonts w:cs="Times New Roman"/>
          <w:sz w:val="24"/>
          <w:szCs w:val="24"/>
          <w:vertAlign w:val="superscript"/>
        </w:rPr>
        <w:t>-1</w:t>
      </w:r>
      <w:r w:rsidRPr="00C0388B">
        <w:rPr>
          <w:rFonts w:cs="Times New Roman"/>
          <w:sz w:val="24"/>
          <w:szCs w:val="24"/>
        </w:rPr>
        <w:t xml:space="preserve"> yr</w:t>
      </w:r>
      <w:r w:rsidRPr="00C0388B">
        <w:rPr>
          <w:rFonts w:cs="Times New Roman"/>
          <w:sz w:val="24"/>
          <w:szCs w:val="24"/>
          <w:vertAlign w:val="superscript"/>
        </w:rPr>
        <w:t>-1</w:t>
      </w:r>
      <w:r w:rsidRPr="00C0388B">
        <w:rPr>
          <w:rFonts w:cs="Times New Roman"/>
          <w:sz w:val="24"/>
          <w:szCs w:val="24"/>
        </w:rPr>
        <w:t xml:space="preserve"> (95% CI: 0.53-0.79; </w:t>
      </w:r>
      <w:r w:rsidRPr="00C0388B">
        <w:rPr>
          <w:rFonts w:cs="Times New Roman"/>
          <w:i/>
          <w:sz w:val="24"/>
          <w:szCs w:val="24"/>
        </w:rPr>
        <w:t>n</w:t>
      </w:r>
      <w:r w:rsidRPr="00C0388B">
        <w:rPr>
          <w:rFonts w:cs="Times New Roman"/>
          <w:sz w:val="24"/>
          <w:szCs w:val="24"/>
        </w:rPr>
        <w:t>=244)</w:t>
      </w:r>
      <w:r w:rsidRPr="00C0388B">
        <w:rPr>
          <w:rFonts w:cs="Times New Roman"/>
          <w:b/>
          <w:sz w:val="24"/>
          <w:szCs w:val="24"/>
        </w:rPr>
        <w:t xml:space="preserve"> </w:t>
      </w:r>
      <w:r w:rsidRPr="00C0388B">
        <w:rPr>
          <w:rFonts w:cs="Times New Roman"/>
          <w:sz w:val="24"/>
          <w:szCs w:val="24"/>
        </w:rPr>
        <w:t>and was significantly greater than zero for every year since 1990 (Figure 1). While very similar to past reports</w:t>
      </w:r>
      <w:r>
        <w:rPr>
          <w:rFonts w:cs="Times New Roman"/>
          <w:sz w:val="24"/>
          <w:szCs w:val="24"/>
        </w:rPr>
        <w:t xml:space="preserve"> </w:t>
      </w:r>
      <w:r w:rsidRPr="00C0388B">
        <w:rPr>
          <w:rFonts w:cs="Times New Roman"/>
          <w:sz w:val="24"/>
          <w:szCs w:val="24"/>
        </w:rPr>
        <w:t>(0.63 Mg C ha</w:t>
      </w:r>
      <w:r w:rsidRPr="00C0388B">
        <w:rPr>
          <w:rFonts w:cs="Times New Roman"/>
          <w:sz w:val="24"/>
          <w:szCs w:val="24"/>
          <w:vertAlign w:val="superscript"/>
        </w:rPr>
        <w:t>-1</w:t>
      </w:r>
      <w:r w:rsidRPr="00C0388B">
        <w:rPr>
          <w:rFonts w:cs="Times New Roman"/>
          <w:sz w:val="24"/>
          <w:szCs w:val="24"/>
        </w:rPr>
        <w:t xml:space="preserve"> yr</w:t>
      </w:r>
      <w:r w:rsidRPr="00C0388B">
        <w:rPr>
          <w:rFonts w:cs="Times New Roman"/>
          <w:sz w:val="24"/>
          <w:szCs w:val="24"/>
          <w:vertAlign w:val="superscript"/>
        </w:rPr>
        <w:t>-1</w:t>
      </w:r>
      <w:r w:rsidRPr="00C0388B">
        <w:rPr>
          <w:rFonts w:cs="Times New Roman"/>
          <w:sz w:val="24"/>
          <w:szCs w:val="24"/>
        </w:rPr>
        <w:t>)</w:t>
      </w:r>
      <w:r w:rsidRPr="005A2EB8">
        <w:rPr>
          <w:rFonts w:cs="Times New Roman"/>
          <w:noProof/>
          <w:sz w:val="24"/>
          <w:szCs w:val="24"/>
          <w:vertAlign w:val="superscript"/>
        </w:rPr>
        <w:t>13</w:t>
      </w:r>
      <w:r w:rsidRPr="00C0388B">
        <w:rPr>
          <w:rFonts w:cs="Times New Roman"/>
          <w:sz w:val="24"/>
          <w:szCs w:val="24"/>
        </w:rPr>
        <w:t xml:space="preserve">, this first estimate of the temporal trend in Africa contrasts with the </w:t>
      </w:r>
      <w:r>
        <w:rPr>
          <w:rFonts w:cs="Times New Roman"/>
          <w:sz w:val="24"/>
          <w:szCs w:val="24"/>
        </w:rPr>
        <w:t xml:space="preserve">declining </w:t>
      </w:r>
      <w:r w:rsidRPr="00C0388B">
        <w:rPr>
          <w:rFonts w:cs="Times New Roman"/>
          <w:sz w:val="24"/>
          <w:szCs w:val="24"/>
        </w:rPr>
        <w:t>Amazonian trend</w:t>
      </w:r>
      <w:r w:rsidRPr="00D172EE">
        <w:rPr>
          <w:rFonts w:cs="Times New Roman"/>
          <w:noProof/>
          <w:sz w:val="24"/>
          <w:szCs w:val="24"/>
          <w:vertAlign w:val="superscript"/>
        </w:rPr>
        <w:t>6</w:t>
      </w:r>
      <w:r w:rsidRPr="00C0388B">
        <w:rPr>
          <w:rFonts w:cs="Times New Roman"/>
          <w:sz w:val="24"/>
          <w:szCs w:val="24"/>
        </w:rPr>
        <w:t xml:space="preserve"> (Figure 1).</w:t>
      </w:r>
      <w:r>
        <w:rPr>
          <w:rFonts w:cs="Times New Roman"/>
          <w:sz w:val="24"/>
          <w:szCs w:val="24"/>
        </w:rPr>
        <w:t xml:space="preserve"> </w:t>
      </w:r>
      <w:r w:rsidRPr="00C0388B">
        <w:rPr>
          <w:rFonts w:cs="Times New Roman"/>
          <w:sz w:val="24"/>
          <w:szCs w:val="24"/>
        </w:rPr>
        <w:t xml:space="preserve">A linear mixed effect model shows a significant difference in </w:t>
      </w:r>
      <w:r>
        <w:rPr>
          <w:rFonts w:cs="Times New Roman"/>
          <w:sz w:val="24"/>
          <w:szCs w:val="24"/>
        </w:rPr>
        <w:t xml:space="preserve">the </w:t>
      </w:r>
      <w:r w:rsidRPr="00C0388B">
        <w:rPr>
          <w:rFonts w:cs="Times New Roman"/>
          <w:sz w:val="24"/>
          <w:szCs w:val="24"/>
        </w:rPr>
        <w:t xml:space="preserve">slopes </w:t>
      </w:r>
      <w:r>
        <w:rPr>
          <w:rFonts w:cs="Times New Roman"/>
          <w:sz w:val="24"/>
          <w:szCs w:val="24"/>
        </w:rPr>
        <w:t xml:space="preserve">of the sink trends </w:t>
      </w:r>
      <w:r w:rsidRPr="00C0388B">
        <w:rPr>
          <w:rFonts w:cs="Times New Roman"/>
          <w:sz w:val="24"/>
          <w:szCs w:val="24"/>
        </w:rPr>
        <w:t>for the two continents over the common time window (</w:t>
      </w:r>
      <w:r>
        <w:rPr>
          <w:rFonts w:cs="Times New Roman"/>
          <w:sz w:val="24"/>
          <w:szCs w:val="24"/>
        </w:rPr>
        <w:t>pooled data from both continents, common time window,</w:t>
      </w:r>
      <w:r w:rsidRPr="00C0388B">
        <w:rPr>
          <w:rFonts w:cs="Times New Roman"/>
          <w:sz w:val="24"/>
          <w:szCs w:val="24"/>
        </w:rPr>
        <w:t xml:space="preserve"> 1983-2011.5; p=0.017). Thus, the per unit area sink strength of the two largest expanses of tropical forest on Earth diverged</w:t>
      </w:r>
      <w:r>
        <w:rPr>
          <w:rFonts w:cs="Times New Roman"/>
          <w:sz w:val="24"/>
          <w:szCs w:val="24"/>
        </w:rPr>
        <w:t xml:space="preserve"> in the 1990s and 2000s</w:t>
      </w:r>
      <w:r w:rsidRPr="00C0388B">
        <w:rPr>
          <w:rFonts w:cs="Times New Roman"/>
          <w:sz w:val="24"/>
          <w:szCs w:val="24"/>
        </w:rPr>
        <w:t xml:space="preserve">. </w:t>
      </w:r>
    </w:p>
    <w:p w:rsidR="00B43E3C" w:rsidRPr="00C0388B" w:rsidRDefault="00B43E3C" w:rsidP="00726F1B">
      <w:pPr>
        <w:rPr>
          <w:rFonts w:cs="Times New Roman"/>
          <w:sz w:val="24"/>
          <w:szCs w:val="24"/>
        </w:rPr>
      </w:pPr>
    </w:p>
    <w:p w:rsidR="00B43E3C" w:rsidRPr="00C0388B" w:rsidRDefault="00B43E3C" w:rsidP="00726F1B">
      <w:pPr>
        <w:rPr>
          <w:rFonts w:cs="Times New Roman"/>
          <w:sz w:val="24"/>
          <w:szCs w:val="24"/>
        </w:rPr>
      </w:pPr>
      <w:r w:rsidRPr="00C0388B">
        <w:rPr>
          <w:rFonts w:cs="Times New Roman"/>
          <w:sz w:val="24"/>
          <w:szCs w:val="24"/>
        </w:rPr>
        <w:t>The proximal cause of the divergent sink patterns is a significant increase in carbon losses (from tree mortality</w:t>
      </w:r>
      <w:r>
        <w:rPr>
          <w:rFonts w:cs="Times New Roman"/>
          <w:sz w:val="24"/>
          <w:szCs w:val="24"/>
        </w:rPr>
        <w:t>, i.e. the loss of carbon from the live biomass pool</w:t>
      </w:r>
      <w:r w:rsidRPr="00C0388B">
        <w:rPr>
          <w:rFonts w:cs="Times New Roman"/>
          <w:sz w:val="24"/>
          <w:szCs w:val="24"/>
        </w:rPr>
        <w:t xml:space="preserve">) in Amazonian forests, with no </w:t>
      </w:r>
      <w:r w:rsidRPr="00C0388B">
        <w:rPr>
          <w:rFonts w:cs="Times New Roman"/>
          <w:sz w:val="24"/>
          <w:szCs w:val="24"/>
        </w:rPr>
        <w:lastRenderedPageBreak/>
        <w:t xml:space="preserve">detectable trend over three decades in African forests (Figure 1). A linear mixed effects model </w:t>
      </w:r>
      <w:r>
        <w:rPr>
          <w:rFonts w:cs="Times New Roman"/>
          <w:sz w:val="24"/>
          <w:szCs w:val="24"/>
        </w:rPr>
        <w:t xml:space="preserve">using pooled data </w:t>
      </w:r>
      <w:r w:rsidRPr="00C0388B">
        <w:rPr>
          <w:rFonts w:cs="Times New Roman"/>
          <w:sz w:val="24"/>
          <w:szCs w:val="24"/>
        </w:rPr>
        <w:t xml:space="preserve">shows a significant difference in slopes </w:t>
      </w:r>
      <w:r>
        <w:rPr>
          <w:rFonts w:cs="Times New Roman"/>
          <w:sz w:val="24"/>
          <w:szCs w:val="24"/>
        </w:rPr>
        <w:t xml:space="preserve">of carbon losses </w:t>
      </w:r>
      <w:r w:rsidRPr="00C0388B">
        <w:rPr>
          <w:rFonts w:cs="Times New Roman"/>
          <w:sz w:val="24"/>
          <w:szCs w:val="24"/>
        </w:rPr>
        <w:t xml:space="preserve">between the two continents over the common </w:t>
      </w:r>
      <w:r>
        <w:rPr>
          <w:rFonts w:cs="Times New Roman"/>
          <w:sz w:val="24"/>
          <w:szCs w:val="24"/>
        </w:rPr>
        <w:t xml:space="preserve">1983-2011.5 </w:t>
      </w:r>
      <w:r w:rsidRPr="00C0388B">
        <w:rPr>
          <w:rFonts w:cs="Times New Roman"/>
          <w:sz w:val="24"/>
          <w:szCs w:val="24"/>
        </w:rPr>
        <w:t>time window (p=0.027). Long-term trends in carbon gains (</w:t>
      </w:r>
      <w:r>
        <w:rPr>
          <w:rFonts w:cs="Times New Roman"/>
          <w:sz w:val="24"/>
          <w:szCs w:val="24"/>
        </w:rPr>
        <w:t xml:space="preserve">from </w:t>
      </w:r>
      <w:r w:rsidRPr="00C0388B">
        <w:rPr>
          <w:rFonts w:cs="Times New Roman"/>
          <w:sz w:val="24"/>
          <w:szCs w:val="24"/>
        </w:rPr>
        <w:t xml:space="preserve">tree growth and newly recruited trees) </w:t>
      </w:r>
      <w:r>
        <w:rPr>
          <w:rFonts w:cs="Times New Roman"/>
          <w:sz w:val="24"/>
          <w:szCs w:val="24"/>
        </w:rPr>
        <w:t xml:space="preserve">on both continents show significant increases (Figure 1), and </w:t>
      </w:r>
      <w:r w:rsidRPr="00C0388B">
        <w:rPr>
          <w:rFonts w:cs="Times New Roman"/>
          <w:sz w:val="24"/>
          <w:szCs w:val="24"/>
        </w:rPr>
        <w:t xml:space="preserve">we could detect no difference </w:t>
      </w:r>
      <w:r>
        <w:rPr>
          <w:rFonts w:cs="Times New Roman"/>
          <w:sz w:val="24"/>
          <w:szCs w:val="24"/>
        </w:rPr>
        <w:t xml:space="preserve">in slopes </w:t>
      </w:r>
      <w:r w:rsidRPr="00C0388B">
        <w:rPr>
          <w:rFonts w:cs="Times New Roman"/>
          <w:sz w:val="24"/>
          <w:szCs w:val="24"/>
        </w:rPr>
        <w:t>between the continents (</w:t>
      </w:r>
      <w:r w:rsidRPr="006E64EB">
        <w:rPr>
          <w:rFonts w:cs="Times New Roman"/>
          <w:sz w:val="24"/>
          <w:szCs w:val="24"/>
        </w:rPr>
        <w:t xml:space="preserve">p=0.348; carbon gains from tree growth alone also show no </w:t>
      </w:r>
      <w:r>
        <w:rPr>
          <w:rFonts w:cs="Times New Roman"/>
          <w:sz w:val="24"/>
          <w:szCs w:val="24"/>
        </w:rPr>
        <w:t xml:space="preserve">continental </w:t>
      </w:r>
      <w:r w:rsidRPr="006E64EB">
        <w:rPr>
          <w:rFonts w:cs="Times New Roman"/>
          <w:sz w:val="24"/>
          <w:szCs w:val="24"/>
        </w:rPr>
        <w:t>difference in long-term trends, p=0.322</w:t>
      </w:r>
      <w:r w:rsidRPr="00C0388B">
        <w:rPr>
          <w:rFonts w:cs="Times New Roman"/>
          <w:sz w:val="24"/>
          <w:szCs w:val="24"/>
        </w:rPr>
        <w:t>). However, an assessment of how underlying environmental drivers affect carbon gains and losses is needed to understand the ultimate causes of the divergent sink patterns.</w:t>
      </w:r>
    </w:p>
    <w:p w:rsidR="00B43E3C" w:rsidRDefault="00B43E3C" w:rsidP="00726F1B">
      <w:pPr>
        <w:rPr>
          <w:rFonts w:cs="Times New Roman"/>
          <w:sz w:val="24"/>
          <w:szCs w:val="24"/>
        </w:rPr>
      </w:pPr>
    </w:p>
    <w:p w:rsidR="00B43E3C" w:rsidRPr="006E64EB" w:rsidRDefault="00B43E3C" w:rsidP="00726F1B">
      <w:pPr>
        <w:pStyle w:val="Heading2"/>
      </w:pPr>
      <w:r w:rsidRPr="006E64EB">
        <w:t>Understanding the Carbon Sink Trends</w:t>
      </w:r>
    </w:p>
    <w:p w:rsidR="00B43E3C" w:rsidRPr="00C0388B" w:rsidRDefault="00B43E3C" w:rsidP="00726F1B">
      <w:pPr>
        <w:rPr>
          <w:rFonts w:cs="Times New Roman"/>
          <w:sz w:val="24"/>
          <w:szCs w:val="24"/>
        </w:rPr>
      </w:pPr>
      <w:r>
        <w:rPr>
          <w:rFonts w:cs="Times New Roman"/>
          <w:sz w:val="24"/>
          <w:szCs w:val="24"/>
        </w:rPr>
        <w:t>We first investigate environmental drivers exhibiting long-term change that impact theory-driven models of photosynthesis and respiration: atmospheric CO</w:t>
      </w:r>
      <w:r w:rsidRPr="00142505">
        <w:rPr>
          <w:rFonts w:cs="Times New Roman"/>
          <w:sz w:val="24"/>
          <w:szCs w:val="24"/>
          <w:vertAlign w:val="subscript"/>
        </w:rPr>
        <w:t>2</w:t>
      </w:r>
      <w:r>
        <w:rPr>
          <w:rFonts w:cs="Times New Roman"/>
          <w:sz w:val="24"/>
          <w:szCs w:val="24"/>
        </w:rPr>
        <w:t xml:space="preserve"> concentration, surface air temperature, and water availability. </w:t>
      </w:r>
      <w:r w:rsidRPr="00C0388B">
        <w:rPr>
          <w:rFonts w:cs="Times New Roman"/>
          <w:sz w:val="24"/>
          <w:szCs w:val="24"/>
        </w:rPr>
        <w:t>A linear mixed effects model of carbon gains, with censuses nested within plots, and pooling the new African and published Amazonian data, shows a significant positive relationship with CO</w:t>
      </w:r>
      <w:r w:rsidRPr="00C0388B">
        <w:rPr>
          <w:rFonts w:cs="Times New Roman"/>
          <w:sz w:val="24"/>
          <w:szCs w:val="24"/>
          <w:vertAlign w:val="subscript"/>
        </w:rPr>
        <w:t>2</w:t>
      </w:r>
      <w:r w:rsidRPr="00C0388B">
        <w:rPr>
          <w:rFonts w:cs="Times New Roman"/>
          <w:sz w:val="24"/>
          <w:szCs w:val="24"/>
        </w:rPr>
        <w:t>, and significant negative relationships with mean annual temperature (MAT) and drought (measured as the Maximum Climatological Water Deficit, MCWD</w:t>
      </w:r>
      <w:r w:rsidRPr="005A2EB8">
        <w:rPr>
          <w:rFonts w:cs="Times New Roman"/>
          <w:noProof/>
          <w:sz w:val="24"/>
          <w:szCs w:val="24"/>
          <w:vertAlign w:val="superscript"/>
        </w:rPr>
        <w:t>14</w:t>
      </w:r>
      <w:r w:rsidRPr="00C0388B">
        <w:rPr>
          <w:rFonts w:cs="Times New Roman"/>
          <w:sz w:val="24"/>
          <w:szCs w:val="24"/>
        </w:rPr>
        <w:t>; Figure 2; Extended Data Table 1). These results are consistent with a positive CO</w:t>
      </w:r>
      <w:r w:rsidRPr="00C0388B">
        <w:rPr>
          <w:rFonts w:cs="Times New Roman"/>
          <w:sz w:val="24"/>
          <w:szCs w:val="24"/>
          <w:vertAlign w:val="subscript"/>
        </w:rPr>
        <w:t>2</w:t>
      </w:r>
      <w:r w:rsidRPr="00C0388B">
        <w:rPr>
          <w:rFonts w:cs="Times New Roman"/>
          <w:sz w:val="24"/>
          <w:szCs w:val="24"/>
        </w:rPr>
        <w:t xml:space="preserve"> fertili</w:t>
      </w:r>
      <w:r>
        <w:rPr>
          <w:rFonts w:cs="Times New Roman"/>
          <w:sz w:val="24"/>
          <w:szCs w:val="24"/>
        </w:rPr>
        <w:t>s</w:t>
      </w:r>
      <w:r w:rsidRPr="00C0388B">
        <w:rPr>
          <w:rFonts w:cs="Times New Roman"/>
          <w:sz w:val="24"/>
          <w:szCs w:val="24"/>
        </w:rPr>
        <w:t>ation effect, and negative effects of higher temperatures and drought on tree growth, consistent with temperature-dependent increases in autotrophic respiration, and temperature- and drought-dependent reductions in carbon assimilation. By contrast</w:t>
      </w:r>
      <w:r>
        <w:rPr>
          <w:rFonts w:cs="Times New Roman"/>
          <w:sz w:val="24"/>
          <w:szCs w:val="24"/>
        </w:rPr>
        <w:t>,</w:t>
      </w:r>
      <w:r w:rsidRPr="00C0388B">
        <w:rPr>
          <w:rFonts w:cs="Times New Roman"/>
          <w:sz w:val="24"/>
          <w:szCs w:val="24"/>
        </w:rPr>
        <w:t xml:space="preserve"> the equivalent model for carbon losses </w:t>
      </w:r>
      <w:r>
        <w:rPr>
          <w:rFonts w:cs="Times New Roman"/>
          <w:sz w:val="24"/>
          <w:szCs w:val="24"/>
        </w:rPr>
        <w:t xml:space="preserve">(i.e. tree mortality) </w:t>
      </w:r>
      <w:r w:rsidRPr="00C0388B">
        <w:rPr>
          <w:rFonts w:cs="Times New Roman"/>
          <w:sz w:val="24"/>
          <w:szCs w:val="24"/>
        </w:rPr>
        <w:t>shows no significant relationships with CO</w:t>
      </w:r>
      <w:r w:rsidRPr="00C0388B">
        <w:rPr>
          <w:rFonts w:cs="Times New Roman"/>
          <w:sz w:val="24"/>
          <w:szCs w:val="24"/>
          <w:vertAlign w:val="subscript"/>
        </w:rPr>
        <w:t>2</w:t>
      </w:r>
      <w:r w:rsidRPr="00C0388B">
        <w:rPr>
          <w:rFonts w:cs="Times New Roman"/>
          <w:sz w:val="24"/>
          <w:szCs w:val="24"/>
        </w:rPr>
        <w:t>, MAT or MCWD</w:t>
      </w:r>
      <w:r>
        <w:rPr>
          <w:rFonts w:cs="Times New Roman"/>
          <w:sz w:val="24"/>
          <w:szCs w:val="24"/>
        </w:rPr>
        <w:t xml:space="preserve"> (</w:t>
      </w:r>
      <w:r w:rsidRPr="00C0388B">
        <w:rPr>
          <w:rFonts w:cs="Times New Roman"/>
          <w:sz w:val="24"/>
          <w:szCs w:val="24"/>
        </w:rPr>
        <w:t>Figure 2; Extended Data Table 1</w:t>
      </w:r>
      <w:r>
        <w:rPr>
          <w:rFonts w:cs="Times New Roman"/>
          <w:sz w:val="24"/>
          <w:szCs w:val="24"/>
        </w:rPr>
        <w:t>)</w:t>
      </w:r>
      <w:r w:rsidRPr="00C0388B">
        <w:rPr>
          <w:rFonts w:cs="Times New Roman"/>
          <w:sz w:val="24"/>
          <w:szCs w:val="24"/>
        </w:rPr>
        <w:t xml:space="preserve">. </w:t>
      </w:r>
    </w:p>
    <w:p w:rsidR="00B43E3C" w:rsidRPr="00C0388B" w:rsidRDefault="00B43E3C" w:rsidP="00726F1B">
      <w:pPr>
        <w:rPr>
          <w:rFonts w:cs="Times New Roman"/>
          <w:sz w:val="24"/>
          <w:szCs w:val="24"/>
        </w:rPr>
      </w:pPr>
    </w:p>
    <w:p w:rsidR="00B43E3C" w:rsidRPr="00C0388B" w:rsidRDefault="00B43E3C" w:rsidP="00726F1B">
      <w:pPr>
        <w:rPr>
          <w:rFonts w:cs="Times New Roman"/>
          <w:sz w:val="24"/>
          <w:szCs w:val="24"/>
        </w:rPr>
      </w:pPr>
      <w:r w:rsidRPr="00C0388B">
        <w:rPr>
          <w:rFonts w:cs="Times New Roman"/>
          <w:sz w:val="24"/>
          <w:szCs w:val="24"/>
        </w:rPr>
        <w:t xml:space="preserve">We further investigate the responses of carbon gains and losses (for which the above analysis has no explanatory power) by expanding our potential explanatory variables to </w:t>
      </w:r>
      <w:r>
        <w:rPr>
          <w:rFonts w:cs="Times New Roman"/>
          <w:sz w:val="24"/>
          <w:szCs w:val="24"/>
        </w:rPr>
        <w:t xml:space="preserve">additionally </w:t>
      </w:r>
      <w:r w:rsidRPr="00C0388B">
        <w:rPr>
          <w:rFonts w:cs="Times New Roman"/>
          <w:sz w:val="24"/>
          <w:szCs w:val="24"/>
        </w:rPr>
        <w:t xml:space="preserve">include the change in </w:t>
      </w:r>
      <w:r>
        <w:rPr>
          <w:rFonts w:cs="Times New Roman"/>
          <w:sz w:val="24"/>
          <w:szCs w:val="24"/>
        </w:rPr>
        <w:t>environmental</w:t>
      </w:r>
      <w:r w:rsidRPr="00C0388B">
        <w:rPr>
          <w:rFonts w:cs="Times New Roman"/>
          <w:sz w:val="24"/>
          <w:szCs w:val="24"/>
        </w:rPr>
        <w:t xml:space="preserve"> </w:t>
      </w:r>
      <w:r>
        <w:rPr>
          <w:rFonts w:cs="Times New Roman"/>
          <w:sz w:val="24"/>
          <w:szCs w:val="24"/>
        </w:rPr>
        <w:t>conditions</w:t>
      </w:r>
      <w:r w:rsidRPr="00C0388B">
        <w:rPr>
          <w:rFonts w:cs="Times New Roman"/>
          <w:sz w:val="24"/>
          <w:szCs w:val="24"/>
        </w:rPr>
        <w:t xml:space="preserve"> (CO</w:t>
      </w:r>
      <w:r w:rsidRPr="00C0388B">
        <w:rPr>
          <w:rFonts w:cs="Times New Roman"/>
          <w:sz w:val="24"/>
          <w:szCs w:val="24"/>
          <w:vertAlign w:val="subscript"/>
        </w:rPr>
        <w:t>2</w:t>
      </w:r>
      <w:r w:rsidRPr="00C0388B">
        <w:rPr>
          <w:rFonts w:cs="Times New Roman"/>
          <w:sz w:val="24"/>
          <w:szCs w:val="24"/>
        </w:rPr>
        <w:t xml:space="preserve">-change, MAT-change, MCWD-change, see Extended Data </w:t>
      </w:r>
      <w:r w:rsidRPr="00C0388B">
        <w:rPr>
          <w:rFonts w:cs="Times New Roman"/>
          <w:sz w:val="24"/>
          <w:szCs w:val="24"/>
        </w:rPr>
        <w:lastRenderedPageBreak/>
        <w:t xml:space="preserve">Figure 3 for calculation details), and two attributes </w:t>
      </w:r>
      <w:r>
        <w:rPr>
          <w:rFonts w:cs="Times New Roman"/>
          <w:sz w:val="24"/>
          <w:szCs w:val="24"/>
        </w:rPr>
        <w:t xml:space="preserve">of forests </w:t>
      </w:r>
      <w:r w:rsidRPr="00C0388B">
        <w:rPr>
          <w:rFonts w:cs="Times New Roman"/>
          <w:sz w:val="24"/>
          <w:szCs w:val="24"/>
        </w:rPr>
        <w:t xml:space="preserve">that may </w:t>
      </w:r>
      <w:r>
        <w:rPr>
          <w:rFonts w:cs="Times New Roman"/>
          <w:sz w:val="24"/>
          <w:szCs w:val="24"/>
        </w:rPr>
        <w:t xml:space="preserve">influence their </w:t>
      </w:r>
      <w:r w:rsidRPr="00C0388B">
        <w:rPr>
          <w:rFonts w:cs="Times New Roman"/>
          <w:sz w:val="24"/>
          <w:szCs w:val="24"/>
        </w:rPr>
        <w:t xml:space="preserve">response to the same environmental change: plot mean wood density (which in old-growth forests correlates with </w:t>
      </w:r>
      <w:r>
        <w:rPr>
          <w:rFonts w:cs="Times New Roman"/>
          <w:sz w:val="24"/>
          <w:szCs w:val="24"/>
        </w:rPr>
        <w:t xml:space="preserve">below-ground </w:t>
      </w:r>
      <w:r w:rsidRPr="00C0388B">
        <w:rPr>
          <w:rFonts w:cs="Times New Roman"/>
          <w:sz w:val="24"/>
          <w:szCs w:val="24"/>
        </w:rPr>
        <w:t>resource availability</w:t>
      </w:r>
      <w:r w:rsidRPr="00EB02F2">
        <w:rPr>
          <w:rFonts w:cs="Times New Roman"/>
          <w:noProof/>
          <w:sz w:val="24"/>
          <w:szCs w:val="24"/>
          <w:vertAlign w:val="superscript"/>
        </w:rPr>
        <w:t>28,29</w:t>
      </w:r>
      <w:r w:rsidRPr="00C0388B">
        <w:rPr>
          <w:rFonts w:cs="Times New Roman"/>
          <w:sz w:val="24"/>
          <w:szCs w:val="24"/>
        </w:rPr>
        <w:t xml:space="preserve">), and the plot carbon residence time (which measures how long fixed carbon remains in the system, hence </w:t>
      </w:r>
      <w:r>
        <w:rPr>
          <w:rFonts w:cs="Times New Roman"/>
          <w:sz w:val="24"/>
          <w:szCs w:val="24"/>
        </w:rPr>
        <w:t xml:space="preserve">dictates </w:t>
      </w:r>
      <w:r w:rsidRPr="00C0388B">
        <w:rPr>
          <w:rFonts w:cs="Times New Roman"/>
          <w:sz w:val="24"/>
          <w:szCs w:val="24"/>
        </w:rPr>
        <w:t>when past increases in carbon gains leave the system as elevated carbon losses</w:t>
      </w:r>
      <w:r w:rsidRPr="00EB02F2">
        <w:rPr>
          <w:rFonts w:cs="Times New Roman"/>
          <w:noProof/>
          <w:sz w:val="24"/>
          <w:szCs w:val="24"/>
          <w:vertAlign w:val="superscript"/>
        </w:rPr>
        <w:t>30</w:t>
      </w:r>
      <w:r w:rsidRPr="00C0388B">
        <w:rPr>
          <w:rFonts w:cs="Times New Roman"/>
          <w:sz w:val="24"/>
          <w:szCs w:val="24"/>
        </w:rPr>
        <w:t xml:space="preserve">). </w:t>
      </w:r>
    </w:p>
    <w:p w:rsidR="00B43E3C" w:rsidRPr="00C0388B" w:rsidRDefault="00B43E3C" w:rsidP="00726F1B">
      <w:pPr>
        <w:rPr>
          <w:rFonts w:cs="Times New Roman"/>
          <w:sz w:val="24"/>
          <w:szCs w:val="24"/>
        </w:rPr>
      </w:pPr>
    </w:p>
    <w:p w:rsidR="00B43E3C" w:rsidRPr="00C0388B" w:rsidRDefault="00B43E3C" w:rsidP="00726F1B">
      <w:pPr>
        <w:rPr>
          <w:rFonts w:cs="Times New Roman"/>
          <w:sz w:val="24"/>
          <w:szCs w:val="24"/>
        </w:rPr>
      </w:pPr>
      <w:r w:rsidRPr="00C0388B">
        <w:rPr>
          <w:rFonts w:cs="Times New Roman"/>
          <w:sz w:val="24"/>
          <w:szCs w:val="24"/>
        </w:rPr>
        <w:t xml:space="preserve">The minimum adequate carbon gain model </w:t>
      </w:r>
      <w:r w:rsidRPr="009D23A4">
        <w:rPr>
          <w:rFonts w:cs="Times New Roman"/>
          <w:sz w:val="24"/>
          <w:szCs w:val="24"/>
        </w:rPr>
        <w:t xml:space="preserve">using our expanded explanatory variables </w:t>
      </w:r>
      <w:r>
        <w:rPr>
          <w:rFonts w:cs="Times New Roman"/>
          <w:sz w:val="24"/>
          <w:szCs w:val="24"/>
        </w:rPr>
        <w:t xml:space="preserve">(best ranked model using multimodel inference) </w:t>
      </w:r>
      <w:r w:rsidRPr="00C0388B">
        <w:rPr>
          <w:rFonts w:cs="Times New Roman"/>
          <w:sz w:val="24"/>
          <w:szCs w:val="24"/>
        </w:rPr>
        <w:t>has a positive relationship with CO</w:t>
      </w:r>
      <w:r w:rsidRPr="00C0388B">
        <w:rPr>
          <w:rFonts w:cs="Times New Roman"/>
          <w:sz w:val="24"/>
          <w:szCs w:val="24"/>
          <w:vertAlign w:val="subscript"/>
        </w:rPr>
        <w:t>2</w:t>
      </w:r>
      <w:r w:rsidRPr="00C0388B">
        <w:rPr>
          <w:rFonts w:cs="Times New Roman"/>
          <w:sz w:val="24"/>
          <w:szCs w:val="24"/>
        </w:rPr>
        <w:t>-change, and negative relationships with MAT, MAT-change, MCWD, and wood density (Table 2</w:t>
      </w:r>
      <w:r>
        <w:rPr>
          <w:rFonts w:cs="Times New Roman"/>
          <w:sz w:val="24"/>
          <w:szCs w:val="24"/>
        </w:rPr>
        <w:t>; model-average results are similar, see Methods and Supplementary Tables 2-4</w:t>
      </w:r>
      <w:r w:rsidRPr="00C0388B">
        <w:rPr>
          <w:rFonts w:cs="Times New Roman"/>
          <w:sz w:val="24"/>
          <w:szCs w:val="24"/>
        </w:rPr>
        <w:t>). The retention of both MAT and MAT-change suggests that higher temperatures correspond to lower tree growth, and that trees only partially acclimate to recently rising temperatures, which further reduces growth, consistent with warming experiments</w:t>
      </w:r>
      <w:r w:rsidRPr="00EB02F2">
        <w:rPr>
          <w:rFonts w:cs="Times New Roman"/>
          <w:noProof/>
          <w:sz w:val="24"/>
          <w:szCs w:val="24"/>
          <w:vertAlign w:val="superscript"/>
        </w:rPr>
        <w:t>31</w:t>
      </w:r>
      <w:r w:rsidRPr="00C0388B">
        <w:rPr>
          <w:rFonts w:cs="Times New Roman"/>
          <w:sz w:val="24"/>
          <w:szCs w:val="24"/>
        </w:rPr>
        <w:t xml:space="preserve"> and observations</w:t>
      </w:r>
      <w:r w:rsidRPr="005A2EB8">
        <w:rPr>
          <w:rFonts w:cs="Times New Roman"/>
          <w:noProof/>
          <w:sz w:val="24"/>
          <w:szCs w:val="24"/>
          <w:vertAlign w:val="superscript"/>
        </w:rPr>
        <w:t>9</w:t>
      </w:r>
      <w:r w:rsidRPr="00C0388B">
        <w:rPr>
          <w:rFonts w:cs="Times New Roman"/>
          <w:sz w:val="24"/>
          <w:szCs w:val="24"/>
        </w:rPr>
        <w:t xml:space="preserve">. </w:t>
      </w:r>
      <w:r>
        <w:rPr>
          <w:rFonts w:cs="Times New Roman"/>
          <w:sz w:val="24"/>
          <w:szCs w:val="24"/>
        </w:rPr>
        <w:t xml:space="preserve">The inclusion of higher wood density, and it being related to </w:t>
      </w:r>
      <w:r w:rsidRPr="00C0388B">
        <w:rPr>
          <w:rFonts w:cs="Times New Roman"/>
          <w:sz w:val="24"/>
          <w:szCs w:val="24"/>
        </w:rPr>
        <w:t>lower carbon gains (Extended Data Figure 4)</w:t>
      </w:r>
      <w:r>
        <w:rPr>
          <w:rFonts w:cs="Times New Roman"/>
          <w:sz w:val="24"/>
          <w:szCs w:val="24"/>
        </w:rPr>
        <w:t xml:space="preserve">, alongside </w:t>
      </w:r>
      <w:r w:rsidRPr="00C0388B">
        <w:rPr>
          <w:rFonts w:cs="Times New Roman"/>
          <w:sz w:val="24"/>
          <w:szCs w:val="24"/>
        </w:rPr>
        <w:t>no temporal trend</w:t>
      </w:r>
      <w:r>
        <w:rPr>
          <w:rFonts w:cs="Times New Roman"/>
          <w:sz w:val="24"/>
          <w:szCs w:val="24"/>
        </w:rPr>
        <w:t>s in wood density</w:t>
      </w:r>
      <w:r w:rsidRPr="00C0388B">
        <w:rPr>
          <w:rFonts w:cs="Times New Roman"/>
          <w:sz w:val="24"/>
          <w:szCs w:val="24"/>
        </w:rPr>
        <w:t xml:space="preserve"> (Extended Data Figure 5)</w:t>
      </w:r>
      <w:r>
        <w:rPr>
          <w:rFonts w:cs="Times New Roman"/>
          <w:sz w:val="24"/>
          <w:szCs w:val="24"/>
        </w:rPr>
        <w:t xml:space="preserve">, </w:t>
      </w:r>
      <w:r w:rsidRPr="00C0388B">
        <w:rPr>
          <w:rFonts w:cs="Times New Roman"/>
          <w:sz w:val="24"/>
          <w:szCs w:val="24"/>
        </w:rPr>
        <w:t xml:space="preserve">suggests that old-growth forests with denser-wooded tree communities typically have fewer available </w:t>
      </w:r>
      <w:r>
        <w:rPr>
          <w:rFonts w:cs="Times New Roman"/>
          <w:sz w:val="24"/>
          <w:szCs w:val="24"/>
        </w:rPr>
        <w:t>below-ground resources,</w:t>
      </w:r>
      <w:r w:rsidRPr="00C0388B">
        <w:rPr>
          <w:rFonts w:cs="Times New Roman"/>
          <w:sz w:val="24"/>
          <w:szCs w:val="24"/>
        </w:rPr>
        <w:t xml:space="preserve"> </w:t>
      </w:r>
      <w:r>
        <w:rPr>
          <w:rFonts w:cs="Times New Roman"/>
          <w:sz w:val="24"/>
          <w:szCs w:val="24"/>
        </w:rPr>
        <w:t>or such patterns may also emerge from disturbance regimes lacking large-scale exogenous events, consistent with prior studies</w:t>
      </w:r>
      <w:r w:rsidRPr="00EB02F2">
        <w:rPr>
          <w:rFonts w:cs="Times New Roman"/>
          <w:noProof/>
          <w:sz w:val="24"/>
          <w:szCs w:val="24"/>
          <w:vertAlign w:val="superscript"/>
        </w:rPr>
        <w:t>26,28,32</w:t>
      </w:r>
      <w:r>
        <w:rPr>
          <w:rFonts w:cs="Times New Roman"/>
          <w:sz w:val="24"/>
          <w:szCs w:val="24"/>
        </w:rPr>
        <w:t>.</w:t>
      </w:r>
    </w:p>
    <w:p w:rsidR="00B43E3C" w:rsidRPr="00C0388B" w:rsidRDefault="00B43E3C" w:rsidP="00726F1B">
      <w:pPr>
        <w:rPr>
          <w:rFonts w:cs="Times New Roman"/>
          <w:sz w:val="24"/>
          <w:szCs w:val="24"/>
        </w:rPr>
      </w:pPr>
    </w:p>
    <w:p w:rsidR="00B43E3C" w:rsidRDefault="00B43E3C" w:rsidP="00726F1B">
      <w:pPr>
        <w:rPr>
          <w:rFonts w:cs="Times New Roman"/>
          <w:sz w:val="24"/>
          <w:szCs w:val="24"/>
        </w:rPr>
      </w:pPr>
      <w:r w:rsidRPr="00C0388B">
        <w:rPr>
          <w:rFonts w:cs="Times New Roman"/>
          <w:sz w:val="24"/>
          <w:szCs w:val="24"/>
        </w:rPr>
        <w:t>The minimum adequate carbon gain model using our expanded explanatory variables also highlights continental differences</w:t>
      </w:r>
      <w:r>
        <w:rPr>
          <w:rFonts w:cs="Times New Roman"/>
          <w:sz w:val="24"/>
          <w:szCs w:val="24"/>
        </w:rPr>
        <w:t>. Between 2000 and 2015 African forest carbon gains increased by 3.1% compared with a 0.1% decline in Amazonia over the same interval (Table 2)</w:t>
      </w:r>
      <w:r w:rsidRPr="00C0388B">
        <w:rPr>
          <w:rFonts w:cs="Times New Roman"/>
          <w:sz w:val="24"/>
          <w:szCs w:val="24"/>
        </w:rPr>
        <w:t xml:space="preserve">. </w:t>
      </w:r>
      <w:r>
        <w:rPr>
          <w:rFonts w:cs="Times New Roman"/>
          <w:sz w:val="24"/>
          <w:szCs w:val="24"/>
        </w:rPr>
        <w:t>In Africa, from</w:t>
      </w:r>
      <w:r w:rsidRPr="00C0388B">
        <w:rPr>
          <w:rFonts w:cs="Times New Roman"/>
          <w:sz w:val="24"/>
          <w:szCs w:val="24"/>
        </w:rPr>
        <w:t xml:space="preserve"> 2000 to 2015, </w:t>
      </w:r>
      <w:r>
        <w:rPr>
          <w:rFonts w:cs="Times New Roman"/>
          <w:sz w:val="24"/>
          <w:szCs w:val="24"/>
        </w:rPr>
        <w:t>the increase was composed of</w:t>
      </w:r>
      <w:r w:rsidRPr="00C0388B">
        <w:rPr>
          <w:rFonts w:cs="Times New Roman"/>
          <w:sz w:val="24"/>
          <w:szCs w:val="24"/>
        </w:rPr>
        <w:t xml:space="preserve"> </w:t>
      </w:r>
      <w:r>
        <w:rPr>
          <w:rFonts w:cs="Times New Roman"/>
          <w:sz w:val="24"/>
          <w:szCs w:val="24"/>
        </w:rPr>
        <w:t>a 3.7</w:t>
      </w:r>
      <w:r w:rsidRPr="00C0388B">
        <w:rPr>
          <w:rFonts w:cs="Times New Roman"/>
          <w:sz w:val="24"/>
          <w:szCs w:val="24"/>
        </w:rPr>
        <w:t xml:space="preserve">% </w:t>
      </w:r>
      <w:r>
        <w:rPr>
          <w:rFonts w:cs="Times New Roman"/>
          <w:sz w:val="24"/>
          <w:szCs w:val="24"/>
        </w:rPr>
        <w:t xml:space="preserve">increase </w:t>
      </w:r>
      <w:r w:rsidRPr="00C0388B">
        <w:rPr>
          <w:rFonts w:cs="Times New Roman"/>
          <w:sz w:val="24"/>
          <w:szCs w:val="24"/>
        </w:rPr>
        <w:t>from CO</w:t>
      </w:r>
      <w:r w:rsidRPr="00C0388B">
        <w:rPr>
          <w:rFonts w:cs="Times New Roman"/>
          <w:sz w:val="24"/>
          <w:szCs w:val="24"/>
          <w:vertAlign w:val="subscript"/>
        </w:rPr>
        <w:t>2</w:t>
      </w:r>
      <w:r>
        <w:rPr>
          <w:rFonts w:cs="Times New Roman"/>
          <w:sz w:val="24"/>
          <w:szCs w:val="24"/>
        </w:rPr>
        <w:t>-change,</w:t>
      </w:r>
      <w:r w:rsidRPr="00C0388B">
        <w:rPr>
          <w:rFonts w:cs="Times New Roman"/>
          <w:sz w:val="24"/>
          <w:szCs w:val="24"/>
        </w:rPr>
        <w:t xml:space="preserve"> </w:t>
      </w:r>
      <w:r>
        <w:rPr>
          <w:rFonts w:cs="Times New Roman"/>
          <w:sz w:val="24"/>
          <w:szCs w:val="24"/>
        </w:rPr>
        <w:t xml:space="preserve">partially offset by </w:t>
      </w:r>
      <w:r w:rsidRPr="00C0388B">
        <w:rPr>
          <w:rFonts w:cs="Times New Roman"/>
          <w:sz w:val="24"/>
          <w:szCs w:val="24"/>
        </w:rPr>
        <w:t xml:space="preserve">increasing droughts </w:t>
      </w:r>
      <w:r>
        <w:rPr>
          <w:rFonts w:cs="Times New Roman"/>
          <w:sz w:val="24"/>
          <w:szCs w:val="24"/>
        </w:rPr>
        <w:t>depleting</w:t>
      </w:r>
      <w:r w:rsidRPr="00C0388B">
        <w:rPr>
          <w:rFonts w:cs="Times New Roman"/>
          <w:sz w:val="24"/>
          <w:szCs w:val="24"/>
        </w:rPr>
        <w:t xml:space="preserve"> gains by 0.</w:t>
      </w:r>
      <w:r>
        <w:rPr>
          <w:rFonts w:cs="Times New Roman"/>
          <w:sz w:val="24"/>
          <w:szCs w:val="24"/>
        </w:rPr>
        <w:t>5</w:t>
      </w:r>
      <w:r w:rsidRPr="00C0388B">
        <w:rPr>
          <w:rFonts w:cs="Times New Roman"/>
          <w:sz w:val="24"/>
          <w:szCs w:val="24"/>
        </w:rPr>
        <w:t>%</w:t>
      </w:r>
      <w:r>
        <w:rPr>
          <w:rFonts w:cs="Times New Roman"/>
          <w:sz w:val="24"/>
          <w:szCs w:val="24"/>
        </w:rPr>
        <w:t xml:space="preserve">, and only </w:t>
      </w:r>
      <w:r w:rsidRPr="00C0388B">
        <w:rPr>
          <w:rFonts w:cs="Times New Roman"/>
          <w:sz w:val="24"/>
          <w:szCs w:val="24"/>
        </w:rPr>
        <w:t xml:space="preserve">a </w:t>
      </w:r>
      <w:r>
        <w:rPr>
          <w:rFonts w:cs="Times New Roman"/>
          <w:sz w:val="24"/>
          <w:szCs w:val="24"/>
        </w:rPr>
        <w:t xml:space="preserve">slight </w:t>
      </w:r>
      <w:r w:rsidRPr="00C0388B">
        <w:rPr>
          <w:rFonts w:cs="Times New Roman"/>
          <w:sz w:val="24"/>
          <w:szCs w:val="24"/>
        </w:rPr>
        <w:t>decline in gains of 0.</w:t>
      </w:r>
      <w:r>
        <w:rPr>
          <w:rFonts w:cs="Times New Roman"/>
          <w:sz w:val="24"/>
          <w:szCs w:val="24"/>
        </w:rPr>
        <w:t>1</w:t>
      </w:r>
      <w:r w:rsidRPr="00C0388B">
        <w:rPr>
          <w:rFonts w:cs="Times New Roman"/>
          <w:sz w:val="24"/>
          <w:szCs w:val="24"/>
        </w:rPr>
        <w:t>%</w:t>
      </w:r>
      <w:r>
        <w:rPr>
          <w:rFonts w:cs="Times New Roman"/>
          <w:sz w:val="24"/>
          <w:szCs w:val="24"/>
        </w:rPr>
        <w:t xml:space="preserve"> resulting from temperature increases (Table 2), because the rate of temperature change (MAT-change) decelerated over this time window</w:t>
      </w:r>
      <w:r w:rsidRPr="00C0388B">
        <w:rPr>
          <w:rFonts w:cs="Times New Roman"/>
          <w:sz w:val="24"/>
          <w:szCs w:val="24"/>
        </w:rPr>
        <w:t xml:space="preserve"> (</w:t>
      </w:r>
      <w:r>
        <w:rPr>
          <w:rFonts w:cs="Times New Roman"/>
          <w:sz w:val="24"/>
          <w:szCs w:val="24"/>
        </w:rPr>
        <w:t>Extended Data Figure 5</w:t>
      </w:r>
      <w:r w:rsidRPr="00C0388B">
        <w:rPr>
          <w:rFonts w:cs="Times New Roman"/>
          <w:sz w:val="24"/>
          <w:szCs w:val="24"/>
        </w:rPr>
        <w:t xml:space="preserve">). For Amazonia, </w:t>
      </w:r>
      <w:r>
        <w:rPr>
          <w:rFonts w:cs="Times New Roman"/>
          <w:sz w:val="24"/>
          <w:szCs w:val="24"/>
        </w:rPr>
        <w:t>the same 3.7</w:t>
      </w:r>
      <w:r w:rsidRPr="00C0388B">
        <w:rPr>
          <w:rFonts w:cs="Times New Roman"/>
          <w:sz w:val="24"/>
          <w:szCs w:val="24"/>
        </w:rPr>
        <w:t xml:space="preserve">% </w:t>
      </w:r>
      <w:r>
        <w:rPr>
          <w:rFonts w:cs="Times New Roman"/>
          <w:sz w:val="24"/>
          <w:szCs w:val="24"/>
        </w:rPr>
        <w:t xml:space="preserve">increase </w:t>
      </w:r>
      <w:r w:rsidRPr="00C0388B">
        <w:rPr>
          <w:rFonts w:cs="Times New Roman"/>
          <w:sz w:val="24"/>
          <w:szCs w:val="24"/>
        </w:rPr>
        <w:t>due to CO</w:t>
      </w:r>
      <w:r w:rsidRPr="00C0388B">
        <w:rPr>
          <w:rFonts w:cs="Times New Roman"/>
          <w:sz w:val="24"/>
          <w:szCs w:val="24"/>
          <w:vertAlign w:val="subscript"/>
        </w:rPr>
        <w:t>2</w:t>
      </w:r>
      <w:r w:rsidRPr="00C0388B">
        <w:rPr>
          <w:rFonts w:cs="Times New Roman"/>
          <w:sz w:val="24"/>
          <w:szCs w:val="24"/>
        </w:rPr>
        <w:t>-</w:t>
      </w:r>
      <w:r w:rsidRPr="00C0388B">
        <w:rPr>
          <w:rFonts w:cs="Times New Roman"/>
          <w:sz w:val="24"/>
          <w:szCs w:val="24"/>
        </w:rPr>
        <w:lastRenderedPageBreak/>
        <w:t>change</w:t>
      </w:r>
      <w:r>
        <w:rPr>
          <w:rFonts w:cs="Times New Roman"/>
          <w:sz w:val="24"/>
          <w:szCs w:val="24"/>
        </w:rPr>
        <w:t xml:space="preserve"> was seen,</w:t>
      </w:r>
      <w:r w:rsidRPr="00C0388B">
        <w:rPr>
          <w:rFonts w:cs="Times New Roman"/>
          <w:sz w:val="24"/>
          <w:szCs w:val="24"/>
        </w:rPr>
        <w:t xml:space="preserve"> while increasing droughts—and these forests’ greater sensitivity to drought— reduced gains by 2.</w:t>
      </w:r>
      <w:r>
        <w:rPr>
          <w:rFonts w:cs="Times New Roman"/>
          <w:sz w:val="24"/>
          <w:szCs w:val="24"/>
        </w:rPr>
        <w:t>7</w:t>
      </w:r>
      <w:r w:rsidRPr="00C0388B">
        <w:rPr>
          <w:rFonts w:cs="Times New Roman"/>
          <w:sz w:val="24"/>
          <w:szCs w:val="24"/>
        </w:rPr>
        <w:t>% (</w:t>
      </w:r>
      <w:r>
        <w:rPr>
          <w:rFonts w:cs="Times New Roman"/>
          <w:sz w:val="24"/>
          <w:szCs w:val="24"/>
        </w:rPr>
        <w:t>five</w:t>
      </w:r>
      <w:r w:rsidRPr="00C0388B">
        <w:rPr>
          <w:rFonts w:cs="Times New Roman"/>
          <w:sz w:val="24"/>
          <w:szCs w:val="24"/>
        </w:rPr>
        <w:t xml:space="preserve"> </w:t>
      </w:r>
      <w:r>
        <w:rPr>
          <w:rFonts w:cs="Times New Roman"/>
          <w:sz w:val="24"/>
          <w:szCs w:val="24"/>
        </w:rPr>
        <w:t>times the impact in Africa), and temperature increases</w:t>
      </w:r>
      <w:r w:rsidRPr="00C0388B">
        <w:rPr>
          <w:rFonts w:cs="Times New Roman"/>
          <w:sz w:val="24"/>
          <w:szCs w:val="24"/>
        </w:rPr>
        <w:t xml:space="preserve"> </w:t>
      </w:r>
      <w:r>
        <w:rPr>
          <w:rFonts w:cs="Times New Roman"/>
          <w:sz w:val="24"/>
          <w:szCs w:val="24"/>
        </w:rPr>
        <w:t xml:space="preserve">at the same rate as in the past (i.e. MAT-change is zero) further </w:t>
      </w:r>
      <w:r w:rsidRPr="00C0388B">
        <w:rPr>
          <w:rFonts w:cs="Times New Roman"/>
          <w:sz w:val="24"/>
          <w:szCs w:val="24"/>
        </w:rPr>
        <w:t>reduced gains by</w:t>
      </w:r>
      <w:r>
        <w:rPr>
          <w:rFonts w:cs="Times New Roman"/>
          <w:sz w:val="24"/>
          <w:szCs w:val="24"/>
        </w:rPr>
        <w:t xml:space="preserve"> 1.1%</w:t>
      </w:r>
      <w:r w:rsidRPr="00C0388B">
        <w:rPr>
          <w:rFonts w:cs="Times New Roman"/>
          <w:sz w:val="24"/>
          <w:szCs w:val="24"/>
        </w:rPr>
        <w:t xml:space="preserve"> (</w:t>
      </w:r>
      <w:r>
        <w:rPr>
          <w:rFonts w:cs="Times New Roman"/>
          <w:sz w:val="24"/>
          <w:szCs w:val="24"/>
        </w:rPr>
        <w:t xml:space="preserve">ten </w:t>
      </w:r>
      <w:r w:rsidRPr="00C0388B">
        <w:rPr>
          <w:rFonts w:cs="Times New Roman"/>
          <w:sz w:val="24"/>
          <w:szCs w:val="24"/>
        </w:rPr>
        <w:t>times the impact in Africa)</w:t>
      </w:r>
      <w:r>
        <w:rPr>
          <w:rFonts w:cs="Times New Roman"/>
          <w:sz w:val="24"/>
          <w:szCs w:val="24"/>
        </w:rPr>
        <w:t>,</w:t>
      </w:r>
      <w:r w:rsidRPr="00C0388B">
        <w:rPr>
          <w:rFonts w:cs="Times New Roman"/>
          <w:sz w:val="24"/>
          <w:szCs w:val="24"/>
        </w:rPr>
        <w:t xml:space="preserve"> </w:t>
      </w:r>
      <w:r>
        <w:rPr>
          <w:rFonts w:cs="Times New Roman"/>
          <w:sz w:val="24"/>
          <w:szCs w:val="24"/>
        </w:rPr>
        <w:t>leaving a net change in gains slightly below zero</w:t>
      </w:r>
      <w:r w:rsidRPr="00C0388B">
        <w:rPr>
          <w:rFonts w:cs="Times New Roman"/>
          <w:sz w:val="24"/>
          <w:szCs w:val="24"/>
        </w:rPr>
        <w:t xml:space="preserve"> </w:t>
      </w:r>
      <w:r>
        <w:rPr>
          <w:rFonts w:cs="Times New Roman"/>
          <w:sz w:val="24"/>
          <w:szCs w:val="24"/>
        </w:rPr>
        <w:t>(</w:t>
      </w:r>
      <w:r w:rsidRPr="00C0388B">
        <w:rPr>
          <w:rFonts w:cs="Times New Roman"/>
          <w:sz w:val="24"/>
          <w:szCs w:val="24"/>
        </w:rPr>
        <w:t xml:space="preserve">Table 2). Thus, the recent </w:t>
      </w:r>
      <w:r>
        <w:rPr>
          <w:rFonts w:cs="Times New Roman"/>
          <w:sz w:val="24"/>
          <w:szCs w:val="24"/>
        </w:rPr>
        <w:t xml:space="preserve">stalling </w:t>
      </w:r>
      <w:r w:rsidRPr="00C0388B">
        <w:rPr>
          <w:rFonts w:cs="Times New Roman"/>
          <w:sz w:val="24"/>
          <w:szCs w:val="24"/>
        </w:rPr>
        <w:t xml:space="preserve">of </w:t>
      </w:r>
      <w:r>
        <w:rPr>
          <w:rFonts w:cs="Times New Roman"/>
          <w:sz w:val="24"/>
          <w:szCs w:val="24"/>
        </w:rPr>
        <w:t>carbon gain</w:t>
      </w:r>
      <w:r w:rsidRPr="00C0388B">
        <w:rPr>
          <w:rFonts w:cs="Times New Roman"/>
          <w:sz w:val="24"/>
          <w:szCs w:val="24"/>
        </w:rPr>
        <w:t xml:space="preserve"> increase</w:t>
      </w:r>
      <w:r>
        <w:rPr>
          <w:rFonts w:cs="Times New Roman"/>
          <w:sz w:val="24"/>
          <w:szCs w:val="24"/>
        </w:rPr>
        <w:t>s</w:t>
      </w:r>
      <w:r w:rsidRPr="00C0388B">
        <w:rPr>
          <w:rFonts w:cs="Times New Roman"/>
          <w:sz w:val="24"/>
          <w:szCs w:val="24"/>
        </w:rPr>
        <w:t xml:space="preserve"> in Amazonia</w:t>
      </w:r>
      <w:r w:rsidRPr="00D172EE">
        <w:rPr>
          <w:rFonts w:cs="Times New Roman"/>
          <w:noProof/>
          <w:sz w:val="24"/>
          <w:szCs w:val="24"/>
          <w:vertAlign w:val="superscript"/>
        </w:rPr>
        <w:t>6</w:t>
      </w:r>
      <w:r w:rsidRPr="00C0388B">
        <w:rPr>
          <w:rFonts w:cs="Times New Roman"/>
          <w:sz w:val="24"/>
          <w:szCs w:val="24"/>
        </w:rPr>
        <w:t xml:space="preserve"> is a response to drought and temperature and not due to </w:t>
      </w:r>
      <w:r>
        <w:rPr>
          <w:rFonts w:cs="Times New Roman"/>
          <w:sz w:val="24"/>
          <w:szCs w:val="24"/>
        </w:rPr>
        <w:t xml:space="preserve">an </w:t>
      </w:r>
      <w:r w:rsidRPr="00C0388B">
        <w:rPr>
          <w:rFonts w:cs="Times New Roman"/>
          <w:sz w:val="24"/>
          <w:szCs w:val="24"/>
        </w:rPr>
        <w:t>unexpected saturation of CO</w:t>
      </w:r>
      <w:r w:rsidRPr="00C0388B">
        <w:rPr>
          <w:rFonts w:cs="Times New Roman"/>
          <w:sz w:val="24"/>
          <w:szCs w:val="24"/>
          <w:vertAlign w:val="subscript"/>
        </w:rPr>
        <w:t>2</w:t>
      </w:r>
      <w:r w:rsidRPr="00C0388B">
        <w:rPr>
          <w:rFonts w:cs="Times New Roman"/>
          <w:sz w:val="24"/>
          <w:szCs w:val="24"/>
        </w:rPr>
        <w:t xml:space="preserve"> fertilisation. Overall, the larger </w:t>
      </w:r>
      <w:r>
        <w:rPr>
          <w:rFonts w:cs="Times New Roman"/>
          <w:sz w:val="24"/>
          <w:szCs w:val="24"/>
        </w:rPr>
        <w:t xml:space="preserve">modelled </w:t>
      </w:r>
      <w:r w:rsidRPr="00C0388B">
        <w:rPr>
          <w:rFonts w:cs="Times New Roman"/>
          <w:sz w:val="24"/>
          <w:szCs w:val="24"/>
        </w:rPr>
        <w:t>increase in gains in Africa relative to Amazonia appear to be driven by slower warming, fewer</w:t>
      </w:r>
      <w:r>
        <w:rPr>
          <w:rFonts w:cs="Times New Roman"/>
          <w:sz w:val="24"/>
          <w:szCs w:val="24"/>
        </w:rPr>
        <w:t xml:space="preserve"> or less extreme</w:t>
      </w:r>
      <w:r w:rsidRPr="00C0388B">
        <w:rPr>
          <w:rFonts w:cs="Times New Roman"/>
          <w:sz w:val="24"/>
          <w:szCs w:val="24"/>
        </w:rPr>
        <w:t xml:space="preserve"> droughts, lower forest sensitivity to droughts, and overall lower temperatures (African forests are on average </w:t>
      </w:r>
      <w:r>
        <w:rPr>
          <w:rFonts w:cs="Times New Roman"/>
          <w:sz w:val="24"/>
          <w:szCs w:val="24"/>
        </w:rPr>
        <w:t>~</w:t>
      </w:r>
      <w:r w:rsidRPr="00C0388B">
        <w:rPr>
          <w:rFonts w:cs="Times New Roman"/>
          <w:sz w:val="24"/>
          <w:szCs w:val="24"/>
        </w:rPr>
        <w:t xml:space="preserve">1.1°C cooler than Amazonian forests, as they typically grow at ~200 m higher elevation). </w:t>
      </w:r>
      <w:r>
        <w:rPr>
          <w:rFonts w:cs="Times New Roman"/>
          <w:sz w:val="24"/>
          <w:szCs w:val="24"/>
        </w:rPr>
        <w:t>Other continental differences may also be influencing the results, including higher nitrogen deposition in African tropical forests due to the seasonal burning of nearby savannas</w:t>
      </w:r>
      <w:r w:rsidRPr="00EB02F2">
        <w:rPr>
          <w:rFonts w:cs="Times New Roman"/>
          <w:noProof/>
          <w:sz w:val="24"/>
          <w:szCs w:val="24"/>
          <w:vertAlign w:val="superscript"/>
        </w:rPr>
        <w:t>33</w:t>
      </w:r>
      <w:r>
        <w:rPr>
          <w:rFonts w:cs="Times New Roman"/>
          <w:sz w:val="24"/>
          <w:szCs w:val="24"/>
        </w:rPr>
        <w:t xml:space="preserve"> and biogeographic history resulting in differing contemporary species pools and resulting functional attributes</w:t>
      </w:r>
      <w:r w:rsidRPr="00EB02F2">
        <w:rPr>
          <w:rFonts w:cs="Times New Roman"/>
          <w:noProof/>
          <w:sz w:val="24"/>
          <w:szCs w:val="24"/>
          <w:vertAlign w:val="superscript"/>
        </w:rPr>
        <w:t>34,35</w:t>
      </w:r>
      <w:r>
        <w:rPr>
          <w:rFonts w:cs="Times New Roman"/>
          <w:sz w:val="24"/>
          <w:szCs w:val="24"/>
        </w:rPr>
        <w:t xml:space="preserve">. </w:t>
      </w:r>
    </w:p>
    <w:p w:rsidR="00B43E3C" w:rsidRPr="00C0388B" w:rsidRDefault="00B43E3C" w:rsidP="00726F1B">
      <w:pPr>
        <w:rPr>
          <w:rFonts w:cs="Times New Roman"/>
          <w:sz w:val="24"/>
          <w:szCs w:val="24"/>
        </w:rPr>
      </w:pPr>
    </w:p>
    <w:p w:rsidR="00B43E3C" w:rsidRPr="00F95B98" w:rsidRDefault="00B43E3C" w:rsidP="00726F1B">
      <w:pPr>
        <w:rPr>
          <w:rFonts w:cs="Times New Roman"/>
          <w:sz w:val="24"/>
          <w:szCs w:val="24"/>
        </w:rPr>
      </w:pPr>
      <w:r w:rsidRPr="00C0388B">
        <w:rPr>
          <w:rFonts w:cs="Times New Roman"/>
          <w:sz w:val="24"/>
          <w:szCs w:val="24"/>
        </w:rPr>
        <w:t>The minimum adequate carbon loss model using our expanded explanatory variables shows higher losses with CO</w:t>
      </w:r>
      <w:r w:rsidRPr="00C0388B">
        <w:rPr>
          <w:rFonts w:cs="Times New Roman"/>
          <w:sz w:val="24"/>
          <w:szCs w:val="24"/>
          <w:vertAlign w:val="subscript"/>
        </w:rPr>
        <w:t>2</w:t>
      </w:r>
      <w:r w:rsidRPr="00C0388B">
        <w:rPr>
          <w:rFonts w:cs="Times New Roman"/>
          <w:sz w:val="24"/>
          <w:szCs w:val="24"/>
        </w:rPr>
        <w:t xml:space="preserve">-change and MAT-change, and lower losses with MCWD and the carbon residence time (CRT; Table 2). </w:t>
      </w:r>
      <w:r>
        <w:rPr>
          <w:rFonts w:cs="Times New Roman"/>
          <w:sz w:val="24"/>
          <w:szCs w:val="24"/>
        </w:rPr>
        <w:t>Thus, c</w:t>
      </w:r>
      <w:r w:rsidRPr="00C0388B">
        <w:rPr>
          <w:rFonts w:cs="Times New Roman"/>
          <w:sz w:val="24"/>
          <w:szCs w:val="24"/>
        </w:rPr>
        <w:t xml:space="preserve">hanges in carbon losses appear to be largely a function of carbon gains. First, the greater losses in forests with shorter CRT conform to a ‘high-gain high-loss’ forest dynamics </w:t>
      </w:r>
      <w:r>
        <w:rPr>
          <w:rFonts w:cs="Times New Roman"/>
          <w:sz w:val="24"/>
          <w:szCs w:val="24"/>
        </w:rPr>
        <w:t>pat</w:t>
      </w:r>
      <w:r w:rsidRPr="00C0388B">
        <w:rPr>
          <w:rFonts w:cs="Times New Roman"/>
          <w:sz w:val="24"/>
          <w:szCs w:val="24"/>
        </w:rPr>
        <w:t>tern</w:t>
      </w:r>
      <w:r w:rsidRPr="00EB02F2">
        <w:rPr>
          <w:rFonts w:cs="Times New Roman"/>
          <w:noProof/>
          <w:sz w:val="24"/>
          <w:szCs w:val="24"/>
          <w:vertAlign w:val="superscript"/>
        </w:rPr>
        <w:t>26</w:t>
      </w:r>
      <w:r w:rsidRPr="00C0388B">
        <w:rPr>
          <w:rFonts w:cs="Times New Roman"/>
          <w:sz w:val="24"/>
          <w:szCs w:val="24"/>
        </w:rPr>
        <w:t xml:space="preserve">. Second, wetter plots have a longer growing season and so have higher gains and correspondingly higher losses, explaining the negative relationship with MCWD. </w:t>
      </w:r>
      <w:r>
        <w:rPr>
          <w:rFonts w:cs="Times New Roman"/>
          <w:sz w:val="24"/>
          <w:szCs w:val="24"/>
        </w:rPr>
        <w:t>Third</w:t>
      </w:r>
      <w:r w:rsidRPr="00C0388B">
        <w:rPr>
          <w:rFonts w:cs="Times New Roman"/>
          <w:sz w:val="24"/>
          <w:szCs w:val="24"/>
        </w:rPr>
        <w:t xml:space="preserve">, as </w:t>
      </w:r>
      <w:r>
        <w:rPr>
          <w:rFonts w:cs="Times New Roman"/>
          <w:sz w:val="24"/>
          <w:szCs w:val="24"/>
        </w:rPr>
        <w:t xml:space="preserve">increasing </w:t>
      </w:r>
      <w:r w:rsidRPr="00C0388B">
        <w:rPr>
          <w:rFonts w:cs="Times New Roman"/>
          <w:sz w:val="24"/>
          <w:szCs w:val="24"/>
        </w:rPr>
        <w:t>CO</w:t>
      </w:r>
      <w:r w:rsidRPr="00C0388B">
        <w:rPr>
          <w:rFonts w:cs="Times New Roman"/>
          <w:sz w:val="24"/>
          <w:szCs w:val="24"/>
          <w:vertAlign w:val="subscript"/>
        </w:rPr>
        <w:t>2</w:t>
      </w:r>
      <w:r w:rsidRPr="00C0388B">
        <w:rPr>
          <w:rFonts w:cs="Times New Roman"/>
          <w:sz w:val="24"/>
          <w:szCs w:val="24"/>
        </w:rPr>
        <w:t xml:space="preserve"> </w:t>
      </w:r>
      <w:r>
        <w:rPr>
          <w:rFonts w:cs="Times New Roman"/>
          <w:sz w:val="24"/>
          <w:szCs w:val="24"/>
        </w:rPr>
        <w:t xml:space="preserve">levels </w:t>
      </w:r>
      <w:r w:rsidRPr="00C0388B">
        <w:rPr>
          <w:rFonts w:cs="Times New Roman"/>
          <w:sz w:val="24"/>
          <w:szCs w:val="24"/>
        </w:rPr>
        <w:t>result in additional carbon gains, after some time these additional past gains leave the system resulting in greater carbon losses, explaining the positive relationship with CO</w:t>
      </w:r>
      <w:r w:rsidRPr="00C0388B">
        <w:rPr>
          <w:rFonts w:cs="Times New Roman"/>
          <w:sz w:val="24"/>
          <w:szCs w:val="24"/>
          <w:vertAlign w:val="subscript"/>
        </w:rPr>
        <w:t>2</w:t>
      </w:r>
      <w:r w:rsidRPr="00C0388B">
        <w:rPr>
          <w:rFonts w:cs="Times New Roman"/>
          <w:sz w:val="24"/>
          <w:szCs w:val="24"/>
        </w:rPr>
        <w:t xml:space="preserve">-change. </w:t>
      </w:r>
      <w:r>
        <w:rPr>
          <w:rFonts w:cs="Times New Roman"/>
          <w:sz w:val="24"/>
          <w:szCs w:val="24"/>
        </w:rPr>
        <w:t>Finally, i</w:t>
      </w:r>
      <w:r w:rsidRPr="00C0388B">
        <w:rPr>
          <w:rFonts w:cs="Times New Roman"/>
          <w:sz w:val="24"/>
          <w:szCs w:val="24"/>
        </w:rPr>
        <w:t xml:space="preserve">n addition to these relationships with carbon gains, the inclusion of MAT-change (p&lt;0.001) indicates heat- or </w:t>
      </w:r>
      <w:r>
        <w:rPr>
          <w:rFonts w:cs="Times New Roman"/>
          <w:sz w:val="24"/>
          <w:szCs w:val="24"/>
        </w:rPr>
        <w:t>vapour p</w:t>
      </w:r>
      <w:r w:rsidRPr="00C0388B">
        <w:rPr>
          <w:rFonts w:cs="Times New Roman"/>
          <w:sz w:val="24"/>
          <w:szCs w:val="24"/>
        </w:rPr>
        <w:t>ressure</w:t>
      </w:r>
      <w:r>
        <w:rPr>
          <w:rFonts w:cs="Times New Roman"/>
          <w:sz w:val="24"/>
          <w:szCs w:val="24"/>
        </w:rPr>
        <w:t xml:space="preserve"> d</w:t>
      </w:r>
      <w:r w:rsidRPr="00C0388B">
        <w:rPr>
          <w:rFonts w:cs="Times New Roman"/>
          <w:sz w:val="24"/>
          <w:szCs w:val="24"/>
        </w:rPr>
        <w:t>eficit-induced tree mortality</w:t>
      </w:r>
      <w:r w:rsidRPr="00EB02F2">
        <w:rPr>
          <w:rFonts w:cs="Times New Roman"/>
          <w:noProof/>
          <w:sz w:val="24"/>
          <w:szCs w:val="24"/>
          <w:vertAlign w:val="superscript"/>
        </w:rPr>
        <w:t>24</w:t>
      </w:r>
      <w:r w:rsidRPr="00C0388B">
        <w:rPr>
          <w:rFonts w:cs="Times New Roman"/>
          <w:sz w:val="24"/>
          <w:szCs w:val="24"/>
        </w:rPr>
        <w:t>. Overall, our results imply that chronic long-term environmental change factors, temperature and CO</w:t>
      </w:r>
      <w:r w:rsidRPr="00C0388B">
        <w:rPr>
          <w:rFonts w:cs="Times New Roman"/>
          <w:sz w:val="24"/>
          <w:szCs w:val="24"/>
          <w:vertAlign w:val="subscript"/>
        </w:rPr>
        <w:t>2</w:t>
      </w:r>
      <w:r w:rsidRPr="00C0388B">
        <w:rPr>
          <w:rFonts w:cs="Times New Roman"/>
          <w:sz w:val="24"/>
          <w:szCs w:val="24"/>
        </w:rPr>
        <w:t xml:space="preserve">, rather than simply </w:t>
      </w:r>
      <w:r w:rsidRPr="00C0388B">
        <w:rPr>
          <w:rFonts w:cs="Times New Roman"/>
          <w:sz w:val="24"/>
          <w:szCs w:val="24"/>
        </w:rPr>
        <w:lastRenderedPageBreak/>
        <w:t>the direct effects of drought, underlie longer-term trends in tropical forest tree mortality</w:t>
      </w:r>
      <w:r w:rsidRPr="00F95B98">
        <w:rPr>
          <w:rFonts w:cs="Times New Roman"/>
          <w:sz w:val="24"/>
          <w:szCs w:val="24"/>
        </w:rPr>
        <w:t>, although other changes such as rising liana infestation rates seen in Amazonia</w:t>
      </w:r>
      <w:r w:rsidRPr="00EB02F2">
        <w:rPr>
          <w:rFonts w:cs="Times New Roman"/>
          <w:noProof/>
          <w:sz w:val="24"/>
          <w:szCs w:val="24"/>
          <w:vertAlign w:val="superscript"/>
        </w:rPr>
        <w:t>36,37</w:t>
      </w:r>
      <w:r w:rsidRPr="00F95B98">
        <w:rPr>
          <w:rFonts w:cs="Times New Roman"/>
          <w:sz w:val="24"/>
          <w:szCs w:val="24"/>
        </w:rPr>
        <w:t xml:space="preserve"> cannot be excluded. </w:t>
      </w:r>
    </w:p>
    <w:p w:rsidR="00B43E3C" w:rsidRPr="00C0388B" w:rsidRDefault="00B43E3C" w:rsidP="00726F1B">
      <w:pPr>
        <w:rPr>
          <w:rFonts w:cs="Times New Roman"/>
          <w:sz w:val="24"/>
          <w:szCs w:val="24"/>
        </w:rPr>
      </w:pPr>
    </w:p>
    <w:p w:rsidR="00B43E3C" w:rsidRPr="00C0388B" w:rsidRDefault="00B43E3C" w:rsidP="00726F1B">
      <w:pPr>
        <w:rPr>
          <w:rFonts w:cs="Times New Roman"/>
          <w:sz w:val="24"/>
          <w:szCs w:val="24"/>
        </w:rPr>
      </w:pPr>
      <w:r w:rsidRPr="00C0388B">
        <w:rPr>
          <w:rFonts w:cs="Times New Roman"/>
          <w:sz w:val="24"/>
          <w:szCs w:val="24"/>
        </w:rPr>
        <w:t xml:space="preserve">The minimum adequate carbon loss model using our expanded explanatory variables replicates the continental trends (Figure 3). The </w:t>
      </w:r>
      <w:r>
        <w:rPr>
          <w:rFonts w:cs="Times New Roman"/>
          <w:sz w:val="24"/>
          <w:szCs w:val="24"/>
        </w:rPr>
        <w:t>overall lower</w:t>
      </w:r>
      <w:r w:rsidRPr="00C0388B">
        <w:rPr>
          <w:rFonts w:cs="Times New Roman"/>
          <w:sz w:val="24"/>
          <w:szCs w:val="24"/>
        </w:rPr>
        <w:t xml:space="preserve"> loss rates in </w:t>
      </w:r>
      <w:r>
        <w:rPr>
          <w:rFonts w:cs="Times New Roman"/>
          <w:sz w:val="24"/>
          <w:szCs w:val="24"/>
        </w:rPr>
        <w:t>Africa</w:t>
      </w:r>
      <w:r w:rsidRPr="00C0388B">
        <w:rPr>
          <w:rFonts w:cs="Times New Roman"/>
          <w:sz w:val="24"/>
          <w:szCs w:val="24"/>
        </w:rPr>
        <w:t xml:space="preserve"> reflect the</w:t>
      </w:r>
      <w:r>
        <w:rPr>
          <w:rFonts w:cs="Times New Roman"/>
          <w:sz w:val="24"/>
          <w:szCs w:val="24"/>
        </w:rPr>
        <w:t>ir</w:t>
      </w:r>
      <w:r w:rsidRPr="00C0388B">
        <w:rPr>
          <w:rFonts w:cs="Times New Roman"/>
          <w:sz w:val="24"/>
          <w:szCs w:val="24"/>
        </w:rPr>
        <w:t xml:space="preserve"> </w:t>
      </w:r>
      <w:r>
        <w:rPr>
          <w:rFonts w:cs="Times New Roman"/>
          <w:sz w:val="24"/>
          <w:szCs w:val="24"/>
        </w:rPr>
        <w:t>longer</w:t>
      </w:r>
      <w:r w:rsidRPr="00C0388B">
        <w:rPr>
          <w:rFonts w:cs="Times New Roman"/>
          <w:sz w:val="24"/>
          <w:szCs w:val="24"/>
        </w:rPr>
        <w:t xml:space="preserve"> CRT (69 yrs, 95% CI, 66-72), compared </w:t>
      </w:r>
      <w:r>
        <w:rPr>
          <w:rFonts w:cs="Times New Roman"/>
          <w:sz w:val="24"/>
          <w:szCs w:val="24"/>
        </w:rPr>
        <w:t>with</w:t>
      </w:r>
      <w:r w:rsidRPr="00C0388B">
        <w:rPr>
          <w:rFonts w:cs="Times New Roman"/>
          <w:sz w:val="24"/>
          <w:szCs w:val="24"/>
        </w:rPr>
        <w:t xml:space="preserve"> </w:t>
      </w:r>
      <w:r>
        <w:rPr>
          <w:rFonts w:cs="Times New Roman"/>
          <w:sz w:val="24"/>
          <w:szCs w:val="24"/>
        </w:rPr>
        <w:t>Amazonian</w:t>
      </w:r>
      <w:r w:rsidRPr="00C0388B">
        <w:rPr>
          <w:rFonts w:cs="Times New Roman"/>
          <w:sz w:val="24"/>
          <w:szCs w:val="24"/>
        </w:rPr>
        <w:t xml:space="preserve"> forests (56 yrs, 95% CI, 54-59) while </w:t>
      </w:r>
      <w:r>
        <w:rPr>
          <w:rFonts w:cs="Times New Roman"/>
          <w:sz w:val="24"/>
          <w:szCs w:val="24"/>
        </w:rPr>
        <w:t xml:space="preserve">over the 2000-2015 window </w:t>
      </w:r>
      <w:r w:rsidRPr="00C0388B">
        <w:rPr>
          <w:rFonts w:cs="Times New Roman"/>
          <w:sz w:val="24"/>
          <w:szCs w:val="24"/>
        </w:rPr>
        <w:t xml:space="preserve">the </w:t>
      </w:r>
      <w:r>
        <w:rPr>
          <w:rFonts w:cs="Times New Roman"/>
          <w:sz w:val="24"/>
          <w:szCs w:val="24"/>
        </w:rPr>
        <w:t xml:space="preserve">much smaller </w:t>
      </w:r>
      <w:r w:rsidRPr="00C0388B">
        <w:rPr>
          <w:rFonts w:cs="Times New Roman"/>
          <w:sz w:val="24"/>
          <w:szCs w:val="24"/>
        </w:rPr>
        <w:t xml:space="preserve">increase in loss rates in </w:t>
      </w:r>
      <w:r>
        <w:rPr>
          <w:rFonts w:cs="Times New Roman"/>
          <w:sz w:val="24"/>
          <w:szCs w:val="24"/>
        </w:rPr>
        <w:t xml:space="preserve">Africa compared to Amazonia </w:t>
      </w:r>
      <w:r w:rsidRPr="00C0388B">
        <w:rPr>
          <w:rFonts w:cs="Times New Roman"/>
          <w:sz w:val="24"/>
          <w:szCs w:val="24"/>
        </w:rPr>
        <w:t xml:space="preserve">results from </w:t>
      </w:r>
      <w:r>
        <w:rPr>
          <w:rFonts w:cs="Times New Roman"/>
          <w:sz w:val="24"/>
          <w:szCs w:val="24"/>
        </w:rPr>
        <w:t>a slower increase in warming and a stable</w:t>
      </w:r>
      <w:r w:rsidRPr="00C0388B">
        <w:rPr>
          <w:rFonts w:cs="Times New Roman"/>
          <w:sz w:val="24"/>
          <w:szCs w:val="24"/>
        </w:rPr>
        <w:t xml:space="preserve"> CRT</w:t>
      </w:r>
      <w:r>
        <w:rPr>
          <w:rFonts w:cs="Times New Roman"/>
          <w:sz w:val="24"/>
          <w:szCs w:val="24"/>
        </w:rPr>
        <w:t xml:space="preserve"> in Africa</w:t>
      </w:r>
      <w:r w:rsidRPr="00C0388B">
        <w:rPr>
          <w:rFonts w:cs="Times New Roman"/>
          <w:sz w:val="24"/>
          <w:szCs w:val="24"/>
        </w:rPr>
        <w:t xml:space="preserve"> </w:t>
      </w:r>
      <w:r>
        <w:rPr>
          <w:rFonts w:cs="Times New Roman"/>
          <w:sz w:val="24"/>
          <w:szCs w:val="24"/>
        </w:rPr>
        <w:t>compared to continued warming at previous rates and a shortening</w:t>
      </w:r>
      <w:r w:rsidRPr="00C0388B">
        <w:rPr>
          <w:rFonts w:cs="Times New Roman"/>
          <w:sz w:val="24"/>
          <w:szCs w:val="24"/>
        </w:rPr>
        <w:t xml:space="preserve"> </w:t>
      </w:r>
      <w:r>
        <w:rPr>
          <w:rFonts w:cs="Times New Roman"/>
          <w:sz w:val="24"/>
          <w:szCs w:val="24"/>
        </w:rPr>
        <w:t xml:space="preserve">CRT </w:t>
      </w:r>
      <w:r w:rsidRPr="00C0388B">
        <w:rPr>
          <w:rFonts w:cs="Times New Roman"/>
          <w:sz w:val="24"/>
          <w:szCs w:val="24"/>
        </w:rPr>
        <w:t xml:space="preserve">in </w:t>
      </w:r>
      <w:r>
        <w:rPr>
          <w:rFonts w:cs="Times New Roman"/>
          <w:sz w:val="24"/>
          <w:szCs w:val="24"/>
        </w:rPr>
        <w:t>Amazonian</w:t>
      </w:r>
      <w:r w:rsidRPr="00C0388B">
        <w:rPr>
          <w:rFonts w:cs="Times New Roman"/>
          <w:sz w:val="24"/>
          <w:szCs w:val="24"/>
        </w:rPr>
        <w:t xml:space="preserve"> forests (Extended Data Figure 5). Furthermore, given that losses appear to lag behind gains they should relate to </w:t>
      </w:r>
      <w:r>
        <w:rPr>
          <w:rFonts w:cs="Times New Roman"/>
          <w:sz w:val="24"/>
          <w:szCs w:val="24"/>
        </w:rPr>
        <w:t xml:space="preserve">the long-term </w:t>
      </w:r>
      <w:r w:rsidRPr="00C0388B">
        <w:rPr>
          <w:rFonts w:cs="Times New Roman"/>
          <w:sz w:val="24"/>
          <w:szCs w:val="24"/>
        </w:rPr>
        <w:t>CRT</w:t>
      </w:r>
      <w:r>
        <w:rPr>
          <w:rFonts w:cs="Times New Roman"/>
          <w:sz w:val="24"/>
          <w:szCs w:val="24"/>
        </w:rPr>
        <w:t xml:space="preserve"> of plots</w:t>
      </w:r>
      <w:r w:rsidRPr="00C0388B">
        <w:rPr>
          <w:rFonts w:cs="Times New Roman"/>
          <w:sz w:val="24"/>
          <w:szCs w:val="24"/>
        </w:rPr>
        <w:t xml:space="preserve">. This is what we find: the longer the CRT the smaller the increase in carbon losses, with no increase in losses for plots with CRT ≥77 years (Extended Data Figure 6). Consequently, due to the </w:t>
      </w:r>
      <w:r w:rsidRPr="00521A30">
        <w:rPr>
          <w:rFonts w:cs="Times New Roman"/>
          <w:sz w:val="24"/>
          <w:szCs w:val="24"/>
        </w:rPr>
        <w:t xml:space="preserve">typically </w:t>
      </w:r>
      <w:r w:rsidRPr="00C0388B">
        <w:rPr>
          <w:rFonts w:cs="Times New Roman"/>
          <w:sz w:val="24"/>
          <w:szCs w:val="24"/>
        </w:rPr>
        <w:t>longer residence times of African forests, increasing losses in Africa ought to appear 10-15 years after the increase in Amazon losses began (</w:t>
      </w:r>
      <w:r w:rsidRPr="00C0388B">
        <w:rPr>
          <w:rFonts w:cs="Times New Roman"/>
          <w:i/>
          <w:sz w:val="24"/>
          <w:szCs w:val="24"/>
        </w:rPr>
        <w:t>c.</w:t>
      </w:r>
      <w:r w:rsidRPr="00C0388B">
        <w:rPr>
          <w:rFonts w:cs="Times New Roman"/>
          <w:sz w:val="24"/>
          <w:szCs w:val="24"/>
        </w:rPr>
        <w:t>199</w:t>
      </w:r>
      <w:r>
        <w:rPr>
          <w:rFonts w:cs="Times New Roman"/>
          <w:sz w:val="24"/>
          <w:szCs w:val="24"/>
        </w:rPr>
        <w:t>5</w:t>
      </w:r>
      <w:r w:rsidRPr="00C0388B">
        <w:rPr>
          <w:rFonts w:cs="Times New Roman"/>
          <w:sz w:val="24"/>
          <w:szCs w:val="24"/>
        </w:rPr>
        <w:t xml:space="preserve">). Strikingly, in Africa the most </w:t>
      </w:r>
      <w:r>
        <w:rPr>
          <w:rFonts w:cs="Times New Roman"/>
          <w:sz w:val="24"/>
          <w:szCs w:val="24"/>
        </w:rPr>
        <w:t xml:space="preserve">intensely </w:t>
      </w:r>
      <w:r w:rsidRPr="00C0388B">
        <w:rPr>
          <w:rFonts w:cs="Times New Roman"/>
          <w:sz w:val="24"/>
          <w:szCs w:val="24"/>
        </w:rPr>
        <w:t xml:space="preserve">monitored plots suggest that losses began increasing from </w:t>
      </w:r>
      <w:r w:rsidRPr="00C0388B">
        <w:rPr>
          <w:rFonts w:cs="Times New Roman"/>
          <w:i/>
          <w:sz w:val="24"/>
          <w:szCs w:val="24"/>
        </w:rPr>
        <w:t>c.</w:t>
      </w:r>
      <w:r w:rsidRPr="00C0388B">
        <w:rPr>
          <w:rFonts w:cs="Times New Roman"/>
          <w:sz w:val="24"/>
          <w:szCs w:val="24"/>
        </w:rPr>
        <w:t>2010 (Extended Data Figure 7), and plots with shorter CRT are driving the increase (Extended Data Figure 8</w:t>
      </w:r>
      <w:r>
        <w:rPr>
          <w:rFonts w:cs="Times New Roman"/>
          <w:sz w:val="24"/>
          <w:szCs w:val="24"/>
        </w:rPr>
        <w:t xml:space="preserve">). Thus, a mortality-dominated African carbon sink decline appears to have begun very recently. </w:t>
      </w:r>
    </w:p>
    <w:p w:rsidR="00B43E3C" w:rsidRDefault="00B43E3C" w:rsidP="00726F1B">
      <w:pPr>
        <w:rPr>
          <w:rFonts w:cs="Times New Roman"/>
          <w:sz w:val="24"/>
          <w:szCs w:val="24"/>
        </w:rPr>
      </w:pPr>
    </w:p>
    <w:p w:rsidR="00B43E3C" w:rsidRPr="009D536F" w:rsidRDefault="00B43E3C" w:rsidP="00726F1B">
      <w:pPr>
        <w:pStyle w:val="Heading2"/>
      </w:pPr>
      <w:r w:rsidRPr="009D536F">
        <w:t>Future of the Tropical Forest Carbon Sink</w:t>
      </w:r>
    </w:p>
    <w:p w:rsidR="00B43E3C" w:rsidRPr="00C0388B" w:rsidRDefault="00B43E3C" w:rsidP="00726F1B">
      <w:pPr>
        <w:rPr>
          <w:rFonts w:cs="Times New Roman"/>
          <w:sz w:val="24"/>
          <w:szCs w:val="24"/>
        </w:rPr>
      </w:pPr>
      <w:r>
        <w:rPr>
          <w:rFonts w:cs="Times New Roman"/>
          <w:sz w:val="24"/>
          <w:szCs w:val="24"/>
        </w:rPr>
        <w:t>O</w:t>
      </w:r>
      <w:r w:rsidRPr="00C0388B">
        <w:rPr>
          <w:rFonts w:cs="Times New Roman"/>
          <w:sz w:val="24"/>
          <w:szCs w:val="24"/>
        </w:rPr>
        <w:t xml:space="preserve">ur carbon gain and loss models </w:t>
      </w:r>
      <w:r>
        <w:rPr>
          <w:rFonts w:cs="Times New Roman"/>
          <w:sz w:val="24"/>
          <w:szCs w:val="24"/>
        </w:rPr>
        <w:t xml:space="preserve">(Table 2) </w:t>
      </w:r>
      <w:r w:rsidRPr="00C0388B">
        <w:rPr>
          <w:rFonts w:cs="Times New Roman"/>
          <w:sz w:val="24"/>
          <w:szCs w:val="24"/>
        </w:rPr>
        <w:t>can</w:t>
      </w:r>
      <w:r w:rsidRPr="00521A30">
        <w:t xml:space="preserve"> </w:t>
      </w:r>
      <w:r w:rsidRPr="00521A30">
        <w:rPr>
          <w:rFonts w:cs="Times New Roman"/>
          <w:sz w:val="24"/>
          <w:szCs w:val="24"/>
        </w:rPr>
        <w:t>be used to</w:t>
      </w:r>
      <w:r w:rsidRPr="00C0388B">
        <w:rPr>
          <w:rFonts w:cs="Times New Roman"/>
          <w:sz w:val="24"/>
          <w:szCs w:val="24"/>
        </w:rPr>
        <w:t xml:space="preserve"> </w:t>
      </w:r>
      <w:r>
        <w:rPr>
          <w:rFonts w:cs="Times New Roman"/>
          <w:sz w:val="24"/>
          <w:szCs w:val="24"/>
        </w:rPr>
        <w:t xml:space="preserve">make a tentative </w:t>
      </w:r>
      <w:r w:rsidRPr="00C0388B">
        <w:rPr>
          <w:rFonts w:cs="Times New Roman"/>
          <w:sz w:val="24"/>
          <w:szCs w:val="24"/>
        </w:rPr>
        <w:t xml:space="preserve">estimate </w:t>
      </w:r>
      <w:r>
        <w:rPr>
          <w:rFonts w:cs="Times New Roman"/>
          <w:sz w:val="24"/>
          <w:szCs w:val="24"/>
        </w:rPr>
        <w:t xml:space="preserve">of </w:t>
      </w:r>
      <w:r w:rsidRPr="00C0388B">
        <w:rPr>
          <w:rFonts w:cs="Times New Roman"/>
          <w:sz w:val="24"/>
          <w:szCs w:val="24"/>
        </w:rPr>
        <w:t>the future size of the per unit area intact forest carbon sink</w:t>
      </w:r>
      <w:r>
        <w:rPr>
          <w:rFonts w:cs="Times New Roman"/>
          <w:sz w:val="24"/>
          <w:szCs w:val="24"/>
        </w:rPr>
        <w:t xml:space="preserve"> (Figure 3)</w:t>
      </w:r>
      <w:r w:rsidRPr="00C0388B">
        <w:rPr>
          <w:rFonts w:cs="Times New Roman"/>
          <w:sz w:val="24"/>
          <w:szCs w:val="24"/>
        </w:rPr>
        <w:t>. Extrapolations of the changes in the predictor variables from 1983-2015 forward to 2040 (Extended Data Figure 5) show declines in the sink on both continents</w:t>
      </w:r>
      <w:r>
        <w:rPr>
          <w:rFonts w:cs="Times New Roman"/>
          <w:sz w:val="24"/>
          <w:szCs w:val="24"/>
        </w:rPr>
        <w:t xml:space="preserve"> (Figure 3)</w:t>
      </w:r>
      <w:r w:rsidRPr="00C0388B">
        <w:rPr>
          <w:rFonts w:cs="Times New Roman"/>
          <w:sz w:val="24"/>
          <w:szCs w:val="24"/>
        </w:rPr>
        <w:t xml:space="preserve">. By 2030 the carbon sink in aboveground live biomass in intact African tropical forest is predicted to decline </w:t>
      </w:r>
      <w:r>
        <w:rPr>
          <w:rFonts w:cs="Times New Roman"/>
          <w:sz w:val="24"/>
          <w:szCs w:val="24"/>
        </w:rPr>
        <w:t>by 14% from the measured 2010-15 mean</w:t>
      </w:r>
      <w:r w:rsidRPr="00C0388B">
        <w:rPr>
          <w:rFonts w:cs="Times New Roman"/>
          <w:sz w:val="24"/>
          <w:szCs w:val="24"/>
        </w:rPr>
        <w:t>, to</w:t>
      </w:r>
      <w:r>
        <w:rPr>
          <w:rFonts w:cs="Times New Roman"/>
          <w:sz w:val="24"/>
          <w:szCs w:val="24"/>
        </w:rPr>
        <w:t xml:space="preserve"> 0.57 </w:t>
      </w:r>
      <w:r w:rsidRPr="00C0388B">
        <w:rPr>
          <w:rFonts w:cs="Times New Roman"/>
          <w:sz w:val="24"/>
          <w:szCs w:val="24"/>
        </w:rPr>
        <w:t>Mg C ha</w:t>
      </w:r>
      <w:r w:rsidRPr="00C0388B">
        <w:rPr>
          <w:rFonts w:cs="Times New Roman"/>
          <w:sz w:val="24"/>
          <w:szCs w:val="24"/>
          <w:vertAlign w:val="superscript"/>
        </w:rPr>
        <w:t>-1</w:t>
      </w:r>
      <w:r w:rsidRPr="00C0388B">
        <w:rPr>
          <w:rFonts w:cs="Times New Roman"/>
          <w:sz w:val="24"/>
          <w:szCs w:val="24"/>
        </w:rPr>
        <w:t xml:space="preserve"> yr</w:t>
      </w:r>
      <w:r w:rsidRPr="00C0388B">
        <w:rPr>
          <w:rFonts w:cs="Times New Roman"/>
          <w:sz w:val="24"/>
          <w:szCs w:val="24"/>
          <w:vertAlign w:val="superscript"/>
        </w:rPr>
        <w:t>-1</w:t>
      </w:r>
      <w:r w:rsidRPr="00C0388B">
        <w:rPr>
          <w:rFonts w:cs="Times New Roman"/>
          <w:sz w:val="24"/>
          <w:szCs w:val="24"/>
        </w:rPr>
        <w:t xml:space="preserve"> (</w:t>
      </w:r>
      <w:r>
        <w:rPr>
          <w:rFonts w:cs="Times New Roman"/>
          <w:sz w:val="24"/>
          <w:szCs w:val="24"/>
        </w:rPr>
        <w:t>2</w:t>
      </w:r>
      <w:r w:rsidRPr="00C0388B">
        <w:rPr>
          <w:rFonts w:cs="Times New Roman"/>
          <w:sz w:val="24"/>
          <w:szCs w:val="24"/>
        </w:rPr>
        <w:t>σ range,</w:t>
      </w:r>
      <w:r>
        <w:rPr>
          <w:rFonts w:cs="Times New Roman"/>
          <w:sz w:val="24"/>
          <w:szCs w:val="24"/>
        </w:rPr>
        <w:t xml:space="preserve"> 0.16-0.96; Figure 3</w:t>
      </w:r>
      <w:r w:rsidRPr="00C0388B">
        <w:rPr>
          <w:rFonts w:cs="Times New Roman"/>
          <w:sz w:val="24"/>
          <w:szCs w:val="24"/>
        </w:rPr>
        <w:t xml:space="preserve">). The Amazon sink </w:t>
      </w:r>
      <w:r>
        <w:rPr>
          <w:rFonts w:cs="Times New Roman"/>
          <w:sz w:val="24"/>
          <w:szCs w:val="24"/>
        </w:rPr>
        <w:t xml:space="preserve">continues to decline, </w:t>
      </w:r>
      <w:r w:rsidRPr="00C0388B">
        <w:rPr>
          <w:rFonts w:cs="Times New Roman"/>
          <w:sz w:val="24"/>
          <w:szCs w:val="24"/>
        </w:rPr>
        <w:t>reach</w:t>
      </w:r>
      <w:r>
        <w:rPr>
          <w:rFonts w:cs="Times New Roman"/>
          <w:sz w:val="24"/>
          <w:szCs w:val="24"/>
        </w:rPr>
        <w:t>ing</w:t>
      </w:r>
      <w:r w:rsidRPr="00C0388B">
        <w:rPr>
          <w:rFonts w:cs="Times New Roman"/>
          <w:sz w:val="24"/>
          <w:szCs w:val="24"/>
        </w:rPr>
        <w:t xml:space="preserve"> zero in </w:t>
      </w:r>
      <w:r>
        <w:rPr>
          <w:rFonts w:cs="Times New Roman"/>
          <w:sz w:val="24"/>
          <w:szCs w:val="24"/>
        </w:rPr>
        <w:t>2035</w:t>
      </w:r>
      <w:r w:rsidRPr="00C0388B">
        <w:rPr>
          <w:rFonts w:cs="Times New Roman"/>
          <w:sz w:val="24"/>
          <w:szCs w:val="24"/>
        </w:rPr>
        <w:t xml:space="preserve"> (</w:t>
      </w:r>
      <w:r>
        <w:rPr>
          <w:rFonts w:cs="Times New Roman"/>
          <w:sz w:val="24"/>
          <w:szCs w:val="24"/>
        </w:rPr>
        <w:t>2</w:t>
      </w:r>
      <w:r w:rsidRPr="00C0388B">
        <w:rPr>
          <w:rFonts w:cs="Times New Roman"/>
          <w:sz w:val="24"/>
          <w:szCs w:val="24"/>
        </w:rPr>
        <w:t xml:space="preserve">σ </w:t>
      </w:r>
      <w:r w:rsidRPr="00C0388B">
        <w:rPr>
          <w:rFonts w:cs="Times New Roman"/>
          <w:sz w:val="24"/>
          <w:szCs w:val="24"/>
        </w:rPr>
        <w:lastRenderedPageBreak/>
        <w:t xml:space="preserve">range, </w:t>
      </w:r>
      <w:r>
        <w:rPr>
          <w:rFonts w:cs="Times New Roman"/>
          <w:sz w:val="24"/>
          <w:szCs w:val="24"/>
        </w:rPr>
        <w:t>2011-2089</w:t>
      </w:r>
      <w:r w:rsidRPr="00C0388B">
        <w:rPr>
          <w:rFonts w:cs="Times New Roman"/>
          <w:sz w:val="24"/>
          <w:szCs w:val="24"/>
        </w:rPr>
        <w:t xml:space="preserve">; Figure 3). </w:t>
      </w:r>
      <w:r>
        <w:rPr>
          <w:rFonts w:cs="Times New Roman"/>
          <w:sz w:val="24"/>
          <w:szCs w:val="24"/>
        </w:rPr>
        <w:t>Our estimated sink strength on both continents in the 2020s and 2030s is sensitive to future CO</w:t>
      </w:r>
      <w:r w:rsidRPr="00E71881">
        <w:rPr>
          <w:rFonts w:cs="Times New Roman"/>
          <w:sz w:val="24"/>
          <w:szCs w:val="24"/>
          <w:vertAlign w:val="subscript"/>
        </w:rPr>
        <w:t>2</w:t>
      </w:r>
      <w:r>
        <w:rPr>
          <w:rFonts w:cs="Times New Roman"/>
          <w:sz w:val="24"/>
          <w:szCs w:val="24"/>
        </w:rPr>
        <w:t xml:space="preserve"> emissions pathways (CO</w:t>
      </w:r>
      <w:r w:rsidRPr="00951B97">
        <w:rPr>
          <w:rFonts w:cs="Times New Roman"/>
          <w:sz w:val="24"/>
          <w:szCs w:val="24"/>
          <w:vertAlign w:val="subscript"/>
        </w:rPr>
        <w:t>2</w:t>
      </w:r>
      <w:r>
        <w:rPr>
          <w:rFonts w:cs="Times New Roman"/>
          <w:sz w:val="24"/>
          <w:szCs w:val="24"/>
        </w:rPr>
        <w:t>-change)</w:t>
      </w:r>
      <w:r w:rsidRPr="00EB02F2">
        <w:rPr>
          <w:rFonts w:cs="Times New Roman"/>
          <w:noProof/>
          <w:sz w:val="24"/>
          <w:szCs w:val="24"/>
          <w:vertAlign w:val="superscript"/>
        </w:rPr>
        <w:t>38</w:t>
      </w:r>
      <w:r>
        <w:rPr>
          <w:rFonts w:cs="Times New Roman"/>
          <w:sz w:val="24"/>
          <w:szCs w:val="24"/>
        </w:rPr>
        <w:t xml:space="preserve">, resulting temperature increase (MAT, MAT-change) and hydrological changes (MCWD), plus changes in forest dynamics (CRT), but the sink is always lower than levels seen in the 2000s (see Methods and Supplementary Table 5). </w:t>
      </w:r>
      <w:r w:rsidRPr="00C0388B">
        <w:rPr>
          <w:rFonts w:cs="Times New Roman"/>
          <w:sz w:val="24"/>
          <w:szCs w:val="24"/>
        </w:rPr>
        <w:t xml:space="preserve">Thus, the carbon sink strength of the world’s two most extensive tropical forests have now saturated, albeit asynchronously. </w:t>
      </w:r>
    </w:p>
    <w:p w:rsidR="00B43E3C" w:rsidRDefault="00B43E3C" w:rsidP="00726F1B">
      <w:pPr>
        <w:rPr>
          <w:rFonts w:cs="Times New Roman"/>
          <w:sz w:val="24"/>
          <w:szCs w:val="24"/>
        </w:rPr>
      </w:pPr>
    </w:p>
    <w:p w:rsidR="00B43E3C" w:rsidRPr="00C22DFF" w:rsidRDefault="00B43E3C" w:rsidP="00726F1B">
      <w:pPr>
        <w:pStyle w:val="Heading2"/>
      </w:pPr>
      <w:r w:rsidRPr="00C22DFF">
        <w:t>Scaling Results to the Pan-tropics</w:t>
      </w:r>
    </w:p>
    <w:p w:rsidR="00B43E3C" w:rsidRPr="00C0388B" w:rsidRDefault="00B43E3C" w:rsidP="00726F1B">
      <w:pPr>
        <w:rPr>
          <w:rFonts w:cs="Times New Roman"/>
          <w:sz w:val="24"/>
          <w:szCs w:val="24"/>
        </w:rPr>
      </w:pPr>
      <w:r>
        <w:rPr>
          <w:rFonts w:cs="Times New Roman"/>
          <w:sz w:val="24"/>
          <w:szCs w:val="24"/>
        </w:rPr>
        <w:t>Scaling our estimated mean sink strength by forest area for each continent</w:t>
      </w:r>
      <w:r w:rsidRPr="00C0388B">
        <w:rPr>
          <w:rFonts w:cs="Times New Roman"/>
          <w:sz w:val="24"/>
          <w:szCs w:val="24"/>
        </w:rPr>
        <w:t xml:space="preserve"> signif</w:t>
      </w:r>
      <w:r>
        <w:rPr>
          <w:rFonts w:cs="Times New Roman"/>
          <w:sz w:val="24"/>
          <w:szCs w:val="24"/>
        </w:rPr>
        <w:t>ies</w:t>
      </w:r>
      <w:r w:rsidRPr="00C0388B">
        <w:rPr>
          <w:rFonts w:cs="Times New Roman"/>
          <w:sz w:val="24"/>
          <w:szCs w:val="24"/>
        </w:rPr>
        <w:t xml:space="preserve"> that Earth recently passed the point of peak carbon sequestration into intact tropical forests (Table 1). The continental sink in Amazonia peaked in the 1990s</w:t>
      </w:r>
      <w:r>
        <w:rPr>
          <w:rFonts w:cs="Times New Roman"/>
          <w:sz w:val="24"/>
          <w:szCs w:val="24"/>
        </w:rPr>
        <w:t>, followed by a decline</w:t>
      </w:r>
      <w:r w:rsidRPr="00C0388B">
        <w:rPr>
          <w:rFonts w:cs="Times New Roman"/>
          <w:sz w:val="24"/>
          <w:szCs w:val="24"/>
        </w:rPr>
        <w:t xml:space="preserve">, driven by sink strength </w:t>
      </w:r>
      <w:r>
        <w:rPr>
          <w:rFonts w:cs="Times New Roman"/>
          <w:sz w:val="24"/>
          <w:szCs w:val="24"/>
        </w:rPr>
        <w:t xml:space="preserve">peaking in the 1990s </w:t>
      </w:r>
      <w:r w:rsidRPr="00C0388B">
        <w:rPr>
          <w:rFonts w:cs="Times New Roman"/>
          <w:sz w:val="24"/>
          <w:szCs w:val="24"/>
        </w:rPr>
        <w:t xml:space="preserve">and </w:t>
      </w:r>
      <w:r>
        <w:rPr>
          <w:rFonts w:cs="Times New Roman"/>
          <w:sz w:val="24"/>
          <w:szCs w:val="24"/>
        </w:rPr>
        <w:t xml:space="preserve">a continued decline in </w:t>
      </w:r>
      <w:r w:rsidRPr="00C0388B">
        <w:rPr>
          <w:rFonts w:cs="Times New Roman"/>
          <w:sz w:val="24"/>
          <w:szCs w:val="24"/>
        </w:rPr>
        <w:t xml:space="preserve">forest area (Table 1). </w:t>
      </w:r>
      <w:r>
        <w:rPr>
          <w:rFonts w:cs="Times New Roman"/>
          <w:sz w:val="24"/>
          <w:szCs w:val="24"/>
        </w:rPr>
        <w:t>In Africa the per unit area sink strength peaked later in the 2000-2010 period, but the continental</w:t>
      </w:r>
      <w:r w:rsidRPr="00C0388B">
        <w:rPr>
          <w:rFonts w:cs="Times New Roman"/>
          <w:sz w:val="24"/>
          <w:szCs w:val="24"/>
        </w:rPr>
        <w:t xml:space="preserve"> </w:t>
      </w:r>
      <w:r>
        <w:rPr>
          <w:rFonts w:cs="Times New Roman"/>
          <w:sz w:val="24"/>
          <w:szCs w:val="24"/>
        </w:rPr>
        <w:t xml:space="preserve">African </w:t>
      </w:r>
      <w:r w:rsidRPr="00C0388B">
        <w:rPr>
          <w:rFonts w:cs="Times New Roman"/>
          <w:sz w:val="24"/>
          <w:szCs w:val="24"/>
        </w:rPr>
        <w:t xml:space="preserve">sink peaked in the </w:t>
      </w:r>
      <w:r>
        <w:rPr>
          <w:rFonts w:cs="Times New Roman"/>
          <w:sz w:val="24"/>
          <w:szCs w:val="24"/>
        </w:rPr>
        <w:t xml:space="preserve">1990s, due to the decline in forest area in the 2000s outpacing the small per unit area increase in sink strength. </w:t>
      </w:r>
      <w:r w:rsidRPr="00C0388B" w:rsidDel="001D3592">
        <w:rPr>
          <w:rFonts w:cs="Times New Roman"/>
          <w:sz w:val="24"/>
          <w:szCs w:val="24"/>
        </w:rPr>
        <w:t xml:space="preserve">Including the modest uptake in the much smaller area of </w:t>
      </w:r>
      <w:r>
        <w:rPr>
          <w:rFonts w:cs="Times New Roman"/>
          <w:sz w:val="24"/>
          <w:szCs w:val="24"/>
        </w:rPr>
        <w:t xml:space="preserve">intact </w:t>
      </w:r>
      <w:r w:rsidRPr="00C0388B" w:rsidDel="001D3592">
        <w:rPr>
          <w:rFonts w:cs="Times New Roman"/>
          <w:sz w:val="24"/>
          <w:szCs w:val="24"/>
        </w:rPr>
        <w:t>Asian tropical forest indicates that total pan-tropical carbon uptake peaked in the 1990s (Table 1).</w:t>
      </w:r>
      <w:r>
        <w:rPr>
          <w:rFonts w:cs="Times New Roman"/>
          <w:sz w:val="24"/>
          <w:szCs w:val="24"/>
        </w:rPr>
        <w:t xml:space="preserve"> From peak pan-tropical intact forest uptake of 1.26 Pg C yr</w:t>
      </w:r>
      <w:r w:rsidRPr="0002549A">
        <w:rPr>
          <w:rFonts w:cs="Times New Roman"/>
          <w:sz w:val="24"/>
          <w:szCs w:val="24"/>
          <w:vertAlign w:val="superscript"/>
        </w:rPr>
        <w:t>-1</w:t>
      </w:r>
      <w:r>
        <w:rPr>
          <w:rFonts w:cs="Times New Roman"/>
          <w:sz w:val="24"/>
          <w:szCs w:val="24"/>
        </w:rPr>
        <w:t xml:space="preserve"> in the 1990s, we project a continued decline reaching just 0.29 Pg C yr</w:t>
      </w:r>
      <w:r w:rsidRPr="0002549A">
        <w:rPr>
          <w:rFonts w:cs="Times New Roman"/>
          <w:sz w:val="24"/>
          <w:szCs w:val="24"/>
          <w:vertAlign w:val="superscript"/>
        </w:rPr>
        <w:t>-1</w:t>
      </w:r>
      <w:r>
        <w:rPr>
          <w:rFonts w:cs="Times New Roman"/>
          <w:sz w:val="24"/>
          <w:szCs w:val="24"/>
        </w:rPr>
        <w:t xml:space="preserve"> in the 2030s (multi-decade decline of </w:t>
      </w:r>
      <w:r w:rsidRPr="00367BC3">
        <w:rPr>
          <w:rFonts w:cs="Times New Roman"/>
          <w:sz w:val="24"/>
          <w:szCs w:val="24"/>
        </w:rPr>
        <w:t>~0.24 Pg C yr</w:t>
      </w:r>
      <w:r w:rsidRPr="00367BC3">
        <w:rPr>
          <w:rFonts w:cs="Times New Roman"/>
          <w:sz w:val="24"/>
          <w:szCs w:val="24"/>
          <w:vertAlign w:val="superscript"/>
        </w:rPr>
        <w:t>-1</w:t>
      </w:r>
      <w:r w:rsidRPr="00367BC3">
        <w:rPr>
          <w:rFonts w:cs="Times New Roman"/>
          <w:sz w:val="24"/>
          <w:szCs w:val="24"/>
        </w:rPr>
        <w:t xml:space="preserve"> decade</w:t>
      </w:r>
      <w:r w:rsidRPr="00367BC3">
        <w:rPr>
          <w:rFonts w:cs="Times New Roman"/>
          <w:sz w:val="24"/>
          <w:szCs w:val="24"/>
          <w:vertAlign w:val="superscript"/>
        </w:rPr>
        <w:t>-1</w:t>
      </w:r>
      <w:r>
        <w:rPr>
          <w:rFonts w:cs="Times New Roman"/>
          <w:sz w:val="24"/>
          <w:szCs w:val="24"/>
        </w:rPr>
        <w:t>), driven by (i) reduced mean pan-tropical sink strength decline of 0.1 Mg C ha</w:t>
      </w:r>
      <w:r w:rsidRPr="0002549A">
        <w:rPr>
          <w:rFonts w:cs="Times New Roman"/>
          <w:sz w:val="24"/>
          <w:szCs w:val="24"/>
          <w:vertAlign w:val="superscript"/>
        </w:rPr>
        <w:t>-1</w:t>
      </w:r>
      <w:r>
        <w:rPr>
          <w:rFonts w:cs="Times New Roman"/>
          <w:sz w:val="24"/>
          <w:szCs w:val="24"/>
        </w:rPr>
        <w:t xml:space="preserve"> yr</w:t>
      </w:r>
      <w:r w:rsidRPr="0002549A">
        <w:rPr>
          <w:rFonts w:cs="Times New Roman"/>
          <w:sz w:val="24"/>
          <w:szCs w:val="24"/>
          <w:vertAlign w:val="superscript"/>
        </w:rPr>
        <w:t>-1</w:t>
      </w:r>
      <w:r>
        <w:rPr>
          <w:rFonts w:cs="Times New Roman"/>
          <w:sz w:val="24"/>
          <w:szCs w:val="24"/>
        </w:rPr>
        <w:t xml:space="preserve"> decade</w:t>
      </w:r>
      <w:r w:rsidRPr="0002549A">
        <w:rPr>
          <w:rFonts w:cs="Times New Roman"/>
          <w:sz w:val="24"/>
          <w:szCs w:val="24"/>
          <w:vertAlign w:val="superscript"/>
        </w:rPr>
        <w:t>-1</w:t>
      </w:r>
      <w:r>
        <w:rPr>
          <w:rFonts w:cs="Times New Roman"/>
          <w:sz w:val="24"/>
          <w:szCs w:val="24"/>
        </w:rPr>
        <w:t xml:space="preserve"> and (ii) ongoing forest area losses of ~13.5 million ha yr</w:t>
      </w:r>
      <w:r w:rsidRPr="00592293">
        <w:rPr>
          <w:rFonts w:cs="Times New Roman"/>
          <w:sz w:val="24"/>
          <w:szCs w:val="24"/>
          <w:vertAlign w:val="superscript"/>
        </w:rPr>
        <w:t>-1</w:t>
      </w:r>
      <w:r>
        <w:rPr>
          <w:rFonts w:cs="Times New Roman"/>
          <w:sz w:val="24"/>
          <w:szCs w:val="24"/>
        </w:rPr>
        <w:t xml:space="preserve"> (see Extended Data Table 2 for forest area details). Critically, </w:t>
      </w:r>
      <w:r w:rsidRPr="00C0388B">
        <w:rPr>
          <w:rFonts w:cs="Times New Roman"/>
          <w:sz w:val="24"/>
          <w:szCs w:val="24"/>
        </w:rPr>
        <w:t xml:space="preserve">climate-driven vegetation model </w:t>
      </w:r>
      <w:r>
        <w:rPr>
          <w:rFonts w:cs="Times New Roman"/>
          <w:sz w:val="24"/>
          <w:szCs w:val="24"/>
        </w:rPr>
        <w:t>simulations have not predicted</w:t>
      </w:r>
      <w:r w:rsidRPr="00C0388B">
        <w:rPr>
          <w:rFonts w:cs="Times New Roman"/>
          <w:sz w:val="24"/>
          <w:szCs w:val="24"/>
        </w:rPr>
        <w:t xml:space="preserve"> that peak net carbon uptake into intact tropical forests has already been passed</w:t>
      </w:r>
      <w:r w:rsidRPr="00D172EE">
        <w:rPr>
          <w:rFonts w:cs="Times New Roman"/>
          <w:noProof/>
          <w:sz w:val="24"/>
          <w:szCs w:val="24"/>
          <w:vertAlign w:val="superscript"/>
        </w:rPr>
        <w:t>2,4,5</w:t>
      </w:r>
      <w:r>
        <w:rPr>
          <w:rFonts w:cs="Times New Roman"/>
          <w:sz w:val="24"/>
          <w:szCs w:val="24"/>
        </w:rPr>
        <w:t>.</w:t>
      </w:r>
    </w:p>
    <w:p w:rsidR="00B43E3C" w:rsidRDefault="00B43E3C" w:rsidP="00726F1B">
      <w:pPr>
        <w:rPr>
          <w:rFonts w:cs="Times New Roman"/>
          <w:sz w:val="24"/>
          <w:szCs w:val="24"/>
        </w:rPr>
      </w:pPr>
    </w:p>
    <w:p w:rsidR="00B43E3C" w:rsidRPr="007B6DF5" w:rsidRDefault="00B43E3C" w:rsidP="00726F1B">
      <w:pPr>
        <w:pStyle w:val="Heading2"/>
      </w:pPr>
      <w:r w:rsidRPr="007B6DF5">
        <w:lastRenderedPageBreak/>
        <w:t>Discussion</w:t>
      </w:r>
    </w:p>
    <w:p w:rsidR="00B43E3C" w:rsidRDefault="00B43E3C" w:rsidP="00726F1B">
      <w:pPr>
        <w:rPr>
          <w:rFonts w:cs="Times New Roman"/>
          <w:sz w:val="24"/>
          <w:szCs w:val="24"/>
        </w:rPr>
      </w:pPr>
      <w:r>
        <w:rPr>
          <w:rFonts w:cs="Times New Roman"/>
          <w:sz w:val="24"/>
          <w:szCs w:val="24"/>
        </w:rPr>
        <w:t>Our method of scaling to arrive at a pan-tropical sink estimate – in common with other studies using similar datasets</w:t>
      </w:r>
      <w:r w:rsidRPr="005A2EB8">
        <w:rPr>
          <w:rFonts w:cs="Times New Roman"/>
          <w:noProof/>
          <w:sz w:val="24"/>
          <w:szCs w:val="24"/>
          <w:vertAlign w:val="superscript"/>
        </w:rPr>
        <w:t>1,6,13</w:t>
      </w:r>
      <w:r>
        <w:rPr>
          <w:rFonts w:cs="Times New Roman"/>
          <w:sz w:val="24"/>
          <w:szCs w:val="24"/>
        </w:rPr>
        <w:t xml:space="preserve"> – is limited. Yet, pervasive net carbon uptake is expected given that we find a strong and ongoing CO</w:t>
      </w:r>
      <w:r w:rsidRPr="00485E65">
        <w:rPr>
          <w:rFonts w:cs="Times New Roman"/>
          <w:sz w:val="24"/>
          <w:szCs w:val="24"/>
          <w:vertAlign w:val="subscript"/>
        </w:rPr>
        <w:t>2</w:t>
      </w:r>
      <w:r>
        <w:rPr>
          <w:rFonts w:cs="Times New Roman"/>
          <w:sz w:val="24"/>
          <w:szCs w:val="24"/>
        </w:rPr>
        <w:t xml:space="preserve"> fertilisation effect. Using our CO</w:t>
      </w:r>
      <w:r w:rsidRPr="0021478A">
        <w:rPr>
          <w:rFonts w:cs="Times New Roman"/>
          <w:sz w:val="24"/>
          <w:szCs w:val="24"/>
          <w:vertAlign w:val="subscript"/>
        </w:rPr>
        <w:t>2</w:t>
      </w:r>
      <w:r>
        <w:rPr>
          <w:rFonts w:cs="Times New Roman"/>
          <w:sz w:val="24"/>
          <w:szCs w:val="24"/>
        </w:rPr>
        <w:t xml:space="preserve"> response in Table 2, we find an increase in aboveground carbon stocks of 10.8±3.7 Mg C ha</w:t>
      </w:r>
      <w:r w:rsidRPr="0021478A">
        <w:rPr>
          <w:rFonts w:cs="Times New Roman"/>
          <w:sz w:val="24"/>
          <w:szCs w:val="24"/>
          <w:vertAlign w:val="superscript"/>
        </w:rPr>
        <w:t>-1</w:t>
      </w:r>
      <w:r>
        <w:rPr>
          <w:rFonts w:cs="Times New Roman"/>
          <w:sz w:val="24"/>
          <w:szCs w:val="24"/>
        </w:rPr>
        <w:t xml:space="preserve"> 100 ppm</w:t>
      </w:r>
      <w:r w:rsidRPr="00C50090">
        <w:rPr>
          <w:rFonts w:cs="Times New Roman"/>
          <w:sz w:val="24"/>
          <w:szCs w:val="24"/>
          <w:vertAlign w:val="superscript"/>
        </w:rPr>
        <w:t>-1</w:t>
      </w:r>
      <w:r>
        <w:rPr>
          <w:rFonts w:cs="Times New Roman"/>
          <w:sz w:val="24"/>
          <w:szCs w:val="24"/>
        </w:rPr>
        <w:t xml:space="preserve"> CO</w:t>
      </w:r>
      <w:r w:rsidRPr="0021478A">
        <w:rPr>
          <w:rFonts w:cs="Times New Roman"/>
          <w:sz w:val="24"/>
          <w:szCs w:val="24"/>
          <w:vertAlign w:val="subscript"/>
        </w:rPr>
        <w:t>2</w:t>
      </w:r>
      <w:r>
        <w:rPr>
          <w:rFonts w:cs="Times New Roman"/>
          <w:sz w:val="24"/>
          <w:szCs w:val="24"/>
        </w:rPr>
        <w:t>, or 6.5±2.2% (±SE; using an area-weighted pan-tropical mean aboveground C stock of 165 Mg C ha</w:t>
      </w:r>
      <w:r w:rsidRPr="007314A8">
        <w:rPr>
          <w:rFonts w:cs="Times New Roman"/>
          <w:sz w:val="24"/>
          <w:szCs w:val="24"/>
          <w:vertAlign w:val="superscript"/>
        </w:rPr>
        <w:t>-1</w:t>
      </w:r>
      <w:r>
        <w:rPr>
          <w:rFonts w:cs="Times New Roman"/>
          <w:sz w:val="24"/>
          <w:szCs w:val="24"/>
        </w:rPr>
        <w:t>), comparable to the 5.0±1.2% increase in tropical forest C stocks 100 ppm</w:t>
      </w:r>
      <w:r w:rsidRPr="00C50090">
        <w:rPr>
          <w:rFonts w:cs="Times New Roman"/>
          <w:sz w:val="24"/>
          <w:szCs w:val="24"/>
          <w:vertAlign w:val="superscript"/>
        </w:rPr>
        <w:t>-1</w:t>
      </w:r>
      <w:r>
        <w:rPr>
          <w:rFonts w:cs="Times New Roman"/>
          <w:sz w:val="24"/>
          <w:szCs w:val="24"/>
        </w:rPr>
        <w:t xml:space="preserve"> CO</w:t>
      </w:r>
      <w:r w:rsidRPr="0021478A">
        <w:rPr>
          <w:rFonts w:cs="Times New Roman"/>
          <w:sz w:val="24"/>
          <w:szCs w:val="24"/>
          <w:vertAlign w:val="subscript"/>
        </w:rPr>
        <w:t>2</w:t>
      </w:r>
      <w:r>
        <w:rPr>
          <w:rFonts w:cs="Times New Roman"/>
          <w:sz w:val="24"/>
          <w:szCs w:val="24"/>
        </w:rPr>
        <w:t xml:space="preserve"> derived from a recent synthesis of CO</w:t>
      </w:r>
      <w:r w:rsidRPr="00485E65">
        <w:rPr>
          <w:rFonts w:cs="Times New Roman"/>
          <w:sz w:val="24"/>
          <w:szCs w:val="24"/>
          <w:vertAlign w:val="subscript"/>
        </w:rPr>
        <w:t>2</w:t>
      </w:r>
      <w:r>
        <w:rPr>
          <w:rFonts w:cs="Times New Roman"/>
          <w:sz w:val="24"/>
          <w:szCs w:val="24"/>
        </w:rPr>
        <w:t xml:space="preserve"> fertilisation experiments, despite a lack of data from mature tropical forests</w:t>
      </w:r>
      <w:r w:rsidRPr="00EB02F2">
        <w:rPr>
          <w:rFonts w:cs="Times New Roman"/>
          <w:noProof/>
          <w:sz w:val="24"/>
          <w:szCs w:val="24"/>
          <w:vertAlign w:val="superscript"/>
        </w:rPr>
        <w:t>39</w:t>
      </w:r>
      <w:r>
        <w:rPr>
          <w:rFonts w:cs="Times New Roman"/>
          <w:sz w:val="24"/>
          <w:szCs w:val="24"/>
        </w:rPr>
        <w:t>. Our result is within the range of climate-driven vegetation models</w:t>
      </w:r>
      <w:r w:rsidRPr="00D172EE">
        <w:rPr>
          <w:rFonts w:cs="Times New Roman"/>
          <w:noProof/>
          <w:sz w:val="24"/>
          <w:szCs w:val="24"/>
          <w:vertAlign w:val="superscript"/>
        </w:rPr>
        <w:t>2,7</w:t>
      </w:r>
      <w:r>
        <w:rPr>
          <w:rFonts w:cs="Times New Roman"/>
          <w:sz w:val="24"/>
          <w:szCs w:val="24"/>
        </w:rPr>
        <w:t>, although it is greater than a number of recently-published models that include potential nutrient constraints, reported as 5.9±4.7 Mg C ha</w:t>
      </w:r>
      <w:r w:rsidRPr="0021478A">
        <w:rPr>
          <w:rFonts w:cs="Times New Roman"/>
          <w:sz w:val="24"/>
          <w:szCs w:val="24"/>
          <w:vertAlign w:val="superscript"/>
        </w:rPr>
        <w:t>-1</w:t>
      </w:r>
      <w:r>
        <w:rPr>
          <w:rFonts w:cs="Times New Roman"/>
          <w:sz w:val="24"/>
          <w:szCs w:val="24"/>
        </w:rPr>
        <w:t xml:space="preserve"> 100 ppm</w:t>
      </w:r>
      <w:r w:rsidRPr="00C50090">
        <w:rPr>
          <w:rFonts w:cs="Times New Roman"/>
          <w:sz w:val="24"/>
          <w:szCs w:val="24"/>
          <w:vertAlign w:val="superscript"/>
        </w:rPr>
        <w:t>-1</w:t>
      </w:r>
      <w:r>
        <w:rPr>
          <w:rFonts w:cs="Times New Roman"/>
          <w:sz w:val="24"/>
          <w:szCs w:val="24"/>
        </w:rPr>
        <w:t xml:space="preserve"> CO</w:t>
      </w:r>
      <w:r w:rsidRPr="0021478A">
        <w:rPr>
          <w:rFonts w:cs="Times New Roman"/>
          <w:sz w:val="24"/>
          <w:szCs w:val="24"/>
          <w:vertAlign w:val="subscript"/>
        </w:rPr>
        <w:t>2</w:t>
      </w:r>
      <w:r>
        <w:rPr>
          <w:rFonts w:cs="Times New Roman"/>
          <w:sz w:val="24"/>
          <w:szCs w:val="24"/>
          <w:vertAlign w:val="subscript"/>
        </w:rPr>
        <w:t xml:space="preserve"> </w:t>
      </w:r>
      <w:r>
        <w:rPr>
          <w:rFonts w:eastAsia="Times New Roman" w:cs="Times New Roman"/>
          <w:sz w:val="24"/>
          <w:szCs w:val="24"/>
          <w:lang w:eastAsia="nl-BE"/>
        </w:rPr>
        <w:t>(Ref.</w:t>
      </w:r>
      <w:r w:rsidRPr="00EB02F2">
        <w:rPr>
          <w:rFonts w:eastAsia="Times New Roman" w:cs="Times New Roman"/>
          <w:noProof/>
          <w:sz w:val="24"/>
          <w:szCs w:val="24"/>
          <w:vertAlign w:val="superscript"/>
          <w:lang w:eastAsia="nl-BE"/>
        </w:rPr>
        <w:t>40</w:t>
      </w:r>
      <w:r>
        <w:rPr>
          <w:rFonts w:eastAsia="Times New Roman" w:cs="Times New Roman"/>
          <w:sz w:val="24"/>
          <w:szCs w:val="24"/>
          <w:lang w:eastAsia="nl-BE"/>
        </w:rPr>
        <w:t>)</w:t>
      </w:r>
      <w:r>
        <w:rPr>
          <w:rFonts w:cs="Times New Roman"/>
          <w:sz w:val="24"/>
          <w:szCs w:val="24"/>
        </w:rPr>
        <w:t>. We find that the CO</w:t>
      </w:r>
      <w:r w:rsidRPr="00485E65">
        <w:rPr>
          <w:rFonts w:cs="Times New Roman"/>
          <w:sz w:val="24"/>
          <w:szCs w:val="24"/>
          <w:vertAlign w:val="subscript"/>
        </w:rPr>
        <w:t>2</w:t>
      </w:r>
      <w:r>
        <w:rPr>
          <w:rFonts w:cs="Times New Roman"/>
          <w:sz w:val="24"/>
          <w:szCs w:val="24"/>
        </w:rPr>
        <w:t xml:space="preserve"> fertilisation uptake is currently only partially offset by the negative impacts of similarly widespread rising air temperatures (</w:t>
      </w:r>
      <w:r w:rsidRPr="0086677A">
        <w:rPr>
          <w:rFonts w:cs="Times New Roman"/>
          <w:sz w:val="24"/>
          <w:szCs w:val="24"/>
        </w:rPr>
        <w:t>-2.0±0.</w:t>
      </w:r>
      <w:r>
        <w:rPr>
          <w:rFonts w:cs="Times New Roman"/>
          <w:sz w:val="24"/>
          <w:szCs w:val="24"/>
        </w:rPr>
        <w:t>4</w:t>
      </w:r>
      <w:r w:rsidRPr="0086677A">
        <w:rPr>
          <w:rFonts w:cs="Times New Roman"/>
          <w:sz w:val="24"/>
          <w:szCs w:val="24"/>
        </w:rPr>
        <w:t xml:space="preserve"> Mg C ha</w:t>
      </w:r>
      <w:r w:rsidRPr="0086677A">
        <w:rPr>
          <w:rFonts w:cs="Times New Roman"/>
          <w:sz w:val="24"/>
          <w:szCs w:val="24"/>
          <w:vertAlign w:val="superscript"/>
        </w:rPr>
        <w:t>-1</w:t>
      </w:r>
      <w:r w:rsidRPr="0086677A">
        <w:rPr>
          <w:rFonts w:cs="Times New Roman"/>
          <w:sz w:val="24"/>
          <w:szCs w:val="24"/>
        </w:rPr>
        <w:t xml:space="preserve"> °C</w:t>
      </w:r>
      <w:r w:rsidRPr="0086677A">
        <w:rPr>
          <w:rFonts w:cs="Times New Roman"/>
          <w:sz w:val="24"/>
          <w:szCs w:val="24"/>
          <w:vertAlign w:val="superscript"/>
        </w:rPr>
        <w:t>-1</w:t>
      </w:r>
      <w:r>
        <w:rPr>
          <w:rFonts w:cs="Times New Roman"/>
          <w:sz w:val="24"/>
          <w:szCs w:val="24"/>
        </w:rPr>
        <w:t>, from Table 2), consistent with models</w:t>
      </w:r>
      <w:r w:rsidRPr="0043737F">
        <w:rPr>
          <w:rFonts w:cs="Times New Roman"/>
          <w:noProof/>
          <w:sz w:val="24"/>
          <w:szCs w:val="24"/>
          <w:vertAlign w:val="superscript"/>
        </w:rPr>
        <w:t>7</w:t>
      </w:r>
      <w:r>
        <w:rPr>
          <w:rFonts w:cs="Times New Roman"/>
          <w:sz w:val="24"/>
          <w:szCs w:val="24"/>
        </w:rPr>
        <w:t>, limited experiments</w:t>
      </w:r>
      <w:r w:rsidRPr="00EB02F2">
        <w:rPr>
          <w:rFonts w:cs="Times New Roman"/>
          <w:noProof/>
          <w:sz w:val="24"/>
          <w:szCs w:val="24"/>
          <w:vertAlign w:val="superscript"/>
        </w:rPr>
        <w:t>31</w:t>
      </w:r>
      <w:r>
        <w:rPr>
          <w:rFonts w:cs="Times New Roman"/>
          <w:sz w:val="24"/>
          <w:szCs w:val="24"/>
        </w:rPr>
        <w:t xml:space="preserve"> and independent observations</w:t>
      </w:r>
      <w:r w:rsidRPr="005A2EB8">
        <w:rPr>
          <w:rFonts w:cs="Times New Roman"/>
          <w:noProof/>
          <w:sz w:val="24"/>
          <w:szCs w:val="24"/>
          <w:vertAlign w:val="superscript"/>
        </w:rPr>
        <w:t>9</w:t>
      </w:r>
      <w:r>
        <w:rPr>
          <w:rFonts w:cs="Times New Roman"/>
          <w:sz w:val="24"/>
          <w:szCs w:val="24"/>
        </w:rPr>
        <w:t>, plus negative responses to drought</w:t>
      </w:r>
      <w:r w:rsidRPr="00EB02F2">
        <w:rPr>
          <w:rFonts w:cs="Times New Roman"/>
          <w:noProof/>
          <w:sz w:val="24"/>
          <w:szCs w:val="24"/>
          <w:vertAlign w:val="superscript"/>
        </w:rPr>
        <w:t>41,42</w:t>
      </w:r>
      <w:r>
        <w:rPr>
          <w:rFonts w:cs="Times New Roman"/>
          <w:sz w:val="24"/>
          <w:szCs w:val="24"/>
        </w:rPr>
        <w:t>. Long-term and extensive increases in satellite-derived greenness in tropical regions not experiencing major changes in land-use management</w:t>
      </w:r>
      <w:r w:rsidRPr="00EB02F2">
        <w:rPr>
          <w:rFonts w:cs="Times New Roman"/>
          <w:noProof/>
          <w:sz w:val="24"/>
          <w:szCs w:val="24"/>
          <w:vertAlign w:val="superscript"/>
        </w:rPr>
        <w:t>17,43</w:t>
      </w:r>
      <w:r>
        <w:rPr>
          <w:rFonts w:cs="Times New Roman"/>
          <w:sz w:val="24"/>
          <w:szCs w:val="24"/>
        </w:rPr>
        <w:t>, particularly in central Africa in the past decade</w:t>
      </w:r>
      <w:r w:rsidRPr="00EB02F2">
        <w:rPr>
          <w:rFonts w:cs="Times New Roman"/>
          <w:noProof/>
          <w:sz w:val="24"/>
          <w:szCs w:val="24"/>
          <w:vertAlign w:val="superscript"/>
        </w:rPr>
        <w:t>44</w:t>
      </w:r>
      <w:r>
        <w:rPr>
          <w:rFonts w:cs="Times New Roman"/>
          <w:sz w:val="24"/>
          <w:szCs w:val="24"/>
        </w:rPr>
        <w:t>, indicate increases in tropical forest net primary productivity, providing further evidence that the sink is a widespread phenomenon</w:t>
      </w:r>
      <w:r w:rsidRPr="00EB02F2">
        <w:rPr>
          <w:noProof/>
          <w:vertAlign w:val="superscript"/>
        </w:rPr>
        <w:t>44</w:t>
      </w:r>
      <w:r>
        <w:rPr>
          <w:rFonts w:cs="Times New Roman"/>
          <w:sz w:val="24"/>
          <w:szCs w:val="24"/>
        </w:rPr>
        <w:t>.</w:t>
      </w:r>
    </w:p>
    <w:p w:rsidR="00B43E3C" w:rsidRDefault="00B43E3C" w:rsidP="00726F1B">
      <w:pPr>
        <w:rPr>
          <w:rFonts w:cs="Times New Roman"/>
          <w:sz w:val="24"/>
          <w:szCs w:val="24"/>
        </w:rPr>
      </w:pPr>
    </w:p>
    <w:p w:rsidR="00B43E3C" w:rsidRPr="00194057" w:rsidRDefault="00B43E3C" w:rsidP="00726F1B">
      <w:pPr>
        <w:rPr>
          <w:rFonts w:cs="Times New Roman"/>
          <w:sz w:val="24"/>
          <w:szCs w:val="24"/>
        </w:rPr>
      </w:pPr>
      <w:r>
        <w:rPr>
          <w:rFonts w:cs="Times New Roman"/>
          <w:sz w:val="24"/>
          <w:szCs w:val="24"/>
        </w:rPr>
        <w:t xml:space="preserve">Nonetheless, our analyses show that this pervasive tropical forest sink in live biomass is in long-term decline, first saturating in Amazonia, and more recently followed by African forests, explaining the prior Africa-Amazon carbon sink divergence as part of a longer-term pattern of asynchronous saturation and decline. From an </w:t>
      </w:r>
      <w:r w:rsidRPr="00194057">
        <w:rPr>
          <w:rFonts w:cs="Times New Roman"/>
          <w:sz w:val="24"/>
          <w:szCs w:val="24"/>
        </w:rPr>
        <w:t xml:space="preserve">atmospheric perspective the full impacts of </w:t>
      </w:r>
      <w:r>
        <w:rPr>
          <w:rFonts w:cs="Times New Roman"/>
          <w:sz w:val="24"/>
          <w:szCs w:val="24"/>
        </w:rPr>
        <w:t xml:space="preserve">the </w:t>
      </w:r>
      <w:r w:rsidRPr="00194057">
        <w:rPr>
          <w:rFonts w:cs="Times New Roman"/>
          <w:sz w:val="24"/>
          <w:szCs w:val="24"/>
        </w:rPr>
        <w:t xml:space="preserve">contribution to the saturation </w:t>
      </w:r>
      <w:r>
        <w:rPr>
          <w:rFonts w:cs="Times New Roman"/>
          <w:sz w:val="24"/>
          <w:szCs w:val="24"/>
        </w:rPr>
        <w:t xml:space="preserve">of the sink </w:t>
      </w:r>
      <w:r w:rsidRPr="00194057">
        <w:rPr>
          <w:rFonts w:cs="Times New Roman"/>
          <w:sz w:val="24"/>
          <w:szCs w:val="24"/>
        </w:rPr>
        <w:t xml:space="preserve">from slowing carbon gains are experienced immediately, but the contribution from rising carbon losses is delayed because dead trees do not decompose instantaneously. Decomposition of this dead tree mass is ~50% in 4 yrs, and ~85% in 10 yrs, thus rising carbon losses </w:t>
      </w:r>
      <w:r w:rsidRPr="00194057">
        <w:rPr>
          <w:rFonts w:cs="Times New Roman"/>
          <w:sz w:val="24"/>
          <w:szCs w:val="24"/>
        </w:rPr>
        <w:lastRenderedPageBreak/>
        <w:t>result in delayed carbon additions to the atmosphere</w:t>
      </w:r>
      <w:r w:rsidRPr="00EB02F2">
        <w:rPr>
          <w:rFonts w:cs="Times New Roman"/>
          <w:noProof/>
          <w:sz w:val="24"/>
          <w:szCs w:val="24"/>
          <w:vertAlign w:val="superscript"/>
        </w:rPr>
        <w:t>45</w:t>
      </w:r>
      <w:r w:rsidRPr="00194057">
        <w:rPr>
          <w:rFonts w:cs="Times New Roman"/>
          <w:sz w:val="24"/>
          <w:szCs w:val="24"/>
        </w:rPr>
        <w:t>. Hence, from an atmospheric perspective the intact tropical forest biomass carbon sink likely peaked a few years later than our plot data indicate and the full impacts are not yet realised. The pan-tropical carbon sink in live biomass reduced by 0.27 Pg C yr</w:t>
      </w:r>
      <w:r w:rsidRPr="00194057">
        <w:rPr>
          <w:rFonts w:cs="Times New Roman"/>
          <w:sz w:val="24"/>
          <w:szCs w:val="24"/>
          <w:vertAlign w:val="superscript"/>
        </w:rPr>
        <w:t>-1</w:t>
      </w:r>
      <w:r w:rsidRPr="00194057">
        <w:rPr>
          <w:rFonts w:cs="Times New Roman"/>
          <w:sz w:val="24"/>
          <w:szCs w:val="24"/>
        </w:rPr>
        <w:t xml:space="preserve"> between the 1990s and 2000s (Table 1), but accounting for dead wood decomposition</w:t>
      </w:r>
      <w:r w:rsidRPr="00EB02F2">
        <w:rPr>
          <w:rFonts w:cs="Times New Roman"/>
          <w:noProof/>
          <w:sz w:val="24"/>
          <w:szCs w:val="24"/>
          <w:vertAlign w:val="superscript"/>
        </w:rPr>
        <w:t>45</w:t>
      </w:r>
      <w:r w:rsidRPr="00194057">
        <w:rPr>
          <w:rFonts w:cs="Times New Roman"/>
          <w:sz w:val="24"/>
          <w:szCs w:val="24"/>
        </w:rPr>
        <w:t xml:space="preserve"> shows a smaller 0.17 Pg C yr</w:t>
      </w:r>
      <w:r w:rsidRPr="00194057">
        <w:rPr>
          <w:rFonts w:cs="Times New Roman"/>
          <w:sz w:val="24"/>
          <w:szCs w:val="24"/>
          <w:vertAlign w:val="superscript"/>
        </w:rPr>
        <w:t>-1</w:t>
      </w:r>
      <w:r w:rsidRPr="00194057">
        <w:rPr>
          <w:rFonts w:cs="Times New Roman"/>
          <w:sz w:val="24"/>
          <w:szCs w:val="24"/>
        </w:rPr>
        <w:t xml:space="preserve"> reduction from an atmospheric perspective</w:t>
      </w:r>
      <w:r>
        <w:rPr>
          <w:rFonts w:cs="Times New Roman"/>
          <w:sz w:val="24"/>
          <w:szCs w:val="24"/>
        </w:rPr>
        <w:t xml:space="preserve"> (see Methods)</w:t>
      </w:r>
      <w:r w:rsidRPr="00194057">
        <w:rPr>
          <w:rFonts w:cs="Times New Roman"/>
          <w:sz w:val="24"/>
          <w:szCs w:val="24"/>
        </w:rPr>
        <w:t>.</w:t>
      </w:r>
    </w:p>
    <w:p w:rsidR="00B43E3C" w:rsidRPr="00194057" w:rsidRDefault="00B43E3C" w:rsidP="00726F1B">
      <w:pPr>
        <w:rPr>
          <w:rFonts w:cs="Times New Roman"/>
          <w:sz w:val="24"/>
          <w:szCs w:val="24"/>
        </w:rPr>
      </w:pPr>
    </w:p>
    <w:p w:rsidR="00B43E3C" w:rsidRPr="00194057" w:rsidRDefault="00B43E3C" w:rsidP="00726F1B">
      <w:pPr>
        <w:rPr>
          <w:rFonts w:cs="Times New Roman"/>
          <w:sz w:val="24"/>
          <w:szCs w:val="24"/>
        </w:rPr>
      </w:pPr>
      <w:r w:rsidRPr="00194057">
        <w:rPr>
          <w:rFonts w:cs="Times New Roman"/>
          <w:sz w:val="24"/>
          <w:szCs w:val="24"/>
        </w:rPr>
        <w:t>Given that the global terrestrial carbon sink is increasing, a weakening intact tropical forest sink implies that the extra-tropical carbon sink has increased over the past two decades. Independent observations of inter-hemispheric atmospheric CO</w:t>
      </w:r>
      <w:r w:rsidRPr="00194057">
        <w:rPr>
          <w:rFonts w:cs="Times New Roman"/>
          <w:sz w:val="24"/>
          <w:szCs w:val="24"/>
          <w:vertAlign w:val="subscript"/>
        </w:rPr>
        <w:t>2</w:t>
      </w:r>
      <w:r w:rsidRPr="00194057">
        <w:rPr>
          <w:rFonts w:cs="Times New Roman"/>
          <w:sz w:val="24"/>
          <w:szCs w:val="24"/>
        </w:rPr>
        <w:t xml:space="preserve"> concentration indicate</w:t>
      </w:r>
      <w:r>
        <w:rPr>
          <w:rFonts w:cs="Times New Roman"/>
          <w:sz w:val="24"/>
          <w:szCs w:val="24"/>
        </w:rPr>
        <w:t>s</w:t>
      </w:r>
      <w:r w:rsidRPr="00194057">
        <w:rPr>
          <w:rFonts w:cs="Times New Roman"/>
          <w:sz w:val="24"/>
          <w:szCs w:val="24"/>
        </w:rPr>
        <w:t xml:space="preserve"> that carbon uptake into the Northern hemisphere landmass </w:t>
      </w:r>
      <w:r>
        <w:rPr>
          <w:rFonts w:cs="Times New Roman"/>
          <w:sz w:val="24"/>
          <w:szCs w:val="24"/>
        </w:rPr>
        <w:t xml:space="preserve">has </w:t>
      </w:r>
      <w:r w:rsidRPr="00194057">
        <w:rPr>
          <w:rFonts w:cs="Times New Roman"/>
          <w:sz w:val="24"/>
          <w:szCs w:val="24"/>
        </w:rPr>
        <w:t>increased at a greater rate than the global terrestrial carbon sink since the 1990s, with a further disproportionate increase in the 2000s</w:t>
      </w:r>
      <w:r w:rsidRPr="00BA3ED3">
        <w:rPr>
          <w:rFonts w:cs="Times New Roman"/>
          <w:noProof/>
          <w:sz w:val="24"/>
          <w:szCs w:val="24"/>
          <w:vertAlign w:val="superscript"/>
        </w:rPr>
        <w:t>10</w:t>
      </w:r>
      <w:r w:rsidRPr="00194057">
        <w:rPr>
          <w:rFonts w:cs="Times New Roman"/>
          <w:sz w:val="24"/>
          <w:szCs w:val="24"/>
        </w:rPr>
        <w:t>. The inter-hemispheric analysis suggests a weakening of the tropical forest sink by ~0.2 Pg C yr</w:t>
      </w:r>
      <w:r w:rsidRPr="00194057">
        <w:rPr>
          <w:rFonts w:cs="Times New Roman"/>
          <w:sz w:val="24"/>
          <w:szCs w:val="24"/>
          <w:vertAlign w:val="superscript"/>
        </w:rPr>
        <w:t>-1</w:t>
      </w:r>
      <w:r w:rsidRPr="00194057">
        <w:rPr>
          <w:rFonts w:cs="Times New Roman"/>
          <w:sz w:val="24"/>
          <w:szCs w:val="24"/>
        </w:rPr>
        <w:t xml:space="preserve"> between the 1990s and 2000s</w:t>
      </w:r>
      <w:r w:rsidRPr="00BA3ED3">
        <w:rPr>
          <w:rFonts w:cs="Times New Roman"/>
          <w:noProof/>
          <w:sz w:val="24"/>
          <w:szCs w:val="24"/>
          <w:vertAlign w:val="superscript"/>
        </w:rPr>
        <w:t>10</w:t>
      </w:r>
      <w:r w:rsidRPr="00194057">
        <w:rPr>
          <w:rFonts w:cs="Times New Roman"/>
          <w:sz w:val="24"/>
          <w:szCs w:val="24"/>
        </w:rPr>
        <w:t>, which is similar to the 0.17 Pg C yr</w:t>
      </w:r>
      <w:r w:rsidRPr="00194057">
        <w:rPr>
          <w:rFonts w:cs="Times New Roman"/>
          <w:sz w:val="24"/>
          <w:szCs w:val="24"/>
          <w:vertAlign w:val="superscript"/>
        </w:rPr>
        <w:t>-1</w:t>
      </w:r>
      <w:r w:rsidRPr="00194057">
        <w:rPr>
          <w:rFonts w:cs="Times New Roman"/>
          <w:sz w:val="24"/>
          <w:szCs w:val="24"/>
        </w:rPr>
        <w:t xml:space="preserve"> weakening over the same time period that we find. This reinforces our conclusion that the intact tropical forest carbon sink has already saturated. </w:t>
      </w:r>
    </w:p>
    <w:p w:rsidR="00B43E3C" w:rsidRPr="00194057" w:rsidRDefault="00B43E3C" w:rsidP="00726F1B">
      <w:pPr>
        <w:rPr>
          <w:rFonts w:cs="Times New Roman"/>
          <w:sz w:val="24"/>
          <w:szCs w:val="24"/>
        </w:rPr>
      </w:pPr>
    </w:p>
    <w:p w:rsidR="00B43E3C" w:rsidRPr="00194057" w:rsidRDefault="00B43E3C" w:rsidP="00726F1B">
      <w:pPr>
        <w:rPr>
          <w:rFonts w:cs="Times New Roman"/>
          <w:sz w:val="24"/>
          <w:szCs w:val="24"/>
        </w:rPr>
      </w:pPr>
      <w:r w:rsidRPr="00194057">
        <w:rPr>
          <w:sz w:val="24"/>
          <w:szCs w:val="24"/>
        </w:rPr>
        <w:t>In summary, our results indicate that while intact tropical forests remain major stores of carbon and are key centres of biodiversity</w:t>
      </w:r>
      <w:r w:rsidRPr="005A2EB8">
        <w:rPr>
          <w:noProof/>
          <w:sz w:val="24"/>
          <w:szCs w:val="24"/>
          <w:vertAlign w:val="superscript"/>
        </w:rPr>
        <w:t>11</w:t>
      </w:r>
      <w:r w:rsidRPr="00194057">
        <w:rPr>
          <w:sz w:val="24"/>
          <w:szCs w:val="24"/>
        </w:rPr>
        <w:t>, their ability to sequester additional carbon is waning</w:t>
      </w:r>
      <w:r>
        <w:rPr>
          <w:sz w:val="24"/>
          <w:szCs w:val="24"/>
        </w:rPr>
        <w:t xml:space="preserve">. In the 1990s intact </w:t>
      </w:r>
      <w:r w:rsidRPr="00D51C01">
        <w:rPr>
          <w:sz w:val="24"/>
          <w:szCs w:val="24"/>
        </w:rPr>
        <w:t xml:space="preserve">forests </w:t>
      </w:r>
      <w:r w:rsidRPr="00D51C01">
        <w:rPr>
          <w:rFonts w:cs="Times New Roman"/>
          <w:sz w:val="24"/>
          <w:szCs w:val="24"/>
        </w:rPr>
        <w:t>removed 17% of anthropogenic CO</w:t>
      </w:r>
      <w:r w:rsidRPr="00D51C01">
        <w:rPr>
          <w:rFonts w:cs="Times New Roman"/>
          <w:sz w:val="24"/>
          <w:szCs w:val="24"/>
          <w:vertAlign w:val="subscript"/>
        </w:rPr>
        <w:t>2</w:t>
      </w:r>
      <w:r w:rsidRPr="00D51C01">
        <w:rPr>
          <w:rFonts w:cs="Times New Roman"/>
          <w:sz w:val="24"/>
          <w:szCs w:val="24"/>
        </w:rPr>
        <w:t xml:space="preserve"> emissions. </w:t>
      </w:r>
      <w:r>
        <w:rPr>
          <w:rFonts w:cs="Times New Roman"/>
          <w:sz w:val="24"/>
          <w:szCs w:val="24"/>
        </w:rPr>
        <w:t>T</w:t>
      </w:r>
      <w:r w:rsidRPr="00D51C01">
        <w:rPr>
          <w:rFonts w:cs="Times New Roman"/>
          <w:sz w:val="24"/>
          <w:szCs w:val="24"/>
        </w:rPr>
        <w:t xml:space="preserve">his </w:t>
      </w:r>
      <w:r>
        <w:rPr>
          <w:rFonts w:cs="Times New Roman"/>
          <w:sz w:val="24"/>
          <w:szCs w:val="24"/>
        </w:rPr>
        <w:t xml:space="preserve">has </w:t>
      </w:r>
      <w:r w:rsidRPr="00D51C01">
        <w:rPr>
          <w:rFonts w:cs="Times New Roman"/>
          <w:sz w:val="24"/>
          <w:szCs w:val="24"/>
        </w:rPr>
        <w:t xml:space="preserve">declined to 6% in the 2010s, because the </w:t>
      </w:r>
      <w:r>
        <w:rPr>
          <w:rFonts w:cs="Times New Roman"/>
          <w:sz w:val="24"/>
          <w:szCs w:val="24"/>
        </w:rPr>
        <w:t xml:space="preserve">pan-tropical weighted average </w:t>
      </w:r>
      <w:r w:rsidRPr="00D51C01">
        <w:rPr>
          <w:rFonts w:cs="Times New Roman"/>
          <w:sz w:val="24"/>
          <w:szCs w:val="24"/>
        </w:rPr>
        <w:t>per unit area sink strength declined by 33%, forest area decreased by 19%, and CO</w:t>
      </w:r>
      <w:r w:rsidRPr="00D51C01">
        <w:rPr>
          <w:rFonts w:cs="Times New Roman"/>
          <w:sz w:val="24"/>
          <w:szCs w:val="24"/>
          <w:vertAlign w:val="subscript"/>
        </w:rPr>
        <w:t>2</w:t>
      </w:r>
      <w:r w:rsidRPr="00D51C01">
        <w:rPr>
          <w:rFonts w:cs="Times New Roman"/>
          <w:sz w:val="24"/>
          <w:szCs w:val="24"/>
        </w:rPr>
        <w:t xml:space="preserve"> emissions increased by 46%.</w:t>
      </w:r>
      <w:r>
        <w:rPr>
          <w:rFonts w:cs="Times New Roman"/>
          <w:sz w:val="24"/>
          <w:szCs w:val="24"/>
        </w:rPr>
        <w:t xml:space="preserve"> </w:t>
      </w:r>
      <w:r w:rsidRPr="00194057">
        <w:rPr>
          <w:sz w:val="24"/>
          <w:szCs w:val="24"/>
        </w:rPr>
        <w:t>Although tropical forests are more immediately threatened by deforestation</w:t>
      </w:r>
      <w:r w:rsidRPr="00EB02F2">
        <w:rPr>
          <w:noProof/>
          <w:sz w:val="24"/>
          <w:szCs w:val="24"/>
          <w:vertAlign w:val="superscript"/>
        </w:rPr>
        <w:t>46</w:t>
      </w:r>
      <w:r w:rsidRPr="00194057">
        <w:rPr>
          <w:sz w:val="24"/>
          <w:szCs w:val="24"/>
        </w:rPr>
        <w:t xml:space="preserve"> and degradation</w:t>
      </w:r>
      <w:r w:rsidRPr="00EB02F2">
        <w:rPr>
          <w:noProof/>
          <w:sz w:val="24"/>
          <w:szCs w:val="24"/>
          <w:vertAlign w:val="superscript"/>
        </w:rPr>
        <w:t>47</w:t>
      </w:r>
      <w:r w:rsidRPr="00194057">
        <w:rPr>
          <w:sz w:val="24"/>
          <w:szCs w:val="24"/>
        </w:rPr>
        <w:t>, and the future carbon balance will also depend on secondary forest dynamics</w:t>
      </w:r>
      <w:r w:rsidRPr="00EB02F2">
        <w:rPr>
          <w:noProof/>
          <w:sz w:val="24"/>
          <w:szCs w:val="24"/>
          <w:vertAlign w:val="superscript"/>
        </w:rPr>
        <w:t>48</w:t>
      </w:r>
      <w:r w:rsidRPr="00194057">
        <w:rPr>
          <w:sz w:val="24"/>
          <w:szCs w:val="24"/>
        </w:rPr>
        <w:t xml:space="preserve"> and forest restoration plans</w:t>
      </w:r>
      <w:r w:rsidRPr="00EB02F2">
        <w:rPr>
          <w:noProof/>
          <w:sz w:val="24"/>
          <w:szCs w:val="24"/>
          <w:vertAlign w:val="superscript"/>
        </w:rPr>
        <w:t>49</w:t>
      </w:r>
      <w:r w:rsidRPr="00194057">
        <w:rPr>
          <w:sz w:val="24"/>
          <w:szCs w:val="24"/>
        </w:rPr>
        <w:t xml:space="preserve">, our analyses show that they are also impacted by </w:t>
      </w:r>
      <w:r>
        <w:rPr>
          <w:sz w:val="24"/>
          <w:szCs w:val="24"/>
        </w:rPr>
        <w:t xml:space="preserve">atmospheric chemistry and </w:t>
      </w:r>
      <w:r w:rsidRPr="00194057">
        <w:rPr>
          <w:sz w:val="24"/>
          <w:szCs w:val="24"/>
        </w:rPr>
        <w:t>climat</w:t>
      </w:r>
      <w:r>
        <w:rPr>
          <w:sz w:val="24"/>
          <w:szCs w:val="24"/>
        </w:rPr>
        <w:t>ic</w:t>
      </w:r>
      <w:r w:rsidRPr="00194057">
        <w:rPr>
          <w:sz w:val="24"/>
          <w:szCs w:val="24"/>
        </w:rPr>
        <w:t xml:space="preserve"> change</w:t>
      </w:r>
      <w:r>
        <w:rPr>
          <w:sz w:val="24"/>
          <w:szCs w:val="24"/>
        </w:rPr>
        <w:t>s</w:t>
      </w:r>
      <w:r w:rsidRPr="00194057">
        <w:rPr>
          <w:sz w:val="24"/>
          <w:szCs w:val="24"/>
        </w:rPr>
        <w:t xml:space="preserve">. Given that the intact tropical forest carbon sink </w:t>
      </w:r>
      <w:r w:rsidRPr="00194057">
        <w:rPr>
          <w:rFonts w:cs="Times New Roman"/>
          <w:sz w:val="24"/>
          <w:szCs w:val="24"/>
        </w:rPr>
        <w:t xml:space="preserve">is set to end sooner than even the most pessimistic </w:t>
      </w:r>
      <w:r>
        <w:rPr>
          <w:rFonts w:cs="Times New Roman"/>
          <w:sz w:val="24"/>
          <w:szCs w:val="24"/>
        </w:rPr>
        <w:t xml:space="preserve">climate-driven </w:t>
      </w:r>
      <w:r w:rsidRPr="00194057">
        <w:rPr>
          <w:rFonts w:cs="Times New Roman"/>
          <w:sz w:val="24"/>
          <w:szCs w:val="24"/>
        </w:rPr>
        <w:t xml:space="preserve">vegetation models </w:t>
      </w:r>
      <w:r w:rsidRPr="00194057">
        <w:rPr>
          <w:rFonts w:cs="Times New Roman"/>
          <w:sz w:val="24"/>
          <w:szCs w:val="24"/>
        </w:rPr>
        <w:lastRenderedPageBreak/>
        <w:t>predict</w:t>
      </w:r>
      <w:r w:rsidRPr="00D172EE">
        <w:rPr>
          <w:rFonts w:cs="Times New Roman"/>
          <w:noProof/>
          <w:sz w:val="24"/>
          <w:szCs w:val="24"/>
          <w:vertAlign w:val="superscript"/>
        </w:rPr>
        <w:t>4,5</w:t>
      </w:r>
      <w:r w:rsidRPr="00194057">
        <w:rPr>
          <w:rFonts w:cs="Times New Roman"/>
          <w:sz w:val="24"/>
          <w:szCs w:val="24"/>
        </w:rPr>
        <w:t>, our analyses suggest that climate change impacts in the tropics may become more severe than predicted. Furthermore, the carbon balance of intact tropical forests will only stabilise once CO</w:t>
      </w:r>
      <w:r w:rsidRPr="00194057">
        <w:rPr>
          <w:rFonts w:cs="Times New Roman"/>
          <w:sz w:val="24"/>
          <w:szCs w:val="24"/>
          <w:vertAlign w:val="subscript"/>
        </w:rPr>
        <w:t>2</w:t>
      </w:r>
      <w:r w:rsidRPr="00194057">
        <w:rPr>
          <w:rFonts w:cs="Times New Roman"/>
          <w:sz w:val="24"/>
          <w:szCs w:val="24"/>
        </w:rPr>
        <w:t xml:space="preserve"> concentrations and the climate stabilises.</w:t>
      </w:r>
    </w:p>
    <w:p w:rsidR="00B43E3C" w:rsidRPr="00194057" w:rsidRDefault="00B43E3C" w:rsidP="00726F1B">
      <w:pPr>
        <w:rPr>
          <w:rFonts w:cs="Times New Roman"/>
          <w:sz w:val="24"/>
          <w:szCs w:val="24"/>
        </w:rPr>
      </w:pPr>
    </w:p>
    <w:p w:rsidR="00B43E3C" w:rsidRDefault="00B43E3C" w:rsidP="00726F1B">
      <w:pPr>
        <w:rPr>
          <w:rFonts w:cs="Times New Roman"/>
          <w:sz w:val="24"/>
          <w:szCs w:val="24"/>
        </w:rPr>
      </w:pPr>
      <w:r w:rsidRPr="00194057">
        <w:rPr>
          <w:rFonts w:cs="Times New Roman"/>
          <w:sz w:val="24"/>
          <w:szCs w:val="24"/>
        </w:rPr>
        <w:t xml:space="preserve">Continued on-the-ground monitoring of the world’s remaining intact tropical forests will be required to test our prediction that the intact tropical forest carbon sink will continue to decline. Such direct ground-based measurements also provide a constraint on </w:t>
      </w:r>
      <w:r>
        <w:rPr>
          <w:rFonts w:cs="Times New Roman"/>
          <w:sz w:val="24"/>
          <w:szCs w:val="24"/>
        </w:rPr>
        <w:t xml:space="preserve">estimating the size and location of </w:t>
      </w:r>
      <w:r w:rsidRPr="00194057">
        <w:rPr>
          <w:rFonts w:cs="Times New Roman"/>
          <w:sz w:val="24"/>
          <w:szCs w:val="24"/>
        </w:rPr>
        <w:t>the terrestrial carbon sink. In addition, our conclusion that tree mortality and internal forest dynamics are important controls on the future of the</w:t>
      </w:r>
      <w:r>
        <w:rPr>
          <w:rFonts w:cs="Times New Roman"/>
          <w:sz w:val="24"/>
          <w:szCs w:val="24"/>
        </w:rPr>
        <w:t xml:space="preserve"> tropical forest carbon sink, may assist in improving the vegetation components of future Earth System Models</w:t>
      </w:r>
      <w:r w:rsidRPr="00EB02F2">
        <w:rPr>
          <w:rFonts w:cs="Times New Roman"/>
          <w:noProof/>
          <w:sz w:val="24"/>
          <w:szCs w:val="24"/>
          <w:vertAlign w:val="superscript"/>
        </w:rPr>
        <w:t>50</w:t>
      </w:r>
      <w:r>
        <w:rPr>
          <w:rFonts w:cs="Times New Roman"/>
          <w:sz w:val="24"/>
          <w:szCs w:val="24"/>
        </w:rPr>
        <w:t xml:space="preserve"> and contribute to reducing terrestrial carbon cycle feedback uncertainty</w:t>
      </w:r>
      <w:r w:rsidRPr="00EB02F2">
        <w:rPr>
          <w:rFonts w:cs="Times New Roman"/>
          <w:noProof/>
          <w:sz w:val="24"/>
          <w:szCs w:val="24"/>
          <w:vertAlign w:val="superscript"/>
        </w:rPr>
        <w:t>19,20</w:t>
      </w:r>
      <w:r>
        <w:rPr>
          <w:rFonts w:cs="Times New Roman"/>
          <w:sz w:val="24"/>
          <w:szCs w:val="24"/>
        </w:rPr>
        <w:t xml:space="preserve">. </w:t>
      </w:r>
      <w:r w:rsidRPr="00C0388B">
        <w:rPr>
          <w:rFonts w:cs="Times New Roman"/>
          <w:sz w:val="24"/>
          <w:szCs w:val="24"/>
        </w:rPr>
        <w:t xml:space="preserve">Our findings also have </w:t>
      </w:r>
      <w:r>
        <w:rPr>
          <w:rFonts w:cs="Times New Roman"/>
          <w:sz w:val="24"/>
          <w:szCs w:val="24"/>
        </w:rPr>
        <w:t>policy</w:t>
      </w:r>
      <w:r w:rsidRPr="00C0388B">
        <w:rPr>
          <w:rFonts w:cs="Times New Roman"/>
          <w:sz w:val="24"/>
          <w:szCs w:val="24"/>
        </w:rPr>
        <w:t xml:space="preserve"> implications</w:t>
      </w:r>
      <w:r>
        <w:rPr>
          <w:rFonts w:cs="Times New Roman"/>
          <w:sz w:val="24"/>
          <w:szCs w:val="24"/>
        </w:rPr>
        <w:t>. At the country-level: given intact tropical forests are a carbon sink, but the size is changing, national greenhouse gas reporting will require careful forest monitoring. At the international-level:</w:t>
      </w:r>
      <w:r w:rsidRPr="008E00B9">
        <w:rPr>
          <w:rFonts w:cs="Times New Roman"/>
          <w:sz w:val="24"/>
          <w:szCs w:val="24"/>
        </w:rPr>
        <w:t xml:space="preserve"> </w:t>
      </w:r>
      <w:r>
        <w:rPr>
          <w:rFonts w:cs="Times New Roman"/>
          <w:sz w:val="24"/>
          <w:szCs w:val="24"/>
        </w:rPr>
        <w:t>given</w:t>
      </w:r>
      <w:r w:rsidRPr="00C0388B">
        <w:rPr>
          <w:rFonts w:cs="Times New Roman"/>
          <w:sz w:val="24"/>
          <w:szCs w:val="24"/>
        </w:rPr>
        <w:t xml:space="preserve"> tropical forests are likely to sequester less carbon in the future than Earth System Models predict, an earlier date to reach net zero anthropogenic greenhouse gas emissions will be required to meet any given commitment to limit the global heating of Earth.</w:t>
      </w:r>
      <w:r>
        <w:rPr>
          <w:rFonts w:cs="Times New Roman"/>
          <w:sz w:val="24"/>
          <w:szCs w:val="24"/>
        </w:rPr>
        <w:t xml:space="preserve"> </w:t>
      </w:r>
    </w:p>
    <w:p w:rsidR="00B43E3C" w:rsidRPr="000E07E9" w:rsidRDefault="00B43E3C" w:rsidP="00726F1B">
      <w:pPr>
        <w:rPr>
          <w:rFonts w:cs="Times New Roman"/>
          <w:sz w:val="24"/>
          <w:szCs w:val="24"/>
        </w:rPr>
      </w:pPr>
    </w:p>
    <w:p w:rsidR="00B43E3C" w:rsidRPr="00317384" w:rsidRDefault="00B43E3C" w:rsidP="00726F1B">
      <w:pPr>
        <w:pStyle w:val="Heading1"/>
        <w:rPr>
          <w:szCs w:val="24"/>
          <w:lang w:val="fr-FR"/>
        </w:rPr>
      </w:pPr>
      <w:r w:rsidRPr="00317384">
        <w:rPr>
          <w:szCs w:val="24"/>
          <w:lang w:val="fr-FR"/>
        </w:rPr>
        <w:t>References</w:t>
      </w:r>
    </w:p>
    <w:p w:rsidR="00EF5658" w:rsidRPr="00317384" w:rsidRDefault="00EF5658" w:rsidP="00EF5658">
      <w:pPr>
        <w:spacing w:line="360" w:lineRule="auto"/>
        <w:rPr>
          <w:sz w:val="24"/>
          <w:lang w:val="fr-FR"/>
        </w:rPr>
      </w:pPr>
    </w:p>
    <w:p w:rsidR="00EF5658" w:rsidRPr="0043737F" w:rsidRDefault="00EF5658" w:rsidP="00EF5658">
      <w:pPr>
        <w:ind w:left="720" w:hanging="720"/>
        <w:rPr>
          <w:rFonts w:cs="Times New Roman"/>
          <w:noProof/>
          <w:sz w:val="24"/>
          <w:szCs w:val="24"/>
        </w:rPr>
      </w:pPr>
      <w:r w:rsidRPr="00317384">
        <w:rPr>
          <w:rFonts w:cs="Times New Roman"/>
          <w:noProof/>
          <w:sz w:val="24"/>
          <w:szCs w:val="24"/>
          <w:lang w:val="fr-FR"/>
        </w:rPr>
        <w:t>1</w:t>
      </w:r>
      <w:r w:rsidRPr="00317384">
        <w:rPr>
          <w:rFonts w:cs="Times New Roman"/>
          <w:noProof/>
          <w:sz w:val="24"/>
          <w:szCs w:val="24"/>
          <w:lang w:val="fr-FR"/>
        </w:rPr>
        <w:tab/>
        <w:t>Pan, Y.</w:t>
      </w:r>
      <w:r w:rsidRPr="00317384">
        <w:rPr>
          <w:rFonts w:cs="Times New Roman"/>
          <w:i/>
          <w:noProof/>
          <w:sz w:val="24"/>
          <w:szCs w:val="24"/>
          <w:lang w:val="fr-FR"/>
        </w:rPr>
        <w:t xml:space="preserve"> et al.</w:t>
      </w:r>
      <w:r w:rsidRPr="00317384">
        <w:rPr>
          <w:rFonts w:cs="Times New Roman"/>
          <w:noProof/>
          <w:sz w:val="24"/>
          <w:szCs w:val="24"/>
          <w:lang w:val="fr-FR"/>
        </w:rPr>
        <w:t xml:space="preserve"> </w:t>
      </w:r>
      <w:r w:rsidRPr="0043737F">
        <w:rPr>
          <w:rFonts w:cs="Times New Roman"/>
          <w:noProof/>
          <w:sz w:val="24"/>
          <w:szCs w:val="24"/>
        </w:rPr>
        <w:t xml:space="preserve">A Large and Persistent Carbon Sink in the World’s Forests. </w:t>
      </w:r>
      <w:r w:rsidRPr="0043737F">
        <w:rPr>
          <w:rFonts w:cs="Times New Roman"/>
          <w:i/>
          <w:noProof/>
          <w:sz w:val="24"/>
          <w:szCs w:val="24"/>
        </w:rPr>
        <w:t>Science</w:t>
      </w:r>
      <w:r w:rsidRPr="0043737F">
        <w:rPr>
          <w:rFonts w:cs="Times New Roman"/>
          <w:noProof/>
          <w:sz w:val="24"/>
          <w:szCs w:val="24"/>
        </w:rPr>
        <w:t xml:space="preserve"> </w:t>
      </w:r>
      <w:r w:rsidRPr="0043737F">
        <w:rPr>
          <w:rFonts w:cs="Times New Roman"/>
          <w:b/>
          <w:noProof/>
          <w:sz w:val="24"/>
          <w:szCs w:val="24"/>
        </w:rPr>
        <w:t>333</w:t>
      </w:r>
      <w:r w:rsidRPr="0043737F">
        <w:rPr>
          <w:rFonts w:cs="Times New Roman"/>
          <w:noProof/>
          <w:sz w:val="24"/>
          <w:szCs w:val="24"/>
        </w:rPr>
        <w:t>, 988-993, doi:10.1126/science.1201609 (2011).</w:t>
      </w:r>
    </w:p>
    <w:p w:rsidR="00EF5658" w:rsidRPr="0043737F" w:rsidRDefault="00EF5658" w:rsidP="00EF5658">
      <w:pPr>
        <w:ind w:left="720" w:hanging="720"/>
        <w:rPr>
          <w:rFonts w:cs="Times New Roman"/>
          <w:noProof/>
          <w:sz w:val="24"/>
          <w:szCs w:val="24"/>
        </w:rPr>
      </w:pPr>
      <w:r w:rsidRPr="0043737F">
        <w:rPr>
          <w:rFonts w:cs="Times New Roman"/>
          <w:noProof/>
          <w:sz w:val="24"/>
          <w:szCs w:val="24"/>
        </w:rPr>
        <w:t>2</w:t>
      </w:r>
      <w:r w:rsidRPr="0043737F">
        <w:rPr>
          <w:rFonts w:cs="Times New Roman"/>
          <w:noProof/>
          <w:sz w:val="24"/>
          <w:szCs w:val="24"/>
        </w:rPr>
        <w:tab/>
        <w:t>Sitch, S.</w:t>
      </w:r>
      <w:r w:rsidRPr="0043737F">
        <w:rPr>
          <w:rFonts w:cs="Times New Roman"/>
          <w:i/>
          <w:noProof/>
          <w:sz w:val="24"/>
          <w:szCs w:val="24"/>
        </w:rPr>
        <w:t xml:space="preserve"> et al.</w:t>
      </w:r>
      <w:r w:rsidRPr="0043737F">
        <w:rPr>
          <w:rFonts w:cs="Times New Roman"/>
          <w:noProof/>
          <w:sz w:val="24"/>
          <w:szCs w:val="24"/>
        </w:rPr>
        <w:t xml:space="preserve"> Recent trends and drivers of regional sources and sinks of carbon dioxide. </w:t>
      </w:r>
      <w:r w:rsidRPr="0043737F">
        <w:rPr>
          <w:rFonts w:cs="Times New Roman"/>
          <w:i/>
          <w:noProof/>
          <w:sz w:val="24"/>
          <w:szCs w:val="24"/>
        </w:rPr>
        <w:t>Biogeosciences</w:t>
      </w:r>
      <w:r w:rsidRPr="0043737F">
        <w:rPr>
          <w:rFonts w:cs="Times New Roman"/>
          <w:noProof/>
          <w:sz w:val="24"/>
          <w:szCs w:val="24"/>
        </w:rPr>
        <w:t xml:space="preserve"> </w:t>
      </w:r>
      <w:r w:rsidRPr="0043737F">
        <w:rPr>
          <w:rFonts w:cs="Times New Roman"/>
          <w:b/>
          <w:noProof/>
          <w:sz w:val="24"/>
          <w:szCs w:val="24"/>
        </w:rPr>
        <w:t>12</w:t>
      </w:r>
      <w:r w:rsidRPr="0043737F">
        <w:rPr>
          <w:rFonts w:cs="Times New Roman"/>
          <w:noProof/>
          <w:sz w:val="24"/>
          <w:szCs w:val="24"/>
        </w:rPr>
        <w:t>, 653-679, doi:10.5194/bg-12-653-2015 (2015).</w:t>
      </w:r>
    </w:p>
    <w:p w:rsidR="00EF5658" w:rsidRPr="0043737F" w:rsidRDefault="00EF5658" w:rsidP="00EF5658">
      <w:pPr>
        <w:ind w:left="720" w:hanging="720"/>
        <w:rPr>
          <w:rFonts w:cs="Times New Roman"/>
          <w:noProof/>
          <w:sz w:val="24"/>
          <w:szCs w:val="24"/>
        </w:rPr>
      </w:pPr>
      <w:r w:rsidRPr="0043737F">
        <w:rPr>
          <w:rFonts w:cs="Times New Roman"/>
          <w:noProof/>
          <w:sz w:val="24"/>
          <w:szCs w:val="24"/>
        </w:rPr>
        <w:t>3</w:t>
      </w:r>
      <w:r w:rsidRPr="0043737F">
        <w:rPr>
          <w:rFonts w:cs="Times New Roman"/>
          <w:noProof/>
          <w:sz w:val="24"/>
          <w:szCs w:val="24"/>
        </w:rPr>
        <w:tab/>
        <w:t>Gaubert, B.</w:t>
      </w:r>
      <w:r w:rsidRPr="0043737F">
        <w:rPr>
          <w:rFonts w:cs="Times New Roman"/>
          <w:i/>
          <w:noProof/>
          <w:sz w:val="24"/>
          <w:szCs w:val="24"/>
        </w:rPr>
        <w:t xml:space="preserve"> et al.</w:t>
      </w:r>
      <w:r w:rsidRPr="0043737F">
        <w:rPr>
          <w:rFonts w:cs="Times New Roman"/>
          <w:noProof/>
          <w:sz w:val="24"/>
          <w:szCs w:val="24"/>
        </w:rPr>
        <w:t xml:space="preserve"> Global atmospheric CO</w:t>
      </w:r>
      <w:r w:rsidRPr="00EF5658">
        <w:rPr>
          <w:rFonts w:cs="Times New Roman"/>
          <w:noProof/>
          <w:sz w:val="24"/>
          <w:szCs w:val="24"/>
          <w:vertAlign w:val="subscript"/>
        </w:rPr>
        <w:t>2</w:t>
      </w:r>
      <w:r w:rsidRPr="0043737F">
        <w:rPr>
          <w:rFonts w:cs="Times New Roman"/>
          <w:noProof/>
          <w:sz w:val="24"/>
          <w:szCs w:val="24"/>
        </w:rPr>
        <w:t xml:space="preserve"> inverse models converging on neutral tropical land exchange, but disagreeing on fossil fuel and atmospheric growth rate. </w:t>
      </w:r>
      <w:r w:rsidRPr="0043737F">
        <w:rPr>
          <w:rFonts w:cs="Times New Roman"/>
          <w:i/>
          <w:noProof/>
          <w:sz w:val="24"/>
          <w:szCs w:val="24"/>
        </w:rPr>
        <w:t>Biogeosciences</w:t>
      </w:r>
      <w:r w:rsidRPr="0043737F">
        <w:rPr>
          <w:rFonts w:cs="Times New Roman"/>
          <w:noProof/>
          <w:sz w:val="24"/>
          <w:szCs w:val="24"/>
        </w:rPr>
        <w:t xml:space="preserve"> </w:t>
      </w:r>
      <w:r w:rsidRPr="0043737F">
        <w:rPr>
          <w:rFonts w:cs="Times New Roman"/>
          <w:b/>
          <w:noProof/>
          <w:sz w:val="24"/>
          <w:szCs w:val="24"/>
        </w:rPr>
        <w:t>16</w:t>
      </w:r>
      <w:r w:rsidRPr="0043737F">
        <w:rPr>
          <w:rFonts w:cs="Times New Roman"/>
          <w:noProof/>
          <w:sz w:val="24"/>
          <w:szCs w:val="24"/>
        </w:rPr>
        <w:t>, 117-134, doi:10.5194/bg-16-117-2019 (2019).</w:t>
      </w:r>
    </w:p>
    <w:p w:rsidR="00EF5658" w:rsidRPr="0043737F" w:rsidRDefault="00EF5658" w:rsidP="00EF5658">
      <w:pPr>
        <w:ind w:left="720" w:hanging="720"/>
        <w:rPr>
          <w:rFonts w:cs="Times New Roman"/>
          <w:noProof/>
          <w:sz w:val="24"/>
          <w:szCs w:val="24"/>
        </w:rPr>
      </w:pPr>
      <w:r w:rsidRPr="0043737F">
        <w:rPr>
          <w:rFonts w:cs="Times New Roman"/>
          <w:noProof/>
          <w:sz w:val="24"/>
          <w:szCs w:val="24"/>
        </w:rPr>
        <w:lastRenderedPageBreak/>
        <w:t>4</w:t>
      </w:r>
      <w:r w:rsidRPr="0043737F">
        <w:rPr>
          <w:rFonts w:cs="Times New Roman"/>
          <w:noProof/>
          <w:sz w:val="24"/>
          <w:szCs w:val="24"/>
        </w:rPr>
        <w:tab/>
        <w:t>Huntingford, C.</w:t>
      </w:r>
      <w:r w:rsidRPr="0043737F">
        <w:rPr>
          <w:rFonts w:cs="Times New Roman"/>
          <w:i/>
          <w:noProof/>
          <w:sz w:val="24"/>
          <w:szCs w:val="24"/>
        </w:rPr>
        <w:t xml:space="preserve"> et al.</w:t>
      </w:r>
      <w:r w:rsidRPr="0043737F">
        <w:rPr>
          <w:rFonts w:cs="Times New Roman"/>
          <w:noProof/>
          <w:sz w:val="24"/>
          <w:szCs w:val="24"/>
        </w:rPr>
        <w:t xml:space="preserve"> Simulated resilience of tropical rainforests to CO</w:t>
      </w:r>
      <w:r w:rsidRPr="00EF5658">
        <w:rPr>
          <w:rFonts w:cs="Times New Roman"/>
          <w:noProof/>
          <w:sz w:val="24"/>
          <w:szCs w:val="24"/>
          <w:vertAlign w:val="subscript"/>
        </w:rPr>
        <w:t>2</w:t>
      </w:r>
      <w:r w:rsidRPr="0043737F">
        <w:rPr>
          <w:rFonts w:cs="Times New Roman"/>
          <w:noProof/>
          <w:sz w:val="24"/>
          <w:szCs w:val="24"/>
        </w:rPr>
        <w:t xml:space="preserve">-induced climate change. </w:t>
      </w:r>
      <w:r w:rsidRPr="0043737F">
        <w:rPr>
          <w:rFonts w:cs="Times New Roman"/>
          <w:i/>
          <w:noProof/>
          <w:sz w:val="24"/>
          <w:szCs w:val="24"/>
        </w:rPr>
        <w:t>Nature Geoscience</w:t>
      </w:r>
      <w:r w:rsidRPr="0043737F">
        <w:rPr>
          <w:rFonts w:cs="Times New Roman"/>
          <w:noProof/>
          <w:sz w:val="24"/>
          <w:szCs w:val="24"/>
        </w:rPr>
        <w:t xml:space="preserve"> </w:t>
      </w:r>
      <w:r w:rsidRPr="0043737F">
        <w:rPr>
          <w:rFonts w:cs="Times New Roman"/>
          <w:b/>
          <w:noProof/>
          <w:sz w:val="24"/>
          <w:szCs w:val="24"/>
        </w:rPr>
        <w:t>6</w:t>
      </w:r>
      <w:r w:rsidRPr="0043737F">
        <w:rPr>
          <w:rFonts w:cs="Times New Roman"/>
          <w:noProof/>
          <w:sz w:val="24"/>
          <w:szCs w:val="24"/>
        </w:rPr>
        <w:t>, 268-273, doi:10.1038/ngeo1741 (2013).</w:t>
      </w:r>
    </w:p>
    <w:p w:rsidR="00EF5658" w:rsidRPr="00B43E3C" w:rsidRDefault="00EF5658" w:rsidP="00EF5658">
      <w:pPr>
        <w:ind w:left="720" w:hanging="720"/>
        <w:rPr>
          <w:rFonts w:cs="Times New Roman"/>
          <w:noProof/>
          <w:sz w:val="24"/>
          <w:szCs w:val="24"/>
          <w:lang w:val="fr-FR"/>
        </w:rPr>
      </w:pPr>
      <w:r w:rsidRPr="0043737F">
        <w:rPr>
          <w:rFonts w:cs="Times New Roman"/>
          <w:noProof/>
          <w:sz w:val="24"/>
          <w:szCs w:val="24"/>
        </w:rPr>
        <w:t>5</w:t>
      </w:r>
      <w:r w:rsidRPr="0043737F">
        <w:rPr>
          <w:rFonts w:cs="Times New Roman"/>
          <w:noProof/>
          <w:sz w:val="24"/>
          <w:szCs w:val="24"/>
        </w:rPr>
        <w:tab/>
        <w:t>Mercado, L. M.</w:t>
      </w:r>
      <w:r w:rsidRPr="0043737F">
        <w:rPr>
          <w:rFonts w:cs="Times New Roman"/>
          <w:i/>
          <w:noProof/>
          <w:sz w:val="24"/>
          <w:szCs w:val="24"/>
        </w:rPr>
        <w:t xml:space="preserve"> et al.</w:t>
      </w:r>
      <w:r w:rsidRPr="0043737F">
        <w:rPr>
          <w:rFonts w:cs="Times New Roman"/>
          <w:noProof/>
          <w:sz w:val="24"/>
          <w:szCs w:val="24"/>
        </w:rPr>
        <w:t xml:space="preserve"> Large sensitivity in land carbon storage due to geographical and temporal variation in the thermal response of photosynthetic capacity. </w:t>
      </w:r>
      <w:r w:rsidRPr="00B43E3C">
        <w:rPr>
          <w:rFonts w:cs="Times New Roman"/>
          <w:i/>
          <w:noProof/>
          <w:sz w:val="24"/>
          <w:szCs w:val="24"/>
          <w:lang w:val="fr-FR"/>
        </w:rPr>
        <w:t>New Phytologist</w:t>
      </w:r>
      <w:r w:rsidRPr="00B43E3C">
        <w:rPr>
          <w:rFonts w:cs="Times New Roman"/>
          <w:noProof/>
          <w:sz w:val="24"/>
          <w:szCs w:val="24"/>
          <w:lang w:val="fr-FR"/>
        </w:rPr>
        <w:t xml:space="preserve"> </w:t>
      </w:r>
      <w:r w:rsidRPr="00B43E3C">
        <w:rPr>
          <w:rFonts w:cs="Times New Roman"/>
          <w:b/>
          <w:noProof/>
          <w:sz w:val="24"/>
          <w:szCs w:val="24"/>
          <w:lang w:val="fr-FR"/>
        </w:rPr>
        <w:t>218</w:t>
      </w:r>
      <w:r w:rsidRPr="00B43E3C">
        <w:rPr>
          <w:rFonts w:cs="Times New Roman"/>
          <w:noProof/>
          <w:sz w:val="24"/>
          <w:szCs w:val="24"/>
          <w:lang w:val="fr-FR"/>
        </w:rPr>
        <w:t>, 1462-1477, doi:doi:10.1111/nph.15100 (2018).</w:t>
      </w:r>
    </w:p>
    <w:p w:rsidR="00EF5658" w:rsidRPr="0043737F" w:rsidRDefault="00EF5658" w:rsidP="00EF5658">
      <w:pPr>
        <w:ind w:left="720" w:hanging="720"/>
        <w:rPr>
          <w:rFonts w:cs="Times New Roman"/>
          <w:noProof/>
          <w:sz w:val="24"/>
          <w:szCs w:val="24"/>
        </w:rPr>
      </w:pPr>
      <w:r w:rsidRPr="00B43E3C">
        <w:rPr>
          <w:rFonts w:cs="Times New Roman"/>
          <w:noProof/>
          <w:sz w:val="24"/>
          <w:szCs w:val="24"/>
          <w:lang w:val="fr-FR"/>
        </w:rPr>
        <w:t>6</w:t>
      </w:r>
      <w:r w:rsidRPr="00B43E3C">
        <w:rPr>
          <w:rFonts w:cs="Times New Roman"/>
          <w:noProof/>
          <w:sz w:val="24"/>
          <w:szCs w:val="24"/>
          <w:lang w:val="fr-FR"/>
        </w:rPr>
        <w:tab/>
        <w:t>Brienen, R. J. W.</w:t>
      </w:r>
      <w:r w:rsidRPr="00B43E3C">
        <w:rPr>
          <w:rFonts w:cs="Times New Roman"/>
          <w:i/>
          <w:noProof/>
          <w:sz w:val="24"/>
          <w:szCs w:val="24"/>
          <w:lang w:val="fr-FR"/>
        </w:rPr>
        <w:t xml:space="preserve"> et al.</w:t>
      </w:r>
      <w:r w:rsidRPr="00B43E3C">
        <w:rPr>
          <w:rFonts w:cs="Times New Roman"/>
          <w:noProof/>
          <w:sz w:val="24"/>
          <w:szCs w:val="24"/>
          <w:lang w:val="fr-FR"/>
        </w:rPr>
        <w:t xml:space="preserve"> </w:t>
      </w:r>
      <w:r w:rsidRPr="0043737F">
        <w:rPr>
          <w:rFonts w:cs="Times New Roman"/>
          <w:noProof/>
          <w:sz w:val="24"/>
          <w:szCs w:val="24"/>
        </w:rPr>
        <w:t xml:space="preserve">Long-term decline of the Amazon carbon sink. </w:t>
      </w:r>
      <w:r w:rsidRPr="0043737F">
        <w:rPr>
          <w:rFonts w:cs="Times New Roman"/>
          <w:i/>
          <w:noProof/>
          <w:sz w:val="24"/>
          <w:szCs w:val="24"/>
        </w:rPr>
        <w:t>Nature</w:t>
      </w:r>
      <w:r w:rsidRPr="0043737F">
        <w:rPr>
          <w:rFonts w:cs="Times New Roman"/>
          <w:noProof/>
          <w:sz w:val="24"/>
          <w:szCs w:val="24"/>
        </w:rPr>
        <w:t xml:space="preserve"> </w:t>
      </w:r>
      <w:r w:rsidRPr="0043737F">
        <w:rPr>
          <w:rFonts w:cs="Times New Roman"/>
          <w:b/>
          <w:noProof/>
          <w:sz w:val="24"/>
          <w:szCs w:val="24"/>
        </w:rPr>
        <w:t>519</w:t>
      </w:r>
      <w:r w:rsidRPr="0043737F">
        <w:rPr>
          <w:rFonts w:cs="Times New Roman"/>
          <w:noProof/>
          <w:sz w:val="24"/>
          <w:szCs w:val="24"/>
        </w:rPr>
        <w:t>, 344-348, doi:10.1038/nature14283 (2015).</w:t>
      </w:r>
    </w:p>
    <w:p w:rsidR="00EF5658" w:rsidRPr="0043737F" w:rsidRDefault="00EF5658" w:rsidP="00EF5658">
      <w:pPr>
        <w:ind w:left="720" w:hanging="720"/>
        <w:rPr>
          <w:rFonts w:cs="Times New Roman"/>
          <w:noProof/>
          <w:sz w:val="24"/>
          <w:szCs w:val="24"/>
        </w:rPr>
      </w:pPr>
      <w:r w:rsidRPr="0043737F">
        <w:rPr>
          <w:rFonts w:cs="Times New Roman"/>
          <w:noProof/>
          <w:sz w:val="24"/>
          <w:szCs w:val="24"/>
        </w:rPr>
        <w:t>7</w:t>
      </w:r>
      <w:r w:rsidRPr="0043737F">
        <w:rPr>
          <w:rFonts w:cs="Times New Roman"/>
          <w:noProof/>
          <w:sz w:val="24"/>
          <w:szCs w:val="24"/>
        </w:rPr>
        <w:tab/>
        <w:t>Piao, S.</w:t>
      </w:r>
      <w:r w:rsidRPr="0043737F">
        <w:rPr>
          <w:rFonts w:cs="Times New Roman"/>
          <w:i/>
          <w:noProof/>
          <w:sz w:val="24"/>
          <w:szCs w:val="24"/>
        </w:rPr>
        <w:t xml:space="preserve"> et al.</w:t>
      </w:r>
      <w:r w:rsidRPr="0043737F">
        <w:rPr>
          <w:rFonts w:cs="Times New Roman"/>
          <w:noProof/>
          <w:sz w:val="24"/>
          <w:szCs w:val="24"/>
        </w:rPr>
        <w:t xml:space="preserve"> Evaluation of terrestrial carbon cycle models for their response to climate variability and to CO</w:t>
      </w:r>
      <w:r w:rsidRPr="00EF5658">
        <w:rPr>
          <w:rFonts w:cs="Times New Roman"/>
          <w:noProof/>
          <w:sz w:val="24"/>
          <w:szCs w:val="24"/>
          <w:vertAlign w:val="subscript"/>
        </w:rPr>
        <w:t>2</w:t>
      </w:r>
      <w:r w:rsidRPr="0043737F">
        <w:rPr>
          <w:rFonts w:cs="Times New Roman"/>
          <w:noProof/>
          <w:sz w:val="24"/>
          <w:szCs w:val="24"/>
        </w:rPr>
        <w:t xml:space="preserve"> trends. </w:t>
      </w:r>
      <w:r w:rsidRPr="0043737F">
        <w:rPr>
          <w:rFonts w:cs="Times New Roman"/>
          <w:i/>
          <w:noProof/>
          <w:sz w:val="24"/>
          <w:szCs w:val="24"/>
        </w:rPr>
        <w:t>Global Change Biology</w:t>
      </w:r>
      <w:r w:rsidRPr="0043737F">
        <w:rPr>
          <w:rFonts w:cs="Times New Roman"/>
          <w:noProof/>
          <w:sz w:val="24"/>
          <w:szCs w:val="24"/>
        </w:rPr>
        <w:t xml:space="preserve"> </w:t>
      </w:r>
      <w:r w:rsidRPr="0043737F">
        <w:rPr>
          <w:rFonts w:cs="Times New Roman"/>
          <w:b/>
          <w:noProof/>
          <w:sz w:val="24"/>
          <w:szCs w:val="24"/>
        </w:rPr>
        <w:t>19</w:t>
      </w:r>
      <w:r w:rsidRPr="0043737F">
        <w:rPr>
          <w:rFonts w:cs="Times New Roman"/>
          <w:noProof/>
          <w:sz w:val="24"/>
          <w:szCs w:val="24"/>
        </w:rPr>
        <w:t>, 2117-2132, doi:10.1111/gcb.12187 (2013).</w:t>
      </w:r>
    </w:p>
    <w:p w:rsidR="00EF5658" w:rsidRPr="0043737F" w:rsidRDefault="00EF5658" w:rsidP="00EF5658">
      <w:pPr>
        <w:ind w:left="720" w:hanging="720"/>
        <w:rPr>
          <w:rFonts w:cs="Times New Roman"/>
          <w:noProof/>
          <w:sz w:val="24"/>
          <w:szCs w:val="24"/>
        </w:rPr>
      </w:pPr>
      <w:r w:rsidRPr="0043737F">
        <w:rPr>
          <w:rFonts w:cs="Times New Roman"/>
          <w:noProof/>
          <w:sz w:val="24"/>
          <w:szCs w:val="24"/>
        </w:rPr>
        <w:t>8</w:t>
      </w:r>
      <w:r w:rsidRPr="0043737F">
        <w:rPr>
          <w:rFonts w:cs="Times New Roman"/>
          <w:noProof/>
          <w:sz w:val="24"/>
          <w:szCs w:val="24"/>
        </w:rPr>
        <w:tab/>
        <w:t>Schimel, D., Stephens, B. B. &amp; Fisher, J. B. Effect of increasing CO</w:t>
      </w:r>
      <w:r w:rsidRPr="00EF5658">
        <w:rPr>
          <w:rFonts w:cs="Times New Roman"/>
          <w:noProof/>
          <w:sz w:val="24"/>
          <w:szCs w:val="24"/>
          <w:vertAlign w:val="subscript"/>
        </w:rPr>
        <w:t>2</w:t>
      </w:r>
      <w:r w:rsidRPr="0043737F">
        <w:rPr>
          <w:rFonts w:cs="Times New Roman"/>
          <w:noProof/>
          <w:sz w:val="24"/>
          <w:szCs w:val="24"/>
        </w:rPr>
        <w:t xml:space="preserve"> on the terrestrial carbon cycle. </w:t>
      </w:r>
      <w:r w:rsidRPr="0043737F">
        <w:rPr>
          <w:rFonts w:cs="Times New Roman"/>
          <w:i/>
          <w:noProof/>
          <w:sz w:val="24"/>
          <w:szCs w:val="24"/>
        </w:rPr>
        <w:t>Proceedings of the National Academy of Sciences</w:t>
      </w:r>
      <w:r w:rsidRPr="0043737F">
        <w:rPr>
          <w:rFonts w:cs="Times New Roman"/>
          <w:noProof/>
          <w:sz w:val="24"/>
          <w:szCs w:val="24"/>
        </w:rPr>
        <w:t xml:space="preserve"> </w:t>
      </w:r>
      <w:r w:rsidRPr="0043737F">
        <w:rPr>
          <w:rFonts w:cs="Times New Roman"/>
          <w:b/>
          <w:noProof/>
          <w:sz w:val="24"/>
          <w:szCs w:val="24"/>
        </w:rPr>
        <w:t>112</w:t>
      </w:r>
      <w:r w:rsidRPr="0043737F">
        <w:rPr>
          <w:rFonts w:cs="Times New Roman"/>
          <w:noProof/>
          <w:sz w:val="24"/>
          <w:szCs w:val="24"/>
        </w:rPr>
        <w:t>, 436-441, doi:10.1073/pnas.1407302112 (2015).</w:t>
      </w:r>
    </w:p>
    <w:p w:rsidR="00EF5658" w:rsidRPr="0043737F" w:rsidRDefault="00EF5658" w:rsidP="00EF5658">
      <w:pPr>
        <w:ind w:left="720" w:hanging="720"/>
        <w:rPr>
          <w:rFonts w:cs="Times New Roman"/>
          <w:noProof/>
          <w:sz w:val="24"/>
          <w:szCs w:val="24"/>
        </w:rPr>
      </w:pPr>
      <w:r w:rsidRPr="0043737F">
        <w:rPr>
          <w:rFonts w:cs="Times New Roman"/>
          <w:noProof/>
          <w:sz w:val="24"/>
          <w:szCs w:val="24"/>
        </w:rPr>
        <w:t>9</w:t>
      </w:r>
      <w:r w:rsidRPr="0043737F">
        <w:rPr>
          <w:rFonts w:cs="Times New Roman"/>
          <w:noProof/>
          <w:sz w:val="24"/>
          <w:szCs w:val="24"/>
        </w:rPr>
        <w:tab/>
        <w:t>Anderegg, W. R. L.</w:t>
      </w:r>
      <w:r w:rsidRPr="0043737F">
        <w:rPr>
          <w:rFonts w:cs="Times New Roman"/>
          <w:i/>
          <w:noProof/>
          <w:sz w:val="24"/>
          <w:szCs w:val="24"/>
        </w:rPr>
        <w:t xml:space="preserve"> et al.</w:t>
      </w:r>
      <w:r w:rsidRPr="0043737F">
        <w:rPr>
          <w:rFonts w:cs="Times New Roman"/>
          <w:noProof/>
          <w:sz w:val="24"/>
          <w:szCs w:val="24"/>
        </w:rPr>
        <w:t xml:space="preserve"> Tropical nighttime warming as a dominant driver of variability in the terrestrial carbon sink. </w:t>
      </w:r>
      <w:r w:rsidRPr="0043737F">
        <w:rPr>
          <w:rFonts w:cs="Times New Roman"/>
          <w:i/>
          <w:noProof/>
          <w:sz w:val="24"/>
          <w:szCs w:val="24"/>
        </w:rPr>
        <w:t>Proceedings of the National Academy of Sciences</w:t>
      </w:r>
      <w:r w:rsidRPr="0043737F">
        <w:rPr>
          <w:rFonts w:cs="Times New Roman"/>
          <w:noProof/>
          <w:sz w:val="24"/>
          <w:szCs w:val="24"/>
        </w:rPr>
        <w:t xml:space="preserve"> </w:t>
      </w:r>
      <w:r w:rsidRPr="0043737F">
        <w:rPr>
          <w:rFonts w:cs="Times New Roman"/>
          <w:b/>
          <w:noProof/>
          <w:sz w:val="24"/>
          <w:szCs w:val="24"/>
        </w:rPr>
        <w:t>112</w:t>
      </w:r>
      <w:r w:rsidRPr="0043737F">
        <w:rPr>
          <w:rFonts w:cs="Times New Roman"/>
          <w:noProof/>
          <w:sz w:val="24"/>
          <w:szCs w:val="24"/>
        </w:rPr>
        <w:t>, 15591-15596, doi:10.1073/pnas.1521479112 (2015).</w:t>
      </w:r>
    </w:p>
    <w:p w:rsidR="00EF5658" w:rsidRPr="0043737F" w:rsidRDefault="00EF5658" w:rsidP="00EF5658">
      <w:pPr>
        <w:ind w:left="720" w:hanging="720"/>
        <w:rPr>
          <w:rFonts w:cs="Times New Roman"/>
          <w:noProof/>
          <w:sz w:val="24"/>
          <w:szCs w:val="24"/>
        </w:rPr>
      </w:pPr>
      <w:r w:rsidRPr="0043737F">
        <w:rPr>
          <w:rFonts w:cs="Times New Roman"/>
          <w:noProof/>
          <w:sz w:val="24"/>
          <w:szCs w:val="24"/>
        </w:rPr>
        <w:t>10</w:t>
      </w:r>
      <w:r w:rsidRPr="0043737F">
        <w:rPr>
          <w:rFonts w:cs="Times New Roman"/>
          <w:noProof/>
          <w:sz w:val="24"/>
          <w:szCs w:val="24"/>
        </w:rPr>
        <w:tab/>
        <w:t>Ciais, P.</w:t>
      </w:r>
      <w:r w:rsidRPr="0043737F">
        <w:rPr>
          <w:rFonts w:cs="Times New Roman"/>
          <w:i/>
          <w:noProof/>
          <w:sz w:val="24"/>
          <w:szCs w:val="24"/>
        </w:rPr>
        <w:t xml:space="preserve"> et al.</w:t>
      </w:r>
      <w:r w:rsidRPr="0043737F">
        <w:rPr>
          <w:rFonts w:cs="Times New Roman"/>
          <w:noProof/>
          <w:sz w:val="24"/>
          <w:szCs w:val="24"/>
        </w:rPr>
        <w:t xml:space="preserve"> Five decades of northern land carbon uptake revealed by the interhemispheric CO</w:t>
      </w:r>
      <w:r w:rsidRPr="00EF5658">
        <w:rPr>
          <w:rFonts w:cs="Times New Roman"/>
          <w:noProof/>
          <w:sz w:val="24"/>
          <w:szCs w:val="24"/>
          <w:vertAlign w:val="subscript"/>
        </w:rPr>
        <w:t>2</w:t>
      </w:r>
      <w:r w:rsidRPr="0043737F">
        <w:rPr>
          <w:rFonts w:cs="Times New Roman"/>
          <w:noProof/>
          <w:sz w:val="24"/>
          <w:szCs w:val="24"/>
        </w:rPr>
        <w:t xml:space="preserve"> gradient. </w:t>
      </w:r>
      <w:r w:rsidRPr="0043737F">
        <w:rPr>
          <w:rFonts w:cs="Times New Roman"/>
          <w:i/>
          <w:noProof/>
          <w:sz w:val="24"/>
          <w:szCs w:val="24"/>
        </w:rPr>
        <w:t>Nature</w:t>
      </w:r>
      <w:r w:rsidRPr="0043737F">
        <w:rPr>
          <w:rFonts w:cs="Times New Roman"/>
          <w:noProof/>
          <w:sz w:val="24"/>
          <w:szCs w:val="24"/>
        </w:rPr>
        <w:t>, doi:10.1038/s41586-019-1078-6 (2019).</w:t>
      </w:r>
    </w:p>
    <w:p w:rsidR="00EF5658" w:rsidRPr="00B43E3C" w:rsidRDefault="00EF5658" w:rsidP="00EF5658">
      <w:pPr>
        <w:ind w:left="720" w:hanging="720"/>
        <w:rPr>
          <w:rFonts w:cs="Times New Roman"/>
          <w:noProof/>
          <w:sz w:val="24"/>
          <w:szCs w:val="24"/>
          <w:lang w:val="fr-FR"/>
        </w:rPr>
      </w:pPr>
      <w:r w:rsidRPr="0043737F">
        <w:rPr>
          <w:rFonts w:cs="Times New Roman"/>
          <w:noProof/>
          <w:sz w:val="24"/>
          <w:szCs w:val="24"/>
        </w:rPr>
        <w:t>11</w:t>
      </w:r>
      <w:r w:rsidRPr="0043737F">
        <w:rPr>
          <w:rFonts w:cs="Times New Roman"/>
          <w:noProof/>
          <w:sz w:val="24"/>
          <w:szCs w:val="24"/>
        </w:rPr>
        <w:tab/>
        <w:t xml:space="preserve">Lewis, S. L., Edwards, D. P. &amp; Galbraith, D. Increasing human dominance of tropical forests. </w:t>
      </w:r>
      <w:r w:rsidRPr="00B43E3C">
        <w:rPr>
          <w:rFonts w:cs="Times New Roman"/>
          <w:i/>
          <w:noProof/>
          <w:sz w:val="24"/>
          <w:szCs w:val="24"/>
          <w:lang w:val="fr-FR"/>
        </w:rPr>
        <w:t>Science</w:t>
      </w:r>
      <w:r w:rsidRPr="00B43E3C">
        <w:rPr>
          <w:rFonts w:cs="Times New Roman"/>
          <w:noProof/>
          <w:sz w:val="24"/>
          <w:szCs w:val="24"/>
          <w:lang w:val="fr-FR"/>
        </w:rPr>
        <w:t xml:space="preserve"> </w:t>
      </w:r>
      <w:r w:rsidRPr="00B43E3C">
        <w:rPr>
          <w:rFonts w:cs="Times New Roman"/>
          <w:b/>
          <w:noProof/>
          <w:sz w:val="24"/>
          <w:szCs w:val="24"/>
          <w:lang w:val="fr-FR"/>
        </w:rPr>
        <w:t>349</w:t>
      </w:r>
      <w:r w:rsidRPr="00B43E3C">
        <w:rPr>
          <w:rFonts w:cs="Times New Roman"/>
          <w:noProof/>
          <w:sz w:val="24"/>
          <w:szCs w:val="24"/>
          <w:lang w:val="fr-FR"/>
        </w:rPr>
        <w:t>, 827-832, doi:10.1126/science.aaa9932 (2015).</w:t>
      </w:r>
    </w:p>
    <w:p w:rsidR="00EF5658" w:rsidRPr="0043737F" w:rsidRDefault="00EF5658" w:rsidP="00EF5658">
      <w:pPr>
        <w:ind w:left="720" w:hanging="720"/>
        <w:rPr>
          <w:rFonts w:cs="Times New Roman"/>
          <w:noProof/>
          <w:sz w:val="24"/>
          <w:szCs w:val="24"/>
        </w:rPr>
      </w:pPr>
      <w:r w:rsidRPr="00B43E3C">
        <w:rPr>
          <w:rFonts w:cs="Times New Roman"/>
          <w:noProof/>
          <w:sz w:val="24"/>
          <w:szCs w:val="24"/>
          <w:lang w:val="fr-FR"/>
        </w:rPr>
        <w:t>12</w:t>
      </w:r>
      <w:r w:rsidRPr="00B43E3C">
        <w:rPr>
          <w:rFonts w:cs="Times New Roman"/>
          <w:noProof/>
          <w:sz w:val="24"/>
          <w:szCs w:val="24"/>
          <w:lang w:val="fr-FR"/>
        </w:rPr>
        <w:tab/>
        <w:t>Pugh, T. A. M.</w:t>
      </w:r>
      <w:r w:rsidRPr="00B43E3C">
        <w:rPr>
          <w:rFonts w:cs="Times New Roman"/>
          <w:i/>
          <w:noProof/>
          <w:sz w:val="24"/>
          <w:szCs w:val="24"/>
          <w:lang w:val="fr-FR"/>
        </w:rPr>
        <w:t xml:space="preserve"> et al.</w:t>
      </w:r>
      <w:r w:rsidRPr="00B43E3C">
        <w:rPr>
          <w:rFonts w:cs="Times New Roman"/>
          <w:noProof/>
          <w:sz w:val="24"/>
          <w:szCs w:val="24"/>
          <w:lang w:val="fr-FR"/>
        </w:rPr>
        <w:t xml:space="preserve"> </w:t>
      </w:r>
      <w:r w:rsidRPr="0043737F">
        <w:rPr>
          <w:rFonts w:cs="Times New Roman"/>
          <w:noProof/>
          <w:sz w:val="24"/>
          <w:szCs w:val="24"/>
        </w:rPr>
        <w:t xml:space="preserve">Role of forest regrowth in global carbon sink dynamics. </w:t>
      </w:r>
      <w:r w:rsidRPr="0043737F">
        <w:rPr>
          <w:rFonts w:cs="Times New Roman"/>
          <w:i/>
          <w:noProof/>
          <w:sz w:val="24"/>
          <w:szCs w:val="24"/>
        </w:rPr>
        <w:t>Proceedings of the National Academy of Sciences</w:t>
      </w:r>
      <w:r w:rsidRPr="0043737F">
        <w:rPr>
          <w:rFonts w:cs="Times New Roman"/>
          <w:noProof/>
          <w:sz w:val="24"/>
          <w:szCs w:val="24"/>
        </w:rPr>
        <w:t xml:space="preserve"> </w:t>
      </w:r>
      <w:r w:rsidRPr="0043737F">
        <w:rPr>
          <w:rFonts w:cs="Times New Roman"/>
          <w:b/>
          <w:noProof/>
          <w:sz w:val="24"/>
          <w:szCs w:val="24"/>
        </w:rPr>
        <w:t>116</w:t>
      </w:r>
      <w:r w:rsidRPr="0043737F">
        <w:rPr>
          <w:rFonts w:cs="Times New Roman"/>
          <w:noProof/>
          <w:sz w:val="24"/>
          <w:szCs w:val="24"/>
        </w:rPr>
        <w:t>, 4382-4387, doi:10.1073/pnas.1810512116 (2019).</w:t>
      </w:r>
    </w:p>
    <w:p w:rsidR="00EF5658" w:rsidRPr="0043737F" w:rsidRDefault="00EF5658" w:rsidP="00EF5658">
      <w:pPr>
        <w:ind w:left="720" w:hanging="720"/>
        <w:rPr>
          <w:rFonts w:cs="Times New Roman"/>
          <w:noProof/>
          <w:sz w:val="24"/>
          <w:szCs w:val="24"/>
        </w:rPr>
      </w:pPr>
      <w:r w:rsidRPr="0043737F">
        <w:rPr>
          <w:rFonts w:cs="Times New Roman"/>
          <w:noProof/>
          <w:sz w:val="24"/>
          <w:szCs w:val="24"/>
        </w:rPr>
        <w:t>13</w:t>
      </w:r>
      <w:r w:rsidRPr="0043737F">
        <w:rPr>
          <w:rFonts w:cs="Times New Roman"/>
          <w:noProof/>
          <w:sz w:val="24"/>
          <w:szCs w:val="24"/>
        </w:rPr>
        <w:tab/>
        <w:t>Lewis, S. L.</w:t>
      </w:r>
      <w:r w:rsidRPr="0043737F">
        <w:rPr>
          <w:rFonts w:cs="Times New Roman"/>
          <w:i/>
          <w:noProof/>
          <w:sz w:val="24"/>
          <w:szCs w:val="24"/>
        </w:rPr>
        <w:t xml:space="preserve"> et al.</w:t>
      </w:r>
      <w:r w:rsidRPr="0043737F">
        <w:rPr>
          <w:rFonts w:cs="Times New Roman"/>
          <w:noProof/>
          <w:sz w:val="24"/>
          <w:szCs w:val="24"/>
        </w:rPr>
        <w:t xml:space="preserve"> Increasing carbon storage in intact African tropical forests. </w:t>
      </w:r>
      <w:r w:rsidRPr="0043737F">
        <w:rPr>
          <w:rFonts w:cs="Times New Roman"/>
          <w:i/>
          <w:noProof/>
          <w:sz w:val="24"/>
          <w:szCs w:val="24"/>
        </w:rPr>
        <w:t>Nature</w:t>
      </w:r>
      <w:r w:rsidRPr="0043737F">
        <w:rPr>
          <w:rFonts w:cs="Times New Roman"/>
          <w:noProof/>
          <w:sz w:val="24"/>
          <w:szCs w:val="24"/>
        </w:rPr>
        <w:t xml:space="preserve"> </w:t>
      </w:r>
      <w:r w:rsidRPr="0043737F">
        <w:rPr>
          <w:rFonts w:cs="Times New Roman"/>
          <w:b/>
          <w:noProof/>
          <w:sz w:val="24"/>
          <w:szCs w:val="24"/>
        </w:rPr>
        <w:t>457</w:t>
      </w:r>
      <w:r w:rsidRPr="0043737F">
        <w:rPr>
          <w:rFonts w:cs="Times New Roman"/>
          <w:noProof/>
          <w:sz w:val="24"/>
          <w:szCs w:val="24"/>
        </w:rPr>
        <w:t>, 1003-1006, doi:10.1038/nature07771 (2009).</w:t>
      </w:r>
    </w:p>
    <w:p w:rsidR="00EF5658" w:rsidRPr="0043737F" w:rsidRDefault="00EF5658" w:rsidP="00EF5658">
      <w:pPr>
        <w:ind w:left="720" w:hanging="720"/>
        <w:rPr>
          <w:rFonts w:cs="Times New Roman"/>
          <w:noProof/>
          <w:sz w:val="24"/>
          <w:szCs w:val="24"/>
        </w:rPr>
      </w:pPr>
      <w:r w:rsidRPr="0043737F">
        <w:rPr>
          <w:rFonts w:cs="Times New Roman"/>
          <w:noProof/>
          <w:sz w:val="24"/>
          <w:szCs w:val="24"/>
        </w:rPr>
        <w:lastRenderedPageBreak/>
        <w:t>14</w:t>
      </w:r>
      <w:r w:rsidRPr="0043737F">
        <w:rPr>
          <w:rFonts w:cs="Times New Roman"/>
          <w:noProof/>
          <w:sz w:val="24"/>
          <w:szCs w:val="24"/>
        </w:rPr>
        <w:tab/>
        <w:t>Phillips, O. L.</w:t>
      </w:r>
      <w:r w:rsidRPr="0043737F">
        <w:rPr>
          <w:rFonts w:cs="Times New Roman"/>
          <w:i/>
          <w:noProof/>
          <w:sz w:val="24"/>
          <w:szCs w:val="24"/>
        </w:rPr>
        <w:t xml:space="preserve"> et al.</w:t>
      </w:r>
      <w:r w:rsidRPr="0043737F">
        <w:rPr>
          <w:rFonts w:cs="Times New Roman"/>
          <w:noProof/>
          <w:sz w:val="24"/>
          <w:szCs w:val="24"/>
        </w:rPr>
        <w:t xml:space="preserve"> Drought sensitivity of the Amazon rainforest. </w:t>
      </w:r>
      <w:r w:rsidRPr="0043737F">
        <w:rPr>
          <w:rFonts w:cs="Times New Roman"/>
          <w:i/>
          <w:noProof/>
          <w:sz w:val="24"/>
          <w:szCs w:val="24"/>
        </w:rPr>
        <w:t>Science</w:t>
      </w:r>
      <w:r w:rsidRPr="0043737F">
        <w:rPr>
          <w:rFonts w:cs="Times New Roman"/>
          <w:noProof/>
          <w:sz w:val="24"/>
          <w:szCs w:val="24"/>
        </w:rPr>
        <w:t xml:space="preserve"> </w:t>
      </w:r>
      <w:r w:rsidRPr="0043737F">
        <w:rPr>
          <w:rFonts w:cs="Times New Roman"/>
          <w:b/>
          <w:noProof/>
          <w:sz w:val="24"/>
          <w:szCs w:val="24"/>
        </w:rPr>
        <w:t>323</w:t>
      </w:r>
      <w:r w:rsidRPr="0043737F">
        <w:rPr>
          <w:rFonts w:cs="Times New Roman"/>
          <w:noProof/>
          <w:sz w:val="24"/>
          <w:szCs w:val="24"/>
        </w:rPr>
        <w:t>, 1344-1347, doi:10.1126/science.1164033 (2009).</w:t>
      </w:r>
    </w:p>
    <w:p w:rsidR="00EF5658" w:rsidRPr="0043737F" w:rsidRDefault="00EF5658" w:rsidP="00EF5658">
      <w:pPr>
        <w:ind w:left="720" w:hanging="720"/>
        <w:rPr>
          <w:rFonts w:cs="Times New Roman"/>
          <w:noProof/>
          <w:sz w:val="24"/>
          <w:szCs w:val="24"/>
        </w:rPr>
      </w:pPr>
      <w:r w:rsidRPr="0043737F">
        <w:rPr>
          <w:rFonts w:cs="Times New Roman"/>
          <w:noProof/>
          <w:sz w:val="24"/>
          <w:szCs w:val="24"/>
        </w:rPr>
        <w:t>15</w:t>
      </w:r>
      <w:r w:rsidRPr="0043737F">
        <w:rPr>
          <w:rFonts w:cs="Times New Roman"/>
          <w:noProof/>
          <w:sz w:val="24"/>
          <w:szCs w:val="24"/>
        </w:rPr>
        <w:tab/>
        <w:t>Qie, L.</w:t>
      </w:r>
      <w:r w:rsidRPr="0043737F">
        <w:rPr>
          <w:rFonts w:cs="Times New Roman"/>
          <w:i/>
          <w:noProof/>
          <w:sz w:val="24"/>
          <w:szCs w:val="24"/>
        </w:rPr>
        <w:t xml:space="preserve"> et al.</w:t>
      </w:r>
      <w:r w:rsidRPr="0043737F">
        <w:rPr>
          <w:rFonts w:cs="Times New Roman"/>
          <w:noProof/>
          <w:sz w:val="24"/>
          <w:szCs w:val="24"/>
        </w:rPr>
        <w:t xml:space="preserve"> Long-term carbon sink in Borneo’s forests halted by drought and vulnerable to edge effects. </w:t>
      </w:r>
      <w:r w:rsidRPr="0043737F">
        <w:rPr>
          <w:rFonts w:cs="Times New Roman"/>
          <w:i/>
          <w:noProof/>
          <w:sz w:val="24"/>
          <w:szCs w:val="24"/>
        </w:rPr>
        <w:t>Nature Communications</w:t>
      </w:r>
      <w:r w:rsidRPr="0043737F">
        <w:rPr>
          <w:rFonts w:cs="Times New Roman"/>
          <w:noProof/>
          <w:sz w:val="24"/>
          <w:szCs w:val="24"/>
        </w:rPr>
        <w:t xml:space="preserve"> </w:t>
      </w:r>
      <w:r w:rsidRPr="0043737F">
        <w:rPr>
          <w:rFonts w:cs="Times New Roman"/>
          <w:b/>
          <w:noProof/>
          <w:sz w:val="24"/>
          <w:szCs w:val="24"/>
        </w:rPr>
        <w:t>8</w:t>
      </w:r>
      <w:r w:rsidRPr="0043737F">
        <w:rPr>
          <w:rFonts w:cs="Times New Roman"/>
          <w:noProof/>
          <w:sz w:val="24"/>
          <w:szCs w:val="24"/>
        </w:rPr>
        <w:t>, 1966, doi:10.1038/s41467-017-01997-0 (2017).</w:t>
      </w:r>
    </w:p>
    <w:p w:rsidR="00EF5658" w:rsidRPr="0043737F" w:rsidRDefault="00EF5658" w:rsidP="00EF5658">
      <w:pPr>
        <w:ind w:left="720" w:hanging="720"/>
        <w:rPr>
          <w:rFonts w:cs="Times New Roman"/>
          <w:noProof/>
          <w:sz w:val="24"/>
          <w:szCs w:val="24"/>
        </w:rPr>
      </w:pPr>
      <w:r w:rsidRPr="0043737F">
        <w:rPr>
          <w:rFonts w:cs="Times New Roman"/>
          <w:noProof/>
          <w:sz w:val="24"/>
          <w:szCs w:val="24"/>
        </w:rPr>
        <w:t>16</w:t>
      </w:r>
      <w:r w:rsidRPr="0043737F">
        <w:rPr>
          <w:rFonts w:cs="Times New Roman"/>
          <w:noProof/>
          <w:sz w:val="24"/>
          <w:szCs w:val="24"/>
        </w:rPr>
        <w:tab/>
        <w:t>Gatti, L. V.</w:t>
      </w:r>
      <w:r w:rsidRPr="0043737F">
        <w:rPr>
          <w:rFonts w:cs="Times New Roman"/>
          <w:i/>
          <w:noProof/>
          <w:sz w:val="24"/>
          <w:szCs w:val="24"/>
        </w:rPr>
        <w:t xml:space="preserve"> et al.</w:t>
      </w:r>
      <w:r w:rsidRPr="0043737F">
        <w:rPr>
          <w:rFonts w:cs="Times New Roman"/>
          <w:noProof/>
          <w:sz w:val="24"/>
          <w:szCs w:val="24"/>
        </w:rPr>
        <w:t xml:space="preserve"> Drought sensitivity of Amazonian carbon balance revealed by atmospheric measurements. </w:t>
      </w:r>
      <w:r w:rsidRPr="0043737F">
        <w:rPr>
          <w:rFonts w:cs="Times New Roman"/>
          <w:i/>
          <w:noProof/>
          <w:sz w:val="24"/>
          <w:szCs w:val="24"/>
        </w:rPr>
        <w:t>Nature</w:t>
      </w:r>
      <w:r w:rsidRPr="0043737F">
        <w:rPr>
          <w:rFonts w:cs="Times New Roman"/>
          <w:noProof/>
          <w:sz w:val="24"/>
          <w:szCs w:val="24"/>
        </w:rPr>
        <w:t xml:space="preserve"> </w:t>
      </w:r>
      <w:r w:rsidRPr="0043737F">
        <w:rPr>
          <w:rFonts w:cs="Times New Roman"/>
          <w:b/>
          <w:noProof/>
          <w:sz w:val="24"/>
          <w:szCs w:val="24"/>
        </w:rPr>
        <w:t>506</w:t>
      </w:r>
      <w:r w:rsidRPr="0043737F">
        <w:rPr>
          <w:rFonts w:cs="Times New Roman"/>
          <w:noProof/>
          <w:sz w:val="24"/>
          <w:szCs w:val="24"/>
        </w:rPr>
        <w:t>, 76-80, doi:10.1038/nature12957 (2014).</w:t>
      </w:r>
    </w:p>
    <w:p w:rsidR="00EF5658" w:rsidRPr="0043737F" w:rsidRDefault="00EF5658" w:rsidP="00EF5658">
      <w:pPr>
        <w:ind w:left="720" w:hanging="720"/>
        <w:rPr>
          <w:rFonts w:cs="Times New Roman"/>
          <w:noProof/>
          <w:sz w:val="24"/>
          <w:szCs w:val="24"/>
        </w:rPr>
      </w:pPr>
      <w:r w:rsidRPr="0043737F">
        <w:rPr>
          <w:rFonts w:cs="Times New Roman"/>
          <w:noProof/>
          <w:sz w:val="24"/>
          <w:szCs w:val="24"/>
        </w:rPr>
        <w:t>17</w:t>
      </w:r>
      <w:r w:rsidRPr="0043737F">
        <w:rPr>
          <w:rFonts w:cs="Times New Roman"/>
          <w:noProof/>
          <w:sz w:val="24"/>
          <w:szCs w:val="24"/>
        </w:rPr>
        <w:tab/>
        <w:t>Nemani, R. R.</w:t>
      </w:r>
      <w:r w:rsidRPr="0043737F">
        <w:rPr>
          <w:rFonts w:cs="Times New Roman"/>
          <w:i/>
          <w:noProof/>
          <w:sz w:val="24"/>
          <w:szCs w:val="24"/>
        </w:rPr>
        <w:t xml:space="preserve"> et al.</w:t>
      </w:r>
      <w:r w:rsidRPr="0043737F">
        <w:rPr>
          <w:rFonts w:cs="Times New Roman"/>
          <w:noProof/>
          <w:sz w:val="24"/>
          <w:szCs w:val="24"/>
        </w:rPr>
        <w:t xml:space="preserve"> Climate-driven increases in global terrestrial net primary production from 1982 to 1999. </w:t>
      </w:r>
      <w:r w:rsidRPr="0043737F">
        <w:rPr>
          <w:rFonts w:cs="Times New Roman"/>
          <w:i/>
          <w:noProof/>
          <w:sz w:val="24"/>
          <w:szCs w:val="24"/>
        </w:rPr>
        <w:t>Science</w:t>
      </w:r>
      <w:r w:rsidRPr="0043737F">
        <w:rPr>
          <w:rFonts w:cs="Times New Roman"/>
          <w:noProof/>
          <w:sz w:val="24"/>
          <w:szCs w:val="24"/>
        </w:rPr>
        <w:t xml:space="preserve"> </w:t>
      </w:r>
      <w:r w:rsidRPr="0043737F">
        <w:rPr>
          <w:rFonts w:cs="Times New Roman"/>
          <w:b/>
          <w:noProof/>
          <w:sz w:val="24"/>
          <w:szCs w:val="24"/>
        </w:rPr>
        <w:t>300</w:t>
      </w:r>
      <w:r w:rsidRPr="0043737F">
        <w:rPr>
          <w:rFonts w:cs="Times New Roman"/>
          <w:noProof/>
          <w:sz w:val="24"/>
          <w:szCs w:val="24"/>
        </w:rPr>
        <w:t>, 1560-1563 (2003).</w:t>
      </w:r>
    </w:p>
    <w:p w:rsidR="00EF5658" w:rsidRPr="00B43E3C" w:rsidRDefault="00EF5658" w:rsidP="00EF5658">
      <w:pPr>
        <w:ind w:left="720" w:hanging="720"/>
        <w:rPr>
          <w:rFonts w:cs="Times New Roman"/>
          <w:noProof/>
          <w:sz w:val="24"/>
          <w:szCs w:val="24"/>
          <w:lang w:val="fr-FR"/>
        </w:rPr>
      </w:pPr>
      <w:r w:rsidRPr="0043737F">
        <w:rPr>
          <w:rFonts w:cs="Times New Roman"/>
          <w:noProof/>
          <w:sz w:val="24"/>
          <w:szCs w:val="24"/>
        </w:rPr>
        <w:t>18</w:t>
      </w:r>
      <w:r w:rsidRPr="0043737F">
        <w:rPr>
          <w:rFonts w:cs="Times New Roman"/>
          <w:noProof/>
          <w:sz w:val="24"/>
          <w:szCs w:val="24"/>
        </w:rPr>
        <w:tab/>
        <w:t>Keenan, T. F.</w:t>
      </w:r>
      <w:r w:rsidRPr="0043737F">
        <w:rPr>
          <w:rFonts w:cs="Times New Roman"/>
          <w:i/>
          <w:noProof/>
          <w:sz w:val="24"/>
          <w:szCs w:val="24"/>
        </w:rPr>
        <w:t xml:space="preserve"> et al.</w:t>
      </w:r>
      <w:r w:rsidRPr="0043737F">
        <w:rPr>
          <w:rFonts w:cs="Times New Roman"/>
          <w:noProof/>
          <w:sz w:val="24"/>
          <w:szCs w:val="24"/>
        </w:rPr>
        <w:t xml:space="preserve"> Recent pause in the growth rate of atmospheric CO</w:t>
      </w:r>
      <w:r w:rsidRPr="00EF5658">
        <w:rPr>
          <w:rFonts w:cs="Times New Roman"/>
          <w:noProof/>
          <w:sz w:val="24"/>
          <w:szCs w:val="24"/>
          <w:vertAlign w:val="subscript"/>
        </w:rPr>
        <w:t>2</w:t>
      </w:r>
      <w:r w:rsidRPr="0043737F">
        <w:rPr>
          <w:rFonts w:cs="Times New Roman"/>
          <w:noProof/>
          <w:sz w:val="24"/>
          <w:szCs w:val="24"/>
        </w:rPr>
        <w:t xml:space="preserve"> due to enhanced terrestrial carbon uptake. </w:t>
      </w:r>
      <w:r w:rsidRPr="00B43E3C">
        <w:rPr>
          <w:rFonts w:cs="Times New Roman"/>
          <w:i/>
          <w:noProof/>
          <w:sz w:val="24"/>
          <w:szCs w:val="24"/>
          <w:lang w:val="fr-FR"/>
        </w:rPr>
        <w:t>Nature Communications</w:t>
      </w:r>
      <w:r w:rsidRPr="00B43E3C">
        <w:rPr>
          <w:rFonts w:cs="Times New Roman"/>
          <w:noProof/>
          <w:sz w:val="24"/>
          <w:szCs w:val="24"/>
          <w:lang w:val="fr-FR"/>
        </w:rPr>
        <w:t xml:space="preserve"> </w:t>
      </w:r>
      <w:r w:rsidRPr="00B43E3C">
        <w:rPr>
          <w:rFonts w:cs="Times New Roman"/>
          <w:b/>
          <w:noProof/>
          <w:sz w:val="24"/>
          <w:szCs w:val="24"/>
          <w:lang w:val="fr-FR"/>
        </w:rPr>
        <w:t>7</w:t>
      </w:r>
      <w:r w:rsidRPr="00B43E3C">
        <w:rPr>
          <w:rFonts w:cs="Times New Roman"/>
          <w:noProof/>
          <w:sz w:val="24"/>
          <w:szCs w:val="24"/>
          <w:lang w:val="fr-FR"/>
        </w:rPr>
        <w:t>, 13428, doi:10.1038/ncomms13428 (2016).</w:t>
      </w:r>
    </w:p>
    <w:p w:rsidR="00EF5658" w:rsidRPr="0043737F" w:rsidRDefault="00EF5658" w:rsidP="00EF5658">
      <w:pPr>
        <w:ind w:left="720" w:hanging="720"/>
        <w:rPr>
          <w:rFonts w:cs="Times New Roman"/>
          <w:noProof/>
          <w:sz w:val="24"/>
          <w:szCs w:val="24"/>
        </w:rPr>
      </w:pPr>
      <w:r w:rsidRPr="00B43E3C">
        <w:rPr>
          <w:rFonts w:cs="Times New Roman"/>
          <w:noProof/>
          <w:sz w:val="24"/>
          <w:szCs w:val="24"/>
          <w:lang w:val="fr-FR"/>
        </w:rPr>
        <w:t>19</w:t>
      </w:r>
      <w:r w:rsidRPr="00B43E3C">
        <w:rPr>
          <w:rFonts w:cs="Times New Roman"/>
          <w:noProof/>
          <w:sz w:val="24"/>
          <w:szCs w:val="24"/>
          <w:lang w:val="fr-FR"/>
        </w:rPr>
        <w:tab/>
        <w:t>Booth, B. B. B.</w:t>
      </w:r>
      <w:r w:rsidRPr="00B43E3C">
        <w:rPr>
          <w:rFonts w:cs="Times New Roman"/>
          <w:i/>
          <w:noProof/>
          <w:sz w:val="24"/>
          <w:szCs w:val="24"/>
          <w:lang w:val="fr-FR"/>
        </w:rPr>
        <w:t xml:space="preserve"> et al.</w:t>
      </w:r>
      <w:r w:rsidRPr="00B43E3C">
        <w:rPr>
          <w:rFonts w:cs="Times New Roman"/>
          <w:noProof/>
          <w:sz w:val="24"/>
          <w:szCs w:val="24"/>
          <w:lang w:val="fr-FR"/>
        </w:rPr>
        <w:t xml:space="preserve"> </w:t>
      </w:r>
      <w:r w:rsidRPr="0043737F">
        <w:rPr>
          <w:rFonts w:cs="Times New Roman"/>
          <w:noProof/>
          <w:sz w:val="24"/>
          <w:szCs w:val="24"/>
        </w:rPr>
        <w:t xml:space="preserve">High sensitivity of future global warming to land carbon cycle processes. </w:t>
      </w:r>
      <w:r w:rsidRPr="0043737F">
        <w:rPr>
          <w:rFonts w:cs="Times New Roman"/>
          <w:i/>
          <w:noProof/>
          <w:sz w:val="24"/>
          <w:szCs w:val="24"/>
        </w:rPr>
        <w:t>Environmental Research Letters</w:t>
      </w:r>
      <w:r w:rsidRPr="0043737F">
        <w:rPr>
          <w:rFonts w:cs="Times New Roman"/>
          <w:noProof/>
          <w:sz w:val="24"/>
          <w:szCs w:val="24"/>
        </w:rPr>
        <w:t xml:space="preserve"> </w:t>
      </w:r>
      <w:r w:rsidRPr="0043737F">
        <w:rPr>
          <w:rFonts w:cs="Times New Roman"/>
          <w:b/>
          <w:noProof/>
          <w:sz w:val="24"/>
          <w:szCs w:val="24"/>
        </w:rPr>
        <w:t>7</w:t>
      </w:r>
      <w:r w:rsidRPr="0043737F">
        <w:rPr>
          <w:rFonts w:cs="Times New Roman"/>
          <w:noProof/>
          <w:sz w:val="24"/>
          <w:szCs w:val="24"/>
        </w:rPr>
        <w:t>, 024002 (2012).</w:t>
      </w:r>
    </w:p>
    <w:p w:rsidR="00EF5658" w:rsidRPr="00B43E3C" w:rsidRDefault="00EF5658" w:rsidP="00EF5658">
      <w:pPr>
        <w:ind w:left="720" w:hanging="720"/>
        <w:rPr>
          <w:rFonts w:cs="Times New Roman"/>
          <w:noProof/>
          <w:sz w:val="24"/>
          <w:szCs w:val="24"/>
          <w:lang w:val="fr-FR"/>
        </w:rPr>
      </w:pPr>
      <w:r w:rsidRPr="0043737F">
        <w:rPr>
          <w:rFonts w:cs="Times New Roman"/>
          <w:noProof/>
          <w:sz w:val="24"/>
          <w:szCs w:val="24"/>
        </w:rPr>
        <w:t>20</w:t>
      </w:r>
      <w:r w:rsidRPr="0043737F">
        <w:rPr>
          <w:rFonts w:cs="Times New Roman"/>
          <w:noProof/>
          <w:sz w:val="24"/>
          <w:szCs w:val="24"/>
        </w:rPr>
        <w:tab/>
        <w:t xml:space="preserve">Lombardozzi, D. L., Bonan, G. B., Smith, N. G., Dukes, J. S. &amp; Fisher, R. A. Temperature acclimation of photosynthesis and respiration: A key uncertainty in the carbon cycle-climate feedback. </w:t>
      </w:r>
      <w:r w:rsidRPr="00B43E3C">
        <w:rPr>
          <w:rFonts w:cs="Times New Roman"/>
          <w:i/>
          <w:noProof/>
          <w:sz w:val="24"/>
          <w:szCs w:val="24"/>
          <w:lang w:val="fr-FR"/>
        </w:rPr>
        <w:t>Geophysical Research Letters</w:t>
      </w:r>
      <w:r w:rsidRPr="00B43E3C">
        <w:rPr>
          <w:rFonts w:cs="Times New Roman"/>
          <w:noProof/>
          <w:sz w:val="24"/>
          <w:szCs w:val="24"/>
          <w:lang w:val="fr-FR"/>
        </w:rPr>
        <w:t xml:space="preserve"> </w:t>
      </w:r>
      <w:r w:rsidRPr="00B43E3C">
        <w:rPr>
          <w:rFonts w:cs="Times New Roman"/>
          <w:b/>
          <w:noProof/>
          <w:sz w:val="24"/>
          <w:szCs w:val="24"/>
          <w:lang w:val="fr-FR"/>
        </w:rPr>
        <w:t>42</w:t>
      </w:r>
      <w:r w:rsidRPr="00B43E3C">
        <w:rPr>
          <w:rFonts w:cs="Times New Roman"/>
          <w:noProof/>
          <w:sz w:val="24"/>
          <w:szCs w:val="24"/>
          <w:lang w:val="fr-FR"/>
        </w:rPr>
        <w:t>, 8624-8631, doi:doi:10.1002/2015GL065934 (2015).</w:t>
      </w:r>
    </w:p>
    <w:p w:rsidR="00EF5658" w:rsidRPr="0043737F" w:rsidRDefault="00EF5658" w:rsidP="00EF5658">
      <w:pPr>
        <w:ind w:left="720" w:hanging="720"/>
        <w:rPr>
          <w:rFonts w:cs="Times New Roman"/>
          <w:noProof/>
          <w:sz w:val="24"/>
          <w:szCs w:val="24"/>
        </w:rPr>
      </w:pPr>
      <w:r w:rsidRPr="00B43E3C">
        <w:rPr>
          <w:rFonts w:cs="Times New Roman"/>
          <w:noProof/>
          <w:sz w:val="24"/>
          <w:szCs w:val="24"/>
          <w:lang w:val="fr-FR"/>
        </w:rPr>
        <w:t>21</w:t>
      </w:r>
      <w:r w:rsidRPr="00B43E3C">
        <w:rPr>
          <w:rFonts w:cs="Times New Roman"/>
          <w:noProof/>
          <w:sz w:val="24"/>
          <w:szCs w:val="24"/>
          <w:lang w:val="fr-FR"/>
        </w:rPr>
        <w:tab/>
        <w:t>Le Quéré, C.</w:t>
      </w:r>
      <w:r w:rsidRPr="00B43E3C">
        <w:rPr>
          <w:rFonts w:cs="Times New Roman"/>
          <w:i/>
          <w:noProof/>
          <w:sz w:val="24"/>
          <w:szCs w:val="24"/>
          <w:lang w:val="fr-FR"/>
        </w:rPr>
        <w:t xml:space="preserve"> et al.</w:t>
      </w:r>
      <w:r w:rsidRPr="00B43E3C">
        <w:rPr>
          <w:rFonts w:cs="Times New Roman"/>
          <w:noProof/>
          <w:sz w:val="24"/>
          <w:szCs w:val="24"/>
          <w:lang w:val="fr-FR"/>
        </w:rPr>
        <w:t xml:space="preserve"> </w:t>
      </w:r>
      <w:r w:rsidRPr="0043737F">
        <w:rPr>
          <w:rFonts w:cs="Times New Roman"/>
          <w:noProof/>
          <w:sz w:val="24"/>
          <w:szCs w:val="24"/>
        </w:rPr>
        <w:t xml:space="preserve">Global Carbon Budget 2018. </w:t>
      </w:r>
      <w:r w:rsidRPr="0043737F">
        <w:rPr>
          <w:rFonts w:cs="Times New Roman"/>
          <w:i/>
          <w:noProof/>
          <w:sz w:val="24"/>
          <w:szCs w:val="24"/>
        </w:rPr>
        <w:t>Earth Syst. Sci. Data</w:t>
      </w:r>
      <w:r w:rsidRPr="0043737F">
        <w:rPr>
          <w:rFonts w:cs="Times New Roman"/>
          <w:noProof/>
          <w:sz w:val="24"/>
          <w:szCs w:val="24"/>
        </w:rPr>
        <w:t xml:space="preserve"> </w:t>
      </w:r>
      <w:r w:rsidRPr="0043737F">
        <w:rPr>
          <w:rFonts w:cs="Times New Roman"/>
          <w:b/>
          <w:noProof/>
          <w:sz w:val="24"/>
          <w:szCs w:val="24"/>
        </w:rPr>
        <w:t>10</w:t>
      </w:r>
      <w:r w:rsidRPr="0043737F">
        <w:rPr>
          <w:rFonts w:cs="Times New Roman"/>
          <w:noProof/>
          <w:sz w:val="24"/>
          <w:szCs w:val="24"/>
        </w:rPr>
        <w:t>, 2141-2194, doi:10.5194/essd-10-2141-2018 (2018).</w:t>
      </w:r>
    </w:p>
    <w:p w:rsidR="00EF5658" w:rsidRPr="0043737F" w:rsidRDefault="00EF5658" w:rsidP="00EF5658">
      <w:pPr>
        <w:ind w:left="720" w:hanging="720"/>
        <w:rPr>
          <w:rFonts w:cs="Times New Roman"/>
          <w:noProof/>
          <w:sz w:val="24"/>
          <w:szCs w:val="24"/>
        </w:rPr>
      </w:pPr>
      <w:r w:rsidRPr="0043737F">
        <w:rPr>
          <w:rFonts w:cs="Times New Roman"/>
          <w:noProof/>
          <w:sz w:val="24"/>
          <w:szCs w:val="24"/>
        </w:rPr>
        <w:t>22</w:t>
      </w:r>
      <w:r w:rsidRPr="0043737F">
        <w:rPr>
          <w:rFonts w:cs="Times New Roman"/>
          <w:noProof/>
          <w:sz w:val="24"/>
          <w:szCs w:val="24"/>
        </w:rPr>
        <w:tab/>
        <w:t xml:space="preserve">Lewis, S. L., Brando, P. M., Phillips, O. L., van der Heijden, G. M. F. &amp; Nepstad, D. The 2010 Amazon Drought. </w:t>
      </w:r>
      <w:r w:rsidRPr="0043737F">
        <w:rPr>
          <w:rFonts w:cs="Times New Roman"/>
          <w:i/>
          <w:noProof/>
          <w:sz w:val="24"/>
          <w:szCs w:val="24"/>
        </w:rPr>
        <w:t>Science</w:t>
      </w:r>
      <w:r w:rsidRPr="0043737F">
        <w:rPr>
          <w:rFonts w:cs="Times New Roman"/>
          <w:noProof/>
          <w:sz w:val="24"/>
          <w:szCs w:val="24"/>
        </w:rPr>
        <w:t xml:space="preserve"> </w:t>
      </w:r>
      <w:r w:rsidRPr="0043737F">
        <w:rPr>
          <w:rFonts w:cs="Times New Roman"/>
          <w:b/>
          <w:noProof/>
          <w:sz w:val="24"/>
          <w:szCs w:val="24"/>
        </w:rPr>
        <w:t>331</w:t>
      </w:r>
      <w:r w:rsidRPr="0043737F">
        <w:rPr>
          <w:rFonts w:cs="Times New Roman"/>
          <w:noProof/>
          <w:sz w:val="24"/>
          <w:szCs w:val="24"/>
        </w:rPr>
        <w:t>, 554 (2011).</w:t>
      </w:r>
    </w:p>
    <w:p w:rsidR="00EF5658" w:rsidRPr="0043737F" w:rsidRDefault="00EF5658" w:rsidP="00EF5658">
      <w:pPr>
        <w:ind w:left="720" w:hanging="720"/>
        <w:rPr>
          <w:rFonts w:cs="Times New Roman"/>
          <w:noProof/>
          <w:sz w:val="24"/>
          <w:szCs w:val="24"/>
        </w:rPr>
      </w:pPr>
      <w:r w:rsidRPr="0043737F">
        <w:rPr>
          <w:rFonts w:cs="Times New Roman"/>
          <w:noProof/>
          <w:sz w:val="24"/>
          <w:szCs w:val="24"/>
        </w:rPr>
        <w:t>23</w:t>
      </w:r>
      <w:r w:rsidRPr="0043737F">
        <w:rPr>
          <w:rFonts w:cs="Times New Roman"/>
          <w:noProof/>
          <w:sz w:val="24"/>
          <w:szCs w:val="24"/>
        </w:rPr>
        <w:tab/>
        <w:t>Feldpausch, T. R.</w:t>
      </w:r>
      <w:r w:rsidRPr="0043737F">
        <w:rPr>
          <w:rFonts w:cs="Times New Roman"/>
          <w:i/>
          <w:noProof/>
          <w:sz w:val="24"/>
          <w:szCs w:val="24"/>
        </w:rPr>
        <w:t xml:space="preserve"> et al.</w:t>
      </w:r>
      <w:r w:rsidRPr="0043737F">
        <w:rPr>
          <w:rFonts w:cs="Times New Roman"/>
          <w:noProof/>
          <w:sz w:val="24"/>
          <w:szCs w:val="24"/>
        </w:rPr>
        <w:t xml:space="preserve"> Amazon forest response to repeated droughts. </w:t>
      </w:r>
      <w:r w:rsidRPr="0043737F">
        <w:rPr>
          <w:rFonts w:cs="Times New Roman"/>
          <w:i/>
          <w:noProof/>
          <w:sz w:val="24"/>
          <w:szCs w:val="24"/>
        </w:rPr>
        <w:t>Global Biogeochemical Cycles</w:t>
      </w:r>
      <w:r w:rsidRPr="0043737F">
        <w:rPr>
          <w:rFonts w:cs="Times New Roman"/>
          <w:noProof/>
          <w:sz w:val="24"/>
          <w:szCs w:val="24"/>
        </w:rPr>
        <w:t xml:space="preserve"> </w:t>
      </w:r>
      <w:r w:rsidRPr="0043737F">
        <w:rPr>
          <w:rFonts w:cs="Times New Roman"/>
          <w:b/>
          <w:noProof/>
          <w:sz w:val="24"/>
          <w:szCs w:val="24"/>
        </w:rPr>
        <w:t>30</w:t>
      </w:r>
      <w:r w:rsidRPr="0043737F">
        <w:rPr>
          <w:rFonts w:cs="Times New Roman"/>
          <w:noProof/>
          <w:sz w:val="24"/>
          <w:szCs w:val="24"/>
        </w:rPr>
        <w:t>, 964-982, doi:doi:10.1002/2015GB005133 (2016).</w:t>
      </w:r>
    </w:p>
    <w:p w:rsidR="00EF5658" w:rsidRPr="0043737F" w:rsidRDefault="00EF5658" w:rsidP="00EF5658">
      <w:pPr>
        <w:ind w:left="720" w:hanging="720"/>
        <w:rPr>
          <w:rFonts w:cs="Times New Roman"/>
          <w:noProof/>
          <w:sz w:val="24"/>
          <w:szCs w:val="24"/>
        </w:rPr>
      </w:pPr>
      <w:r w:rsidRPr="0043737F">
        <w:rPr>
          <w:rFonts w:cs="Times New Roman"/>
          <w:noProof/>
          <w:sz w:val="24"/>
          <w:szCs w:val="24"/>
        </w:rPr>
        <w:t>24</w:t>
      </w:r>
      <w:r w:rsidRPr="0043737F">
        <w:rPr>
          <w:rFonts w:cs="Times New Roman"/>
          <w:noProof/>
          <w:sz w:val="24"/>
          <w:szCs w:val="24"/>
        </w:rPr>
        <w:tab/>
        <w:t>McDowell, N.</w:t>
      </w:r>
      <w:r w:rsidRPr="0043737F">
        <w:rPr>
          <w:rFonts w:cs="Times New Roman"/>
          <w:i/>
          <w:noProof/>
          <w:sz w:val="24"/>
          <w:szCs w:val="24"/>
        </w:rPr>
        <w:t xml:space="preserve"> et al.</w:t>
      </w:r>
      <w:r w:rsidRPr="0043737F">
        <w:rPr>
          <w:rFonts w:cs="Times New Roman"/>
          <w:noProof/>
          <w:sz w:val="24"/>
          <w:szCs w:val="24"/>
        </w:rPr>
        <w:t xml:space="preserve"> Drivers and mechanisms of tree mortality in moist tropical forests. </w:t>
      </w:r>
      <w:r w:rsidRPr="0043737F">
        <w:rPr>
          <w:rFonts w:cs="Times New Roman"/>
          <w:i/>
          <w:noProof/>
          <w:sz w:val="24"/>
          <w:szCs w:val="24"/>
        </w:rPr>
        <w:t>New Phytologist</w:t>
      </w:r>
      <w:r w:rsidRPr="0043737F">
        <w:rPr>
          <w:rFonts w:cs="Times New Roman"/>
          <w:noProof/>
          <w:sz w:val="24"/>
          <w:szCs w:val="24"/>
        </w:rPr>
        <w:t xml:space="preserve"> </w:t>
      </w:r>
      <w:r w:rsidRPr="0043737F">
        <w:rPr>
          <w:rFonts w:cs="Times New Roman"/>
          <w:b/>
          <w:noProof/>
          <w:sz w:val="24"/>
          <w:szCs w:val="24"/>
        </w:rPr>
        <w:t>219</w:t>
      </w:r>
      <w:r w:rsidRPr="0043737F">
        <w:rPr>
          <w:rFonts w:cs="Times New Roman"/>
          <w:noProof/>
          <w:sz w:val="24"/>
          <w:szCs w:val="24"/>
        </w:rPr>
        <w:t>, 851-869, doi:doi:10.1111/nph.15027 (2018).</w:t>
      </w:r>
    </w:p>
    <w:p w:rsidR="00EF5658" w:rsidRPr="00B43E3C" w:rsidRDefault="00EF5658" w:rsidP="00EF5658">
      <w:pPr>
        <w:ind w:left="720" w:hanging="720"/>
        <w:rPr>
          <w:rFonts w:cs="Times New Roman"/>
          <w:noProof/>
          <w:sz w:val="24"/>
          <w:szCs w:val="24"/>
          <w:lang w:val="fr-FR"/>
        </w:rPr>
      </w:pPr>
      <w:r w:rsidRPr="0043737F">
        <w:rPr>
          <w:rFonts w:cs="Times New Roman"/>
          <w:noProof/>
          <w:sz w:val="24"/>
          <w:szCs w:val="24"/>
        </w:rPr>
        <w:lastRenderedPageBreak/>
        <w:t>25</w:t>
      </w:r>
      <w:r w:rsidRPr="0043737F">
        <w:rPr>
          <w:rFonts w:cs="Times New Roman"/>
          <w:noProof/>
          <w:sz w:val="24"/>
          <w:szCs w:val="24"/>
        </w:rPr>
        <w:tab/>
        <w:t>Aleixo, I.</w:t>
      </w:r>
      <w:r w:rsidRPr="0043737F">
        <w:rPr>
          <w:rFonts w:cs="Times New Roman"/>
          <w:i/>
          <w:noProof/>
          <w:sz w:val="24"/>
          <w:szCs w:val="24"/>
        </w:rPr>
        <w:t xml:space="preserve"> et al.</w:t>
      </w:r>
      <w:r w:rsidRPr="0043737F">
        <w:rPr>
          <w:rFonts w:cs="Times New Roman"/>
          <w:noProof/>
          <w:sz w:val="24"/>
          <w:szCs w:val="24"/>
        </w:rPr>
        <w:t xml:space="preserve"> Amazonian rainforest tree mortality driven by climate and functional traits. </w:t>
      </w:r>
      <w:r w:rsidRPr="00B43E3C">
        <w:rPr>
          <w:rFonts w:cs="Times New Roman"/>
          <w:i/>
          <w:noProof/>
          <w:sz w:val="24"/>
          <w:szCs w:val="24"/>
          <w:lang w:val="fr-FR"/>
        </w:rPr>
        <w:t>Nature Climate Change</w:t>
      </w:r>
      <w:r w:rsidRPr="00B43E3C">
        <w:rPr>
          <w:rFonts w:cs="Times New Roman"/>
          <w:noProof/>
          <w:sz w:val="24"/>
          <w:szCs w:val="24"/>
          <w:lang w:val="fr-FR"/>
        </w:rPr>
        <w:t xml:space="preserve"> </w:t>
      </w:r>
      <w:r w:rsidRPr="00B43E3C">
        <w:rPr>
          <w:rFonts w:cs="Times New Roman"/>
          <w:b/>
          <w:noProof/>
          <w:sz w:val="24"/>
          <w:szCs w:val="24"/>
          <w:lang w:val="fr-FR"/>
        </w:rPr>
        <w:t>9</w:t>
      </w:r>
      <w:r w:rsidRPr="00B43E3C">
        <w:rPr>
          <w:rFonts w:cs="Times New Roman"/>
          <w:noProof/>
          <w:sz w:val="24"/>
          <w:szCs w:val="24"/>
          <w:lang w:val="fr-FR"/>
        </w:rPr>
        <w:t>, 384-388, doi:10.1038/s41558-019-0458-0 (2019).</w:t>
      </w:r>
    </w:p>
    <w:p w:rsidR="00EF5658" w:rsidRPr="0043737F" w:rsidRDefault="00EF5658" w:rsidP="00EF5658">
      <w:pPr>
        <w:ind w:left="720" w:hanging="720"/>
        <w:rPr>
          <w:rFonts w:cs="Times New Roman"/>
          <w:noProof/>
          <w:sz w:val="24"/>
          <w:szCs w:val="24"/>
        </w:rPr>
      </w:pPr>
      <w:r w:rsidRPr="00B43E3C">
        <w:rPr>
          <w:rFonts w:cs="Times New Roman"/>
          <w:noProof/>
          <w:sz w:val="24"/>
          <w:szCs w:val="24"/>
          <w:lang w:val="fr-FR"/>
        </w:rPr>
        <w:t>26</w:t>
      </w:r>
      <w:r w:rsidRPr="00B43E3C">
        <w:rPr>
          <w:rFonts w:cs="Times New Roman"/>
          <w:noProof/>
          <w:sz w:val="24"/>
          <w:szCs w:val="24"/>
          <w:lang w:val="fr-FR"/>
        </w:rPr>
        <w:tab/>
        <w:t>Lewis, S. L.</w:t>
      </w:r>
      <w:r w:rsidRPr="00B43E3C">
        <w:rPr>
          <w:rFonts w:cs="Times New Roman"/>
          <w:i/>
          <w:noProof/>
          <w:sz w:val="24"/>
          <w:szCs w:val="24"/>
          <w:lang w:val="fr-FR"/>
        </w:rPr>
        <w:t xml:space="preserve"> et al.</w:t>
      </w:r>
      <w:r w:rsidRPr="00B43E3C">
        <w:rPr>
          <w:rFonts w:cs="Times New Roman"/>
          <w:noProof/>
          <w:sz w:val="24"/>
          <w:szCs w:val="24"/>
          <w:lang w:val="fr-FR"/>
        </w:rPr>
        <w:t xml:space="preserve"> </w:t>
      </w:r>
      <w:r w:rsidRPr="0043737F">
        <w:rPr>
          <w:rFonts w:cs="Times New Roman"/>
          <w:noProof/>
          <w:sz w:val="24"/>
          <w:szCs w:val="24"/>
        </w:rPr>
        <w:t xml:space="preserve">Concerted changes in tropical forest structure and dynamics: evidence from 50 South American long-term plots. </w:t>
      </w:r>
      <w:r w:rsidRPr="0043737F">
        <w:rPr>
          <w:rFonts w:cs="Times New Roman"/>
          <w:i/>
          <w:noProof/>
          <w:sz w:val="24"/>
          <w:szCs w:val="24"/>
        </w:rPr>
        <w:t>Philosophical Transactions of the Royal Society of London Series B-Biological Sciences</w:t>
      </w:r>
      <w:r w:rsidRPr="0043737F">
        <w:rPr>
          <w:rFonts w:cs="Times New Roman"/>
          <w:noProof/>
          <w:sz w:val="24"/>
          <w:szCs w:val="24"/>
        </w:rPr>
        <w:t xml:space="preserve"> </w:t>
      </w:r>
      <w:r w:rsidRPr="0043737F">
        <w:rPr>
          <w:rFonts w:cs="Times New Roman"/>
          <w:b/>
          <w:noProof/>
          <w:sz w:val="24"/>
          <w:szCs w:val="24"/>
        </w:rPr>
        <w:t>359</w:t>
      </w:r>
      <w:r w:rsidRPr="0043737F">
        <w:rPr>
          <w:rFonts w:cs="Times New Roman"/>
          <w:noProof/>
          <w:sz w:val="24"/>
          <w:szCs w:val="24"/>
        </w:rPr>
        <w:t>, 421-436 (2004).</w:t>
      </w:r>
    </w:p>
    <w:p w:rsidR="00EF5658" w:rsidRPr="0043737F" w:rsidRDefault="00EF5658" w:rsidP="00EF5658">
      <w:pPr>
        <w:ind w:left="720" w:hanging="720"/>
        <w:rPr>
          <w:rFonts w:cs="Times New Roman"/>
          <w:noProof/>
          <w:sz w:val="24"/>
          <w:szCs w:val="24"/>
        </w:rPr>
      </w:pPr>
      <w:r w:rsidRPr="0043737F">
        <w:rPr>
          <w:rFonts w:cs="Times New Roman"/>
          <w:noProof/>
          <w:sz w:val="24"/>
          <w:szCs w:val="24"/>
        </w:rPr>
        <w:t>27</w:t>
      </w:r>
      <w:r w:rsidRPr="0043737F">
        <w:rPr>
          <w:rFonts w:cs="Times New Roman"/>
          <w:noProof/>
          <w:sz w:val="24"/>
          <w:szCs w:val="24"/>
        </w:rPr>
        <w:tab/>
        <w:t>Lewis, S. L.</w:t>
      </w:r>
      <w:r w:rsidRPr="0043737F">
        <w:rPr>
          <w:rFonts w:cs="Times New Roman"/>
          <w:i/>
          <w:noProof/>
          <w:sz w:val="24"/>
          <w:szCs w:val="24"/>
        </w:rPr>
        <w:t xml:space="preserve"> et al.</w:t>
      </w:r>
      <w:r w:rsidRPr="0043737F">
        <w:rPr>
          <w:rFonts w:cs="Times New Roman"/>
          <w:noProof/>
          <w:sz w:val="24"/>
          <w:szCs w:val="24"/>
        </w:rPr>
        <w:t xml:space="preserve"> Above-ground biomass and structure of 260 African tropical forests. </w:t>
      </w:r>
      <w:r w:rsidRPr="0043737F">
        <w:rPr>
          <w:rFonts w:cs="Times New Roman"/>
          <w:i/>
          <w:noProof/>
          <w:sz w:val="24"/>
          <w:szCs w:val="24"/>
        </w:rPr>
        <w:t>Philosophical Transactions of the Royal Society B: Biological Sciences</w:t>
      </w:r>
      <w:r w:rsidRPr="0043737F">
        <w:rPr>
          <w:rFonts w:cs="Times New Roman"/>
          <w:noProof/>
          <w:sz w:val="24"/>
          <w:szCs w:val="24"/>
        </w:rPr>
        <w:t xml:space="preserve"> </w:t>
      </w:r>
      <w:r w:rsidRPr="0043737F">
        <w:rPr>
          <w:rFonts w:cs="Times New Roman"/>
          <w:b/>
          <w:noProof/>
          <w:sz w:val="24"/>
          <w:szCs w:val="24"/>
        </w:rPr>
        <w:t>368</w:t>
      </w:r>
      <w:r w:rsidRPr="0043737F">
        <w:rPr>
          <w:rFonts w:cs="Times New Roman"/>
          <w:noProof/>
          <w:sz w:val="24"/>
          <w:szCs w:val="24"/>
        </w:rPr>
        <w:t>, 20120295-20120295, doi:10.1098/rstb.2012.0295 (2013).</w:t>
      </w:r>
    </w:p>
    <w:p w:rsidR="00EF5658" w:rsidRPr="0043737F" w:rsidRDefault="00EF5658" w:rsidP="00EF5658">
      <w:pPr>
        <w:ind w:left="720" w:hanging="720"/>
        <w:rPr>
          <w:rFonts w:cs="Times New Roman"/>
          <w:noProof/>
          <w:sz w:val="24"/>
          <w:szCs w:val="24"/>
        </w:rPr>
      </w:pPr>
      <w:r w:rsidRPr="00B43E3C">
        <w:rPr>
          <w:rFonts w:cs="Times New Roman"/>
          <w:noProof/>
          <w:sz w:val="24"/>
          <w:szCs w:val="24"/>
          <w:lang w:val="fr-FR"/>
        </w:rPr>
        <w:t>28</w:t>
      </w:r>
      <w:r w:rsidRPr="00B43E3C">
        <w:rPr>
          <w:rFonts w:cs="Times New Roman"/>
          <w:noProof/>
          <w:sz w:val="24"/>
          <w:szCs w:val="24"/>
          <w:lang w:val="fr-FR"/>
        </w:rPr>
        <w:tab/>
        <w:t>Quesada, C. A.</w:t>
      </w:r>
      <w:r w:rsidRPr="00B43E3C">
        <w:rPr>
          <w:rFonts w:cs="Times New Roman"/>
          <w:i/>
          <w:noProof/>
          <w:sz w:val="24"/>
          <w:szCs w:val="24"/>
          <w:lang w:val="fr-FR"/>
        </w:rPr>
        <w:t xml:space="preserve"> et al.</w:t>
      </w:r>
      <w:r w:rsidRPr="00B43E3C">
        <w:rPr>
          <w:rFonts w:cs="Times New Roman"/>
          <w:noProof/>
          <w:sz w:val="24"/>
          <w:szCs w:val="24"/>
          <w:lang w:val="fr-FR"/>
        </w:rPr>
        <w:t xml:space="preserve"> </w:t>
      </w:r>
      <w:r w:rsidRPr="0043737F">
        <w:rPr>
          <w:rFonts w:cs="Times New Roman"/>
          <w:noProof/>
          <w:sz w:val="24"/>
          <w:szCs w:val="24"/>
        </w:rPr>
        <w:t xml:space="preserve">Basin-wide variations in Amazon forest structure and function are mediated by both soils and climate. </w:t>
      </w:r>
      <w:r w:rsidRPr="0043737F">
        <w:rPr>
          <w:rFonts w:cs="Times New Roman"/>
          <w:i/>
          <w:noProof/>
          <w:sz w:val="24"/>
          <w:szCs w:val="24"/>
        </w:rPr>
        <w:t>Biogeosciences</w:t>
      </w:r>
      <w:r w:rsidRPr="0043737F">
        <w:rPr>
          <w:rFonts w:cs="Times New Roman"/>
          <w:noProof/>
          <w:sz w:val="24"/>
          <w:szCs w:val="24"/>
        </w:rPr>
        <w:t xml:space="preserve"> </w:t>
      </w:r>
      <w:r w:rsidRPr="0043737F">
        <w:rPr>
          <w:rFonts w:cs="Times New Roman"/>
          <w:b/>
          <w:noProof/>
          <w:sz w:val="24"/>
          <w:szCs w:val="24"/>
        </w:rPr>
        <w:t>9</w:t>
      </w:r>
      <w:r w:rsidRPr="0043737F">
        <w:rPr>
          <w:rFonts w:cs="Times New Roman"/>
          <w:noProof/>
          <w:sz w:val="24"/>
          <w:szCs w:val="24"/>
        </w:rPr>
        <w:t>, 2203-2246, doi:10.5194/bg-9-2203-2012 (2012).</w:t>
      </w:r>
    </w:p>
    <w:p w:rsidR="00EF5658" w:rsidRPr="0043737F" w:rsidRDefault="00EF5658" w:rsidP="00EF5658">
      <w:pPr>
        <w:ind w:left="720" w:hanging="720"/>
        <w:rPr>
          <w:rFonts w:cs="Times New Roman"/>
          <w:noProof/>
          <w:sz w:val="24"/>
          <w:szCs w:val="24"/>
        </w:rPr>
      </w:pPr>
      <w:r w:rsidRPr="0043737F">
        <w:rPr>
          <w:rFonts w:cs="Times New Roman"/>
          <w:noProof/>
          <w:sz w:val="24"/>
          <w:szCs w:val="24"/>
        </w:rPr>
        <w:t>29</w:t>
      </w:r>
      <w:r w:rsidRPr="0043737F">
        <w:rPr>
          <w:rFonts w:cs="Times New Roman"/>
          <w:noProof/>
          <w:sz w:val="24"/>
          <w:szCs w:val="24"/>
        </w:rPr>
        <w:tab/>
        <w:t>Malhi, Y.</w:t>
      </w:r>
      <w:r w:rsidRPr="0043737F">
        <w:rPr>
          <w:rFonts w:cs="Times New Roman"/>
          <w:i/>
          <w:noProof/>
          <w:sz w:val="24"/>
          <w:szCs w:val="24"/>
        </w:rPr>
        <w:t xml:space="preserve"> et al.</w:t>
      </w:r>
      <w:r w:rsidRPr="0043737F">
        <w:rPr>
          <w:rFonts w:cs="Times New Roman"/>
          <w:noProof/>
          <w:sz w:val="24"/>
          <w:szCs w:val="24"/>
        </w:rPr>
        <w:t xml:space="preserve"> The above-ground coarse wood productivity of 104 Neotropical forest plots. </w:t>
      </w:r>
      <w:r w:rsidRPr="0043737F">
        <w:rPr>
          <w:rFonts w:cs="Times New Roman"/>
          <w:i/>
          <w:noProof/>
          <w:sz w:val="24"/>
          <w:szCs w:val="24"/>
        </w:rPr>
        <w:t>Global Change Biology</w:t>
      </w:r>
      <w:r w:rsidRPr="0043737F">
        <w:rPr>
          <w:rFonts w:cs="Times New Roman"/>
          <w:noProof/>
          <w:sz w:val="24"/>
          <w:szCs w:val="24"/>
        </w:rPr>
        <w:t xml:space="preserve"> </w:t>
      </w:r>
      <w:r w:rsidRPr="0043737F">
        <w:rPr>
          <w:rFonts w:cs="Times New Roman"/>
          <w:b/>
          <w:noProof/>
          <w:sz w:val="24"/>
          <w:szCs w:val="24"/>
        </w:rPr>
        <w:t>10</w:t>
      </w:r>
      <w:r w:rsidRPr="0043737F">
        <w:rPr>
          <w:rFonts w:cs="Times New Roman"/>
          <w:noProof/>
          <w:sz w:val="24"/>
          <w:szCs w:val="24"/>
        </w:rPr>
        <w:t>, 563-591 (2004).</w:t>
      </w:r>
    </w:p>
    <w:p w:rsidR="00EF5658" w:rsidRPr="0043737F" w:rsidRDefault="00EF5658" w:rsidP="00EF5658">
      <w:pPr>
        <w:ind w:left="720" w:hanging="720"/>
        <w:rPr>
          <w:rFonts w:cs="Times New Roman"/>
          <w:noProof/>
          <w:sz w:val="24"/>
          <w:szCs w:val="24"/>
        </w:rPr>
      </w:pPr>
      <w:r w:rsidRPr="0043737F">
        <w:rPr>
          <w:rFonts w:cs="Times New Roman"/>
          <w:noProof/>
          <w:sz w:val="24"/>
          <w:szCs w:val="24"/>
        </w:rPr>
        <w:t>30</w:t>
      </w:r>
      <w:r w:rsidRPr="0043737F">
        <w:rPr>
          <w:rFonts w:cs="Times New Roman"/>
          <w:noProof/>
          <w:sz w:val="24"/>
          <w:szCs w:val="24"/>
        </w:rPr>
        <w:tab/>
        <w:t>Galbraith, D.</w:t>
      </w:r>
      <w:r w:rsidRPr="0043737F">
        <w:rPr>
          <w:rFonts w:cs="Times New Roman"/>
          <w:i/>
          <w:noProof/>
          <w:sz w:val="24"/>
          <w:szCs w:val="24"/>
        </w:rPr>
        <w:t xml:space="preserve"> et al.</w:t>
      </w:r>
      <w:r w:rsidRPr="0043737F">
        <w:rPr>
          <w:rFonts w:cs="Times New Roman"/>
          <w:noProof/>
          <w:sz w:val="24"/>
          <w:szCs w:val="24"/>
        </w:rPr>
        <w:t xml:space="preserve"> Residence times of woody biomass in tropical forests. </w:t>
      </w:r>
      <w:r w:rsidRPr="0043737F">
        <w:rPr>
          <w:rFonts w:cs="Times New Roman"/>
          <w:i/>
          <w:noProof/>
          <w:sz w:val="24"/>
          <w:szCs w:val="24"/>
        </w:rPr>
        <w:t>Plant Ecology &amp; Diversity</w:t>
      </w:r>
      <w:r w:rsidRPr="0043737F">
        <w:rPr>
          <w:rFonts w:cs="Times New Roman"/>
          <w:noProof/>
          <w:sz w:val="24"/>
          <w:szCs w:val="24"/>
        </w:rPr>
        <w:t xml:space="preserve"> </w:t>
      </w:r>
      <w:r w:rsidRPr="0043737F">
        <w:rPr>
          <w:rFonts w:cs="Times New Roman"/>
          <w:b/>
          <w:noProof/>
          <w:sz w:val="24"/>
          <w:szCs w:val="24"/>
        </w:rPr>
        <w:t>6</w:t>
      </w:r>
      <w:r w:rsidRPr="0043737F">
        <w:rPr>
          <w:rFonts w:cs="Times New Roman"/>
          <w:noProof/>
          <w:sz w:val="24"/>
          <w:szCs w:val="24"/>
        </w:rPr>
        <w:t>, 139-157, doi:10.1080/17550874.2013.770578 (2013).</w:t>
      </w:r>
    </w:p>
    <w:p w:rsidR="00EF5658" w:rsidRPr="0043737F" w:rsidRDefault="00EF5658" w:rsidP="00EF5658">
      <w:pPr>
        <w:ind w:left="720" w:hanging="720"/>
        <w:rPr>
          <w:rFonts w:cs="Times New Roman"/>
          <w:noProof/>
          <w:sz w:val="24"/>
          <w:szCs w:val="24"/>
        </w:rPr>
      </w:pPr>
      <w:r w:rsidRPr="0043737F">
        <w:rPr>
          <w:rFonts w:cs="Times New Roman"/>
          <w:noProof/>
          <w:sz w:val="24"/>
          <w:szCs w:val="24"/>
        </w:rPr>
        <w:t>31</w:t>
      </w:r>
      <w:r w:rsidRPr="0043737F">
        <w:rPr>
          <w:rFonts w:cs="Times New Roman"/>
          <w:noProof/>
          <w:sz w:val="24"/>
          <w:szCs w:val="24"/>
        </w:rPr>
        <w:tab/>
        <w:t>Reich, P. B.</w:t>
      </w:r>
      <w:r w:rsidRPr="0043737F">
        <w:rPr>
          <w:rFonts w:cs="Times New Roman"/>
          <w:i/>
          <w:noProof/>
          <w:sz w:val="24"/>
          <w:szCs w:val="24"/>
        </w:rPr>
        <w:t xml:space="preserve"> et al.</w:t>
      </w:r>
      <w:r w:rsidRPr="0043737F">
        <w:rPr>
          <w:rFonts w:cs="Times New Roman"/>
          <w:noProof/>
          <w:sz w:val="24"/>
          <w:szCs w:val="24"/>
        </w:rPr>
        <w:t xml:space="preserve"> Boreal and temperate trees show strong acclimation of respiration to warming. </w:t>
      </w:r>
      <w:r w:rsidRPr="0043737F">
        <w:rPr>
          <w:rFonts w:cs="Times New Roman"/>
          <w:i/>
          <w:noProof/>
          <w:sz w:val="24"/>
          <w:szCs w:val="24"/>
        </w:rPr>
        <w:t>Nature</w:t>
      </w:r>
      <w:r w:rsidRPr="0043737F">
        <w:rPr>
          <w:rFonts w:cs="Times New Roman"/>
          <w:noProof/>
          <w:sz w:val="24"/>
          <w:szCs w:val="24"/>
        </w:rPr>
        <w:t xml:space="preserve"> </w:t>
      </w:r>
      <w:r w:rsidRPr="0043737F">
        <w:rPr>
          <w:rFonts w:cs="Times New Roman"/>
          <w:b/>
          <w:noProof/>
          <w:sz w:val="24"/>
          <w:szCs w:val="24"/>
        </w:rPr>
        <w:t>531</w:t>
      </w:r>
      <w:r w:rsidRPr="0043737F">
        <w:rPr>
          <w:rFonts w:cs="Times New Roman"/>
          <w:noProof/>
          <w:sz w:val="24"/>
          <w:szCs w:val="24"/>
        </w:rPr>
        <w:t>, 633-636, doi:10.1038/nature17142 (2016).</w:t>
      </w:r>
    </w:p>
    <w:p w:rsidR="00EF5658" w:rsidRPr="0043737F" w:rsidRDefault="00EF5658" w:rsidP="00EF5658">
      <w:pPr>
        <w:ind w:left="720" w:hanging="720"/>
        <w:rPr>
          <w:rFonts w:cs="Times New Roman"/>
          <w:noProof/>
          <w:sz w:val="24"/>
          <w:szCs w:val="24"/>
        </w:rPr>
      </w:pPr>
      <w:r w:rsidRPr="0043737F">
        <w:rPr>
          <w:rFonts w:cs="Times New Roman"/>
          <w:noProof/>
          <w:sz w:val="24"/>
          <w:szCs w:val="24"/>
        </w:rPr>
        <w:t>32</w:t>
      </w:r>
      <w:r w:rsidRPr="0043737F">
        <w:rPr>
          <w:rFonts w:cs="Times New Roman"/>
          <w:noProof/>
          <w:sz w:val="24"/>
          <w:szCs w:val="24"/>
        </w:rPr>
        <w:tab/>
        <w:t>ter Steege, H.</w:t>
      </w:r>
      <w:r w:rsidRPr="0043737F">
        <w:rPr>
          <w:rFonts w:cs="Times New Roman"/>
          <w:i/>
          <w:noProof/>
          <w:sz w:val="24"/>
          <w:szCs w:val="24"/>
        </w:rPr>
        <w:t xml:space="preserve"> et al.</w:t>
      </w:r>
      <w:r w:rsidRPr="0043737F">
        <w:rPr>
          <w:rFonts w:cs="Times New Roman"/>
          <w:noProof/>
          <w:sz w:val="24"/>
          <w:szCs w:val="24"/>
        </w:rPr>
        <w:t xml:space="preserve"> Continental-scale patterns of canopy tree composition and function across Amazonia. </w:t>
      </w:r>
      <w:r w:rsidRPr="0043737F">
        <w:rPr>
          <w:rFonts w:cs="Times New Roman"/>
          <w:i/>
          <w:noProof/>
          <w:sz w:val="24"/>
          <w:szCs w:val="24"/>
        </w:rPr>
        <w:t>Nature</w:t>
      </w:r>
      <w:r w:rsidRPr="0043737F">
        <w:rPr>
          <w:rFonts w:cs="Times New Roman"/>
          <w:noProof/>
          <w:sz w:val="24"/>
          <w:szCs w:val="24"/>
        </w:rPr>
        <w:t xml:space="preserve"> </w:t>
      </w:r>
      <w:r w:rsidRPr="0043737F">
        <w:rPr>
          <w:rFonts w:cs="Times New Roman"/>
          <w:b/>
          <w:noProof/>
          <w:sz w:val="24"/>
          <w:szCs w:val="24"/>
        </w:rPr>
        <w:t>443</w:t>
      </w:r>
      <w:r w:rsidRPr="0043737F">
        <w:rPr>
          <w:rFonts w:cs="Times New Roman"/>
          <w:noProof/>
          <w:sz w:val="24"/>
          <w:szCs w:val="24"/>
        </w:rPr>
        <w:t>, 444-447 (2006).</w:t>
      </w:r>
    </w:p>
    <w:p w:rsidR="00EF5658" w:rsidRPr="0043737F" w:rsidRDefault="00EF5658" w:rsidP="00EF5658">
      <w:pPr>
        <w:ind w:left="720" w:hanging="720"/>
        <w:rPr>
          <w:rFonts w:cs="Times New Roman"/>
          <w:noProof/>
          <w:sz w:val="24"/>
          <w:szCs w:val="24"/>
        </w:rPr>
      </w:pPr>
      <w:r w:rsidRPr="0043737F">
        <w:rPr>
          <w:rFonts w:cs="Times New Roman"/>
          <w:noProof/>
          <w:sz w:val="24"/>
          <w:szCs w:val="24"/>
        </w:rPr>
        <w:t>33</w:t>
      </w:r>
      <w:r w:rsidRPr="0043737F">
        <w:rPr>
          <w:rFonts w:cs="Times New Roman"/>
          <w:noProof/>
          <w:sz w:val="24"/>
          <w:szCs w:val="24"/>
        </w:rPr>
        <w:tab/>
        <w:t>Bauters, M.</w:t>
      </w:r>
      <w:r w:rsidRPr="0043737F">
        <w:rPr>
          <w:rFonts w:cs="Times New Roman"/>
          <w:i/>
          <w:noProof/>
          <w:sz w:val="24"/>
          <w:szCs w:val="24"/>
        </w:rPr>
        <w:t xml:space="preserve"> et al.</w:t>
      </w:r>
      <w:r w:rsidRPr="0043737F">
        <w:rPr>
          <w:rFonts w:cs="Times New Roman"/>
          <w:noProof/>
          <w:sz w:val="24"/>
          <w:szCs w:val="24"/>
        </w:rPr>
        <w:t xml:space="preserve"> High fire-derived nitrogen deposition on central African forests. </w:t>
      </w:r>
      <w:r w:rsidRPr="0043737F">
        <w:rPr>
          <w:rFonts w:cs="Times New Roman"/>
          <w:i/>
          <w:noProof/>
          <w:sz w:val="24"/>
          <w:szCs w:val="24"/>
        </w:rPr>
        <w:t>Proceedings Of The National Academy Of Sciences Of The United States Of America</w:t>
      </w:r>
      <w:r w:rsidRPr="0043737F">
        <w:rPr>
          <w:rFonts w:cs="Times New Roman"/>
          <w:noProof/>
          <w:sz w:val="24"/>
          <w:szCs w:val="24"/>
        </w:rPr>
        <w:t xml:space="preserve"> </w:t>
      </w:r>
      <w:r w:rsidRPr="0043737F">
        <w:rPr>
          <w:rFonts w:cs="Times New Roman"/>
          <w:b/>
          <w:noProof/>
          <w:sz w:val="24"/>
          <w:szCs w:val="24"/>
        </w:rPr>
        <w:t>115</w:t>
      </w:r>
      <w:r w:rsidRPr="0043737F">
        <w:rPr>
          <w:rFonts w:cs="Times New Roman"/>
          <w:noProof/>
          <w:sz w:val="24"/>
          <w:szCs w:val="24"/>
        </w:rPr>
        <w:t>, 549-554, doi:10.1073/pnas.1714597115 (2018).</w:t>
      </w:r>
    </w:p>
    <w:p w:rsidR="00EF5658" w:rsidRPr="0043737F" w:rsidRDefault="00EF5658" w:rsidP="00EF5658">
      <w:pPr>
        <w:ind w:left="720" w:hanging="720"/>
        <w:rPr>
          <w:rFonts w:cs="Times New Roman"/>
          <w:noProof/>
          <w:sz w:val="24"/>
          <w:szCs w:val="24"/>
        </w:rPr>
      </w:pPr>
      <w:r w:rsidRPr="0043737F">
        <w:rPr>
          <w:rFonts w:cs="Times New Roman"/>
          <w:noProof/>
          <w:sz w:val="24"/>
          <w:szCs w:val="24"/>
        </w:rPr>
        <w:t>34</w:t>
      </w:r>
      <w:r w:rsidRPr="0043737F">
        <w:rPr>
          <w:rFonts w:cs="Times New Roman"/>
          <w:noProof/>
          <w:sz w:val="24"/>
          <w:szCs w:val="24"/>
        </w:rPr>
        <w:tab/>
        <w:t>Parmentier, I.</w:t>
      </w:r>
      <w:r w:rsidRPr="0043737F">
        <w:rPr>
          <w:rFonts w:cs="Times New Roman"/>
          <w:i/>
          <w:noProof/>
          <w:sz w:val="24"/>
          <w:szCs w:val="24"/>
        </w:rPr>
        <w:t xml:space="preserve"> et al.</w:t>
      </w:r>
      <w:r w:rsidRPr="0043737F">
        <w:rPr>
          <w:rFonts w:cs="Times New Roman"/>
          <w:noProof/>
          <w:sz w:val="24"/>
          <w:szCs w:val="24"/>
        </w:rPr>
        <w:t xml:space="preserve"> The odd man out? Might climate explain the lower tree alpha-diversity of African rain forests relative to Amazonian rain forests? </w:t>
      </w:r>
      <w:r w:rsidRPr="0043737F">
        <w:rPr>
          <w:rFonts w:cs="Times New Roman"/>
          <w:i/>
          <w:noProof/>
          <w:sz w:val="24"/>
          <w:szCs w:val="24"/>
        </w:rPr>
        <w:t>Journal of Ecology</w:t>
      </w:r>
      <w:r w:rsidRPr="0043737F">
        <w:rPr>
          <w:rFonts w:cs="Times New Roman"/>
          <w:noProof/>
          <w:sz w:val="24"/>
          <w:szCs w:val="24"/>
        </w:rPr>
        <w:t xml:space="preserve"> </w:t>
      </w:r>
      <w:r w:rsidRPr="0043737F">
        <w:rPr>
          <w:rFonts w:cs="Times New Roman"/>
          <w:b/>
          <w:noProof/>
          <w:sz w:val="24"/>
          <w:szCs w:val="24"/>
        </w:rPr>
        <w:t>95</w:t>
      </w:r>
      <w:r w:rsidRPr="0043737F">
        <w:rPr>
          <w:rFonts w:cs="Times New Roman"/>
          <w:noProof/>
          <w:sz w:val="24"/>
          <w:szCs w:val="24"/>
        </w:rPr>
        <w:t>, 1058-1071 (2007).</w:t>
      </w:r>
    </w:p>
    <w:p w:rsidR="00EF5658" w:rsidRPr="0043737F" w:rsidRDefault="00EF5658" w:rsidP="00EF5658">
      <w:pPr>
        <w:ind w:left="720" w:hanging="720"/>
        <w:rPr>
          <w:rFonts w:cs="Times New Roman"/>
          <w:noProof/>
          <w:sz w:val="24"/>
          <w:szCs w:val="24"/>
        </w:rPr>
      </w:pPr>
      <w:r w:rsidRPr="0043737F">
        <w:rPr>
          <w:rFonts w:cs="Times New Roman"/>
          <w:noProof/>
          <w:sz w:val="24"/>
          <w:szCs w:val="24"/>
        </w:rPr>
        <w:lastRenderedPageBreak/>
        <w:t>35</w:t>
      </w:r>
      <w:r w:rsidRPr="0043737F">
        <w:rPr>
          <w:rFonts w:cs="Times New Roman"/>
          <w:noProof/>
          <w:sz w:val="24"/>
          <w:szCs w:val="24"/>
        </w:rPr>
        <w:tab/>
        <w:t>Slik, J. W. F.</w:t>
      </w:r>
      <w:r w:rsidRPr="0043737F">
        <w:rPr>
          <w:rFonts w:cs="Times New Roman"/>
          <w:i/>
          <w:noProof/>
          <w:sz w:val="24"/>
          <w:szCs w:val="24"/>
        </w:rPr>
        <w:t xml:space="preserve"> et al.</w:t>
      </w:r>
      <w:r w:rsidRPr="0043737F">
        <w:rPr>
          <w:rFonts w:cs="Times New Roman"/>
          <w:noProof/>
          <w:sz w:val="24"/>
          <w:szCs w:val="24"/>
        </w:rPr>
        <w:t xml:space="preserve"> Phylogenetic classification of the world’s tropical forests. </w:t>
      </w:r>
      <w:r w:rsidRPr="0043737F">
        <w:rPr>
          <w:rFonts w:cs="Times New Roman"/>
          <w:i/>
          <w:noProof/>
          <w:sz w:val="24"/>
          <w:szCs w:val="24"/>
        </w:rPr>
        <w:t>Proceedings of the National Academy of Sciences</w:t>
      </w:r>
      <w:r w:rsidRPr="0043737F">
        <w:rPr>
          <w:rFonts w:cs="Times New Roman"/>
          <w:noProof/>
          <w:sz w:val="24"/>
          <w:szCs w:val="24"/>
        </w:rPr>
        <w:t xml:space="preserve"> </w:t>
      </w:r>
      <w:r w:rsidRPr="0043737F">
        <w:rPr>
          <w:rFonts w:cs="Times New Roman"/>
          <w:b/>
          <w:noProof/>
          <w:sz w:val="24"/>
          <w:szCs w:val="24"/>
        </w:rPr>
        <w:t>115</w:t>
      </w:r>
      <w:r w:rsidRPr="0043737F">
        <w:rPr>
          <w:rFonts w:cs="Times New Roman"/>
          <w:noProof/>
          <w:sz w:val="24"/>
          <w:szCs w:val="24"/>
        </w:rPr>
        <w:t>, 1837-1842, doi:10.1073/pnas.1714977115 (2018).</w:t>
      </w:r>
    </w:p>
    <w:p w:rsidR="00EF5658" w:rsidRPr="0043737F" w:rsidRDefault="00EF5658" w:rsidP="00EF5658">
      <w:pPr>
        <w:ind w:left="720" w:hanging="720"/>
        <w:rPr>
          <w:rFonts w:cs="Times New Roman"/>
          <w:noProof/>
          <w:sz w:val="24"/>
          <w:szCs w:val="24"/>
        </w:rPr>
      </w:pPr>
      <w:r w:rsidRPr="0043737F">
        <w:rPr>
          <w:rFonts w:cs="Times New Roman"/>
          <w:noProof/>
          <w:sz w:val="24"/>
          <w:szCs w:val="24"/>
        </w:rPr>
        <w:t>36</w:t>
      </w:r>
      <w:r w:rsidRPr="0043737F">
        <w:rPr>
          <w:rFonts w:cs="Times New Roman"/>
          <w:noProof/>
          <w:sz w:val="24"/>
          <w:szCs w:val="24"/>
        </w:rPr>
        <w:tab/>
        <w:t>Phillips, O. L.</w:t>
      </w:r>
      <w:r w:rsidRPr="0043737F">
        <w:rPr>
          <w:rFonts w:cs="Times New Roman"/>
          <w:i/>
          <w:noProof/>
          <w:sz w:val="24"/>
          <w:szCs w:val="24"/>
        </w:rPr>
        <w:t xml:space="preserve"> et al.</w:t>
      </w:r>
      <w:r w:rsidRPr="0043737F">
        <w:rPr>
          <w:rFonts w:cs="Times New Roman"/>
          <w:noProof/>
          <w:sz w:val="24"/>
          <w:szCs w:val="24"/>
        </w:rPr>
        <w:t xml:space="preserve"> Increasing dominance of large lianas in Amazonian forests. </w:t>
      </w:r>
      <w:r w:rsidRPr="0043737F">
        <w:rPr>
          <w:rFonts w:cs="Times New Roman"/>
          <w:i/>
          <w:noProof/>
          <w:sz w:val="24"/>
          <w:szCs w:val="24"/>
        </w:rPr>
        <w:t>Nature</w:t>
      </w:r>
      <w:r w:rsidRPr="0043737F">
        <w:rPr>
          <w:rFonts w:cs="Times New Roman"/>
          <w:noProof/>
          <w:sz w:val="24"/>
          <w:szCs w:val="24"/>
        </w:rPr>
        <w:t xml:space="preserve"> </w:t>
      </w:r>
      <w:r w:rsidRPr="0043737F">
        <w:rPr>
          <w:rFonts w:cs="Times New Roman"/>
          <w:b/>
          <w:noProof/>
          <w:sz w:val="24"/>
          <w:szCs w:val="24"/>
        </w:rPr>
        <w:t>418</w:t>
      </w:r>
      <w:r w:rsidRPr="0043737F">
        <w:rPr>
          <w:rFonts w:cs="Times New Roman"/>
          <w:noProof/>
          <w:sz w:val="24"/>
          <w:szCs w:val="24"/>
        </w:rPr>
        <w:t>, 770-774 (2002).</w:t>
      </w:r>
    </w:p>
    <w:p w:rsidR="00EF5658" w:rsidRPr="0043737F" w:rsidRDefault="00EF5658" w:rsidP="00EF5658">
      <w:pPr>
        <w:ind w:left="720" w:hanging="720"/>
        <w:rPr>
          <w:rFonts w:cs="Times New Roman"/>
          <w:noProof/>
          <w:sz w:val="24"/>
          <w:szCs w:val="24"/>
        </w:rPr>
      </w:pPr>
      <w:r w:rsidRPr="0043737F">
        <w:rPr>
          <w:rFonts w:cs="Times New Roman"/>
          <w:noProof/>
          <w:sz w:val="24"/>
          <w:szCs w:val="24"/>
        </w:rPr>
        <w:t>37</w:t>
      </w:r>
      <w:r w:rsidRPr="0043737F">
        <w:rPr>
          <w:rFonts w:cs="Times New Roman"/>
          <w:noProof/>
          <w:sz w:val="24"/>
          <w:szCs w:val="24"/>
        </w:rPr>
        <w:tab/>
        <w:t xml:space="preserve">Schnitzer, S. A. &amp; Bongers, F. Increasing liana abundance and biomass in tropical forests: emerging patterns and putative mechanisms. </w:t>
      </w:r>
      <w:r w:rsidRPr="0043737F">
        <w:rPr>
          <w:rFonts w:cs="Times New Roman"/>
          <w:i/>
          <w:noProof/>
          <w:sz w:val="24"/>
          <w:szCs w:val="24"/>
        </w:rPr>
        <w:t>Ecology Letters</w:t>
      </w:r>
      <w:r w:rsidRPr="0043737F">
        <w:rPr>
          <w:rFonts w:cs="Times New Roman"/>
          <w:noProof/>
          <w:sz w:val="24"/>
          <w:szCs w:val="24"/>
        </w:rPr>
        <w:t xml:space="preserve"> </w:t>
      </w:r>
      <w:r w:rsidRPr="0043737F">
        <w:rPr>
          <w:rFonts w:cs="Times New Roman"/>
          <w:b/>
          <w:noProof/>
          <w:sz w:val="24"/>
          <w:szCs w:val="24"/>
        </w:rPr>
        <w:t>14</w:t>
      </w:r>
      <w:r w:rsidRPr="0043737F">
        <w:rPr>
          <w:rFonts w:cs="Times New Roman"/>
          <w:noProof/>
          <w:sz w:val="24"/>
          <w:szCs w:val="24"/>
        </w:rPr>
        <w:t>, 397-406, doi:10.1111/j.1461-0248.2011.01590.x (2011).</w:t>
      </w:r>
    </w:p>
    <w:p w:rsidR="00EF5658" w:rsidRPr="0043737F" w:rsidRDefault="00EF5658" w:rsidP="00EF5658">
      <w:pPr>
        <w:ind w:left="720" w:hanging="720"/>
        <w:rPr>
          <w:rFonts w:cs="Times New Roman"/>
          <w:noProof/>
          <w:sz w:val="24"/>
          <w:szCs w:val="24"/>
        </w:rPr>
      </w:pPr>
      <w:r w:rsidRPr="0043737F">
        <w:rPr>
          <w:rFonts w:cs="Times New Roman"/>
          <w:noProof/>
          <w:sz w:val="24"/>
          <w:szCs w:val="24"/>
        </w:rPr>
        <w:t>38</w:t>
      </w:r>
      <w:r w:rsidRPr="0043737F">
        <w:rPr>
          <w:rFonts w:cs="Times New Roman"/>
          <w:noProof/>
          <w:sz w:val="24"/>
          <w:szCs w:val="24"/>
        </w:rPr>
        <w:tab/>
        <w:t>Meinshausen, M.</w:t>
      </w:r>
      <w:r w:rsidRPr="0043737F">
        <w:rPr>
          <w:rFonts w:cs="Times New Roman"/>
          <w:i/>
          <w:noProof/>
          <w:sz w:val="24"/>
          <w:szCs w:val="24"/>
        </w:rPr>
        <w:t xml:space="preserve"> et al.</w:t>
      </w:r>
      <w:r w:rsidRPr="0043737F">
        <w:rPr>
          <w:rFonts w:cs="Times New Roman"/>
          <w:noProof/>
          <w:sz w:val="24"/>
          <w:szCs w:val="24"/>
        </w:rPr>
        <w:t xml:space="preserve"> The RCP greenhouse gas concentrations and their extensions from 1765 to 2300. </w:t>
      </w:r>
      <w:r w:rsidRPr="0043737F">
        <w:rPr>
          <w:rFonts w:cs="Times New Roman"/>
          <w:i/>
          <w:noProof/>
          <w:sz w:val="24"/>
          <w:szCs w:val="24"/>
        </w:rPr>
        <w:t>Climatic Change</w:t>
      </w:r>
      <w:r w:rsidRPr="0043737F">
        <w:rPr>
          <w:rFonts w:cs="Times New Roman"/>
          <w:noProof/>
          <w:sz w:val="24"/>
          <w:szCs w:val="24"/>
        </w:rPr>
        <w:t xml:space="preserve"> </w:t>
      </w:r>
      <w:r w:rsidRPr="0043737F">
        <w:rPr>
          <w:rFonts w:cs="Times New Roman"/>
          <w:b/>
          <w:noProof/>
          <w:sz w:val="24"/>
          <w:szCs w:val="24"/>
        </w:rPr>
        <w:t>109</w:t>
      </w:r>
      <w:r w:rsidRPr="0043737F">
        <w:rPr>
          <w:rFonts w:cs="Times New Roman"/>
          <w:noProof/>
          <w:sz w:val="24"/>
          <w:szCs w:val="24"/>
        </w:rPr>
        <w:t>, 213-241, doi:10.1007/s10584-011-0156-z (2011).</w:t>
      </w:r>
    </w:p>
    <w:p w:rsidR="00EF5658" w:rsidRPr="0043737F" w:rsidRDefault="00EF5658" w:rsidP="00EF5658">
      <w:pPr>
        <w:ind w:left="720" w:hanging="720"/>
        <w:rPr>
          <w:rFonts w:cs="Times New Roman"/>
          <w:noProof/>
          <w:sz w:val="24"/>
          <w:szCs w:val="24"/>
        </w:rPr>
      </w:pPr>
      <w:r w:rsidRPr="0043737F">
        <w:rPr>
          <w:rFonts w:cs="Times New Roman"/>
          <w:noProof/>
          <w:sz w:val="24"/>
          <w:szCs w:val="24"/>
        </w:rPr>
        <w:t>39</w:t>
      </w:r>
      <w:r w:rsidRPr="0043737F">
        <w:rPr>
          <w:rFonts w:cs="Times New Roman"/>
          <w:noProof/>
          <w:sz w:val="24"/>
          <w:szCs w:val="24"/>
        </w:rPr>
        <w:tab/>
        <w:t>Terrer, C.</w:t>
      </w:r>
      <w:r w:rsidRPr="0043737F">
        <w:rPr>
          <w:rFonts w:cs="Times New Roman"/>
          <w:i/>
          <w:noProof/>
          <w:sz w:val="24"/>
          <w:szCs w:val="24"/>
        </w:rPr>
        <w:t xml:space="preserve"> et al.</w:t>
      </w:r>
      <w:r w:rsidRPr="0043737F">
        <w:rPr>
          <w:rFonts w:cs="Times New Roman"/>
          <w:noProof/>
          <w:sz w:val="24"/>
          <w:szCs w:val="24"/>
        </w:rPr>
        <w:t xml:space="preserve"> Nitrogen and phosphorus constrain the CO</w:t>
      </w:r>
      <w:r w:rsidRPr="00EF5658">
        <w:rPr>
          <w:rFonts w:cs="Times New Roman"/>
          <w:noProof/>
          <w:sz w:val="24"/>
          <w:szCs w:val="24"/>
          <w:vertAlign w:val="subscript"/>
        </w:rPr>
        <w:t>2</w:t>
      </w:r>
      <w:r w:rsidRPr="0043737F">
        <w:rPr>
          <w:rFonts w:cs="Times New Roman"/>
          <w:noProof/>
          <w:sz w:val="24"/>
          <w:szCs w:val="24"/>
        </w:rPr>
        <w:t xml:space="preserve"> fertilization of global plant biomass. </w:t>
      </w:r>
      <w:r w:rsidRPr="0043737F">
        <w:rPr>
          <w:rFonts w:cs="Times New Roman"/>
          <w:i/>
          <w:noProof/>
          <w:sz w:val="24"/>
          <w:szCs w:val="24"/>
        </w:rPr>
        <w:t>Nature Climate Change</w:t>
      </w:r>
      <w:r w:rsidRPr="0043737F">
        <w:rPr>
          <w:rFonts w:cs="Times New Roman"/>
          <w:noProof/>
          <w:sz w:val="24"/>
          <w:szCs w:val="24"/>
        </w:rPr>
        <w:t>, doi:10.1038/s41558-019-0545-2 (2019).</w:t>
      </w:r>
    </w:p>
    <w:p w:rsidR="00EF5658" w:rsidRPr="0043737F" w:rsidRDefault="00EF5658" w:rsidP="00EF5658">
      <w:pPr>
        <w:ind w:left="720" w:hanging="720"/>
        <w:rPr>
          <w:rFonts w:cs="Times New Roman"/>
          <w:noProof/>
          <w:sz w:val="24"/>
          <w:szCs w:val="24"/>
        </w:rPr>
      </w:pPr>
      <w:r w:rsidRPr="0043737F">
        <w:rPr>
          <w:rFonts w:cs="Times New Roman"/>
          <w:noProof/>
          <w:sz w:val="24"/>
          <w:szCs w:val="24"/>
        </w:rPr>
        <w:t>40</w:t>
      </w:r>
      <w:r w:rsidRPr="0043737F">
        <w:rPr>
          <w:rFonts w:cs="Times New Roman"/>
          <w:noProof/>
          <w:sz w:val="24"/>
          <w:szCs w:val="24"/>
        </w:rPr>
        <w:tab/>
        <w:t>Fleischer, K.</w:t>
      </w:r>
      <w:r w:rsidRPr="0043737F">
        <w:rPr>
          <w:rFonts w:cs="Times New Roman"/>
          <w:i/>
          <w:noProof/>
          <w:sz w:val="24"/>
          <w:szCs w:val="24"/>
        </w:rPr>
        <w:t xml:space="preserve"> et al.</w:t>
      </w:r>
      <w:r w:rsidRPr="0043737F">
        <w:rPr>
          <w:rFonts w:cs="Times New Roman"/>
          <w:noProof/>
          <w:sz w:val="24"/>
          <w:szCs w:val="24"/>
        </w:rPr>
        <w:t xml:space="preserve"> Amazon forest response to CO</w:t>
      </w:r>
      <w:r w:rsidRPr="00EF5658">
        <w:rPr>
          <w:rFonts w:cs="Times New Roman"/>
          <w:noProof/>
          <w:sz w:val="24"/>
          <w:szCs w:val="24"/>
          <w:vertAlign w:val="subscript"/>
        </w:rPr>
        <w:t>2</w:t>
      </w:r>
      <w:r w:rsidRPr="0043737F">
        <w:rPr>
          <w:rFonts w:cs="Times New Roman"/>
          <w:noProof/>
          <w:sz w:val="24"/>
          <w:szCs w:val="24"/>
        </w:rPr>
        <w:t xml:space="preserve"> fertilization dependent on plant phosphorus acquisition. </w:t>
      </w:r>
      <w:r w:rsidRPr="0043737F">
        <w:rPr>
          <w:rFonts w:cs="Times New Roman"/>
          <w:i/>
          <w:noProof/>
          <w:sz w:val="24"/>
          <w:szCs w:val="24"/>
        </w:rPr>
        <w:t>Nature Geoscience</w:t>
      </w:r>
      <w:r w:rsidRPr="0043737F">
        <w:rPr>
          <w:rFonts w:cs="Times New Roman"/>
          <w:noProof/>
          <w:sz w:val="24"/>
          <w:szCs w:val="24"/>
        </w:rPr>
        <w:t xml:space="preserve"> </w:t>
      </w:r>
      <w:r w:rsidRPr="0043737F">
        <w:rPr>
          <w:rFonts w:cs="Times New Roman"/>
          <w:b/>
          <w:noProof/>
          <w:sz w:val="24"/>
          <w:szCs w:val="24"/>
        </w:rPr>
        <w:t>12</w:t>
      </w:r>
      <w:r w:rsidRPr="0043737F">
        <w:rPr>
          <w:rFonts w:cs="Times New Roman"/>
          <w:noProof/>
          <w:sz w:val="24"/>
          <w:szCs w:val="24"/>
        </w:rPr>
        <w:t>, 736-741, doi:10.1038/s41561-019-0404-9 (2019).</w:t>
      </w:r>
    </w:p>
    <w:p w:rsidR="00EF5658" w:rsidRPr="00B43E3C" w:rsidRDefault="00EF5658" w:rsidP="00EF5658">
      <w:pPr>
        <w:ind w:left="720" w:hanging="720"/>
        <w:rPr>
          <w:rFonts w:cs="Times New Roman"/>
          <w:noProof/>
          <w:sz w:val="24"/>
          <w:szCs w:val="24"/>
          <w:lang w:val="fr-FR"/>
        </w:rPr>
      </w:pPr>
      <w:r w:rsidRPr="0043737F">
        <w:rPr>
          <w:rFonts w:cs="Times New Roman"/>
          <w:noProof/>
          <w:sz w:val="24"/>
          <w:szCs w:val="24"/>
        </w:rPr>
        <w:t>41</w:t>
      </w:r>
      <w:r w:rsidRPr="0043737F">
        <w:rPr>
          <w:rFonts w:cs="Times New Roman"/>
          <w:noProof/>
          <w:sz w:val="24"/>
          <w:szCs w:val="24"/>
        </w:rPr>
        <w:tab/>
        <w:t>Jiang, Y.</w:t>
      </w:r>
      <w:r w:rsidRPr="0043737F">
        <w:rPr>
          <w:rFonts w:cs="Times New Roman"/>
          <w:i/>
          <w:noProof/>
          <w:sz w:val="24"/>
          <w:szCs w:val="24"/>
        </w:rPr>
        <w:t xml:space="preserve"> et al.</w:t>
      </w:r>
      <w:r w:rsidRPr="0043737F">
        <w:rPr>
          <w:rFonts w:cs="Times New Roman"/>
          <w:noProof/>
          <w:sz w:val="24"/>
          <w:szCs w:val="24"/>
        </w:rPr>
        <w:t xml:space="preserve"> Widespread increase of boreal summer dry season length over the Congo rainforest. </w:t>
      </w:r>
      <w:r w:rsidRPr="00B43E3C">
        <w:rPr>
          <w:rFonts w:cs="Times New Roman"/>
          <w:i/>
          <w:noProof/>
          <w:sz w:val="24"/>
          <w:szCs w:val="24"/>
          <w:lang w:val="fr-FR"/>
        </w:rPr>
        <w:t>Nature Climate Change</w:t>
      </w:r>
      <w:r w:rsidRPr="00B43E3C">
        <w:rPr>
          <w:rFonts w:cs="Times New Roman"/>
          <w:noProof/>
          <w:sz w:val="24"/>
          <w:szCs w:val="24"/>
          <w:lang w:val="fr-FR"/>
        </w:rPr>
        <w:t xml:space="preserve"> </w:t>
      </w:r>
      <w:r w:rsidRPr="00B43E3C">
        <w:rPr>
          <w:rFonts w:cs="Times New Roman"/>
          <w:b/>
          <w:noProof/>
          <w:sz w:val="24"/>
          <w:szCs w:val="24"/>
          <w:lang w:val="fr-FR"/>
        </w:rPr>
        <w:t>9</w:t>
      </w:r>
      <w:r w:rsidRPr="00B43E3C">
        <w:rPr>
          <w:rFonts w:cs="Times New Roman"/>
          <w:noProof/>
          <w:sz w:val="24"/>
          <w:szCs w:val="24"/>
          <w:lang w:val="fr-FR"/>
        </w:rPr>
        <w:t>, 617-622, doi:10.1038/s41558-019-0512-y (2019).</w:t>
      </w:r>
    </w:p>
    <w:p w:rsidR="00EF5658" w:rsidRPr="0043737F" w:rsidRDefault="00EF5658" w:rsidP="00EF5658">
      <w:pPr>
        <w:ind w:left="720" w:hanging="720"/>
        <w:rPr>
          <w:rFonts w:cs="Times New Roman"/>
          <w:noProof/>
          <w:sz w:val="24"/>
          <w:szCs w:val="24"/>
        </w:rPr>
      </w:pPr>
      <w:r w:rsidRPr="00B43E3C">
        <w:rPr>
          <w:rFonts w:cs="Times New Roman"/>
          <w:noProof/>
          <w:sz w:val="24"/>
          <w:szCs w:val="24"/>
          <w:lang w:val="fr-FR"/>
        </w:rPr>
        <w:t>42</w:t>
      </w:r>
      <w:r w:rsidRPr="00B43E3C">
        <w:rPr>
          <w:rFonts w:cs="Times New Roman"/>
          <w:noProof/>
          <w:sz w:val="24"/>
          <w:szCs w:val="24"/>
          <w:lang w:val="fr-FR"/>
        </w:rPr>
        <w:tab/>
        <w:t>Gloor, M.</w:t>
      </w:r>
      <w:r w:rsidRPr="00B43E3C">
        <w:rPr>
          <w:rFonts w:cs="Times New Roman"/>
          <w:i/>
          <w:noProof/>
          <w:sz w:val="24"/>
          <w:szCs w:val="24"/>
          <w:lang w:val="fr-FR"/>
        </w:rPr>
        <w:t xml:space="preserve"> et al.</w:t>
      </w:r>
      <w:r w:rsidRPr="00B43E3C">
        <w:rPr>
          <w:rFonts w:cs="Times New Roman"/>
          <w:noProof/>
          <w:sz w:val="24"/>
          <w:szCs w:val="24"/>
          <w:lang w:val="fr-FR"/>
        </w:rPr>
        <w:t xml:space="preserve"> </w:t>
      </w:r>
      <w:r w:rsidRPr="0043737F">
        <w:rPr>
          <w:rFonts w:cs="Times New Roman"/>
          <w:noProof/>
          <w:sz w:val="24"/>
          <w:szCs w:val="24"/>
        </w:rPr>
        <w:t xml:space="preserve">Recent Amazon climate as background for possible ongoing and future changes of Amazon humid forests. </w:t>
      </w:r>
      <w:r w:rsidRPr="0043737F">
        <w:rPr>
          <w:rFonts w:cs="Times New Roman"/>
          <w:i/>
          <w:noProof/>
          <w:sz w:val="24"/>
          <w:szCs w:val="24"/>
        </w:rPr>
        <w:t>Global Biogeochemical Cycles</w:t>
      </w:r>
      <w:r w:rsidRPr="0043737F">
        <w:rPr>
          <w:rFonts w:cs="Times New Roman"/>
          <w:noProof/>
          <w:sz w:val="24"/>
          <w:szCs w:val="24"/>
        </w:rPr>
        <w:t xml:space="preserve"> </w:t>
      </w:r>
      <w:r w:rsidRPr="0043737F">
        <w:rPr>
          <w:rFonts w:cs="Times New Roman"/>
          <w:b/>
          <w:noProof/>
          <w:sz w:val="24"/>
          <w:szCs w:val="24"/>
        </w:rPr>
        <w:t>29</w:t>
      </w:r>
      <w:r w:rsidRPr="0043737F">
        <w:rPr>
          <w:rFonts w:cs="Times New Roman"/>
          <w:noProof/>
          <w:sz w:val="24"/>
          <w:szCs w:val="24"/>
        </w:rPr>
        <w:t>, 1384-1399, doi:10.1002/2014gb005080 (2015).</w:t>
      </w:r>
    </w:p>
    <w:p w:rsidR="00EF5658" w:rsidRPr="00EF5658" w:rsidRDefault="00EF5658" w:rsidP="00EF5658">
      <w:pPr>
        <w:ind w:left="720" w:hanging="720"/>
        <w:rPr>
          <w:rFonts w:cs="Times New Roman"/>
          <w:noProof/>
          <w:sz w:val="24"/>
          <w:szCs w:val="24"/>
        </w:rPr>
      </w:pPr>
      <w:r w:rsidRPr="0043737F">
        <w:rPr>
          <w:rFonts w:cs="Times New Roman"/>
          <w:noProof/>
          <w:sz w:val="24"/>
          <w:szCs w:val="24"/>
        </w:rPr>
        <w:t>43</w:t>
      </w:r>
      <w:r w:rsidRPr="0043737F">
        <w:rPr>
          <w:rFonts w:cs="Times New Roman"/>
          <w:noProof/>
          <w:sz w:val="24"/>
          <w:szCs w:val="24"/>
        </w:rPr>
        <w:tab/>
        <w:t>Kolby Smith, W.</w:t>
      </w:r>
      <w:r w:rsidRPr="0043737F">
        <w:rPr>
          <w:rFonts w:cs="Times New Roman"/>
          <w:i/>
          <w:noProof/>
          <w:sz w:val="24"/>
          <w:szCs w:val="24"/>
        </w:rPr>
        <w:t xml:space="preserve"> et al.</w:t>
      </w:r>
      <w:r w:rsidRPr="0043737F">
        <w:rPr>
          <w:rFonts w:cs="Times New Roman"/>
          <w:noProof/>
          <w:sz w:val="24"/>
          <w:szCs w:val="24"/>
        </w:rPr>
        <w:t xml:space="preserve"> Large divergence of satellite and Earth system model estimates of global terrestrial CO</w:t>
      </w:r>
      <w:r w:rsidRPr="00EF5658">
        <w:rPr>
          <w:rFonts w:cs="Times New Roman"/>
          <w:noProof/>
          <w:sz w:val="24"/>
          <w:szCs w:val="24"/>
          <w:vertAlign w:val="subscript"/>
        </w:rPr>
        <w:t>2</w:t>
      </w:r>
      <w:r w:rsidRPr="0043737F">
        <w:rPr>
          <w:rFonts w:cs="Times New Roman"/>
          <w:noProof/>
          <w:sz w:val="24"/>
          <w:szCs w:val="24"/>
        </w:rPr>
        <w:t xml:space="preserve"> fertilization. </w:t>
      </w:r>
      <w:r w:rsidRPr="00EF5658">
        <w:rPr>
          <w:rFonts w:cs="Times New Roman"/>
          <w:i/>
          <w:noProof/>
          <w:sz w:val="24"/>
          <w:szCs w:val="24"/>
        </w:rPr>
        <w:t>Nature Climate Change</w:t>
      </w:r>
      <w:r w:rsidRPr="00EF5658">
        <w:rPr>
          <w:rFonts w:cs="Times New Roman"/>
          <w:noProof/>
          <w:sz w:val="24"/>
          <w:szCs w:val="24"/>
        </w:rPr>
        <w:t xml:space="preserve"> </w:t>
      </w:r>
      <w:r w:rsidRPr="00EF5658">
        <w:rPr>
          <w:rFonts w:cs="Times New Roman"/>
          <w:b/>
          <w:noProof/>
          <w:sz w:val="24"/>
          <w:szCs w:val="24"/>
        </w:rPr>
        <w:t>6</w:t>
      </w:r>
      <w:r w:rsidRPr="00EF5658">
        <w:rPr>
          <w:rFonts w:cs="Times New Roman"/>
          <w:noProof/>
          <w:sz w:val="24"/>
          <w:szCs w:val="24"/>
        </w:rPr>
        <w:t>, 306, doi:10.1038/nclimate2879 (2015).</w:t>
      </w:r>
    </w:p>
    <w:p w:rsidR="00EF5658" w:rsidRPr="0043737F" w:rsidRDefault="00EF5658" w:rsidP="00EF5658">
      <w:pPr>
        <w:ind w:left="720" w:hanging="720"/>
        <w:rPr>
          <w:rFonts w:cs="Times New Roman"/>
          <w:noProof/>
          <w:sz w:val="24"/>
          <w:szCs w:val="24"/>
        </w:rPr>
      </w:pPr>
      <w:r w:rsidRPr="0043737F">
        <w:rPr>
          <w:rFonts w:cs="Times New Roman"/>
          <w:noProof/>
          <w:sz w:val="24"/>
          <w:szCs w:val="24"/>
        </w:rPr>
        <w:t>44</w:t>
      </w:r>
      <w:r w:rsidRPr="0043737F">
        <w:rPr>
          <w:rFonts w:cs="Times New Roman"/>
          <w:noProof/>
          <w:sz w:val="24"/>
          <w:szCs w:val="24"/>
        </w:rPr>
        <w:tab/>
        <w:t>Chen, C.</w:t>
      </w:r>
      <w:r w:rsidRPr="0043737F">
        <w:rPr>
          <w:rFonts w:cs="Times New Roman"/>
          <w:i/>
          <w:noProof/>
          <w:sz w:val="24"/>
          <w:szCs w:val="24"/>
        </w:rPr>
        <w:t xml:space="preserve"> et al.</w:t>
      </w:r>
      <w:r w:rsidRPr="0043737F">
        <w:rPr>
          <w:rFonts w:cs="Times New Roman"/>
          <w:noProof/>
          <w:sz w:val="24"/>
          <w:szCs w:val="24"/>
        </w:rPr>
        <w:t xml:space="preserve"> China and India lead in greening of the world through land-use management. </w:t>
      </w:r>
      <w:r w:rsidRPr="0043737F">
        <w:rPr>
          <w:rFonts w:cs="Times New Roman"/>
          <w:i/>
          <w:noProof/>
          <w:sz w:val="24"/>
          <w:szCs w:val="24"/>
        </w:rPr>
        <w:t>Nature Sustainability</w:t>
      </w:r>
      <w:r w:rsidRPr="0043737F">
        <w:rPr>
          <w:rFonts w:cs="Times New Roman"/>
          <w:noProof/>
          <w:sz w:val="24"/>
          <w:szCs w:val="24"/>
        </w:rPr>
        <w:t xml:space="preserve"> </w:t>
      </w:r>
      <w:r w:rsidRPr="0043737F">
        <w:rPr>
          <w:rFonts w:cs="Times New Roman"/>
          <w:b/>
          <w:noProof/>
          <w:sz w:val="24"/>
          <w:szCs w:val="24"/>
        </w:rPr>
        <w:t>2</w:t>
      </w:r>
      <w:r w:rsidRPr="0043737F">
        <w:rPr>
          <w:rFonts w:cs="Times New Roman"/>
          <w:noProof/>
          <w:sz w:val="24"/>
          <w:szCs w:val="24"/>
        </w:rPr>
        <w:t>, 122-129, doi:10.1038/s41893-019-0220-7 (2019).</w:t>
      </w:r>
    </w:p>
    <w:p w:rsidR="00EF5658" w:rsidRPr="0043737F" w:rsidRDefault="00EF5658" w:rsidP="00EF5658">
      <w:pPr>
        <w:ind w:left="720" w:hanging="720"/>
        <w:rPr>
          <w:rFonts w:cs="Times New Roman"/>
          <w:noProof/>
          <w:sz w:val="24"/>
          <w:szCs w:val="24"/>
        </w:rPr>
      </w:pPr>
      <w:r w:rsidRPr="0043737F">
        <w:rPr>
          <w:rFonts w:cs="Times New Roman"/>
          <w:noProof/>
          <w:sz w:val="24"/>
          <w:szCs w:val="24"/>
        </w:rPr>
        <w:lastRenderedPageBreak/>
        <w:t>45</w:t>
      </w:r>
      <w:r w:rsidRPr="0043737F">
        <w:rPr>
          <w:rFonts w:cs="Times New Roman"/>
          <w:noProof/>
          <w:sz w:val="24"/>
          <w:szCs w:val="24"/>
        </w:rPr>
        <w:tab/>
        <w:t xml:space="preserve">Chambers, J. Q., Higuchi, N., Schimel, J. P., Ferreira, L. V. &amp; Melack, J. M. Decomposition and carbon cycling of dead trees in tropical forests of the central Amazon. </w:t>
      </w:r>
      <w:r w:rsidRPr="0043737F">
        <w:rPr>
          <w:rFonts w:cs="Times New Roman"/>
          <w:i/>
          <w:noProof/>
          <w:sz w:val="24"/>
          <w:szCs w:val="24"/>
        </w:rPr>
        <w:t>Oecologia</w:t>
      </w:r>
      <w:r w:rsidRPr="0043737F">
        <w:rPr>
          <w:rFonts w:cs="Times New Roman"/>
          <w:noProof/>
          <w:sz w:val="24"/>
          <w:szCs w:val="24"/>
        </w:rPr>
        <w:t xml:space="preserve"> </w:t>
      </w:r>
      <w:r w:rsidRPr="0043737F">
        <w:rPr>
          <w:rFonts w:cs="Times New Roman"/>
          <w:b/>
          <w:noProof/>
          <w:sz w:val="24"/>
          <w:szCs w:val="24"/>
        </w:rPr>
        <w:t>122</w:t>
      </w:r>
      <w:r w:rsidRPr="0043737F">
        <w:rPr>
          <w:rFonts w:cs="Times New Roman"/>
          <w:noProof/>
          <w:sz w:val="24"/>
          <w:szCs w:val="24"/>
        </w:rPr>
        <w:t>, 380-388 (2000).</w:t>
      </w:r>
    </w:p>
    <w:p w:rsidR="00EF5658" w:rsidRPr="0043737F" w:rsidRDefault="00EF5658" w:rsidP="00EF5658">
      <w:pPr>
        <w:ind w:left="720" w:hanging="720"/>
        <w:rPr>
          <w:rFonts w:cs="Times New Roman"/>
          <w:noProof/>
          <w:sz w:val="24"/>
          <w:szCs w:val="24"/>
        </w:rPr>
      </w:pPr>
      <w:r w:rsidRPr="0043737F">
        <w:rPr>
          <w:rFonts w:cs="Times New Roman"/>
          <w:noProof/>
          <w:sz w:val="24"/>
          <w:szCs w:val="24"/>
        </w:rPr>
        <w:t>46</w:t>
      </w:r>
      <w:r w:rsidRPr="0043737F">
        <w:rPr>
          <w:rFonts w:cs="Times New Roman"/>
          <w:noProof/>
          <w:sz w:val="24"/>
          <w:szCs w:val="24"/>
        </w:rPr>
        <w:tab/>
        <w:t>Hansen, M. C.</w:t>
      </w:r>
      <w:r w:rsidRPr="0043737F">
        <w:rPr>
          <w:rFonts w:cs="Times New Roman"/>
          <w:i/>
          <w:noProof/>
          <w:sz w:val="24"/>
          <w:szCs w:val="24"/>
        </w:rPr>
        <w:t xml:space="preserve"> et al.</w:t>
      </w:r>
      <w:r w:rsidRPr="0043737F">
        <w:rPr>
          <w:rFonts w:cs="Times New Roman"/>
          <w:noProof/>
          <w:sz w:val="24"/>
          <w:szCs w:val="24"/>
        </w:rPr>
        <w:t xml:space="preserve"> High-Resolution Global Maps of 21</w:t>
      </w:r>
      <w:r w:rsidRPr="00EF5658">
        <w:rPr>
          <w:rFonts w:cs="Times New Roman"/>
          <w:noProof/>
          <w:sz w:val="24"/>
          <w:szCs w:val="24"/>
          <w:vertAlign w:val="superscript"/>
        </w:rPr>
        <w:t>st</w:t>
      </w:r>
      <w:r w:rsidRPr="0043737F">
        <w:rPr>
          <w:rFonts w:cs="Times New Roman"/>
          <w:noProof/>
          <w:sz w:val="24"/>
          <w:szCs w:val="24"/>
        </w:rPr>
        <w:t xml:space="preserve">-Century Forest Cover Change. </w:t>
      </w:r>
      <w:r w:rsidRPr="0043737F">
        <w:rPr>
          <w:rFonts w:cs="Times New Roman"/>
          <w:i/>
          <w:noProof/>
          <w:sz w:val="24"/>
          <w:szCs w:val="24"/>
        </w:rPr>
        <w:t>Science</w:t>
      </w:r>
      <w:r w:rsidRPr="0043737F">
        <w:rPr>
          <w:rFonts w:cs="Times New Roman"/>
          <w:noProof/>
          <w:sz w:val="24"/>
          <w:szCs w:val="24"/>
        </w:rPr>
        <w:t xml:space="preserve"> </w:t>
      </w:r>
      <w:r w:rsidRPr="0043737F">
        <w:rPr>
          <w:rFonts w:cs="Times New Roman"/>
          <w:b/>
          <w:noProof/>
          <w:sz w:val="24"/>
          <w:szCs w:val="24"/>
        </w:rPr>
        <w:t>342</w:t>
      </w:r>
      <w:r w:rsidRPr="0043737F">
        <w:rPr>
          <w:rFonts w:cs="Times New Roman"/>
          <w:noProof/>
          <w:sz w:val="24"/>
          <w:szCs w:val="24"/>
        </w:rPr>
        <w:t>, 850-853, doi:10.1126/science.1244693 (2013).</w:t>
      </w:r>
    </w:p>
    <w:p w:rsidR="00EF5658" w:rsidRPr="0043737F" w:rsidRDefault="00EF5658" w:rsidP="00EF5658">
      <w:pPr>
        <w:ind w:left="720" w:hanging="720"/>
        <w:rPr>
          <w:rFonts w:cs="Times New Roman"/>
          <w:noProof/>
          <w:sz w:val="24"/>
          <w:szCs w:val="24"/>
        </w:rPr>
      </w:pPr>
      <w:r w:rsidRPr="0043737F">
        <w:rPr>
          <w:rFonts w:cs="Times New Roman"/>
          <w:noProof/>
          <w:sz w:val="24"/>
          <w:szCs w:val="24"/>
        </w:rPr>
        <w:t>47</w:t>
      </w:r>
      <w:r w:rsidRPr="0043737F">
        <w:rPr>
          <w:rFonts w:cs="Times New Roman"/>
          <w:noProof/>
          <w:sz w:val="24"/>
          <w:szCs w:val="24"/>
        </w:rPr>
        <w:tab/>
        <w:t xml:space="preserve">Pearson, T. R. H., Brown, S., Murray, L. &amp; Sidman, G. Greenhouse gas emissions from tropical forest degradation: an underestimated source. </w:t>
      </w:r>
      <w:r w:rsidRPr="0043737F">
        <w:rPr>
          <w:rFonts w:cs="Times New Roman"/>
          <w:i/>
          <w:noProof/>
          <w:sz w:val="24"/>
          <w:szCs w:val="24"/>
        </w:rPr>
        <w:t>Carbon Balance and Management</w:t>
      </w:r>
      <w:r w:rsidRPr="0043737F">
        <w:rPr>
          <w:rFonts w:cs="Times New Roman"/>
          <w:noProof/>
          <w:sz w:val="24"/>
          <w:szCs w:val="24"/>
        </w:rPr>
        <w:t xml:space="preserve"> </w:t>
      </w:r>
      <w:r w:rsidRPr="0043737F">
        <w:rPr>
          <w:rFonts w:cs="Times New Roman"/>
          <w:b/>
          <w:noProof/>
          <w:sz w:val="24"/>
          <w:szCs w:val="24"/>
        </w:rPr>
        <w:t>12</w:t>
      </w:r>
      <w:r w:rsidRPr="0043737F">
        <w:rPr>
          <w:rFonts w:cs="Times New Roman"/>
          <w:noProof/>
          <w:sz w:val="24"/>
          <w:szCs w:val="24"/>
        </w:rPr>
        <w:t>, 3, doi:10.1186/s13021-017-0072-2 (2017).</w:t>
      </w:r>
    </w:p>
    <w:p w:rsidR="00EF5658" w:rsidRPr="0043737F" w:rsidRDefault="00EF5658" w:rsidP="00EF5658">
      <w:pPr>
        <w:ind w:left="720" w:hanging="720"/>
        <w:rPr>
          <w:rFonts w:cs="Times New Roman"/>
          <w:noProof/>
          <w:sz w:val="24"/>
          <w:szCs w:val="24"/>
        </w:rPr>
      </w:pPr>
      <w:r w:rsidRPr="0043737F">
        <w:rPr>
          <w:rFonts w:cs="Times New Roman"/>
          <w:noProof/>
          <w:sz w:val="24"/>
          <w:szCs w:val="24"/>
        </w:rPr>
        <w:t>48</w:t>
      </w:r>
      <w:r w:rsidRPr="0043737F">
        <w:rPr>
          <w:rFonts w:cs="Times New Roman"/>
          <w:noProof/>
          <w:sz w:val="24"/>
          <w:szCs w:val="24"/>
        </w:rPr>
        <w:tab/>
        <w:t xml:space="preserve">Schwartz, N. B., Uriarte, M., DeFries, R., Gutierrez-Velez, V. H. &amp; Pinedo-Vasquez, M. A. Land-use dynamics influence estimates of carbon sequestration potential in tropical second-growth forest. </w:t>
      </w:r>
      <w:r w:rsidRPr="0043737F">
        <w:rPr>
          <w:rFonts w:cs="Times New Roman"/>
          <w:i/>
          <w:noProof/>
          <w:sz w:val="24"/>
          <w:szCs w:val="24"/>
        </w:rPr>
        <w:t>Environmental Research Letters</w:t>
      </w:r>
      <w:r w:rsidRPr="0043737F">
        <w:rPr>
          <w:rFonts w:cs="Times New Roman"/>
          <w:noProof/>
          <w:sz w:val="24"/>
          <w:szCs w:val="24"/>
        </w:rPr>
        <w:t xml:space="preserve"> </w:t>
      </w:r>
      <w:r w:rsidRPr="0043737F">
        <w:rPr>
          <w:rFonts w:cs="Times New Roman"/>
          <w:b/>
          <w:noProof/>
          <w:sz w:val="24"/>
          <w:szCs w:val="24"/>
        </w:rPr>
        <w:t>12</w:t>
      </w:r>
      <w:r w:rsidRPr="0043737F">
        <w:rPr>
          <w:rFonts w:cs="Times New Roman"/>
          <w:noProof/>
          <w:sz w:val="24"/>
          <w:szCs w:val="24"/>
        </w:rPr>
        <w:t>, 074023, doi:10.1088/1748-9326/aa708b (2017).</w:t>
      </w:r>
    </w:p>
    <w:p w:rsidR="00EF5658" w:rsidRPr="0043737F" w:rsidRDefault="00EF5658" w:rsidP="00EF5658">
      <w:pPr>
        <w:ind w:left="720" w:hanging="720"/>
        <w:rPr>
          <w:rFonts w:cs="Times New Roman"/>
          <w:noProof/>
          <w:sz w:val="24"/>
          <w:szCs w:val="24"/>
        </w:rPr>
      </w:pPr>
      <w:r w:rsidRPr="0043737F">
        <w:rPr>
          <w:rFonts w:cs="Times New Roman"/>
          <w:noProof/>
          <w:sz w:val="24"/>
          <w:szCs w:val="24"/>
        </w:rPr>
        <w:t>49</w:t>
      </w:r>
      <w:r w:rsidRPr="0043737F">
        <w:rPr>
          <w:rFonts w:cs="Times New Roman"/>
          <w:noProof/>
          <w:sz w:val="24"/>
          <w:szCs w:val="24"/>
        </w:rPr>
        <w:tab/>
        <w:t xml:space="preserve">Lewis, S. L., Wheeler, C. E., Mitchard, E. T. A. &amp; Koch, A. Regenerate natural forests to store carbon. </w:t>
      </w:r>
      <w:r w:rsidRPr="0043737F">
        <w:rPr>
          <w:rFonts w:cs="Times New Roman"/>
          <w:i/>
          <w:noProof/>
          <w:sz w:val="24"/>
          <w:szCs w:val="24"/>
        </w:rPr>
        <w:t xml:space="preserve">Nature </w:t>
      </w:r>
      <w:r w:rsidRPr="0043737F">
        <w:rPr>
          <w:rFonts w:cs="Times New Roman"/>
          <w:b/>
          <w:noProof/>
          <w:sz w:val="24"/>
          <w:szCs w:val="24"/>
        </w:rPr>
        <w:t>568</w:t>
      </w:r>
      <w:r w:rsidRPr="0043737F">
        <w:rPr>
          <w:rFonts w:cs="Times New Roman"/>
          <w:noProof/>
          <w:sz w:val="24"/>
          <w:szCs w:val="24"/>
        </w:rPr>
        <w:t>, 25-28 (2019).</w:t>
      </w:r>
    </w:p>
    <w:p w:rsidR="00EF5658" w:rsidRPr="0043737F" w:rsidRDefault="00EF5658" w:rsidP="00EF5658">
      <w:pPr>
        <w:ind w:left="720" w:hanging="720"/>
        <w:rPr>
          <w:rFonts w:cs="Times New Roman"/>
          <w:noProof/>
          <w:sz w:val="24"/>
          <w:szCs w:val="24"/>
        </w:rPr>
      </w:pPr>
      <w:r w:rsidRPr="0043737F">
        <w:rPr>
          <w:rFonts w:cs="Times New Roman"/>
          <w:noProof/>
          <w:sz w:val="24"/>
          <w:szCs w:val="24"/>
        </w:rPr>
        <w:t>50</w:t>
      </w:r>
      <w:r w:rsidRPr="0043737F">
        <w:rPr>
          <w:rFonts w:cs="Times New Roman"/>
          <w:noProof/>
          <w:sz w:val="24"/>
          <w:szCs w:val="24"/>
        </w:rPr>
        <w:tab/>
        <w:t>Yu, K.</w:t>
      </w:r>
      <w:r w:rsidRPr="0043737F">
        <w:rPr>
          <w:rFonts w:cs="Times New Roman"/>
          <w:i/>
          <w:noProof/>
          <w:sz w:val="24"/>
          <w:szCs w:val="24"/>
        </w:rPr>
        <w:t xml:space="preserve"> et al.</w:t>
      </w:r>
      <w:r w:rsidRPr="0043737F">
        <w:rPr>
          <w:rFonts w:cs="Times New Roman"/>
          <w:noProof/>
          <w:sz w:val="24"/>
          <w:szCs w:val="24"/>
        </w:rPr>
        <w:t xml:space="preserve"> Pervasive decreases in living vegetation carbon turnover time across forest climate zones. </w:t>
      </w:r>
      <w:r w:rsidRPr="0043737F">
        <w:rPr>
          <w:rFonts w:cs="Times New Roman"/>
          <w:i/>
          <w:noProof/>
          <w:sz w:val="24"/>
          <w:szCs w:val="24"/>
        </w:rPr>
        <w:t>Proceedings of the National Academy of Sciences</w:t>
      </w:r>
      <w:r w:rsidRPr="0043737F">
        <w:rPr>
          <w:rFonts w:cs="Times New Roman"/>
          <w:noProof/>
          <w:sz w:val="24"/>
          <w:szCs w:val="24"/>
        </w:rPr>
        <w:t>, 201821387, doi:10.1073/pnas.1821387116 (2019).</w:t>
      </w:r>
    </w:p>
    <w:p w:rsidR="00B43E3C" w:rsidRPr="000E07E9" w:rsidRDefault="00B43E3C" w:rsidP="00726F1B">
      <w:pPr>
        <w:rPr>
          <w:sz w:val="24"/>
          <w:szCs w:val="24"/>
        </w:rPr>
      </w:pPr>
    </w:p>
    <w:p w:rsidR="00B43E3C" w:rsidRPr="00C0388B" w:rsidRDefault="00B43E3C" w:rsidP="00726F1B">
      <w:pPr>
        <w:pStyle w:val="Heading1"/>
      </w:pPr>
      <w:r w:rsidRPr="00C0388B">
        <w:t xml:space="preserve">Acknowledgements </w:t>
      </w:r>
    </w:p>
    <w:p w:rsidR="00B43E3C" w:rsidRPr="000B35A0" w:rsidRDefault="00B43E3C" w:rsidP="00726F1B">
      <w:pPr>
        <w:rPr>
          <w:sz w:val="24"/>
          <w:szCs w:val="24"/>
        </w:rPr>
      </w:pPr>
      <w:r w:rsidRPr="000B35A0">
        <w:rPr>
          <w:sz w:val="24"/>
          <w:szCs w:val="24"/>
        </w:rPr>
        <w:t xml:space="preserve">This paper is a product of the African Tropical Rainforest Observatory Network (AfriTRON), </w:t>
      </w:r>
      <w:r>
        <w:rPr>
          <w:sz w:val="24"/>
          <w:szCs w:val="24"/>
        </w:rPr>
        <w:t xml:space="preserve">curated at </w:t>
      </w:r>
      <w:r w:rsidRPr="002D249B">
        <w:rPr>
          <w:sz w:val="24"/>
          <w:szCs w:val="24"/>
        </w:rPr>
        <w:t>ForestPlots.net</w:t>
      </w:r>
      <w:r>
        <w:rPr>
          <w:sz w:val="24"/>
          <w:szCs w:val="24"/>
        </w:rPr>
        <w:t>.</w:t>
      </w:r>
      <w:r w:rsidRPr="000B35A0">
        <w:rPr>
          <w:sz w:val="24"/>
          <w:szCs w:val="24"/>
        </w:rPr>
        <w:t xml:space="preserve"> </w:t>
      </w:r>
      <w:r>
        <w:rPr>
          <w:sz w:val="24"/>
          <w:szCs w:val="24"/>
        </w:rPr>
        <w:t xml:space="preserve">AfriTRON has </w:t>
      </w:r>
      <w:r w:rsidRPr="000B35A0">
        <w:rPr>
          <w:sz w:val="24"/>
          <w:szCs w:val="24"/>
        </w:rPr>
        <w:t xml:space="preserve">been supported by numerous </w:t>
      </w:r>
      <w:r>
        <w:rPr>
          <w:sz w:val="24"/>
          <w:szCs w:val="24"/>
        </w:rPr>
        <w:t xml:space="preserve">people and </w:t>
      </w:r>
      <w:r w:rsidRPr="000B35A0">
        <w:rPr>
          <w:sz w:val="24"/>
          <w:szCs w:val="24"/>
        </w:rPr>
        <w:t xml:space="preserve">grants since </w:t>
      </w:r>
      <w:r>
        <w:rPr>
          <w:sz w:val="24"/>
          <w:szCs w:val="24"/>
        </w:rPr>
        <w:t xml:space="preserve">its </w:t>
      </w:r>
      <w:r w:rsidRPr="000B35A0">
        <w:rPr>
          <w:sz w:val="24"/>
          <w:szCs w:val="24"/>
        </w:rPr>
        <w:t>inception</w:t>
      </w:r>
      <w:r>
        <w:rPr>
          <w:sz w:val="24"/>
          <w:szCs w:val="24"/>
        </w:rPr>
        <w:t xml:space="preserve">. We sincerely </w:t>
      </w:r>
      <w:r w:rsidRPr="000B35A0">
        <w:rPr>
          <w:sz w:val="24"/>
          <w:szCs w:val="24"/>
        </w:rPr>
        <w:t>thank the people of the many villages and local communities who welcomed our field</w:t>
      </w:r>
      <w:r>
        <w:rPr>
          <w:sz w:val="24"/>
          <w:szCs w:val="24"/>
        </w:rPr>
        <w:t xml:space="preserve"> </w:t>
      </w:r>
      <w:r w:rsidRPr="000B35A0">
        <w:rPr>
          <w:sz w:val="24"/>
          <w:szCs w:val="24"/>
        </w:rPr>
        <w:t>teams</w:t>
      </w:r>
      <w:r>
        <w:rPr>
          <w:sz w:val="24"/>
          <w:szCs w:val="24"/>
        </w:rPr>
        <w:t xml:space="preserve"> and without whose support this work would not have been possible</w:t>
      </w:r>
      <w:r w:rsidRPr="000B35A0">
        <w:rPr>
          <w:sz w:val="24"/>
          <w:szCs w:val="24"/>
        </w:rPr>
        <w:t>: Sierra Leone (Barrie, Gaura, Koya, Makpele, Malema, Nomo, Tunkia</w:t>
      </w:r>
      <w:bookmarkStart w:id="1" w:name="_Hlk3810412"/>
      <w:r w:rsidRPr="000B35A0">
        <w:rPr>
          <w:sz w:val="24"/>
          <w:szCs w:val="24"/>
        </w:rPr>
        <w:t>, Gola Rainforest National Park</w:t>
      </w:r>
      <w:bookmarkEnd w:id="1"/>
      <w:r w:rsidRPr="000B35A0">
        <w:rPr>
          <w:sz w:val="24"/>
          <w:szCs w:val="24"/>
        </w:rPr>
        <w:t xml:space="preserve">), Liberia (Garley town, River Gbeh, Glaro Freetown), Ghana (Nkwanta, Asenanyo, Bonsa, Agona, Boekrom, </w:t>
      </w:r>
      <w:r w:rsidRPr="000B35A0">
        <w:rPr>
          <w:sz w:val="24"/>
          <w:szCs w:val="24"/>
        </w:rPr>
        <w:lastRenderedPageBreak/>
        <w:t xml:space="preserve">Dadieso, Enchi, Dabiasem, Mangowase, Draw, Fure, Esuboni, Okumaninin, Kadeand Asamankese, Tinte Bepo, Tonton), Nigeria (Oban), Gabon (Ekobakoba, Mikongo, Babilone, Makokou, Leke/Moyabi Rougier Forestry Concession, Ivindo National Park, Lope </w:t>
      </w:r>
      <w:r>
        <w:rPr>
          <w:sz w:val="24"/>
          <w:szCs w:val="24"/>
        </w:rPr>
        <w:t>National Park, Ipassa station,</w:t>
      </w:r>
      <w:r w:rsidRPr="000B35A0">
        <w:rPr>
          <w:sz w:val="24"/>
          <w:szCs w:val="24"/>
        </w:rPr>
        <w:t xml:space="preserve"> Kingele station, Tchimbele, Mondah, Ivindo, Ebe, Ekouk, Oveng, Sette Cama, Waka National Park), Cameroon (Campo, Nazareth, Lomié, Djomédjo, Alat-Makay, Somolomo, Deng Deng, Ejagham forest reserve, Eyumojok, Mbakaou, Myere, Nguti, Bejange, Kekpane, Basho, Mendhi, Matene, Mboh</w:t>
      </w:r>
      <w:r>
        <w:rPr>
          <w:sz w:val="24"/>
          <w:szCs w:val="24"/>
        </w:rPr>
        <w:t xml:space="preserve">, Takamanda, Obonyi, Ngoïla), Democratic Republic of </w:t>
      </w:r>
      <w:r w:rsidRPr="000B35A0">
        <w:rPr>
          <w:sz w:val="24"/>
          <w:szCs w:val="24"/>
        </w:rPr>
        <w:t xml:space="preserve">Congo (Yoko, Yangambi, Epulu, Monkoto), Republic of Congo (Bomassa, Ekolongouma, Bolembe, Makao, Mbeli, Kabo, Niangui, Ngubu, Goualaki, Essimbi), and many others. </w:t>
      </w:r>
    </w:p>
    <w:p w:rsidR="00B43E3C" w:rsidRDefault="00B43E3C" w:rsidP="00726F1B">
      <w:pPr>
        <w:rPr>
          <w:sz w:val="24"/>
          <w:szCs w:val="24"/>
        </w:rPr>
      </w:pPr>
    </w:p>
    <w:p w:rsidR="00B43E3C" w:rsidRDefault="00B43E3C" w:rsidP="00726F1B">
      <w:pPr>
        <w:rPr>
          <w:sz w:val="24"/>
          <w:szCs w:val="24"/>
        </w:rPr>
      </w:pPr>
      <w:r>
        <w:rPr>
          <w:sz w:val="24"/>
          <w:szCs w:val="24"/>
        </w:rPr>
        <w:t>We thank the</w:t>
      </w:r>
      <w:r w:rsidRPr="000B35A0">
        <w:rPr>
          <w:sz w:val="24"/>
          <w:szCs w:val="24"/>
        </w:rPr>
        <w:t xml:space="preserve"> hundreds of field assistants whose expertise and enthu</w:t>
      </w:r>
      <w:r>
        <w:rPr>
          <w:sz w:val="24"/>
          <w:szCs w:val="24"/>
        </w:rPr>
        <w:t xml:space="preserve">siasm is indispensable to successful </w:t>
      </w:r>
      <w:r w:rsidRPr="000B35A0">
        <w:rPr>
          <w:sz w:val="24"/>
          <w:szCs w:val="24"/>
        </w:rPr>
        <w:t>fieldwork: Menge Elvis Abang, Usaw Philip Achui, Francis Addai, Eyelechon Julius Agbachon, Jess Agnaka , Archaley John Akaza, Gabarie Alaman, Gregoire Alaman, Abor Enow Alexander, Kate Allen, Mobembe Amalphi, Danny Amandus, Jean Andju, Lazare Angassike Limbanga, Samuel Asamoah, Takem Martin Ashu, Moses Ashu, Joel Asse, Bangubaare Augustine, Henry Badjoko, Mayanga Balimu, Juste Baviogui-Baviogui, Solomon Benteh, Akuemo Bertrand, Akwo Bettus, Albert Bias, Andre Bikoula, Alain Bimba, Prince Bissiemou, Mensah Boateng, Etshu Bonyenga, Mopero Bosiko Ekaya, Gael Bouka, Juvenal Boussengui, Didier Bowaka Ngomo, Charles Chalange, Sylvester Chenikan, Jonathan Dabo, Emmanuel Dadize, Takyi Degraft, Joachim Dibakou, Jean-Thoussaint Dikangadissi, Pacôme Dimbonda, Edmond Dimoto, Carl Ditougou, Daniel Dorbor, Morris Dorbor, Vincent Droissa</w:t>
      </w:r>
      <w:r>
        <w:rPr>
          <w:sz w:val="24"/>
          <w:szCs w:val="24"/>
        </w:rPr>
        <w:t>r</w:t>
      </w:r>
      <w:r w:rsidRPr="000B35A0">
        <w:rPr>
          <w:sz w:val="24"/>
          <w:szCs w:val="24"/>
        </w:rPr>
        <w:t>t, Kwaku Duah, Edward Ebe, Osong Jerome Eji, Ekama Bertrand Ekamam, Jean-Robert Ekomindong,</w:t>
      </w:r>
      <w:r>
        <w:rPr>
          <w:sz w:val="24"/>
          <w:szCs w:val="24"/>
        </w:rPr>
        <w:t xml:space="preserve"> </w:t>
      </w:r>
      <w:r w:rsidRPr="000B35A0">
        <w:rPr>
          <w:sz w:val="24"/>
          <w:szCs w:val="24"/>
        </w:rPr>
        <w:t xml:space="preserve">Essa Joseph Enow, Hiboux Entombo, Ebai Mengue Ernest, Courageux Esola, Jules Essouma, Alaman Gabriel, Nteh Genesis, Bilfanim Gideon, Afedo Godwin, Eric Grear, D. John Grear, Mokondo Ismael, Michel Iwango, Mongali Iyafo, Narcisse Kamdem, Bondele Kibinda, Alidé Kidimbu, Exaldi Kimumbu, John Kintsieri, Cisquet </w:t>
      </w:r>
      <w:r w:rsidRPr="000B35A0">
        <w:rPr>
          <w:sz w:val="24"/>
          <w:szCs w:val="24"/>
        </w:rPr>
        <w:lastRenderedPageBreak/>
        <w:t>Kiebou Opepa, Amani Kitegile, Thérence Komo, Pokou Koué, Augustin Kouanga, Jean Jules Koumikaka, Innocent Liengola,</w:t>
      </w:r>
      <w:r>
        <w:rPr>
          <w:sz w:val="24"/>
          <w:szCs w:val="24"/>
        </w:rPr>
        <w:t xml:space="preserve"> </w:t>
      </w:r>
      <w:r w:rsidRPr="000B35A0">
        <w:rPr>
          <w:sz w:val="24"/>
          <w:szCs w:val="24"/>
        </w:rPr>
        <w:t>Elias Litonga, Lisa Louvouando, Ondo Luis, Noé Madingou Mady, Felicien Mahoula, Amani Mahundu, Chris Axel Mandebet, Poungue Maurice, Karl Yannick Mayossa, Robert Mba Nkogue, Isa David Mbe, Christian Mbina, Herve Mbona, Alain Mboni, Alain Mbouni, Paulin Menzo, Michael Menge, Andah Michael, Alain Mindoumou, Joseph Minpsa, Jean Paul Mondjo, E. Mounoumoulossi, Serge Mpouam, Tofile Msigala, John Msirikale, Samuel Mtoka, Ruben Mwakisoma, Daniel Ndong-Nguema, Gilbert Ndoyame, Guy Ngongbo, Francois Ngowa, D. Nguema, Luwi Nguye, Raoul Niangadouma, Yaw Nkrumah, Seya Nshimba, Marcel Nziengui Mboumba, Francis Nzogo Obiang, Lucas Obi, Roland Obi, Eyong Louis Odjong, Félix Okon, Fabiane Olivieira, Alina Lawrence</w:t>
      </w:r>
      <w:r>
        <w:rPr>
          <w:sz w:val="24"/>
          <w:szCs w:val="24"/>
        </w:rPr>
        <w:t xml:space="preserve"> Owemicho, Leandre Oyeni-Amoni, </w:t>
      </w:r>
      <w:r w:rsidRPr="000B35A0">
        <w:rPr>
          <w:sz w:val="24"/>
          <w:szCs w:val="24"/>
        </w:rPr>
        <w:t>Abia Platini, Pierre Ploton, Simon Quausah, Elasi Ramazani, Boscu Saïdou Jean, Lebienfalteur Sagang, Rosalind Salter, Adenani Seki, Deo Shirima, Murielle Simo, Igor Singono, Agboloh Eugene Tabi, Tako Gilbert Tako, Nteh Gambsi Tambe, Toha Tcho, Andrew Teah, Victor Tehtoe, Bright Joe Telephas, Marie Lesly Tonda, Angoni Tresor, Hamid Umenendo, Raymond Votere, Cyrus K. Weah, Slonean Weah, Bart Wursten, Emmanuel Yalley, Donatien Zebaze, Laurent Cerbonney, Emilien Dubiez, Hervé Moinecourt, François Lanckriet, Evina, Monazang, Engonga, Soso Samai, Mohamed Swaray, Patrick Lamboi, Mohamed Sullay, Dennis Bannah, Ibrahim Kanneh, Michael Kannah, Alhassan Kemokai, Joseph Kenneh, Morrison Lukulay</w:t>
      </w:r>
      <w:r>
        <w:rPr>
          <w:sz w:val="24"/>
          <w:szCs w:val="24"/>
        </w:rPr>
        <w:t>.</w:t>
      </w:r>
    </w:p>
    <w:p w:rsidR="00B43E3C" w:rsidRDefault="00B43E3C" w:rsidP="00726F1B">
      <w:pPr>
        <w:rPr>
          <w:sz w:val="24"/>
          <w:szCs w:val="24"/>
        </w:rPr>
      </w:pPr>
    </w:p>
    <w:p w:rsidR="00B43E3C" w:rsidRPr="000B35A0" w:rsidRDefault="00B43E3C" w:rsidP="00726F1B">
      <w:pPr>
        <w:rPr>
          <w:sz w:val="24"/>
          <w:szCs w:val="24"/>
        </w:rPr>
      </w:pPr>
      <w:r w:rsidRPr="000B35A0">
        <w:rPr>
          <w:sz w:val="24"/>
          <w:szCs w:val="24"/>
        </w:rPr>
        <w:t xml:space="preserve">For logistical and administrative support, we are indebted to international, national and local institutions: the Forestry Department of the Government of Sierra Leone, the Conservation Society of Sierra Leone, the Royal Society for the Protection of Birds (RSPB), The Gola Rainforest National Park, the Forestry Development Authority of the Government of Liberia (FDA), the University of Liberia, the Forestry Commission of Ghana (FC), the Forestry Research Institute of Ghana (FORIG), University of Ibadan (Nigeria), the University of Abeokuta (Nigeria), the Ministère des Eaux, Forêts, </w:t>
      </w:r>
      <w:r w:rsidRPr="000B35A0">
        <w:rPr>
          <w:sz w:val="24"/>
          <w:szCs w:val="24"/>
        </w:rPr>
        <w:lastRenderedPageBreak/>
        <w:t>Chasse et Pêche (MEFCP, Bangui, République Centrafricaine),</w:t>
      </w:r>
      <w:r>
        <w:rPr>
          <w:sz w:val="24"/>
          <w:szCs w:val="24"/>
        </w:rPr>
        <w:t xml:space="preserve"> </w:t>
      </w:r>
      <w:r w:rsidRPr="000B35A0">
        <w:rPr>
          <w:sz w:val="24"/>
          <w:szCs w:val="24"/>
        </w:rPr>
        <w:t xml:space="preserve">the Institut Centrafricain de Recherche Agronomique (ICRA), The Service de Coopération et d’Actions Culturelles (SCAC/MAE), The University of Bangui, the Société Centrafricaine de Déroulage (SCAD), the University of Yaounde I, the National Herbarium of Yaounde, the University of Buea, </w:t>
      </w:r>
      <w:r w:rsidRPr="00455D55">
        <w:rPr>
          <w:sz w:val="24"/>
          <w:szCs w:val="24"/>
        </w:rPr>
        <w:t>Biodiversity International</w:t>
      </w:r>
      <w:r>
        <w:rPr>
          <w:sz w:val="24"/>
          <w:szCs w:val="24"/>
        </w:rPr>
        <w:t xml:space="preserve"> (Cameroon), the </w:t>
      </w:r>
      <w:r w:rsidRPr="00455D55">
        <w:rPr>
          <w:sz w:val="24"/>
          <w:szCs w:val="24"/>
        </w:rPr>
        <w:t>Ministry of Forests, Seas, Environment and Climate</w:t>
      </w:r>
      <w:r>
        <w:rPr>
          <w:sz w:val="24"/>
          <w:szCs w:val="24"/>
        </w:rPr>
        <w:t xml:space="preserve"> (Gabon), </w:t>
      </w:r>
      <w:r w:rsidRPr="000B35A0">
        <w:rPr>
          <w:sz w:val="24"/>
          <w:szCs w:val="24"/>
        </w:rPr>
        <w:t>the Agence Nationale des Parcs Nationaux de Gabon (ANPN), Institut de Recherche en Ecologie Tropicale d</w:t>
      </w:r>
      <w:r>
        <w:rPr>
          <w:sz w:val="24"/>
          <w:szCs w:val="24"/>
        </w:rPr>
        <w:t>u</w:t>
      </w:r>
      <w:r w:rsidRPr="000B35A0">
        <w:rPr>
          <w:sz w:val="24"/>
          <w:szCs w:val="24"/>
        </w:rPr>
        <w:t xml:space="preserve"> Gabon, Rougier-</w:t>
      </w:r>
      <w:r>
        <w:rPr>
          <w:sz w:val="24"/>
          <w:szCs w:val="24"/>
        </w:rPr>
        <w:t>Gabon</w:t>
      </w:r>
      <w:r w:rsidRPr="000B35A0">
        <w:rPr>
          <w:sz w:val="24"/>
          <w:szCs w:val="24"/>
        </w:rPr>
        <w:t>, the Marien Ngouabi University of Brazzaville, the Ministère des Eaux et Forêts (République du Congo), the Ministère de la Rercherche Scientifique et de l’Innovation Technologique (République du Congo), the Nouabalé-Ndoki Foundation, WCS-Congo, Salonga National Park, The Centre de Formation et de Recherche en Conservation Foresti</w:t>
      </w:r>
      <w:r>
        <w:rPr>
          <w:sz w:val="24"/>
          <w:szCs w:val="24"/>
        </w:rPr>
        <w:t>è</w:t>
      </w:r>
      <w:r w:rsidRPr="000B35A0">
        <w:rPr>
          <w:sz w:val="24"/>
          <w:szCs w:val="24"/>
        </w:rPr>
        <w:t xml:space="preserve">re (CEFRECOF, Epulu, D.R.Congo), the Institut National pour l’Etude et la Recherche Agronomiques en R.D.Congo (INERA), the </w:t>
      </w:r>
      <w:r>
        <w:rPr>
          <w:sz w:val="24"/>
          <w:szCs w:val="24"/>
        </w:rPr>
        <w:t>É</w:t>
      </w:r>
      <w:r w:rsidRPr="000B35A0">
        <w:rPr>
          <w:sz w:val="24"/>
          <w:szCs w:val="24"/>
        </w:rPr>
        <w:t>cole Régionale Postuniversitaire d’Aménagement et de Gestion intégrés des Forêts et Territoires tropicaux (ERAIFT Kinshasa), WWF-D.R.Congo, WCS-D.R.Congo, the Universit</w:t>
      </w:r>
      <w:r>
        <w:rPr>
          <w:sz w:val="24"/>
          <w:szCs w:val="24"/>
        </w:rPr>
        <w:t>é</w:t>
      </w:r>
      <w:r w:rsidRPr="000B35A0">
        <w:rPr>
          <w:sz w:val="24"/>
          <w:szCs w:val="24"/>
        </w:rPr>
        <w:t xml:space="preserve"> </w:t>
      </w:r>
      <w:r>
        <w:rPr>
          <w:sz w:val="24"/>
          <w:szCs w:val="24"/>
        </w:rPr>
        <w:t>de</w:t>
      </w:r>
      <w:r w:rsidRPr="000B35A0">
        <w:rPr>
          <w:sz w:val="24"/>
          <w:szCs w:val="24"/>
        </w:rPr>
        <w:t xml:space="preserve"> Kisangani, </w:t>
      </w:r>
      <w:r w:rsidRPr="00455D55">
        <w:rPr>
          <w:sz w:val="24"/>
          <w:szCs w:val="24"/>
        </w:rPr>
        <w:t>Université Officielle de Bukavu</w:t>
      </w:r>
      <w:r>
        <w:rPr>
          <w:sz w:val="24"/>
          <w:szCs w:val="24"/>
        </w:rPr>
        <w:t xml:space="preserve">, </w:t>
      </w:r>
      <w:r w:rsidRPr="00455D55">
        <w:rPr>
          <w:sz w:val="24"/>
          <w:szCs w:val="24"/>
        </w:rPr>
        <w:t>Université de Mbujimayi</w:t>
      </w:r>
      <w:r>
        <w:rPr>
          <w:sz w:val="24"/>
          <w:szCs w:val="24"/>
        </w:rPr>
        <w:t xml:space="preserve">, le </w:t>
      </w:r>
      <w:r w:rsidRPr="00455D55">
        <w:rPr>
          <w:sz w:val="24"/>
          <w:szCs w:val="24"/>
        </w:rPr>
        <w:t>Ministère de l'Environnement et Développement Durable</w:t>
      </w:r>
      <w:r>
        <w:rPr>
          <w:sz w:val="24"/>
          <w:szCs w:val="24"/>
        </w:rPr>
        <w:t xml:space="preserve"> de la R.D.C., </w:t>
      </w:r>
      <w:r w:rsidRPr="000B35A0">
        <w:rPr>
          <w:sz w:val="24"/>
          <w:szCs w:val="24"/>
        </w:rPr>
        <w:t>the Lukuru Wildlife Research Foundation, Mbarara University of Science and Technology (MUST), WCS-Uganda</w:t>
      </w:r>
      <w:r>
        <w:rPr>
          <w:sz w:val="24"/>
          <w:szCs w:val="24"/>
        </w:rPr>
        <w:t xml:space="preserve">, the Uganda Forest Department, </w:t>
      </w:r>
      <w:r w:rsidRPr="000B35A0">
        <w:rPr>
          <w:sz w:val="24"/>
          <w:szCs w:val="24"/>
        </w:rPr>
        <w:t>the Commission of Ce</w:t>
      </w:r>
      <w:r>
        <w:rPr>
          <w:sz w:val="24"/>
          <w:szCs w:val="24"/>
        </w:rPr>
        <w:t>ntral African Forests (COMIFAC), the</w:t>
      </w:r>
      <w:r w:rsidRPr="00455D55">
        <w:t xml:space="preserve"> </w:t>
      </w:r>
      <w:r w:rsidRPr="00455D55">
        <w:rPr>
          <w:sz w:val="24"/>
          <w:szCs w:val="24"/>
        </w:rPr>
        <w:t>Udzungwa Ecological Monitoring Centre</w:t>
      </w:r>
      <w:r>
        <w:rPr>
          <w:sz w:val="24"/>
          <w:szCs w:val="24"/>
        </w:rPr>
        <w:t xml:space="preserve"> (Tanzania) and the </w:t>
      </w:r>
      <w:r w:rsidRPr="00455D55">
        <w:rPr>
          <w:sz w:val="24"/>
          <w:szCs w:val="24"/>
        </w:rPr>
        <w:t>Sokoine University of Agriculture</w:t>
      </w:r>
      <w:r>
        <w:rPr>
          <w:sz w:val="24"/>
          <w:szCs w:val="24"/>
        </w:rPr>
        <w:t xml:space="preserve"> (Tanzania).</w:t>
      </w:r>
    </w:p>
    <w:p w:rsidR="00B43E3C" w:rsidRDefault="00B43E3C" w:rsidP="00726F1B">
      <w:pPr>
        <w:rPr>
          <w:sz w:val="24"/>
          <w:szCs w:val="24"/>
        </w:rPr>
      </w:pPr>
    </w:p>
    <w:p w:rsidR="00B43E3C" w:rsidRDefault="00B43E3C" w:rsidP="00726F1B">
      <w:pPr>
        <w:rPr>
          <w:sz w:val="24"/>
          <w:szCs w:val="24"/>
        </w:rPr>
      </w:pPr>
      <w:r w:rsidRPr="000B35A0">
        <w:rPr>
          <w:sz w:val="24"/>
          <w:szCs w:val="24"/>
        </w:rPr>
        <w:t>Grants that have funded the AfriTRON network including data in this paper are</w:t>
      </w:r>
      <w:r>
        <w:rPr>
          <w:sz w:val="24"/>
          <w:szCs w:val="24"/>
        </w:rPr>
        <w:t xml:space="preserve">: </w:t>
      </w:r>
      <w:r w:rsidRPr="002D249B">
        <w:rPr>
          <w:sz w:val="24"/>
          <w:szCs w:val="24"/>
        </w:rPr>
        <w:t xml:space="preserve">a NERC grant to O.L.P., Y.M., and S.L.L. (NER/A/S/2000/01002), </w:t>
      </w:r>
      <w:r w:rsidRPr="000B35A0">
        <w:rPr>
          <w:sz w:val="24"/>
          <w:szCs w:val="24"/>
        </w:rPr>
        <w:t>a Royal Society University Research Fellowship to S.L.L., a NERC New Investigators Grant</w:t>
      </w:r>
      <w:r>
        <w:rPr>
          <w:sz w:val="24"/>
          <w:szCs w:val="24"/>
        </w:rPr>
        <w:t xml:space="preserve"> to S.L.L., </w:t>
      </w:r>
      <w:r w:rsidRPr="000B35A0">
        <w:rPr>
          <w:sz w:val="24"/>
          <w:szCs w:val="24"/>
        </w:rPr>
        <w:t xml:space="preserve">a Philip Leverhulme Award to S.L.L., a European Union FP7 grant to </w:t>
      </w:r>
      <w:r>
        <w:rPr>
          <w:sz w:val="24"/>
          <w:szCs w:val="24"/>
        </w:rPr>
        <w:t>E.G. and S.L.L. (GEOCARBON; 283080),</w:t>
      </w:r>
      <w:r w:rsidRPr="000B35A0">
        <w:rPr>
          <w:sz w:val="24"/>
          <w:szCs w:val="24"/>
        </w:rPr>
        <w:t xml:space="preserve"> </w:t>
      </w:r>
      <w:r>
        <w:rPr>
          <w:sz w:val="24"/>
          <w:szCs w:val="24"/>
        </w:rPr>
        <w:t xml:space="preserve">Valuing the Arc Leverhulme Program Grant to Andrew Balmford and S.L.L., </w:t>
      </w:r>
      <w:r w:rsidRPr="000B35A0">
        <w:rPr>
          <w:sz w:val="24"/>
          <w:szCs w:val="24"/>
        </w:rPr>
        <w:t xml:space="preserve">a European Research Council Advanced Grant to O.L.P. and S.L.L. (T-FORCES; 291585; Tropical Forests in the Changing Earth </w:t>
      </w:r>
      <w:r w:rsidRPr="000B35A0">
        <w:rPr>
          <w:sz w:val="24"/>
          <w:szCs w:val="24"/>
        </w:rPr>
        <w:lastRenderedPageBreak/>
        <w:t xml:space="preserve">System), a Natural Environment Research Council (NERC) Consortium Grant </w:t>
      </w:r>
      <w:r>
        <w:rPr>
          <w:sz w:val="24"/>
          <w:szCs w:val="24"/>
        </w:rPr>
        <w:t xml:space="preserve">to Jon Lloyd and S.L.L. </w:t>
      </w:r>
      <w:r w:rsidRPr="000B35A0">
        <w:rPr>
          <w:sz w:val="24"/>
          <w:szCs w:val="24"/>
        </w:rPr>
        <w:t>(TROBIT; NE/D005590/</w:t>
      </w:r>
      <w:r>
        <w:rPr>
          <w:sz w:val="24"/>
          <w:szCs w:val="24"/>
        </w:rPr>
        <w:t>)</w:t>
      </w:r>
      <w:r w:rsidRPr="000B35A0">
        <w:rPr>
          <w:sz w:val="24"/>
          <w:szCs w:val="24"/>
        </w:rPr>
        <w:t>, the Gordon and Betty Moore Foundation</w:t>
      </w:r>
      <w:r>
        <w:rPr>
          <w:sz w:val="24"/>
          <w:szCs w:val="24"/>
        </w:rPr>
        <w:t xml:space="preserve"> to L.J.T.W and S.L.L.</w:t>
      </w:r>
      <w:r w:rsidRPr="000B35A0">
        <w:rPr>
          <w:sz w:val="24"/>
          <w:szCs w:val="24"/>
        </w:rPr>
        <w:t>, the David and Lucile Packard Foundation</w:t>
      </w:r>
      <w:r>
        <w:rPr>
          <w:sz w:val="24"/>
          <w:szCs w:val="24"/>
        </w:rPr>
        <w:t xml:space="preserve"> to L.J.T.W. and S.L.L.</w:t>
      </w:r>
      <w:r w:rsidRPr="000B35A0">
        <w:rPr>
          <w:sz w:val="24"/>
          <w:szCs w:val="24"/>
        </w:rPr>
        <w:t xml:space="preserve">, the Centre for International Forestry Research </w:t>
      </w:r>
      <w:r>
        <w:rPr>
          <w:sz w:val="24"/>
          <w:szCs w:val="24"/>
        </w:rPr>
        <w:t xml:space="preserve">to T.S. and S.L.L. </w:t>
      </w:r>
      <w:r w:rsidRPr="000B35A0">
        <w:rPr>
          <w:sz w:val="24"/>
          <w:szCs w:val="24"/>
        </w:rPr>
        <w:t>(CIFOR), and Gabon’s National Parks Agency (ANPN)</w:t>
      </w:r>
      <w:r>
        <w:rPr>
          <w:sz w:val="24"/>
          <w:szCs w:val="24"/>
        </w:rPr>
        <w:t xml:space="preserve"> to S.L.L</w:t>
      </w:r>
      <w:r w:rsidRPr="000B35A0">
        <w:rPr>
          <w:sz w:val="24"/>
          <w:szCs w:val="24"/>
        </w:rPr>
        <w:t xml:space="preserve">. W.H. was funded by </w:t>
      </w:r>
      <w:r>
        <w:rPr>
          <w:sz w:val="24"/>
          <w:szCs w:val="24"/>
        </w:rPr>
        <w:t xml:space="preserve">T-FORCES and </w:t>
      </w:r>
      <w:r w:rsidRPr="000B35A0">
        <w:rPr>
          <w:sz w:val="24"/>
          <w:szCs w:val="24"/>
        </w:rPr>
        <w:t>the Brain program of the Belgian Federal Government (BR/132/A1/AFRIFORD and BR/143/A3/HERBAXYLAREDD</w:t>
      </w:r>
      <w:r>
        <w:rPr>
          <w:sz w:val="24"/>
          <w:szCs w:val="24"/>
        </w:rPr>
        <w:t xml:space="preserve"> grants to H.B.</w:t>
      </w:r>
      <w:r w:rsidRPr="000B35A0">
        <w:rPr>
          <w:sz w:val="24"/>
          <w:szCs w:val="24"/>
        </w:rPr>
        <w:t>)</w:t>
      </w:r>
      <w:r>
        <w:rPr>
          <w:sz w:val="24"/>
          <w:szCs w:val="24"/>
        </w:rPr>
        <w:t xml:space="preserve">. O.L.P., S.L.L., </w:t>
      </w:r>
      <w:r w:rsidRPr="002D249B">
        <w:rPr>
          <w:sz w:val="24"/>
          <w:szCs w:val="24"/>
        </w:rPr>
        <w:t>M.J.</w:t>
      </w:r>
      <w:r>
        <w:rPr>
          <w:sz w:val="24"/>
          <w:szCs w:val="24"/>
        </w:rPr>
        <w:t>P.</w:t>
      </w:r>
      <w:r w:rsidRPr="002D249B">
        <w:rPr>
          <w:sz w:val="24"/>
          <w:szCs w:val="24"/>
        </w:rPr>
        <w:t>S, A.E.-M., A.L., G.L.</w:t>
      </w:r>
      <w:r>
        <w:rPr>
          <w:sz w:val="24"/>
          <w:szCs w:val="24"/>
        </w:rPr>
        <w:t>-G.</w:t>
      </w:r>
      <w:r w:rsidRPr="002D249B">
        <w:rPr>
          <w:sz w:val="24"/>
          <w:szCs w:val="24"/>
        </w:rPr>
        <w:t>, G.P, and L.Q were supported by T-FORCES.</w:t>
      </w:r>
      <w:r>
        <w:rPr>
          <w:sz w:val="24"/>
          <w:szCs w:val="24"/>
        </w:rPr>
        <w:t xml:space="preserve"> </w:t>
      </w:r>
    </w:p>
    <w:p w:rsidR="00B43E3C" w:rsidRDefault="00B43E3C" w:rsidP="00726F1B">
      <w:pPr>
        <w:rPr>
          <w:sz w:val="24"/>
          <w:szCs w:val="24"/>
        </w:rPr>
      </w:pPr>
    </w:p>
    <w:p w:rsidR="00B43E3C" w:rsidRDefault="00B43E3C" w:rsidP="00726F1B">
      <w:pPr>
        <w:rPr>
          <w:sz w:val="24"/>
          <w:szCs w:val="24"/>
        </w:rPr>
      </w:pPr>
      <w:r w:rsidRPr="000B35A0">
        <w:rPr>
          <w:sz w:val="24"/>
          <w:szCs w:val="24"/>
        </w:rPr>
        <w:t xml:space="preserve">Additional </w:t>
      </w:r>
      <w:r>
        <w:rPr>
          <w:sz w:val="24"/>
          <w:szCs w:val="24"/>
        </w:rPr>
        <w:t xml:space="preserve">African </w:t>
      </w:r>
      <w:r w:rsidRPr="000B35A0">
        <w:rPr>
          <w:sz w:val="24"/>
          <w:szCs w:val="24"/>
        </w:rPr>
        <w:t xml:space="preserve">data were included </w:t>
      </w:r>
      <w:r w:rsidRPr="00712E15">
        <w:rPr>
          <w:sz w:val="24"/>
          <w:szCs w:val="24"/>
        </w:rPr>
        <w:t>from the consortium MEFCP-ICRA-CIRAD (</w:t>
      </w:r>
      <w:r w:rsidRPr="000B35A0">
        <w:rPr>
          <w:sz w:val="24"/>
          <w:szCs w:val="24"/>
        </w:rPr>
        <w:t>Centre de Coopération Internationale en Recherche Agronomique pour le Développement), the Tropical Ecology Assessment and Monitoring Network (TEAM), and the Forest Global Earth Observatory Network (ForestGEO; formerly the Center for Tropical Forest Science CTFS). The TEAM network is a collaboration between Conservation International, the Missouri Botanical Garden, the Smithsonian Institution and the Wildlife Conservation Society, and funded by the Gordon and Betty Moore Foundation and other donors. The ForestGEO Network is a collaboration between the Smithsonian Institution, other federal agencies of the United States, the Wildlife Conservation Society (WCS) and the World Wide Fund for Nature (WWF), and funded by the U.S. National Scienc</w:t>
      </w:r>
      <w:r>
        <w:rPr>
          <w:sz w:val="24"/>
          <w:szCs w:val="24"/>
        </w:rPr>
        <w:t xml:space="preserve">e Foundation and other donors. </w:t>
      </w:r>
    </w:p>
    <w:p w:rsidR="00B43E3C" w:rsidRPr="000E07E9" w:rsidRDefault="00B43E3C" w:rsidP="00726F1B">
      <w:pPr>
        <w:rPr>
          <w:sz w:val="24"/>
          <w:szCs w:val="24"/>
        </w:rPr>
      </w:pPr>
    </w:p>
    <w:p w:rsidR="00B43E3C" w:rsidRDefault="00B43E3C" w:rsidP="00726F1B">
      <w:pPr>
        <w:rPr>
          <w:sz w:val="24"/>
          <w:szCs w:val="24"/>
        </w:rPr>
      </w:pPr>
      <w:r w:rsidRPr="002D249B">
        <w:rPr>
          <w:sz w:val="24"/>
          <w:szCs w:val="24"/>
        </w:rPr>
        <w:t xml:space="preserve">The paper was made possible by the RAINFOR network in Amazonia, with multiple funding agencies and </w:t>
      </w:r>
      <w:r>
        <w:rPr>
          <w:sz w:val="24"/>
          <w:szCs w:val="24"/>
        </w:rPr>
        <w:t xml:space="preserve">hundreds of </w:t>
      </w:r>
      <w:r w:rsidRPr="002D249B">
        <w:rPr>
          <w:sz w:val="24"/>
          <w:szCs w:val="24"/>
        </w:rPr>
        <w:t>investigators working in Amazonia</w:t>
      </w:r>
      <w:r>
        <w:rPr>
          <w:sz w:val="24"/>
          <w:szCs w:val="24"/>
        </w:rPr>
        <w:t>, acknowledged in Ref.</w:t>
      </w:r>
      <w:r w:rsidRPr="00D172EE">
        <w:rPr>
          <w:noProof/>
          <w:sz w:val="24"/>
          <w:szCs w:val="24"/>
          <w:vertAlign w:val="superscript"/>
        </w:rPr>
        <w:t>6</w:t>
      </w:r>
      <w:r>
        <w:rPr>
          <w:sz w:val="24"/>
          <w:szCs w:val="24"/>
        </w:rPr>
        <w:t>, providing comprehensive published data and code and allowing onward analysis of their data, see Ref.</w:t>
      </w:r>
      <w:r w:rsidRPr="00D172EE">
        <w:rPr>
          <w:noProof/>
          <w:sz w:val="24"/>
          <w:szCs w:val="24"/>
          <w:vertAlign w:val="superscript"/>
        </w:rPr>
        <w:t>6</w:t>
      </w:r>
      <w:r>
        <w:rPr>
          <w:sz w:val="24"/>
          <w:szCs w:val="24"/>
        </w:rPr>
        <w:t xml:space="preserve">. </w:t>
      </w:r>
      <w:r w:rsidRPr="002D249B">
        <w:rPr>
          <w:sz w:val="24"/>
          <w:szCs w:val="24"/>
        </w:rPr>
        <w:t xml:space="preserve">Data from AfriTRON and RAINFOR are stored and curated by ForestPlots.net, a long-term cyber-infrastructure initiative hosted at the University of Leeds that unites permanent plot records and their contributing scientists from the world’s tropical forests. The development of ForestPlots.net and </w:t>
      </w:r>
      <w:r w:rsidRPr="002D249B">
        <w:rPr>
          <w:sz w:val="24"/>
          <w:szCs w:val="24"/>
        </w:rPr>
        <w:lastRenderedPageBreak/>
        <w:t xml:space="preserve">curation of most data analysed here was funded by many sources, including grants to </w:t>
      </w:r>
      <w:r>
        <w:rPr>
          <w:sz w:val="24"/>
          <w:szCs w:val="24"/>
        </w:rPr>
        <w:t xml:space="preserve">S.L.L. (Royal Society University Research Fellowship, NERC New Investigators Award, NERC </w:t>
      </w:r>
      <w:r w:rsidRPr="004F4F29">
        <w:rPr>
          <w:sz w:val="24"/>
          <w:szCs w:val="24"/>
        </w:rPr>
        <w:t>NE/P008755/1</w:t>
      </w:r>
      <w:r>
        <w:rPr>
          <w:sz w:val="24"/>
          <w:szCs w:val="24"/>
        </w:rPr>
        <w:t xml:space="preserve">), </w:t>
      </w:r>
      <w:r w:rsidRPr="002D249B">
        <w:rPr>
          <w:sz w:val="24"/>
          <w:szCs w:val="24"/>
        </w:rPr>
        <w:t>O.L.P. (principally from NERC</w:t>
      </w:r>
      <w:r w:rsidRPr="002D249B">
        <w:t xml:space="preserve"> </w:t>
      </w:r>
      <w:r w:rsidRPr="002D249B">
        <w:rPr>
          <w:sz w:val="24"/>
          <w:szCs w:val="24"/>
        </w:rPr>
        <w:t>NE/B503384/1, ERC AdG 291585 “T-FORCES”, and Gordon and Betty Moore Foundation #1656, “RAINFOR”) and E.G. (“GEOCARBON”, and</w:t>
      </w:r>
      <w:r>
        <w:rPr>
          <w:sz w:val="24"/>
          <w:szCs w:val="24"/>
        </w:rPr>
        <w:t xml:space="preserve"> </w:t>
      </w:r>
      <w:r w:rsidRPr="002D249B">
        <w:rPr>
          <w:sz w:val="24"/>
          <w:szCs w:val="24"/>
        </w:rPr>
        <w:t>NE/F005806/1 “AMAZONICA”).</w:t>
      </w:r>
      <w:r w:rsidRPr="00BB7C8D">
        <w:rPr>
          <w:sz w:val="24"/>
          <w:szCs w:val="24"/>
        </w:rPr>
        <w:t xml:space="preserve"> </w:t>
      </w:r>
      <w:r>
        <w:rPr>
          <w:sz w:val="24"/>
          <w:szCs w:val="24"/>
        </w:rPr>
        <w:t>W</w:t>
      </w:r>
      <w:r w:rsidRPr="002D249B">
        <w:rPr>
          <w:sz w:val="24"/>
          <w:szCs w:val="24"/>
        </w:rPr>
        <w:t>e acknowledge the contributions of the ForestPlots.n</w:t>
      </w:r>
      <w:r>
        <w:rPr>
          <w:sz w:val="24"/>
          <w:szCs w:val="24"/>
        </w:rPr>
        <w:t>et steering committee (T.R.B.</w:t>
      </w:r>
      <w:r w:rsidRPr="002D249B">
        <w:rPr>
          <w:sz w:val="24"/>
          <w:szCs w:val="24"/>
        </w:rPr>
        <w:t xml:space="preserve">, </w:t>
      </w:r>
      <w:r>
        <w:rPr>
          <w:sz w:val="24"/>
          <w:szCs w:val="24"/>
        </w:rPr>
        <w:t>A.L.</w:t>
      </w:r>
      <w:r w:rsidRPr="002D249B">
        <w:rPr>
          <w:sz w:val="24"/>
          <w:szCs w:val="24"/>
        </w:rPr>
        <w:t xml:space="preserve">, </w:t>
      </w:r>
      <w:r>
        <w:rPr>
          <w:sz w:val="24"/>
          <w:szCs w:val="24"/>
        </w:rPr>
        <w:t xml:space="preserve">S.L.L., O.L.P., L.Q., Euridice N. Honorio Coronado and </w:t>
      </w:r>
      <w:r w:rsidRPr="002D249B">
        <w:rPr>
          <w:sz w:val="24"/>
          <w:szCs w:val="24"/>
        </w:rPr>
        <w:t xml:space="preserve">Beatriz </w:t>
      </w:r>
      <w:r>
        <w:rPr>
          <w:sz w:val="24"/>
          <w:szCs w:val="24"/>
        </w:rPr>
        <w:t xml:space="preserve">S. </w:t>
      </w:r>
      <w:r w:rsidRPr="002D249B">
        <w:rPr>
          <w:sz w:val="24"/>
          <w:szCs w:val="24"/>
        </w:rPr>
        <w:t>Marimon) to advising on database development and management.</w:t>
      </w:r>
    </w:p>
    <w:p w:rsidR="00B43E3C" w:rsidRPr="00C0388B" w:rsidRDefault="00B43E3C" w:rsidP="00726F1B">
      <w:pPr>
        <w:rPr>
          <w:rFonts w:cs="Times New Roman"/>
          <w:sz w:val="24"/>
          <w:szCs w:val="24"/>
        </w:rPr>
      </w:pPr>
    </w:p>
    <w:p w:rsidR="00B43E3C" w:rsidRPr="00C0388B" w:rsidRDefault="00B43E3C" w:rsidP="00726F1B">
      <w:pPr>
        <w:pStyle w:val="Heading1"/>
      </w:pPr>
      <w:r w:rsidRPr="00C0388B">
        <w:t>Author Contributions</w:t>
      </w:r>
    </w:p>
    <w:p w:rsidR="00B43E3C" w:rsidRDefault="00B43E3C" w:rsidP="00726F1B">
      <w:r w:rsidRPr="00D172EE">
        <w:rPr>
          <w:rFonts w:cs="Times New Roman"/>
          <w:sz w:val="24"/>
          <w:szCs w:val="24"/>
        </w:rPr>
        <w:t xml:space="preserve">S.L.L. conceived </w:t>
      </w:r>
      <w:r>
        <w:rPr>
          <w:rFonts w:cs="Times New Roman"/>
          <w:sz w:val="24"/>
          <w:szCs w:val="24"/>
        </w:rPr>
        <w:t xml:space="preserve">and </w:t>
      </w:r>
      <w:r w:rsidRPr="00D172EE">
        <w:rPr>
          <w:rFonts w:cs="Times New Roman"/>
          <w:sz w:val="24"/>
          <w:szCs w:val="24"/>
        </w:rPr>
        <w:t>managed the AfriTRON forest plot recensus programme, O.L.P., T.C.H.S, L.J.T.W. and Y.M.</w:t>
      </w:r>
      <w:r w:rsidRPr="00D172EE">
        <w:rPr>
          <w:sz w:val="24"/>
          <w:szCs w:val="24"/>
        </w:rPr>
        <w:t xml:space="preserve"> contributed to its development. </w:t>
      </w:r>
      <w:r w:rsidRPr="00D172EE">
        <w:rPr>
          <w:rFonts w:cs="Times New Roman"/>
          <w:sz w:val="24"/>
          <w:szCs w:val="24"/>
        </w:rPr>
        <w:t xml:space="preserve">W.H., S.L.L., O.L.P., B.S. &amp; M.J.P.S. developed the study. W.H., S.L.L., O.L.P., K.A.-B., H.B., A.C.-S., C.E.N.E., S.F., D.S., B.S., T.C.H.S., S.C.T., K.A.A., S.A.-B., C.A.A., T.R.B., L.F.B., F.Ba., S.K.B., F.Be., R.B., Y.E.B., P.Boe., P.Bou., T.B., E.C., G.B.C., C.J.C., M.C., J.A.C., D.C., A.K.D., G.C.D., T.d.H., </w:t>
      </w:r>
      <w:r w:rsidRPr="00053B7B">
        <w:rPr>
          <w:rFonts w:cs="Times New Roman"/>
          <w:sz w:val="24"/>
          <w:szCs w:val="24"/>
        </w:rPr>
        <w:t>M.D.K., J.-L.D., T.R.F., A.F., E.G.F., M.</w:t>
      </w:r>
      <w:r w:rsidRPr="00FB2756">
        <w:rPr>
          <w:rFonts w:cs="Times New Roman"/>
          <w:sz w:val="24"/>
          <w:szCs w:val="24"/>
        </w:rPr>
        <w:t xml:space="preserve">G., C.G., S.G.-F., J.S.H., A.C.H., D.J.H., T.B.H., M.B.N.H., A.H., S.A.I., K.J.J., T.J., E.K.Y., E.K., D.K., M.E.L., J.A.L., J.L., J.C.L., J.-R.M., Y.M., A.R.M., J.M., E.H.M., F.M.M., V.P.M., V.M., E.T.A.M., S.M., J.M.M., P.K.T.M., N.N.B., L.O., F.E., </w:t>
      </w:r>
      <w:r>
        <w:rPr>
          <w:rFonts w:cs="Times New Roman"/>
          <w:sz w:val="24"/>
          <w:szCs w:val="24"/>
        </w:rPr>
        <w:t xml:space="preserve">K.P., </w:t>
      </w:r>
      <w:r w:rsidRPr="00FB2756">
        <w:rPr>
          <w:rFonts w:cs="Times New Roman"/>
          <w:sz w:val="24"/>
          <w:szCs w:val="24"/>
        </w:rPr>
        <w:t>A.D.</w:t>
      </w:r>
      <w:r w:rsidRPr="00864600">
        <w:rPr>
          <w:rFonts w:cs="Times New Roman"/>
          <w:sz w:val="24"/>
          <w:szCs w:val="24"/>
        </w:rPr>
        <w:t xml:space="preserve">P., J.R.P., L.Q., J.R., F.R., M.D.S., H.T., J.Tal., J.Tap., D.M.T., D.W.T., B.T., J.T.M., D.T., P.M.U., G.V.D.H., H.V., J.V., L.J.T.W., S.W., H.W., J.T.W. and L.Z. contributed data (larger </w:t>
      </w:r>
      <w:r w:rsidRPr="00864600">
        <w:rPr>
          <w:sz w:val="24"/>
          <w:szCs w:val="24"/>
        </w:rPr>
        <w:t>field</w:t>
      </w:r>
      <w:r w:rsidRPr="00D172EE">
        <w:rPr>
          <w:sz w:val="24"/>
          <w:szCs w:val="24"/>
        </w:rPr>
        <w:t xml:space="preserve"> </w:t>
      </w:r>
      <w:r w:rsidRPr="00D172EE">
        <w:rPr>
          <w:rFonts w:cs="Times New Roman"/>
          <w:sz w:val="24"/>
          <w:szCs w:val="24"/>
        </w:rPr>
        <w:t>contributions by S.L.L, W.H., A.C.-S., B.S., H.T., A.K.D., C.E.N.E, J.M.M., K.A.-B. and S.F.).</w:t>
      </w:r>
      <w:r w:rsidRPr="00D172EE">
        <w:rPr>
          <w:rStyle w:val="CommentReference"/>
          <w:sz w:val="24"/>
          <w:szCs w:val="24"/>
        </w:rPr>
        <w:t xml:space="preserve"> </w:t>
      </w:r>
      <w:r w:rsidRPr="00D172EE">
        <w:rPr>
          <w:rFonts w:cs="Times New Roman"/>
          <w:sz w:val="24"/>
          <w:szCs w:val="24"/>
          <w:lang w:val="en-GB" w:eastAsia="en-GB"/>
        </w:rPr>
        <w:t>O.L.P., T.R.B., S.L.L. and G.L.-G. conceived and managed forestplots.net; O.L.P.</w:t>
      </w:r>
      <w:r w:rsidRPr="00053B7B">
        <w:rPr>
          <w:rFonts w:cs="Times New Roman"/>
          <w:sz w:val="24"/>
          <w:szCs w:val="24"/>
          <w:lang w:val="en-GB" w:eastAsia="en-GB"/>
        </w:rPr>
        <w:t>, T.R.B., S.L.L., E.G., G.L.</w:t>
      </w:r>
      <w:r w:rsidRPr="001D2BA6">
        <w:rPr>
          <w:rFonts w:cs="Times New Roman"/>
          <w:sz w:val="24"/>
          <w:szCs w:val="24"/>
          <w:lang w:val="en-GB" w:eastAsia="en-GB"/>
        </w:rPr>
        <w:t xml:space="preserve">-G., </w:t>
      </w:r>
      <w:r w:rsidRPr="001D2BA6">
        <w:rPr>
          <w:rFonts w:cs="Times New Roman"/>
          <w:sz w:val="24"/>
          <w:szCs w:val="24"/>
        </w:rPr>
        <w:t>G.C.P.</w:t>
      </w:r>
      <w:r w:rsidRPr="001D2BA6">
        <w:rPr>
          <w:rFonts w:cs="Times New Roman"/>
          <w:sz w:val="24"/>
          <w:szCs w:val="24"/>
          <w:lang w:val="en-GB" w:eastAsia="en-GB"/>
        </w:rPr>
        <w:t xml:space="preserve">, </w:t>
      </w:r>
      <w:r w:rsidRPr="00C85097">
        <w:rPr>
          <w:rFonts w:cs="Times New Roman"/>
          <w:sz w:val="24"/>
          <w:szCs w:val="24"/>
          <w:lang w:val="en-GB" w:eastAsia="en-GB"/>
        </w:rPr>
        <w:t>A.L.</w:t>
      </w:r>
      <w:r w:rsidRPr="00FB2756">
        <w:rPr>
          <w:rFonts w:cs="Times New Roman"/>
          <w:sz w:val="24"/>
          <w:szCs w:val="24"/>
          <w:lang w:val="en-GB" w:eastAsia="en-GB"/>
        </w:rPr>
        <w:t xml:space="preserve">, </w:t>
      </w:r>
      <w:r w:rsidRPr="00FB2756">
        <w:rPr>
          <w:rFonts w:cs="Times New Roman"/>
          <w:sz w:val="24"/>
          <w:szCs w:val="24"/>
        </w:rPr>
        <w:t>R.J.W.B., T.</w:t>
      </w:r>
      <w:r>
        <w:rPr>
          <w:rFonts w:cs="Times New Roman"/>
          <w:sz w:val="24"/>
          <w:szCs w:val="24"/>
        </w:rPr>
        <w:t>R.</w:t>
      </w:r>
      <w:r w:rsidRPr="00D172EE">
        <w:rPr>
          <w:rFonts w:cs="Times New Roman"/>
          <w:sz w:val="24"/>
          <w:szCs w:val="24"/>
        </w:rPr>
        <w:t>F.</w:t>
      </w:r>
      <w:r w:rsidRPr="00D172EE">
        <w:rPr>
          <w:rFonts w:cs="Times New Roman"/>
          <w:sz w:val="24"/>
          <w:szCs w:val="24"/>
          <w:lang w:eastAsia="en-GB"/>
        </w:rPr>
        <w:t xml:space="preserve"> and</w:t>
      </w:r>
      <w:r w:rsidRPr="00D172EE">
        <w:rPr>
          <w:rFonts w:cs="Times New Roman"/>
          <w:sz w:val="24"/>
          <w:szCs w:val="24"/>
          <w:lang w:val="en-GB" w:eastAsia="en-GB"/>
        </w:rPr>
        <w:t xml:space="preserve"> M.J.P.S. developed it. </w:t>
      </w:r>
      <w:r w:rsidRPr="00D172EE">
        <w:rPr>
          <w:rFonts w:cs="Times New Roman"/>
          <w:sz w:val="24"/>
          <w:szCs w:val="24"/>
        </w:rPr>
        <w:t>W.H., M.J.P.S., S.L.L., O.L.P., R.J.W.B., A.L.</w:t>
      </w:r>
      <w:r w:rsidRPr="00053B7B">
        <w:rPr>
          <w:rFonts w:cs="Times New Roman"/>
          <w:sz w:val="24"/>
          <w:szCs w:val="24"/>
        </w:rPr>
        <w:t>, G.L.-G., A.E.-M., A.K., E.G., T.R.B., A.C.B. and G.C.P. contributed analysis tools. W.H. and S.L.L. analysed the data (with important contributions from M.J.P.S.). S.L.L. and W.H. wrote the paper</w:t>
      </w:r>
      <w:r w:rsidRPr="00864600">
        <w:rPr>
          <w:sz w:val="24"/>
          <w:szCs w:val="24"/>
        </w:rPr>
        <w:t xml:space="preserve">. All </w:t>
      </w:r>
      <w:r w:rsidRPr="00864600">
        <w:rPr>
          <w:rFonts w:cs="Times New Roman"/>
          <w:sz w:val="24"/>
          <w:szCs w:val="24"/>
        </w:rPr>
        <w:t>co-</w:t>
      </w:r>
      <w:r w:rsidRPr="00864600">
        <w:rPr>
          <w:rFonts w:cs="Times New Roman"/>
          <w:sz w:val="24"/>
          <w:szCs w:val="24"/>
        </w:rPr>
        <w:lastRenderedPageBreak/>
        <w:t xml:space="preserve">authors </w:t>
      </w:r>
      <w:r w:rsidRPr="00864600">
        <w:rPr>
          <w:sz w:val="24"/>
          <w:szCs w:val="24"/>
        </w:rPr>
        <w:t xml:space="preserve">read and approved </w:t>
      </w:r>
      <w:r w:rsidRPr="00864600">
        <w:rPr>
          <w:rFonts w:cs="Times New Roman"/>
          <w:sz w:val="24"/>
          <w:szCs w:val="24"/>
        </w:rPr>
        <w:t>the manuscript (</w:t>
      </w:r>
      <w:r w:rsidRPr="00D172EE">
        <w:rPr>
          <w:sz w:val="24"/>
          <w:szCs w:val="24"/>
        </w:rPr>
        <w:t xml:space="preserve">with </w:t>
      </w:r>
      <w:r w:rsidRPr="00D172EE">
        <w:rPr>
          <w:rFonts w:cs="Times New Roman"/>
          <w:sz w:val="24"/>
          <w:szCs w:val="24"/>
        </w:rPr>
        <w:t>important insights provided by O.L.P., S.F., R.J.W.B., E.G., H.B.,</w:t>
      </w:r>
      <w:r w:rsidRPr="00D172EE">
        <w:rPr>
          <w:sz w:val="24"/>
          <w:szCs w:val="24"/>
        </w:rPr>
        <w:t xml:space="preserve"> </w:t>
      </w:r>
      <w:r w:rsidRPr="00D172EE">
        <w:rPr>
          <w:rFonts w:cs="Times New Roman"/>
          <w:sz w:val="24"/>
          <w:szCs w:val="24"/>
        </w:rPr>
        <w:t>D.S., M.J.P.S., S.G.-F., P.B., H.V. and S.C.T).</w:t>
      </w:r>
    </w:p>
    <w:p w:rsidR="00B43E3C" w:rsidRPr="006A4755" w:rsidRDefault="00B43E3C" w:rsidP="00726F1B">
      <w:pPr>
        <w:spacing w:line="360" w:lineRule="auto"/>
        <w:rPr>
          <w:rFonts w:cs="Times New Roman"/>
          <w:sz w:val="24"/>
          <w:szCs w:val="24"/>
        </w:rPr>
      </w:pPr>
    </w:p>
    <w:p w:rsidR="00B43E3C" w:rsidRPr="00C0388B" w:rsidRDefault="00B43E3C" w:rsidP="00726F1B">
      <w:pPr>
        <w:pStyle w:val="Heading1"/>
      </w:pPr>
      <w:r>
        <w:t xml:space="preserve">Main </w:t>
      </w:r>
      <w:r w:rsidRPr="00C0388B">
        <w:t>Figure</w:t>
      </w:r>
      <w:r w:rsidR="00726F1B">
        <w:t>s</w:t>
      </w:r>
    </w:p>
    <w:p w:rsidR="00B43E3C" w:rsidRDefault="00726F1B" w:rsidP="00726F1B">
      <w:pPr>
        <w:jc w:val="center"/>
        <w:rPr>
          <w:sz w:val="24"/>
          <w:szCs w:val="24"/>
        </w:rPr>
      </w:pPr>
      <w:r>
        <w:rPr>
          <w:noProof/>
          <w:lang w:val="en-GB" w:eastAsia="en-GB"/>
        </w:rPr>
        <w:drawing>
          <wp:inline distT="0" distB="0" distL="0" distR="0" wp14:anchorId="0A353496" wp14:editId="362F04B5">
            <wp:extent cx="4581525" cy="4532261"/>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4586490" cy="4537173"/>
                    </a:xfrm>
                    <a:prstGeom prst="rect">
                      <a:avLst/>
                    </a:prstGeom>
                    <a:ln>
                      <a:noFill/>
                    </a:ln>
                    <a:extLst>
                      <a:ext uri="{53640926-AAD7-44D8-BBD7-CCE9431645EC}">
                        <a14:shadowObscured xmlns:a14="http://schemas.microsoft.com/office/drawing/2010/main"/>
                      </a:ext>
                    </a:extLst>
                  </pic:spPr>
                </pic:pic>
              </a:graphicData>
            </a:graphic>
          </wp:inline>
        </w:drawing>
      </w:r>
    </w:p>
    <w:p w:rsidR="00B43E3C" w:rsidRDefault="00B43E3C" w:rsidP="00726F1B">
      <w:pPr>
        <w:rPr>
          <w:rFonts w:cs="Times New Roman"/>
          <w:sz w:val="24"/>
          <w:szCs w:val="24"/>
        </w:rPr>
      </w:pPr>
      <w:r w:rsidRPr="00C0388B">
        <w:rPr>
          <w:rFonts w:cs="Times New Roman"/>
          <w:b/>
          <w:bCs/>
          <w:sz w:val="24"/>
          <w:szCs w:val="24"/>
        </w:rPr>
        <w:t xml:space="preserve">Figure 1. Long-term carbon dynamics of structurally intact tropical forests in Africa (blue) and Amazonia (brown). </w:t>
      </w:r>
      <w:r w:rsidRPr="00C0388B">
        <w:rPr>
          <w:rFonts w:cs="Times New Roman"/>
          <w:bCs/>
          <w:sz w:val="24"/>
          <w:szCs w:val="24"/>
        </w:rPr>
        <w:t>Trends in net aboveground live biomass carbon sink (</w:t>
      </w:r>
      <w:r w:rsidRPr="00C0388B">
        <w:rPr>
          <w:rFonts w:cs="Times New Roman"/>
          <w:b/>
          <w:bCs/>
          <w:sz w:val="24"/>
          <w:szCs w:val="24"/>
        </w:rPr>
        <w:t>a</w:t>
      </w:r>
      <w:r w:rsidRPr="00C0388B">
        <w:rPr>
          <w:rFonts w:cs="Times New Roman"/>
          <w:bCs/>
          <w:sz w:val="24"/>
          <w:szCs w:val="24"/>
        </w:rPr>
        <w:t>), carbon gains to the system from wood production (</w:t>
      </w:r>
      <w:r w:rsidRPr="00C0388B">
        <w:rPr>
          <w:rFonts w:cs="Times New Roman"/>
          <w:b/>
          <w:bCs/>
          <w:sz w:val="24"/>
          <w:szCs w:val="24"/>
        </w:rPr>
        <w:t>b</w:t>
      </w:r>
      <w:r w:rsidRPr="00C0388B">
        <w:rPr>
          <w:rFonts w:cs="Times New Roman"/>
          <w:bCs/>
          <w:sz w:val="24"/>
          <w:szCs w:val="24"/>
        </w:rPr>
        <w:t>), and carbon losses from the system from tree mortality (</w:t>
      </w:r>
      <w:r w:rsidRPr="00C0388B">
        <w:rPr>
          <w:rFonts w:cs="Times New Roman"/>
          <w:b/>
          <w:bCs/>
          <w:sz w:val="24"/>
          <w:szCs w:val="24"/>
        </w:rPr>
        <w:t>c</w:t>
      </w:r>
      <w:r w:rsidRPr="00C0388B">
        <w:rPr>
          <w:rFonts w:cs="Times New Roman"/>
          <w:bCs/>
          <w:sz w:val="24"/>
          <w:szCs w:val="24"/>
        </w:rPr>
        <w:t>), measured in 244 African inventory plots (blue lines) and contrasting published</w:t>
      </w:r>
      <w:r w:rsidRPr="00D172EE">
        <w:rPr>
          <w:rFonts w:cs="Times New Roman"/>
          <w:noProof/>
          <w:sz w:val="24"/>
          <w:szCs w:val="24"/>
          <w:vertAlign w:val="superscript"/>
        </w:rPr>
        <w:t>6</w:t>
      </w:r>
      <w:r w:rsidRPr="00C0388B">
        <w:rPr>
          <w:rFonts w:cs="Times New Roman"/>
          <w:bCs/>
          <w:sz w:val="24"/>
          <w:szCs w:val="24"/>
        </w:rPr>
        <w:t xml:space="preserve"> Amazonian inventory data (brown lines; 321 plots). Shading </w:t>
      </w:r>
      <w:r w:rsidRPr="00C0388B">
        <w:rPr>
          <w:rFonts w:cs="Times New Roman"/>
          <w:sz w:val="24"/>
          <w:szCs w:val="24"/>
        </w:rPr>
        <w:t xml:space="preserve">corresponds to the 95% CI, with less transparent shading indicating a greater number of plots monitored in that year (most transparent: minimum 25 plots monitored). </w:t>
      </w:r>
      <w:r>
        <w:rPr>
          <w:rFonts w:cs="Times New Roman"/>
          <w:sz w:val="24"/>
          <w:szCs w:val="24"/>
        </w:rPr>
        <w:t>The</w:t>
      </w:r>
      <w:r w:rsidRPr="009D23A4">
        <w:rPr>
          <w:rFonts w:cs="Times New Roman"/>
          <w:sz w:val="24"/>
          <w:szCs w:val="24"/>
        </w:rPr>
        <w:t xml:space="preserve"> CI for the Amazonian d</w:t>
      </w:r>
      <w:r>
        <w:rPr>
          <w:rFonts w:cs="Times New Roman"/>
          <w:sz w:val="24"/>
          <w:szCs w:val="24"/>
        </w:rPr>
        <w:t>ataset is omitted for clarity, but can be seen in Figure 3. S</w:t>
      </w:r>
      <w:r w:rsidRPr="00C0388B">
        <w:rPr>
          <w:rFonts w:cs="Times New Roman"/>
          <w:sz w:val="24"/>
          <w:szCs w:val="24"/>
        </w:rPr>
        <w:t>lopes and p-values are from linear mixed effects models</w:t>
      </w:r>
      <w:r>
        <w:rPr>
          <w:rFonts w:cs="Times New Roman"/>
          <w:sz w:val="24"/>
          <w:szCs w:val="24"/>
        </w:rPr>
        <w:t xml:space="preserve"> (see Methods)</w:t>
      </w:r>
      <w:r w:rsidRPr="00C0388B">
        <w:rPr>
          <w:rFonts w:cs="Times New Roman"/>
          <w:sz w:val="24"/>
          <w:szCs w:val="24"/>
        </w:rPr>
        <w:t xml:space="preserve">. </w:t>
      </w:r>
    </w:p>
    <w:p w:rsidR="00B43E3C" w:rsidRPr="00C0388B" w:rsidRDefault="00726F1B" w:rsidP="00726F1B">
      <w:pPr>
        <w:jc w:val="center"/>
        <w:rPr>
          <w:b/>
          <w:sz w:val="24"/>
          <w:szCs w:val="24"/>
        </w:rPr>
      </w:pPr>
      <w:r>
        <w:rPr>
          <w:noProof/>
          <w:lang w:val="en-GB" w:eastAsia="en-GB"/>
        </w:rPr>
        <w:lastRenderedPageBreak/>
        <w:drawing>
          <wp:inline distT="0" distB="0" distL="0" distR="0" wp14:anchorId="52B399A6" wp14:editId="608C8EB8">
            <wp:extent cx="4367898" cy="29022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4380582" cy="2910654"/>
                    </a:xfrm>
                    <a:prstGeom prst="rect">
                      <a:avLst/>
                    </a:prstGeom>
                    <a:ln>
                      <a:noFill/>
                    </a:ln>
                    <a:extLst>
                      <a:ext uri="{53640926-AAD7-44D8-BBD7-CCE9431645EC}">
                        <a14:shadowObscured xmlns:a14="http://schemas.microsoft.com/office/drawing/2010/main"/>
                      </a:ext>
                    </a:extLst>
                  </pic:spPr>
                </pic:pic>
              </a:graphicData>
            </a:graphic>
          </wp:inline>
        </w:drawing>
      </w:r>
    </w:p>
    <w:p w:rsidR="00B43E3C" w:rsidRDefault="00B43E3C" w:rsidP="00726F1B">
      <w:pPr>
        <w:rPr>
          <w:sz w:val="24"/>
          <w:szCs w:val="24"/>
        </w:rPr>
      </w:pPr>
      <w:r w:rsidRPr="00C0388B">
        <w:rPr>
          <w:b/>
          <w:sz w:val="24"/>
          <w:szCs w:val="24"/>
        </w:rPr>
        <w:t>Figure 2. Potential environmental drivers of carbon gains and losses in structurally intact old-growth African and Amazonian tropical forests.</w:t>
      </w:r>
      <w:r w:rsidRPr="00C0388B">
        <w:rPr>
          <w:sz w:val="24"/>
          <w:szCs w:val="24"/>
        </w:rPr>
        <w:t xml:space="preserve"> </w:t>
      </w:r>
      <w:r>
        <w:rPr>
          <w:sz w:val="24"/>
          <w:szCs w:val="24"/>
        </w:rPr>
        <w:t>A</w:t>
      </w:r>
      <w:r w:rsidRPr="00C0388B">
        <w:rPr>
          <w:sz w:val="24"/>
          <w:szCs w:val="24"/>
        </w:rPr>
        <w:t>boveground ca</w:t>
      </w:r>
      <w:r>
        <w:rPr>
          <w:sz w:val="24"/>
          <w:szCs w:val="24"/>
        </w:rPr>
        <w:t>rbon gains, from woody product</w:t>
      </w:r>
      <w:r w:rsidRPr="00C0388B">
        <w:rPr>
          <w:sz w:val="24"/>
          <w:szCs w:val="24"/>
        </w:rPr>
        <w:t>i</w:t>
      </w:r>
      <w:r>
        <w:rPr>
          <w:sz w:val="24"/>
          <w:szCs w:val="24"/>
        </w:rPr>
        <w:t>on</w:t>
      </w:r>
      <w:r w:rsidRPr="00C0388B">
        <w:rPr>
          <w:sz w:val="24"/>
          <w:szCs w:val="24"/>
        </w:rPr>
        <w:t xml:space="preserve"> (</w:t>
      </w:r>
      <w:r w:rsidRPr="00C0388B">
        <w:rPr>
          <w:b/>
          <w:sz w:val="24"/>
          <w:szCs w:val="24"/>
        </w:rPr>
        <w:t>a-c</w:t>
      </w:r>
      <w:r w:rsidRPr="00C0388B">
        <w:rPr>
          <w:rFonts w:cs="Times New Roman"/>
          <w:bCs/>
          <w:sz w:val="24"/>
          <w:szCs w:val="24"/>
        </w:rPr>
        <w:t>)</w:t>
      </w:r>
      <w:r w:rsidRPr="00C0388B">
        <w:rPr>
          <w:sz w:val="24"/>
          <w:szCs w:val="24"/>
        </w:rPr>
        <w:t xml:space="preserve">, and aboveground carbon losses, from </w:t>
      </w:r>
      <w:r>
        <w:rPr>
          <w:sz w:val="24"/>
          <w:szCs w:val="24"/>
        </w:rPr>
        <w:t xml:space="preserve">tree </w:t>
      </w:r>
      <w:r w:rsidRPr="00C0388B">
        <w:rPr>
          <w:sz w:val="24"/>
          <w:szCs w:val="24"/>
        </w:rPr>
        <w:t>mortality (</w:t>
      </w:r>
      <w:r w:rsidRPr="00C0388B">
        <w:rPr>
          <w:b/>
          <w:sz w:val="24"/>
          <w:szCs w:val="24"/>
        </w:rPr>
        <w:t>d-f</w:t>
      </w:r>
      <w:r w:rsidRPr="00C0388B">
        <w:rPr>
          <w:rFonts w:cs="Times New Roman"/>
          <w:bCs/>
          <w:sz w:val="24"/>
          <w:szCs w:val="24"/>
        </w:rPr>
        <w:t xml:space="preserve">), </w:t>
      </w:r>
      <w:r>
        <w:rPr>
          <w:rFonts w:cs="Times New Roman"/>
          <w:bCs/>
          <w:sz w:val="24"/>
          <w:szCs w:val="24"/>
        </w:rPr>
        <w:t>presented</w:t>
      </w:r>
      <w:r w:rsidRPr="00C0388B">
        <w:rPr>
          <w:rFonts w:cs="Times New Roman"/>
          <w:bCs/>
          <w:sz w:val="24"/>
          <w:szCs w:val="24"/>
        </w:rPr>
        <w:t xml:space="preserve"> as </w:t>
      </w:r>
      <w:r>
        <w:rPr>
          <w:rFonts w:cs="Times New Roman"/>
          <w:bCs/>
          <w:sz w:val="24"/>
          <w:szCs w:val="24"/>
        </w:rPr>
        <w:t xml:space="preserve">time-weighted </w:t>
      </w:r>
      <w:r w:rsidRPr="00C0388B">
        <w:rPr>
          <w:rFonts w:cs="Times New Roman"/>
          <w:bCs/>
          <w:sz w:val="24"/>
          <w:szCs w:val="24"/>
        </w:rPr>
        <w:t>mean values</w:t>
      </w:r>
      <w:r w:rsidRPr="00C0388B">
        <w:rPr>
          <w:sz w:val="24"/>
          <w:szCs w:val="24"/>
        </w:rPr>
        <w:t xml:space="preserve"> </w:t>
      </w:r>
      <w:r>
        <w:rPr>
          <w:sz w:val="24"/>
          <w:szCs w:val="24"/>
        </w:rPr>
        <w:t xml:space="preserve">for each plot, i.e. each census within a plot is weighted by its length, </w:t>
      </w:r>
      <w:r w:rsidRPr="00C0388B">
        <w:rPr>
          <w:sz w:val="24"/>
          <w:szCs w:val="24"/>
        </w:rPr>
        <w:t xml:space="preserve">against </w:t>
      </w:r>
      <w:r>
        <w:rPr>
          <w:sz w:val="24"/>
          <w:szCs w:val="24"/>
        </w:rPr>
        <w:t xml:space="preserve">the corresponding values of </w:t>
      </w:r>
      <w:r w:rsidRPr="00C0388B">
        <w:rPr>
          <w:sz w:val="24"/>
          <w:szCs w:val="24"/>
        </w:rPr>
        <w:t>atmospheric carbon dioxide concentration (CO</w:t>
      </w:r>
      <w:r w:rsidRPr="00C0388B">
        <w:rPr>
          <w:sz w:val="24"/>
          <w:szCs w:val="24"/>
          <w:vertAlign w:val="subscript"/>
        </w:rPr>
        <w:t>2</w:t>
      </w:r>
      <w:r w:rsidRPr="00C0388B">
        <w:rPr>
          <w:sz w:val="24"/>
          <w:szCs w:val="24"/>
        </w:rPr>
        <w:t>), mean annual air temperature (MAT) and drought (as Maximum Climatological Water Deficit, MCWD), for African (blue) and Amazonian (brown) inventory plots.</w:t>
      </w:r>
      <w:r w:rsidRPr="00C0388B">
        <w:rPr>
          <w:b/>
          <w:sz w:val="24"/>
          <w:szCs w:val="24"/>
        </w:rPr>
        <w:t xml:space="preserve"> </w:t>
      </w:r>
      <w:r>
        <w:rPr>
          <w:sz w:val="24"/>
          <w:szCs w:val="24"/>
        </w:rPr>
        <w:t>Each data point therefore represents an inventory plot, for visual clarity, and the level of t</w:t>
      </w:r>
      <w:r w:rsidRPr="00C0388B">
        <w:rPr>
          <w:rFonts w:cs="Times New Roman"/>
          <w:sz w:val="24"/>
          <w:szCs w:val="24"/>
        </w:rPr>
        <w:t xml:space="preserve">ransparency represents </w:t>
      </w:r>
      <w:r>
        <w:rPr>
          <w:rFonts w:cs="Times New Roman"/>
          <w:sz w:val="24"/>
          <w:szCs w:val="24"/>
        </w:rPr>
        <w:t xml:space="preserve">the </w:t>
      </w:r>
      <w:r w:rsidRPr="00C0388B">
        <w:rPr>
          <w:rFonts w:cs="Times New Roman"/>
          <w:sz w:val="24"/>
          <w:szCs w:val="24"/>
        </w:rPr>
        <w:t xml:space="preserve">total monitoring length, with empty circles corresponding to plots monitored for ≤ 5 years and solid </w:t>
      </w:r>
      <w:r>
        <w:rPr>
          <w:rFonts w:cs="Times New Roman"/>
          <w:sz w:val="24"/>
          <w:szCs w:val="24"/>
        </w:rPr>
        <w:t xml:space="preserve">circles </w:t>
      </w:r>
      <w:r w:rsidRPr="00C0388B">
        <w:rPr>
          <w:rFonts w:cs="Times New Roman"/>
          <w:sz w:val="24"/>
          <w:szCs w:val="24"/>
        </w:rPr>
        <w:t>for plots monitored for &gt;20 years.</w:t>
      </w:r>
      <w:r>
        <w:rPr>
          <w:sz w:val="24"/>
          <w:szCs w:val="24"/>
        </w:rPr>
        <w:t xml:space="preserve"> S</w:t>
      </w:r>
      <w:r w:rsidRPr="00C0388B">
        <w:rPr>
          <w:sz w:val="24"/>
          <w:szCs w:val="24"/>
        </w:rPr>
        <w:t>olid lines s</w:t>
      </w:r>
      <w:r>
        <w:rPr>
          <w:sz w:val="24"/>
          <w:szCs w:val="24"/>
        </w:rPr>
        <w:t xml:space="preserve">how significant trends, dashed lines </w:t>
      </w:r>
      <w:r w:rsidRPr="00C0388B">
        <w:rPr>
          <w:sz w:val="24"/>
          <w:szCs w:val="24"/>
        </w:rPr>
        <w:t xml:space="preserve">non-significant </w:t>
      </w:r>
      <w:r>
        <w:rPr>
          <w:sz w:val="24"/>
          <w:szCs w:val="24"/>
        </w:rPr>
        <w:t>trends calculated using l</w:t>
      </w:r>
      <w:r w:rsidRPr="00C0388B">
        <w:rPr>
          <w:sz w:val="24"/>
          <w:szCs w:val="24"/>
        </w:rPr>
        <w:t>inear mixed effect models with census intervals (n=1566) nested within plots (n=565), using an empirically derived weighting based on interval length and plot area</w:t>
      </w:r>
      <w:r>
        <w:rPr>
          <w:sz w:val="24"/>
          <w:szCs w:val="24"/>
        </w:rPr>
        <w:t>,</w:t>
      </w:r>
      <w:r w:rsidRPr="00C0388B">
        <w:rPr>
          <w:sz w:val="24"/>
          <w:szCs w:val="24"/>
        </w:rPr>
        <w:t xml:space="preserve"> </w:t>
      </w:r>
      <w:r>
        <w:rPr>
          <w:sz w:val="24"/>
          <w:szCs w:val="24"/>
        </w:rPr>
        <w:t>on the untransformed pooled Africa and Amazon dataset</w:t>
      </w:r>
      <w:r w:rsidRPr="00C0388B">
        <w:rPr>
          <w:sz w:val="24"/>
          <w:szCs w:val="24"/>
        </w:rPr>
        <w:t xml:space="preserve"> (see </w:t>
      </w:r>
      <w:r>
        <w:rPr>
          <w:sz w:val="24"/>
          <w:szCs w:val="24"/>
        </w:rPr>
        <w:t>M</w:t>
      </w:r>
      <w:r w:rsidRPr="00C0388B">
        <w:rPr>
          <w:sz w:val="24"/>
          <w:szCs w:val="24"/>
        </w:rPr>
        <w:t xml:space="preserve">ethods). </w:t>
      </w:r>
      <w:r>
        <w:rPr>
          <w:rFonts w:cs="Times New Roman"/>
          <w:sz w:val="24"/>
          <w:szCs w:val="24"/>
        </w:rPr>
        <w:t>S</w:t>
      </w:r>
      <w:r w:rsidRPr="00C0388B">
        <w:rPr>
          <w:rFonts w:cs="Times New Roman"/>
          <w:sz w:val="24"/>
          <w:szCs w:val="24"/>
        </w:rPr>
        <w:t xml:space="preserve">lopes and p-values are from </w:t>
      </w:r>
      <w:r>
        <w:rPr>
          <w:rFonts w:cs="Times New Roman"/>
          <w:sz w:val="24"/>
          <w:szCs w:val="24"/>
        </w:rPr>
        <w:t xml:space="preserve">the same </w:t>
      </w:r>
      <w:r w:rsidRPr="00C0388B">
        <w:rPr>
          <w:rFonts w:cs="Times New Roman"/>
          <w:sz w:val="24"/>
          <w:szCs w:val="24"/>
        </w:rPr>
        <w:t>linear mixed effects models</w:t>
      </w:r>
      <w:r>
        <w:rPr>
          <w:rFonts w:cs="Times New Roman"/>
          <w:sz w:val="24"/>
          <w:szCs w:val="24"/>
        </w:rPr>
        <w:t xml:space="preserve">. </w:t>
      </w:r>
      <w:r w:rsidRPr="00C0388B">
        <w:rPr>
          <w:sz w:val="24"/>
          <w:szCs w:val="24"/>
        </w:rPr>
        <w:t xml:space="preserve">Carbon loss data </w:t>
      </w:r>
      <w:r>
        <w:rPr>
          <w:sz w:val="24"/>
          <w:szCs w:val="24"/>
        </w:rPr>
        <w:t xml:space="preserve">and models </w:t>
      </w:r>
      <w:r w:rsidRPr="00C0388B">
        <w:rPr>
          <w:sz w:val="24"/>
          <w:szCs w:val="24"/>
        </w:rPr>
        <w:t xml:space="preserve">are presented untransformed for </w:t>
      </w:r>
      <w:r>
        <w:rPr>
          <w:sz w:val="24"/>
          <w:szCs w:val="24"/>
        </w:rPr>
        <w:t>comparison with carbon gains, but transformation is needed to fit normality assumptions</w:t>
      </w:r>
      <w:r w:rsidRPr="00C0388B">
        <w:rPr>
          <w:sz w:val="24"/>
          <w:szCs w:val="24"/>
        </w:rPr>
        <w:t>; linear mixed effects models on</w:t>
      </w:r>
      <w:r>
        <w:rPr>
          <w:sz w:val="24"/>
          <w:szCs w:val="24"/>
        </w:rPr>
        <w:t xml:space="preserve"> </w:t>
      </w:r>
      <w:r w:rsidRPr="00C0388B">
        <w:rPr>
          <w:sz w:val="24"/>
          <w:szCs w:val="24"/>
        </w:rPr>
        <w:t xml:space="preserve">transformed </w:t>
      </w:r>
      <w:r>
        <w:rPr>
          <w:sz w:val="24"/>
          <w:szCs w:val="24"/>
        </w:rPr>
        <w:t xml:space="preserve">carbon loss </w:t>
      </w:r>
      <w:r w:rsidRPr="00C0388B">
        <w:rPr>
          <w:sz w:val="24"/>
          <w:szCs w:val="24"/>
        </w:rPr>
        <w:t>data do</w:t>
      </w:r>
      <w:r>
        <w:rPr>
          <w:sz w:val="24"/>
          <w:szCs w:val="24"/>
        </w:rPr>
        <w:t>es</w:t>
      </w:r>
      <w:r w:rsidRPr="00C0388B">
        <w:rPr>
          <w:sz w:val="24"/>
          <w:szCs w:val="24"/>
        </w:rPr>
        <w:t xml:space="preserve"> not change the significance of the results</w:t>
      </w:r>
      <w:r>
        <w:rPr>
          <w:sz w:val="24"/>
          <w:szCs w:val="24"/>
        </w:rPr>
        <w:t>, nor does including all three parameters and transformed data in a model</w:t>
      </w:r>
      <w:r w:rsidRPr="00C0388B">
        <w:rPr>
          <w:sz w:val="24"/>
          <w:szCs w:val="24"/>
        </w:rPr>
        <w:t xml:space="preserve"> (see Extended Data Table 1</w:t>
      </w:r>
      <w:r>
        <w:rPr>
          <w:sz w:val="24"/>
          <w:szCs w:val="24"/>
        </w:rPr>
        <w:t>).</w:t>
      </w:r>
    </w:p>
    <w:p w:rsidR="00B43E3C" w:rsidRPr="00C0388B" w:rsidRDefault="00726F1B" w:rsidP="00726F1B">
      <w:pPr>
        <w:jc w:val="center"/>
        <w:rPr>
          <w:sz w:val="24"/>
          <w:szCs w:val="24"/>
        </w:rPr>
      </w:pPr>
      <w:r>
        <w:rPr>
          <w:noProof/>
          <w:lang w:val="en-GB" w:eastAsia="en-GB"/>
        </w:rPr>
        <w:lastRenderedPageBreak/>
        <w:drawing>
          <wp:inline distT="0" distB="0" distL="0" distR="0" wp14:anchorId="66F70E50" wp14:editId="5F2D32BB">
            <wp:extent cx="6112529" cy="4015409"/>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6115802" cy="4017559"/>
                    </a:xfrm>
                    <a:prstGeom prst="rect">
                      <a:avLst/>
                    </a:prstGeom>
                    <a:ln>
                      <a:noFill/>
                    </a:ln>
                    <a:extLst>
                      <a:ext uri="{53640926-AAD7-44D8-BBD7-CCE9431645EC}">
                        <a14:shadowObscured xmlns:a14="http://schemas.microsoft.com/office/drawing/2010/main"/>
                      </a:ext>
                    </a:extLst>
                  </pic:spPr>
                </pic:pic>
              </a:graphicData>
            </a:graphic>
          </wp:inline>
        </w:drawing>
      </w:r>
    </w:p>
    <w:p w:rsidR="00B43E3C" w:rsidRDefault="00B43E3C" w:rsidP="00EF5658">
      <w:pPr>
        <w:rPr>
          <w:rFonts w:cs="Times New Roman"/>
          <w:sz w:val="24"/>
          <w:szCs w:val="24"/>
        </w:rPr>
      </w:pPr>
      <w:r w:rsidRPr="00C0388B">
        <w:rPr>
          <w:rFonts w:cs="Times New Roman"/>
          <w:b/>
          <w:sz w:val="24"/>
          <w:szCs w:val="24"/>
        </w:rPr>
        <w:t xml:space="preserve">Figure 3. Modelled past and future </w:t>
      </w:r>
      <w:r w:rsidRPr="00C0388B">
        <w:rPr>
          <w:rFonts w:cs="Times New Roman"/>
          <w:b/>
          <w:bCs/>
          <w:sz w:val="24"/>
          <w:szCs w:val="24"/>
        </w:rPr>
        <w:t>carbon dynamics of structurally intact tropical forests in Africa and Amazonia.</w:t>
      </w:r>
      <w:r w:rsidRPr="00C0388B">
        <w:rPr>
          <w:rFonts w:cs="Times New Roman"/>
          <w:sz w:val="24"/>
          <w:szCs w:val="24"/>
        </w:rPr>
        <w:t xml:space="preserve"> Predictions of net aboveground live biomass carbon sink (</w:t>
      </w:r>
      <w:r w:rsidRPr="00C0388B">
        <w:rPr>
          <w:rFonts w:cs="Times New Roman"/>
          <w:b/>
          <w:sz w:val="24"/>
          <w:szCs w:val="24"/>
        </w:rPr>
        <w:t>a,d</w:t>
      </w:r>
      <w:r w:rsidRPr="00C0388B">
        <w:rPr>
          <w:rFonts w:cs="Times New Roman"/>
          <w:sz w:val="24"/>
          <w:szCs w:val="24"/>
        </w:rPr>
        <w:t>), carbon gains (</w:t>
      </w:r>
      <w:r w:rsidRPr="00C0388B">
        <w:rPr>
          <w:rFonts w:cs="Times New Roman"/>
          <w:b/>
          <w:sz w:val="24"/>
          <w:szCs w:val="24"/>
        </w:rPr>
        <w:t>b,e</w:t>
      </w:r>
      <w:r w:rsidRPr="00C0388B">
        <w:rPr>
          <w:rFonts w:cs="Times New Roman"/>
          <w:sz w:val="24"/>
          <w:szCs w:val="24"/>
        </w:rPr>
        <w:t>), and carbon losses (</w:t>
      </w:r>
      <w:r w:rsidRPr="00C0388B">
        <w:rPr>
          <w:rFonts w:cs="Times New Roman"/>
          <w:b/>
          <w:sz w:val="24"/>
          <w:szCs w:val="24"/>
        </w:rPr>
        <w:t>c,f</w:t>
      </w:r>
      <w:r w:rsidRPr="00C0388B">
        <w:rPr>
          <w:rFonts w:cs="Times New Roman"/>
          <w:sz w:val="24"/>
          <w:szCs w:val="24"/>
        </w:rPr>
        <w:t>), for African (left panels) and Amazonian (right panels) plot inventory networks, based on CO</w:t>
      </w:r>
      <w:r w:rsidRPr="00C0388B">
        <w:rPr>
          <w:rFonts w:cs="Times New Roman"/>
          <w:sz w:val="24"/>
          <w:szCs w:val="24"/>
          <w:vertAlign w:val="subscript"/>
        </w:rPr>
        <w:t>2</w:t>
      </w:r>
      <w:r w:rsidRPr="00C0388B">
        <w:rPr>
          <w:rFonts w:cs="Times New Roman"/>
          <w:sz w:val="24"/>
          <w:szCs w:val="24"/>
        </w:rPr>
        <w:t>-change, Mean Annual Temperature, Mean Annual Temperature-change, drought (as Maximum Climatological Water Deficit), plot wood density</w:t>
      </w:r>
      <w:r>
        <w:rPr>
          <w:rFonts w:cs="Times New Roman"/>
          <w:sz w:val="24"/>
          <w:szCs w:val="24"/>
        </w:rPr>
        <w:t>,</w:t>
      </w:r>
      <w:r w:rsidRPr="00C0388B">
        <w:rPr>
          <w:rFonts w:cs="Times New Roman"/>
          <w:sz w:val="24"/>
          <w:szCs w:val="24"/>
        </w:rPr>
        <w:t xml:space="preserve"> and plot carbon residence time</w:t>
      </w:r>
      <w:r>
        <w:rPr>
          <w:rFonts w:cs="Times New Roman"/>
          <w:sz w:val="24"/>
          <w:szCs w:val="24"/>
        </w:rPr>
        <w:t xml:space="preserve">, using observations </w:t>
      </w:r>
      <w:r w:rsidRPr="00F66672">
        <w:rPr>
          <w:rFonts w:cs="Times New Roman"/>
          <w:sz w:val="24"/>
          <w:szCs w:val="24"/>
        </w:rPr>
        <w:t>in Africa until 2014 and Amazonia until 2011.5</w:t>
      </w:r>
      <w:r>
        <w:rPr>
          <w:rFonts w:cs="Times New Roman"/>
          <w:sz w:val="24"/>
          <w:szCs w:val="24"/>
        </w:rPr>
        <w:t>, and extrapolations of prior trends to 2040</w:t>
      </w:r>
      <w:r w:rsidRPr="00C0388B">
        <w:rPr>
          <w:rFonts w:cs="Times New Roman"/>
          <w:sz w:val="24"/>
          <w:szCs w:val="24"/>
        </w:rPr>
        <w:t xml:space="preserve">. Model predictions are in blue (Africa) and brown (Amazon), with solid lines spanning the window when ≥75% of plots were monitored to show model consistency with the observed trends, and shading showing </w:t>
      </w:r>
      <w:r>
        <w:rPr>
          <w:rFonts w:cs="Times New Roman"/>
          <w:sz w:val="24"/>
          <w:szCs w:val="24"/>
        </w:rPr>
        <w:t xml:space="preserve">upper and lower </w:t>
      </w:r>
      <w:r w:rsidRPr="001A0B9A">
        <w:rPr>
          <w:rFonts w:cs="Times New Roman"/>
          <w:sz w:val="24"/>
          <w:szCs w:val="24"/>
        </w:rPr>
        <w:t xml:space="preserve">confidence intervals </w:t>
      </w:r>
      <w:r>
        <w:rPr>
          <w:rFonts w:cs="Times New Roman"/>
          <w:sz w:val="24"/>
          <w:szCs w:val="24"/>
        </w:rPr>
        <w:t>accounting for uncertainties in the model (both fixed and random effects) and uncertainties in the predictor variables</w:t>
      </w:r>
      <w:r w:rsidRPr="00C0388B">
        <w:rPr>
          <w:rFonts w:cs="Times New Roman"/>
          <w:sz w:val="24"/>
          <w:szCs w:val="24"/>
        </w:rPr>
        <w:t>. Light grey lines and grey shading are the mean and 95% CI of the observ</w:t>
      </w:r>
      <w:r>
        <w:rPr>
          <w:rFonts w:cs="Times New Roman"/>
          <w:sz w:val="24"/>
          <w:szCs w:val="24"/>
        </w:rPr>
        <w:t>ations from the African and Amazonian plot networks</w:t>
      </w:r>
      <w:r w:rsidRPr="00C0388B">
        <w:rPr>
          <w:rFonts w:cs="Times New Roman"/>
          <w:sz w:val="24"/>
          <w:szCs w:val="24"/>
        </w:rPr>
        <w:t xml:space="preserve">. </w:t>
      </w:r>
    </w:p>
    <w:p w:rsidR="00726F1B" w:rsidRDefault="00726F1B" w:rsidP="00726F1B">
      <w:pPr>
        <w:pStyle w:val="Heading1"/>
      </w:pPr>
      <w:r>
        <w:lastRenderedPageBreak/>
        <w:t>Main Tables</w:t>
      </w:r>
    </w:p>
    <w:p w:rsidR="00726F1B" w:rsidRPr="0096283A" w:rsidRDefault="00726F1B" w:rsidP="00726F1B"/>
    <w:p w:rsidR="00726F1B" w:rsidRPr="003671D3" w:rsidRDefault="00726F1B" w:rsidP="00726F1B">
      <w:pPr>
        <w:rPr>
          <w:rFonts w:cs="Times New Roman"/>
          <w:noProof/>
          <w:sz w:val="24"/>
          <w:szCs w:val="24"/>
        </w:rPr>
      </w:pPr>
      <w:r w:rsidRPr="00C0388B">
        <w:rPr>
          <w:rFonts w:cs="Times New Roman"/>
          <w:b/>
          <w:noProof/>
          <w:sz w:val="24"/>
          <w:szCs w:val="24"/>
        </w:rPr>
        <w:t>Table 1. Carbon sink in intact forests in Africa, Amazonia and the pan-tropics</w:t>
      </w:r>
      <w:r>
        <w:rPr>
          <w:rFonts w:cs="Times New Roman"/>
          <w:b/>
          <w:noProof/>
          <w:sz w:val="24"/>
          <w:szCs w:val="24"/>
        </w:rPr>
        <w:t>:</w:t>
      </w:r>
      <w:r w:rsidRPr="00C0388B">
        <w:rPr>
          <w:rFonts w:cs="Times New Roman"/>
          <w:b/>
          <w:noProof/>
          <w:sz w:val="24"/>
          <w:szCs w:val="24"/>
        </w:rPr>
        <w:t xml:space="preserve"> 1980-</w:t>
      </w:r>
      <w:r>
        <w:rPr>
          <w:rFonts w:cs="Times New Roman"/>
          <w:b/>
          <w:noProof/>
          <w:sz w:val="24"/>
          <w:szCs w:val="24"/>
        </w:rPr>
        <w:t>2015 and predictions</w:t>
      </w:r>
      <w:r w:rsidRPr="00C0388B">
        <w:rPr>
          <w:rFonts w:cs="Times New Roman"/>
          <w:b/>
          <w:noProof/>
          <w:sz w:val="24"/>
          <w:szCs w:val="24"/>
        </w:rPr>
        <w:t xml:space="preserve"> to 2040. </w:t>
      </w:r>
      <w:r>
        <w:rPr>
          <w:rFonts w:cs="Times New Roman"/>
          <w:noProof/>
          <w:sz w:val="24"/>
          <w:szCs w:val="24"/>
        </w:rPr>
        <w:t>Mean</w:t>
      </w:r>
      <w:r w:rsidRPr="00390829">
        <w:rPr>
          <w:rFonts w:cs="Times New Roman"/>
          <w:noProof/>
          <w:sz w:val="24"/>
          <w:szCs w:val="24"/>
        </w:rPr>
        <w:t xml:space="preserve"> values</w:t>
      </w:r>
      <w:r w:rsidRPr="0059256A">
        <w:rPr>
          <w:rFonts w:cs="Times New Roman"/>
          <w:noProof/>
          <w:sz w:val="24"/>
          <w:szCs w:val="24"/>
        </w:rPr>
        <w:t xml:space="preserve"> </w:t>
      </w:r>
      <w:r>
        <w:rPr>
          <w:rFonts w:cs="Times New Roman"/>
          <w:noProof/>
          <w:sz w:val="24"/>
          <w:szCs w:val="24"/>
        </w:rPr>
        <w:t>in bold,</w:t>
      </w:r>
      <w:r w:rsidRPr="00390829">
        <w:rPr>
          <w:rFonts w:cs="Times New Roman"/>
          <w:noProof/>
          <w:sz w:val="24"/>
          <w:szCs w:val="24"/>
        </w:rPr>
        <w:t xml:space="preserve"> </w:t>
      </w:r>
      <w:r>
        <w:rPr>
          <w:rFonts w:cs="Times New Roman"/>
          <w:noProof/>
          <w:sz w:val="24"/>
          <w:szCs w:val="24"/>
        </w:rPr>
        <w:t xml:space="preserve">future predictions in italics, uncertainty in parentheses, </w:t>
      </w:r>
      <w:r w:rsidRPr="00390829">
        <w:rPr>
          <w:rFonts w:cs="Times New Roman"/>
          <w:noProof/>
          <w:sz w:val="24"/>
          <w:szCs w:val="24"/>
        </w:rPr>
        <w:t>95% bootstrapped confidence intervals</w:t>
      </w:r>
      <w:r>
        <w:rPr>
          <w:rFonts w:cs="Times New Roman"/>
          <w:noProof/>
          <w:sz w:val="24"/>
          <w:szCs w:val="24"/>
        </w:rPr>
        <w:t xml:space="preserve"> for 1980-2015, and 2σ for the predictions (2010-2040).</w:t>
      </w:r>
    </w:p>
    <w:tbl>
      <w:tblPr>
        <w:tblW w:w="5000" w:type="pct"/>
        <w:tblCellMar>
          <w:left w:w="28" w:type="dxa"/>
          <w:right w:w="28" w:type="dxa"/>
        </w:tblCellMar>
        <w:tblLook w:val="04A0" w:firstRow="1" w:lastRow="0" w:firstColumn="1" w:lastColumn="0" w:noHBand="0" w:noVBand="1"/>
      </w:tblPr>
      <w:tblGrid>
        <w:gridCol w:w="866"/>
        <w:gridCol w:w="105"/>
        <w:gridCol w:w="326"/>
        <w:gridCol w:w="381"/>
        <w:gridCol w:w="94"/>
        <w:gridCol w:w="1296"/>
        <w:gridCol w:w="1358"/>
        <w:gridCol w:w="1286"/>
        <w:gridCol w:w="98"/>
        <w:gridCol w:w="1266"/>
        <w:gridCol w:w="1364"/>
        <w:gridCol w:w="1362"/>
      </w:tblGrid>
      <w:tr w:rsidR="00726F1B" w:rsidRPr="003671D3" w:rsidTr="00726F1B">
        <w:trPr>
          <w:trHeight w:val="345"/>
        </w:trPr>
        <w:tc>
          <w:tcPr>
            <w:tcW w:w="426" w:type="pct"/>
            <w:tcBorders>
              <w:top w:val="single" w:sz="4" w:space="0" w:color="auto"/>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b/>
                <w:bCs/>
                <w:sz w:val="18"/>
                <w:szCs w:val="18"/>
                <w:lang w:val="nl-BE" w:eastAsia="nl-BE"/>
              </w:rPr>
            </w:pPr>
            <w:r w:rsidRPr="003671D3">
              <w:rPr>
                <w:rFonts w:eastAsia="Times New Roman" w:cs="Times New Roman"/>
                <w:b/>
                <w:bCs/>
                <w:sz w:val="18"/>
                <w:szCs w:val="18"/>
                <w:lang w:val="nl-BE" w:eastAsia="nl-BE"/>
              </w:rPr>
              <w:t>Period</w:t>
            </w:r>
          </w:p>
        </w:tc>
        <w:tc>
          <w:tcPr>
            <w:tcW w:w="52" w:type="pct"/>
            <w:tcBorders>
              <w:top w:val="single" w:sz="4" w:space="0" w:color="auto"/>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361" w:type="pct"/>
            <w:gridSpan w:val="2"/>
            <w:tcBorders>
              <w:top w:val="single" w:sz="4" w:space="0" w:color="auto"/>
              <w:left w:val="nil"/>
              <w:right w:val="nil"/>
            </w:tcBorders>
            <w:shd w:val="clear" w:color="auto" w:fill="auto"/>
            <w:noWrap/>
            <w:vAlign w:val="bottom"/>
            <w:hideMark/>
          </w:tcPr>
          <w:p w:rsidR="00726F1B" w:rsidRPr="003671D3" w:rsidRDefault="00726F1B" w:rsidP="00726F1B">
            <w:pPr>
              <w:jc w:val="center"/>
              <w:rPr>
                <w:rFonts w:eastAsia="Times New Roman" w:cs="Times New Roman"/>
                <w:b/>
                <w:bCs/>
                <w:sz w:val="18"/>
                <w:szCs w:val="18"/>
                <w:lang w:val="nl-BE" w:eastAsia="nl-BE"/>
              </w:rPr>
            </w:pPr>
            <w:r>
              <w:rPr>
                <w:rFonts w:eastAsia="Times New Roman" w:cs="Times New Roman"/>
                <w:b/>
                <w:bCs/>
                <w:sz w:val="18"/>
                <w:szCs w:val="18"/>
                <w:lang w:val="nl-BE" w:eastAsia="nl-BE"/>
              </w:rPr>
              <w:t>No.</w:t>
            </w:r>
          </w:p>
        </w:tc>
        <w:tc>
          <w:tcPr>
            <w:tcW w:w="52" w:type="pct"/>
            <w:tcBorders>
              <w:top w:val="single" w:sz="4" w:space="0" w:color="auto"/>
              <w:left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2014" w:type="pct"/>
            <w:gridSpan w:val="3"/>
            <w:tcBorders>
              <w:top w:val="single" w:sz="4" w:space="0" w:color="auto"/>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b/>
                <w:bCs/>
                <w:sz w:val="18"/>
                <w:szCs w:val="18"/>
                <w:lang w:eastAsia="nl-BE"/>
              </w:rPr>
            </w:pPr>
            <w:r w:rsidRPr="003671D3">
              <w:rPr>
                <w:rFonts w:eastAsia="Times New Roman" w:cs="Times New Roman"/>
                <w:b/>
                <w:bCs/>
                <w:sz w:val="18"/>
                <w:szCs w:val="18"/>
                <w:lang w:eastAsia="nl-BE"/>
              </w:rPr>
              <w:t>P</w:t>
            </w:r>
            <w:r>
              <w:rPr>
                <w:rFonts w:eastAsia="Times New Roman" w:cs="Times New Roman"/>
                <w:b/>
                <w:bCs/>
                <w:sz w:val="18"/>
                <w:szCs w:val="18"/>
                <w:lang w:eastAsia="nl-BE"/>
              </w:rPr>
              <w:t>er unit area aboveground live biomass C sink</w:t>
            </w:r>
          </w:p>
        </w:tc>
        <w:tc>
          <w:tcPr>
            <w:tcW w:w="52" w:type="pct"/>
            <w:tcBorders>
              <w:top w:val="single" w:sz="4" w:space="0" w:color="auto"/>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eastAsia="nl-BE"/>
              </w:rPr>
            </w:pPr>
          </w:p>
        </w:tc>
        <w:tc>
          <w:tcPr>
            <w:tcW w:w="2042" w:type="pct"/>
            <w:gridSpan w:val="3"/>
            <w:tcBorders>
              <w:top w:val="single" w:sz="4" w:space="0" w:color="auto"/>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b/>
                <w:bCs/>
                <w:sz w:val="18"/>
                <w:szCs w:val="18"/>
                <w:lang w:val="nl-BE" w:eastAsia="nl-BE"/>
              </w:rPr>
            </w:pPr>
            <w:r w:rsidRPr="003671D3">
              <w:rPr>
                <w:rFonts w:eastAsia="Times New Roman" w:cs="Times New Roman"/>
                <w:b/>
                <w:bCs/>
                <w:sz w:val="18"/>
                <w:szCs w:val="18"/>
                <w:lang w:val="nl-BE" w:eastAsia="nl-BE"/>
              </w:rPr>
              <w:t>Total C sink *</w:t>
            </w:r>
          </w:p>
        </w:tc>
      </w:tr>
      <w:tr w:rsidR="00726F1B" w:rsidRPr="003671D3" w:rsidTr="00726F1B">
        <w:trPr>
          <w:trHeight w:val="300"/>
        </w:trPr>
        <w:tc>
          <w:tcPr>
            <w:tcW w:w="42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361" w:type="pct"/>
            <w:gridSpan w:val="2"/>
            <w:tcBorders>
              <w:top w:val="nil"/>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b/>
                <w:bCs/>
                <w:sz w:val="18"/>
                <w:szCs w:val="18"/>
                <w:lang w:val="nl-BE" w:eastAsia="nl-BE"/>
              </w:rPr>
            </w:pPr>
            <w:r w:rsidRPr="003671D3">
              <w:rPr>
                <w:rFonts w:eastAsia="Times New Roman" w:cs="Times New Roman"/>
                <w:b/>
                <w:bCs/>
                <w:sz w:val="18"/>
                <w:szCs w:val="18"/>
                <w:lang w:val="nl-BE" w:eastAsia="nl-BE"/>
              </w:rPr>
              <w:t>plots</w:t>
            </w:r>
          </w:p>
        </w:tc>
        <w:tc>
          <w:tcPr>
            <w:tcW w:w="52" w:type="pct"/>
            <w:tcBorders>
              <w:top w:val="nil"/>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2014" w:type="pct"/>
            <w:gridSpan w:val="3"/>
            <w:tcBorders>
              <w:top w:val="nil"/>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b/>
                <w:bCs/>
                <w:sz w:val="18"/>
                <w:szCs w:val="18"/>
                <w:lang w:val="nl-BE" w:eastAsia="nl-BE"/>
              </w:rPr>
            </w:pPr>
            <w:r w:rsidRPr="003671D3">
              <w:rPr>
                <w:rFonts w:eastAsia="Times New Roman" w:cs="Times New Roman"/>
                <w:b/>
                <w:bCs/>
                <w:sz w:val="18"/>
                <w:szCs w:val="18"/>
                <w:lang w:val="nl-BE" w:eastAsia="nl-BE"/>
              </w:rPr>
              <w:t>(Mg C ha</w:t>
            </w:r>
            <w:r w:rsidRPr="003671D3">
              <w:rPr>
                <w:rFonts w:eastAsia="Times New Roman" w:cs="Times New Roman"/>
                <w:b/>
                <w:bCs/>
                <w:sz w:val="18"/>
                <w:szCs w:val="18"/>
                <w:vertAlign w:val="superscript"/>
                <w:lang w:val="nl-BE" w:eastAsia="nl-BE"/>
              </w:rPr>
              <w:t>-1</w:t>
            </w:r>
            <w:r w:rsidRPr="003671D3">
              <w:rPr>
                <w:rFonts w:eastAsia="Times New Roman" w:cs="Times New Roman"/>
                <w:b/>
                <w:bCs/>
                <w:sz w:val="18"/>
                <w:szCs w:val="18"/>
                <w:lang w:val="nl-BE" w:eastAsia="nl-BE"/>
              </w:rPr>
              <w:t xml:space="preserve"> yr</w:t>
            </w:r>
            <w:r w:rsidRPr="003671D3">
              <w:rPr>
                <w:rFonts w:eastAsia="Times New Roman" w:cs="Times New Roman"/>
                <w:b/>
                <w:bCs/>
                <w:sz w:val="18"/>
                <w:szCs w:val="18"/>
                <w:vertAlign w:val="superscript"/>
                <w:lang w:val="nl-BE" w:eastAsia="nl-BE"/>
              </w:rPr>
              <w:t>-1</w:t>
            </w:r>
            <w:r w:rsidRPr="003671D3">
              <w:rPr>
                <w:rFonts w:eastAsia="Times New Roman" w:cs="Times New Roman"/>
                <w:b/>
                <w:bCs/>
                <w:sz w:val="18"/>
                <w:szCs w:val="18"/>
                <w:lang w:val="nl-BE" w:eastAsia="nl-BE"/>
              </w:rPr>
              <w:t>)</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2042" w:type="pct"/>
            <w:gridSpan w:val="3"/>
            <w:tcBorders>
              <w:top w:val="nil"/>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b/>
                <w:bCs/>
                <w:sz w:val="18"/>
                <w:szCs w:val="18"/>
                <w:lang w:val="nl-BE" w:eastAsia="nl-BE"/>
              </w:rPr>
            </w:pPr>
            <w:r w:rsidRPr="003671D3">
              <w:rPr>
                <w:rFonts w:eastAsia="Times New Roman" w:cs="Times New Roman"/>
                <w:b/>
                <w:bCs/>
                <w:sz w:val="18"/>
                <w:szCs w:val="18"/>
                <w:lang w:val="nl-BE" w:eastAsia="nl-BE"/>
              </w:rPr>
              <w:t>(Pg C yr</w:t>
            </w:r>
            <w:r w:rsidRPr="003671D3">
              <w:rPr>
                <w:rFonts w:eastAsia="Times New Roman" w:cs="Times New Roman"/>
                <w:b/>
                <w:bCs/>
                <w:sz w:val="18"/>
                <w:szCs w:val="18"/>
                <w:vertAlign w:val="superscript"/>
                <w:lang w:val="nl-BE" w:eastAsia="nl-BE"/>
              </w:rPr>
              <w:t>-1</w:t>
            </w:r>
            <w:r w:rsidRPr="003671D3">
              <w:rPr>
                <w:rFonts w:eastAsia="Times New Roman" w:cs="Times New Roman"/>
                <w:b/>
                <w:bCs/>
                <w:sz w:val="18"/>
                <w:szCs w:val="18"/>
                <w:lang w:val="nl-BE" w:eastAsia="nl-BE"/>
              </w:rPr>
              <w:t>)</w:t>
            </w:r>
          </w:p>
        </w:tc>
      </w:tr>
      <w:tr w:rsidR="00726F1B" w:rsidRPr="003671D3" w:rsidTr="00726F1B">
        <w:trPr>
          <w:trHeight w:val="300"/>
        </w:trPr>
        <w:tc>
          <w:tcPr>
            <w:tcW w:w="426" w:type="pct"/>
            <w:tcBorders>
              <w:top w:val="nil"/>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166" w:type="pct"/>
            <w:tcBorders>
              <w:top w:val="single" w:sz="4" w:space="0" w:color="auto"/>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b/>
                <w:bCs/>
                <w:sz w:val="18"/>
                <w:szCs w:val="18"/>
                <w:lang w:val="nl-BE" w:eastAsia="nl-BE"/>
              </w:rPr>
            </w:pPr>
            <w:r w:rsidRPr="003671D3">
              <w:rPr>
                <w:rFonts w:eastAsia="Times New Roman" w:cs="Times New Roman"/>
                <w:b/>
                <w:bCs/>
                <w:sz w:val="18"/>
                <w:szCs w:val="18"/>
                <w:lang w:val="nl-BE" w:eastAsia="nl-BE"/>
              </w:rPr>
              <w:t>Af.</w:t>
            </w:r>
          </w:p>
        </w:tc>
        <w:tc>
          <w:tcPr>
            <w:tcW w:w="195" w:type="pct"/>
            <w:tcBorders>
              <w:top w:val="single" w:sz="4" w:space="0" w:color="auto"/>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b/>
                <w:bCs/>
                <w:sz w:val="18"/>
                <w:szCs w:val="18"/>
                <w:lang w:val="nl-BE" w:eastAsia="nl-BE"/>
              </w:rPr>
            </w:pPr>
            <w:r w:rsidRPr="003671D3">
              <w:rPr>
                <w:rFonts w:eastAsia="Times New Roman" w:cs="Times New Roman"/>
                <w:b/>
                <w:bCs/>
                <w:sz w:val="18"/>
                <w:szCs w:val="18"/>
                <w:lang w:val="nl-BE" w:eastAsia="nl-BE"/>
              </w:rPr>
              <w:t>Am.</w:t>
            </w:r>
          </w:p>
        </w:tc>
        <w:tc>
          <w:tcPr>
            <w:tcW w:w="52" w:type="pct"/>
            <w:tcBorders>
              <w:top w:val="single" w:sz="4" w:space="0" w:color="auto"/>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663" w:type="pct"/>
            <w:tcBorders>
              <w:top w:val="single" w:sz="4" w:space="0" w:color="auto"/>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b/>
                <w:bCs/>
                <w:sz w:val="18"/>
                <w:szCs w:val="18"/>
                <w:lang w:val="nl-BE" w:eastAsia="nl-BE"/>
              </w:rPr>
            </w:pPr>
            <w:r w:rsidRPr="003671D3">
              <w:rPr>
                <w:rFonts w:eastAsia="Times New Roman" w:cs="Times New Roman"/>
                <w:b/>
                <w:bCs/>
                <w:sz w:val="18"/>
                <w:szCs w:val="18"/>
                <w:lang w:val="nl-BE" w:eastAsia="nl-BE"/>
              </w:rPr>
              <w:t>Africa</w:t>
            </w:r>
          </w:p>
        </w:tc>
        <w:tc>
          <w:tcPr>
            <w:tcW w:w="695" w:type="pct"/>
            <w:tcBorders>
              <w:top w:val="single" w:sz="4" w:space="0" w:color="auto"/>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b/>
                <w:bCs/>
                <w:sz w:val="18"/>
                <w:szCs w:val="18"/>
                <w:lang w:val="nl-BE" w:eastAsia="nl-BE"/>
              </w:rPr>
            </w:pPr>
            <w:r w:rsidRPr="003671D3">
              <w:rPr>
                <w:rFonts w:eastAsia="Times New Roman" w:cs="Times New Roman"/>
                <w:b/>
                <w:bCs/>
                <w:sz w:val="18"/>
                <w:szCs w:val="18"/>
                <w:lang w:val="nl-BE" w:eastAsia="nl-BE"/>
              </w:rPr>
              <w:t>Amazon</w:t>
            </w:r>
          </w:p>
        </w:tc>
        <w:tc>
          <w:tcPr>
            <w:tcW w:w="656" w:type="pct"/>
            <w:tcBorders>
              <w:top w:val="single" w:sz="4" w:space="0" w:color="auto"/>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b/>
                <w:bCs/>
                <w:sz w:val="18"/>
                <w:szCs w:val="18"/>
                <w:lang w:val="nl-BE" w:eastAsia="nl-BE"/>
              </w:rPr>
            </w:pPr>
            <w:r>
              <w:rPr>
                <w:rFonts w:eastAsia="Times New Roman" w:cs="Times New Roman"/>
                <w:b/>
                <w:bCs/>
                <w:sz w:val="18"/>
                <w:szCs w:val="18"/>
                <w:lang w:val="nl-BE" w:eastAsia="nl-BE"/>
              </w:rPr>
              <w:t>Pan-tropics</w:t>
            </w:r>
            <w:r w:rsidRPr="003671D3">
              <w:rPr>
                <w:rFonts w:eastAsia="Times New Roman" w:cs="Times New Roman"/>
                <w:color w:val="000000"/>
                <w:sz w:val="18"/>
                <w:szCs w:val="18"/>
                <w:lang w:val="nl-BE" w:eastAsia="nl-BE"/>
              </w:rPr>
              <w:t>†</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648" w:type="pct"/>
            <w:tcBorders>
              <w:top w:val="single" w:sz="4" w:space="0" w:color="auto"/>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b/>
                <w:bCs/>
                <w:sz w:val="18"/>
                <w:szCs w:val="18"/>
                <w:lang w:val="nl-BE" w:eastAsia="nl-BE"/>
              </w:rPr>
            </w:pPr>
            <w:r w:rsidRPr="003671D3">
              <w:rPr>
                <w:rFonts w:eastAsia="Times New Roman" w:cs="Times New Roman"/>
                <w:b/>
                <w:bCs/>
                <w:sz w:val="18"/>
                <w:szCs w:val="18"/>
                <w:lang w:val="nl-BE" w:eastAsia="nl-BE"/>
              </w:rPr>
              <w:t>Africa</w:t>
            </w:r>
          </w:p>
        </w:tc>
        <w:tc>
          <w:tcPr>
            <w:tcW w:w="698" w:type="pct"/>
            <w:tcBorders>
              <w:top w:val="single" w:sz="4" w:space="0" w:color="auto"/>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b/>
                <w:bCs/>
                <w:sz w:val="18"/>
                <w:szCs w:val="18"/>
                <w:lang w:val="nl-BE" w:eastAsia="nl-BE"/>
              </w:rPr>
            </w:pPr>
            <w:r w:rsidRPr="003671D3">
              <w:rPr>
                <w:rFonts w:eastAsia="Times New Roman" w:cs="Times New Roman"/>
                <w:b/>
                <w:bCs/>
                <w:sz w:val="18"/>
                <w:szCs w:val="18"/>
                <w:lang w:val="nl-BE" w:eastAsia="nl-BE"/>
              </w:rPr>
              <w:t>Amazon</w:t>
            </w:r>
          </w:p>
        </w:tc>
        <w:tc>
          <w:tcPr>
            <w:tcW w:w="697" w:type="pct"/>
            <w:tcBorders>
              <w:top w:val="single" w:sz="4" w:space="0" w:color="auto"/>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b/>
                <w:bCs/>
                <w:sz w:val="18"/>
                <w:szCs w:val="18"/>
                <w:lang w:val="nl-BE" w:eastAsia="nl-BE"/>
              </w:rPr>
            </w:pPr>
            <w:r w:rsidRPr="003671D3">
              <w:rPr>
                <w:rFonts w:eastAsia="Times New Roman" w:cs="Times New Roman"/>
                <w:b/>
                <w:bCs/>
                <w:sz w:val="18"/>
                <w:szCs w:val="18"/>
                <w:lang w:val="nl-BE" w:eastAsia="nl-BE"/>
              </w:rPr>
              <w:t>Pan-tropics</w:t>
            </w:r>
            <w:r w:rsidRPr="003671D3">
              <w:rPr>
                <w:rFonts w:eastAsia="Times New Roman" w:cs="Times New Roman"/>
                <w:color w:val="000000"/>
                <w:sz w:val="18"/>
                <w:szCs w:val="18"/>
                <w:lang w:val="nl-BE" w:eastAsia="nl-BE"/>
              </w:rPr>
              <w:t>†</w:t>
            </w:r>
          </w:p>
        </w:tc>
      </w:tr>
      <w:tr w:rsidR="00726F1B" w:rsidRPr="003671D3" w:rsidTr="00726F1B">
        <w:trPr>
          <w:trHeight w:val="300"/>
        </w:trPr>
        <w:tc>
          <w:tcPr>
            <w:tcW w:w="42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1980-1990</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16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45</w:t>
            </w:r>
          </w:p>
        </w:tc>
        <w:tc>
          <w:tcPr>
            <w:tcW w:w="195"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73</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663"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 xml:space="preserve">0.33 </w:t>
            </w:r>
            <w:r w:rsidRPr="003671D3">
              <w:rPr>
                <w:rFonts w:eastAsia="Times New Roman" w:cs="Times New Roman"/>
                <w:sz w:val="18"/>
                <w:szCs w:val="18"/>
                <w:lang w:val="nl-BE" w:eastAsia="nl-BE"/>
              </w:rPr>
              <w:t>(0.06-0.63)</w:t>
            </w:r>
          </w:p>
        </w:tc>
        <w:tc>
          <w:tcPr>
            <w:tcW w:w="695"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 xml:space="preserve">0.35 </w:t>
            </w:r>
            <w:r w:rsidRPr="003671D3">
              <w:rPr>
                <w:rFonts w:eastAsia="Times New Roman" w:cs="Times New Roman"/>
                <w:sz w:val="18"/>
                <w:szCs w:val="18"/>
                <w:lang w:val="nl-BE" w:eastAsia="nl-BE"/>
              </w:rPr>
              <w:t>(0.06-0.59)</w:t>
            </w:r>
          </w:p>
        </w:tc>
        <w:tc>
          <w:tcPr>
            <w:tcW w:w="65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0F6F09">
              <w:rPr>
                <w:rFonts w:eastAsia="Times New Roman" w:cs="Times New Roman"/>
                <w:b/>
                <w:sz w:val="18"/>
                <w:szCs w:val="18"/>
                <w:lang w:val="nl-BE" w:eastAsia="nl-BE"/>
              </w:rPr>
              <w:t>0.35</w:t>
            </w:r>
            <w:r w:rsidRPr="003671D3">
              <w:rPr>
                <w:rFonts w:eastAsia="Times New Roman" w:cs="Times New Roman"/>
                <w:sz w:val="18"/>
                <w:szCs w:val="18"/>
                <w:lang w:val="nl-BE" w:eastAsia="nl-BE"/>
              </w:rPr>
              <w:t xml:space="preserve"> (0.07-0.62)</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648"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 xml:space="preserve">0.28 </w:t>
            </w:r>
            <w:r w:rsidRPr="003671D3">
              <w:rPr>
                <w:rFonts w:eastAsia="Times New Roman" w:cs="Times New Roman"/>
                <w:sz w:val="18"/>
                <w:szCs w:val="18"/>
                <w:lang w:val="nl-BE" w:eastAsia="nl-BE"/>
              </w:rPr>
              <w:t>(0.05-0.53)</w:t>
            </w:r>
          </w:p>
        </w:tc>
        <w:tc>
          <w:tcPr>
            <w:tcW w:w="698"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0.49</w:t>
            </w:r>
            <w:r w:rsidRPr="003671D3">
              <w:rPr>
                <w:rFonts w:eastAsia="Times New Roman" w:cs="Times New Roman"/>
                <w:sz w:val="18"/>
                <w:szCs w:val="18"/>
                <w:lang w:val="nl-BE" w:eastAsia="nl-BE"/>
              </w:rPr>
              <w:t xml:space="preserve"> (0.08-0.82)</w:t>
            </w:r>
          </w:p>
        </w:tc>
        <w:tc>
          <w:tcPr>
            <w:tcW w:w="697"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0.87</w:t>
            </w:r>
            <w:r w:rsidRPr="003671D3">
              <w:rPr>
                <w:rFonts w:eastAsia="Times New Roman" w:cs="Times New Roman"/>
                <w:sz w:val="18"/>
                <w:szCs w:val="18"/>
                <w:lang w:val="nl-BE" w:eastAsia="nl-BE"/>
              </w:rPr>
              <w:t xml:space="preserve"> (0.16-1.52)</w:t>
            </w:r>
          </w:p>
        </w:tc>
      </w:tr>
      <w:tr w:rsidR="00726F1B" w:rsidRPr="003671D3" w:rsidTr="00726F1B">
        <w:trPr>
          <w:trHeight w:val="300"/>
        </w:trPr>
        <w:tc>
          <w:tcPr>
            <w:tcW w:w="42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1990-2000</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16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96</w:t>
            </w:r>
          </w:p>
        </w:tc>
        <w:tc>
          <w:tcPr>
            <w:tcW w:w="195"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172</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663"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 xml:space="preserve">0.67 </w:t>
            </w:r>
            <w:r w:rsidRPr="003671D3">
              <w:rPr>
                <w:rFonts w:eastAsia="Times New Roman" w:cs="Times New Roman"/>
                <w:sz w:val="18"/>
                <w:szCs w:val="18"/>
                <w:lang w:val="nl-BE" w:eastAsia="nl-BE"/>
              </w:rPr>
              <w:t>(0.43-0.89)</w:t>
            </w:r>
          </w:p>
        </w:tc>
        <w:tc>
          <w:tcPr>
            <w:tcW w:w="695"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 xml:space="preserve">0.53 </w:t>
            </w:r>
            <w:r w:rsidRPr="003671D3">
              <w:rPr>
                <w:rFonts w:eastAsia="Times New Roman" w:cs="Times New Roman"/>
                <w:sz w:val="18"/>
                <w:szCs w:val="18"/>
                <w:lang w:val="nl-BE" w:eastAsia="nl-BE"/>
              </w:rPr>
              <w:t>(0.42-0.65)</w:t>
            </w:r>
          </w:p>
        </w:tc>
        <w:tc>
          <w:tcPr>
            <w:tcW w:w="65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 xml:space="preserve">0.57 </w:t>
            </w:r>
            <w:r w:rsidRPr="003671D3">
              <w:rPr>
                <w:rFonts w:eastAsia="Times New Roman" w:cs="Times New Roman"/>
                <w:sz w:val="18"/>
                <w:szCs w:val="18"/>
                <w:lang w:val="nl-BE" w:eastAsia="nl-BE"/>
              </w:rPr>
              <w:t>(0.39-0.74)</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648"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0.5</w:t>
            </w:r>
            <w:r w:rsidRPr="0096283A">
              <w:rPr>
                <w:rFonts w:eastAsia="Times New Roman" w:cs="Times New Roman"/>
                <w:b/>
                <w:sz w:val="18"/>
                <w:szCs w:val="18"/>
                <w:lang w:val="nl-BE" w:eastAsia="nl-BE"/>
              </w:rPr>
              <w:t>0</w:t>
            </w:r>
            <w:r w:rsidRPr="003671D3">
              <w:rPr>
                <w:rFonts w:eastAsia="Times New Roman" w:cs="Times New Roman"/>
                <w:b/>
                <w:sz w:val="18"/>
                <w:szCs w:val="18"/>
                <w:lang w:val="nl-BE" w:eastAsia="nl-BE"/>
              </w:rPr>
              <w:t xml:space="preserve"> </w:t>
            </w:r>
            <w:r w:rsidRPr="003671D3">
              <w:rPr>
                <w:rFonts w:eastAsia="Times New Roman" w:cs="Times New Roman"/>
                <w:sz w:val="18"/>
                <w:szCs w:val="18"/>
                <w:lang w:val="nl-BE" w:eastAsia="nl-BE"/>
              </w:rPr>
              <w:t>(0.32-0.66)</w:t>
            </w:r>
          </w:p>
        </w:tc>
        <w:tc>
          <w:tcPr>
            <w:tcW w:w="698"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0.68</w:t>
            </w:r>
            <w:r w:rsidRPr="003671D3">
              <w:rPr>
                <w:rFonts w:eastAsia="Times New Roman" w:cs="Times New Roman"/>
                <w:sz w:val="18"/>
                <w:szCs w:val="18"/>
                <w:lang w:val="nl-BE" w:eastAsia="nl-BE"/>
              </w:rPr>
              <w:t xml:space="preserve"> (0.54-0.83)</w:t>
            </w:r>
          </w:p>
        </w:tc>
        <w:tc>
          <w:tcPr>
            <w:tcW w:w="697"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1.26</w:t>
            </w:r>
            <w:r w:rsidRPr="003671D3">
              <w:rPr>
                <w:rFonts w:eastAsia="Times New Roman" w:cs="Times New Roman"/>
                <w:sz w:val="18"/>
                <w:szCs w:val="18"/>
                <w:lang w:val="nl-BE" w:eastAsia="nl-BE"/>
              </w:rPr>
              <w:t xml:space="preserve"> (0.88-1.63)</w:t>
            </w:r>
          </w:p>
        </w:tc>
      </w:tr>
      <w:tr w:rsidR="00726F1B" w:rsidRPr="003671D3" w:rsidTr="00726F1B">
        <w:trPr>
          <w:trHeight w:val="300"/>
        </w:trPr>
        <w:tc>
          <w:tcPr>
            <w:tcW w:w="42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2000-2010</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16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194</w:t>
            </w:r>
          </w:p>
        </w:tc>
        <w:tc>
          <w:tcPr>
            <w:tcW w:w="195"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291</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663"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0.7</w:t>
            </w:r>
            <w:r w:rsidRPr="0096283A">
              <w:rPr>
                <w:rFonts w:eastAsia="Times New Roman" w:cs="Times New Roman"/>
                <w:b/>
                <w:sz w:val="18"/>
                <w:szCs w:val="18"/>
                <w:lang w:val="nl-BE" w:eastAsia="nl-BE"/>
              </w:rPr>
              <w:t>0</w:t>
            </w:r>
            <w:r w:rsidRPr="003671D3">
              <w:rPr>
                <w:rFonts w:eastAsia="Times New Roman" w:cs="Times New Roman"/>
                <w:b/>
                <w:sz w:val="18"/>
                <w:szCs w:val="18"/>
                <w:lang w:val="nl-BE" w:eastAsia="nl-BE"/>
              </w:rPr>
              <w:t xml:space="preserve"> </w:t>
            </w:r>
            <w:r w:rsidRPr="003671D3">
              <w:rPr>
                <w:rFonts w:eastAsia="Times New Roman" w:cs="Times New Roman"/>
                <w:sz w:val="18"/>
                <w:szCs w:val="18"/>
                <w:lang w:val="nl-BE" w:eastAsia="nl-BE"/>
              </w:rPr>
              <w:t>(0.55-0.84)</w:t>
            </w:r>
          </w:p>
        </w:tc>
        <w:tc>
          <w:tcPr>
            <w:tcW w:w="695"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 xml:space="preserve">0.38 </w:t>
            </w:r>
            <w:r w:rsidRPr="003671D3">
              <w:rPr>
                <w:rFonts w:eastAsia="Times New Roman" w:cs="Times New Roman"/>
                <w:sz w:val="18"/>
                <w:szCs w:val="18"/>
                <w:lang w:val="nl-BE" w:eastAsia="nl-BE"/>
              </w:rPr>
              <w:t>(0.26-0.48)</w:t>
            </w:r>
          </w:p>
        </w:tc>
        <w:tc>
          <w:tcPr>
            <w:tcW w:w="65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0.5</w:t>
            </w:r>
            <w:r w:rsidRPr="0096283A">
              <w:rPr>
                <w:rFonts w:eastAsia="Times New Roman" w:cs="Times New Roman"/>
                <w:b/>
                <w:sz w:val="18"/>
                <w:szCs w:val="18"/>
                <w:lang w:val="nl-BE" w:eastAsia="nl-BE"/>
              </w:rPr>
              <w:t>0</w:t>
            </w:r>
            <w:r w:rsidRPr="003671D3">
              <w:rPr>
                <w:rFonts w:eastAsia="Times New Roman" w:cs="Times New Roman"/>
                <w:b/>
                <w:sz w:val="18"/>
                <w:szCs w:val="18"/>
                <w:lang w:val="nl-BE" w:eastAsia="nl-BE"/>
              </w:rPr>
              <w:t xml:space="preserve"> </w:t>
            </w:r>
            <w:r w:rsidRPr="003671D3">
              <w:rPr>
                <w:rFonts w:eastAsia="Times New Roman" w:cs="Times New Roman"/>
                <w:sz w:val="18"/>
                <w:szCs w:val="18"/>
                <w:lang w:val="nl-BE" w:eastAsia="nl-BE"/>
              </w:rPr>
              <w:t>(0.35-0.64)</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648"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 xml:space="preserve">0.46 </w:t>
            </w:r>
            <w:r w:rsidRPr="003671D3">
              <w:rPr>
                <w:rFonts w:eastAsia="Times New Roman" w:cs="Times New Roman"/>
                <w:sz w:val="18"/>
                <w:szCs w:val="18"/>
                <w:lang w:val="nl-BE" w:eastAsia="nl-BE"/>
              </w:rPr>
              <w:t>(0.37-0.56)</w:t>
            </w:r>
          </w:p>
        </w:tc>
        <w:tc>
          <w:tcPr>
            <w:tcW w:w="698"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0.45</w:t>
            </w:r>
            <w:r w:rsidRPr="003671D3">
              <w:rPr>
                <w:rFonts w:eastAsia="Times New Roman" w:cs="Times New Roman"/>
                <w:sz w:val="18"/>
                <w:szCs w:val="18"/>
                <w:lang w:val="nl-BE" w:eastAsia="nl-BE"/>
              </w:rPr>
              <w:t xml:space="preserve"> (0.31-0.57)</w:t>
            </w:r>
          </w:p>
        </w:tc>
        <w:tc>
          <w:tcPr>
            <w:tcW w:w="697"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0.99</w:t>
            </w:r>
            <w:r w:rsidRPr="003671D3">
              <w:rPr>
                <w:rFonts w:eastAsia="Times New Roman" w:cs="Times New Roman"/>
                <w:sz w:val="18"/>
                <w:szCs w:val="18"/>
                <w:lang w:val="nl-BE" w:eastAsia="nl-BE"/>
              </w:rPr>
              <w:t xml:space="preserve"> (0.7</w:t>
            </w:r>
            <w:r>
              <w:rPr>
                <w:rFonts w:eastAsia="Times New Roman" w:cs="Times New Roman"/>
                <w:sz w:val="18"/>
                <w:szCs w:val="18"/>
                <w:lang w:val="nl-BE" w:eastAsia="nl-BE"/>
              </w:rPr>
              <w:t>0</w:t>
            </w:r>
            <w:r w:rsidRPr="003671D3">
              <w:rPr>
                <w:rFonts w:eastAsia="Times New Roman" w:cs="Times New Roman"/>
                <w:sz w:val="18"/>
                <w:szCs w:val="18"/>
                <w:lang w:val="nl-BE" w:eastAsia="nl-BE"/>
              </w:rPr>
              <w:t>-1.25)</w:t>
            </w:r>
          </w:p>
        </w:tc>
      </w:tr>
      <w:tr w:rsidR="00726F1B" w:rsidRPr="003671D3" w:rsidTr="00726F1B">
        <w:trPr>
          <w:trHeight w:val="300"/>
        </w:trPr>
        <w:tc>
          <w:tcPr>
            <w:tcW w:w="42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2010-2015</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16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184</w:t>
            </w:r>
          </w:p>
        </w:tc>
        <w:tc>
          <w:tcPr>
            <w:tcW w:w="195"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172</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663"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 xml:space="preserve">0.66 </w:t>
            </w:r>
            <w:r w:rsidRPr="003671D3">
              <w:rPr>
                <w:rFonts w:eastAsia="Times New Roman" w:cs="Times New Roman"/>
                <w:sz w:val="18"/>
                <w:szCs w:val="18"/>
                <w:lang w:val="nl-BE" w:eastAsia="nl-BE"/>
              </w:rPr>
              <w:t>(0.4</w:t>
            </w:r>
            <w:r>
              <w:rPr>
                <w:rFonts w:eastAsia="Times New Roman" w:cs="Times New Roman"/>
                <w:sz w:val="18"/>
                <w:szCs w:val="18"/>
                <w:lang w:val="nl-BE" w:eastAsia="nl-BE"/>
              </w:rPr>
              <w:t>0</w:t>
            </w:r>
            <w:r w:rsidRPr="003671D3">
              <w:rPr>
                <w:rFonts w:eastAsia="Times New Roman" w:cs="Times New Roman"/>
                <w:sz w:val="18"/>
                <w:szCs w:val="18"/>
                <w:lang w:val="nl-BE" w:eastAsia="nl-BE"/>
              </w:rPr>
              <w:t>-0.91)</w:t>
            </w:r>
          </w:p>
        </w:tc>
        <w:tc>
          <w:tcPr>
            <w:tcW w:w="695"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 xml:space="preserve">0.24 </w:t>
            </w:r>
            <w:r w:rsidRPr="003671D3">
              <w:rPr>
                <w:rFonts w:eastAsia="Times New Roman" w:cs="Times New Roman"/>
                <w:sz w:val="18"/>
                <w:szCs w:val="18"/>
                <w:lang w:val="nl-BE" w:eastAsia="nl-BE"/>
              </w:rPr>
              <w:t>(0</w:t>
            </w:r>
            <w:r>
              <w:rPr>
                <w:rFonts w:eastAsia="Times New Roman" w:cs="Times New Roman"/>
                <w:sz w:val="18"/>
                <w:szCs w:val="18"/>
                <w:lang w:val="nl-BE" w:eastAsia="nl-BE"/>
              </w:rPr>
              <w:t>.00</w:t>
            </w:r>
            <w:r w:rsidRPr="003671D3">
              <w:rPr>
                <w:rFonts w:eastAsia="Times New Roman" w:cs="Times New Roman"/>
                <w:sz w:val="18"/>
                <w:szCs w:val="18"/>
                <w:lang w:val="nl-BE" w:eastAsia="nl-BE"/>
              </w:rPr>
              <w:t>-0.47)</w:t>
            </w:r>
          </w:p>
        </w:tc>
        <w:tc>
          <w:tcPr>
            <w:tcW w:w="65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0.4</w:t>
            </w:r>
            <w:r w:rsidRPr="0096283A">
              <w:rPr>
                <w:rFonts w:eastAsia="Times New Roman" w:cs="Times New Roman"/>
                <w:b/>
                <w:sz w:val="18"/>
                <w:szCs w:val="18"/>
                <w:lang w:val="nl-BE" w:eastAsia="nl-BE"/>
              </w:rPr>
              <w:t>0</w:t>
            </w:r>
            <w:r w:rsidRPr="003671D3">
              <w:rPr>
                <w:rFonts w:eastAsia="Times New Roman" w:cs="Times New Roman"/>
                <w:b/>
                <w:sz w:val="18"/>
                <w:szCs w:val="18"/>
                <w:lang w:val="nl-BE" w:eastAsia="nl-BE"/>
              </w:rPr>
              <w:t xml:space="preserve"> </w:t>
            </w:r>
            <w:r w:rsidRPr="003671D3">
              <w:rPr>
                <w:rFonts w:eastAsia="Times New Roman" w:cs="Times New Roman"/>
                <w:sz w:val="18"/>
                <w:szCs w:val="18"/>
                <w:lang w:val="nl-BE" w:eastAsia="nl-BE"/>
              </w:rPr>
              <w:t>(0.15-0.65)</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p>
        </w:tc>
        <w:tc>
          <w:tcPr>
            <w:tcW w:w="648"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0.4</w:t>
            </w:r>
            <w:r w:rsidRPr="0096283A">
              <w:rPr>
                <w:rFonts w:eastAsia="Times New Roman" w:cs="Times New Roman"/>
                <w:b/>
                <w:sz w:val="18"/>
                <w:szCs w:val="18"/>
                <w:lang w:val="nl-BE" w:eastAsia="nl-BE"/>
              </w:rPr>
              <w:t>0</w:t>
            </w:r>
            <w:r w:rsidRPr="003671D3">
              <w:rPr>
                <w:rFonts w:eastAsia="Times New Roman" w:cs="Times New Roman"/>
                <w:b/>
                <w:sz w:val="18"/>
                <w:szCs w:val="18"/>
                <w:lang w:val="nl-BE" w:eastAsia="nl-BE"/>
              </w:rPr>
              <w:t xml:space="preserve"> </w:t>
            </w:r>
            <w:r w:rsidRPr="003671D3">
              <w:rPr>
                <w:rFonts w:eastAsia="Times New Roman" w:cs="Times New Roman"/>
                <w:sz w:val="18"/>
                <w:szCs w:val="18"/>
                <w:lang w:val="nl-BE" w:eastAsia="nl-BE"/>
              </w:rPr>
              <w:t>(0.24-0.56)</w:t>
            </w:r>
          </w:p>
        </w:tc>
        <w:tc>
          <w:tcPr>
            <w:tcW w:w="698"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0.27</w:t>
            </w:r>
            <w:r w:rsidRPr="003671D3">
              <w:rPr>
                <w:rFonts w:eastAsia="Times New Roman" w:cs="Times New Roman"/>
                <w:sz w:val="18"/>
                <w:szCs w:val="18"/>
                <w:lang w:val="nl-BE" w:eastAsia="nl-BE"/>
              </w:rPr>
              <w:t xml:space="preserve"> (0</w:t>
            </w:r>
            <w:r>
              <w:rPr>
                <w:rFonts w:eastAsia="Times New Roman" w:cs="Times New Roman"/>
                <w:sz w:val="18"/>
                <w:szCs w:val="18"/>
                <w:lang w:val="nl-BE" w:eastAsia="nl-BE"/>
              </w:rPr>
              <w:t>.00</w:t>
            </w:r>
            <w:r w:rsidRPr="003671D3">
              <w:rPr>
                <w:rFonts w:eastAsia="Times New Roman" w:cs="Times New Roman"/>
                <w:sz w:val="18"/>
                <w:szCs w:val="18"/>
                <w:lang w:val="nl-BE" w:eastAsia="nl-BE"/>
              </w:rPr>
              <w:t>-0.52)</w:t>
            </w:r>
          </w:p>
        </w:tc>
        <w:tc>
          <w:tcPr>
            <w:tcW w:w="697"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b/>
                <w:sz w:val="18"/>
                <w:szCs w:val="18"/>
                <w:lang w:val="nl-BE" w:eastAsia="nl-BE"/>
              </w:rPr>
              <w:t>0.73</w:t>
            </w:r>
            <w:r w:rsidRPr="003671D3">
              <w:rPr>
                <w:rFonts w:eastAsia="Times New Roman" w:cs="Times New Roman"/>
                <w:sz w:val="18"/>
                <w:szCs w:val="18"/>
                <w:lang w:val="nl-BE" w:eastAsia="nl-BE"/>
              </w:rPr>
              <w:t xml:space="preserve"> (0.25-1.18)</w:t>
            </w:r>
          </w:p>
        </w:tc>
      </w:tr>
      <w:tr w:rsidR="00726F1B" w:rsidRPr="003671D3" w:rsidTr="00726F1B">
        <w:trPr>
          <w:trHeight w:val="300"/>
        </w:trPr>
        <w:tc>
          <w:tcPr>
            <w:tcW w:w="478" w:type="pct"/>
            <w:gridSpan w:val="2"/>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r w:rsidRPr="003671D3">
              <w:rPr>
                <w:rFonts w:eastAsia="Times New Roman" w:cs="Times New Roman"/>
                <w:i/>
                <w:iCs/>
                <w:sz w:val="18"/>
                <w:szCs w:val="18"/>
                <w:lang w:val="nl-BE" w:eastAsia="nl-BE"/>
              </w:rPr>
              <w:t>2010-2020</w:t>
            </w:r>
            <w:r>
              <w:rPr>
                <w:rFonts w:eastAsia="Times New Roman" w:cs="Times New Roman"/>
                <w:i/>
                <w:iCs/>
                <w:sz w:val="18"/>
                <w:szCs w:val="18"/>
                <w:lang w:val="nl-BE" w:eastAsia="nl-BE"/>
              </w:rPr>
              <w:t xml:space="preserve"> </w:t>
            </w:r>
            <w:r w:rsidRPr="00F4391B">
              <w:rPr>
                <w:rFonts w:cs="Times New Roman"/>
                <w:sz w:val="18"/>
                <w:szCs w:val="18"/>
              </w:rPr>
              <w:t>‡</w:t>
            </w:r>
          </w:p>
        </w:tc>
        <w:tc>
          <w:tcPr>
            <w:tcW w:w="16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w:t>
            </w:r>
          </w:p>
        </w:tc>
        <w:tc>
          <w:tcPr>
            <w:tcW w:w="195"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p>
        </w:tc>
        <w:tc>
          <w:tcPr>
            <w:tcW w:w="663"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r w:rsidRPr="003671D3">
              <w:rPr>
                <w:rFonts w:eastAsia="Times New Roman" w:cs="Times New Roman"/>
                <w:b/>
                <w:i/>
                <w:iCs/>
                <w:sz w:val="18"/>
                <w:szCs w:val="18"/>
                <w:lang w:val="nl-BE" w:eastAsia="nl-BE"/>
              </w:rPr>
              <w:t>0.6</w:t>
            </w:r>
            <w:r>
              <w:rPr>
                <w:rFonts w:eastAsia="Times New Roman" w:cs="Times New Roman"/>
                <w:b/>
                <w:i/>
                <w:iCs/>
                <w:sz w:val="18"/>
                <w:szCs w:val="18"/>
                <w:lang w:val="nl-BE" w:eastAsia="nl-BE"/>
              </w:rPr>
              <w:t>3</w:t>
            </w:r>
            <w:r w:rsidRPr="003671D3">
              <w:rPr>
                <w:rFonts w:eastAsia="Times New Roman" w:cs="Times New Roman"/>
                <w:b/>
                <w:i/>
                <w:iCs/>
                <w:sz w:val="18"/>
                <w:szCs w:val="18"/>
                <w:lang w:val="nl-BE" w:eastAsia="nl-BE"/>
              </w:rPr>
              <w:t xml:space="preserve"> </w:t>
            </w:r>
            <w:r w:rsidRPr="003671D3">
              <w:rPr>
                <w:rFonts w:eastAsia="Times New Roman" w:cs="Times New Roman"/>
                <w:i/>
                <w:iCs/>
                <w:sz w:val="18"/>
                <w:szCs w:val="18"/>
                <w:lang w:val="nl-BE" w:eastAsia="nl-BE"/>
              </w:rPr>
              <w:t>(0.</w:t>
            </w:r>
            <w:r>
              <w:rPr>
                <w:rFonts w:eastAsia="Times New Roman" w:cs="Times New Roman"/>
                <w:i/>
                <w:iCs/>
                <w:sz w:val="18"/>
                <w:szCs w:val="18"/>
                <w:lang w:val="nl-BE" w:eastAsia="nl-BE"/>
              </w:rPr>
              <w:t>36</w:t>
            </w:r>
            <w:r w:rsidRPr="003671D3">
              <w:rPr>
                <w:rFonts w:eastAsia="Times New Roman" w:cs="Times New Roman"/>
                <w:i/>
                <w:iCs/>
                <w:sz w:val="18"/>
                <w:szCs w:val="18"/>
                <w:lang w:val="nl-BE" w:eastAsia="nl-BE"/>
              </w:rPr>
              <w:t>-0.</w:t>
            </w:r>
            <w:r>
              <w:rPr>
                <w:rFonts w:eastAsia="Times New Roman" w:cs="Times New Roman"/>
                <w:i/>
                <w:iCs/>
                <w:sz w:val="18"/>
                <w:szCs w:val="18"/>
                <w:lang w:val="nl-BE" w:eastAsia="nl-BE"/>
              </w:rPr>
              <w:t>89</w:t>
            </w:r>
            <w:r w:rsidRPr="003671D3">
              <w:rPr>
                <w:rFonts w:eastAsia="Times New Roman" w:cs="Times New Roman"/>
                <w:i/>
                <w:iCs/>
                <w:sz w:val="18"/>
                <w:szCs w:val="18"/>
                <w:lang w:val="nl-BE" w:eastAsia="nl-BE"/>
              </w:rPr>
              <w:t>)</w:t>
            </w:r>
          </w:p>
        </w:tc>
        <w:tc>
          <w:tcPr>
            <w:tcW w:w="695"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r w:rsidRPr="003671D3">
              <w:rPr>
                <w:rFonts w:eastAsia="Times New Roman" w:cs="Times New Roman"/>
                <w:b/>
                <w:i/>
                <w:iCs/>
                <w:sz w:val="18"/>
                <w:szCs w:val="18"/>
                <w:lang w:val="nl-BE" w:eastAsia="nl-BE"/>
              </w:rPr>
              <w:t xml:space="preserve">0.23 </w:t>
            </w:r>
            <w:r w:rsidRPr="003671D3">
              <w:rPr>
                <w:rFonts w:eastAsia="Times New Roman" w:cs="Times New Roman"/>
                <w:i/>
                <w:iCs/>
                <w:sz w:val="18"/>
                <w:szCs w:val="18"/>
                <w:lang w:val="nl-BE" w:eastAsia="nl-BE"/>
              </w:rPr>
              <w:t>(-0.0</w:t>
            </w:r>
            <w:r>
              <w:rPr>
                <w:rFonts w:eastAsia="Times New Roman" w:cs="Times New Roman"/>
                <w:i/>
                <w:iCs/>
                <w:sz w:val="18"/>
                <w:szCs w:val="18"/>
                <w:lang w:val="nl-BE" w:eastAsia="nl-BE"/>
              </w:rPr>
              <w:t>5</w:t>
            </w:r>
            <w:r w:rsidRPr="003671D3">
              <w:rPr>
                <w:rFonts w:eastAsia="Times New Roman" w:cs="Times New Roman"/>
                <w:i/>
                <w:iCs/>
                <w:sz w:val="18"/>
                <w:szCs w:val="18"/>
                <w:lang w:val="nl-BE" w:eastAsia="nl-BE"/>
              </w:rPr>
              <w:t>-0.</w:t>
            </w:r>
            <w:r>
              <w:rPr>
                <w:rFonts w:eastAsia="Times New Roman" w:cs="Times New Roman"/>
                <w:i/>
                <w:iCs/>
                <w:sz w:val="18"/>
                <w:szCs w:val="18"/>
                <w:lang w:val="nl-BE" w:eastAsia="nl-BE"/>
              </w:rPr>
              <w:t>50</w:t>
            </w:r>
            <w:r w:rsidRPr="003671D3">
              <w:rPr>
                <w:rFonts w:eastAsia="Times New Roman" w:cs="Times New Roman"/>
                <w:i/>
                <w:iCs/>
                <w:sz w:val="18"/>
                <w:szCs w:val="18"/>
                <w:lang w:val="nl-BE" w:eastAsia="nl-BE"/>
              </w:rPr>
              <w:t>)</w:t>
            </w:r>
          </w:p>
        </w:tc>
        <w:tc>
          <w:tcPr>
            <w:tcW w:w="65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r w:rsidRPr="003671D3">
              <w:rPr>
                <w:rFonts w:eastAsia="Times New Roman" w:cs="Times New Roman"/>
                <w:b/>
                <w:i/>
                <w:iCs/>
                <w:sz w:val="18"/>
                <w:szCs w:val="18"/>
                <w:lang w:val="nl-BE" w:eastAsia="nl-BE"/>
              </w:rPr>
              <w:t>0.</w:t>
            </w:r>
            <w:r>
              <w:rPr>
                <w:rFonts w:eastAsia="Times New Roman" w:cs="Times New Roman"/>
                <w:b/>
                <w:i/>
                <w:iCs/>
                <w:sz w:val="18"/>
                <w:szCs w:val="18"/>
                <w:lang w:val="nl-BE" w:eastAsia="nl-BE"/>
              </w:rPr>
              <w:t>38</w:t>
            </w:r>
            <w:r w:rsidRPr="003671D3">
              <w:rPr>
                <w:rFonts w:eastAsia="Times New Roman" w:cs="Times New Roman"/>
                <w:b/>
                <w:i/>
                <w:iCs/>
                <w:sz w:val="18"/>
                <w:szCs w:val="18"/>
                <w:lang w:val="nl-BE" w:eastAsia="nl-BE"/>
              </w:rPr>
              <w:t xml:space="preserve"> </w:t>
            </w:r>
            <w:r w:rsidRPr="003671D3">
              <w:rPr>
                <w:rFonts w:eastAsia="Times New Roman" w:cs="Times New Roman"/>
                <w:i/>
                <w:iCs/>
                <w:sz w:val="18"/>
                <w:szCs w:val="18"/>
                <w:lang w:val="nl-BE" w:eastAsia="nl-BE"/>
              </w:rPr>
              <w:t>(0.1</w:t>
            </w:r>
            <w:r>
              <w:rPr>
                <w:rFonts w:eastAsia="Times New Roman" w:cs="Times New Roman"/>
                <w:i/>
                <w:iCs/>
                <w:sz w:val="18"/>
                <w:szCs w:val="18"/>
                <w:lang w:val="nl-BE" w:eastAsia="nl-BE"/>
              </w:rPr>
              <w:t>1</w:t>
            </w:r>
            <w:r w:rsidRPr="003671D3">
              <w:rPr>
                <w:rFonts w:eastAsia="Times New Roman" w:cs="Times New Roman"/>
                <w:i/>
                <w:iCs/>
                <w:sz w:val="18"/>
                <w:szCs w:val="18"/>
                <w:lang w:val="nl-BE" w:eastAsia="nl-BE"/>
              </w:rPr>
              <w:t>-0.65)</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p>
        </w:tc>
        <w:tc>
          <w:tcPr>
            <w:tcW w:w="648"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r w:rsidRPr="003671D3">
              <w:rPr>
                <w:rFonts w:eastAsia="Times New Roman" w:cs="Times New Roman"/>
                <w:b/>
                <w:i/>
                <w:iCs/>
                <w:sz w:val="18"/>
                <w:szCs w:val="18"/>
                <w:lang w:val="nl-BE" w:eastAsia="nl-BE"/>
              </w:rPr>
              <w:t>0.3</w:t>
            </w:r>
            <w:r>
              <w:rPr>
                <w:rFonts w:eastAsia="Times New Roman" w:cs="Times New Roman"/>
                <w:b/>
                <w:i/>
                <w:iCs/>
                <w:sz w:val="18"/>
                <w:szCs w:val="18"/>
                <w:lang w:val="nl-BE" w:eastAsia="nl-BE"/>
              </w:rPr>
              <w:t>7</w:t>
            </w:r>
            <w:r w:rsidRPr="003671D3">
              <w:rPr>
                <w:rFonts w:eastAsia="Times New Roman" w:cs="Times New Roman"/>
                <w:b/>
                <w:i/>
                <w:iCs/>
                <w:sz w:val="18"/>
                <w:szCs w:val="18"/>
                <w:lang w:val="nl-BE" w:eastAsia="nl-BE"/>
              </w:rPr>
              <w:t xml:space="preserve"> </w:t>
            </w:r>
            <w:r w:rsidRPr="003671D3">
              <w:rPr>
                <w:rFonts w:eastAsia="Times New Roman" w:cs="Times New Roman"/>
                <w:i/>
                <w:iCs/>
                <w:sz w:val="18"/>
                <w:szCs w:val="18"/>
                <w:lang w:val="nl-BE" w:eastAsia="nl-BE"/>
              </w:rPr>
              <w:t>(0.2</w:t>
            </w:r>
            <w:r>
              <w:rPr>
                <w:rFonts w:eastAsia="Times New Roman" w:cs="Times New Roman"/>
                <w:i/>
                <w:iCs/>
                <w:sz w:val="18"/>
                <w:szCs w:val="18"/>
                <w:lang w:val="nl-BE" w:eastAsia="nl-BE"/>
              </w:rPr>
              <w:t>1</w:t>
            </w:r>
            <w:r w:rsidRPr="003671D3">
              <w:rPr>
                <w:rFonts w:eastAsia="Times New Roman" w:cs="Times New Roman"/>
                <w:i/>
                <w:iCs/>
                <w:sz w:val="18"/>
                <w:szCs w:val="18"/>
                <w:lang w:val="nl-BE" w:eastAsia="nl-BE"/>
              </w:rPr>
              <w:t>-0.53)</w:t>
            </w:r>
          </w:p>
        </w:tc>
        <w:tc>
          <w:tcPr>
            <w:tcW w:w="698"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r w:rsidRPr="003671D3">
              <w:rPr>
                <w:rFonts w:eastAsia="Times New Roman" w:cs="Times New Roman"/>
                <w:b/>
                <w:i/>
                <w:iCs/>
                <w:sz w:val="18"/>
                <w:szCs w:val="18"/>
                <w:lang w:val="nl-BE" w:eastAsia="nl-BE"/>
              </w:rPr>
              <w:t>0.25</w:t>
            </w:r>
            <w:r w:rsidRPr="003671D3">
              <w:rPr>
                <w:rFonts w:eastAsia="Times New Roman" w:cs="Times New Roman"/>
                <w:i/>
                <w:iCs/>
                <w:sz w:val="18"/>
                <w:szCs w:val="18"/>
                <w:lang w:val="nl-BE" w:eastAsia="nl-BE"/>
              </w:rPr>
              <w:t xml:space="preserve"> (-0.0</w:t>
            </w:r>
            <w:r>
              <w:rPr>
                <w:rFonts w:eastAsia="Times New Roman" w:cs="Times New Roman"/>
                <w:i/>
                <w:iCs/>
                <w:sz w:val="18"/>
                <w:szCs w:val="18"/>
                <w:lang w:val="nl-BE" w:eastAsia="nl-BE"/>
              </w:rPr>
              <w:t>5</w:t>
            </w:r>
            <w:r w:rsidRPr="003671D3">
              <w:rPr>
                <w:rFonts w:eastAsia="Times New Roman" w:cs="Times New Roman"/>
                <w:i/>
                <w:iCs/>
                <w:sz w:val="18"/>
                <w:szCs w:val="18"/>
                <w:lang w:val="nl-BE" w:eastAsia="nl-BE"/>
              </w:rPr>
              <w:t>-0.54)</w:t>
            </w:r>
          </w:p>
        </w:tc>
        <w:tc>
          <w:tcPr>
            <w:tcW w:w="697"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r w:rsidRPr="003671D3">
              <w:rPr>
                <w:rFonts w:eastAsia="Times New Roman" w:cs="Times New Roman"/>
                <w:b/>
                <w:i/>
                <w:iCs/>
                <w:sz w:val="18"/>
                <w:szCs w:val="18"/>
                <w:lang w:val="nl-BE" w:eastAsia="nl-BE"/>
              </w:rPr>
              <w:t>0.</w:t>
            </w:r>
            <w:r>
              <w:rPr>
                <w:rFonts w:eastAsia="Times New Roman" w:cs="Times New Roman"/>
                <w:b/>
                <w:i/>
                <w:iCs/>
                <w:sz w:val="18"/>
                <w:szCs w:val="18"/>
                <w:lang w:val="nl-BE" w:eastAsia="nl-BE"/>
              </w:rPr>
              <w:t>68</w:t>
            </w:r>
            <w:r w:rsidRPr="003671D3">
              <w:rPr>
                <w:rFonts w:eastAsia="Times New Roman" w:cs="Times New Roman"/>
                <w:i/>
                <w:iCs/>
                <w:sz w:val="18"/>
                <w:szCs w:val="18"/>
                <w:lang w:val="nl-BE" w:eastAsia="nl-BE"/>
              </w:rPr>
              <w:t xml:space="preserve"> (0.</w:t>
            </w:r>
            <w:r>
              <w:rPr>
                <w:rFonts w:eastAsia="Times New Roman" w:cs="Times New Roman"/>
                <w:i/>
                <w:iCs/>
                <w:sz w:val="18"/>
                <w:szCs w:val="18"/>
                <w:lang w:val="nl-BE" w:eastAsia="nl-BE"/>
              </w:rPr>
              <w:t>17</w:t>
            </w:r>
            <w:r w:rsidRPr="003671D3">
              <w:rPr>
                <w:rFonts w:eastAsia="Times New Roman" w:cs="Times New Roman"/>
                <w:i/>
                <w:iCs/>
                <w:sz w:val="18"/>
                <w:szCs w:val="18"/>
                <w:lang w:val="nl-BE" w:eastAsia="nl-BE"/>
              </w:rPr>
              <w:t>-1.1</w:t>
            </w:r>
            <w:r>
              <w:rPr>
                <w:rFonts w:eastAsia="Times New Roman" w:cs="Times New Roman"/>
                <w:i/>
                <w:iCs/>
                <w:sz w:val="18"/>
                <w:szCs w:val="18"/>
                <w:lang w:val="nl-BE" w:eastAsia="nl-BE"/>
              </w:rPr>
              <w:t>6</w:t>
            </w:r>
            <w:r w:rsidRPr="003671D3">
              <w:rPr>
                <w:rFonts w:eastAsia="Times New Roman" w:cs="Times New Roman"/>
                <w:i/>
                <w:iCs/>
                <w:sz w:val="18"/>
                <w:szCs w:val="18"/>
                <w:lang w:val="nl-BE" w:eastAsia="nl-BE"/>
              </w:rPr>
              <w:t>)</w:t>
            </w:r>
          </w:p>
        </w:tc>
      </w:tr>
      <w:tr w:rsidR="00726F1B" w:rsidRPr="003671D3" w:rsidTr="00726F1B">
        <w:trPr>
          <w:trHeight w:val="300"/>
        </w:trPr>
        <w:tc>
          <w:tcPr>
            <w:tcW w:w="478" w:type="pct"/>
            <w:gridSpan w:val="2"/>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r w:rsidRPr="003671D3">
              <w:rPr>
                <w:rFonts w:eastAsia="Times New Roman" w:cs="Times New Roman"/>
                <w:i/>
                <w:iCs/>
                <w:sz w:val="18"/>
                <w:szCs w:val="18"/>
                <w:lang w:val="nl-BE" w:eastAsia="nl-BE"/>
              </w:rPr>
              <w:t>2020-2030</w:t>
            </w:r>
            <w:r>
              <w:rPr>
                <w:rFonts w:eastAsia="Times New Roman" w:cs="Times New Roman"/>
                <w:i/>
                <w:iCs/>
                <w:sz w:val="18"/>
                <w:szCs w:val="18"/>
                <w:lang w:val="nl-BE" w:eastAsia="nl-BE"/>
              </w:rPr>
              <w:t xml:space="preserve"> </w:t>
            </w:r>
            <w:r w:rsidRPr="00F4391B">
              <w:rPr>
                <w:rFonts w:cs="Times New Roman"/>
                <w:sz w:val="18"/>
                <w:szCs w:val="18"/>
              </w:rPr>
              <w:t>‡</w:t>
            </w:r>
          </w:p>
        </w:tc>
        <w:tc>
          <w:tcPr>
            <w:tcW w:w="16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w:t>
            </w:r>
          </w:p>
        </w:tc>
        <w:tc>
          <w:tcPr>
            <w:tcW w:w="195"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p>
        </w:tc>
        <w:tc>
          <w:tcPr>
            <w:tcW w:w="663"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r w:rsidRPr="003671D3">
              <w:rPr>
                <w:rFonts w:eastAsia="Times New Roman" w:cs="Times New Roman"/>
                <w:b/>
                <w:i/>
                <w:iCs/>
                <w:sz w:val="18"/>
                <w:szCs w:val="18"/>
                <w:lang w:val="nl-BE" w:eastAsia="nl-BE"/>
              </w:rPr>
              <w:t xml:space="preserve">0.59 </w:t>
            </w:r>
            <w:r w:rsidRPr="003671D3">
              <w:rPr>
                <w:rFonts w:eastAsia="Times New Roman" w:cs="Times New Roman"/>
                <w:i/>
                <w:iCs/>
                <w:sz w:val="18"/>
                <w:szCs w:val="18"/>
                <w:lang w:val="nl-BE" w:eastAsia="nl-BE"/>
              </w:rPr>
              <w:t>(0.24-0.93)</w:t>
            </w:r>
          </w:p>
        </w:tc>
        <w:tc>
          <w:tcPr>
            <w:tcW w:w="695"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r w:rsidRPr="003671D3">
              <w:rPr>
                <w:rFonts w:eastAsia="Times New Roman" w:cs="Times New Roman"/>
                <w:b/>
                <w:i/>
                <w:iCs/>
                <w:sz w:val="18"/>
                <w:szCs w:val="18"/>
                <w:lang w:val="nl-BE" w:eastAsia="nl-BE"/>
              </w:rPr>
              <w:t xml:space="preserve">0.12 </w:t>
            </w:r>
            <w:r w:rsidRPr="003671D3">
              <w:rPr>
                <w:rFonts w:eastAsia="Times New Roman" w:cs="Times New Roman"/>
                <w:i/>
                <w:iCs/>
                <w:sz w:val="18"/>
                <w:szCs w:val="18"/>
                <w:lang w:val="nl-BE" w:eastAsia="nl-BE"/>
              </w:rPr>
              <w:t>(-0.29-0.51)</w:t>
            </w:r>
          </w:p>
        </w:tc>
        <w:tc>
          <w:tcPr>
            <w:tcW w:w="656"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r w:rsidRPr="003671D3">
              <w:rPr>
                <w:rFonts w:eastAsia="Times New Roman" w:cs="Times New Roman"/>
                <w:b/>
                <w:i/>
                <w:iCs/>
                <w:sz w:val="18"/>
                <w:szCs w:val="18"/>
                <w:lang w:val="nl-BE" w:eastAsia="nl-BE"/>
              </w:rPr>
              <w:t>0.3</w:t>
            </w:r>
            <w:r w:rsidRPr="0096283A">
              <w:rPr>
                <w:rFonts w:eastAsia="Times New Roman" w:cs="Times New Roman"/>
                <w:b/>
                <w:i/>
                <w:iCs/>
                <w:sz w:val="18"/>
                <w:szCs w:val="18"/>
                <w:lang w:val="nl-BE" w:eastAsia="nl-BE"/>
              </w:rPr>
              <w:t>0</w:t>
            </w:r>
            <w:r w:rsidRPr="003671D3">
              <w:rPr>
                <w:rFonts w:eastAsia="Times New Roman" w:cs="Times New Roman"/>
                <w:b/>
                <w:i/>
                <w:iCs/>
                <w:sz w:val="18"/>
                <w:szCs w:val="18"/>
                <w:lang w:val="nl-BE" w:eastAsia="nl-BE"/>
              </w:rPr>
              <w:t xml:space="preserve"> </w:t>
            </w:r>
            <w:r w:rsidRPr="003671D3">
              <w:rPr>
                <w:rFonts w:eastAsia="Times New Roman" w:cs="Times New Roman"/>
                <w:i/>
                <w:iCs/>
                <w:sz w:val="18"/>
                <w:szCs w:val="18"/>
                <w:lang w:val="nl-BE" w:eastAsia="nl-BE"/>
              </w:rPr>
              <w:t>(-0.08-0.67)</w:t>
            </w:r>
          </w:p>
        </w:tc>
        <w:tc>
          <w:tcPr>
            <w:tcW w:w="52"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p>
        </w:tc>
        <w:tc>
          <w:tcPr>
            <w:tcW w:w="648"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r w:rsidRPr="003671D3">
              <w:rPr>
                <w:rFonts w:eastAsia="Times New Roman" w:cs="Times New Roman"/>
                <w:b/>
                <w:i/>
                <w:iCs/>
                <w:sz w:val="18"/>
                <w:szCs w:val="18"/>
                <w:lang w:val="nl-BE" w:eastAsia="nl-BE"/>
              </w:rPr>
              <w:t xml:space="preserve">0.31 </w:t>
            </w:r>
            <w:r w:rsidRPr="003671D3">
              <w:rPr>
                <w:rFonts w:eastAsia="Times New Roman" w:cs="Times New Roman"/>
                <w:i/>
                <w:iCs/>
                <w:sz w:val="18"/>
                <w:szCs w:val="18"/>
                <w:lang w:val="nl-BE" w:eastAsia="nl-BE"/>
              </w:rPr>
              <w:t>(0.13-0.49)</w:t>
            </w:r>
          </w:p>
        </w:tc>
        <w:tc>
          <w:tcPr>
            <w:tcW w:w="698"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r w:rsidRPr="003671D3">
              <w:rPr>
                <w:rFonts w:eastAsia="Times New Roman" w:cs="Times New Roman"/>
                <w:b/>
                <w:i/>
                <w:iCs/>
                <w:sz w:val="18"/>
                <w:szCs w:val="18"/>
                <w:lang w:val="nl-BE" w:eastAsia="nl-BE"/>
              </w:rPr>
              <w:t>0.12</w:t>
            </w:r>
            <w:r w:rsidRPr="003671D3">
              <w:rPr>
                <w:rFonts w:eastAsia="Times New Roman" w:cs="Times New Roman"/>
                <w:i/>
                <w:iCs/>
                <w:sz w:val="18"/>
                <w:szCs w:val="18"/>
                <w:lang w:val="nl-BE" w:eastAsia="nl-BE"/>
              </w:rPr>
              <w:t xml:space="preserve"> (-0.29-0.52)</w:t>
            </w:r>
          </w:p>
        </w:tc>
        <w:tc>
          <w:tcPr>
            <w:tcW w:w="697" w:type="pct"/>
            <w:tcBorders>
              <w:top w:val="nil"/>
              <w:left w:val="nil"/>
              <w:bottom w:val="nil"/>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r w:rsidRPr="003671D3">
              <w:rPr>
                <w:rFonts w:eastAsia="Times New Roman" w:cs="Times New Roman"/>
                <w:b/>
                <w:i/>
                <w:iCs/>
                <w:sz w:val="18"/>
                <w:szCs w:val="18"/>
                <w:lang w:val="nl-BE" w:eastAsia="nl-BE"/>
              </w:rPr>
              <w:t>0.47</w:t>
            </w:r>
            <w:r w:rsidRPr="003671D3">
              <w:rPr>
                <w:rFonts w:eastAsia="Times New Roman" w:cs="Times New Roman"/>
                <w:i/>
                <w:iCs/>
                <w:sz w:val="18"/>
                <w:szCs w:val="18"/>
                <w:lang w:val="nl-BE" w:eastAsia="nl-BE"/>
              </w:rPr>
              <w:t xml:space="preserve"> (-0.15-1.07)</w:t>
            </w:r>
          </w:p>
        </w:tc>
      </w:tr>
      <w:tr w:rsidR="00726F1B" w:rsidRPr="0096283A" w:rsidTr="00726F1B">
        <w:trPr>
          <w:trHeight w:val="300"/>
        </w:trPr>
        <w:tc>
          <w:tcPr>
            <w:tcW w:w="478" w:type="pct"/>
            <w:gridSpan w:val="2"/>
            <w:tcBorders>
              <w:top w:val="nil"/>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r w:rsidRPr="003671D3">
              <w:rPr>
                <w:rFonts w:eastAsia="Times New Roman" w:cs="Times New Roman"/>
                <w:i/>
                <w:iCs/>
                <w:sz w:val="18"/>
                <w:szCs w:val="18"/>
                <w:lang w:val="nl-BE" w:eastAsia="nl-BE"/>
              </w:rPr>
              <w:t>2030-2040</w:t>
            </w:r>
            <w:r>
              <w:rPr>
                <w:rFonts w:eastAsia="Times New Roman" w:cs="Times New Roman"/>
                <w:i/>
                <w:iCs/>
                <w:sz w:val="18"/>
                <w:szCs w:val="18"/>
                <w:lang w:val="nl-BE" w:eastAsia="nl-BE"/>
              </w:rPr>
              <w:t xml:space="preserve"> </w:t>
            </w:r>
            <w:r w:rsidRPr="00F4391B">
              <w:rPr>
                <w:rFonts w:cs="Times New Roman"/>
                <w:sz w:val="18"/>
                <w:szCs w:val="18"/>
              </w:rPr>
              <w:t>‡</w:t>
            </w:r>
          </w:p>
        </w:tc>
        <w:tc>
          <w:tcPr>
            <w:tcW w:w="166" w:type="pct"/>
            <w:tcBorders>
              <w:top w:val="nil"/>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w:t>
            </w:r>
          </w:p>
        </w:tc>
        <w:tc>
          <w:tcPr>
            <w:tcW w:w="195" w:type="pct"/>
            <w:tcBorders>
              <w:top w:val="nil"/>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sz w:val="18"/>
                <w:szCs w:val="18"/>
                <w:lang w:val="nl-BE" w:eastAsia="nl-BE"/>
              </w:rPr>
            </w:pPr>
            <w:r w:rsidRPr="003671D3">
              <w:rPr>
                <w:rFonts w:eastAsia="Times New Roman" w:cs="Times New Roman"/>
                <w:sz w:val="18"/>
                <w:szCs w:val="18"/>
                <w:lang w:val="nl-BE" w:eastAsia="nl-BE"/>
              </w:rPr>
              <w:t>-</w:t>
            </w:r>
          </w:p>
        </w:tc>
        <w:tc>
          <w:tcPr>
            <w:tcW w:w="52" w:type="pct"/>
            <w:tcBorders>
              <w:top w:val="nil"/>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p>
        </w:tc>
        <w:tc>
          <w:tcPr>
            <w:tcW w:w="663" w:type="pct"/>
            <w:tcBorders>
              <w:top w:val="nil"/>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val="nl-BE" w:eastAsia="nl-BE"/>
              </w:rPr>
            </w:pPr>
            <w:r w:rsidRPr="003671D3">
              <w:rPr>
                <w:rFonts w:eastAsia="Times New Roman" w:cs="Times New Roman"/>
                <w:b/>
                <w:i/>
                <w:iCs/>
                <w:sz w:val="18"/>
                <w:szCs w:val="18"/>
                <w:lang w:val="nl-BE" w:eastAsia="nl-BE"/>
              </w:rPr>
              <w:t xml:space="preserve">0.55 </w:t>
            </w:r>
            <w:r w:rsidRPr="003671D3">
              <w:rPr>
                <w:rFonts w:eastAsia="Times New Roman" w:cs="Times New Roman"/>
                <w:i/>
                <w:iCs/>
                <w:sz w:val="18"/>
                <w:szCs w:val="18"/>
                <w:lang w:val="nl-BE" w:eastAsia="nl-BE"/>
              </w:rPr>
              <w:t>(0.08-0.99)</w:t>
            </w:r>
          </w:p>
        </w:tc>
        <w:tc>
          <w:tcPr>
            <w:tcW w:w="695" w:type="pct"/>
            <w:tcBorders>
              <w:top w:val="nil"/>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eastAsia="nl-BE"/>
              </w:rPr>
            </w:pPr>
            <w:r w:rsidRPr="003671D3">
              <w:rPr>
                <w:rFonts w:eastAsia="Times New Roman" w:cs="Times New Roman"/>
                <w:b/>
                <w:i/>
                <w:iCs/>
                <w:sz w:val="18"/>
                <w:szCs w:val="18"/>
                <w:lang w:eastAsia="nl-BE"/>
              </w:rPr>
              <w:t>0</w:t>
            </w:r>
            <w:r w:rsidRPr="0096283A">
              <w:rPr>
                <w:rFonts w:eastAsia="Times New Roman" w:cs="Times New Roman"/>
                <w:b/>
                <w:i/>
                <w:iCs/>
                <w:sz w:val="18"/>
                <w:szCs w:val="18"/>
                <w:lang w:eastAsia="nl-BE"/>
              </w:rPr>
              <w:t>.00</w:t>
            </w:r>
            <w:r w:rsidRPr="003671D3">
              <w:rPr>
                <w:rFonts w:eastAsia="Times New Roman" w:cs="Times New Roman"/>
                <w:b/>
                <w:i/>
                <w:iCs/>
                <w:sz w:val="18"/>
                <w:szCs w:val="18"/>
                <w:lang w:eastAsia="nl-BE"/>
              </w:rPr>
              <w:t xml:space="preserve"> </w:t>
            </w:r>
            <w:r w:rsidRPr="003671D3">
              <w:rPr>
                <w:rFonts w:eastAsia="Times New Roman" w:cs="Times New Roman"/>
                <w:i/>
                <w:iCs/>
                <w:sz w:val="18"/>
                <w:szCs w:val="18"/>
                <w:lang w:eastAsia="nl-BE"/>
              </w:rPr>
              <w:t>(-0.54-0.49)</w:t>
            </w:r>
          </w:p>
        </w:tc>
        <w:tc>
          <w:tcPr>
            <w:tcW w:w="656" w:type="pct"/>
            <w:tcBorders>
              <w:top w:val="nil"/>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eastAsia="nl-BE"/>
              </w:rPr>
            </w:pPr>
            <w:r w:rsidRPr="003671D3">
              <w:rPr>
                <w:rFonts w:eastAsia="Times New Roman" w:cs="Times New Roman"/>
                <w:b/>
                <w:i/>
                <w:iCs/>
                <w:sz w:val="18"/>
                <w:szCs w:val="18"/>
                <w:lang w:eastAsia="nl-BE"/>
              </w:rPr>
              <w:t xml:space="preserve">0.21 </w:t>
            </w:r>
            <w:r w:rsidRPr="003671D3">
              <w:rPr>
                <w:rFonts w:eastAsia="Times New Roman" w:cs="Times New Roman"/>
                <w:i/>
                <w:iCs/>
                <w:sz w:val="18"/>
                <w:szCs w:val="18"/>
                <w:lang w:eastAsia="nl-BE"/>
              </w:rPr>
              <w:t>(-0.29-0.67)</w:t>
            </w:r>
          </w:p>
        </w:tc>
        <w:tc>
          <w:tcPr>
            <w:tcW w:w="52" w:type="pct"/>
            <w:tcBorders>
              <w:top w:val="nil"/>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eastAsia="nl-BE"/>
              </w:rPr>
            </w:pPr>
          </w:p>
        </w:tc>
        <w:tc>
          <w:tcPr>
            <w:tcW w:w="648" w:type="pct"/>
            <w:tcBorders>
              <w:top w:val="nil"/>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eastAsia="nl-BE"/>
              </w:rPr>
            </w:pPr>
            <w:r w:rsidRPr="003671D3">
              <w:rPr>
                <w:rFonts w:eastAsia="Times New Roman" w:cs="Times New Roman"/>
                <w:b/>
                <w:i/>
                <w:iCs/>
                <w:sz w:val="18"/>
                <w:szCs w:val="18"/>
                <w:lang w:eastAsia="nl-BE"/>
              </w:rPr>
              <w:t xml:space="preserve">0.26 </w:t>
            </w:r>
            <w:r w:rsidRPr="003671D3">
              <w:rPr>
                <w:rFonts w:eastAsia="Times New Roman" w:cs="Times New Roman"/>
                <w:i/>
                <w:iCs/>
                <w:sz w:val="18"/>
                <w:szCs w:val="18"/>
                <w:lang w:eastAsia="nl-BE"/>
              </w:rPr>
              <w:t>(0.04-0.47)</w:t>
            </w:r>
          </w:p>
        </w:tc>
        <w:tc>
          <w:tcPr>
            <w:tcW w:w="698" w:type="pct"/>
            <w:tcBorders>
              <w:top w:val="nil"/>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eastAsia="nl-BE"/>
              </w:rPr>
            </w:pPr>
            <w:r w:rsidRPr="003671D3">
              <w:rPr>
                <w:rFonts w:eastAsia="Times New Roman" w:cs="Times New Roman"/>
                <w:b/>
                <w:i/>
                <w:iCs/>
                <w:sz w:val="18"/>
                <w:szCs w:val="18"/>
                <w:lang w:eastAsia="nl-BE"/>
              </w:rPr>
              <w:t>0</w:t>
            </w:r>
            <w:r w:rsidRPr="0096283A">
              <w:rPr>
                <w:rFonts w:eastAsia="Times New Roman" w:cs="Times New Roman"/>
                <w:b/>
                <w:i/>
                <w:iCs/>
                <w:sz w:val="18"/>
                <w:szCs w:val="18"/>
                <w:lang w:eastAsia="nl-BE"/>
              </w:rPr>
              <w:t>.00</w:t>
            </w:r>
            <w:r w:rsidRPr="003671D3">
              <w:rPr>
                <w:rFonts w:eastAsia="Times New Roman" w:cs="Times New Roman"/>
                <w:i/>
                <w:iCs/>
                <w:sz w:val="18"/>
                <w:szCs w:val="18"/>
                <w:lang w:eastAsia="nl-BE"/>
              </w:rPr>
              <w:t xml:space="preserve"> (-0.5</w:t>
            </w:r>
            <w:r>
              <w:rPr>
                <w:rFonts w:eastAsia="Times New Roman" w:cs="Times New Roman"/>
                <w:i/>
                <w:iCs/>
                <w:sz w:val="18"/>
                <w:szCs w:val="18"/>
                <w:lang w:eastAsia="nl-BE"/>
              </w:rPr>
              <w:t>0</w:t>
            </w:r>
            <w:r w:rsidRPr="003671D3">
              <w:rPr>
                <w:rFonts w:eastAsia="Times New Roman" w:cs="Times New Roman"/>
                <w:i/>
                <w:iCs/>
                <w:sz w:val="18"/>
                <w:szCs w:val="18"/>
                <w:lang w:eastAsia="nl-BE"/>
              </w:rPr>
              <w:t>-0.46)</w:t>
            </w:r>
          </w:p>
        </w:tc>
        <w:tc>
          <w:tcPr>
            <w:tcW w:w="697" w:type="pct"/>
            <w:tcBorders>
              <w:top w:val="nil"/>
              <w:left w:val="nil"/>
              <w:bottom w:val="single" w:sz="4" w:space="0" w:color="auto"/>
              <w:right w:val="nil"/>
            </w:tcBorders>
            <w:shd w:val="clear" w:color="auto" w:fill="auto"/>
            <w:noWrap/>
            <w:vAlign w:val="bottom"/>
            <w:hideMark/>
          </w:tcPr>
          <w:p w:rsidR="00726F1B" w:rsidRPr="003671D3" w:rsidRDefault="00726F1B" w:rsidP="00726F1B">
            <w:pPr>
              <w:jc w:val="center"/>
              <w:rPr>
                <w:rFonts w:eastAsia="Times New Roman" w:cs="Times New Roman"/>
                <w:i/>
                <w:iCs/>
                <w:sz w:val="18"/>
                <w:szCs w:val="18"/>
                <w:lang w:eastAsia="nl-BE"/>
              </w:rPr>
            </w:pPr>
            <w:r w:rsidRPr="003671D3">
              <w:rPr>
                <w:rFonts w:eastAsia="Times New Roman" w:cs="Times New Roman"/>
                <w:b/>
                <w:i/>
                <w:iCs/>
                <w:sz w:val="18"/>
                <w:szCs w:val="18"/>
                <w:lang w:eastAsia="nl-BE"/>
              </w:rPr>
              <w:t>0.29</w:t>
            </w:r>
            <w:r w:rsidRPr="003671D3">
              <w:rPr>
                <w:rFonts w:eastAsia="Times New Roman" w:cs="Times New Roman"/>
                <w:i/>
                <w:iCs/>
                <w:sz w:val="18"/>
                <w:szCs w:val="18"/>
                <w:lang w:eastAsia="nl-BE"/>
              </w:rPr>
              <w:t xml:space="preserve"> (-0.46-0.97)</w:t>
            </w:r>
          </w:p>
        </w:tc>
      </w:tr>
    </w:tbl>
    <w:p w:rsidR="00726F1B" w:rsidRPr="00595C09" w:rsidRDefault="00726F1B" w:rsidP="00726F1B">
      <w:pPr>
        <w:spacing w:line="360" w:lineRule="auto"/>
        <w:rPr>
          <w:sz w:val="24"/>
          <w:szCs w:val="24"/>
        </w:rPr>
      </w:pPr>
      <w:r w:rsidRPr="00214FCD">
        <w:rPr>
          <w:sz w:val="24"/>
          <w:szCs w:val="24"/>
        </w:rPr>
        <w:t>* Total</w:t>
      </w:r>
      <w:r w:rsidRPr="00595C09">
        <w:rPr>
          <w:sz w:val="24"/>
          <w:szCs w:val="24"/>
        </w:rPr>
        <w:t xml:space="preserve"> Continental C sink is the per unit area aboveground C sink multiplied by intact forest area</w:t>
      </w:r>
      <w:r>
        <w:rPr>
          <w:sz w:val="24"/>
          <w:szCs w:val="24"/>
        </w:rPr>
        <w:t xml:space="preserve"> </w:t>
      </w:r>
      <w:r w:rsidRPr="00595C09">
        <w:rPr>
          <w:sz w:val="24"/>
          <w:szCs w:val="24"/>
        </w:rPr>
        <w:t>for 1990</w:t>
      </w:r>
      <w:r>
        <w:rPr>
          <w:sz w:val="24"/>
          <w:szCs w:val="24"/>
        </w:rPr>
        <w:t>-</w:t>
      </w:r>
      <w:r w:rsidRPr="00595C09">
        <w:rPr>
          <w:sz w:val="24"/>
          <w:szCs w:val="24"/>
        </w:rPr>
        <w:t>2010</w:t>
      </w:r>
      <w:r>
        <w:rPr>
          <w:sz w:val="24"/>
          <w:szCs w:val="24"/>
        </w:rPr>
        <w:t xml:space="preserve"> (</w:t>
      </w:r>
      <w:r w:rsidRPr="00595C09">
        <w:rPr>
          <w:sz w:val="24"/>
          <w:szCs w:val="24"/>
        </w:rPr>
        <w:t xml:space="preserve">from </w:t>
      </w:r>
      <w:r w:rsidRPr="00E72ECB">
        <w:rPr>
          <w:sz w:val="24"/>
          <w:szCs w:val="24"/>
        </w:rPr>
        <w:t>ref</w:t>
      </w:r>
      <w:r w:rsidRPr="00E72ECB">
        <w:rPr>
          <w:rFonts w:cs="Times New Roman"/>
          <w:sz w:val="24"/>
          <w:szCs w:val="24"/>
        </w:rPr>
        <w:t>.</w:t>
      </w:r>
      <w:r w:rsidRPr="00D172EE">
        <w:rPr>
          <w:rFonts w:cs="Times New Roman"/>
          <w:noProof/>
          <w:sz w:val="24"/>
          <w:szCs w:val="24"/>
          <w:vertAlign w:val="superscript"/>
        </w:rPr>
        <w:t>1</w:t>
      </w:r>
      <w:r>
        <w:rPr>
          <w:sz w:val="24"/>
          <w:szCs w:val="24"/>
        </w:rPr>
        <w:t xml:space="preserve">, see Extended Data Table 2) and continent specific extrapolations to 2040. </w:t>
      </w:r>
      <w:r w:rsidRPr="00595C09">
        <w:rPr>
          <w:sz w:val="24"/>
          <w:szCs w:val="24"/>
        </w:rPr>
        <w:t xml:space="preserve">Total Continental C sink includes </w:t>
      </w:r>
      <w:r>
        <w:rPr>
          <w:sz w:val="24"/>
          <w:szCs w:val="24"/>
        </w:rPr>
        <w:t xml:space="preserve">continent-specific </w:t>
      </w:r>
      <w:r w:rsidRPr="00595C09">
        <w:rPr>
          <w:sz w:val="24"/>
          <w:szCs w:val="24"/>
        </w:rPr>
        <w:t>estimates of trees</w:t>
      </w:r>
      <w:r>
        <w:rPr>
          <w:sz w:val="24"/>
          <w:szCs w:val="24"/>
        </w:rPr>
        <w:t xml:space="preserve"> &lt;100 mm DBH, lianas and roots (see Methods).</w:t>
      </w:r>
    </w:p>
    <w:p w:rsidR="00726F1B" w:rsidRPr="00595C09" w:rsidRDefault="00726F1B" w:rsidP="00726F1B">
      <w:pPr>
        <w:spacing w:line="360" w:lineRule="auto"/>
        <w:rPr>
          <w:sz w:val="24"/>
          <w:szCs w:val="24"/>
        </w:rPr>
      </w:pPr>
      <w:r>
        <w:rPr>
          <w:sz w:val="24"/>
          <w:szCs w:val="24"/>
        </w:rPr>
        <w:t xml:space="preserve">† Pan-tropical aboveground live biomass C sink is the area-weighted mean of African, Amazonian and Southeast Asian sink values. </w:t>
      </w:r>
      <w:r w:rsidRPr="00595C09">
        <w:rPr>
          <w:sz w:val="24"/>
          <w:szCs w:val="24"/>
        </w:rPr>
        <w:t xml:space="preserve">Southeast Asian values were </w:t>
      </w:r>
      <w:r>
        <w:rPr>
          <w:sz w:val="24"/>
          <w:szCs w:val="24"/>
        </w:rPr>
        <w:t xml:space="preserve">from </w:t>
      </w:r>
      <w:r w:rsidRPr="00595C09">
        <w:rPr>
          <w:sz w:val="24"/>
          <w:szCs w:val="24"/>
        </w:rPr>
        <w:t>published per unit area carbon sink data</w:t>
      </w:r>
      <w:r w:rsidRPr="005A2EB8">
        <w:rPr>
          <w:noProof/>
          <w:sz w:val="24"/>
          <w:szCs w:val="24"/>
          <w:vertAlign w:val="superscript"/>
        </w:rPr>
        <w:t>15</w:t>
      </w:r>
      <w:r w:rsidRPr="00595C09">
        <w:rPr>
          <w:sz w:val="24"/>
          <w:szCs w:val="24"/>
        </w:rPr>
        <w:t xml:space="preserve"> (n=49 plots) for 1990-2015, with 1980-1990 assumed to be the same as 1990-2000 due very low sample sizes. </w:t>
      </w:r>
      <w:r>
        <w:rPr>
          <w:sz w:val="24"/>
          <w:szCs w:val="24"/>
        </w:rPr>
        <w:t>Pan-tropical total C</w:t>
      </w:r>
      <w:r w:rsidRPr="00595C09">
        <w:rPr>
          <w:sz w:val="24"/>
          <w:szCs w:val="24"/>
        </w:rPr>
        <w:t xml:space="preserve"> sink is the sum of African, Amazonian and Southeast Asian total</w:t>
      </w:r>
      <w:r>
        <w:rPr>
          <w:sz w:val="24"/>
          <w:szCs w:val="24"/>
        </w:rPr>
        <w:t xml:space="preserve"> continental carbon sink values. </w:t>
      </w:r>
      <w:r w:rsidRPr="00595C09">
        <w:rPr>
          <w:sz w:val="24"/>
          <w:szCs w:val="24"/>
        </w:rPr>
        <w:t xml:space="preserve">The </w:t>
      </w:r>
      <w:r>
        <w:rPr>
          <w:sz w:val="24"/>
          <w:szCs w:val="24"/>
        </w:rPr>
        <w:t xml:space="preserve">continental </w:t>
      </w:r>
      <w:r w:rsidRPr="00595C09">
        <w:rPr>
          <w:sz w:val="24"/>
          <w:szCs w:val="24"/>
        </w:rPr>
        <w:t xml:space="preserve">sink in Southeast Asia </w:t>
      </w:r>
      <w:r>
        <w:rPr>
          <w:sz w:val="24"/>
          <w:szCs w:val="24"/>
        </w:rPr>
        <w:t>is</w:t>
      </w:r>
      <w:r w:rsidRPr="00595C09">
        <w:rPr>
          <w:sz w:val="24"/>
          <w:szCs w:val="24"/>
        </w:rPr>
        <w:t xml:space="preserve"> a modest and declining contribution to the pan-tropical sink</w:t>
      </w:r>
      <w:r>
        <w:rPr>
          <w:sz w:val="24"/>
          <w:szCs w:val="24"/>
        </w:rPr>
        <w:t>, due to the very small area of intact forest remaining</w:t>
      </w:r>
      <w:r w:rsidRPr="00595C09">
        <w:rPr>
          <w:sz w:val="24"/>
          <w:szCs w:val="24"/>
        </w:rPr>
        <w:t>, at 0.1</w:t>
      </w:r>
      <w:r>
        <w:rPr>
          <w:sz w:val="24"/>
          <w:szCs w:val="24"/>
        </w:rPr>
        <w:t>1</w:t>
      </w:r>
      <w:r w:rsidRPr="00595C09">
        <w:rPr>
          <w:sz w:val="24"/>
          <w:szCs w:val="24"/>
        </w:rPr>
        <w:t>, 0.0</w:t>
      </w:r>
      <w:r>
        <w:rPr>
          <w:sz w:val="24"/>
          <w:szCs w:val="24"/>
        </w:rPr>
        <w:t>8, 0.07</w:t>
      </w:r>
      <w:r w:rsidRPr="00595C09">
        <w:rPr>
          <w:sz w:val="24"/>
          <w:szCs w:val="24"/>
        </w:rPr>
        <w:t xml:space="preserve"> and 0.0</w:t>
      </w:r>
      <w:r>
        <w:rPr>
          <w:sz w:val="24"/>
          <w:szCs w:val="24"/>
        </w:rPr>
        <w:t>6</w:t>
      </w:r>
      <w:r w:rsidRPr="00595C09">
        <w:rPr>
          <w:sz w:val="24"/>
          <w:szCs w:val="24"/>
        </w:rPr>
        <w:t xml:space="preserve"> Pg C yr</w:t>
      </w:r>
      <w:r w:rsidRPr="00595C09">
        <w:rPr>
          <w:sz w:val="24"/>
          <w:szCs w:val="24"/>
          <w:vertAlign w:val="superscript"/>
        </w:rPr>
        <w:t>-1</w:t>
      </w:r>
      <w:r w:rsidRPr="00595C09">
        <w:rPr>
          <w:sz w:val="24"/>
          <w:szCs w:val="24"/>
        </w:rPr>
        <w:t xml:space="preserve"> in the 1980s, 1990s, </w:t>
      </w:r>
      <w:r>
        <w:rPr>
          <w:sz w:val="24"/>
          <w:szCs w:val="24"/>
        </w:rPr>
        <w:t xml:space="preserve">2000s </w:t>
      </w:r>
      <w:r w:rsidRPr="00595C09">
        <w:rPr>
          <w:sz w:val="24"/>
          <w:szCs w:val="24"/>
        </w:rPr>
        <w:t>and 20</w:t>
      </w:r>
      <w:r>
        <w:rPr>
          <w:sz w:val="24"/>
          <w:szCs w:val="24"/>
        </w:rPr>
        <w:t>1</w:t>
      </w:r>
      <w:r w:rsidRPr="00595C09">
        <w:rPr>
          <w:sz w:val="24"/>
          <w:szCs w:val="24"/>
        </w:rPr>
        <w:t>0s</w:t>
      </w:r>
      <w:r>
        <w:rPr>
          <w:sz w:val="24"/>
          <w:szCs w:val="24"/>
        </w:rPr>
        <w:t xml:space="preserve">, hence uncertainty in the Southeast Asian sink cannot reverse the pan-tropical declining sink trend. </w:t>
      </w:r>
    </w:p>
    <w:p w:rsidR="00726F1B" w:rsidRPr="00595C09" w:rsidRDefault="00726F1B" w:rsidP="00726F1B">
      <w:pPr>
        <w:spacing w:line="360" w:lineRule="auto"/>
        <w:rPr>
          <w:rFonts w:cs="Times New Roman"/>
          <w:color w:val="000000"/>
          <w:sz w:val="24"/>
          <w:szCs w:val="24"/>
        </w:rPr>
      </w:pPr>
      <w:r w:rsidRPr="00595C09">
        <w:rPr>
          <w:sz w:val="24"/>
          <w:szCs w:val="24"/>
        </w:rPr>
        <w:t xml:space="preserve">‡ </w:t>
      </w:r>
      <w:r w:rsidRPr="005A7865">
        <w:rPr>
          <w:rFonts w:cs="Times New Roman"/>
          <w:color w:val="000000"/>
          <w:sz w:val="24"/>
          <w:szCs w:val="24"/>
        </w:rPr>
        <w:t>Per unit area total C sink for 2010-2020, 2020-2030 and 2030-2040 was predicted using parameters from Table 2, except for the 2010-2020 sink in Africa which is the mean of the measured sink from 2010-2015 and the modelled sink from 2015-2020. For the Asian sink we assumed the parameters as for Africa, as Asian forest median CRT is 61 years, close to African median, 63 years.</w:t>
      </w:r>
    </w:p>
    <w:p w:rsidR="00726F1B" w:rsidRDefault="00726F1B" w:rsidP="00726F1B">
      <w:pPr>
        <w:rPr>
          <w:rFonts w:cs="Times New Roman"/>
          <w:b/>
          <w:sz w:val="24"/>
          <w:szCs w:val="24"/>
        </w:rPr>
      </w:pPr>
    </w:p>
    <w:p w:rsidR="00726F1B" w:rsidRDefault="00726F1B" w:rsidP="00726F1B">
      <w:pPr>
        <w:spacing w:line="360" w:lineRule="auto"/>
        <w:rPr>
          <w:rFonts w:cs="Times New Roman"/>
          <w:sz w:val="24"/>
          <w:szCs w:val="24"/>
        </w:rPr>
      </w:pPr>
      <w:r w:rsidRPr="00C0388B">
        <w:rPr>
          <w:rFonts w:cs="Times New Roman"/>
          <w:b/>
          <w:sz w:val="24"/>
          <w:szCs w:val="24"/>
        </w:rPr>
        <w:lastRenderedPageBreak/>
        <w:t xml:space="preserve">Table 2. Minimum adequate models to predict carbon gains and losses in African and Amazonian tropical forests. </w:t>
      </w:r>
      <w:r>
        <w:rPr>
          <w:rFonts w:cs="Times New Roman"/>
          <w:b/>
          <w:sz w:val="24"/>
          <w:szCs w:val="24"/>
        </w:rPr>
        <w:t xml:space="preserve">These are the best ranked gains and loss models. </w:t>
      </w:r>
      <w:r w:rsidRPr="00C0388B">
        <w:rPr>
          <w:rFonts w:cs="Times New Roman"/>
          <w:sz w:val="24"/>
          <w:szCs w:val="24"/>
        </w:rPr>
        <w:t xml:space="preserve">Where continental values differ, those for Africa are reported first, </w:t>
      </w:r>
      <w:r w:rsidRPr="00595C09">
        <w:rPr>
          <w:rFonts w:cs="Times New Roman"/>
          <w:sz w:val="24"/>
          <w:szCs w:val="24"/>
        </w:rPr>
        <w:t>followed by Amazonian values.</w:t>
      </w:r>
    </w:p>
    <w:tbl>
      <w:tblPr>
        <w:tblW w:w="5000" w:type="pct"/>
        <w:tblCellMar>
          <w:left w:w="28" w:type="dxa"/>
          <w:right w:w="28" w:type="dxa"/>
        </w:tblCellMar>
        <w:tblLook w:val="04A0" w:firstRow="1" w:lastRow="0" w:firstColumn="1" w:lastColumn="0" w:noHBand="0" w:noVBand="1"/>
      </w:tblPr>
      <w:tblGrid>
        <w:gridCol w:w="2256"/>
        <w:gridCol w:w="155"/>
        <w:gridCol w:w="1347"/>
        <w:gridCol w:w="1201"/>
        <w:gridCol w:w="907"/>
        <w:gridCol w:w="1325"/>
        <w:gridCol w:w="2611"/>
      </w:tblGrid>
      <w:tr w:rsidR="00726F1B" w:rsidRPr="0081020A" w:rsidTr="00726F1B">
        <w:trPr>
          <w:trHeight w:val="285"/>
        </w:trPr>
        <w:tc>
          <w:tcPr>
            <w:tcW w:w="5000" w:type="pct"/>
            <w:gridSpan w:val="7"/>
            <w:tcBorders>
              <w:top w:val="single" w:sz="4" w:space="0" w:color="auto"/>
              <w:left w:val="nil"/>
              <w:bottom w:val="single" w:sz="4" w:space="0" w:color="auto"/>
              <w:right w:val="nil"/>
            </w:tcBorders>
            <w:shd w:val="clear" w:color="000000" w:fill="BFBFBF"/>
            <w:noWrap/>
            <w:vAlign w:val="bottom"/>
            <w:hideMark/>
          </w:tcPr>
          <w:p w:rsidR="00726F1B" w:rsidRPr="0081020A" w:rsidRDefault="00726F1B" w:rsidP="00726F1B">
            <w:pPr>
              <w:spacing w:line="360" w:lineRule="auto"/>
              <w:jc w:val="center"/>
              <w:rPr>
                <w:rFonts w:eastAsia="Times New Roman" w:cs="Times New Roman"/>
                <w:b/>
                <w:bCs/>
                <w:color w:val="000000"/>
                <w:lang w:val="nl-BE" w:eastAsia="nl-BE"/>
              </w:rPr>
            </w:pPr>
            <w:r w:rsidRPr="0081020A">
              <w:rPr>
                <w:rFonts w:eastAsia="Times New Roman" w:cs="Times New Roman"/>
                <w:b/>
                <w:bCs/>
                <w:color w:val="000000"/>
                <w:lang w:val="nl-BE" w:eastAsia="nl-BE"/>
              </w:rPr>
              <w:t>Carbon gains, Mg C ha</w:t>
            </w:r>
            <w:r w:rsidRPr="00C40B16">
              <w:rPr>
                <w:rFonts w:eastAsia="Times New Roman" w:cs="Times New Roman"/>
                <w:b/>
                <w:bCs/>
                <w:color w:val="000000"/>
                <w:vertAlign w:val="superscript"/>
                <w:lang w:val="nl-BE" w:eastAsia="nl-BE"/>
              </w:rPr>
              <w:t>-1</w:t>
            </w:r>
            <w:r w:rsidRPr="0081020A">
              <w:rPr>
                <w:rFonts w:eastAsia="Times New Roman" w:cs="Times New Roman"/>
                <w:b/>
                <w:bCs/>
                <w:color w:val="000000"/>
                <w:lang w:val="nl-BE" w:eastAsia="nl-BE"/>
              </w:rPr>
              <w:t xml:space="preserve"> yr</w:t>
            </w:r>
            <w:r w:rsidRPr="00C40B16">
              <w:rPr>
                <w:rFonts w:eastAsia="Times New Roman" w:cs="Times New Roman"/>
                <w:b/>
                <w:bCs/>
                <w:color w:val="000000"/>
                <w:vertAlign w:val="superscript"/>
                <w:lang w:val="nl-BE" w:eastAsia="nl-BE"/>
              </w:rPr>
              <w:t>-1</w:t>
            </w:r>
          </w:p>
        </w:tc>
      </w:tr>
      <w:tr w:rsidR="00726F1B" w:rsidRPr="0081020A" w:rsidTr="00726F1B">
        <w:trPr>
          <w:trHeight w:val="870"/>
        </w:trPr>
        <w:tc>
          <w:tcPr>
            <w:tcW w:w="1045" w:type="pct"/>
            <w:tcBorders>
              <w:top w:val="nil"/>
              <w:left w:val="nil"/>
              <w:bottom w:val="single" w:sz="4" w:space="0" w:color="auto"/>
              <w:right w:val="nil"/>
            </w:tcBorders>
            <w:shd w:val="clear" w:color="auto" w:fill="auto"/>
            <w:hideMark/>
          </w:tcPr>
          <w:p w:rsidR="00726F1B" w:rsidRPr="0081020A" w:rsidRDefault="00726F1B" w:rsidP="00726F1B">
            <w:pPr>
              <w:spacing w:line="360" w:lineRule="auto"/>
              <w:jc w:val="left"/>
              <w:rPr>
                <w:rFonts w:eastAsia="Times New Roman" w:cs="Times New Roman"/>
                <w:b/>
                <w:bCs/>
                <w:color w:val="000000"/>
                <w:lang w:val="nl-BE" w:eastAsia="nl-BE"/>
              </w:rPr>
            </w:pPr>
            <w:r w:rsidRPr="0081020A">
              <w:rPr>
                <w:rFonts w:eastAsia="Times New Roman" w:cs="Times New Roman"/>
                <w:b/>
                <w:bCs/>
                <w:color w:val="000000"/>
                <w:lang w:val="nl-BE" w:eastAsia="nl-BE"/>
              </w:rPr>
              <w:t>Predictor variable</w:t>
            </w:r>
          </w:p>
        </w:tc>
        <w:tc>
          <w:tcPr>
            <w:tcW w:w="97" w:type="pct"/>
            <w:tcBorders>
              <w:top w:val="nil"/>
              <w:left w:val="nil"/>
              <w:bottom w:val="nil"/>
              <w:right w:val="nil"/>
            </w:tcBorders>
            <w:shd w:val="clear" w:color="auto" w:fill="auto"/>
            <w:hideMark/>
          </w:tcPr>
          <w:p w:rsidR="00726F1B" w:rsidRPr="0081020A" w:rsidRDefault="00726F1B" w:rsidP="00726F1B">
            <w:pPr>
              <w:spacing w:line="360" w:lineRule="auto"/>
              <w:jc w:val="left"/>
              <w:rPr>
                <w:rFonts w:eastAsia="Times New Roman" w:cs="Times New Roman"/>
                <w:b/>
                <w:bCs/>
                <w:color w:val="000000"/>
                <w:lang w:val="nl-BE" w:eastAsia="nl-BE"/>
              </w:rPr>
            </w:pPr>
          </w:p>
        </w:tc>
        <w:tc>
          <w:tcPr>
            <w:tcW w:w="693" w:type="pct"/>
            <w:tcBorders>
              <w:top w:val="nil"/>
              <w:left w:val="nil"/>
              <w:bottom w:val="single" w:sz="4" w:space="0" w:color="auto"/>
              <w:right w:val="nil"/>
            </w:tcBorders>
            <w:shd w:val="clear" w:color="auto" w:fill="auto"/>
            <w:hideMark/>
          </w:tcPr>
          <w:p w:rsidR="00726F1B" w:rsidRPr="0081020A" w:rsidRDefault="00726F1B" w:rsidP="00726F1B">
            <w:pPr>
              <w:spacing w:line="360" w:lineRule="auto"/>
              <w:jc w:val="left"/>
              <w:rPr>
                <w:rFonts w:eastAsia="Times New Roman" w:cs="Times New Roman"/>
                <w:b/>
                <w:bCs/>
                <w:color w:val="000000"/>
                <w:lang w:val="nl-BE" w:eastAsia="nl-BE"/>
              </w:rPr>
            </w:pPr>
            <w:r w:rsidRPr="0081020A">
              <w:rPr>
                <w:rFonts w:eastAsia="Times New Roman" w:cs="Times New Roman"/>
                <w:b/>
                <w:bCs/>
                <w:color w:val="000000"/>
                <w:lang w:val="nl-BE" w:eastAsia="nl-BE"/>
              </w:rPr>
              <w:t>Parameter value</w:t>
            </w:r>
          </w:p>
        </w:tc>
        <w:tc>
          <w:tcPr>
            <w:tcW w:w="623" w:type="pct"/>
            <w:tcBorders>
              <w:top w:val="nil"/>
              <w:left w:val="nil"/>
              <w:bottom w:val="single" w:sz="4" w:space="0" w:color="auto"/>
              <w:right w:val="nil"/>
            </w:tcBorders>
            <w:shd w:val="clear" w:color="auto" w:fill="auto"/>
            <w:hideMark/>
          </w:tcPr>
          <w:p w:rsidR="00726F1B" w:rsidRPr="0081020A" w:rsidRDefault="00726F1B" w:rsidP="00726F1B">
            <w:pPr>
              <w:spacing w:line="360" w:lineRule="auto"/>
              <w:jc w:val="left"/>
              <w:rPr>
                <w:rFonts w:eastAsia="Times New Roman" w:cs="Times New Roman"/>
                <w:b/>
                <w:bCs/>
                <w:color w:val="000000"/>
                <w:lang w:val="nl-BE" w:eastAsia="nl-BE"/>
              </w:rPr>
            </w:pPr>
            <w:r w:rsidRPr="0081020A">
              <w:rPr>
                <w:rFonts w:eastAsia="Times New Roman" w:cs="Times New Roman"/>
                <w:b/>
                <w:bCs/>
                <w:color w:val="000000"/>
                <w:lang w:val="nl-BE" w:eastAsia="nl-BE"/>
              </w:rPr>
              <w:t>Standard</w:t>
            </w:r>
            <w:r w:rsidRPr="0081020A">
              <w:rPr>
                <w:rFonts w:eastAsia="Times New Roman" w:cs="Times New Roman"/>
                <w:b/>
                <w:bCs/>
                <w:color w:val="000000"/>
                <w:lang w:val="nl-BE" w:eastAsia="nl-BE"/>
              </w:rPr>
              <w:br/>
              <w:t>Error</w:t>
            </w:r>
          </w:p>
        </w:tc>
        <w:tc>
          <w:tcPr>
            <w:tcW w:w="481" w:type="pct"/>
            <w:tcBorders>
              <w:top w:val="nil"/>
              <w:left w:val="nil"/>
              <w:bottom w:val="single" w:sz="4" w:space="0" w:color="auto"/>
              <w:right w:val="nil"/>
            </w:tcBorders>
            <w:shd w:val="clear" w:color="auto" w:fill="auto"/>
            <w:hideMark/>
          </w:tcPr>
          <w:p w:rsidR="00726F1B" w:rsidRPr="0081020A" w:rsidRDefault="00726F1B" w:rsidP="00726F1B">
            <w:pPr>
              <w:spacing w:line="360" w:lineRule="auto"/>
              <w:jc w:val="left"/>
              <w:rPr>
                <w:rFonts w:eastAsia="Times New Roman" w:cs="Times New Roman"/>
                <w:b/>
                <w:bCs/>
                <w:color w:val="000000"/>
                <w:lang w:val="nl-BE" w:eastAsia="nl-BE"/>
              </w:rPr>
            </w:pPr>
            <w:r w:rsidRPr="0081020A">
              <w:rPr>
                <w:rFonts w:eastAsia="Times New Roman" w:cs="Times New Roman"/>
                <w:b/>
                <w:bCs/>
                <w:color w:val="000000"/>
                <w:lang w:val="nl-BE" w:eastAsia="nl-BE"/>
              </w:rPr>
              <w:t>t-value</w:t>
            </w:r>
          </w:p>
        </w:tc>
        <w:tc>
          <w:tcPr>
            <w:tcW w:w="683" w:type="pct"/>
            <w:tcBorders>
              <w:top w:val="nil"/>
              <w:left w:val="nil"/>
              <w:bottom w:val="single" w:sz="4" w:space="0" w:color="auto"/>
              <w:right w:val="nil"/>
            </w:tcBorders>
            <w:shd w:val="clear" w:color="auto" w:fill="auto"/>
            <w:hideMark/>
          </w:tcPr>
          <w:p w:rsidR="00726F1B" w:rsidRPr="0081020A" w:rsidRDefault="00726F1B" w:rsidP="00726F1B">
            <w:pPr>
              <w:spacing w:line="360" w:lineRule="auto"/>
              <w:jc w:val="left"/>
              <w:rPr>
                <w:rFonts w:eastAsia="Times New Roman" w:cs="Times New Roman"/>
                <w:b/>
                <w:bCs/>
                <w:color w:val="000000"/>
                <w:lang w:val="nl-BE" w:eastAsia="nl-BE"/>
              </w:rPr>
            </w:pPr>
            <w:r w:rsidRPr="0081020A">
              <w:rPr>
                <w:rFonts w:eastAsia="Times New Roman" w:cs="Times New Roman"/>
                <w:b/>
                <w:bCs/>
                <w:color w:val="000000"/>
                <w:lang w:val="nl-BE" w:eastAsia="nl-BE"/>
              </w:rPr>
              <w:t>p-value</w:t>
            </w:r>
          </w:p>
        </w:tc>
        <w:tc>
          <w:tcPr>
            <w:tcW w:w="1379" w:type="pct"/>
            <w:tcBorders>
              <w:top w:val="nil"/>
              <w:left w:val="nil"/>
              <w:bottom w:val="single" w:sz="4" w:space="0" w:color="auto"/>
              <w:right w:val="nil"/>
            </w:tcBorders>
            <w:shd w:val="clear" w:color="auto" w:fill="auto"/>
            <w:hideMark/>
          </w:tcPr>
          <w:p w:rsidR="00726F1B" w:rsidRPr="0081020A" w:rsidRDefault="00726F1B" w:rsidP="00726F1B">
            <w:pPr>
              <w:spacing w:line="360" w:lineRule="auto"/>
              <w:jc w:val="center"/>
              <w:rPr>
                <w:rFonts w:eastAsia="Times New Roman" w:cs="Times New Roman"/>
                <w:b/>
                <w:bCs/>
                <w:color w:val="000000"/>
                <w:lang w:val="nl-BE" w:eastAsia="nl-BE"/>
              </w:rPr>
            </w:pPr>
            <w:r w:rsidRPr="0081020A">
              <w:rPr>
                <w:rFonts w:eastAsia="Times New Roman" w:cs="Times New Roman"/>
                <w:b/>
                <w:bCs/>
                <w:color w:val="000000"/>
                <w:lang w:val="nl-BE" w:eastAsia="nl-BE"/>
              </w:rPr>
              <w:t>2000-2015 change in gains (%) *</w:t>
            </w:r>
          </w:p>
        </w:tc>
      </w:tr>
      <w:tr w:rsidR="00726F1B" w:rsidRPr="0081020A" w:rsidTr="00726F1B">
        <w:trPr>
          <w:trHeight w:val="285"/>
        </w:trPr>
        <w:tc>
          <w:tcPr>
            <w:tcW w:w="1045"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(Intercept)</w:t>
            </w:r>
          </w:p>
        </w:tc>
        <w:tc>
          <w:tcPr>
            <w:tcW w:w="97"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p>
        </w:tc>
        <w:tc>
          <w:tcPr>
            <w:tcW w:w="69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5.255 | 5.395</w:t>
            </w:r>
          </w:p>
        </w:tc>
        <w:tc>
          <w:tcPr>
            <w:tcW w:w="62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0.603 | 0.614</w:t>
            </w:r>
          </w:p>
        </w:tc>
        <w:tc>
          <w:tcPr>
            <w:tcW w:w="481"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8.7 | 8.8</w:t>
            </w:r>
          </w:p>
        </w:tc>
        <w:tc>
          <w:tcPr>
            <w:tcW w:w="68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Pr>
                <w:rFonts w:eastAsia="Times New Roman" w:cs="Times New Roman"/>
                <w:color w:val="000000"/>
                <w:lang w:val="nl-BE" w:eastAsia="nl-BE"/>
              </w:rPr>
              <w:t>&lt;0.001</w:t>
            </w:r>
          </w:p>
        </w:tc>
        <w:tc>
          <w:tcPr>
            <w:tcW w:w="1379"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center"/>
              <w:rPr>
                <w:rFonts w:eastAsia="Times New Roman" w:cs="Times New Roman"/>
                <w:color w:val="000000"/>
                <w:lang w:val="nl-BE" w:eastAsia="nl-BE"/>
              </w:rPr>
            </w:pPr>
            <w:r w:rsidRPr="0081020A">
              <w:rPr>
                <w:rFonts w:eastAsia="Times New Roman" w:cs="Times New Roman"/>
                <w:color w:val="000000"/>
                <w:lang w:val="nl-BE" w:eastAsia="nl-BE"/>
              </w:rPr>
              <w:t>-</w:t>
            </w:r>
          </w:p>
        </w:tc>
      </w:tr>
      <w:tr w:rsidR="00726F1B" w:rsidRPr="0081020A" w:rsidTr="00726F1B">
        <w:trPr>
          <w:trHeight w:val="285"/>
        </w:trPr>
        <w:tc>
          <w:tcPr>
            <w:tcW w:w="1045"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CO</w:t>
            </w:r>
            <w:r w:rsidRPr="0081020A">
              <w:rPr>
                <w:rFonts w:eastAsia="Times New Roman" w:cs="Times New Roman"/>
                <w:color w:val="000000"/>
                <w:vertAlign w:val="subscript"/>
                <w:lang w:val="nl-BE" w:eastAsia="nl-BE"/>
              </w:rPr>
              <w:t>2</w:t>
            </w:r>
            <w:r w:rsidRPr="0081020A">
              <w:rPr>
                <w:rFonts w:eastAsia="Times New Roman" w:cs="Times New Roman"/>
                <w:color w:val="000000"/>
                <w:lang w:val="nl-BE" w:eastAsia="nl-BE"/>
              </w:rPr>
              <w:t>-change (ppm yr</w:t>
            </w:r>
            <w:r w:rsidRPr="0081020A">
              <w:rPr>
                <w:rFonts w:eastAsia="Times New Roman" w:cs="Times New Roman"/>
                <w:color w:val="000000"/>
                <w:vertAlign w:val="superscript"/>
                <w:lang w:val="nl-BE" w:eastAsia="nl-BE"/>
              </w:rPr>
              <w:t>-1</w:t>
            </w:r>
            <w:r w:rsidRPr="0081020A">
              <w:rPr>
                <w:rFonts w:eastAsia="Times New Roman" w:cs="Times New Roman"/>
                <w:color w:val="000000"/>
                <w:lang w:val="nl-BE" w:eastAsia="nl-BE"/>
              </w:rPr>
              <w:t>)</w:t>
            </w:r>
            <w:r>
              <w:rPr>
                <w:rFonts w:eastAsia="Times New Roman" w:cs="Times New Roman"/>
                <w:color w:val="000000"/>
                <w:lang w:val="nl-BE" w:eastAsia="nl-BE"/>
              </w:rPr>
              <w:t xml:space="preserve"> </w:t>
            </w:r>
            <w:r w:rsidRPr="003E792D">
              <w:rPr>
                <w:rFonts w:eastAsia="Times New Roman" w:cs="Times New Roman"/>
                <w:bCs/>
                <w:color w:val="000000"/>
                <w:sz w:val="24"/>
                <w:szCs w:val="24"/>
                <w:lang w:eastAsia="nl-BE"/>
              </w:rPr>
              <w:t>†</w:t>
            </w:r>
          </w:p>
        </w:tc>
        <w:tc>
          <w:tcPr>
            <w:tcW w:w="97"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p>
        </w:tc>
        <w:tc>
          <w:tcPr>
            <w:tcW w:w="69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0.238</w:t>
            </w:r>
          </w:p>
        </w:tc>
        <w:tc>
          <w:tcPr>
            <w:tcW w:w="62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0.096</w:t>
            </w:r>
          </w:p>
        </w:tc>
        <w:tc>
          <w:tcPr>
            <w:tcW w:w="481"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2.5</w:t>
            </w:r>
          </w:p>
        </w:tc>
        <w:tc>
          <w:tcPr>
            <w:tcW w:w="68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0.013</w:t>
            </w:r>
          </w:p>
        </w:tc>
        <w:tc>
          <w:tcPr>
            <w:tcW w:w="1379"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center"/>
              <w:rPr>
                <w:rFonts w:eastAsia="Times New Roman" w:cs="Times New Roman"/>
                <w:color w:val="000000"/>
                <w:lang w:val="nl-BE" w:eastAsia="nl-BE"/>
              </w:rPr>
            </w:pPr>
            <w:r w:rsidRPr="0081020A">
              <w:rPr>
                <w:rFonts w:eastAsia="Times New Roman" w:cs="Times New Roman"/>
                <w:color w:val="000000"/>
                <w:lang w:val="nl-BE" w:eastAsia="nl-BE"/>
              </w:rPr>
              <w:t>3.69% |</w:t>
            </w:r>
            <w:r>
              <w:rPr>
                <w:rFonts w:eastAsia="Times New Roman" w:cs="Times New Roman"/>
                <w:color w:val="000000"/>
                <w:lang w:val="nl-BE" w:eastAsia="nl-BE"/>
              </w:rPr>
              <w:t xml:space="preserve"> </w:t>
            </w:r>
            <w:r w:rsidRPr="0081020A">
              <w:rPr>
                <w:rFonts w:eastAsia="Times New Roman" w:cs="Times New Roman"/>
                <w:color w:val="000000"/>
                <w:lang w:val="nl-BE" w:eastAsia="nl-BE"/>
              </w:rPr>
              <w:t>3.71%</w:t>
            </w:r>
          </w:p>
        </w:tc>
      </w:tr>
      <w:tr w:rsidR="00726F1B" w:rsidRPr="0081020A" w:rsidTr="00726F1B">
        <w:trPr>
          <w:trHeight w:val="285"/>
        </w:trPr>
        <w:tc>
          <w:tcPr>
            <w:tcW w:w="1045"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MAT (°C)</w:t>
            </w:r>
          </w:p>
        </w:tc>
        <w:tc>
          <w:tcPr>
            <w:tcW w:w="97"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p>
        </w:tc>
        <w:tc>
          <w:tcPr>
            <w:tcW w:w="69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-0.083</w:t>
            </w:r>
          </w:p>
        </w:tc>
        <w:tc>
          <w:tcPr>
            <w:tcW w:w="62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0.025</w:t>
            </w:r>
          </w:p>
        </w:tc>
        <w:tc>
          <w:tcPr>
            <w:tcW w:w="481"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-3.3</w:t>
            </w:r>
          </w:p>
        </w:tc>
        <w:tc>
          <w:tcPr>
            <w:tcW w:w="68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0.001</w:t>
            </w:r>
          </w:p>
        </w:tc>
        <w:tc>
          <w:tcPr>
            <w:tcW w:w="1379"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center"/>
              <w:rPr>
                <w:rFonts w:eastAsia="Times New Roman" w:cs="Times New Roman"/>
                <w:color w:val="000000"/>
                <w:lang w:val="nl-BE" w:eastAsia="nl-BE"/>
              </w:rPr>
            </w:pPr>
            <w:r w:rsidRPr="0081020A">
              <w:rPr>
                <w:rFonts w:eastAsia="Times New Roman" w:cs="Times New Roman"/>
                <w:color w:val="000000"/>
                <w:lang w:val="nl-BE" w:eastAsia="nl-BE"/>
              </w:rPr>
              <w:t>-0.67% |</w:t>
            </w:r>
            <w:r>
              <w:rPr>
                <w:rFonts w:eastAsia="Times New Roman" w:cs="Times New Roman"/>
                <w:color w:val="000000"/>
                <w:lang w:val="nl-BE" w:eastAsia="nl-BE"/>
              </w:rPr>
              <w:t xml:space="preserve"> </w:t>
            </w:r>
            <w:r w:rsidRPr="0081020A">
              <w:rPr>
                <w:rFonts w:eastAsia="Times New Roman" w:cs="Times New Roman"/>
                <w:color w:val="000000"/>
                <w:lang w:val="nl-BE" w:eastAsia="nl-BE"/>
              </w:rPr>
              <w:t>-1.07%</w:t>
            </w:r>
          </w:p>
        </w:tc>
      </w:tr>
      <w:tr w:rsidR="00726F1B" w:rsidRPr="0081020A" w:rsidTr="00726F1B">
        <w:trPr>
          <w:trHeight w:val="285"/>
        </w:trPr>
        <w:tc>
          <w:tcPr>
            <w:tcW w:w="1045"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MAT-change (°C yr</w:t>
            </w:r>
            <w:r w:rsidRPr="0081020A">
              <w:rPr>
                <w:rFonts w:eastAsia="Times New Roman" w:cs="Times New Roman"/>
                <w:color w:val="000000"/>
                <w:vertAlign w:val="superscript"/>
                <w:lang w:val="nl-BE" w:eastAsia="nl-BE"/>
              </w:rPr>
              <w:t>-1</w:t>
            </w:r>
            <w:r w:rsidRPr="0081020A">
              <w:rPr>
                <w:rFonts w:eastAsia="Times New Roman" w:cs="Times New Roman"/>
                <w:color w:val="000000"/>
                <w:lang w:val="nl-BE" w:eastAsia="nl-BE"/>
              </w:rPr>
              <w:t>)</w:t>
            </w:r>
            <w:r w:rsidRPr="00595C09">
              <w:rPr>
                <w:sz w:val="24"/>
                <w:szCs w:val="24"/>
              </w:rPr>
              <w:t xml:space="preserve"> ‡</w:t>
            </w:r>
          </w:p>
        </w:tc>
        <w:tc>
          <w:tcPr>
            <w:tcW w:w="97"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p>
        </w:tc>
        <w:tc>
          <w:tcPr>
            <w:tcW w:w="69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-1.243</w:t>
            </w:r>
          </w:p>
        </w:tc>
        <w:tc>
          <w:tcPr>
            <w:tcW w:w="62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0.233</w:t>
            </w:r>
          </w:p>
        </w:tc>
        <w:tc>
          <w:tcPr>
            <w:tcW w:w="481"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-5.3</w:t>
            </w:r>
          </w:p>
        </w:tc>
        <w:tc>
          <w:tcPr>
            <w:tcW w:w="68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Pr>
                <w:rFonts w:eastAsia="Times New Roman" w:cs="Times New Roman"/>
                <w:color w:val="000000"/>
                <w:lang w:val="nl-BE" w:eastAsia="nl-BE"/>
              </w:rPr>
              <w:t>&lt;0.001</w:t>
            </w:r>
          </w:p>
        </w:tc>
        <w:tc>
          <w:tcPr>
            <w:tcW w:w="1379"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center"/>
              <w:rPr>
                <w:rFonts w:eastAsia="Times New Roman" w:cs="Times New Roman"/>
                <w:color w:val="000000"/>
                <w:lang w:val="nl-BE" w:eastAsia="nl-BE"/>
              </w:rPr>
            </w:pPr>
            <w:r>
              <w:rPr>
                <w:rFonts w:eastAsia="Times New Roman" w:cs="Times New Roman"/>
                <w:color w:val="000000"/>
                <w:lang w:val="nl-BE" w:eastAsia="nl-BE"/>
              </w:rPr>
              <w:t xml:space="preserve"> </w:t>
            </w:r>
            <w:r w:rsidRPr="0081020A">
              <w:rPr>
                <w:rFonts w:eastAsia="Times New Roman" w:cs="Times New Roman"/>
                <w:color w:val="000000"/>
                <w:lang w:val="nl-BE" w:eastAsia="nl-BE"/>
              </w:rPr>
              <w:t>0.58% |</w:t>
            </w:r>
            <w:r>
              <w:rPr>
                <w:rFonts w:eastAsia="Times New Roman" w:cs="Times New Roman"/>
                <w:color w:val="000000"/>
                <w:lang w:val="nl-BE" w:eastAsia="nl-BE"/>
              </w:rPr>
              <w:t xml:space="preserve"> </w:t>
            </w:r>
            <w:r w:rsidRPr="0081020A">
              <w:rPr>
                <w:rFonts w:eastAsia="Times New Roman" w:cs="Times New Roman"/>
                <w:color w:val="000000"/>
                <w:lang w:val="nl-BE" w:eastAsia="nl-BE"/>
              </w:rPr>
              <w:t>0</w:t>
            </w:r>
            <w:r>
              <w:rPr>
                <w:rFonts w:eastAsia="Times New Roman" w:cs="Times New Roman"/>
                <w:color w:val="000000"/>
                <w:lang w:val="nl-BE" w:eastAsia="nl-BE"/>
              </w:rPr>
              <w:t>.00</w:t>
            </w:r>
            <w:r w:rsidRPr="0081020A">
              <w:rPr>
                <w:rFonts w:eastAsia="Times New Roman" w:cs="Times New Roman"/>
                <w:color w:val="000000"/>
                <w:lang w:val="nl-BE" w:eastAsia="nl-BE"/>
              </w:rPr>
              <w:t>%</w:t>
            </w:r>
            <w:r>
              <w:rPr>
                <w:rFonts w:eastAsia="Times New Roman" w:cs="Times New Roman"/>
                <w:color w:val="000000"/>
                <w:lang w:val="nl-BE" w:eastAsia="nl-BE"/>
              </w:rPr>
              <w:t xml:space="preserve"> </w:t>
            </w:r>
            <w:r>
              <w:rPr>
                <w:rFonts w:eastAsia="Times New Roman" w:cs="Times New Roman"/>
                <w:bCs/>
                <w:color w:val="000000"/>
                <w:sz w:val="24"/>
                <w:szCs w:val="24"/>
                <w:lang w:eastAsia="nl-BE"/>
              </w:rPr>
              <w:t>§</w:t>
            </w:r>
          </w:p>
        </w:tc>
      </w:tr>
      <w:tr w:rsidR="00726F1B" w:rsidRPr="0081020A" w:rsidTr="00726F1B">
        <w:trPr>
          <w:trHeight w:val="285"/>
        </w:trPr>
        <w:tc>
          <w:tcPr>
            <w:tcW w:w="1045"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MCWD (mm x1000)</w:t>
            </w:r>
          </w:p>
        </w:tc>
        <w:tc>
          <w:tcPr>
            <w:tcW w:w="97"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p>
        </w:tc>
        <w:tc>
          <w:tcPr>
            <w:tcW w:w="69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-0.405 | -1.391</w:t>
            </w:r>
          </w:p>
        </w:tc>
        <w:tc>
          <w:tcPr>
            <w:tcW w:w="62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0.381 | 0.24</w:t>
            </w:r>
          </w:p>
        </w:tc>
        <w:tc>
          <w:tcPr>
            <w:tcW w:w="481"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-1.1 | -5.8</w:t>
            </w:r>
          </w:p>
        </w:tc>
        <w:tc>
          <w:tcPr>
            <w:tcW w:w="68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 xml:space="preserve">0.289 | </w:t>
            </w:r>
            <w:r>
              <w:rPr>
                <w:rFonts w:eastAsia="Times New Roman" w:cs="Times New Roman"/>
                <w:color w:val="000000"/>
                <w:lang w:val="nl-BE" w:eastAsia="nl-BE"/>
              </w:rPr>
              <w:t>&lt;0.001</w:t>
            </w:r>
          </w:p>
        </w:tc>
        <w:tc>
          <w:tcPr>
            <w:tcW w:w="1379"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center"/>
              <w:rPr>
                <w:rFonts w:eastAsia="Times New Roman" w:cs="Times New Roman"/>
                <w:color w:val="000000"/>
                <w:lang w:val="nl-BE" w:eastAsia="nl-BE"/>
              </w:rPr>
            </w:pPr>
            <w:r w:rsidRPr="0081020A">
              <w:rPr>
                <w:rFonts w:eastAsia="Times New Roman" w:cs="Times New Roman"/>
                <w:color w:val="000000"/>
                <w:lang w:val="nl-BE" w:eastAsia="nl-BE"/>
              </w:rPr>
              <w:t>-0.52% |</w:t>
            </w:r>
            <w:r>
              <w:rPr>
                <w:rFonts w:eastAsia="Times New Roman" w:cs="Times New Roman"/>
                <w:color w:val="000000"/>
                <w:lang w:val="nl-BE" w:eastAsia="nl-BE"/>
              </w:rPr>
              <w:t xml:space="preserve"> </w:t>
            </w:r>
            <w:r w:rsidRPr="0081020A">
              <w:rPr>
                <w:rFonts w:eastAsia="Times New Roman" w:cs="Times New Roman"/>
                <w:color w:val="000000"/>
                <w:lang w:val="nl-BE" w:eastAsia="nl-BE"/>
              </w:rPr>
              <w:t>-2.73%</w:t>
            </w:r>
          </w:p>
        </w:tc>
      </w:tr>
      <w:tr w:rsidR="00726F1B" w:rsidRPr="0081020A" w:rsidTr="00726F1B">
        <w:trPr>
          <w:trHeight w:val="285"/>
        </w:trPr>
        <w:tc>
          <w:tcPr>
            <w:tcW w:w="1045" w:type="pct"/>
            <w:tcBorders>
              <w:top w:val="nil"/>
              <w:left w:val="nil"/>
              <w:bottom w:val="single" w:sz="4" w:space="0" w:color="auto"/>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WD (g cm</w:t>
            </w:r>
            <w:r w:rsidRPr="0081020A">
              <w:rPr>
                <w:rFonts w:eastAsia="Times New Roman" w:cs="Times New Roman"/>
                <w:color w:val="000000"/>
                <w:vertAlign w:val="superscript"/>
                <w:lang w:val="nl-BE" w:eastAsia="nl-BE"/>
              </w:rPr>
              <w:t>-3</w:t>
            </w:r>
            <w:r w:rsidRPr="0081020A">
              <w:rPr>
                <w:rFonts w:eastAsia="Times New Roman" w:cs="Times New Roman"/>
                <w:color w:val="000000"/>
                <w:lang w:val="nl-BE" w:eastAsia="nl-BE"/>
              </w:rPr>
              <w:t>)</w:t>
            </w:r>
          </w:p>
        </w:tc>
        <w:tc>
          <w:tcPr>
            <w:tcW w:w="97" w:type="pct"/>
            <w:tcBorders>
              <w:top w:val="nil"/>
              <w:left w:val="nil"/>
              <w:bottom w:val="single" w:sz="4" w:space="0" w:color="auto"/>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 </w:t>
            </w:r>
          </w:p>
        </w:tc>
        <w:tc>
          <w:tcPr>
            <w:tcW w:w="69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-1.295</w:t>
            </w:r>
          </w:p>
        </w:tc>
        <w:tc>
          <w:tcPr>
            <w:tcW w:w="62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0.530</w:t>
            </w:r>
          </w:p>
        </w:tc>
        <w:tc>
          <w:tcPr>
            <w:tcW w:w="481"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-2.4</w:t>
            </w:r>
          </w:p>
        </w:tc>
        <w:tc>
          <w:tcPr>
            <w:tcW w:w="68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0.015</w:t>
            </w:r>
          </w:p>
        </w:tc>
        <w:tc>
          <w:tcPr>
            <w:tcW w:w="1379"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center"/>
              <w:rPr>
                <w:rFonts w:eastAsia="Times New Roman" w:cs="Times New Roman"/>
                <w:color w:val="000000"/>
                <w:lang w:val="nl-BE" w:eastAsia="nl-BE"/>
              </w:rPr>
            </w:pPr>
            <w:r w:rsidRPr="0081020A">
              <w:rPr>
                <w:rFonts w:eastAsia="Times New Roman" w:cs="Times New Roman"/>
                <w:color w:val="000000"/>
                <w:lang w:val="nl-BE" w:eastAsia="nl-BE"/>
              </w:rPr>
              <w:t>0.05% |</w:t>
            </w:r>
            <w:r>
              <w:rPr>
                <w:rFonts w:eastAsia="Times New Roman" w:cs="Times New Roman"/>
                <w:color w:val="000000"/>
                <w:lang w:val="nl-BE" w:eastAsia="nl-BE"/>
              </w:rPr>
              <w:t xml:space="preserve"> </w:t>
            </w:r>
            <w:r w:rsidRPr="0081020A">
              <w:rPr>
                <w:rFonts w:eastAsia="Times New Roman" w:cs="Times New Roman"/>
                <w:color w:val="000000"/>
                <w:lang w:val="nl-BE" w:eastAsia="nl-BE"/>
              </w:rPr>
              <w:t>0</w:t>
            </w:r>
            <w:r>
              <w:rPr>
                <w:rFonts w:eastAsia="Times New Roman" w:cs="Times New Roman"/>
                <w:color w:val="000000"/>
                <w:lang w:val="nl-BE" w:eastAsia="nl-BE"/>
              </w:rPr>
              <w:t>.00</w:t>
            </w:r>
            <w:r w:rsidRPr="0081020A">
              <w:rPr>
                <w:rFonts w:eastAsia="Times New Roman" w:cs="Times New Roman"/>
                <w:color w:val="000000"/>
                <w:lang w:val="nl-BE" w:eastAsia="nl-BE"/>
              </w:rPr>
              <w:t>%</w:t>
            </w:r>
          </w:p>
        </w:tc>
      </w:tr>
      <w:tr w:rsidR="00726F1B" w:rsidRPr="0081020A" w:rsidTr="00726F1B">
        <w:trPr>
          <w:trHeight w:val="285"/>
        </w:trPr>
        <w:tc>
          <w:tcPr>
            <w:tcW w:w="5000" w:type="pct"/>
            <w:gridSpan w:val="7"/>
            <w:tcBorders>
              <w:top w:val="single" w:sz="4" w:space="0" w:color="auto"/>
              <w:left w:val="nil"/>
              <w:bottom w:val="single" w:sz="4" w:space="0" w:color="auto"/>
              <w:right w:val="nil"/>
            </w:tcBorders>
            <w:shd w:val="clear" w:color="000000" w:fill="BFBFBF"/>
            <w:noWrap/>
            <w:vAlign w:val="bottom"/>
            <w:hideMark/>
          </w:tcPr>
          <w:p w:rsidR="00726F1B" w:rsidRPr="0081020A" w:rsidRDefault="00726F1B" w:rsidP="00726F1B">
            <w:pPr>
              <w:spacing w:line="360" w:lineRule="auto"/>
              <w:jc w:val="center"/>
              <w:rPr>
                <w:rFonts w:eastAsia="Times New Roman" w:cs="Times New Roman"/>
                <w:b/>
                <w:bCs/>
                <w:color w:val="000000"/>
                <w:lang w:val="nl-BE" w:eastAsia="nl-BE"/>
              </w:rPr>
            </w:pPr>
            <w:r w:rsidRPr="0081020A">
              <w:rPr>
                <w:rFonts w:eastAsia="Times New Roman" w:cs="Times New Roman"/>
                <w:b/>
                <w:bCs/>
                <w:color w:val="000000"/>
                <w:lang w:val="nl-BE" w:eastAsia="nl-BE"/>
              </w:rPr>
              <w:t>Carbon losses, Mg C ha</w:t>
            </w:r>
            <w:r w:rsidRPr="00C40B16">
              <w:rPr>
                <w:rFonts w:eastAsia="Times New Roman" w:cs="Times New Roman"/>
                <w:b/>
                <w:bCs/>
                <w:color w:val="000000"/>
                <w:vertAlign w:val="superscript"/>
                <w:lang w:val="nl-BE" w:eastAsia="nl-BE"/>
              </w:rPr>
              <w:t>-1</w:t>
            </w:r>
            <w:r w:rsidRPr="0081020A">
              <w:rPr>
                <w:rFonts w:eastAsia="Times New Roman" w:cs="Times New Roman"/>
                <w:b/>
                <w:bCs/>
                <w:color w:val="000000"/>
                <w:lang w:val="nl-BE" w:eastAsia="nl-BE"/>
              </w:rPr>
              <w:t xml:space="preserve"> yr</w:t>
            </w:r>
            <w:r w:rsidRPr="00C40B16">
              <w:rPr>
                <w:rFonts w:eastAsia="Times New Roman" w:cs="Times New Roman"/>
                <w:b/>
                <w:bCs/>
                <w:color w:val="000000"/>
                <w:vertAlign w:val="superscript"/>
                <w:lang w:val="nl-BE" w:eastAsia="nl-BE"/>
              </w:rPr>
              <w:t>-1</w:t>
            </w:r>
            <w:r w:rsidRPr="0081020A">
              <w:rPr>
                <w:rFonts w:eastAsia="Times New Roman" w:cs="Times New Roman"/>
                <w:b/>
                <w:bCs/>
                <w:color w:val="000000"/>
                <w:lang w:val="nl-BE" w:eastAsia="nl-BE"/>
              </w:rPr>
              <w:t xml:space="preserve"> </w:t>
            </w:r>
            <w:r>
              <w:rPr>
                <w:rFonts w:ascii="TimesNewRomanPSMT" w:hAnsi="TimesNewRomanPSMT" w:cs="TimesNewRomanPSMT"/>
                <w:sz w:val="14"/>
                <w:szCs w:val="14"/>
              </w:rPr>
              <w:t>║</w:t>
            </w:r>
          </w:p>
        </w:tc>
      </w:tr>
      <w:tr w:rsidR="00726F1B" w:rsidRPr="0081020A" w:rsidTr="00726F1B">
        <w:trPr>
          <w:trHeight w:val="900"/>
        </w:trPr>
        <w:tc>
          <w:tcPr>
            <w:tcW w:w="1045" w:type="pct"/>
            <w:tcBorders>
              <w:top w:val="nil"/>
              <w:left w:val="nil"/>
              <w:bottom w:val="single" w:sz="4" w:space="0" w:color="auto"/>
              <w:right w:val="nil"/>
            </w:tcBorders>
            <w:shd w:val="clear" w:color="auto" w:fill="auto"/>
            <w:hideMark/>
          </w:tcPr>
          <w:p w:rsidR="00726F1B" w:rsidRPr="0081020A" w:rsidRDefault="00726F1B" w:rsidP="00726F1B">
            <w:pPr>
              <w:spacing w:line="360" w:lineRule="auto"/>
              <w:jc w:val="left"/>
              <w:rPr>
                <w:rFonts w:eastAsia="Times New Roman" w:cs="Times New Roman"/>
                <w:b/>
                <w:bCs/>
                <w:color w:val="000000"/>
                <w:lang w:val="nl-BE" w:eastAsia="nl-BE"/>
              </w:rPr>
            </w:pPr>
            <w:r w:rsidRPr="0081020A">
              <w:rPr>
                <w:rFonts w:eastAsia="Times New Roman" w:cs="Times New Roman"/>
                <w:b/>
                <w:bCs/>
                <w:color w:val="000000"/>
                <w:lang w:val="nl-BE" w:eastAsia="nl-BE"/>
              </w:rPr>
              <w:t>Predictor variable</w:t>
            </w:r>
          </w:p>
        </w:tc>
        <w:tc>
          <w:tcPr>
            <w:tcW w:w="97" w:type="pct"/>
            <w:tcBorders>
              <w:top w:val="nil"/>
              <w:left w:val="nil"/>
              <w:bottom w:val="nil"/>
              <w:right w:val="nil"/>
            </w:tcBorders>
            <w:shd w:val="clear" w:color="auto" w:fill="auto"/>
            <w:hideMark/>
          </w:tcPr>
          <w:p w:rsidR="00726F1B" w:rsidRPr="0081020A" w:rsidRDefault="00726F1B" w:rsidP="00726F1B">
            <w:pPr>
              <w:spacing w:line="360" w:lineRule="auto"/>
              <w:jc w:val="left"/>
              <w:rPr>
                <w:rFonts w:eastAsia="Times New Roman" w:cs="Times New Roman"/>
                <w:b/>
                <w:bCs/>
                <w:color w:val="000000"/>
                <w:lang w:val="nl-BE" w:eastAsia="nl-BE"/>
              </w:rPr>
            </w:pPr>
          </w:p>
        </w:tc>
        <w:tc>
          <w:tcPr>
            <w:tcW w:w="693" w:type="pct"/>
            <w:tcBorders>
              <w:top w:val="nil"/>
              <w:left w:val="nil"/>
              <w:bottom w:val="single" w:sz="4" w:space="0" w:color="auto"/>
              <w:right w:val="nil"/>
            </w:tcBorders>
            <w:shd w:val="clear" w:color="auto" w:fill="auto"/>
            <w:hideMark/>
          </w:tcPr>
          <w:p w:rsidR="00726F1B" w:rsidRPr="0081020A" w:rsidRDefault="00726F1B" w:rsidP="00726F1B">
            <w:pPr>
              <w:spacing w:line="360" w:lineRule="auto"/>
              <w:jc w:val="left"/>
              <w:rPr>
                <w:rFonts w:eastAsia="Times New Roman" w:cs="Times New Roman"/>
                <w:b/>
                <w:bCs/>
                <w:color w:val="000000"/>
                <w:lang w:val="nl-BE" w:eastAsia="nl-BE"/>
              </w:rPr>
            </w:pPr>
            <w:r w:rsidRPr="0081020A">
              <w:rPr>
                <w:rFonts w:eastAsia="Times New Roman" w:cs="Times New Roman"/>
                <w:b/>
                <w:bCs/>
                <w:color w:val="000000"/>
                <w:lang w:val="nl-BE" w:eastAsia="nl-BE"/>
              </w:rPr>
              <w:t>Parameter value</w:t>
            </w:r>
          </w:p>
        </w:tc>
        <w:tc>
          <w:tcPr>
            <w:tcW w:w="623" w:type="pct"/>
            <w:tcBorders>
              <w:top w:val="nil"/>
              <w:left w:val="nil"/>
              <w:bottom w:val="single" w:sz="4" w:space="0" w:color="auto"/>
              <w:right w:val="nil"/>
            </w:tcBorders>
            <w:shd w:val="clear" w:color="auto" w:fill="auto"/>
            <w:hideMark/>
          </w:tcPr>
          <w:p w:rsidR="00726F1B" w:rsidRPr="0081020A" w:rsidRDefault="00726F1B" w:rsidP="00726F1B">
            <w:pPr>
              <w:spacing w:line="360" w:lineRule="auto"/>
              <w:jc w:val="left"/>
              <w:rPr>
                <w:rFonts w:eastAsia="Times New Roman" w:cs="Times New Roman"/>
                <w:b/>
                <w:bCs/>
                <w:color w:val="000000"/>
                <w:lang w:val="nl-BE" w:eastAsia="nl-BE"/>
              </w:rPr>
            </w:pPr>
            <w:r w:rsidRPr="0081020A">
              <w:rPr>
                <w:rFonts w:eastAsia="Times New Roman" w:cs="Times New Roman"/>
                <w:b/>
                <w:bCs/>
                <w:color w:val="000000"/>
                <w:lang w:val="nl-BE" w:eastAsia="nl-BE"/>
              </w:rPr>
              <w:t>Standard</w:t>
            </w:r>
            <w:r w:rsidRPr="0081020A">
              <w:rPr>
                <w:rFonts w:eastAsia="Times New Roman" w:cs="Times New Roman"/>
                <w:b/>
                <w:bCs/>
                <w:color w:val="000000"/>
                <w:lang w:val="nl-BE" w:eastAsia="nl-BE"/>
              </w:rPr>
              <w:br/>
              <w:t>Error</w:t>
            </w:r>
          </w:p>
        </w:tc>
        <w:tc>
          <w:tcPr>
            <w:tcW w:w="481" w:type="pct"/>
            <w:tcBorders>
              <w:top w:val="nil"/>
              <w:left w:val="nil"/>
              <w:bottom w:val="single" w:sz="4" w:space="0" w:color="auto"/>
              <w:right w:val="nil"/>
            </w:tcBorders>
            <w:shd w:val="clear" w:color="auto" w:fill="auto"/>
            <w:hideMark/>
          </w:tcPr>
          <w:p w:rsidR="00726F1B" w:rsidRPr="0081020A" w:rsidRDefault="00726F1B" w:rsidP="00726F1B">
            <w:pPr>
              <w:spacing w:line="360" w:lineRule="auto"/>
              <w:jc w:val="left"/>
              <w:rPr>
                <w:rFonts w:eastAsia="Times New Roman" w:cs="Times New Roman"/>
                <w:b/>
                <w:bCs/>
                <w:color w:val="000000"/>
                <w:lang w:val="nl-BE" w:eastAsia="nl-BE"/>
              </w:rPr>
            </w:pPr>
            <w:r w:rsidRPr="0081020A">
              <w:rPr>
                <w:rFonts w:eastAsia="Times New Roman" w:cs="Times New Roman"/>
                <w:b/>
                <w:bCs/>
                <w:color w:val="000000"/>
                <w:lang w:val="nl-BE" w:eastAsia="nl-BE"/>
              </w:rPr>
              <w:t>t-value</w:t>
            </w:r>
          </w:p>
        </w:tc>
        <w:tc>
          <w:tcPr>
            <w:tcW w:w="683" w:type="pct"/>
            <w:tcBorders>
              <w:top w:val="nil"/>
              <w:left w:val="nil"/>
              <w:bottom w:val="single" w:sz="4" w:space="0" w:color="auto"/>
              <w:right w:val="nil"/>
            </w:tcBorders>
            <w:shd w:val="clear" w:color="auto" w:fill="auto"/>
            <w:hideMark/>
          </w:tcPr>
          <w:p w:rsidR="00726F1B" w:rsidRPr="0081020A" w:rsidRDefault="00726F1B" w:rsidP="00726F1B">
            <w:pPr>
              <w:spacing w:line="360" w:lineRule="auto"/>
              <w:jc w:val="left"/>
              <w:rPr>
                <w:rFonts w:eastAsia="Times New Roman" w:cs="Times New Roman"/>
                <w:b/>
                <w:bCs/>
                <w:color w:val="000000"/>
                <w:lang w:val="nl-BE" w:eastAsia="nl-BE"/>
              </w:rPr>
            </w:pPr>
            <w:r w:rsidRPr="0081020A">
              <w:rPr>
                <w:rFonts w:eastAsia="Times New Roman" w:cs="Times New Roman"/>
                <w:b/>
                <w:bCs/>
                <w:color w:val="000000"/>
                <w:lang w:val="nl-BE" w:eastAsia="nl-BE"/>
              </w:rPr>
              <w:t>p-value</w:t>
            </w:r>
          </w:p>
        </w:tc>
        <w:tc>
          <w:tcPr>
            <w:tcW w:w="1379" w:type="pct"/>
            <w:tcBorders>
              <w:top w:val="nil"/>
              <w:left w:val="nil"/>
              <w:bottom w:val="single" w:sz="4" w:space="0" w:color="auto"/>
              <w:right w:val="nil"/>
            </w:tcBorders>
            <w:shd w:val="clear" w:color="auto" w:fill="auto"/>
            <w:hideMark/>
          </w:tcPr>
          <w:p w:rsidR="00726F1B" w:rsidRPr="0081020A" w:rsidRDefault="00726F1B" w:rsidP="00726F1B">
            <w:pPr>
              <w:spacing w:line="360" w:lineRule="auto"/>
              <w:jc w:val="center"/>
              <w:rPr>
                <w:rFonts w:eastAsia="Times New Roman" w:cs="Times New Roman"/>
                <w:b/>
                <w:bCs/>
                <w:color w:val="000000"/>
                <w:lang w:val="nl-BE" w:eastAsia="nl-BE"/>
              </w:rPr>
            </w:pPr>
            <w:r w:rsidRPr="0081020A">
              <w:rPr>
                <w:rFonts w:eastAsia="Times New Roman" w:cs="Times New Roman"/>
                <w:b/>
                <w:bCs/>
                <w:color w:val="000000"/>
                <w:lang w:val="nl-BE" w:eastAsia="nl-BE"/>
              </w:rPr>
              <w:t>2000-2015 change in losses (%) *</w:t>
            </w:r>
          </w:p>
        </w:tc>
      </w:tr>
      <w:tr w:rsidR="00726F1B" w:rsidRPr="0081020A" w:rsidTr="00726F1B">
        <w:trPr>
          <w:trHeight w:val="285"/>
        </w:trPr>
        <w:tc>
          <w:tcPr>
            <w:tcW w:w="1045"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(Intercept)</w:t>
            </w:r>
          </w:p>
        </w:tc>
        <w:tc>
          <w:tcPr>
            <w:tcW w:w="97"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p>
        </w:tc>
        <w:tc>
          <w:tcPr>
            <w:tcW w:w="69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1.216</w:t>
            </w:r>
          </w:p>
        </w:tc>
        <w:tc>
          <w:tcPr>
            <w:tcW w:w="62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0.086</w:t>
            </w:r>
          </w:p>
        </w:tc>
        <w:tc>
          <w:tcPr>
            <w:tcW w:w="481"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14.1</w:t>
            </w:r>
          </w:p>
        </w:tc>
        <w:tc>
          <w:tcPr>
            <w:tcW w:w="68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Pr>
                <w:rFonts w:eastAsia="Times New Roman" w:cs="Times New Roman"/>
                <w:color w:val="000000"/>
                <w:lang w:val="nl-BE" w:eastAsia="nl-BE"/>
              </w:rPr>
              <w:t>&lt;0.001</w:t>
            </w:r>
          </w:p>
        </w:tc>
        <w:tc>
          <w:tcPr>
            <w:tcW w:w="1379"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center"/>
              <w:rPr>
                <w:rFonts w:eastAsia="Times New Roman" w:cs="Times New Roman"/>
                <w:color w:val="000000"/>
                <w:lang w:val="nl-BE" w:eastAsia="nl-BE"/>
              </w:rPr>
            </w:pPr>
            <w:r w:rsidRPr="0081020A">
              <w:rPr>
                <w:rFonts w:eastAsia="Times New Roman" w:cs="Times New Roman"/>
                <w:color w:val="000000"/>
                <w:lang w:val="nl-BE" w:eastAsia="nl-BE"/>
              </w:rPr>
              <w:t>-</w:t>
            </w:r>
          </w:p>
        </w:tc>
      </w:tr>
      <w:tr w:rsidR="00726F1B" w:rsidRPr="0081020A" w:rsidTr="00726F1B">
        <w:trPr>
          <w:trHeight w:val="285"/>
        </w:trPr>
        <w:tc>
          <w:tcPr>
            <w:tcW w:w="1045"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CO</w:t>
            </w:r>
            <w:r w:rsidRPr="0081020A">
              <w:rPr>
                <w:rFonts w:eastAsia="Times New Roman" w:cs="Times New Roman"/>
                <w:color w:val="000000"/>
                <w:vertAlign w:val="subscript"/>
                <w:lang w:val="nl-BE" w:eastAsia="nl-BE"/>
              </w:rPr>
              <w:t>2</w:t>
            </w:r>
            <w:r w:rsidRPr="0081020A">
              <w:rPr>
                <w:rFonts w:eastAsia="Times New Roman" w:cs="Times New Roman"/>
                <w:color w:val="000000"/>
                <w:lang w:val="nl-BE" w:eastAsia="nl-BE"/>
              </w:rPr>
              <w:t>-change (ppm yr</w:t>
            </w:r>
            <w:r w:rsidRPr="0081020A">
              <w:rPr>
                <w:rFonts w:eastAsia="Times New Roman" w:cs="Times New Roman"/>
                <w:color w:val="000000"/>
                <w:vertAlign w:val="superscript"/>
                <w:lang w:val="nl-BE" w:eastAsia="nl-BE"/>
              </w:rPr>
              <w:t>-1</w:t>
            </w:r>
            <w:r w:rsidRPr="0081020A">
              <w:rPr>
                <w:rFonts w:eastAsia="Times New Roman" w:cs="Times New Roman"/>
                <w:color w:val="000000"/>
                <w:lang w:val="nl-BE" w:eastAsia="nl-BE"/>
              </w:rPr>
              <w:t>)</w:t>
            </w:r>
            <w:r w:rsidRPr="003E792D">
              <w:rPr>
                <w:rFonts w:eastAsia="Times New Roman" w:cs="Times New Roman"/>
                <w:bCs/>
                <w:color w:val="000000"/>
                <w:sz w:val="24"/>
                <w:szCs w:val="24"/>
                <w:lang w:eastAsia="nl-BE"/>
              </w:rPr>
              <w:t xml:space="preserve"> †</w:t>
            </w:r>
          </w:p>
        </w:tc>
        <w:tc>
          <w:tcPr>
            <w:tcW w:w="97"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p>
        </w:tc>
        <w:tc>
          <w:tcPr>
            <w:tcW w:w="69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0.130</w:t>
            </w:r>
          </w:p>
        </w:tc>
        <w:tc>
          <w:tcPr>
            <w:tcW w:w="62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0.059</w:t>
            </w:r>
          </w:p>
        </w:tc>
        <w:tc>
          <w:tcPr>
            <w:tcW w:w="481"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2.2</w:t>
            </w:r>
          </w:p>
        </w:tc>
        <w:tc>
          <w:tcPr>
            <w:tcW w:w="68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0.026</w:t>
            </w:r>
          </w:p>
        </w:tc>
        <w:tc>
          <w:tcPr>
            <w:tcW w:w="1379"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center"/>
              <w:rPr>
                <w:rFonts w:eastAsia="Times New Roman" w:cs="Times New Roman"/>
                <w:color w:val="000000"/>
                <w:lang w:val="nl-BE" w:eastAsia="nl-BE"/>
              </w:rPr>
            </w:pPr>
            <w:r>
              <w:rPr>
                <w:rFonts w:eastAsia="Times New Roman" w:cs="Times New Roman"/>
                <w:color w:val="000000"/>
                <w:lang w:val="nl-BE" w:eastAsia="nl-BE"/>
              </w:rPr>
              <w:t xml:space="preserve"> </w:t>
            </w:r>
            <w:r w:rsidRPr="0081020A">
              <w:rPr>
                <w:rFonts w:eastAsia="Times New Roman" w:cs="Times New Roman"/>
                <w:color w:val="000000"/>
                <w:lang w:val="nl-BE" w:eastAsia="nl-BE"/>
              </w:rPr>
              <w:t>11.38% |</w:t>
            </w:r>
            <w:r>
              <w:rPr>
                <w:rFonts w:eastAsia="Times New Roman" w:cs="Times New Roman"/>
                <w:color w:val="000000"/>
                <w:lang w:val="nl-BE" w:eastAsia="nl-BE"/>
              </w:rPr>
              <w:t xml:space="preserve"> </w:t>
            </w:r>
            <w:r w:rsidRPr="0081020A">
              <w:rPr>
                <w:rFonts w:eastAsia="Times New Roman" w:cs="Times New Roman"/>
                <w:color w:val="000000"/>
                <w:lang w:val="nl-BE" w:eastAsia="nl-BE"/>
              </w:rPr>
              <w:t>14.81%</w:t>
            </w:r>
          </w:p>
        </w:tc>
      </w:tr>
      <w:tr w:rsidR="00726F1B" w:rsidRPr="0081020A" w:rsidTr="00726F1B">
        <w:trPr>
          <w:trHeight w:val="285"/>
        </w:trPr>
        <w:tc>
          <w:tcPr>
            <w:tcW w:w="1045"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MAT-change (°C yr</w:t>
            </w:r>
            <w:r w:rsidRPr="0081020A">
              <w:rPr>
                <w:rFonts w:eastAsia="Times New Roman" w:cs="Times New Roman"/>
                <w:color w:val="000000"/>
                <w:vertAlign w:val="superscript"/>
                <w:lang w:val="nl-BE" w:eastAsia="nl-BE"/>
              </w:rPr>
              <w:t>-1</w:t>
            </w:r>
            <w:r w:rsidRPr="0081020A">
              <w:rPr>
                <w:rFonts w:eastAsia="Times New Roman" w:cs="Times New Roman"/>
                <w:color w:val="000000"/>
                <w:lang w:val="nl-BE" w:eastAsia="nl-BE"/>
              </w:rPr>
              <w:t>)</w:t>
            </w:r>
          </w:p>
        </w:tc>
        <w:tc>
          <w:tcPr>
            <w:tcW w:w="97"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p>
        </w:tc>
        <w:tc>
          <w:tcPr>
            <w:tcW w:w="69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0.766</w:t>
            </w:r>
          </w:p>
        </w:tc>
        <w:tc>
          <w:tcPr>
            <w:tcW w:w="62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0.162</w:t>
            </w:r>
          </w:p>
        </w:tc>
        <w:tc>
          <w:tcPr>
            <w:tcW w:w="481"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4.7</w:t>
            </w:r>
          </w:p>
        </w:tc>
        <w:tc>
          <w:tcPr>
            <w:tcW w:w="68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Pr>
                <w:rFonts w:eastAsia="Times New Roman" w:cs="Times New Roman"/>
                <w:color w:val="000000"/>
                <w:lang w:val="nl-BE" w:eastAsia="nl-BE"/>
              </w:rPr>
              <w:t>&lt;0.001</w:t>
            </w:r>
          </w:p>
        </w:tc>
        <w:tc>
          <w:tcPr>
            <w:tcW w:w="1379"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center"/>
              <w:rPr>
                <w:rFonts w:eastAsia="Times New Roman" w:cs="Times New Roman"/>
                <w:color w:val="000000"/>
                <w:lang w:val="nl-BE" w:eastAsia="nl-BE"/>
              </w:rPr>
            </w:pPr>
            <w:r w:rsidRPr="0081020A">
              <w:rPr>
                <w:rFonts w:eastAsia="Times New Roman" w:cs="Times New Roman"/>
                <w:color w:val="000000"/>
                <w:lang w:val="nl-BE" w:eastAsia="nl-BE"/>
              </w:rPr>
              <w:t>-1.56% |</w:t>
            </w:r>
            <w:r>
              <w:rPr>
                <w:rFonts w:eastAsia="Times New Roman" w:cs="Times New Roman"/>
                <w:color w:val="000000"/>
                <w:lang w:val="nl-BE" w:eastAsia="nl-BE"/>
              </w:rPr>
              <w:t xml:space="preserve"> </w:t>
            </w:r>
            <w:r w:rsidRPr="0081020A">
              <w:rPr>
                <w:rFonts w:eastAsia="Times New Roman" w:cs="Times New Roman"/>
                <w:color w:val="000000"/>
                <w:lang w:val="nl-BE" w:eastAsia="nl-BE"/>
              </w:rPr>
              <w:t>0</w:t>
            </w:r>
            <w:r>
              <w:rPr>
                <w:rFonts w:eastAsia="Times New Roman" w:cs="Times New Roman"/>
                <w:color w:val="000000"/>
                <w:lang w:val="nl-BE" w:eastAsia="nl-BE"/>
              </w:rPr>
              <w:t>.00</w:t>
            </w:r>
            <w:r w:rsidRPr="0081020A">
              <w:rPr>
                <w:rFonts w:eastAsia="Times New Roman" w:cs="Times New Roman"/>
                <w:color w:val="000000"/>
                <w:lang w:val="nl-BE" w:eastAsia="nl-BE"/>
              </w:rPr>
              <w:t>%</w:t>
            </w:r>
          </w:p>
        </w:tc>
      </w:tr>
      <w:tr w:rsidR="00726F1B" w:rsidRPr="0081020A" w:rsidTr="00726F1B">
        <w:trPr>
          <w:trHeight w:val="285"/>
        </w:trPr>
        <w:tc>
          <w:tcPr>
            <w:tcW w:w="1045"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MCWD (mm x10000)</w:t>
            </w:r>
            <w:r w:rsidRPr="00595C09">
              <w:rPr>
                <w:sz w:val="24"/>
                <w:szCs w:val="24"/>
              </w:rPr>
              <w:t xml:space="preserve"> ‡</w:t>
            </w:r>
          </w:p>
        </w:tc>
        <w:tc>
          <w:tcPr>
            <w:tcW w:w="97"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p>
        </w:tc>
        <w:tc>
          <w:tcPr>
            <w:tcW w:w="69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-0.232</w:t>
            </w:r>
          </w:p>
        </w:tc>
        <w:tc>
          <w:tcPr>
            <w:tcW w:w="62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0.107</w:t>
            </w:r>
          </w:p>
        </w:tc>
        <w:tc>
          <w:tcPr>
            <w:tcW w:w="481"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-2.2</w:t>
            </w:r>
          </w:p>
        </w:tc>
        <w:tc>
          <w:tcPr>
            <w:tcW w:w="683"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0.030</w:t>
            </w:r>
          </w:p>
        </w:tc>
        <w:tc>
          <w:tcPr>
            <w:tcW w:w="1379" w:type="pct"/>
            <w:tcBorders>
              <w:top w:val="nil"/>
              <w:left w:val="nil"/>
              <w:bottom w:val="nil"/>
              <w:right w:val="nil"/>
            </w:tcBorders>
            <w:shd w:val="clear" w:color="auto" w:fill="auto"/>
            <w:noWrap/>
            <w:vAlign w:val="bottom"/>
            <w:hideMark/>
          </w:tcPr>
          <w:p w:rsidR="00726F1B" w:rsidRPr="0081020A" w:rsidRDefault="00726F1B" w:rsidP="00726F1B">
            <w:pPr>
              <w:spacing w:line="360" w:lineRule="auto"/>
              <w:jc w:val="center"/>
              <w:rPr>
                <w:rFonts w:eastAsia="Times New Roman" w:cs="Times New Roman"/>
                <w:color w:val="000000"/>
                <w:lang w:val="nl-BE" w:eastAsia="nl-BE"/>
              </w:rPr>
            </w:pPr>
            <w:r>
              <w:rPr>
                <w:rFonts w:eastAsia="Times New Roman" w:cs="Times New Roman"/>
                <w:color w:val="000000"/>
                <w:lang w:val="nl-BE" w:eastAsia="nl-BE"/>
              </w:rPr>
              <w:t xml:space="preserve"> </w:t>
            </w:r>
            <w:r w:rsidRPr="0081020A">
              <w:rPr>
                <w:rFonts w:eastAsia="Times New Roman" w:cs="Times New Roman"/>
                <w:color w:val="000000"/>
                <w:lang w:val="nl-BE" w:eastAsia="nl-BE"/>
              </w:rPr>
              <w:t>-1.21% |</w:t>
            </w:r>
            <w:r>
              <w:rPr>
                <w:rFonts w:eastAsia="Times New Roman" w:cs="Times New Roman"/>
                <w:color w:val="000000"/>
                <w:lang w:val="nl-BE" w:eastAsia="nl-BE"/>
              </w:rPr>
              <w:t xml:space="preserve"> </w:t>
            </w:r>
            <w:r w:rsidRPr="0081020A">
              <w:rPr>
                <w:rFonts w:eastAsia="Times New Roman" w:cs="Times New Roman"/>
                <w:color w:val="000000"/>
                <w:lang w:val="nl-BE" w:eastAsia="nl-BE"/>
              </w:rPr>
              <w:t>-2.42%</w:t>
            </w:r>
          </w:p>
        </w:tc>
      </w:tr>
      <w:tr w:rsidR="00726F1B" w:rsidRPr="0081020A" w:rsidTr="00726F1B">
        <w:trPr>
          <w:trHeight w:val="285"/>
        </w:trPr>
        <w:tc>
          <w:tcPr>
            <w:tcW w:w="1045" w:type="pct"/>
            <w:tcBorders>
              <w:top w:val="nil"/>
              <w:left w:val="nil"/>
              <w:bottom w:val="single" w:sz="4" w:space="0" w:color="auto"/>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CRT (yr)</w:t>
            </w:r>
          </w:p>
        </w:tc>
        <w:tc>
          <w:tcPr>
            <w:tcW w:w="97" w:type="pct"/>
            <w:tcBorders>
              <w:top w:val="nil"/>
              <w:left w:val="nil"/>
              <w:bottom w:val="single" w:sz="4" w:space="0" w:color="auto"/>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 </w:t>
            </w:r>
          </w:p>
        </w:tc>
        <w:tc>
          <w:tcPr>
            <w:tcW w:w="693" w:type="pct"/>
            <w:tcBorders>
              <w:top w:val="nil"/>
              <w:left w:val="nil"/>
              <w:bottom w:val="single" w:sz="4" w:space="0" w:color="auto"/>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-0.003</w:t>
            </w:r>
          </w:p>
        </w:tc>
        <w:tc>
          <w:tcPr>
            <w:tcW w:w="623" w:type="pct"/>
            <w:tcBorders>
              <w:top w:val="nil"/>
              <w:left w:val="nil"/>
              <w:bottom w:val="single" w:sz="4" w:space="0" w:color="auto"/>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0.001</w:t>
            </w:r>
          </w:p>
        </w:tc>
        <w:tc>
          <w:tcPr>
            <w:tcW w:w="481" w:type="pct"/>
            <w:tcBorders>
              <w:top w:val="nil"/>
              <w:left w:val="nil"/>
              <w:bottom w:val="single" w:sz="4" w:space="0" w:color="auto"/>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sidRPr="0081020A">
              <w:rPr>
                <w:rFonts w:eastAsia="Times New Roman" w:cs="Times New Roman"/>
                <w:color w:val="000000"/>
                <w:lang w:val="nl-BE" w:eastAsia="nl-BE"/>
              </w:rPr>
              <w:t>-6.1</w:t>
            </w:r>
          </w:p>
        </w:tc>
        <w:tc>
          <w:tcPr>
            <w:tcW w:w="683" w:type="pct"/>
            <w:tcBorders>
              <w:top w:val="nil"/>
              <w:left w:val="nil"/>
              <w:bottom w:val="single" w:sz="4" w:space="0" w:color="auto"/>
              <w:right w:val="nil"/>
            </w:tcBorders>
            <w:shd w:val="clear" w:color="auto" w:fill="auto"/>
            <w:noWrap/>
            <w:vAlign w:val="bottom"/>
            <w:hideMark/>
          </w:tcPr>
          <w:p w:rsidR="00726F1B" w:rsidRPr="0081020A" w:rsidRDefault="00726F1B" w:rsidP="00726F1B">
            <w:pPr>
              <w:spacing w:line="360" w:lineRule="auto"/>
              <w:jc w:val="left"/>
              <w:rPr>
                <w:rFonts w:eastAsia="Times New Roman" w:cs="Times New Roman"/>
                <w:color w:val="000000"/>
                <w:lang w:val="nl-BE" w:eastAsia="nl-BE"/>
              </w:rPr>
            </w:pPr>
            <w:r>
              <w:rPr>
                <w:rFonts w:eastAsia="Times New Roman" w:cs="Times New Roman"/>
                <w:color w:val="000000"/>
                <w:lang w:val="nl-BE" w:eastAsia="nl-BE"/>
              </w:rPr>
              <w:t>&lt;0.001</w:t>
            </w:r>
          </w:p>
        </w:tc>
        <w:tc>
          <w:tcPr>
            <w:tcW w:w="1379" w:type="pct"/>
            <w:tcBorders>
              <w:top w:val="nil"/>
              <w:left w:val="nil"/>
              <w:bottom w:val="single" w:sz="4" w:space="0" w:color="auto"/>
              <w:right w:val="nil"/>
            </w:tcBorders>
            <w:shd w:val="clear" w:color="auto" w:fill="auto"/>
            <w:noWrap/>
            <w:vAlign w:val="bottom"/>
            <w:hideMark/>
          </w:tcPr>
          <w:p w:rsidR="00726F1B" w:rsidRPr="0081020A" w:rsidRDefault="00726F1B" w:rsidP="00726F1B">
            <w:pPr>
              <w:spacing w:line="360" w:lineRule="auto"/>
              <w:jc w:val="center"/>
              <w:rPr>
                <w:rFonts w:eastAsia="Times New Roman" w:cs="Times New Roman"/>
                <w:color w:val="000000"/>
                <w:lang w:val="nl-BE" w:eastAsia="nl-BE"/>
              </w:rPr>
            </w:pPr>
            <w:r w:rsidRPr="0081020A">
              <w:rPr>
                <w:rFonts w:eastAsia="Times New Roman" w:cs="Times New Roman"/>
                <w:color w:val="000000"/>
                <w:lang w:val="nl-BE" w:eastAsia="nl-BE"/>
              </w:rPr>
              <w:t>-0.57% |</w:t>
            </w:r>
            <w:r>
              <w:rPr>
                <w:rFonts w:eastAsia="Times New Roman" w:cs="Times New Roman"/>
                <w:color w:val="000000"/>
                <w:lang w:val="nl-BE" w:eastAsia="nl-BE"/>
              </w:rPr>
              <w:t xml:space="preserve"> </w:t>
            </w:r>
            <w:r w:rsidRPr="0081020A">
              <w:rPr>
                <w:rFonts w:eastAsia="Times New Roman" w:cs="Times New Roman"/>
                <w:color w:val="000000"/>
                <w:lang w:val="nl-BE" w:eastAsia="nl-BE"/>
              </w:rPr>
              <w:t>1.39%</w:t>
            </w:r>
          </w:p>
        </w:tc>
      </w:tr>
    </w:tbl>
    <w:p w:rsidR="00726F1B" w:rsidRPr="00595C09" w:rsidRDefault="00726F1B" w:rsidP="00726F1B">
      <w:pPr>
        <w:rPr>
          <w:rFonts w:eastAsia="Times New Roman" w:cs="Times New Roman"/>
          <w:bCs/>
          <w:color w:val="000000"/>
          <w:sz w:val="24"/>
          <w:szCs w:val="24"/>
          <w:lang w:eastAsia="nl-BE"/>
        </w:rPr>
      </w:pPr>
      <w:r w:rsidRPr="00595C09">
        <w:rPr>
          <w:rFonts w:eastAsia="Times New Roman" w:cs="Times New Roman"/>
          <w:b/>
          <w:bCs/>
          <w:color w:val="000000"/>
          <w:sz w:val="24"/>
          <w:szCs w:val="24"/>
          <w:lang w:eastAsia="nl-BE"/>
        </w:rPr>
        <w:t>*</w:t>
      </w:r>
      <w:r w:rsidRPr="00595C09">
        <w:rPr>
          <w:rFonts w:eastAsia="Times New Roman" w:cs="Times New Roman"/>
          <w:bCs/>
          <w:color w:val="000000"/>
          <w:sz w:val="24"/>
          <w:szCs w:val="24"/>
          <w:lang w:eastAsia="nl-BE"/>
        </w:rPr>
        <w:t xml:space="preserve"> The 2000-2015 change in gains/losses for each predictor variable was estimated allowing only the focal predictor to vary; this change was then expressed as a percentage of the </w:t>
      </w:r>
      <w:r w:rsidRPr="00595C09">
        <w:rPr>
          <w:sz w:val="24"/>
          <w:szCs w:val="24"/>
        </w:rPr>
        <w:t>annual gains/losses in the year 2000 allowing all predictors to vary</w:t>
      </w:r>
      <w:r w:rsidRPr="00595C09">
        <w:rPr>
          <w:rFonts w:eastAsia="Times New Roman" w:cs="Times New Roman"/>
          <w:bCs/>
          <w:color w:val="000000"/>
          <w:sz w:val="24"/>
          <w:szCs w:val="24"/>
          <w:lang w:eastAsia="nl-BE"/>
        </w:rPr>
        <w:t>.</w:t>
      </w:r>
    </w:p>
    <w:p w:rsidR="00726F1B" w:rsidRPr="003E792D" w:rsidRDefault="00726F1B" w:rsidP="00726F1B">
      <w:pPr>
        <w:rPr>
          <w:rFonts w:eastAsia="Times New Roman" w:cs="Times New Roman"/>
          <w:bCs/>
          <w:color w:val="000000"/>
          <w:sz w:val="24"/>
          <w:szCs w:val="24"/>
          <w:lang w:eastAsia="nl-BE"/>
        </w:rPr>
      </w:pPr>
      <w:r w:rsidRPr="003E792D">
        <w:rPr>
          <w:rFonts w:eastAsia="Times New Roman" w:cs="Times New Roman"/>
          <w:bCs/>
          <w:color w:val="000000"/>
          <w:sz w:val="24"/>
          <w:szCs w:val="24"/>
          <w:lang w:eastAsia="nl-BE"/>
        </w:rPr>
        <w:t xml:space="preserve">† </w:t>
      </w:r>
      <w:r>
        <w:rPr>
          <w:rFonts w:eastAsia="Times New Roman" w:cs="Times New Roman"/>
          <w:bCs/>
          <w:color w:val="000000"/>
          <w:sz w:val="24"/>
          <w:szCs w:val="24"/>
          <w:lang w:eastAsia="nl-BE"/>
        </w:rPr>
        <w:t>C</w:t>
      </w:r>
      <w:r w:rsidRPr="003E792D">
        <w:rPr>
          <w:rFonts w:eastAsia="Times New Roman" w:cs="Times New Roman"/>
          <w:bCs/>
          <w:color w:val="000000"/>
          <w:sz w:val="24"/>
          <w:szCs w:val="24"/>
          <w:lang w:eastAsia="nl-BE"/>
        </w:rPr>
        <w:t>hange over the past 56 years.</w:t>
      </w:r>
    </w:p>
    <w:p w:rsidR="00726F1B" w:rsidRDefault="00726F1B" w:rsidP="00726F1B">
      <w:pPr>
        <w:rPr>
          <w:sz w:val="24"/>
          <w:szCs w:val="24"/>
        </w:rPr>
      </w:pPr>
      <w:r w:rsidRPr="00595C09">
        <w:rPr>
          <w:sz w:val="24"/>
          <w:szCs w:val="24"/>
        </w:rPr>
        <w:t>‡</w:t>
      </w:r>
      <w:r>
        <w:rPr>
          <w:sz w:val="24"/>
          <w:szCs w:val="24"/>
        </w:rPr>
        <w:t xml:space="preserve"> </w:t>
      </w:r>
      <w:r>
        <w:rPr>
          <w:rFonts w:eastAsia="Times New Roman" w:cs="Times New Roman"/>
          <w:bCs/>
          <w:color w:val="000000"/>
          <w:sz w:val="24"/>
          <w:szCs w:val="24"/>
          <w:lang w:eastAsia="nl-BE"/>
        </w:rPr>
        <w:t>Change over the past 5</w:t>
      </w:r>
      <w:r w:rsidRPr="003E792D">
        <w:rPr>
          <w:rFonts w:eastAsia="Times New Roman" w:cs="Times New Roman"/>
          <w:bCs/>
          <w:color w:val="000000"/>
          <w:sz w:val="24"/>
          <w:szCs w:val="24"/>
          <w:lang w:eastAsia="nl-BE"/>
        </w:rPr>
        <w:t xml:space="preserve"> years.</w:t>
      </w:r>
    </w:p>
    <w:p w:rsidR="00726F1B" w:rsidRDefault="00726F1B" w:rsidP="00726F1B">
      <w:pPr>
        <w:rPr>
          <w:rFonts w:eastAsia="Times New Roman" w:cs="Times New Roman"/>
          <w:bCs/>
          <w:color w:val="000000"/>
          <w:sz w:val="24"/>
          <w:szCs w:val="24"/>
          <w:lang w:eastAsia="nl-BE"/>
        </w:rPr>
      </w:pPr>
      <w:r>
        <w:rPr>
          <w:rFonts w:eastAsia="Times New Roman" w:cs="Times New Roman"/>
          <w:bCs/>
          <w:color w:val="000000"/>
          <w:sz w:val="24"/>
          <w:szCs w:val="24"/>
          <w:lang w:eastAsia="nl-BE"/>
        </w:rPr>
        <w:t xml:space="preserve">§ </w:t>
      </w:r>
      <w:r w:rsidRPr="004A7429">
        <w:rPr>
          <w:rFonts w:eastAsia="Times New Roman" w:cs="Times New Roman"/>
          <w:bCs/>
          <w:color w:val="000000"/>
          <w:sz w:val="24"/>
          <w:szCs w:val="24"/>
          <w:lang w:eastAsia="nl-BE"/>
        </w:rPr>
        <w:t xml:space="preserve">A positive value </w:t>
      </w:r>
      <w:r>
        <w:rPr>
          <w:rFonts w:eastAsia="Times New Roman" w:cs="Times New Roman"/>
          <w:bCs/>
          <w:color w:val="000000"/>
          <w:sz w:val="24"/>
          <w:szCs w:val="24"/>
          <w:lang w:eastAsia="nl-BE"/>
        </w:rPr>
        <w:t>for Africa indicates</w:t>
      </w:r>
      <w:r w:rsidRPr="004A7429">
        <w:rPr>
          <w:rFonts w:eastAsia="Times New Roman" w:cs="Times New Roman"/>
          <w:bCs/>
          <w:color w:val="000000"/>
          <w:sz w:val="24"/>
          <w:szCs w:val="24"/>
          <w:lang w:eastAsia="nl-BE"/>
        </w:rPr>
        <w:t xml:space="preserve"> that MAT increased more slowly over 2000-2015 compared to the </w:t>
      </w:r>
      <w:r>
        <w:rPr>
          <w:rFonts w:eastAsia="Times New Roman" w:cs="Times New Roman"/>
          <w:bCs/>
          <w:color w:val="000000"/>
          <w:sz w:val="24"/>
          <w:szCs w:val="24"/>
          <w:lang w:eastAsia="nl-BE"/>
        </w:rPr>
        <w:t xml:space="preserve">mean increase over </w:t>
      </w:r>
      <w:r w:rsidRPr="004A7429">
        <w:rPr>
          <w:rFonts w:eastAsia="Times New Roman" w:cs="Times New Roman"/>
          <w:bCs/>
          <w:color w:val="000000"/>
          <w:sz w:val="24"/>
          <w:szCs w:val="24"/>
          <w:lang w:eastAsia="nl-BE"/>
        </w:rPr>
        <w:t xml:space="preserve">1983-2015, </w:t>
      </w:r>
      <w:r>
        <w:rPr>
          <w:rFonts w:eastAsia="Times New Roman" w:cs="Times New Roman"/>
          <w:bCs/>
          <w:color w:val="000000"/>
          <w:sz w:val="24"/>
          <w:szCs w:val="24"/>
          <w:lang w:eastAsia="nl-BE"/>
        </w:rPr>
        <w:t>therefore contributing to an increase in gains; a z</w:t>
      </w:r>
      <w:r w:rsidRPr="004A7429">
        <w:rPr>
          <w:rFonts w:eastAsia="Times New Roman" w:cs="Times New Roman"/>
          <w:bCs/>
          <w:color w:val="000000"/>
          <w:sz w:val="24"/>
          <w:szCs w:val="24"/>
          <w:lang w:eastAsia="nl-BE"/>
        </w:rPr>
        <w:t>ero</w:t>
      </w:r>
      <w:r>
        <w:rPr>
          <w:rFonts w:eastAsia="Times New Roman" w:cs="Times New Roman"/>
          <w:bCs/>
          <w:color w:val="000000"/>
          <w:sz w:val="24"/>
          <w:szCs w:val="24"/>
          <w:lang w:eastAsia="nl-BE"/>
        </w:rPr>
        <w:t xml:space="preserve"> value fpr Amazonia indicates </w:t>
      </w:r>
      <w:r w:rsidRPr="004A7429">
        <w:rPr>
          <w:rFonts w:eastAsia="Times New Roman" w:cs="Times New Roman"/>
          <w:bCs/>
          <w:color w:val="000000"/>
          <w:sz w:val="24"/>
          <w:szCs w:val="24"/>
          <w:lang w:eastAsia="nl-BE"/>
        </w:rPr>
        <w:t xml:space="preserve">that the rate of MAT increase was the same over 2000-2015 as </w:t>
      </w:r>
      <w:r>
        <w:rPr>
          <w:rFonts w:eastAsia="Times New Roman" w:cs="Times New Roman"/>
          <w:bCs/>
          <w:color w:val="000000"/>
          <w:sz w:val="24"/>
          <w:szCs w:val="24"/>
          <w:lang w:eastAsia="nl-BE"/>
        </w:rPr>
        <w:t xml:space="preserve">the mean increase over 1983-2015. </w:t>
      </w:r>
    </w:p>
    <w:p w:rsidR="00726F1B" w:rsidRPr="00595C09" w:rsidRDefault="00726F1B" w:rsidP="00726F1B">
      <w:pPr>
        <w:rPr>
          <w:rFonts w:cs="Times New Roman"/>
          <w:sz w:val="24"/>
          <w:szCs w:val="24"/>
        </w:rPr>
      </w:pPr>
      <w:r>
        <w:rPr>
          <w:rFonts w:ascii="TimesNewRomanPSMT" w:hAnsi="TimesNewRomanPSMT" w:cs="TimesNewRomanPSMT"/>
          <w:sz w:val="14"/>
          <w:szCs w:val="14"/>
        </w:rPr>
        <w:t xml:space="preserve">║ </w:t>
      </w:r>
      <w:r>
        <w:rPr>
          <w:rFonts w:eastAsia="Times New Roman" w:cs="Times New Roman"/>
          <w:bCs/>
          <w:color w:val="000000"/>
          <w:sz w:val="24"/>
          <w:szCs w:val="24"/>
          <w:lang w:eastAsia="nl-BE"/>
        </w:rPr>
        <w:t>C</w:t>
      </w:r>
      <w:r w:rsidRPr="00595C09">
        <w:rPr>
          <w:rFonts w:eastAsia="Times New Roman" w:cs="Times New Roman"/>
          <w:bCs/>
          <w:color w:val="000000"/>
          <w:sz w:val="24"/>
          <w:szCs w:val="24"/>
          <w:lang w:eastAsia="nl-BE"/>
        </w:rPr>
        <w:t>arbon loss v</w:t>
      </w:r>
      <w:r w:rsidRPr="00595C09">
        <w:rPr>
          <w:rFonts w:cs="Times New Roman"/>
          <w:sz w:val="24"/>
          <w:szCs w:val="24"/>
        </w:rPr>
        <w:t>alues were normalized via power-law transformation, λ= 0.361.</w:t>
      </w:r>
    </w:p>
    <w:p w:rsidR="00EF5658" w:rsidRDefault="00EF5658" w:rsidP="00EF5658"/>
    <w:p w:rsidR="00B43E3C" w:rsidRPr="00B23FBB" w:rsidRDefault="00B43E3C" w:rsidP="00726F1B">
      <w:pPr>
        <w:pStyle w:val="Heading1"/>
      </w:pPr>
      <w:r>
        <w:lastRenderedPageBreak/>
        <w:t xml:space="preserve">Online </w:t>
      </w:r>
      <w:r w:rsidRPr="00B23FBB">
        <w:t>Methods</w:t>
      </w:r>
    </w:p>
    <w:p w:rsidR="00B43E3C" w:rsidRPr="00B23FBB" w:rsidRDefault="00B43E3C" w:rsidP="00726F1B">
      <w:pPr>
        <w:rPr>
          <w:rFonts w:cs="Times New Roman"/>
          <w:sz w:val="24"/>
          <w:szCs w:val="24"/>
        </w:rPr>
      </w:pPr>
    </w:p>
    <w:p w:rsidR="00B43E3C" w:rsidRPr="00B23FBB" w:rsidRDefault="00B43E3C" w:rsidP="00726F1B">
      <w:pPr>
        <w:pStyle w:val="Heading2"/>
        <w:rPr>
          <w:rFonts w:cs="Times New Roman"/>
          <w:szCs w:val="24"/>
        </w:rPr>
      </w:pPr>
      <w:r w:rsidRPr="00B23FBB">
        <w:rPr>
          <w:rFonts w:cs="Times New Roman"/>
          <w:szCs w:val="24"/>
        </w:rPr>
        <w:t xml:space="preserve">Plot </w:t>
      </w:r>
      <w:r>
        <w:rPr>
          <w:rFonts w:cs="Times New Roman"/>
          <w:szCs w:val="24"/>
        </w:rPr>
        <w:t>S</w:t>
      </w:r>
      <w:r w:rsidRPr="00B23FBB">
        <w:rPr>
          <w:rFonts w:cs="Times New Roman"/>
          <w:szCs w:val="24"/>
        </w:rPr>
        <w:t>election</w:t>
      </w:r>
    </w:p>
    <w:p w:rsidR="00B43E3C" w:rsidRPr="007209AA" w:rsidRDefault="00B43E3C" w:rsidP="00726F1B">
      <w:pPr>
        <w:rPr>
          <w:rFonts w:cs="Times New Roman"/>
          <w:sz w:val="24"/>
          <w:szCs w:val="24"/>
        </w:rPr>
      </w:pPr>
      <w:r w:rsidRPr="007209AA">
        <w:rPr>
          <w:rFonts w:cs="Times New Roman"/>
          <w:sz w:val="24"/>
          <w:szCs w:val="24"/>
        </w:rPr>
        <w:t>Closed canopy (i.e. not woody savanna) old-growth mixed-age forest inventory plots were selected using commonly used criteria</w:t>
      </w:r>
      <w:r w:rsidRPr="00EB02F2">
        <w:rPr>
          <w:rFonts w:cs="Times New Roman"/>
          <w:noProof/>
          <w:sz w:val="24"/>
          <w:szCs w:val="24"/>
          <w:vertAlign w:val="superscript"/>
        </w:rPr>
        <w:t>6,13,27</w:t>
      </w:r>
      <w:r w:rsidRPr="007209AA">
        <w:rPr>
          <w:rFonts w:cs="Times New Roman"/>
          <w:sz w:val="24"/>
          <w:szCs w:val="24"/>
        </w:rPr>
        <w:t>: free of fire and industrial logging; all trees with diameter at reference height ≥100 mm measured at least twice; ≥0.2 ha area; &lt;1500 m.a.s.l. altitude; MAT ≥20.0°C</w:t>
      </w:r>
      <w:r w:rsidRPr="00EB02F2">
        <w:rPr>
          <w:rFonts w:cs="Times New Roman"/>
          <w:noProof/>
          <w:sz w:val="24"/>
          <w:szCs w:val="24"/>
          <w:vertAlign w:val="superscript"/>
        </w:rPr>
        <w:t>51</w:t>
      </w:r>
      <w:r w:rsidRPr="007209AA">
        <w:rPr>
          <w:rFonts w:cs="Times New Roman"/>
          <w:sz w:val="24"/>
          <w:szCs w:val="24"/>
        </w:rPr>
        <w:t>; annual precipitation ≥1000 mm</w:t>
      </w:r>
      <w:r w:rsidRPr="00EB02F2">
        <w:rPr>
          <w:rFonts w:cs="Times New Roman"/>
          <w:noProof/>
          <w:sz w:val="24"/>
          <w:szCs w:val="24"/>
          <w:vertAlign w:val="superscript"/>
        </w:rPr>
        <w:t>51</w:t>
      </w:r>
      <w:r w:rsidRPr="007209AA">
        <w:rPr>
          <w:rFonts w:cs="Times New Roman"/>
          <w:sz w:val="24"/>
          <w:szCs w:val="24"/>
        </w:rPr>
        <w:t xml:space="preserve">; located ≥50 m from anthropogenic forest edges. Of the 244 plots included in the study, 217 contribute to the African Tropical Rainforest Observatory Network (AfriTRON; </w:t>
      </w:r>
      <w:hyperlink r:id="rId10" w:history="1">
        <w:r w:rsidRPr="007209AA">
          <w:rPr>
            <w:rStyle w:val="Hyperlink"/>
            <w:rFonts w:cs="Times New Roman"/>
            <w:color w:val="auto"/>
            <w:sz w:val="24"/>
            <w:szCs w:val="24"/>
          </w:rPr>
          <w:t>www.afritron.org</w:t>
        </w:r>
      </w:hyperlink>
      <w:r w:rsidRPr="007209AA">
        <w:rPr>
          <w:rFonts w:cs="Times New Roman"/>
          <w:sz w:val="24"/>
          <w:szCs w:val="24"/>
        </w:rPr>
        <w:t xml:space="preserve">), with data curated at </w:t>
      </w:r>
      <w:hyperlink r:id="rId11" w:history="1">
        <w:r w:rsidRPr="007209AA">
          <w:rPr>
            <w:rStyle w:val="Hyperlink"/>
            <w:rFonts w:cs="Times New Roman"/>
            <w:color w:val="auto"/>
            <w:sz w:val="24"/>
            <w:szCs w:val="24"/>
          </w:rPr>
          <w:t>www.ForestPlots.net</w:t>
        </w:r>
      </w:hyperlink>
      <w:r w:rsidRPr="00EB02F2">
        <w:rPr>
          <w:rStyle w:val="Hyperlink"/>
          <w:rFonts w:cs="Times New Roman"/>
          <w:noProof/>
          <w:color w:val="auto"/>
          <w:sz w:val="24"/>
          <w:szCs w:val="24"/>
          <w:u w:val="none"/>
          <w:vertAlign w:val="superscript"/>
        </w:rPr>
        <w:t>52,53</w:t>
      </w:r>
      <w:r w:rsidRPr="003E276B">
        <w:rPr>
          <w:rStyle w:val="Hyperlink"/>
          <w:rFonts w:cs="Times New Roman"/>
          <w:color w:val="auto"/>
          <w:sz w:val="24"/>
          <w:szCs w:val="24"/>
          <w:u w:val="none"/>
        </w:rPr>
        <w:t xml:space="preserve">. </w:t>
      </w:r>
      <w:r w:rsidRPr="007209AA">
        <w:rPr>
          <w:rStyle w:val="Hyperlink"/>
          <w:rFonts w:cs="Times New Roman"/>
          <w:color w:val="auto"/>
          <w:sz w:val="24"/>
          <w:szCs w:val="24"/>
          <w:u w:val="none"/>
        </w:rPr>
        <w:t>These include plots from Sierra Leone, Liberia, Ghana, Nigeria, Cameroon, Gabon, Republic of Congo, Democratic Republic of Congo (DRC), Uganda and Tanzania</w:t>
      </w:r>
      <w:r w:rsidRPr="00EB02F2">
        <w:rPr>
          <w:rFonts w:cs="Times New Roman"/>
          <w:noProof/>
          <w:sz w:val="24"/>
          <w:szCs w:val="24"/>
          <w:vertAlign w:val="superscript"/>
        </w:rPr>
        <w:t>52,53</w:t>
      </w:r>
      <w:r w:rsidRPr="007209AA">
        <w:rPr>
          <w:rFonts w:cs="Times New Roman"/>
          <w:sz w:val="24"/>
          <w:szCs w:val="24"/>
        </w:rPr>
        <w:t xml:space="preserve"> (Extended Data Figure 1). Fifteen plots are part of the TEAM network, from Cameroon, Republic of Congo, Tanzania, and Uganda</w:t>
      </w:r>
      <w:r w:rsidRPr="00EB02F2">
        <w:rPr>
          <w:rFonts w:cs="Times New Roman"/>
          <w:noProof/>
          <w:sz w:val="24"/>
          <w:szCs w:val="24"/>
          <w:vertAlign w:val="superscript"/>
        </w:rPr>
        <w:t>54-57</w:t>
      </w:r>
      <w:r w:rsidRPr="007209AA">
        <w:rPr>
          <w:rFonts w:cs="Times New Roman"/>
          <w:sz w:val="24"/>
          <w:szCs w:val="24"/>
        </w:rPr>
        <w:t>. Nine plots contribute to the ForestGEO network, from Cameroon and DRC</w:t>
      </w:r>
      <w:r w:rsidRPr="00EB02F2">
        <w:rPr>
          <w:rFonts w:cs="Times New Roman"/>
          <w:noProof/>
          <w:sz w:val="24"/>
          <w:szCs w:val="24"/>
          <w:vertAlign w:val="superscript"/>
        </w:rPr>
        <w:t>58</w:t>
      </w:r>
      <w:r w:rsidRPr="007209AA">
        <w:rPr>
          <w:rFonts w:cs="Times New Roman"/>
          <w:sz w:val="24"/>
          <w:szCs w:val="24"/>
        </w:rPr>
        <w:t xml:space="preserve"> (9 plots from DRC, codes SNG, contribute to both AfriTRON and ForestGEO networks, included above in the AfriTRON total). Finally, three plots from Central African Republic are part of the CIRAD network</w:t>
      </w:r>
      <w:r w:rsidRPr="00EB02F2">
        <w:rPr>
          <w:rFonts w:cs="Times New Roman"/>
          <w:noProof/>
          <w:sz w:val="24"/>
          <w:szCs w:val="24"/>
          <w:vertAlign w:val="superscript"/>
        </w:rPr>
        <w:t>59,60</w:t>
      </w:r>
      <w:r w:rsidRPr="007209AA">
        <w:rPr>
          <w:rFonts w:cs="Times New Roman"/>
          <w:sz w:val="24"/>
          <w:szCs w:val="24"/>
        </w:rPr>
        <w:t xml:space="preserve">. The large majority of plots are sited in terra firme forests and have mixed species composition, although four are in seasonally flooded forest and 14 plots are in </w:t>
      </w:r>
      <w:r w:rsidRPr="007209AA">
        <w:rPr>
          <w:rFonts w:cs="Times New Roman"/>
          <w:i/>
          <w:sz w:val="24"/>
          <w:szCs w:val="24"/>
        </w:rPr>
        <w:t>Gilbertiodendron dewevrei</w:t>
      </w:r>
      <w:r w:rsidRPr="007209AA">
        <w:rPr>
          <w:rFonts w:cs="Times New Roman"/>
          <w:sz w:val="24"/>
          <w:szCs w:val="24"/>
        </w:rPr>
        <w:t xml:space="preserve"> monodominant forest, a locally common forest type in Africa (Supplementary Table 1). The 244 plots have a mean size of 1.1 ha (median, 1 ha), with a total plot area of 277.9 ha. The dataset comprises 391,968 diameter measurements on 135,625 stems, of which 89.9% were identified to species, 97.5% to genus and 97.8% to family. Mean total monitoring period is 11.8 years, mean census length 5.7 years, with a total of 3,214 ha years of monitoring. The 321 Amazon plots are published and were selected using the same criteria</w:t>
      </w:r>
      <w:r w:rsidRPr="00D172EE">
        <w:rPr>
          <w:rFonts w:cs="Times New Roman"/>
          <w:noProof/>
          <w:sz w:val="24"/>
          <w:szCs w:val="24"/>
          <w:vertAlign w:val="superscript"/>
        </w:rPr>
        <w:t>6</w:t>
      </w:r>
      <w:r w:rsidRPr="007209AA">
        <w:rPr>
          <w:rFonts w:cs="Times New Roman"/>
          <w:sz w:val="24"/>
          <w:szCs w:val="24"/>
        </w:rPr>
        <w:t>, except in the African selection criteria we specified a minimum anthropogenic edge distance and added a minimum temperature threshold.</w:t>
      </w:r>
    </w:p>
    <w:p w:rsidR="00B43E3C" w:rsidRPr="007209AA" w:rsidRDefault="00B43E3C" w:rsidP="00726F1B">
      <w:pPr>
        <w:rPr>
          <w:rFonts w:cs="Times New Roman"/>
          <w:color w:val="292526"/>
          <w:sz w:val="24"/>
          <w:szCs w:val="24"/>
        </w:rPr>
      </w:pPr>
    </w:p>
    <w:p w:rsidR="00B43E3C" w:rsidRPr="00B23FBB" w:rsidRDefault="00B43E3C" w:rsidP="00726F1B">
      <w:pPr>
        <w:pStyle w:val="Heading2"/>
        <w:rPr>
          <w:rFonts w:cs="Times New Roman"/>
          <w:szCs w:val="24"/>
        </w:rPr>
      </w:pPr>
      <w:r w:rsidRPr="00B23FBB">
        <w:rPr>
          <w:rFonts w:cs="Times New Roman"/>
          <w:szCs w:val="24"/>
        </w:rPr>
        <w:lastRenderedPageBreak/>
        <w:t xml:space="preserve">Plot </w:t>
      </w:r>
      <w:r>
        <w:rPr>
          <w:rFonts w:cs="Times New Roman"/>
          <w:szCs w:val="24"/>
        </w:rPr>
        <w:t>I</w:t>
      </w:r>
      <w:r w:rsidRPr="00B23FBB">
        <w:rPr>
          <w:rFonts w:cs="Times New Roman"/>
          <w:szCs w:val="24"/>
        </w:rPr>
        <w:t>nventory and Tree Biomass Carbon Estimation</w:t>
      </w:r>
    </w:p>
    <w:p w:rsidR="00B43E3C" w:rsidRPr="00EB71CB" w:rsidRDefault="00B43E3C" w:rsidP="00726F1B">
      <w:pPr>
        <w:rPr>
          <w:rFonts w:eastAsiaTheme="minorEastAsia" w:cs="Times New Roman"/>
          <w:sz w:val="24"/>
          <w:szCs w:val="24"/>
        </w:rPr>
      </w:pPr>
      <w:r w:rsidRPr="007209AA">
        <w:rPr>
          <w:rFonts w:cs="Times New Roman"/>
          <w:color w:val="231F20"/>
          <w:sz w:val="24"/>
          <w:szCs w:val="24"/>
        </w:rPr>
        <w:t>Tree-level aboveground biomass carbon is estimated using an allometric equation with parameters for tree diameter, tree height and wood mass density</w:t>
      </w:r>
      <w:r w:rsidRPr="00EB02F2">
        <w:rPr>
          <w:rFonts w:cs="Times New Roman"/>
          <w:noProof/>
          <w:sz w:val="24"/>
          <w:szCs w:val="24"/>
          <w:vertAlign w:val="superscript"/>
        </w:rPr>
        <w:t>61</w:t>
      </w:r>
      <w:r w:rsidRPr="007209AA">
        <w:rPr>
          <w:rFonts w:cs="Times New Roman"/>
          <w:color w:val="231F20"/>
          <w:sz w:val="24"/>
          <w:szCs w:val="24"/>
        </w:rPr>
        <w:t>.</w:t>
      </w:r>
      <w:r>
        <w:rPr>
          <w:rFonts w:cs="Times New Roman"/>
          <w:color w:val="231F20"/>
          <w:sz w:val="24"/>
          <w:szCs w:val="24"/>
        </w:rPr>
        <w:t xml:space="preserve"> The calculation of each is discussed in turn. </w:t>
      </w:r>
      <w:r w:rsidRPr="00EB71CB">
        <w:rPr>
          <w:rFonts w:cs="Times New Roman"/>
          <w:sz w:val="24"/>
          <w:szCs w:val="24"/>
        </w:rPr>
        <w:t>All calculations were performed using the R sta</w:t>
      </w:r>
      <w:r>
        <w:rPr>
          <w:rFonts w:cs="Times New Roman"/>
          <w:sz w:val="24"/>
          <w:szCs w:val="24"/>
        </w:rPr>
        <w:t>tistical platform, version 3.2.1 (ref.</w:t>
      </w:r>
      <w:r w:rsidRPr="00EB02F2">
        <w:rPr>
          <w:rFonts w:cs="Times New Roman"/>
          <w:noProof/>
          <w:sz w:val="24"/>
          <w:szCs w:val="24"/>
          <w:vertAlign w:val="superscript"/>
        </w:rPr>
        <w:t>62</w:t>
      </w:r>
      <w:r>
        <w:rPr>
          <w:rFonts w:cs="Times New Roman"/>
          <w:sz w:val="24"/>
          <w:szCs w:val="24"/>
        </w:rPr>
        <w:t>)</w:t>
      </w:r>
      <w:r w:rsidRPr="00EB71CB">
        <w:rPr>
          <w:rFonts w:cs="Times New Roman"/>
          <w:sz w:val="24"/>
          <w:szCs w:val="24"/>
        </w:rPr>
        <w:t xml:space="preserve"> using the BiomasaFP R package</w:t>
      </w:r>
      <w:r>
        <w:rPr>
          <w:rFonts w:cs="Times New Roman"/>
          <w:sz w:val="24"/>
          <w:szCs w:val="24"/>
        </w:rPr>
        <w:t>,</w:t>
      </w:r>
      <w:r w:rsidRPr="00EB71CB">
        <w:rPr>
          <w:rFonts w:cs="Times New Roman"/>
          <w:sz w:val="24"/>
          <w:szCs w:val="24"/>
        </w:rPr>
        <w:t xml:space="preserve"> v</w:t>
      </w:r>
      <w:r>
        <w:rPr>
          <w:rFonts w:cs="Times New Roman"/>
          <w:sz w:val="24"/>
          <w:szCs w:val="24"/>
        </w:rPr>
        <w:t xml:space="preserve">ersion </w:t>
      </w:r>
      <w:r w:rsidRPr="00EB71CB">
        <w:rPr>
          <w:rFonts w:cs="Times New Roman"/>
          <w:sz w:val="24"/>
          <w:szCs w:val="24"/>
        </w:rPr>
        <w:t>0.2.1</w:t>
      </w:r>
      <w:r>
        <w:rPr>
          <w:rFonts w:cs="Times New Roman"/>
          <w:sz w:val="24"/>
          <w:szCs w:val="24"/>
        </w:rPr>
        <w:t xml:space="preserve"> (ref.</w:t>
      </w:r>
      <w:r w:rsidRPr="00EB02F2">
        <w:rPr>
          <w:rFonts w:cs="Times New Roman"/>
          <w:noProof/>
          <w:sz w:val="24"/>
          <w:szCs w:val="24"/>
          <w:vertAlign w:val="superscript"/>
        </w:rPr>
        <w:t>63</w:t>
      </w:r>
      <w:r>
        <w:rPr>
          <w:rFonts w:cs="Times New Roman"/>
          <w:sz w:val="24"/>
          <w:szCs w:val="24"/>
        </w:rPr>
        <w:t>).</w:t>
      </w:r>
    </w:p>
    <w:p w:rsidR="00B43E3C" w:rsidRPr="0025307F" w:rsidRDefault="00B43E3C" w:rsidP="00726F1B">
      <w:pPr>
        <w:rPr>
          <w:rFonts w:cs="Times New Roman"/>
          <w:color w:val="231F20"/>
          <w:sz w:val="24"/>
          <w:szCs w:val="24"/>
        </w:rPr>
      </w:pPr>
      <w:r w:rsidRPr="008A6C88">
        <w:rPr>
          <w:rFonts w:cs="Times New Roman"/>
          <w:color w:val="231F20"/>
          <w:sz w:val="24"/>
          <w:szCs w:val="24"/>
        </w:rPr>
        <w:t xml:space="preserve"> </w:t>
      </w:r>
    </w:p>
    <w:p w:rsidR="00B43E3C" w:rsidRPr="0025307F" w:rsidRDefault="00B43E3C" w:rsidP="00726F1B">
      <w:pPr>
        <w:rPr>
          <w:rFonts w:cs="Times New Roman"/>
          <w:sz w:val="24"/>
          <w:szCs w:val="24"/>
        </w:rPr>
      </w:pPr>
      <w:r w:rsidRPr="0025307F">
        <w:rPr>
          <w:rFonts w:cs="Times New Roman"/>
          <w:i/>
          <w:color w:val="231F20"/>
          <w:sz w:val="24"/>
          <w:szCs w:val="24"/>
        </w:rPr>
        <w:t>Tree Diameter:</w:t>
      </w:r>
      <w:r w:rsidRPr="0025307F">
        <w:rPr>
          <w:rFonts w:cs="Times New Roman"/>
          <w:color w:val="231F20"/>
          <w:sz w:val="24"/>
          <w:szCs w:val="24"/>
        </w:rPr>
        <w:t xml:space="preserve"> In all plots,</w:t>
      </w:r>
      <w:r w:rsidRPr="0025307F">
        <w:rPr>
          <w:rFonts w:cs="Times New Roman"/>
          <w:sz w:val="24"/>
          <w:szCs w:val="24"/>
        </w:rPr>
        <w:t xml:space="preserve"> all woody stems with ≥100 mm </w:t>
      </w:r>
      <w:r w:rsidRPr="0025307F">
        <w:rPr>
          <w:rFonts w:cs="Times New Roman"/>
          <w:sz w:val="24"/>
          <w:szCs w:val="24"/>
          <w:lang w:val="en-GB"/>
        </w:rPr>
        <w:t xml:space="preserve">diameter at 1.3 m from the base of the stem (‘diameter at breast height’, DBH), or 0.5 m above deformities or buttresses, </w:t>
      </w:r>
      <w:r w:rsidRPr="0025307F">
        <w:rPr>
          <w:rFonts w:cs="Times New Roman"/>
          <w:sz w:val="24"/>
          <w:szCs w:val="24"/>
        </w:rPr>
        <w:t xml:space="preserve">were measured, mapped and identified using standard forest inventory </w:t>
      </w:r>
      <w:r w:rsidRPr="007209AA">
        <w:rPr>
          <w:rFonts w:cs="Times New Roman"/>
          <w:sz w:val="24"/>
          <w:szCs w:val="24"/>
        </w:rPr>
        <w:t>methods</w:t>
      </w:r>
      <w:r w:rsidRPr="00EB02F2">
        <w:rPr>
          <w:rFonts w:cs="Times New Roman"/>
          <w:noProof/>
          <w:sz w:val="24"/>
          <w:szCs w:val="24"/>
          <w:vertAlign w:val="superscript"/>
        </w:rPr>
        <w:t>64,65</w:t>
      </w:r>
      <w:r w:rsidRPr="007209AA">
        <w:rPr>
          <w:rFonts w:cs="Times New Roman"/>
          <w:sz w:val="24"/>
          <w:szCs w:val="24"/>
        </w:rPr>
        <w:t>.</w:t>
      </w:r>
      <w:r w:rsidRPr="0025307F">
        <w:rPr>
          <w:rFonts w:cs="Times New Roman"/>
          <w:color w:val="231F20"/>
          <w:sz w:val="24"/>
          <w:szCs w:val="24"/>
        </w:rPr>
        <w:t xml:space="preserve"> </w:t>
      </w:r>
      <w:r w:rsidRPr="0025307F">
        <w:rPr>
          <w:rFonts w:cs="Times New Roman"/>
          <w:sz w:val="24"/>
          <w:szCs w:val="24"/>
          <w:lang w:val="en-GB"/>
        </w:rPr>
        <w:t>The height of the point of measurement (POM) was marked on the trees and recorded, so that the same POM is used at the subsequent forest census. For stems developing deformities or buttresses over time that could potentially disturb the initial POM, the POM was raised approximately 500 mm above the deformity. Estimates of the diameter growth of trees with changed POM used the ratio of new and old POMs, to create a single trajectory of growth from the series of diameters at two POM heights</w:t>
      </w:r>
      <w:r w:rsidRPr="00D172EE">
        <w:rPr>
          <w:rFonts w:cs="Times New Roman"/>
          <w:noProof/>
          <w:sz w:val="24"/>
          <w:szCs w:val="24"/>
          <w:vertAlign w:val="superscript"/>
          <w:lang w:val="en-GB"/>
        </w:rPr>
        <w:t>6</w:t>
      </w:r>
      <w:r w:rsidRPr="0025307F">
        <w:rPr>
          <w:rFonts w:cs="Times New Roman"/>
          <w:sz w:val="24"/>
          <w:szCs w:val="24"/>
          <w:vertAlign w:val="superscript"/>
          <w:lang w:val="en-GB"/>
        </w:rPr>
        <w:t>,</w:t>
      </w:r>
      <w:r w:rsidRPr="005A2EB8">
        <w:rPr>
          <w:rFonts w:cs="Times New Roman"/>
          <w:noProof/>
          <w:sz w:val="24"/>
          <w:szCs w:val="24"/>
          <w:vertAlign w:val="superscript"/>
          <w:lang w:val="en-GB"/>
        </w:rPr>
        <w:t>13</w:t>
      </w:r>
      <w:r w:rsidRPr="0025307F">
        <w:rPr>
          <w:rFonts w:cs="Times New Roman"/>
          <w:sz w:val="24"/>
          <w:szCs w:val="24"/>
          <w:vertAlign w:val="superscript"/>
          <w:lang w:val="en-GB"/>
        </w:rPr>
        <w:t>,</w:t>
      </w:r>
      <w:r w:rsidRPr="00EB02F2">
        <w:rPr>
          <w:rFonts w:cs="Times New Roman"/>
          <w:noProof/>
          <w:sz w:val="24"/>
          <w:szCs w:val="24"/>
          <w:vertAlign w:val="superscript"/>
          <w:lang w:val="en-GB"/>
        </w:rPr>
        <w:t>65</w:t>
      </w:r>
      <w:r w:rsidRPr="0025307F">
        <w:rPr>
          <w:rFonts w:cs="Times New Roman"/>
          <w:sz w:val="24"/>
          <w:szCs w:val="24"/>
          <w:lang w:val="en-GB"/>
        </w:rPr>
        <w:t xml:space="preserve">. </w:t>
      </w:r>
      <w:r w:rsidRPr="0025307F">
        <w:rPr>
          <w:rFonts w:cs="Times New Roman"/>
          <w:sz w:val="24"/>
          <w:szCs w:val="24"/>
        </w:rPr>
        <w:t>We used standardised protocols to assess typographical errors and potentially erroneous diameter values (e.g. trees shrinking by &gt;5 mm), missing values, failures to find the original POM, and other issues. Where necessary we estimated the likely value via interpolation or extrapolation from other measurements of that tree, or when this was not possible we used the median growth rate of trees in the same plot, census and size-class, defined as DBH = 100-199 mm, or 200-399 mm, or &gt;400 mm</w:t>
      </w:r>
      <w:r w:rsidRPr="00EB02F2">
        <w:rPr>
          <w:rFonts w:cs="Times New Roman"/>
          <w:noProof/>
          <w:sz w:val="24"/>
          <w:szCs w:val="24"/>
          <w:vertAlign w:val="superscript"/>
          <w:lang w:val="en-GB"/>
        </w:rPr>
        <w:t>65</w:t>
      </w:r>
      <w:r w:rsidRPr="0025307F">
        <w:rPr>
          <w:rFonts w:cs="Times New Roman"/>
          <w:sz w:val="24"/>
          <w:szCs w:val="24"/>
        </w:rPr>
        <w:t>. We interpolated measurements for 1.3% of diameters, extrapolated 0.9%, and used median growth rates for 1.5%.</w:t>
      </w:r>
    </w:p>
    <w:p w:rsidR="00B43E3C" w:rsidRPr="0025307F" w:rsidRDefault="00B43E3C" w:rsidP="00726F1B">
      <w:pPr>
        <w:rPr>
          <w:rFonts w:cs="Times New Roman"/>
          <w:sz w:val="24"/>
          <w:szCs w:val="24"/>
        </w:rPr>
      </w:pPr>
    </w:p>
    <w:p w:rsidR="00B43E3C" w:rsidRPr="00CF1F3A" w:rsidRDefault="00B43E3C" w:rsidP="00726F1B">
      <w:pPr>
        <w:rPr>
          <w:rFonts w:cs="Times New Roman"/>
          <w:sz w:val="24"/>
          <w:szCs w:val="24"/>
        </w:rPr>
      </w:pPr>
      <w:r w:rsidRPr="0025307F">
        <w:rPr>
          <w:rFonts w:cs="Times New Roman"/>
          <w:i/>
          <w:sz w:val="24"/>
          <w:szCs w:val="24"/>
        </w:rPr>
        <w:t>Tree height</w:t>
      </w:r>
      <w:r w:rsidRPr="0025307F">
        <w:rPr>
          <w:rFonts w:cs="Times New Roman"/>
          <w:sz w:val="24"/>
          <w:szCs w:val="24"/>
        </w:rPr>
        <w:t>: Height of individuals from ground to the top leaf, hereafter H</w:t>
      </w:r>
      <w:r w:rsidRPr="0025307F">
        <w:rPr>
          <w:rFonts w:cs="Times New Roman"/>
          <w:sz w:val="24"/>
          <w:szCs w:val="24"/>
          <w:vertAlign w:val="subscript"/>
        </w:rPr>
        <w:t>t</w:t>
      </w:r>
      <w:r w:rsidRPr="0025307F">
        <w:rPr>
          <w:rFonts w:cs="Times New Roman"/>
          <w:sz w:val="24"/>
          <w:szCs w:val="24"/>
        </w:rPr>
        <w:t xml:space="preserve">, was measured in 204 plots, using a laser hypsometer (Nikon forestry Pro) from directly below the crown (most plots), a laser or ultrasonic distance device with an electronic tilt sensor, a manual clinometer, or by direct </w:t>
      </w:r>
      <w:r w:rsidRPr="0025307F">
        <w:rPr>
          <w:rFonts w:cs="Times New Roman"/>
          <w:sz w:val="24"/>
          <w:szCs w:val="24"/>
        </w:rPr>
        <w:lastRenderedPageBreak/>
        <w:t>measurement, i.e. tree climbing. Only trees where the top was visible were selected</w:t>
      </w:r>
      <w:r w:rsidRPr="00EB02F2">
        <w:rPr>
          <w:rFonts w:cs="Times New Roman"/>
          <w:noProof/>
          <w:sz w:val="24"/>
          <w:szCs w:val="24"/>
          <w:vertAlign w:val="superscript"/>
        </w:rPr>
        <w:t>66</w:t>
      </w:r>
      <w:r w:rsidRPr="0025307F">
        <w:rPr>
          <w:rFonts w:cs="Times New Roman"/>
          <w:sz w:val="24"/>
          <w:szCs w:val="24"/>
        </w:rPr>
        <w:t>. In most plots, tree selection was similar: the 10 largest trees were measured, together with 10 randomly selected trees per diameter from five classes: 100-199 mm, 200-299 mm, 300-399 mm, 400-499 mm, and 500+ mm trees, following standard protocols</w:t>
      </w:r>
      <w:r w:rsidRPr="00EB02F2">
        <w:rPr>
          <w:rFonts w:cs="Times New Roman"/>
          <w:noProof/>
          <w:sz w:val="24"/>
          <w:szCs w:val="24"/>
          <w:vertAlign w:val="superscript"/>
        </w:rPr>
        <w:t>66</w:t>
      </w:r>
      <w:r w:rsidRPr="0025307F">
        <w:rPr>
          <w:rFonts w:cs="Times New Roman"/>
          <w:sz w:val="24"/>
          <w:szCs w:val="24"/>
        </w:rPr>
        <w:t>. We</w:t>
      </w:r>
      <w:r>
        <w:rPr>
          <w:rFonts w:cs="Times New Roman"/>
          <w:sz w:val="24"/>
          <w:szCs w:val="24"/>
        </w:rPr>
        <w:t xml:space="preserve"> measured</w:t>
      </w:r>
      <w:r w:rsidRPr="0025307F">
        <w:rPr>
          <w:rFonts w:cs="Times New Roman"/>
          <w:sz w:val="24"/>
          <w:szCs w:val="24"/>
        </w:rPr>
        <w:t xml:space="preserve"> </w:t>
      </w:r>
      <w:r>
        <w:rPr>
          <w:rFonts w:cs="Times New Roman"/>
          <w:sz w:val="24"/>
          <w:szCs w:val="24"/>
        </w:rPr>
        <w:t xml:space="preserve">actual height </w:t>
      </w:r>
      <w:r w:rsidRPr="0025307F">
        <w:rPr>
          <w:rFonts w:cs="Times New Roman"/>
          <w:sz w:val="24"/>
          <w:szCs w:val="24"/>
        </w:rPr>
        <w:t>of 24,270 individual trees from 204 plots</w:t>
      </w:r>
      <w:r>
        <w:rPr>
          <w:rFonts w:cs="Times New Roman"/>
          <w:sz w:val="24"/>
          <w:szCs w:val="24"/>
        </w:rPr>
        <w:t>.</w:t>
      </w:r>
      <w:r w:rsidRPr="0025307F">
        <w:rPr>
          <w:rFonts w:cs="Times New Roman"/>
          <w:sz w:val="24"/>
          <w:szCs w:val="24"/>
        </w:rPr>
        <w:t xml:space="preserve"> We used these data and the local.heights function in R package BiomasaFP</w:t>
      </w:r>
      <w:r w:rsidRPr="00EB02F2">
        <w:rPr>
          <w:rFonts w:cs="Times New Roman"/>
          <w:noProof/>
          <w:sz w:val="24"/>
          <w:szCs w:val="24"/>
          <w:vertAlign w:val="superscript"/>
        </w:rPr>
        <w:t>63</w:t>
      </w:r>
      <w:r w:rsidRPr="0025307F">
        <w:rPr>
          <w:rFonts w:cs="Times New Roman"/>
          <w:sz w:val="24"/>
          <w:szCs w:val="24"/>
        </w:rPr>
        <w:t xml:space="preserve"> to fit 3-p</w:t>
      </w:r>
      <w:r>
        <w:rPr>
          <w:rFonts w:cs="Times New Roman"/>
          <w:sz w:val="24"/>
          <w:szCs w:val="24"/>
        </w:rPr>
        <w:t>arameter Weibull relationships</w:t>
      </w:r>
      <w:r w:rsidRPr="0025307F">
        <w:rPr>
          <w:rFonts w:cs="Times New Roman"/>
          <w:sz w:val="24"/>
          <w:szCs w:val="24"/>
        </w:rPr>
        <w:t xml:space="preserve">: </w:t>
      </w:r>
      <w:r w:rsidRPr="0036359A">
        <w:rPr>
          <w:rFonts w:cs="Times New Roman"/>
          <w:sz w:val="24"/>
          <w:szCs w:val="24"/>
        </w:rPr>
        <w:t>H</w:t>
      </w:r>
      <w:r w:rsidRPr="0036359A">
        <w:rPr>
          <w:rFonts w:cs="Times New Roman"/>
          <w:sz w:val="24"/>
          <w:szCs w:val="24"/>
          <w:vertAlign w:val="subscript"/>
        </w:rPr>
        <w:t>t</w:t>
      </w:r>
      <w:r w:rsidRPr="0036359A">
        <w:rPr>
          <w:rFonts w:cs="Times New Roman"/>
          <w:sz w:val="24"/>
          <w:szCs w:val="24"/>
        </w:rPr>
        <w:t>=a ×</w:t>
      </w:r>
      <w:r>
        <w:rPr>
          <w:rFonts w:cs="Times New Roman"/>
          <w:sz w:val="24"/>
          <w:szCs w:val="24"/>
        </w:rPr>
        <w:t xml:space="preserve"> </w:t>
      </w:r>
      <w:r w:rsidRPr="0036359A">
        <w:rPr>
          <w:rFonts w:cs="Times New Roman"/>
          <w:sz w:val="24"/>
          <w:szCs w:val="24"/>
        </w:rPr>
        <w:t>(1-e</w:t>
      </w:r>
      <w:r w:rsidRPr="0036359A">
        <w:rPr>
          <w:rFonts w:cs="Times New Roman"/>
          <w:sz w:val="24"/>
          <w:szCs w:val="24"/>
          <w:vertAlign w:val="superscript"/>
        </w:rPr>
        <w:t>((-b ×</w:t>
      </w:r>
      <w:r>
        <w:rPr>
          <w:rFonts w:cs="Times New Roman"/>
          <w:sz w:val="24"/>
          <w:szCs w:val="24"/>
          <w:vertAlign w:val="superscript"/>
        </w:rPr>
        <w:t xml:space="preserve"> </w:t>
      </w:r>
      <w:r w:rsidRPr="0036359A">
        <w:rPr>
          <w:rFonts w:cs="Times New Roman"/>
          <w:sz w:val="24"/>
          <w:szCs w:val="24"/>
          <w:vertAlign w:val="superscript"/>
        </w:rPr>
        <w:t>(DBH/10)</w:t>
      </w:r>
      <w:r w:rsidRPr="0036359A">
        <w:rPr>
          <w:rFonts w:cs="Times New Roman"/>
          <w:position w:val="6"/>
          <w:sz w:val="24"/>
          <w:szCs w:val="24"/>
          <w:vertAlign w:val="superscript"/>
        </w:rPr>
        <w:t>c</w:t>
      </w:r>
      <w:r w:rsidRPr="0036359A">
        <w:rPr>
          <w:rFonts w:cs="Times New Roman"/>
          <w:sz w:val="24"/>
          <w:szCs w:val="24"/>
          <w:vertAlign w:val="superscript"/>
        </w:rPr>
        <w:t xml:space="preserve"> ) )</w:t>
      </w:r>
      <w:r>
        <w:rPr>
          <w:rFonts w:cs="Times New Roman"/>
          <w:sz w:val="24"/>
          <w:szCs w:val="24"/>
        </w:rPr>
        <w:t xml:space="preserve"> </w:t>
      </w:r>
      <w:r w:rsidRPr="0036359A">
        <w:rPr>
          <w:rFonts w:cs="Times New Roman"/>
          <w:sz w:val="24"/>
          <w:szCs w:val="24"/>
        </w:rPr>
        <w:t xml:space="preserve">) </w:t>
      </w:r>
      <w:r w:rsidRPr="0025307F">
        <w:rPr>
          <w:rFonts w:cs="Times New Roman"/>
          <w:sz w:val="24"/>
          <w:szCs w:val="24"/>
        </w:rPr>
        <w:t>(equation 1).</w:t>
      </w:r>
      <w:r>
        <w:rPr>
          <w:rFonts w:cs="Times New Roman"/>
          <w:sz w:val="24"/>
          <w:szCs w:val="24"/>
        </w:rPr>
        <w:t xml:space="preserve"> </w:t>
      </w:r>
      <w:r w:rsidRPr="0025307F">
        <w:rPr>
          <w:rFonts w:cs="Times New Roman"/>
          <w:sz w:val="24"/>
          <w:szCs w:val="24"/>
        </w:rPr>
        <w:t>We chose the Weibull model as it is known to be robust when a large number of measurements are available</w:t>
      </w:r>
      <w:r w:rsidRPr="00EB02F2">
        <w:rPr>
          <w:rFonts w:cs="Times New Roman"/>
          <w:noProof/>
          <w:sz w:val="24"/>
          <w:szCs w:val="24"/>
          <w:vertAlign w:val="superscript"/>
        </w:rPr>
        <w:t>66,67</w:t>
      </w:r>
      <w:r w:rsidRPr="0025307F">
        <w:rPr>
          <w:rFonts w:cs="Times New Roman"/>
          <w:sz w:val="24"/>
          <w:szCs w:val="24"/>
        </w:rPr>
        <w:t xml:space="preserve">. </w:t>
      </w:r>
      <w:r w:rsidRPr="0025307F">
        <w:rPr>
          <w:rFonts w:eastAsiaTheme="minorEastAsia" w:cs="Times New Roman"/>
          <w:sz w:val="24"/>
          <w:szCs w:val="24"/>
        </w:rPr>
        <w:t>We parameterised separate H</w:t>
      </w:r>
      <w:r w:rsidRPr="0025307F">
        <w:rPr>
          <w:rFonts w:eastAsiaTheme="minorEastAsia" w:cs="Times New Roman"/>
          <w:sz w:val="24"/>
          <w:szCs w:val="24"/>
          <w:vertAlign w:val="subscript"/>
        </w:rPr>
        <w:t>t</w:t>
      </w:r>
      <w:r w:rsidRPr="0025307F">
        <w:rPr>
          <w:rFonts w:eastAsiaTheme="minorEastAsia" w:cs="Times New Roman"/>
          <w:sz w:val="24"/>
          <w:szCs w:val="24"/>
        </w:rPr>
        <w:t xml:space="preserve">-DBH relationship for four different combinations of edaphic forest type and biogeographical region: (i) terra firme forest in West Africa, (ii) terra firme forest in </w:t>
      </w:r>
      <w:r w:rsidRPr="0025307F">
        <w:rPr>
          <w:rFonts w:cs="Times New Roman"/>
          <w:sz w:val="24"/>
          <w:szCs w:val="24"/>
        </w:rPr>
        <w:t>Lower Guinea and Western Congo Basin</w:t>
      </w:r>
      <w:r w:rsidRPr="0025307F">
        <w:rPr>
          <w:rFonts w:eastAsiaTheme="minorEastAsia" w:cs="Times New Roman"/>
          <w:sz w:val="24"/>
          <w:szCs w:val="24"/>
        </w:rPr>
        <w:t xml:space="preserve">, (iii) terra firme forest in </w:t>
      </w:r>
      <w:r w:rsidRPr="0025307F">
        <w:rPr>
          <w:rFonts w:cs="Times New Roman"/>
          <w:sz w:val="24"/>
          <w:szCs w:val="24"/>
        </w:rPr>
        <w:t>Eastern Congo Basin and East Africa, (iv</w:t>
      </w:r>
      <w:r w:rsidRPr="0025307F">
        <w:rPr>
          <w:rFonts w:eastAsiaTheme="minorEastAsia" w:cs="Times New Roman"/>
          <w:sz w:val="24"/>
          <w:szCs w:val="24"/>
        </w:rPr>
        <w:t xml:space="preserve">) </w:t>
      </w:r>
      <w:r w:rsidRPr="0025307F">
        <w:rPr>
          <w:rFonts w:cs="Times New Roman"/>
          <w:sz w:val="24"/>
          <w:szCs w:val="24"/>
        </w:rPr>
        <w:t xml:space="preserve">seasonally flooded forest from Lower Guinea and Western Congo Basin (there were no seasonally flooded forest plots in the other </w:t>
      </w:r>
      <w:r w:rsidRPr="0025307F">
        <w:rPr>
          <w:rFonts w:eastAsiaTheme="minorEastAsia" w:cs="Times New Roman"/>
          <w:sz w:val="24"/>
          <w:szCs w:val="24"/>
        </w:rPr>
        <w:t xml:space="preserve">biogeographical </w:t>
      </w:r>
      <w:r w:rsidRPr="0025307F">
        <w:rPr>
          <w:rFonts w:cs="Times New Roman"/>
          <w:sz w:val="24"/>
          <w:szCs w:val="24"/>
        </w:rPr>
        <w:t>regions). The parameters are: (i) terra firme forest in West Africa, a=56.0; b=</w:t>
      </w:r>
      <w:r w:rsidRPr="0025307F">
        <w:rPr>
          <w:rFonts w:eastAsia="Times New Roman" w:cs="Times New Roman"/>
          <w:color w:val="000000"/>
          <w:sz w:val="24"/>
          <w:szCs w:val="24"/>
          <w:lang w:eastAsia="nl-BE"/>
        </w:rPr>
        <w:t>0.0401; c=0.744</w:t>
      </w:r>
      <w:r w:rsidRPr="0025307F">
        <w:rPr>
          <w:rFonts w:cs="Times New Roman"/>
          <w:sz w:val="24"/>
          <w:szCs w:val="24"/>
        </w:rPr>
        <w:t xml:space="preserve">; (ii) terra firme forest in Lower Guinea and Western Congo Basin, </w:t>
      </w:r>
      <w:r w:rsidRPr="0025307F">
        <w:rPr>
          <w:rFonts w:eastAsia="Times New Roman" w:cs="Times New Roman"/>
          <w:color w:val="000000"/>
          <w:sz w:val="24"/>
          <w:szCs w:val="24"/>
          <w:lang w:eastAsia="nl-BE"/>
        </w:rPr>
        <w:t>a=47.6; b=0.0536; c=0.755</w:t>
      </w:r>
      <w:r w:rsidRPr="0025307F">
        <w:rPr>
          <w:rFonts w:cs="Times New Roman"/>
          <w:sz w:val="24"/>
          <w:szCs w:val="24"/>
        </w:rPr>
        <w:t>; (iii) terra firme forest in Eastern Congo Basin and East Africa, a=</w:t>
      </w:r>
      <w:r w:rsidRPr="0025307F">
        <w:rPr>
          <w:rFonts w:eastAsia="Times New Roman" w:cs="Times New Roman"/>
          <w:color w:val="000000"/>
          <w:sz w:val="24"/>
          <w:szCs w:val="24"/>
          <w:lang w:eastAsia="nl-BE"/>
        </w:rPr>
        <w:t>50.8; b=0.0499; c=0.706</w:t>
      </w:r>
      <w:r w:rsidRPr="0025307F">
        <w:rPr>
          <w:rFonts w:cs="Times New Roman"/>
          <w:sz w:val="24"/>
          <w:szCs w:val="24"/>
        </w:rPr>
        <w:t>; and finally (iv) seasonally flooded forest from Lower Guinea and Western Congo Basin, a=</w:t>
      </w:r>
      <w:r w:rsidRPr="0025307F">
        <w:rPr>
          <w:rFonts w:eastAsia="Times New Roman" w:cs="Times New Roman"/>
          <w:color w:val="000000"/>
          <w:sz w:val="24"/>
          <w:szCs w:val="24"/>
          <w:lang w:eastAsia="nl-BE"/>
        </w:rPr>
        <w:t xml:space="preserve">38.2; b=0.0605; c=0.760. </w:t>
      </w:r>
      <w:r w:rsidRPr="0025307F">
        <w:rPr>
          <w:rFonts w:cs="Times New Roman"/>
          <w:sz w:val="24"/>
          <w:szCs w:val="24"/>
        </w:rPr>
        <w:t xml:space="preserve">For each of these combinations of forest type and bioregion, the local.heights function combines all height measurements from all plots belonging to that forest type/bioregion and fits the </w:t>
      </w:r>
      <w:r w:rsidRPr="0025307F">
        <w:rPr>
          <w:rFonts w:eastAsia="Times New Roman" w:cs="Times New Roman"/>
          <w:sz w:val="24"/>
          <w:szCs w:val="24"/>
        </w:rPr>
        <w:t xml:space="preserve">Weibull model parameters using non-linear least squares (nls function in R with default settings), with starting values of </w:t>
      </w:r>
      <w:r w:rsidRPr="0025307F">
        <w:rPr>
          <w:rFonts w:eastAsia="Times New Roman" w:cs="Times New Roman"/>
          <w:i/>
          <w:sz w:val="24"/>
          <w:szCs w:val="24"/>
        </w:rPr>
        <w:t>a</w:t>
      </w:r>
      <w:r w:rsidRPr="0025307F">
        <w:rPr>
          <w:rFonts w:eastAsia="Times New Roman" w:cs="Times New Roman"/>
          <w:sz w:val="24"/>
          <w:szCs w:val="24"/>
        </w:rPr>
        <w:t xml:space="preserve"> = 25, </w:t>
      </w:r>
      <w:r w:rsidRPr="0025307F">
        <w:rPr>
          <w:rFonts w:eastAsia="Times New Roman" w:cs="Times New Roman"/>
          <w:i/>
          <w:sz w:val="24"/>
          <w:szCs w:val="24"/>
        </w:rPr>
        <w:t>b</w:t>
      </w:r>
      <w:r w:rsidRPr="0025307F">
        <w:rPr>
          <w:rFonts w:eastAsia="Times New Roman" w:cs="Times New Roman"/>
          <w:sz w:val="24"/>
          <w:szCs w:val="24"/>
        </w:rPr>
        <w:t xml:space="preserve"> = 0.05 and </w:t>
      </w:r>
      <w:r w:rsidRPr="0025307F">
        <w:rPr>
          <w:rFonts w:eastAsia="Times New Roman" w:cs="Times New Roman"/>
          <w:i/>
          <w:sz w:val="24"/>
          <w:szCs w:val="24"/>
        </w:rPr>
        <w:t xml:space="preserve">c </w:t>
      </w:r>
      <w:r w:rsidRPr="0025307F">
        <w:rPr>
          <w:rFonts w:eastAsia="Times New Roman" w:cs="Times New Roman"/>
          <w:sz w:val="24"/>
          <w:szCs w:val="24"/>
        </w:rPr>
        <w:t>= 0.7 chosen as they led to regular model convergence.</w:t>
      </w:r>
      <w:r w:rsidRPr="0025307F">
        <w:rPr>
          <w:rFonts w:cs="Times New Roman"/>
          <w:sz w:val="24"/>
          <w:szCs w:val="24"/>
        </w:rPr>
        <w:t xml:space="preserve"> We fitted these models either treating each observation equally or with case weights proportional to each trees’ basal area. These weights give more importance to large trees during model fitting. We selected the best fitting of these models, determining this as the model that minimised prediction error of stand biomass when calculated with estimated heights or observed heights. The parameters were used to estimate H</w:t>
      </w:r>
      <w:r w:rsidRPr="0025307F">
        <w:rPr>
          <w:rFonts w:cs="Times New Roman"/>
          <w:sz w:val="24"/>
          <w:szCs w:val="24"/>
          <w:vertAlign w:val="subscript"/>
        </w:rPr>
        <w:t>t</w:t>
      </w:r>
      <w:r w:rsidRPr="0025307F">
        <w:rPr>
          <w:rFonts w:cs="Times New Roman"/>
          <w:sz w:val="24"/>
          <w:szCs w:val="24"/>
        </w:rPr>
        <w:t xml:space="preserve"> </w:t>
      </w:r>
      <w:r w:rsidRPr="0025307F">
        <w:rPr>
          <w:rFonts w:eastAsia="Times New Roman" w:cs="Times New Roman"/>
          <w:color w:val="000000"/>
          <w:sz w:val="24"/>
          <w:szCs w:val="24"/>
          <w:lang w:eastAsia="nl-BE"/>
        </w:rPr>
        <w:t xml:space="preserve">from DBH for all tree DBH measurements for input into the allometric equation. </w:t>
      </w:r>
      <w:r w:rsidRPr="0025307F">
        <w:rPr>
          <w:rFonts w:cs="Times New Roman"/>
          <w:sz w:val="24"/>
          <w:szCs w:val="24"/>
        </w:rPr>
        <w:t xml:space="preserve">Mean measured individual total tree </w:t>
      </w:r>
      <w:r w:rsidRPr="0025307F">
        <w:rPr>
          <w:rFonts w:cs="Times New Roman"/>
          <w:sz w:val="24"/>
          <w:szCs w:val="24"/>
        </w:rPr>
        <w:lastRenderedPageBreak/>
        <w:t>height is 20.5 m; the height range is 1.5 to 72.5 m. T</w:t>
      </w:r>
      <w:r w:rsidRPr="0025307F">
        <w:rPr>
          <w:rFonts w:cs="Times New Roman"/>
          <w:color w:val="000000"/>
          <w:sz w:val="24"/>
          <w:szCs w:val="24"/>
        </w:rPr>
        <w:t xml:space="preserve">he root mean squared error (RMSE) between the full dataset of measured heights and the predicted heights, is 5.7 m, which is 8.0% of the total range. Furthermore, RMSE is 5.3 m in </w:t>
      </w:r>
      <w:r w:rsidRPr="0025307F">
        <w:rPr>
          <w:rFonts w:eastAsiaTheme="minorEastAsia" w:cs="Times New Roman"/>
          <w:sz w:val="24"/>
          <w:szCs w:val="24"/>
        </w:rPr>
        <w:t xml:space="preserve">terra firme forest in West Africa (7.5% of the range; n=9771 trees); </w:t>
      </w:r>
      <w:r w:rsidRPr="0025307F">
        <w:rPr>
          <w:rFonts w:cs="Times New Roman"/>
          <w:color w:val="000000"/>
          <w:sz w:val="24"/>
          <w:szCs w:val="24"/>
        </w:rPr>
        <w:t xml:space="preserve">RMSE is 6.4 m in </w:t>
      </w:r>
      <w:r w:rsidRPr="0025307F">
        <w:rPr>
          <w:rFonts w:eastAsiaTheme="minorEastAsia" w:cs="Times New Roman"/>
          <w:sz w:val="24"/>
          <w:szCs w:val="24"/>
        </w:rPr>
        <w:t xml:space="preserve">terra firme forest in </w:t>
      </w:r>
      <w:r w:rsidRPr="0025307F">
        <w:rPr>
          <w:rFonts w:cs="Times New Roman"/>
          <w:sz w:val="24"/>
          <w:szCs w:val="24"/>
        </w:rPr>
        <w:t>Lower Guinea and Western Congo Basin</w:t>
      </w:r>
      <w:r w:rsidRPr="0025307F">
        <w:rPr>
          <w:rFonts w:eastAsiaTheme="minorEastAsia" w:cs="Times New Roman"/>
          <w:sz w:val="24"/>
          <w:szCs w:val="24"/>
        </w:rPr>
        <w:t xml:space="preserve"> (8.7% of the range; n=</w:t>
      </w:r>
      <w:r w:rsidRPr="0025307F">
        <w:rPr>
          <w:rFonts w:cs="Times New Roman"/>
          <w:sz w:val="24"/>
          <w:szCs w:val="24"/>
        </w:rPr>
        <w:t>10,838</w:t>
      </w:r>
      <w:r>
        <w:rPr>
          <w:rFonts w:cs="Times New Roman"/>
          <w:sz w:val="24"/>
          <w:szCs w:val="24"/>
        </w:rPr>
        <w:t xml:space="preserve"> </w:t>
      </w:r>
      <w:r w:rsidRPr="0025307F">
        <w:rPr>
          <w:rFonts w:eastAsiaTheme="minorEastAsia" w:cs="Times New Roman"/>
          <w:sz w:val="24"/>
          <w:szCs w:val="24"/>
        </w:rPr>
        <w:t>trees);</w:t>
      </w:r>
      <w:r w:rsidRPr="0025307F">
        <w:rPr>
          <w:rFonts w:cs="Times New Roman"/>
          <w:color w:val="000000"/>
          <w:sz w:val="24"/>
          <w:szCs w:val="24"/>
        </w:rPr>
        <w:t xml:space="preserve"> RMSE is 4.8 m in </w:t>
      </w:r>
      <w:r w:rsidRPr="0025307F">
        <w:rPr>
          <w:rFonts w:eastAsiaTheme="minorEastAsia" w:cs="Times New Roman"/>
          <w:sz w:val="24"/>
          <w:szCs w:val="24"/>
        </w:rPr>
        <w:t xml:space="preserve">terra firme forest in </w:t>
      </w:r>
      <w:r w:rsidRPr="0025307F">
        <w:rPr>
          <w:rFonts w:cs="Times New Roman"/>
          <w:sz w:val="24"/>
          <w:szCs w:val="24"/>
        </w:rPr>
        <w:t>Eastern Congo Basin and East Africa</w:t>
      </w:r>
      <w:r w:rsidRPr="0025307F">
        <w:rPr>
          <w:rFonts w:eastAsiaTheme="minorEastAsia" w:cs="Times New Roman"/>
          <w:sz w:val="24"/>
          <w:szCs w:val="24"/>
        </w:rPr>
        <w:t xml:space="preserve"> (8.8% of the range; n=3269 trees); and </w:t>
      </w:r>
      <w:r w:rsidRPr="0025307F">
        <w:rPr>
          <w:rFonts w:cs="Times New Roman"/>
          <w:color w:val="000000"/>
          <w:sz w:val="24"/>
          <w:szCs w:val="24"/>
        </w:rPr>
        <w:t xml:space="preserve">RMSE is 4.1 m in </w:t>
      </w:r>
      <w:r w:rsidRPr="0025307F">
        <w:rPr>
          <w:rFonts w:cs="Times New Roman"/>
          <w:sz w:val="24"/>
          <w:szCs w:val="24"/>
        </w:rPr>
        <w:t>seasonally flooded forest from Lower Guinea and Western Congo Basin</w:t>
      </w:r>
      <w:r w:rsidRPr="0025307F">
        <w:rPr>
          <w:rFonts w:eastAsiaTheme="minorEastAsia" w:cs="Times New Roman"/>
          <w:sz w:val="24"/>
          <w:szCs w:val="24"/>
        </w:rPr>
        <w:t xml:space="preserve"> (12.5% of the range; n=392 trees).</w:t>
      </w:r>
    </w:p>
    <w:p w:rsidR="00B43E3C" w:rsidRPr="0025307F" w:rsidRDefault="00B43E3C" w:rsidP="00726F1B">
      <w:pPr>
        <w:rPr>
          <w:rFonts w:eastAsia="Times New Roman" w:cs="Times New Roman"/>
          <w:color w:val="000000"/>
          <w:sz w:val="24"/>
          <w:szCs w:val="24"/>
          <w:lang w:eastAsia="nl-BE"/>
        </w:rPr>
      </w:pPr>
    </w:p>
    <w:p w:rsidR="00B43E3C" w:rsidRPr="0025307F" w:rsidRDefault="00B43E3C" w:rsidP="00726F1B">
      <w:pPr>
        <w:rPr>
          <w:rFonts w:cs="Times New Roman"/>
          <w:sz w:val="24"/>
          <w:szCs w:val="24"/>
        </w:rPr>
      </w:pPr>
      <w:r w:rsidRPr="0025307F">
        <w:rPr>
          <w:rFonts w:eastAsia="Times New Roman" w:cs="Times New Roman"/>
          <w:i/>
          <w:color w:val="000000"/>
          <w:sz w:val="24"/>
          <w:szCs w:val="24"/>
          <w:lang w:eastAsia="nl-BE"/>
        </w:rPr>
        <w:t>Wood Density</w:t>
      </w:r>
      <w:r w:rsidRPr="0025307F">
        <w:rPr>
          <w:rFonts w:eastAsia="Times New Roman" w:cs="Times New Roman"/>
          <w:color w:val="000000"/>
          <w:sz w:val="24"/>
          <w:szCs w:val="24"/>
          <w:lang w:eastAsia="nl-BE"/>
        </w:rPr>
        <w:t xml:space="preserve">: </w:t>
      </w:r>
      <w:r w:rsidRPr="0025307F">
        <w:rPr>
          <w:rFonts w:cs="Times New Roman"/>
          <w:sz w:val="24"/>
          <w:szCs w:val="24"/>
        </w:rPr>
        <w:t xml:space="preserve">Dry wood density (ρ) measurements were compiled for 730 African species from published sources and stored in </w:t>
      </w:r>
      <w:hyperlink r:id="rId12" w:history="1">
        <w:r w:rsidRPr="0025307F">
          <w:rPr>
            <w:rStyle w:val="Hyperlink"/>
            <w:rFonts w:cs="Times New Roman"/>
            <w:sz w:val="24"/>
            <w:szCs w:val="24"/>
          </w:rPr>
          <w:t>www.ForestPlots.net</w:t>
        </w:r>
      </w:hyperlink>
      <w:r w:rsidRPr="0025307F">
        <w:rPr>
          <w:rFonts w:cs="Times New Roman"/>
          <w:sz w:val="24"/>
          <w:szCs w:val="24"/>
        </w:rPr>
        <w:t>; most were sourced from the Global Wood Density Database on the Dryad digital repository (</w:t>
      </w:r>
      <w:hyperlink r:id="rId13" w:history="1">
        <w:r w:rsidRPr="0025307F">
          <w:rPr>
            <w:rStyle w:val="Hyperlink"/>
            <w:rFonts w:cs="Times New Roman"/>
            <w:sz w:val="24"/>
            <w:szCs w:val="24"/>
          </w:rPr>
          <w:t>www.datadryad.org</w:t>
        </w:r>
      </w:hyperlink>
      <w:r w:rsidRPr="0025307F">
        <w:rPr>
          <w:rFonts w:cs="Times New Roman"/>
          <w:sz w:val="24"/>
          <w:szCs w:val="24"/>
        </w:rPr>
        <w:t>)</w:t>
      </w:r>
      <w:r w:rsidRPr="00EB02F2">
        <w:rPr>
          <w:rFonts w:cs="Times New Roman"/>
          <w:noProof/>
          <w:sz w:val="24"/>
          <w:szCs w:val="24"/>
          <w:vertAlign w:val="superscript"/>
        </w:rPr>
        <w:t>68,69</w:t>
      </w:r>
      <w:r w:rsidRPr="0025307F">
        <w:rPr>
          <w:rFonts w:cs="Times New Roman"/>
          <w:sz w:val="24"/>
          <w:szCs w:val="24"/>
        </w:rPr>
        <w:t>. Each individual in the tree inventory database was matched to a species-specific mean wood density value. Species in both the tree inventory and wood density databases were standardized for orthography and synonymy using the African Plants Database (</w:t>
      </w:r>
      <w:hyperlink r:id="rId14" w:history="1">
        <w:r w:rsidRPr="0025307F">
          <w:rPr>
            <w:rStyle w:val="Hyperlink"/>
            <w:rFonts w:cs="Times New Roman"/>
            <w:sz w:val="24"/>
            <w:szCs w:val="24"/>
          </w:rPr>
          <w:t>www.ville-ge.ch/cjb/bd/africa/</w:t>
        </w:r>
      </w:hyperlink>
      <w:r w:rsidRPr="0025307F">
        <w:rPr>
          <w:rFonts w:cs="Times New Roman"/>
          <w:sz w:val="24"/>
          <w:szCs w:val="24"/>
        </w:rPr>
        <w:t>) to maximize matches</w:t>
      </w:r>
      <w:r w:rsidRPr="005A2EB8">
        <w:rPr>
          <w:rFonts w:cs="Times New Roman"/>
          <w:noProof/>
          <w:sz w:val="24"/>
          <w:szCs w:val="24"/>
          <w:vertAlign w:val="superscript"/>
        </w:rPr>
        <w:t>13</w:t>
      </w:r>
      <w:r w:rsidRPr="0025307F">
        <w:rPr>
          <w:rFonts w:cs="Times New Roman"/>
          <w:sz w:val="24"/>
          <w:szCs w:val="24"/>
        </w:rPr>
        <w:t xml:space="preserve">. For incompletely identified individuals or for individuals belonging to species not in the ρ database, we used the mean ρ value for the next higher known taxonomic category (genus or family, as appropriate). For unidentified individuals, we used the mean wood density value of all </w:t>
      </w:r>
      <w:r w:rsidRPr="0025307F">
        <w:rPr>
          <w:rFonts w:cs="Times New Roman"/>
          <w:sz w:val="24"/>
          <w:szCs w:val="24"/>
          <w:lang w:val="en-GB"/>
        </w:rPr>
        <w:t>individual trees in the plot</w:t>
      </w:r>
      <w:r w:rsidRPr="005A2EB8">
        <w:rPr>
          <w:rFonts w:cs="Times New Roman"/>
          <w:noProof/>
          <w:sz w:val="24"/>
          <w:szCs w:val="24"/>
          <w:vertAlign w:val="superscript"/>
        </w:rPr>
        <w:t>13</w:t>
      </w:r>
      <w:r w:rsidRPr="0025307F">
        <w:rPr>
          <w:rFonts w:cs="Times New Roman"/>
          <w:noProof/>
          <w:sz w:val="24"/>
          <w:szCs w:val="24"/>
          <w:vertAlign w:val="superscript"/>
        </w:rPr>
        <w:t>,</w:t>
      </w:r>
      <w:r w:rsidRPr="00EB02F2">
        <w:rPr>
          <w:rFonts w:cs="Times New Roman"/>
          <w:noProof/>
          <w:sz w:val="24"/>
          <w:szCs w:val="24"/>
          <w:vertAlign w:val="superscript"/>
          <w:lang w:val="en-GB"/>
        </w:rPr>
        <w:t>52</w:t>
      </w:r>
      <w:r w:rsidRPr="0025307F">
        <w:rPr>
          <w:rFonts w:cs="Times New Roman"/>
          <w:sz w:val="24"/>
          <w:szCs w:val="24"/>
          <w:lang w:val="en-GB"/>
        </w:rPr>
        <w:t>.</w:t>
      </w:r>
    </w:p>
    <w:p w:rsidR="00B43E3C" w:rsidRPr="0025307F" w:rsidRDefault="00B43E3C" w:rsidP="00726F1B">
      <w:pPr>
        <w:rPr>
          <w:rFonts w:cs="Times New Roman"/>
          <w:i/>
          <w:sz w:val="24"/>
          <w:szCs w:val="24"/>
        </w:rPr>
      </w:pPr>
    </w:p>
    <w:p w:rsidR="00B43E3C" w:rsidRPr="0036359A" w:rsidRDefault="00B43E3C" w:rsidP="00726F1B">
      <w:pPr>
        <w:rPr>
          <w:rFonts w:cs="Times New Roman"/>
          <w:sz w:val="24"/>
          <w:szCs w:val="24"/>
        </w:rPr>
      </w:pPr>
      <w:r w:rsidRPr="0025307F">
        <w:rPr>
          <w:rFonts w:cs="Times New Roman"/>
          <w:i/>
          <w:sz w:val="24"/>
          <w:szCs w:val="24"/>
        </w:rPr>
        <w:t>Allometric equation:</w:t>
      </w:r>
      <w:r w:rsidRPr="0025307F">
        <w:rPr>
          <w:rFonts w:cs="Times New Roman"/>
          <w:sz w:val="24"/>
          <w:szCs w:val="24"/>
        </w:rPr>
        <w:t xml:space="preserve"> For each tree we used a published allometric equation</w:t>
      </w:r>
      <w:r w:rsidRPr="00EB02F2">
        <w:rPr>
          <w:rFonts w:cs="Times New Roman"/>
          <w:noProof/>
          <w:sz w:val="24"/>
          <w:szCs w:val="24"/>
          <w:vertAlign w:val="superscript"/>
        </w:rPr>
        <w:t>61</w:t>
      </w:r>
      <w:r w:rsidRPr="0025307F">
        <w:rPr>
          <w:rFonts w:cs="Times New Roman"/>
          <w:sz w:val="24"/>
          <w:szCs w:val="24"/>
        </w:rPr>
        <w:t xml:space="preserve"> to estimate aboveground biomass. We then converted this to carbon, assuming that aboveground carbon (AGC) is 45.6% of aboveground biomass</w:t>
      </w:r>
      <w:r w:rsidRPr="00EB02F2">
        <w:rPr>
          <w:rFonts w:cs="Times New Roman"/>
          <w:noProof/>
          <w:sz w:val="24"/>
          <w:szCs w:val="24"/>
          <w:vertAlign w:val="superscript"/>
        </w:rPr>
        <w:t>70</w:t>
      </w:r>
      <w:r>
        <w:rPr>
          <w:rFonts w:cs="Times New Roman"/>
          <w:sz w:val="24"/>
          <w:szCs w:val="24"/>
        </w:rPr>
        <w:t xml:space="preserve">. </w:t>
      </w:r>
      <w:r w:rsidRPr="0025307F">
        <w:rPr>
          <w:rFonts w:cs="Times New Roman"/>
          <w:sz w:val="24"/>
          <w:szCs w:val="24"/>
        </w:rPr>
        <w:t>Thus:</w:t>
      </w:r>
      <w:r>
        <w:rPr>
          <w:rFonts w:cs="Times New Roman"/>
          <w:sz w:val="24"/>
          <w:szCs w:val="24"/>
        </w:rPr>
        <w:t xml:space="preserve"> </w:t>
      </w:r>
      <w:r w:rsidRPr="0036359A">
        <w:rPr>
          <w:rFonts w:cs="Times New Roman"/>
          <w:sz w:val="24"/>
          <w:szCs w:val="24"/>
        </w:rPr>
        <w:t>AGC</w:t>
      </w:r>
      <w:r>
        <w:rPr>
          <w:rFonts w:cs="Times New Roman"/>
          <w:sz w:val="24"/>
          <w:szCs w:val="24"/>
        </w:rPr>
        <w:t>=0.456×(0.0673×(ρ×(DBH/10)²</w:t>
      </w:r>
      <w:r w:rsidRPr="0036359A">
        <w:rPr>
          <w:rFonts w:cs="Times New Roman"/>
          <w:sz w:val="24"/>
          <w:szCs w:val="24"/>
        </w:rPr>
        <w:t>×H</w:t>
      </w:r>
      <w:r w:rsidRPr="0036359A">
        <w:rPr>
          <w:rFonts w:cs="Times New Roman"/>
          <w:sz w:val="24"/>
          <w:szCs w:val="24"/>
          <w:vertAlign w:val="subscript"/>
        </w:rPr>
        <w:t>t</w:t>
      </w:r>
      <w:r w:rsidRPr="0036359A">
        <w:rPr>
          <w:rFonts w:cs="Times New Roman"/>
          <w:sz w:val="24"/>
          <w:szCs w:val="24"/>
        </w:rPr>
        <w:t>)</w:t>
      </w:r>
      <w:r w:rsidRPr="0036359A">
        <w:rPr>
          <w:rFonts w:cs="Times New Roman"/>
          <w:sz w:val="24"/>
          <w:szCs w:val="24"/>
          <w:vertAlign w:val="superscript"/>
        </w:rPr>
        <w:t>0.976</w:t>
      </w:r>
      <w:r>
        <w:rPr>
          <w:rFonts w:cs="Times New Roman"/>
          <w:sz w:val="24"/>
          <w:szCs w:val="24"/>
        </w:rPr>
        <w:t>)</w:t>
      </w:r>
      <w:r w:rsidRPr="0036359A">
        <w:rPr>
          <w:rFonts w:cs="Times New Roman"/>
          <w:sz w:val="24"/>
          <w:szCs w:val="24"/>
        </w:rPr>
        <w:t>⁄</w:t>
      </w:r>
      <w:r w:rsidR="00EF5658">
        <w:rPr>
          <w:rFonts w:cs="Times New Roman"/>
          <w:sz w:val="24"/>
          <w:szCs w:val="24"/>
        </w:rPr>
        <w:t>1000</w:t>
      </w:r>
      <w:r>
        <w:rPr>
          <w:rFonts w:cs="Times New Roman"/>
          <w:sz w:val="24"/>
          <w:szCs w:val="24"/>
        </w:rPr>
        <w:t xml:space="preserve"> </w:t>
      </w:r>
      <w:r w:rsidRPr="0025307F">
        <w:rPr>
          <w:rFonts w:cs="Times New Roman"/>
          <w:sz w:val="24"/>
          <w:szCs w:val="24"/>
        </w:rPr>
        <w:t>(equation 2), with DBH in mm, dry wood density, ρ, in g cm</w:t>
      </w:r>
      <w:r w:rsidRPr="0025307F">
        <w:rPr>
          <w:rFonts w:cs="Times New Roman"/>
          <w:sz w:val="24"/>
          <w:szCs w:val="24"/>
          <w:vertAlign w:val="superscript"/>
        </w:rPr>
        <w:t>-3</w:t>
      </w:r>
      <w:r w:rsidRPr="0025307F">
        <w:rPr>
          <w:rFonts w:cs="Times New Roman"/>
          <w:sz w:val="24"/>
          <w:szCs w:val="24"/>
        </w:rPr>
        <w:t>, and total tree height, H</w:t>
      </w:r>
      <w:r w:rsidRPr="0025307F">
        <w:rPr>
          <w:rFonts w:cs="Times New Roman"/>
          <w:sz w:val="24"/>
          <w:szCs w:val="24"/>
          <w:vertAlign w:val="subscript"/>
        </w:rPr>
        <w:t>t</w:t>
      </w:r>
      <w:r w:rsidRPr="0025307F">
        <w:rPr>
          <w:rFonts w:cs="Times New Roman"/>
          <w:sz w:val="24"/>
          <w:szCs w:val="24"/>
        </w:rPr>
        <w:t>, in m (ref.</w:t>
      </w:r>
      <w:r w:rsidRPr="00EB02F2">
        <w:rPr>
          <w:rFonts w:cs="Times New Roman"/>
          <w:noProof/>
          <w:sz w:val="24"/>
          <w:szCs w:val="24"/>
          <w:vertAlign w:val="superscript"/>
        </w:rPr>
        <w:t>61</w:t>
      </w:r>
      <w:r w:rsidRPr="0025307F">
        <w:rPr>
          <w:rFonts w:cs="Times New Roman"/>
          <w:sz w:val="24"/>
          <w:szCs w:val="24"/>
        </w:rPr>
        <w:t>).</w:t>
      </w:r>
      <w:r w:rsidRPr="003A495D">
        <w:rPr>
          <w:rFonts w:cs="Times New Roman"/>
          <w:color w:val="231F20"/>
          <w:sz w:val="24"/>
          <w:szCs w:val="24"/>
        </w:rPr>
        <w:t xml:space="preserve"> </w:t>
      </w:r>
    </w:p>
    <w:p w:rsidR="00B43E3C" w:rsidRDefault="00B43E3C" w:rsidP="00726F1B">
      <w:pPr>
        <w:rPr>
          <w:rFonts w:cs="Times New Roman"/>
          <w:color w:val="231F20"/>
          <w:sz w:val="24"/>
          <w:szCs w:val="24"/>
        </w:rPr>
      </w:pPr>
    </w:p>
    <w:p w:rsidR="00B43E3C" w:rsidRDefault="00B43E3C" w:rsidP="00726F1B">
      <w:pPr>
        <w:rPr>
          <w:rFonts w:cs="Times New Roman"/>
          <w:sz w:val="24"/>
          <w:szCs w:val="24"/>
        </w:rPr>
      </w:pPr>
      <w:r w:rsidRPr="007209AA">
        <w:rPr>
          <w:rFonts w:cs="Times New Roman"/>
          <w:i/>
          <w:sz w:val="24"/>
          <w:szCs w:val="24"/>
        </w:rPr>
        <w:lastRenderedPageBreak/>
        <w:t xml:space="preserve">Aboveground Carbon </w:t>
      </w:r>
      <w:r w:rsidRPr="007209AA">
        <w:rPr>
          <w:rFonts w:cs="Times New Roman"/>
          <w:sz w:val="24"/>
          <w:szCs w:val="24"/>
        </w:rPr>
        <w:t>(AGC, in Mg C ha</w:t>
      </w:r>
      <w:r w:rsidRPr="007209AA">
        <w:rPr>
          <w:rFonts w:cs="Times New Roman"/>
          <w:sz w:val="24"/>
          <w:szCs w:val="24"/>
          <w:vertAlign w:val="superscript"/>
        </w:rPr>
        <w:t>-1</w:t>
      </w:r>
      <w:r w:rsidRPr="007209AA">
        <w:rPr>
          <w:rFonts w:cs="Times New Roman"/>
          <w:sz w:val="24"/>
          <w:szCs w:val="24"/>
        </w:rPr>
        <w:t>) in living biomass for each plot at each census date was estimated as the sum of the AGC of each living stem, divi</w:t>
      </w:r>
      <w:r>
        <w:rPr>
          <w:rFonts w:cs="Times New Roman"/>
          <w:sz w:val="24"/>
          <w:szCs w:val="24"/>
        </w:rPr>
        <w:t>ded by plot area (in hectares).</w:t>
      </w:r>
    </w:p>
    <w:p w:rsidR="00B43E3C" w:rsidRPr="00B23FBB" w:rsidRDefault="00B43E3C" w:rsidP="00726F1B">
      <w:pPr>
        <w:rPr>
          <w:rFonts w:cs="Times New Roman"/>
          <w:sz w:val="24"/>
          <w:szCs w:val="24"/>
        </w:rPr>
      </w:pPr>
    </w:p>
    <w:p w:rsidR="00B43E3C" w:rsidRPr="00B23FBB" w:rsidRDefault="00B43E3C" w:rsidP="00726F1B">
      <w:pPr>
        <w:pStyle w:val="Heading2"/>
        <w:rPr>
          <w:rFonts w:cs="Times New Roman"/>
          <w:szCs w:val="24"/>
        </w:rPr>
      </w:pPr>
      <w:r>
        <w:rPr>
          <w:rFonts w:cs="Times New Roman"/>
          <w:szCs w:val="24"/>
        </w:rPr>
        <w:t>C</w:t>
      </w:r>
      <w:r w:rsidRPr="00B23FBB">
        <w:rPr>
          <w:rFonts w:cs="Times New Roman"/>
          <w:szCs w:val="24"/>
        </w:rPr>
        <w:t xml:space="preserve">arbon </w:t>
      </w:r>
      <w:r>
        <w:rPr>
          <w:rFonts w:cs="Times New Roman"/>
          <w:szCs w:val="24"/>
        </w:rPr>
        <w:t>G</w:t>
      </w:r>
      <w:r w:rsidRPr="00B23FBB">
        <w:rPr>
          <w:rFonts w:cs="Times New Roman"/>
          <w:szCs w:val="24"/>
        </w:rPr>
        <w:t xml:space="preserve">ain and </w:t>
      </w:r>
      <w:r>
        <w:rPr>
          <w:rFonts w:cs="Times New Roman"/>
          <w:szCs w:val="24"/>
        </w:rPr>
        <w:t>C</w:t>
      </w:r>
      <w:r w:rsidRPr="00B23FBB">
        <w:rPr>
          <w:rFonts w:cs="Times New Roman"/>
          <w:szCs w:val="24"/>
        </w:rPr>
        <w:t xml:space="preserve">arbon </w:t>
      </w:r>
      <w:r>
        <w:rPr>
          <w:rFonts w:cs="Times New Roman"/>
          <w:szCs w:val="24"/>
        </w:rPr>
        <w:t>L</w:t>
      </w:r>
      <w:r w:rsidRPr="00B23FBB">
        <w:rPr>
          <w:rFonts w:cs="Times New Roman"/>
          <w:szCs w:val="24"/>
        </w:rPr>
        <w:t>oss</w:t>
      </w:r>
      <w:r>
        <w:rPr>
          <w:rFonts w:cs="Times New Roman"/>
          <w:szCs w:val="24"/>
        </w:rPr>
        <w:t xml:space="preserve"> estimation</w:t>
      </w:r>
    </w:p>
    <w:p w:rsidR="00B43E3C" w:rsidRPr="00205B87" w:rsidRDefault="00B43E3C" w:rsidP="00726F1B">
      <w:pPr>
        <w:rPr>
          <w:rFonts w:cs="Times New Roman"/>
          <w:sz w:val="24"/>
          <w:szCs w:val="24"/>
        </w:rPr>
      </w:pPr>
      <w:r w:rsidRPr="007209AA">
        <w:rPr>
          <w:rFonts w:cs="Times New Roman"/>
          <w:i/>
          <w:sz w:val="24"/>
          <w:szCs w:val="24"/>
        </w:rPr>
        <w:t>Net</w:t>
      </w:r>
      <w:r w:rsidRPr="007209AA">
        <w:rPr>
          <w:rFonts w:cs="Times New Roman"/>
          <w:sz w:val="24"/>
          <w:szCs w:val="24"/>
        </w:rPr>
        <w:t xml:space="preserve"> </w:t>
      </w:r>
      <w:r w:rsidRPr="007209AA">
        <w:rPr>
          <w:rFonts w:cs="Times New Roman"/>
          <w:i/>
          <w:sz w:val="24"/>
          <w:szCs w:val="24"/>
        </w:rPr>
        <w:t>Carbon Sink</w:t>
      </w:r>
      <w:r w:rsidRPr="007209AA">
        <w:rPr>
          <w:rFonts w:cs="Times New Roman"/>
          <w:sz w:val="24"/>
          <w:szCs w:val="24"/>
        </w:rPr>
        <w:t xml:space="preserve"> (in Mg C ha</w:t>
      </w:r>
      <w:r w:rsidRPr="007209AA">
        <w:rPr>
          <w:rFonts w:cs="Times New Roman"/>
          <w:sz w:val="24"/>
          <w:szCs w:val="24"/>
          <w:vertAlign w:val="superscript"/>
        </w:rPr>
        <w:t>-1</w:t>
      </w:r>
      <w:r w:rsidRPr="007209AA">
        <w:rPr>
          <w:rFonts w:cs="Times New Roman"/>
          <w:sz w:val="24"/>
          <w:szCs w:val="24"/>
        </w:rPr>
        <w:t xml:space="preserve"> yr</w:t>
      </w:r>
      <w:r w:rsidRPr="007209AA">
        <w:rPr>
          <w:rFonts w:cs="Times New Roman"/>
          <w:sz w:val="24"/>
          <w:szCs w:val="24"/>
          <w:vertAlign w:val="superscript"/>
        </w:rPr>
        <w:t>-1</w:t>
      </w:r>
      <w:r w:rsidRPr="007209AA">
        <w:rPr>
          <w:rFonts w:cs="Times New Roman"/>
          <w:sz w:val="24"/>
          <w:szCs w:val="24"/>
        </w:rPr>
        <w:t xml:space="preserve">) is estimated as carbon gains minus carbon losses. </w:t>
      </w:r>
      <w:r w:rsidRPr="002C51A4">
        <w:rPr>
          <w:rFonts w:cs="Times New Roman"/>
          <w:sz w:val="24"/>
          <w:szCs w:val="24"/>
        </w:rPr>
        <w:t xml:space="preserve">Calculation details are explained </w:t>
      </w:r>
      <w:r>
        <w:rPr>
          <w:rFonts w:cs="Times New Roman"/>
          <w:sz w:val="24"/>
          <w:szCs w:val="24"/>
        </w:rPr>
        <w:t>below</w:t>
      </w:r>
      <w:r w:rsidRPr="002C51A4">
        <w:rPr>
          <w:rFonts w:cs="Times New Roman"/>
          <w:sz w:val="24"/>
          <w:szCs w:val="24"/>
        </w:rPr>
        <w:t>.</w:t>
      </w:r>
    </w:p>
    <w:p w:rsidR="00B43E3C" w:rsidRDefault="00B43E3C" w:rsidP="00726F1B">
      <w:pPr>
        <w:rPr>
          <w:rFonts w:cs="Times New Roman"/>
          <w:sz w:val="24"/>
          <w:szCs w:val="24"/>
        </w:rPr>
      </w:pPr>
    </w:p>
    <w:p w:rsidR="00B43E3C" w:rsidRDefault="00B43E3C" w:rsidP="00726F1B">
      <w:pPr>
        <w:rPr>
          <w:rFonts w:cs="Times New Roman"/>
          <w:sz w:val="24"/>
          <w:szCs w:val="24"/>
        </w:rPr>
      </w:pPr>
      <w:r w:rsidRPr="007209AA">
        <w:rPr>
          <w:rFonts w:cs="Times New Roman"/>
          <w:i/>
          <w:sz w:val="24"/>
          <w:szCs w:val="24"/>
        </w:rPr>
        <w:t>Carbon Gain</w:t>
      </w:r>
      <w:r>
        <w:rPr>
          <w:rFonts w:cs="Times New Roman"/>
          <w:i/>
          <w:sz w:val="24"/>
          <w:szCs w:val="24"/>
        </w:rPr>
        <w:t>s</w:t>
      </w:r>
      <w:r>
        <w:rPr>
          <w:rFonts w:cs="Times New Roman"/>
          <w:sz w:val="24"/>
          <w:szCs w:val="24"/>
        </w:rPr>
        <w:t xml:space="preserve"> </w:t>
      </w:r>
      <w:r w:rsidRPr="007209AA">
        <w:rPr>
          <w:rFonts w:cs="Times New Roman"/>
          <w:sz w:val="24"/>
          <w:szCs w:val="24"/>
        </w:rPr>
        <w:t>(in Mg C ha</w:t>
      </w:r>
      <w:r w:rsidRPr="007209AA">
        <w:rPr>
          <w:rFonts w:cs="Times New Roman"/>
          <w:sz w:val="24"/>
          <w:szCs w:val="24"/>
          <w:vertAlign w:val="superscript"/>
        </w:rPr>
        <w:t>-1</w:t>
      </w:r>
      <w:r w:rsidRPr="007209AA">
        <w:rPr>
          <w:rFonts w:cs="Times New Roman"/>
          <w:sz w:val="24"/>
          <w:szCs w:val="24"/>
        </w:rPr>
        <w:t xml:space="preserve"> yr</w:t>
      </w:r>
      <w:r w:rsidRPr="007209AA">
        <w:rPr>
          <w:rFonts w:cs="Times New Roman"/>
          <w:sz w:val="24"/>
          <w:szCs w:val="24"/>
          <w:vertAlign w:val="superscript"/>
        </w:rPr>
        <w:t>-1</w:t>
      </w:r>
      <w:r>
        <w:rPr>
          <w:rFonts w:cs="Times New Roman"/>
          <w:sz w:val="24"/>
          <w:szCs w:val="24"/>
        </w:rPr>
        <w:t>) are</w:t>
      </w:r>
      <w:r w:rsidRPr="007209AA">
        <w:rPr>
          <w:rFonts w:cs="Times New Roman"/>
          <w:sz w:val="24"/>
          <w:szCs w:val="24"/>
        </w:rPr>
        <w:t xml:space="preserve"> the sum of the aboveground live biomass carbon additions from the growth of surviving stems and the addition of newly recruited stems, divided by the census length (in years) and plot area (in hectares)</w:t>
      </w:r>
      <w:r>
        <w:rPr>
          <w:rFonts w:cs="Times New Roman"/>
          <w:sz w:val="24"/>
          <w:szCs w:val="24"/>
        </w:rPr>
        <w:t xml:space="preserve">. </w:t>
      </w:r>
      <w:r w:rsidRPr="0025307F">
        <w:rPr>
          <w:rFonts w:cs="Times New Roman"/>
          <w:sz w:val="24"/>
          <w:szCs w:val="24"/>
        </w:rPr>
        <w:t>For each stem that survived a census interval, carbon additions from its growth (Mg C ha</w:t>
      </w:r>
      <w:r w:rsidRPr="0025307F">
        <w:rPr>
          <w:rFonts w:cs="Times New Roman"/>
          <w:sz w:val="24"/>
          <w:szCs w:val="24"/>
          <w:vertAlign w:val="superscript"/>
        </w:rPr>
        <w:t>-1</w:t>
      </w:r>
      <w:r w:rsidRPr="0025307F">
        <w:rPr>
          <w:rFonts w:cs="Times New Roman"/>
          <w:sz w:val="24"/>
          <w:szCs w:val="24"/>
        </w:rPr>
        <w:t xml:space="preserve"> yr</w:t>
      </w:r>
      <w:r w:rsidRPr="0025307F">
        <w:rPr>
          <w:rFonts w:cs="Times New Roman"/>
          <w:sz w:val="24"/>
          <w:szCs w:val="24"/>
          <w:vertAlign w:val="superscript"/>
        </w:rPr>
        <w:t>-1</w:t>
      </w:r>
      <w:r w:rsidRPr="0025307F">
        <w:rPr>
          <w:rFonts w:cs="Times New Roman"/>
          <w:sz w:val="24"/>
          <w:szCs w:val="24"/>
        </w:rPr>
        <w:t>) were calculated as the difference between its AGC at the end census of the interval and its AGC at the beginning census of the interval. For each stem that recruited during the census interval (i.e. reaching DBH≥100 mm), carbon additions were calculated in the same way, assuming DBH=0 mm at the start of the interval</w:t>
      </w:r>
      <w:r w:rsidRPr="00EB02F2">
        <w:rPr>
          <w:rFonts w:cs="Times New Roman"/>
          <w:noProof/>
          <w:sz w:val="24"/>
          <w:szCs w:val="24"/>
          <w:vertAlign w:val="superscript"/>
        </w:rPr>
        <w:t>65</w:t>
      </w:r>
      <w:r w:rsidRPr="0025307F">
        <w:rPr>
          <w:rFonts w:cs="Times New Roman"/>
          <w:sz w:val="24"/>
          <w:szCs w:val="24"/>
        </w:rPr>
        <w:t xml:space="preserve">. </w:t>
      </w:r>
      <w:r w:rsidRPr="007209AA">
        <w:rPr>
          <w:rFonts w:cs="Times New Roman"/>
          <w:i/>
          <w:sz w:val="24"/>
          <w:szCs w:val="24"/>
        </w:rPr>
        <w:t>Carbon Loss</w:t>
      </w:r>
      <w:r>
        <w:rPr>
          <w:rFonts w:cs="Times New Roman"/>
          <w:i/>
          <w:sz w:val="24"/>
          <w:szCs w:val="24"/>
        </w:rPr>
        <w:t>es</w:t>
      </w:r>
      <w:r w:rsidRPr="007209AA">
        <w:rPr>
          <w:rFonts w:cs="Times New Roman"/>
          <w:sz w:val="24"/>
          <w:szCs w:val="24"/>
        </w:rPr>
        <w:t xml:space="preserve"> (in Mg C ha</w:t>
      </w:r>
      <w:r w:rsidRPr="007209AA">
        <w:rPr>
          <w:rFonts w:cs="Times New Roman"/>
          <w:sz w:val="24"/>
          <w:szCs w:val="24"/>
          <w:vertAlign w:val="superscript"/>
        </w:rPr>
        <w:t>-1</w:t>
      </w:r>
      <w:r w:rsidRPr="007209AA">
        <w:rPr>
          <w:rFonts w:cs="Times New Roman"/>
          <w:sz w:val="24"/>
          <w:szCs w:val="24"/>
        </w:rPr>
        <w:t xml:space="preserve"> yr</w:t>
      </w:r>
      <w:r w:rsidRPr="007209AA">
        <w:rPr>
          <w:rFonts w:cs="Times New Roman"/>
          <w:sz w:val="24"/>
          <w:szCs w:val="24"/>
          <w:vertAlign w:val="superscript"/>
        </w:rPr>
        <w:t>-1</w:t>
      </w:r>
      <w:r>
        <w:rPr>
          <w:rFonts w:cs="Times New Roman"/>
          <w:sz w:val="24"/>
          <w:szCs w:val="24"/>
        </w:rPr>
        <w:t>) are estimated</w:t>
      </w:r>
      <w:r w:rsidRPr="007209AA">
        <w:rPr>
          <w:rFonts w:cs="Times New Roman"/>
          <w:sz w:val="24"/>
          <w:szCs w:val="24"/>
        </w:rPr>
        <w:t xml:space="preserve"> as the sum of aboveground biomass carbon from all stems that died during a census interval, divided by the census length (in years) and plot area (in hectares)</w:t>
      </w:r>
      <w:r>
        <w:rPr>
          <w:rFonts w:cs="Times New Roman"/>
          <w:sz w:val="24"/>
          <w:szCs w:val="24"/>
        </w:rPr>
        <w:t xml:space="preserve">. Both </w:t>
      </w:r>
      <w:r w:rsidRPr="007209AA">
        <w:rPr>
          <w:rFonts w:cs="Times New Roman"/>
          <w:sz w:val="24"/>
          <w:szCs w:val="24"/>
        </w:rPr>
        <w:t xml:space="preserve">carbon gains </w:t>
      </w:r>
      <w:r>
        <w:rPr>
          <w:rFonts w:cs="Times New Roman"/>
          <w:sz w:val="24"/>
          <w:szCs w:val="24"/>
        </w:rPr>
        <w:t>and</w:t>
      </w:r>
      <w:r w:rsidRPr="007209AA">
        <w:rPr>
          <w:rFonts w:cs="Times New Roman"/>
          <w:sz w:val="24"/>
          <w:szCs w:val="24"/>
        </w:rPr>
        <w:t xml:space="preserve"> carbon losses</w:t>
      </w:r>
      <w:r>
        <w:rPr>
          <w:rFonts w:cs="Times New Roman"/>
          <w:sz w:val="24"/>
          <w:szCs w:val="24"/>
        </w:rPr>
        <w:t xml:space="preserve"> are calculated </w:t>
      </w:r>
      <w:r w:rsidRPr="007209AA">
        <w:rPr>
          <w:rFonts w:cs="Times New Roman"/>
          <w:sz w:val="24"/>
          <w:szCs w:val="24"/>
        </w:rPr>
        <w:t>using standard methods</w:t>
      </w:r>
      <w:r w:rsidRPr="007314A8">
        <w:rPr>
          <w:rFonts w:cs="Times New Roman"/>
          <w:noProof/>
          <w:sz w:val="24"/>
          <w:szCs w:val="24"/>
          <w:vertAlign w:val="superscript"/>
        </w:rPr>
        <w:t>6</w:t>
      </w:r>
      <w:r w:rsidRPr="007209AA">
        <w:rPr>
          <w:rFonts w:cs="Times New Roman"/>
          <w:sz w:val="24"/>
          <w:szCs w:val="24"/>
        </w:rPr>
        <w:t>,</w:t>
      </w:r>
      <w:r>
        <w:rPr>
          <w:rFonts w:cs="Times New Roman"/>
          <w:sz w:val="24"/>
          <w:szCs w:val="24"/>
        </w:rPr>
        <w:t xml:space="preserve"> including a </w:t>
      </w:r>
      <w:r>
        <w:rPr>
          <w:rFonts w:eastAsiaTheme="minorEastAsia" w:cs="Times New Roman"/>
          <w:sz w:val="24"/>
          <w:szCs w:val="24"/>
        </w:rPr>
        <w:t>c</w:t>
      </w:r>
      <w:r w:rsidRPr="002C51A4">
        <w:rPr>
          <w:rFonts w:eastAsiaTheme="minorEastAsia" w:cs="Times New Roman"/>
          <w:sz w:val="24"/>
          <w:szCs w:val="24"/>
        </w:rPr>
        <w:t xml:space="preserve">ensus interval </w:t>
      </w:r>
      <w:r w:rsidRPr="002C51A4">
        <w:rPr>
          <w:rFonts w:cs="Times New Roman"/>
          <w:sz w:val="24"/>
          <w:szCs w:val="24"/>
        </w:rPr>
        <w:t>bias correction</w:t>
      </w:r>
      <w:r>
        <w:rPr>
          <w:rFonts w:cs="Times New Roman"/>
          <w:sz w:val="24"/>
          <w:szCs w:val="24"/>
        </w:rPr>
        <w:t>,</w:t>
      </w:r>
      <w:r w:rsidRPr="002C51A4">
        <w:rPr>
          <w:rFonts w:cs="Times New Roman"/>
          <w:sz w:val="24"/>
          <w:szCs w:val="24"/>
        </w:rPr>
        <w:t xml:space="preserve"> using the</w:t>
      </w:r>
      <w:r w:rsidRPr="002C51A4">
        <w:rPr>
          <w:sz w:val="24"/>
          <w:szCs w:val="24"/>
        </w:rPr>
        <w:t xml:space="preserve"> </w:t>
      </w:r>
      <w:r w:rsidRPr="002C51A4">
        <w:rPr>
          <w:rFonts w:cs="Times New Roman"/>
          <w:sz w:val="24"/>
          <w:szCs w:val="24"/>
        </w:rPr>
        <w:t>SummaryAGWP function o</w:t>
      </w:r>
      <w:r>
        <w:rPr>
          <w:rFonts w:cs="Times New Roman"/>
          <w:sz w:val="24"/>
          <w:szCs w:val="24"/>
        </w:rPr>
        <w:t>f R-package BiomasaFP</w:t>
      </w:r>
      <w:r w:rsidRPr="00EB02F2">
        <w:rPr>
          <w:rFonts w:cs="Times New Roman"/>
          <w:noProof/>
          <w:sz w:val="24"/>
          <w:szCs w:val="24"/>
          <w:vertAlign w:val="superscript"/>
        </w:rPr>
        <w:t>63</w:t>
      </w:r>
      <w:r w:rsidRPr="002C06DF">
        <w:rPr>
          <w:rFonts w:cs="Times New Roman"/>
          <w:noProof/>
          <w:sz w:val="24"/>
          <w:szCs w:val="24"/>
          <w:vertAlign w:val="superscript"/>
        </w:rPr>
        <w:t>,64,68</w:t>
      </w:r>
      <w:r w:rsidRPr="002C51A4">
        <w:rPr>
          <w:rFonts w:cs="Times New Roman"/>
          <w:sz w:val="24"/>
          <w:szCs w:val="24"/>
        </w:rPr>
        <w:t xml:space="preserve">. </w:t>
      </w:r>
    </w:p>
    <w:p w:rsidR="00B43E3C" w:rsidRDefault="00B43E3C" w:rsidP="00726F1B">
      <w:pPr>
        <w:rPr>
          <w:rFonts w:cs="Times New Roman"/>
          <w:sz w:val="24"/>
          <w:szCs w:val="24"/>
        </w:rPr>
      </w:pPr>
    </w:p>
    <w:p w:rsidR="00B43E3C" w:rsidRPr="0025307F" w:rsidRDefault="00B43E3C" w:rsidP="00726F1B">
      <w:pPr>
        <w:rPr>
          <w:rFonts w:cs="Times New Roman"/>
          <w:sz w:val="24"/>
          <w:szCs w:val="24"/>
        </w:rPr>
      </w:pPr>
      <w:r w:rsidRPr="0025307F">
        <w:rPr>
          <w:rFonts w:eastAsiaTheme="minorEastAsia" w:cs="Times New Roman"/>
          <w:sz w:val="24"/>
          <w:szCs w:val="24"/>
        </w:rPr>
        <w:t xml:space="preserve">As carbon gains are affected by a census interval bias, with the underestimate increasing with census length, we </w:t>
      </w:r>
      <w:r w:rsidRPr="0025307F">
        <w:rPr>
          <w:rFonts w:cs="Times New Roman"/>
          <w:sz w:val="24"/>
          <w:szCs w:val="24"/>
        </w:rPr>
        <w:t>corrected this bias by accounting for (i) the carbon additions from trees that grew before they died within an interval (unobserved growth) and (ii) the carbon additions from trees that recruited and then died within the same interval (unobserved recruitment)</w:t>
      </w:r>
      <w:r w:rsidRPr="00EB02F2">
        <w:rPr>
          <w:rFonts w:cs="Times New Roman"/>
          <w:noProof/>
          <w:sz w:val="24"/>
          <w:szCs w:val="24"/>
          <w:vertAlign w:val="superscript"/>
        </w:rPr>
        <w:t>65,71</w:t>
      </w:r>
      <w:r w:rsidRPr="0025307F">
        <w:rPr>
          <w:rFonts w:cs="Times New Roman"/>
          <w:sz w:val="24"/>
          <w:szCs w:val="24"/>
        </w:rPr>
        <w:t xml:space="preserve">. </w:t>
      </w:r>
    </w:p>
    <w:p w:rsidR="00B43E3C" w:rsidRPr="0025307F" w:rsidRDefault="00B43E3C" w:rsidP="00726F1B">
      <w:pPr>
        <w:rPr>
          <w:rFonts w:cs="Times New Roman"/>
          <w:sz w:val="24"/>
          <w:szCs w:val="24"/>
        </w:rPr>
      </w:pPr>
    </w:p>
    <w:p w:rsidR="00B43E3C" w:rsidRPr="0025307F" w:rsidRDefault="00B43E3C" w:rsidP="00726F1B">
      <w:pPr>
        <w:rPr>
          <w:rFonts w:cs="Times New Roman"/>
          <w:sz w:val="24"/>
          <w:szCs w:val="24"/>
        </w:rPr>
      </w:pPr>
      <w:r w:rsidRPr="0025307F">
        <w:rPr>
          <w:rFonts w:cs="Times New Roman"/>
          <w:sz w:val="24"/>
          <w:szCs w:val="24"/>
        </w:rPr>
        <w:lastRenderedPageBreak/>
        <w:t>Component (i), the unobserved growth of a stem that died during a census interval, is estimated as the difference between AGC at death and AGC at the start of the census. These are calculated using equation 2, from respectively DBH</w:t>
      </w:r>
      <w:r w:rsidRPr="0025307F">
        <w:rPr>
          <w:rFonts w:cs="Times New Roman"/>
          <w:sz w:val="24"/>
          <w:szCs w:val="24"/>
          <w:vertAlign w:val="subscript"/>
        </w:rPr>
        <w:t>death</w:t>
      </w:r>
      <w:r w:rsidRPr="0025307F">
        <w:rPr>
          <w:rFonts w:cs="Times New Roman"/>
          <w:sz w:val="24"/>
          <w:szCs w:val="24"/>
        </w:rPr>
        <w:t xml:space="preserve"> and DBH</w:t>
      </w:r>
      <w:r w:rsidRPr="0025307F">
        <w:rPr>
          <w:rFonts w:cs="Times New Roman"/>
          <w:sz w:val="24"/>
          <w:szCs w:val="24"/>
          <w:vertAlign w:val="subscript"/>
        </w:rPr>
        <w:t>start</w:t>
      </w:r>
      <w:r w:rsidRPr="0025307F">
        <w:rPr>
          <w:rFonts w:cs="Times New Roman"/>
          <w:sz w:val="24"/>
          <w:szCs w:val="24"/>
        </w:rPr>
        <w:t>. The latter is part of the data, the first can be estimated as: DBH</w:t>
      </w:r>
      <w:r w:rsidRPr="0025307F">
        <w:rPr>
          <w:rFonts w:cs="Times New Roman"/>
          <w:sz w:val="24"/>
          <w:szCs w:val="24"/>
          <w:vertAlign w:val="subscript"/>
        </w:rPr>
        <w:t>death</w:t>
      </w:r>
      <w:r w:rsidRPr="0025307F">
        <w:rPr>
          <w:rFonts w:cs="Times New Roman"/>
          <w:sz w:val="24"/>
          <w:szCs w:val="24"/>
        </w:rPr>
        <w:t xml:space="preserve"> = DBH</w:t>
      </w:r>
      <w:r w:rsidRPr="0025307F">
        <w:rPr>
          <w:rFonts w:cs="Times New Roman"/>
          <w:sz w:val="24"/>
          <w:szCs w:val="24"/>
          <w:vertAlign w:val="subscript"/>
        </w:rPr>
        <w:t>start</w:t>
      </w:r>
      <w:r w:rsidRPr="0025307F">
        <w:rPr>
          <w:rFonts w:cs="Times New Roman"/>
          <w:sz w:val="24"/>
          <w:szCs w:val="24"/>
        </w:rPr>
        <w:t xml:space="preserve"> × G × Y</w:t>
      </w:r>
      <w:r w:rsidRPr="0025307F">
        <w:rPr>
          <w:rFonts w:cs="Times New Roman"/>
          <w:sz w:val="24"/>
          <w:szCs w:val="24"/>
          <w:vertAlign w:val="subscript"/>
        </w:rPr>
        <w:t>mean</w:t>
      </w:r>
      <w:r w:rsidRPr="0025307F">
        <w:rPr>
          <w:rFonts w:cs="Times New Roman"/>
          <w:sz w:val="24"/>
          <w:szCs w:val="24"/>
        </w:rPr>
        <w:t>, where G is the plot-level median diameter growth rate (mm yr</w:t>
      </w:r>
      <w:r w:rsidRPr="0025307F">
        <w:rPr>
          <w:rFonts w:cs="Times New Roman"/>
          <w:sz w:val="24"/>
          <w:szCs w:val="24"/>
          <w:vertAlign w:val="superscript"/>
        </w:rPr>
        <w:t>-1</w:t>
      </w:r>
      <w:r w:rsidRPr="0025307F">
        <w:rPr>
          <w:rFonts w:cs="Times New Roman"/>
          <w:sz w:val="24"/>
          <w:szCs w:val="24"/>
        </w:rPr>
        <w:t>) of the size class the tree was in at the start of the census interval (size classes are defined as D &lt; 200 mm, 400 mm &gt; D ≥ 200 mm and D ≥ 400 mm) and Y</w:t>
      </w:r>
      <w:r w:rsidRPr="0025307F">
        <w:rPr>
          <w:rFonts w:cs="Times New Roman"/>
          <w:sz w:val="24"/>
          <w:szCs w:val="24"/>
          <w:vertAlign w:val="subscript"/>
        </w:rPr>
        <w:t>mean</w:t>
      </w:r>
      <w:r w:rsidRPr="0025307F">
        <w:rPr>
          <w:rFonts w:cs="Times New Roman"/>
          <w:sz w:val="24"/>
          <w:szCs w:val="24"/>
        </w:rPr>
        <w:t xml:space="preserve"> is the mean number of years trees survived in the census interval before dying. Y</w:t>
      </w:r>
      <w:r w:rsidRPr="0025307F">
        <w:rPr>
          <w:rFonts w:cs="Times New Roman"/>
          <w:sz w:val="24"/>
          <w:szCs w:val="24"/>
          <w:vertAlign w:val="subscript"/>
        </w:rPr>
        <w:t>mean</w:t>
      </w:r>
      <w:r w:rsidRPr="0025307F">
        <w:rPr>
          <w:rFonts w:cs="Times New Roman"/>
          <w:sz w:val="24"/>
          <w:szCs w:val="24"/>
        </w:rPr>
        <w:t xml:space="preserve"> is calculated from the number of trees that are expected to have died in each year of the census interval, which is derived from the plot-level per-capita mortality rate (m</w:t>
      </w:r>
      <w:r w:rsidRPr="0025307F">
        <w:rPr>
          <w:rFonts w:cs="Times New Roman"/>
          <w:sz w:val="24"/>
          <w:szCs w:val="24"/>
          <w:vertAlign w:val="subscript"/>
        </w:rPr>
        <w:t>a</w:t>
      </w:r>
      <w:r w:rsidRPr="0025307F">
        <w:rPr>
          <w:rFonts w:cs="Times New Roman"/>
          <w:sz w:val="24"/>
          <w:szCs w:val="24"/>
        </w:rPr>
        <w:t>; % dead trees yr</w:t>
      </w:r>
      <w:r w:rsidRPr="0025307F">
        <w:rPr>
          <w:rFonts w:cs="Times New Roman"/>
          <w:sz w:val="24"/>
          <w:szCs w:val="24"/>
          <w:vertAlign w:val="superscript"/>
        </w:rPr>
        <w:t>-1</w:t>
      </w:r>
      <w:r w:rsidRPr="0025307F">
        <w:rPr>
          <w:rFonts w:cs="Times New Roman"/>
          <w:sz w:val="24"/>
          <w:szCs w:val="24"/>
        </w:rPr>
        <w:t>) calculated following equation 5 in ref.</w:t>
      </w:r>
      <w:r w:rsidRPr="00EB02F2">
        <w:rPr>
          <w:rFonts w:cs="Times New Roman"/>
          <w:noProof/>
          <w:sz w:val="24"/>
          <w:szCs w:val="24"/>
          <w:vertAlign w:val="superscript"/>
        </w:rPr>
        <w:t>71</w:t>
      </w:r>
      <w:r w:rsidRPr="0025307F">
        <w:rPr>
          <w:rFonts w:cs="Times New Roman"/>
          <w:sz w:val="24"/>
          <w:szCs w:val="24"/>
        </w:rPr>
        <w:t xml:space="preserve">. </w:t>
      </w:r>
    </w:p>
    <w:p w:rsidR="00B43E3C" w:rsidRPr="0025307F" w:rsidRDefault="00B43E3C" w:rsidP="00726F1B">
      <w:pPr>
        <w:rPr>
          <w:rFonts w:cs="Times New Roman"/>
          <w:sz w:val="24"/>
          <w:szCs w:val="24"/>
        </w:rPr>
      </w:pPr>
    </w:p>
    <w:p w:rsidR="00B43E3C" w:rsidRPr="004C0172" w:rsidRDefault="00B43E3C" w:rsidP="00726F1B">
      <w:pPr>
        <w:rPr>
          <w:rFonts w:cs="Times New Roman"/>
          <w:sz w:val="24"/>
          <w:szCs w:val="24"/>
        </w:rPr>
      </w:pPr>
      <w:r w:rsidRPr="0025307F">
        <w:rPr>
          <w:rFonts w:cs="Times New Roman"/>
          <w:sz w:val="24"/>
          <w:szCs w:val="24"/>
        </w:rPr>
        <w:t>Component (ii), growth of recruits that were not observed because they died during the census interval, is estimated by calculating the number of unobserved recruits and diameter at death for each unobserved recruit. The number of unobserved recruits (stems ha</w:t>
      </w:r>
      <w:r w:rsidRPr="0025307F">
        <w:rPr>
          <w:rFonts w:cs="Times New Roman"/>
          <w:sz w:val="24"/>
          <w:szCs w:val="24"/>
          <w:vertAlign w:val="superscript"/>
        </w:rPr>
        <w:t xml:space="preserve">-1 </w:t>
      </w:r>
      <w:r w:rsidRPr="0025307F">
        <w:rPr>
          <w:rFonts w:cs="Times New Roman"/>
          <w:sz w:val="24"/>
          <w:szCs w:val="24"/>
        </w:rPr>
        <w:t>yr</w:t>
      </w:r>
      <w:r w:rsidRPr="0025307F">
        <w:rPr>
          <w:rFonts w:cs="Times New Roman"/>
          <w:sz w:val="24"/>
          <w:szCs w:val="24"/>
          <w:vertAlign w:val="superscript"/>
        </w:rPr>
        <w:t>-1</w:t>
      </w:r>
      <w:r w:rsidRPr="0025307F">
        <w:rPr>
          <w:rFonts w:cs="Times New Roman"/>
          <w:sz w:val="24"/>
          <w:szCs w:val="24"/>
        </w:rPr>
        <w:t>) is estimated as: N</w:t>
      </w:r>
      <w:r w:rsidRPr="0025307F">
        <w:rPr>
          <w:rFonts w:cs="Times New Roman"/>
          <w:sz w:val="24"/>
          <w:szCs w:val="24"/>
          <w:vertAlign w:val="subscript"/>
        </w:rPr>
        <w:t>u.r</w:t>
      </w:r>
      <w:r w:rsidRPr="0025307F">
        <w:rPr>
          <w:rFonts w:cs="Times New Roman"/>
          <w:sz w:val="24"/>
          <w:szCs w:val="24"/>
        </w:rPr>
        <w:t xml:space="preserve"> = R</w:t>
      </w:r>
      <w:r w:rsidRPr="0025307F">
        <w:rPr>
          <w:rFonts w:cs="Times New Roman"/>
          <w:sz w:val="24"/>
          <w:szCs w:val="24"/>
          <w:vertAlign w:val="subscript"/>
        </w:rPr>
        <w:t>a</w:t>
      </w:r>
      <w:r w:rsidRPr="0025307F">
        <w:rPr>
          <w:rFonts w:cs="Times New Roman"/>
          <w:sz w:val="24"/>
          <w:szCs w:val="24"/>
        </w:rPr>
        <w:t xml:space="preserve"> – P</w:t>
      </w:r>
      <w:r w:rsidRPr="0025307F">
        <w:rPr>
          <w:rFonts w:cs="Times New Roman"/>
          <w:sz w:val="24"/>
          <w:szCs w:val="24"/>
          <w:vertAlign w:val="subscript"/>
        </w:rPr>
        <w:t>surv</w:t>
      </w:r>
      <w:r>
        <w:rPr>
          <w:rFonts w:cs="Times New Roman"/>
          <w:sz w:val="24"/>
          <w:szCs w:val="24"/>
          <w:vertAlign w:val="subscript"/>
        </w:rPr>
        <w:t xml:space="preserve"> </w:t>
      </w:r>
      <w:r w:rsidRPr="0025307F">
        <w:rPr>
          <w:rFonts w:cs="Times New Roman"/>
          <w:sz w:val="24"/>
          <w:szCs w:val="24"/>
        </w:rPr>
        <w:t>×</w:t>
      </w:r>
      <w:r>
        <w:rPr>
          <w:rFonts w:cs="Times New Roman"/>
          <w:sz w:val="24"/>
          <w:szCs w:val="24"/>
        </w:rPr>
        <w:t xml:space="preserve"> </w:t>
      </w:r>
      <w:r w:rsidRPr="0025307F">
        <w:rPr>
          <w:rFonts w:cs="Times New Roman"/>
          <w:sz w:val="24"/>
          <w:szCs w:val="24"/>
        </w:rPr>
        <w:t>R</w:t>
      </w:r>
      <w:r w:rsidRPr="0025307F">
        <w:rPr>
          <w:rFonts w:cs="Times New Roman"/>
          <w:sz w:val="24"/>
          <w:szCs w:val="24"/>
          <w:vertAlign w:val="subscript"/>
        </w:rPr>
        <w:t>a</w:t>
      </w:r>
      <w:r w:rsidRPr="0025307F">
        <w:rPr>
          <w:rFonts w:cs="Times New Roman"/>
          <w:sz w:val="24"/>
          <w:szCs w:val="24"/>
        </w:rPr>
        <w:t>, where R</w:t>
      </w:r>
      <w:r w:rsidRPr="0025307F">
        <w:rPr>
          <w:rFonts w:cs="Times New Roman"/>
          <w:sz w:val="24"/>
          <w:szCs w:val="24"/>
          <w:vertAlign w:val="subscript"/>
        </w:rPr>
        <w:t xml:space="preserve">a </w:t>
      </w:r>
      <w:r>
        <w:rPr>
          <w:rFonts w:cs="Times New Roman"/>
          <w:sz w:val="24"/>
          <w:szCs w:val="24"/>
        </w:rPr>
        <w:t xml:space="preserve">(recruited stems </w:t>
      </w:r>
      <w:r w:rsidRPr="0025307F">
        <w:rPr>
          <w:rFonts w:cs="Times New Roman"/>
          <w:sz w:val="24"/>
          <w:szCs w:val="24"/>
        </w:rPr>
        <w:t>ha</w:t>
      </w:r>
      <w:r w:rsidRPr="0025307F">
        <w:rPr>
          <w:rFonts w:cs="Times New Roman"/>
          <w:sz w:val="24"/>
          <w:szCs w:val="24"/>
          <w:vertAlign w:val="superscript"/>
        </w:rPr>
        <w:t>-1</w:t>
      </w:r>
      <w:r>
        <w:rPr>
          <w:rFonts w:cs="Times New Roman"/>
          <w:sz w:val="24"/>
          <w:szCs w:val="24"/>
          <w:vertAlign w:val="superscript"/>
        </w:rPr>
        <w:t xml:space="preserve"> </w:t>
      </w:r>
      <w:r w:rsidRPr="0025307F">
        <w:rPr>
          <w:rFonts w:cs="Times New Roman"/>
          <w:sz w:val="24"/>
          <w:szCs w:val="24"/>
        </w:rPr>
        <w:t>yr</w:t>
      </w:r>
      <w:r w:rsidRPr="0025307F">
        <w:rPr>
          <w:rFonts w:cs="Times New Roman"/>
          <w:sz w:val="24"/>
          <w:szCs w:val="24"/>
          <w:vertAlign w:val="superscript"/>
        </w:rPr>
        <w:t>-1</w:t>
      </w:r>
      <w:r w:rsidRPr="0025307F">
        <w:rPr>
          <w:rFonts w:cs="Times New Roman"/>
          <w:sz w:val="24"/>
          <w:szCs w:val="24"/>
        </w:rPr>
        <w:t>) is the per area annual recruitment calculated following equation 11 in ref.</w:t>
      </w:r>
      <w:r w:rsidRPr="00EB02F2">
        <w:rPr>
          <w:rFonts w:cs="Times New Roman"/>
          <w:noProof/>
          <w:sz w:val="24"/>
          <w:szCs w:val="24"/>
          <w:vertAlign w:val="superscript"/>
        </w:rPr>
        <w:t>71</w:t>
      </w:r>
      <w:r w:rsidRPr="0025307F">
        <w:rPr>
          <w:rFonts w:cs="Times New Roman"/>
          <w:sz w:val="24"/>
          <w:szCs w:val="24"/>
        </w:rPr>
        <w:t xml:space="preserve"> and P</w:t>
      </w:r>
      <w:r w:rsidRPr="0025307F">
        <w:rPr>
          <w:rFonts w:cs="Times New Roman"/>
          <w:sz w:val="24"/>
          <w:szCs w:val="24"/>
          <w:vertAlign w:val="subscript"/>
        </w:rPr>
        <w:t>surv</w:t>
      </w:r>
      <w:r w:rsidRPr="0025307F">
        <w:rPr>
          <w:rFonts w:cs="Times New Roman"/>
          <w:sz w:val="24"/>
          <w:szCs w:val="24"/>
        </w:rPr>
        <w:t xml:space="preserve"> is the probability of each recruit surviving until the next census: P</w:t>
      </w:r>
      <w:r w:rsidRPr="0025307F">
        <w:rPr>
          <w:rFonts w:cs="Times New Roman"/>
          <w:sz w:val="24"/>
          <w:szCs w:val="24"/>
          <w:vertAlign w:val="subscript"/>
        </w:rPr>
        <w:t>surv</w:t>
      </w:r>
      <w:r w:rsidRPr="0025307F">
        <w:rPr>
          <w:rFonts w:cs="Times New Roman"/>
          <w:sz w:val="24"/>
          <w:szCs w:val="24"/>
        </w:rPr>
        <w:t xml:space="preserve"> = (1-m</w:t>
      </w:r>
      <w:r w:rsidRPr="0025307F">
        <w:rPr>
          <w:rFonts w:cs="Times New Roman"/>
          <w:sz w:val="24"/>
          <w:szCs w:val="24"/>
          <w:vertAlign w:val="subscript"/>
        </w:rPr>
        <w:t>a</w:t>
      </w:r>
      <w:r w:rsidRPr="0025307F">
        <w:rPr>
          <w:rFonts w:cs="Times New Roman"/>
          <w:sz w:val="24"/>
          <w:szCs w:val="24"/>
        </w:rPr>
        <w:t>)</w:t>
      </w:r>
      <w:r w:rsidRPr="0025307F">
        <w:rPr>
          <w:rFonts w:cs="Times New Roman"/>
          <w:sz w:val="24"/>
          <w:szCs w:val="24"/>
          <w:vertAlign w:val="superscript"/>
        </w:rPr>
        <w:t>T</w:t>
      </w:r>
      <w:r w:rsidRPr="0025307F">
        <w:rPr>
          <w:rFonts w:cs="Times New Roman"/>
          <w:sz w:val="24"/>
          <w:szCs w:val="24"/>
        </w:rPr>
        <w:t>, where T is the number of years remaining in the census interval. Summing N</w:t>
      </w:r>
      <w:r w:rsidRPr="0025307F">
        <w:rPr>
          <w:rFonts w:cs="Times New Roman"/>
          <w:sz w:val="24"/>
          <w:szCs w:val="24"/>
          <w:vertAlign w:val="subscript"/>
        </w:rPr>
        <w:t>u.r</w:t>
      </w:r>
      <w:r w:rsidRPr="0025307F">
        <w:rPr>
          <w:rFonts w:cs="Times New Roman"/>
          <w:sz w:val="24"/>
          <w:szCs w:val="24"/>
        </w:rPr>
        <w:t xml:space="preserve"> for each year in a census interval gives the total number of unobserved recruits in that census interval. We then estimate diameter at death for each unobserved recruit, which is given in mm by DBH</w:t>
      </w:r>
      <w:r w:rsidRPr="0025307F">
        <w:rPr>
          <w:rFonts w:cs="Times New Roman"/>
          <w:sz w:val="24"/>
          <w:szCs w:val="24"/>
          <w:vertAlign w:val="subscript"/>
        </w:rPr>
        <w:t xml:space="preserve">death,u.r </w:t>
      </w:r>
      <w:r w:rsidRPr="0025307F">
        <w:rPr>
          <w:rFonts w:cs="Times New Roman"/>
          <w:sz w:val="24"/>
          <w:szCs w:val="24"/>
        </w:rPr>
        <w:t>= 100 + (G</w:t>
      </w:r>
      <w:r w:rsidRPr="0025307F">
        <w:rPr>
          <w:rFonts w:cs="Times New Roman"/>
          <w:sz w:val="24"/>
          <w:szCs w:val="24"/>
          <w:vertAlign w:val="subscript"/>
        </w:rPr>
        <w:t>s</w:t>
      </w:r>
      <w:r w:rsidRPr="0025307F">
        <w:rPr>
          <w:rFonts w:cs="Times New Roman"/>
          <w:sz w:val="24"/>
          <w:szCs w:val="24"/>
        </w:rPr>
        <w:t xml:space="preserve"> × Y</w:t>
      </w:r>
      <w:r w:rsidRPr="0025307F">
        <w:rPr>
          <w:rFonts w:cs="Times New Roman"/>
          <w:sz w:val="24"/>
          <w:szCs w:val="24"/>
          <w:vertAlign w:val="subscript"/>
        </w:rPr>
        <w:t>mean-rec</w:t>
      </w:r>
      <w:r w:rsidRPr="0025307F">
        <w:rPr>
          <w:rFonts w:cs="Times New Roman"/>
          <w:sz w:val="24"/>
          <w:szCs w:val="24"/>
        </w:rPr>
        <w:t>), where G</w:t>
      </w:r>
      <w:r w:rsidRPr="0025307F">
        <w:rPr>
          <w:rFonts w:cs="Times New Roman"/>
          <w:sz w:val="24"/>
          <w:szCs w:val="24"/>
          <w:vertAlign w:val="subscript"/>
        </w:rPr>
        <w:t>s</w:t>
      </w:r>
      <w:r w:rsidRPr="0025307F">
        <w:rPr>
          <w:rFonts w:cs="Times New Roman"/>
          <w:sz w:val="24"/>
          <w:szCs w:val="24"/>
        </w:rPr>
        <w:t xml:space="preserve"> is the plot-level median diameter growth rate (mm yr</w:t>
      </w:r>
      <w:r w:rsidRPr="0025307F">
        <w:rPr>
          <w:rFonts w:cs="Times New Roman"/>
          <w:sz w:val="24"/>
          <w:szCs w:val="24"/>
          <w:vertAlign w:val="superscript"/>
        </w:rPr>
        <w:t>-1</w:t>
      </w:r>
      <w:r w:rsidRPr="0025307F">
        <w:rPr>
          <w:rFonts w:cs="Times New Roman"/>
          <w:sz w:val="24"/>
          <w:szCs w:val="24"/>
        </w:rPr>
        <w:t>) of the smallest size class (i.e. D &lt; 200 mm) and Y</w:t>
      </w:r>
      <w:r w:rsidRPr="0025307F">
        <w:rPr>
          <w:rFonts w:cs="Times New Roman"/>
          <w:sz w:val="24"/>
          <w:szCs w:val="24"/>
          <w:vertAlign w:val="subscript"/>
        </w:rPr>
        <w:t xml:space="preserve">mean-rec </w:t>
      </w:r>
      <w:r w:rsidRPr="0025307F">
        <w:rPr>
          <w:rFonts w:cs="Times New Roman"/>
          <w:sz w:val="24"/>
          <w:szCs w:val="24"/>
        </w:rPr>
        <w:t>is the mean life-span of unobserved recruits calculated as the mean life-span of recruits in a given year, weighted by N</w:t>
      </w:r>
      <w:r w:rsidRPr="0025307F">
        <w:rPr>
          <w:rFonts w:cs="Times New Roman"/>
          <w:sz w:val="24"/>
          <w:szCs w:val="24"/>
          <w:vertAlign w:val="subscript"/>
        </w:rPr>
        <w:t>u.r</w:t>
      </w:r>
      <w:r w:rsidRPr="0025307F">
        <w:rPr>
          <w:rFonts w:cs="Times New Roman"/>
          <w:sz w:val="24"/>
          <w:szCs w:val="24"/>
        </w:rPr>
        <w:t>. The mean life-span of recruits in a given year is calculated from the number of recruits that died in that year, which is derived from the plot-level per-capita mortality rate (m</w:t>
      </w:r>
      <w:r w:rsidRPr="0025307F">
        <w:rPr>
          <w:rFonts w:cs="Times New Roman"/>
          <w:sz w:val="24"/>
          <w:szCs w:val="24"/>
          <w:vertAlign w:val="subscript"/>
        </w:rPr>
        <w:t>a</w:t>
      </w:r>
      <w:r w:rsidRPr="0025307F">
        <w:rPr>
          <w:rFonts w:cs="Times New Roman"/>
          <w:sz w:val="24"/>
          <w:szCs w:val="24"/>
        </w:rPr>
        <w:t>; % dead trees yr</w:t>
      </w:r>
      <w:r w:rsidRPr="0025307F">
        <w:rPr>
          <w:rFonts w:cs="Times New Roman"/>
          <w:sz w:val="24"/>
          <w:szCs w:val="24"/>
          <w:vertAlign w:val="superscript"/>
        </w:rPr>
        <w:t>-1</w:t>
      </w:r>
      <w:r w:rsidRPr="0025307F">
        <w:rPr>
          <w:rFonts w:cs="Times New Roman"/>
          <w:sz w:val="24"/>
          <w:szCs w:val="24"/>
        </w:rPr>
        <w:t xml:space="preserve">). Growth of each unobserved recruit </w:t>
      </w:r>
      <w:r>
        <w:rPr>
          <w:rFonts w:cs="Times New Roman"/>
          <w:sz w:val="24"/>
          <w:szCs w:val="24"/>
        </w:rPr>
        <w:t>(mm yr</w:t>
      </w:r>
      <w:r w:rsidRPr="004C0172">
        <w:rPr>
          <w:rFonts w:cs="Times New Roman"/>
          <w:sz w:val="24"/>
          <w:szCs w:val="24"/>
          <w:vertAlign w:val="superscript"/>
        </w:rPr>
        <w:t>-1</w:t>
      </w:r>
      <w:r>
        <w:rPr>
          <w:rFonts w:cs="Times New Roman"/>
          <w:sz w:val="24"/>
          <w:szCs w:val="24"/>
        </w:rPr>
        <w:t xml:space="preserve">) </w:t>
      </w:r>
      <w:r w:rsidRPr="0025307F">
        <w:rPr>
          <w:rFonts w:cs="Times New Roman"/>
          <w:sz w:val="24"/>
          <w:szCs w:val="24"/>
        </w:rPr>
        <w:t xml:space="preserve">is then calculated </w:t>
      </w:r>
      <w:r>
        <w:rPr>
          <w:rFonts w:cs="Times New Roman"/>
          <w:sz w:val="24"/>
          <w:szCs w:val="24"/>
        </w:rPr>
        <w:t>as</w:t>
      </w:r>
      <w:r w:rsidRPr="0025307F">
        <w:rPr>
          <w:rFonts w:cs="Times New Roman"/>
          <w:sz w:val="24"/>
          <w:szCs w:val="24"/>
        </w:rPr>
        <w:t xml:space="preserve"> DBH</w:t>
      </w:r>
      <w:r w:rsidRPr="0025307F">
        <w:rPr>
          <w:rFonts w:cs="Times New Roman"/>
          <w:sz w:val="24"/>
          <w:szCs w:val="24"/>
          <w:vertAlign w:val="subscript"/>
        </w:rPr>
        <w:t>death,u.r</w:t>
      </w:r>
      <w:r w:rsidRPr="0025307F">
        <w:rPr>
          <w:rFonts w:cs="Times New Roman"/>
          <w:sz w:val="24"/>
          <w:szCs w:val="24"/>
        </w:rPr>
        <w:t xml:space="preserve"> </w:t>
      </w:r>
      <w:r>
        <w:rPr>
          <w:rFonts w:cs="Times New Roman"/>
          <w:sz w:val="24"/>
          <w:szCs w:val="24"/>
        </w:rPr>
        <w:t xml:space="preserve">divided by </w:t>
      </w:r>
      <w:r w:rsidRPr="0025307F">
        <w:rPr>
          <w:rFonts w:cs="Times New Roman"/>
          <w:sz w:val="24"/>
          <w:szCs w:val="24"/>
        </w:rPr>
        <w:t>Y</w:t>
      </w:r>
      <w:r w:rsidRPr="0025307F">
        <w:rPr>
          <w:rFonts w:cs="Times New Roman"/>
          <w:sz w:val="24"/>
          <w:szCs w:val="24"/>
          <w:vertAlign w:val="subscript"/>
        </w:rPr>
        <w:t>mean-rec</w:t>
      </w:r>
      <w:r>
        <w:rPr>
          <w:rFonts w:cs="Times New Roman"/>
          <w:sz w:val="24"/>
          <w:szCs w:val="24"/>
        </w:rPr>
        <w:t>.</w:t>
      </w:r>
    </w:p>
    <w:p w:rsidR="00B43E3C" w:rsidRDefault="00B43E3C" w:rsidP="00726F1B">
      <w:pPr>
        <w:rPr>
          <w:rFonts w:cs="Times New Roman"/>
          <w:sz w:val="24"/>
          <w:szCs w:val="24"/>
        </w:rPr>
      </w:pPr>
    </w:p>
    <w:p w:rsidR="00B43E3C" w:rsidRDefault="00B43E3C" w:rsidP="00726F1B">
      <w:pPr>
        <w:rPr>
          <w:rFonts w:cs="Times New Roman"/>
          <w:sz w:val="24"/>
          <w:szCs w:val="24"/>
        </w:rPr>
      </w:pPr>
      <w:r>
        <w:rPr>
          <w:rFonts w:eastAsiaTheme="minorEastAsia" w:cs="Times New Roman"/>
          <w:sz w:val="24"/>
          <w:szCs w:val="24"/>
        </w:rPr>
        <w:lastRenderedPageBreak/>
        <w:t>The c</w:t>
      </w:r>
      <w:r w:rsidRPr="002C51A4">
        <w:rPr>
          <w:rFonts w:eastAsiaTheme="minorEastAsia" w:cs="Times New Roman"/>
          <w:sz w:val="24"/>
          <w:szCs w:val="24"/>
        </w:rPr>
        <w:t xml:space="preserve">ensus interval </w:t>
      </w:r>
      <w:r w:rsidRPr="002C51A4">
        <w:rPr>
          <w:rFonts w:cs="Times New Roman"/>
          <w:sz w:val="24"/>
          <w:szCs w:val="24"/>
        </w:rPr>
        <w:t>bias correction</w:t>
      </w:r>
      <w:r>
        <w:rPr>
          <w:rFonts w:cs="Times New Roman"/>
          <w:sz w:val="24"/>
          <w:szCs w:val="24"/>
        </w:rPr>
        <w:t xml:space="preserve"> (components i and ii together)</w:t>
      </w:r>
      <w:r w:rsidRPr="00A8703A">
        <w:rPr>
          <w:rFonts w:cs="Times New Roman"/>
          <w:sz w:val="24"/>
          <w:szCs w:val="24"/>
        </w:rPr>
        <w:t xml:space="preserve"> typically add &lt;3% to plot-level carbon gains. Carbon Losses are </w:t>
      </w:r>
      <w:r w:rsidRPr="00A8703A">
        <w:rPr>
          <w:rFonts w:eastAsiaTheme="minorEastAsia" w:cs="Times New Roman"/>
          <w:sz w:val="24"/>
          <w:szCs w:val="24"/>
        </w:rPr>
        <w:t xml:space="preserve">affected by the same census interval bias, hence we </w:t>
      </w:r>
      <w:r w:rsidRPr="00A8703A">
        <w:rPr>
          <w:rFonts w:cs="Times New Roman"/>
          <w:sz w:val="24"/>
          <w:szCs w:val="24"/>
        </w:rPr>
        <w:t>corrected this bias by accounting for (</w:t>
      </w:r>
      <w:r w:rsidRPr="0025307F">
        <w:rPr>
          <w:rFonts w:cs="Times New Roman"/>
          <w:sz w:val="24"/>
          <w:szCs w:val="24"/>
        </w:rPr>
        <w:t>i) the additional carbon losses from the trees that were recruited and then died within the same interval, and (ii) the additional carbon losses resulting from the growth of the trees that died in the interval</w:t>
      </w:r>
      <w:r w:rsidRPr="00D172EE">
        <w:rPr>
          <w:rFonts w:cs="Times New Roman"/>
          <w:noProof/>
          <w:sz w:val="24"/>
          <w:szCs w:val="24"/>
          <w:vertAlign w:val="superscript"/>
        </w:rPr>
        <w:t>6</w:t>
      </w:r>
      <w:r w:rsidRPr="0025307F">
        <w:rPr>
          <w:rFonts w:cs="Times New Roman"/>
          <w:sz w:val="24"/>
          <w:szCs w:val="24"/>
          <w:vertAlign w:val="superscript"/>
        </w:rPr>
        <w:t>,</w:t>
      </w:r>
      <w:r w:rsidRPr="00EB02F2">
        <w:rPr>
          <w:rFonts w:cs="Times New Roman"/>
          <w:noProof/>
          <w:sz w:val="24"/>
          <w:szCs w:val="24"/>
          <w:vertAlign w:val="superscript"/>
        </w:rPr>
        <w:t>15,63</w:t>
      </w:r>
      <w:r w:rsidRPr="0025307F">
        <w:rPr>
          <w:rFonts w:cs="Times New Roman"/>
          <w:sz w:val="24"/>
          <w:szCs w:val="24"/>
        </w:rPr>
        <w:t>. These two components are calculated in the same way as for Carbon gains</w:t>
      </w:r>
      <w:r w:rsidRPr="00A8703A">
        <w:rPr>
          <w:rFonts w:cs="Times New Roman"/>
          <w:sz w:val="24"/>
          <w:szCs w:val="24"/>
        </w:rPr>
        <w:t xml:space="preserve"> </w:t>
      </w:r>
      <w:r>
        <w:rPr>
          <w:rFonts w:cs="Times New Roman"/>
          <w:sz w:val="24"/>
          <w:szCs w:val="24"/>
        </w:rPr>
        <w:t>and ty</w:t>
      </w:r>
      <w:r w:rsidRPr="00A8703A">
        <w:rPr>
          <w:rFonts w:cs="Times New Roman"/>
          <w:sz w:val="24"/>
          <w:szCs w:val="24"/>
        </w:rPr>
        <w:t xml:space="preserve">pically add &lt;3% to plot-level carbon </w:t>
      </w:r>
      <w:r>
        <w:rPr>
          <w:rFonts w:cs="Times New Roman"/>
          <w:sz w:val="24"/>
          <w:szCs w:val="24"/>
        </w:rPr>
        <w:t>losses</w:t>
      </w:r>
      <w:r w:rsidRPr="0025307F">
        <w:rPr>
          <w:rFonts w:cs="Times New Roman"/>
          <w:sz w:val="24"/>
          <w:szCs w:val="24"/>
        </w:rPr>
        <w:t>.</w:t>
      </w:r>
    </w:p>
    <w:p w:rsidR="00B43E3C" w:rsidRDefault="00B43E3C" w:rsidP="00726F1B">
      <w:pPr>
        <w:rPr>
          <w:rFonts w:cs="Times New Roman"/>
          <w:sz w:val="24"/>
          <w:szCs w:val="24"/>
        </w:rPr>
      </w:pPr>
    </w:p>
    <w:p w:rsidR="00B43E3C" w:rsidRPr="0025307F" w:rsidRDefault="00B43E3C" w:rsidP="00726F1B">
      <w:pPr>
        <w:rPr>
          <w:rFonts w:cs="Times New Roman"/>
          <w:sz w:val="24"/>
          <w:szCs w:val="24"/>
        </w:rPr>
      </w:pPr>
      <w:r>
        <w:rPr>
          <w:rFonts w:cs="Times New Roman"/>
          <w:sz w:val="24"/>
          <w:szCs w:val="24"/>
        </w:rPr>
        <w:t xml:space="preserve">Carbon gains include both gains from the growth of surviving stems and new recruits. </w:t>
      </w:r>
      <w:r w:rsidRPr="0025307F">
        <w:rPr>
          <w:rFonts w:cs="Times New Roman"/>
          <w:sz w:val="24"/>
          <w:szCs w:val="24"/>
        </w:rPr>
        <w:t>Separating carbon gains from tree growth of surviving stems and newly recruited stems, shows that carbon gains from recruitment are small overall, and are significantly lower in Africa than in the Amazon</w:t>
      </w:r>
      <w:r>
        <w:rPr>
          <w:rFonts w:cs="Times New Roman"/>
          <w:sz w:val="24"/>
          <w:szCs w:val="24"/>
        </w:rPr>
        <w:t>,</w:t>
      </w:r>
      <w:r w:rsidRPr="0025307F">
        <w:rPr>
          <w:rFonts w:cs="Times New Roman"/>
          <w:sz w:val="24"/>
          <w:szCs w:val="24"/>
        </w:rPr>
        <w:t xml:space="preserve"> likely due to the lower stem turnover rates and longer carbon residence time (Africa: 0.17 Mg C ha</w:t>
      </w:r>
      <w:r w:rsidRPr="0025307F">
        <w:rPr>
          <w:rFonts w:cs="Times New Roman"/>
          <w:sz w:val="24"/>
          <w:szCs w:val="24"/>
          <w:vertAlign w:val="superscript"/>
        </w:rPr>
        <w:t>-1</w:t>
      </w:r>
      <w:r w:rsidRPr="0025307F">
        <w:rPr>
          <w:rFonts w:cs="Times New Roman"/>
          <w:sz w:val="24"/>
          <w:szCs w:val="24"/>
        </w:rPr>
        <w:t xml:space="preserve"> yr</w:t>
      </w:r>
      <w:r w:rsidRPr="0025307F">
        <w:rPr>
          <w:rFonts w:cs="Times New Roman"/>
          <w:sz w:val="24"/>
          <w:szCs w:val="24"/>
          <w:vertAlign w:val="superscript"/>
        </w:rPr>
        <w:t>-1</w:t>
      </w:r>
      <w:r w:rsidRPr="0025307F">
        <w:rPr>
          <w:rFonts w:cs="Times New Roman"/>
          <w:sz w:val="24"/>
          <w:szCs w:val="24"/>
        </w:rPr>
        <w:t>; CI: 0.16-0.18 versus Amazon: 0.27 Mg C ha</w:t>
      </w:r>
      <w:r w:rsidRPr="0025307F">
        <w:rPr>
          <w:rFonts w:cs="Times New Roman"/>
          <w:sz w:val="24"/>
          <w:szCs w:val="24"/>
          <w:vertAlign w:val="superscript"/>
        </w:rPr>
        <w:t>-1</w:t>
      </w:r>
      <w:r w:rsidRPr="0025307F">
        <w:rPr>
          <w:rFonts w:cs="Times New Roman"/>
          <w:sz w:val="24"/>
          <w:szCs w:val="24"/>
        </w:rPr>
        <w:t xml:space="preserve"> yr</w:t>
      </w:r>
      <w:r w:rsidRPr="0025307F">
        <w:rPr>
          <w:rFonts w:cs="Times New Roman"/>
          <w:sz w:val="24"/>
          <w:szCs w:val="24"/>
          <w:vertAlign w:val="superscript"/>
        </w:rPr>
        <w:t>-1</w:t>
      </w:r>
      <w:r w:rsidRPr="0025307F">
        <w:rPr>
          <w:rFonts w:cs="Times New Roman"/>
          <w:sz w:val="24"/>
          <w:szCs w:val="24"/>
        </w:rPr>
        <w:t>; CI: 0.25-0.28, p&lt;0.001; two-way Wilcoxon test), but this is compensated by carbon gains from survivors being significantly larger in Africa (2.33 Mg C ha</w:t>
      </w:r>
      <w:r w:rsidRPr="0025307F">
        <w:rPr>
          <w:rFonts w:cs="Times New Roman"/>
          <w:sz w:val="24"/>
          <w:szCs w:val="24"/>
          <w:vertAlign w:val="superscript"/>
        </w:rPr>
        <w:t>-1</w:t>
      </w:r>
      <w:r w:rsidRPr="0025307F">
        <w:rPr>
          <w:rFonts w:cs="Times New Roman"/>
          <w:sz w:val="24"/>
          <w:szCs w:val="24"/>
        </w:rPr>
        <w:t xml:space="preserve"> yr</w:t>
      </w:r>
      <w:r w:rsidRPr="0025307F">
        <w:rPr>
          <w:rFonts w:cs="Times New Roman"/>
          <w:sz w:val="24"/>
          <w:szCs w:val="24"/>
          <w:vertAlign w:val="superscript"/>
        </w:rPr>
        <w:t>-1</w:t>
      </w:r>
      <w:r w:rsidRPr="0025307F">
        <w:rPr>
          <w:rFonts w:cs="Times New Roman"/>
          <w:sz w:val="24"/>
          <w:szCs w:val="24"/>
        </w:rPr>
        <w:t>; CI: 2.27-2.39) than in the Amazon (2.13 Mg C ha</w:t>
      </w:r>
      <w:r w:rsidRPr="0025307F">
        <w:rPr>
          <w:rFonts w:cs="Times New Roman"/>
          <w:sz w:val="24"/>
          <w:szCs w:val="24"/>
          <w:vertAlign w:val="superscript"/>
        </w:rPr>
        <w:t>-1</w:t>
      </w:r>
      <w:r w:rsidRPr="0025307F">
        <w:rPr>
          <w:rFonts w:cs="Times New Roman"/>
          <w:sz w:val="24"/>
          <w:szCs w:val="24"/>
        </w:rPr>
        <w:t xml:space="preserve"> yr</w:t>
      </w:r>
      <w:r w:rsidRPr="0025307F">
        <w:rPr>
          <w:rFonts w:cs="Times New Roman"/>
          <w:sz w:val="24"/>
          <w:szCs w:val="24"/>
          <w:vertAlign w:val="superscript"/>
        </w:rPr>
        <w:t>-1</w:t>
      </w:r>
      <w:r w:rsidRPr="0025307F">
        <w:rPr>
          <w:rFonts w:cs="Times New Roman"/>
          <w:sz w:val="24"/>
          <w:szCs w:val="24"/>
        </w:rPr>
        <w:t>; CI: 2.09-2.17, p=0.014). Therefore, gains overall (sum of gains from surviving stems and newly recruited stems) are indistinguishable between the continents (Africa: 2.57 Mg C ha</w:t>
      </w:r>
      <w:r w:rsidRPr="0025307F">
        <w:rPr>
          <w:rFonts w:cs="Times New Roman"/>
          <w:sz w:val="24"/>
          <w:szCs w:val="24"/>
          <w:vertAlign w:val="superscript"/>
        </w:rPr>
        <w:t xml:space="preserve">-1 </w:t>
      </w:r>
      <w:r w:rsidRPr="0025307F">
        <w:rPr>
          <w:rFonts w:cs="Times New Roman"/>
          <w:sz w:val="24"/>
          <w:szCs w:val="24"/>
        </w:rPr>
        <w:t>yr</w:t>
      </w:r>
      <w:r w:rsidRPr="0025307F">
        <w:rPr>
          <w:rFonts w:cs="Times New Roman"/>
          <w:sz w:val="24"/>
          <w:szCs w:val="24"/>
          <w:vertAlign w:val="superscript"/>
        </w:rPr>
        <w:t>-1</w:t>
      </w:r>
      <w:r w:rsidRPr="0025307F">
        <w:rPr>
          <w:rFonts w:cs="Times New Roman"/>
          <w:sz w:val="24"/>
          <w:szCs w:val="24"/>
        </w:rPr>
        <w:t>; CI: 2.51-2.67 vs Amazon: 2.46 Mg C ha</w:t>
      </w:r>
      <w:r w:rsidRPr="0025307F">
        <w:rPr>
          <w:rFonts w:cs="Times New Roman"/>
          <w:sz w:val="24"/>
          <w:szCs w:val="24"/>
          <w:vertAlign w:val="superscript"/>
        </w:rPr>
        <w:t xml:space="preserve">-1 </w:t>
      </w:r>
      <w:r w:rsidRPr="0025307F">
        <w:rPr>
          <w:rFonts w:cs="Times New Roman"/>
          <w:sz w:val="24"/>
          <w:szCs w:val="24"/>
        </w:rPr>
        <w:t>yr</w:t>
      </w:r>
      <w:r w:rsidRPr="0025307F">
        <w:rPr>
          <w:rFonts w:cs="Times New Roman"/>
          <w:sz w:val="24"/>
          <w:szCs w:val="24"/>
          <w:vertAlign w:val="superscript"/>
        </w:rPr>
        <w:t>-1</w:t>
      </w:r>
      <w:r w:rsidRPr="0025307F">
        <w:rPr>
          <w:rFonts w:cs="Times New Roman"/>
          <w:sz w:val="24"/>
          <w:szCs w:val="24"/>
        </w:rPr>
        <w:t>; CI: 2.41-2.50, p=0.460; two-way Wilcoxon test).</w:t>
      </w:r>
    </w:p>
    <w:p w:rsidR="00B43E3C" w:rsidRPr="00B23FBB" w:rsidRDefault="00B43E3C" w:rsidP="00726F1B">
      <w:pPr>
        <w:rPr>
          <w:rFonts w:cs="Times New Roman"/>
          <w:sz w:val="24"/>
          <w:szCs w:val="24"/>
        </w:rPr>
      </w:pPr>
    </w:p>
    <w:p w:rsidR="00B43E3C" w:rsidRPr="00B23FBB" w:rsidRDefault="00B43E3C" w:rsidP="00726F1B">
      <w:pPr>
        <w:pStyle w:val="Heading2"/>
        <w:rPr>
          <w:rFonts w:cs="Times New Roman"/>
          <w:szCs w:val="24"/>
        </w:rPr>
      </w:pPr>
      <w:r w:rsidRPr="00B23FBB">
        <w:rPr>
          <w:rFonts w:cs="Times New Roman"/>
          <w:szCs w:val="24"/>
        </w:rPr>
        <w:t xml:space="preserve">Long-term </w:t>
      </w:r>
      <w:r>
        <w:rPr>
          <w:rFonts w:cs="Times New Roman"/>
          <w:szCs w:val="24"/>
        </w:rPr>
        <w:t>G</w:t>
      </w:r>
      <w:r w:rsidRPr="00B23FBB">
        <w:rPr>
          <w:rFonts w:cs="Times New Roman"/>
          <w:szCs w:val="24"/>
        </w:rPr>
        <w:t xml:space="preserve">ain, </w:t>
      </w:r>
      <w:r>
        <w:rPr>
          <w:rFonts w:cs="Times New Roman"/>
          <w:szCs w:val="24"/>
        </w:rPr>
        <w:t>L</w:t>
      </w:r>
      <w:r w:rsidRPr="00B23FBB">
        <w:rPr>
          <w:rFonts w:cs="Times New Roman"/>
          <w:szCs w:val="24"/>
        </w:rPr>
        <w:t xml:space="preserve">oss and </w:t>
      </w:r>
      <w:r>
        <w:rPr>
          <w:rFonts w:cs="Times New Roman"/>
          <w:szCs w:val="24"/>
        </w:rPr>
        <w:t>N</w:t>
      </w:r>
      <w:r w:rsidRPr="00B23FBB">
        <w:rPr>
          <w:rFonts w:cs="Times New Roman"/>
          <w:szCs w:val="24"/>
        </w:rPr>
        <w:t xml:space="preserve">et </w:t>
      </w:r>
      <w:r>
        <w:rPr>
          <w:rFonts w:cs="Times New Roman"/>
          <w:szCs w:val="24"/>
        </w:rPr>
        <w:t>C</w:t>
      </w:r>
      <w:r w:rsidRPr="00B23FBB">
        <w:rPr>
          <w:rFonts w:cs="Times New Roman"/>
          <w:szCs w:val="24"/>
        </w:rPr>
        <w:t xml:space="preserve">arbon </w:t>
      </w:r>
      <w:r>
        <w:rPr>
          <w:rFonts w:cs="Times New Roman"/>
          <w:szCs w:val="24"/>
        </w:rPr>
        <w:t>S</w:t>
      </w:r>
      <w:r w:rsidRPr="00B23FBB">
        <w:rPr>
          <w:rFonts w:cs="Times New Roman"/>
          <w:szCs w:val="24"/>
        </w:rPr>
        <w:t xml:space="preserve">ink </w:t>
      </w:r>
      <w:r>
        <w:rPr>
          <w:rFonts w:cs="Times New Roman"/>
          <w:szCs w:val="24"/>
        </w:rPr>
        <w:t>T</w:t>
      </w:r>
      <w:r w:rsidRPr="00B23FBB">
        <w:rPr>
          <w:rFonts w:cs="Times New Roman"/>
          <w:szCs w:val="24"/>
        </w:rPr>
        <w:t xml:space="preserve">rend </w:t>
      </w:r>
      <w:r>
        <w:rPr>
          <w:rFonts w:cs="Times New Roman"/>
          <w:szCs w:val="24"/>
        </w:rPr>
        <w:t>E</w:t>
      </w:r>
      <w:r w:rsidRPr="00B23FBB">
        <w:rPr>
          <w:rFonts w:cs="Times New Roman"/>
          <w:szCs w:val="24"/>
        </w:rPr>
        <w:t>stimation</w:t>
      </w:r>
      <w:r>
        <w:rPr>
          <w:rFonts w:cs="Times New Roman"/>
          <w:szCs w:val="24"/>
        </w:rPr>
        <w:t>, 1983-2014</w:t>
      </w:r>
    </w:p>
    <w:p w:rsidR="00B43E3C" w:rsidRPr="007209AA" w:rsidRDefault="00B43E3C" w:rsidP="00726F1B">
      <w:pPr>
        <w:rPr>
          <w:rFonts w:cs="Times New Roman"/>
          <w:sz w:val="24"/>
          <w:szCs w:val="24"/>
        </w:rPr>
      </w:pPr>
      <w:r w:rsidRPr="007209AA">
        <w:rPr>
          <w:rFonts w:cs="Times New Roman"/>
          <w:sz w:val="24"/>
          <w:szCs w:val="24"/>
        </w:rPr>
        <w:t xml:space="preserve">The estimated mean </w:t>
      </w:r>
      <w:r>
        <w:rPr>
          <w:rFonts w:cs="Times New Roman"/>
          <w:sz w:val="24"/>
          <w:szCs w:val="24"/>
        </w:rPr>
        <w:t xml:space="preserve">and uncertainty in </w:t>
      </w:r>
      <w:r w:rsidRPr="007209AA">
        <w:rPr>
          <w:rFonts w:cs="Times New Roman"/>
          <w:sz w:val="24"/>
          <w:szCs w:val="24"/>
        </w:rPr>
        <w:t>carbon gains, carbon losses and the net carbon sink of the African plots from 1983-2014</w:t>
      </w:r>
      <w:r>
        <w:rPr>
          <w:rFonts w:cs="Times New Roman"/>
          <w:sz w:val="24"/>
          <w:szCs w:val="24"/>
        </w:rPr>
        <w:t xml:space="preserve"> (</w:t>
      </w:r>
      <w:r w:rsidRPr="008A6C88">
        <w:rPr>
          <w:rFonts w:cs="Times New Roman"/>
          <w:sz w:val="24"/>
          <w:szCs w:val="24"/>
        </w:rPr>
        <w:t>Figure 1, Extended Data Figure 7 and Extended Data Figure 8) were calculated following ref.</w:t>
      </w:r>
      <w:r w:rsidRPr="00D172EE">
        <w:rPr>
          <w:rFonts w:cs="Times New Roman"/>
          <w:noProof/>
          <w:sz w:val="24"/>
          <w:szCs w:val="24"/>
          <w:vertAlign w:val="superscript"/>
        </w:rPr>
        <w:t>6</w:t>
      </w:r>
      <w:r w:rsidRPr="008A6C88">
        <w:rPr>
          <w:rFonts w:cs="Times New Roman"/>
          <w:sz w:val="24"/>
          <w:szCs w:val="24"/>
        </w:rPr>
        <w:t xml:space="preserve"> to allow direct comparison with published Amazonian results. First, each census interval value was interpolated for each 0.1-yr period within the census interval. Then, for each 0.1-yr period between 1983 and 2014, we calculated a weighted mean of all plots monitored at </w:t>
      </w:r>
      <w:r w:rsidRPr="008A6C88">
        <w:rPr>
          <w:rFonts w:cs="Times New Roman"/>
          <w:sz w:val="24"/>
          <w:szCs w:val="24"/>
        </w:rPr>
        <w:lastRenderedPageBreak/>
        <w:t>that time, using the square root of plot area as a weighting factor</w:t>
      </w:r>
      <w:r w:rsidRPr="00D172EE">
        <w:rPr>
          <w:rFonts w:cs="Times New Roman"/>
          <w:noProof/>
          <w:sz w:val="24"/>
          <w:szCs w:val="24"/>
          <w:vertAlign w:val="superscript"/>
        </w:rPr>
        <w:t>6</w:t>
      </w:r>
      <w:r w:rsidRPr="008A6C88">
        <w:rPr>
          <w:rFonts w:cs="Times New Roman"/>
          <w:sz w:val="24"/>
          <w:szCs w:val="24"/>
        </w:rPr>
        <w:t>. Confidence intervals for each 0.1-yr period were bootstrapped.</w:t>
      </w:r>
      <w:r w:rsidRPr="007209AA">
        <w:rPr>
          <w:rFonts w:cs="Times New Roman"/>
          <w:sz w:val="24"/>
          <w:szCs w:val="24"/>
        </w:rPr>
        <w:t xml:space="preserve"> </w:t>
      </w:r>
    </w:p>
    <w:p w:rsidR="00B43E3C" w:rsidRPr="007209AA" w:rsidRDefault="00B43E3C" w:rsidP="00726F1B">
      <w:pPr>
        <w:rPr>
          <w:rFonts w:cs="Times New Roman"/>
          <w:sz w:val="24"/>
          <w:szCs w:val="24"/>
        </w:rPr>
      </w:pPr>
    </w:p>
    <w:p w:rsidR="00B43E3C" w:rsidRPr="0025307F" w:rsidRDefault="00B43E3C" w:rsidP="00726F1B">
      <w:pPr>
        <w:rPr>
          <w:rFonts w:cs="Times New Roman"/>
          <w:sz w:val="24"/>
          <w:szCs w:val="24"/>
        </w:rPr>
      </w:pPr>
      <w:r w:rsidRPr="007209AA">
        <w:rPr>
          <w:rFonts w:cs="Times New Roman"/>
          <w:sz w:val="24"/>
          <w:szCs w:val="24"/>
        </w:rPr>
        <w:t>Trends in carbon gains, losses and the net carbon sink over time were assessed using linear mixed effects models (lmer function in R, lme4 package</w:t>
      </w:r>
      <w:r w:rsidRPr="00EB02F2">
        <w:rPr>
          <w:rFonts w:cs="Times New Roman"/>
          <w:noProof/>
          <w:sz w:val="24"/>
          <w:szCs w:val="24"/>
          <w:vertAlign w:val="superscript"/>
        </w:rPr>
        <w:t>72</w:t>
      </w:r>
      <w:r w:rsidRPr="007209AA">
        <w:rPr>
          <w:rFonts w:cs="Times New Roman"/>
          <w:sz w:val="24"/>
          <w:szCs w:val="24"/>
        </w:rPr>
        <w:t>), providing the linear slopes reported in Figure 1. These models regress the mid-point of each census interval against the value of the response variable for that census interval. Plot identity was included as a random effect, i.e. assuming</w:t>
      </w:r>
      <w:r w:rsidRPr="007209AA">
        <w:rPr>
          <w:rFonts w:cs="Times New Roman"/>
          <w:noProof/>
          <w:sz w:val="24"/>
          <w:szCs w:val="24"/>
        </w:rPr>
        <w:t xml:space="preserve"> that the intercept can vary randomly among plots</w:t>
      </w:r>
      <w:r w:rsidRPr="007209AA">
        <w:rPr>
          <w:rFonts w:cs="Times New Roman"/>
          <w:sz w:val="24"/>
          <w:szCs w:val="24"/>
        </w:rPr>
        <w:t>.</w:t>
      </w:r>
      <w:r w:rsidRPr="002C51A4">
        <w:rPr>
          <w:rFonts w:cs="Times New Roman"/>
          <w:sz w:val="24"/>
          <w:szCs w:val="24"/>
        </w:rPr>
        <w:t xml:space="preserve"> We did not include slope as a random effect, consistent with previously published Amazon analyses</w:t>
      </w:r>
      <w:r w:rsidRPr="00D172EE">
        <w:rPr>
          <w:rFonts w:cs="Times New Roman"/>
          <w:noProof/>
          <w:sz w:val="24"/>
          <w:szCs w:val="24"/>
          <w:vertAlign w:val="superscript"/>
        </w:rPr>
        <w:t>6</w:t>
      </w:r>
      <w:r w:rsidRPr="002C51A4">
        <w:rPr>
          <w:rFonts w:cs="Times New Roman"/>
          <w:sz w:val="24"/>
          <w:szCs w:val="24"/>
        </w:rPr>
        <w:t xml:space="preserve">, </w:t>
      </w:r>
      <w:r>
        <w:rPr>
          <w:rFonts w:cs="Times New Roman"/>
          <w:sz w:val="24"/>
          <w:szCs w:val="24"/>
        </w:rPr>
        <w:t>because models did not converge</w:t>
      </w:r>
      <w:r w:rsidRPr="002C51A4">
        <w:rPr>
          <w:rFonts w:cs="Times New Roman"/>
          <w:sz w:val="24"/>
          <w:szCs w:val="24"/>
        </w:rPr>
        <w:t xml:space="preserve"> due to some plots having too few census intervals. </w:t>
      </w:r>
      <w:r w:rsidRPr="0025307F">
        <w:rPr>
          <w:rFonts w:cs="Times New Roman"/>
          <w:noProof/>
          <w:sz w:val="24"/>
          <w:szCs w:val="24"/>
        </w:rPr>
        <w:t>Observations were</w:t>
      </w:r>
      <w:r w:rsidRPr="0025307F">
        <w:rPr>
          <w:rFonts w:cs="Times New Roman"/>
          <w:sz w:val="24"/>
          <w:szCs w:val="24"/>
        </w:rPr>
        <w:t xml:space="preserve"> weighted by plot size and census interval length. Weightings were derived empirically, by assuming </w:t>
      </w:r>
      <w:r w:rsidRPr="0025307F">
        <w:rPr>
          <w:rFonts w:cs="Times New Roman"/>
          <w:i/>
          <w:sz w:val="24"/>
          <w:szCs w:val="24"/>
        </w:rPr>
        <w:t>a priori</w:t>
      </w:r>
      <w:r w:rsidRPr="0025307F">
        <w:rPr>
          <w:rFonts w:cs="Times New Roman"/>
          <w:sz w:val="24"/>
          <w:szCs w:val="24"/>
        </w:rPr>
        <w:t xml:space="preserve"> that there is no significant relation between the net carbon sink and census interval length or plot size, following ref.</w:t>
      </w:r>
      <w:r w:rsidRPr="005A2EB8">
        <w:rPr>
          <w:rFonts w:cs="Times New Roman"/>
          <w:noProof/>
          <w:sz w:val="24"/>
          <w:szCs w:val="24"/>
          <w:vertAlign w:val="superscript"/>
        </w:rPr>
        <w:t>13</w:t>
      </w:r>
      <w:r w:rsidRPr="0025307F">
        <w:rPr>
          <w:rFonts w:cs="Times New Roman"/>
          <w:sz w:val="24"/>
          <w:szCs w:val="24"/>
        </w:rPr>
        <w:t>. The following weighting removes all pattern in the residuals:</w:t>
      </w:r>
      <w:r>
        <w:rPr>
          <w:rFonts w:cs="Times New Roman"/>
          <w:sz w:val="24"/>
          <w:szCs w:val="24"/>
        </w:rPr>
        <w:t xml:space="preserve"> Weight= </w:t>
      </w:r>
      <w:r w:rsidRPr="00421723">
        <w:rPr>
          <w:rFonts w:cs="Times New Roman"/>
          <w:sz w:val="24"/>
          <w:szCs w:val="24"/>
          <w:vertAlign w:val="superscript"/>
        </w:rPr>
        <w:t>3</w:t>
      </w:r>
      <w:r>
        <w:rPr>
          <w:rFonts w:cs="Times New Roman"/>
          <w:sz w:val="24"/>
          <w:szCs w:val="24"/>
        </w:rPr>
        <w:t>√length</w:t>
      </w:r>
      <w:r w:rsidRPr="00421723">
        <w:rPr>
          <w:rFonts w:cs="Times New Roman"/>
          <w:sz w:val="24"/>
          <w:szCs w:val="24"/>
          <w:vertAlign w:val="subscript"/>
        </w:rPr>
        <w:t>int</w:t>
      </w:r>
      <w:r>
        <w:rPr>
          <w:rFonts w:cs="Times New Roman"/>
          <w:sz w:val="24"/>
          <w:szCs w:val="24"/>
        </w:rPr>
        <w:t xml:space="preserve"> + </w:t>
      </w:r>
      <w:r w:rsidRPr="00421723">
        <w:rPr>
          <w:rFonts w:cs="Times New Roman"/>
          <w:sz w:val="24"/>
          <w:szCs w:val="24"/>
          <w:vertAlign w:val="superscript"/>
        </w:rPr>
        <w:t>4</w:t>
      </w:r>
      <w:r>
        <w:rPr>
          <w:rFonts w:cs="Times New Roman"/>
          <w:sz w:val="24"/>
          <w:szCs w:val="24"/>
        </w:rPr>
        <w:t xml:space="preserve">√plotsize -1 </w:t>
      </w:r>
      <w:r w:rsidRPr="0025307F">
        <w:rPr>
          <w:rFonts w:cs="Times New Roman"/>
          <w:sz w:val="24"/>
          <w:szCs w:val="24"/>
        </w:rPr>
        <w:t>(equation 3),</w:t>
      </w:r>
      <w:r>
        <w:rPr>
          <w:rFonts w:cs="Times New Roman"/>
          <w:sz w:val="24"/>
          <w:szCs w:val="24"/>
        </w:rPr>
        <w:t xml:space="preserve"> </w:t>
      </w:r>
      <w:r w:rsidRPr="0025307F">
        <w:rPr>
          <w:rFonts w:cs="Times New Roman"/>
          <w:sz w:val="24"/>
          <w:szCs w:val="24"/>
        </w:rPr>
        <w:t>where length</w:t>
      </w:r>
      <w:r w:rsidRPr="0025307F">
        <w:rPr>
          <w:rFonts w:cs="Times New Roman"/>
          <w:sz w:val="24"/>
          <w:szCs w:val="24"/>
          <w:vertAlign w:val="subscript"/>
        </w:rPr>
        <w:t>int</w:t>
      </w:r>
      <w:r w:rsidRPr="0025307F">
        <w:rPr>
          <w:rFonts w:cs="Times New Roman"/>
          <w:sz w:val="24"/>
          <w:szCs w:val="24"/>
        </w:rPr>
        <w:t xml:space="preserve"> is the length of the census interval, in years. Significance was assessed by regressing the residuals of the net carbon sink model against the weights (p=0.702). </w:t>
      </w:r>
    </w:p>
    <w:p w:rsidR="00B43E3C" w:rsidRPr="002C51A4" w:rsidRDefault="00B43E3C" w:rsidP="00726F1B">
      <w:pPr>
        <w:rPr>
          <w:rFonts w:cs="Times New Roman"/>
          <w:sz w:val="24"/>
          <w:szCs w:val="24"/>
        </w:rPr>
      </w:pPr>
    </w:p>
    <w:p w:rsidR="00B43E3C" w:rsidRPr="002C51A4" w:rsidRDefault="00B43E3C" w:rsidP="00726F1B">
      <w:pPr>
        <w:rPr>
          <w:rFonts w:cs="Times New Roman"/>
          <w:sz w:val="24"/>
          <w:szCs w:val="24"/>
        </w:rPr>
      </w:pPr>
      <w:r w:rsidRPr="002C51A4">
        <w:rPr>
          <w:rFonts w:cs="Times New Roman"/>
          <w:sz w:val="24"/>
          <w:szCs w:val="24"/>
        </w:rPr>
        <w:t>Differences in long-term slopes between the two continents for carbon gains, carbon losses and net carbon sink, reported in the main text, were also assessed using linear mixed effects models, as described above, but performed on the combined African and Amazonian datasets and limited to their common time window, 1983 to 2011.5. For these three tests on the pooled data we included an additional interaction term between census interval date and continent, where a significant interaction would indicate that the slopes differ between continents. The statistical significance of continental differences in slope were assessed using the F-statistic (Anova function in R, car package</w:t>
      </w:r>
      <w:r w:rsidRPr="00EB02F2">
        <w:rPr>
          <w:rFonts w:cs="Times New Roman"/>
          <w:noProof/>
          <w:sz w:val="24"/>
          <w:szCs w:val="24"/>
          <w:vertAlign w:val="superscript"/>
          <w:lang w:val="en-GB"/>
        </w:rPr>
        <w:t>73</w:t>
      </w:r>
      <w:r w:rsidRPr="002C51A4">
        <w:rPr>
          <w:rFonts w:cs="Times New Roman"/>
          <w:sz w:val="24"/>
          <w:szCs w:val="24"/>
        </w:rPr>
        <w:t>).</w:t>
      </w:r>
      <w:r>
        <w:rPr>
          <w:rFonts w:cs="Times New Roman"/>
          <w:sz w:val="24"/>
          <w:szCs w:val="24"/>
        </w:rPr>
        <w:t xml:space="preserve"> Shortening the common time window to the 20 years when the continents are best-sampled, 1991.5 to 2011.5, gave very similar results, including a divergent continental sink (p=0.04). </w:t>
      </w:r>
    </w:p>
    <w:p w:rsidR="00B43E3C" w:rsidRPr="00B23FBB" w:rsidRDefault="00B43E3C" w:rsidP="00726F1B"/>
    <w:p w:rsidR="00B43E3C" w:rsidRPr="00332754" w:rsidRDefault="00B43E3C" w:rsidP="00726F1B">
      <w:pPr>
        <w:pStyle w:val="Heading2"/>
      </w:pPr>
      <w:r w:rsidRPr="00332754">
        <w:t xml:space="preserve">Continental and </w:t>
      </w:r>
      <w:r>
        <w:t>P</w:t>
      </w:r>
      <w:r w:rsidRPr="00332754">
        <w:t>an-</w:t>
      </w:r>
      <w:r>
        <w:t>T</w:t>
      </w:r>
      <w:r w:rsidRPr="00332754">
        <w:t xml:space="preserve">ropical </w:t>
      </w:r>
      <w:r>
        <w:t>C</w:t>
      </w:r>
      <w:r w:rsidRPr="00332754">
        <w:t xml:space="preserve">arbon </w:t>
      </w:r>
      <w:r>
        <w:t>S</w:t>
      </w:r>
      <w:r w:rsidRPr="00332754">
        <w:t xml:space="preserve">ink </w:t>
      </w:r>
      <w:r>
        <w:t>E</w:t>
      </w:r>
      <w:r w:rsidRPr="00332754">
        <w:t>stimates</w:t>
      </w:r>
    </w:p>
    <w:p w:rsidR="00B43E3C" w:rsidRDefault="00B43E3C" w:rsidP="00726F1B">
      <w:pPr>
        <w:rPr>
          <w:rFonts w:cs="Times New Roman"/>
          <w:sz w:val="24"/>
          <w:szCs w:val="24"/>
        </w:rPr>
      </w:pPr>
      <w:r>
        <w:rPr>
          <w:rFonts w:cs="Times New Roman"/>
          <w:sz w:val="24"/>
          <w:szCs w:val="24"/>
        </w:rPr>
        <w:t>T</w:t>
      </w:r>
      <w:r w:rsidRPr="0025307F">
        <w:rPr>
          <w:rFonts w:cs="Times New Roman"/>
          <w:sz w:val="24"/>
          <w:szCs w:val="24"/>
        </w:rPr>
        <w:t xml:space="preserve">he </w:t>
      </w:r>
      <w:r w:rsidRPr="00F2212A">
        <w:rPr>
          <w:rFonts w:cs="Times New Roman"/>
          <w:i/>
          <w:sz w:val="24"/>
          <w:szCs w:val="24"/>
        </w:rPr>
        <w:t xml:space="preserve">per unit area </w:t>
      </w:r>
      <w:r w:rsidRPr="00F66122">
        <w:rPr>
          <w:rFonts w:cs="Times New Roman"/>
          <w:i/>
          <w:sz w:val="24"/>
          <w:szCs w:val="24"/>
        </w:rPr>
        <w:t>total</w:t>
      </w:r>
      <w:r w:rsidRPr="00F2212A">
        <w:rPr>
          <w:rFonts w:cs="Times New Roman"/>
          <w:i/>
          <w:sz w:val="24"/>
          <w:szCs w:val="24"/>
        </w:rPr>
        <w:t xml:space="preserve"> net carbon sink</w:t>
      </w:r>
      <w:r w:rsidRPr="0025307F">
        <w:rPr>
          <w:rFonts w:cs="Times New Roman"/>
          <w:sz w:val="24"/>
          <w:szCs w:val="24"/>
        </w:rPr>
        <w:t xml:space="preserve"> (in Mg C ha</w:t>
      </w:r>
      <w:r w:rsidRPr="0025307F">
        <w:rPr>
          <w:rFonts w:cs="Times New Roman"/>
          <w:sz w:val="24"/>
          <w:szCs w:val="24"/>
          <w:vertAlign w:val="superscript"/>
        </w:rPr>
        <w:t xml:space="preserve">-1 </w:t>
      </w:r>
      <w:r w:rsidRPr="0025307F">
        <w:rPr>
          <w:rFonts w:cs="Times New Roman"/>
          <w:sz w:val="24"/>
          <w:szCs w:val="24"/>
        </w:rPr>
        <w:t>yr</w:t>
      </w:r>
      <w:r w:rsidRPr="0025307F">
        <w:rPr>
          <w:rFonts w:cs="Times New Roman"/>
          <w:sz w:val="24"/>
          <w:szCs w:val="24"/>
          <w:vertAlign w:val="superscript"/>
        </w:rPr>
        <w:t>-1</w:t>
      </w:r>
      <w:r w:rsidRPr="0025307F">
        <w:rPr>
          <w:rFonts w:cs="Times New Roman"/>
          <w:sz w:val="24"/>
          <w:szCs w:val="24"/>
        </w:rPr>
        <w:t xml:space="preserve">) </w:t>
      </w:r>
      <w:r>
        <w:rPr>
          <w:rFonts w:cs="Times New Roman"/>
          <w:sz w:val="24"/>
          <w:szCs w:val="24"/>
        </w:rPr>
        <w:t>f</w:t>
      </w:r>
      <w:r w:rsidRPr="0025307F">
        <w:rPr>
          <w:rFonts w:cs="Times New Roman"/>
          <w:sz w:val="24"/>
          <w:szCs w:val="24"/>
        </w:rPr>
        <w:t xml:space="preserve">or each time period in Table 1 </w:t>
      </w:r>
      <w:r>
        <w:rPr>
          <w:rFonts w:cs="Times New Roman"/>
          <w:sz w:val="24"/>
          <w:szCs w:val="24"/>
        </w:rPr>
        <w:t>(e</w:t>
      </w:r>
      <w:r w:rsidRPr="007209AA">
        <w:rPr>
          <w:rFonts w:cs="Times New Roman"/>
          <w:sz w:val="24"/>
          <w:szCs w:val="24"/>
        </w:rPr>
        <w:t xml:space="preserve">ach decade between </w:t>
      </w:r>
      <w:r>
        <w:rPr>
          <w:rFonts w:cs="Times New Roman"/>
          <w:sz w:val="24"/>
          <w:szCs w:val="24"/>
        </w:rPr>
        <w:t>1980 and 2010; and 2010-2015) is</w:t>
      </w:r>
      <w:r w:rsidRPr="0025307F">
        <w:rPr>
          <w:rFonts w:cs="Times New Roman"/>
          <w:sz w:val="24"/>
          <w:szCs w:val="24"/>
        </w:rPr>
        <w:t xml:space="preserve"> the sum of</w:t>
      </w:r>
      <w:r>
        <w:rPr>
          <w:rFonts w:cs="Times New Roman"/>
          <w:sz w:val="24"/>
          <w:szCs w:val="24"/>
        </w:rPr>
        <w:t xml:space="preserve"> three components. The first component is</w:t>
      </w:r>
      <w:r w:rsidRPr="0025307F">
        <w:rPr>
          <w:rFonts w:cs="Times New Roman"/>
          <w:sz w:val="24"/>
          <w:szCs w:val="24"/>
        </w:rPr>
        <w:t xml:space="preserve"> the per unit area </w:t>
      </w:r>
      <w:r w:rsidRPr="006F219F">
        <w:rPr>
          <w:rFonts w:cs="Times New Roman"/>
          <w:sz w:val="24"/>
          <w:szCs w:val="24"/>
        </w:rPr>
        <w:t xml:space="preserve">aboveground </w:t>
      </w:r>
      <w:r w:rsidRPr="0025307F">
        <w:rPr>
          <w:rFonts w:cs="Times New Roman"/>
          <w:sz w:val="24"/>
          <w:szCs w:val="24"/>
        </w:rPr>
        <w:t>carbon sink from living trees and lianas with DBH≥100 mm</w:t>
      </w:r>
      <w:r>
        <w:rPr>
          <w:rFonts w:cs="Times New Roman"/>
          <w:sz w:val="24"/>
          <w:szCs w:val="24"/>
        </w:rPr>
        <w:t>.</w:t>
      </w:r>
      <w:r w:rsidRPr="00F66122">
        <w:rPr>
          <w:rFonts w:cs="Times New Roman"/>
          <w:sz w:val="24"/>
          <w:szCs w:val="24"/>
        </w:rPr>
        <w:t xml:space="preserve"> </w:t>
      </w:r>
      <w:r w:rsidRPr="007209AA">
        <w:rPr>
          <w:rFonts w:cs="Times New Roman"/>
          <w:sz w:val="24"/>
          <w:szCs w:val="24"/>
        </w:rPr>
        <w:t>For Africa we use the per unit area net carbon sink values presented in this paper. For Amazonia, we use data in ref.</w:t>
      </w:r>
      <w:r w:rsidRPr="00D172EE">
        <w:rPr>
          <w:rFonts w:cs="Times New Roman"/>
          <w:noProof/>
          <w:sz w:val="24"/>
          <w:szCs w:val="24"/>
          <w:vertAlign w:val="superscript"/>
        </w:rPr>
        <w:t>6</w:t>
      </w:r>
      <w:r w:rsidRPr="007209AA">
        <w:rPr>
          <w:rFonts w:cs="Times New Roman"/>
          <w:sz w:val="24"/>
          <w:szCs w:val="24"/>
        </w:rPr>
        <w:t>. For Southeast Asia, we use inventory data collected using si</w:t>
      </w:r>
      <w:r>
        <w:rPr>
          <w:rFonts w:cs="Times New Roman"/>
          <w:sz w:val="24"/>
          <w:szCs w:val="24"/>
        </w:rPr>
        <w:t xml:space="preserve">milar standardised methods from </w:t>
      </w:r>
      <w:r w:rsidRPr="007209AA">
        <w:rPr>
          <w:rFonts w:cs="Times New Roman"/>
          <w:sz w:val="24"/>
          <w:szCs w:val="24"/>
        </w:rPr>
        <w:t>49 plots in ref.</w:t>
      </w:r>
      <w:r w:rsidRPr="005A2EB8">
        <w:rPr>
          <w:rFonts w:cs="Times New Roman"/>
          <w:noProof/>
          <w:sz w:val="24"/>
          <w:szCs w:val="24"/>
          <w:vertAlign w:val="superscript"/>
        </w:rPr>
        <w:t>15</w:t>
      </w:r>
      <w:r w:rsidRPr="007209AA">
        <w:rPr>
          <w:rFonts w:cs="Times New Roman"/>
          <w:sz w:val="24"/>
          <w:szCs w:val="24"/>
        </w:rPr>
        <w:t xml:space="preserve">. </w:t>
      </w:r>
      <w:r>
        <w:rPr>
          <w:rFonts w:cs="Times New Roman"/>
          <w:sz w:val="24"/>
          <w:szCs w:val="24"/>
        </w:rPr>
        <w:t xml:space="preserve">For each time window, we use </w:t>
      </w:r>
      <w:r w:rsidRPr="007209AA">
        <w:rPr>
          <w:rFonts w:cs="Times New Roman"/>
          <w:sz w:val="24"/>
          <w:szCs w:val="24"/>
        </w:rPr>
        <w:t xml:space="preserve">all plots for which census dates overlap the </w:t>
      </w:r>
      <w:r>
        <w:rPr>
          <w:rFonts w:cs="Times New Roman"/>
          <w:sz w:val="24"/>
          <w:szCs w:val="24"/>
        </w:rPr>
        <w:t xml:space="preserve">period, weighted </w:t>
      </w:r>
      <w:r w:rsidRPr="007209AA">
        <w:rPr>
          <w:rFonts w:cs="Times New Roman"/>
          <w:sz w:val="24"/>
          <w:szCs w:val="24"/>
        </w:rPr>
        <w:t>by the square root of plot area</w:t>
      </w:r>
      <w:r>
        <w:rPr>
          <w:rFonts w:cs="Times New Roman"/>
          <w:sz w:val="24"/>
          <w:szCs w:val="24"/>
        </w:rPr>
        <w:t>, as for the solid lines in Figure 1. The second component is</w:t>
      </w:r>
      <w:r w:rsidRPr="0025307F">
        <w:rPr>
          <w:rFonts w:cs="Times New Roman"/>
          <w:sz w:val="24"/>
          <w:szCs w:val="24"/>
        </w:rPr>
        <w:t xml:space="preserve"> the per unit area </w:t>
      </w:r>
      <w:r w:rsidRPr="006F219F">
        <w:rPr>
          <w:rFonts w:cs="Times New Roman"/>
          <w:sz w:val="24"/>
          <w:szCs w:val="24"/>
        </w:rPr>
        <w:t xml:space="preserve">aboveground </w:t>
      </w:r>
      <w:r w:rsidRPr="0025307F">
        <w:rPr>
          <w:rFonts w:cs="Times New Roman"/>
          <w:sz w:val="24"/>
          <w:szCs w:val="24"/>
        </w:rPr>
        <w:t>carbon sink from living trees and lianas with DBH</w:t>
      </w:r>
      <w:r>
        <w:rPr>
          <w:rFonts w:cs="Times New Roman"/>
          <w:sz w:val="24"/>
          <w:szCs w:val="24"/>
        </w:rPr>
        <w:t xml:space="preserve">&lt;100 mm. This is calculated as </w:t>
      </w:r>
      <w:r w:rsidRPr="0025307F">
        <w:rPr>
          <w:rFonts w:cs="Times New Roman"/>
          <w:sz w:val="24"/>
          <w:szCs w:val="24"/>
        </w:rPr>
        <w:t xml:space="preserve">5.19%, 9.40% and 5.46% of </w:t>
      </w:r>
      <w:r>
        <w:rPr>
          <w:rFonts w:cs="Times New Roman"/>
          <w:sz w:val="24"/>
          <w:szCs w:val="24"/>
        </w:rPr>
        <w:t xml:space="preserve">the first component (i.e. </w:t>
      </w:r>
      <w:r w:rsidRPr="0025307F">
        <w:rPr>
          <w:rFonts w:cs="Times New Roman"/>
          <w:sz w:val="24"/>
          <w:szCs w:val="24"/>
        </w:rPr>
        <w:t>aboveground carbon of large living trees</w:t>
      </w:r>
      <w:r>
        <w:rPr>
          <w:rFonts w:cs="Times New Roman"/>
          <w:sz w:val="24"/>
          <w:szCs w:val="24"/>
        </w:rPr>
        <w:t>)</w:t>
      </w:r>
      <w:r w:rsidRPr="0025307F">
        <w:rPr>
          <w:rFonts w:cs="Times New Roman"/>
          <w:sz w:val="24"/>
          <w:szCs w:val="24"/>
        </w:rPr>
        <w:t xml:space="preserve"> in Africa, Amazonia and Southeast Asia respectively</w:t>
      </w:r>
      <w:r w:rsidRPr="00EB02F2">
        <w:rPr>
          <w:rFonts w:cs="Times New Roman"/>
          <w:noProof/>
          <w:sz w:val="24"/>
          <w:szCs w:val="24"/>
          <w:vertAlign w:val="superscript"/>
        </w:rPr>
        <w:t>13,74</w:t>
      </w:r>
      <w:r>
        <w:rPr>
          <w:rFonts w:cs="Times New Roman"/>
          <w:sz w:val="24"/>
          <w:szCs w:val="24"/>
        </w:rPr>
        <w:t>.</w:t>
      </w:r>
      <w:r w:rsidRPr="0025307F">
        <w:rPr>
          <w:rFonts w:cs="Times New Roman"/>
          <w:sz w:val="24"/>
          <w:szCs w:val="24"/>
        </w:rPr>
        <w:t xml:space="preserve"> </w:t>
      </w:r>
      <w:r>
        <w:rPr>
          <w:rFonts w:cs="Times New Roman"/>
          <w:sz w:val="24"/>
          <w:szCs w:val="24"/>
        </w:rPr>
        <w:t>The third component is</w:t>
      </w:r>
      <w:r w:rsidRPr="0025307F">
        <w:rPr>
          <w:rFonts w:cs="Times New Roman"/>
          <w:sz w:val="24"/>
          <w:szCs w:val="24"/>
        </w:rPr>
        <w:t xml:space="preserve"> the per unit area </w:t>
      </w:r>
      <w:r w:rsidRPr="006F219F">
        <w:rPr>
          <w:rFonts w:cs="Times New Roman"/>
          <w:sz w:val="24"/>
          <w:szCs w:val="24"/>
        </w:rPr>
        <w:t xml:space="preserve">belowground </w:t>
      </w:r>
      <w:r w:rsidRPr="0025307F">
        <w:rPr>
          <w:rFonts w:cs="Times New Roman"/>
          <w:sz w:val="24"/>
          <w:szCs w:val="24"/>
        </w:rPr>
        <w:t>carbon sink in live biomass, i.e. roots</w:t>
      </w:r>
      <w:r>
        <w:rPr>
          <w:rFonts w:cs="Times New Roman"/>
          <w:sz w:val="24"/>
          <w:szCs w:val="24"/>
        </w:rPr>
        <w:t>. This is calculated as</w:t>
      </w:r>
      <w:r w:rsidRPr="0025307F">
        <w:rPr>
          <w:rFonts w:cs="Times New Roman"/>
          <w:sz w:val="24"/>
          <w:szCs w:val="24"/>
        </w:rPr>
        <w:t xml:space="preserve"> 25%, 37% and 17% of </w:t>
      </w:r>
      <w:r>
        <w:rPr>
          <w:rFonts w:cs="Times New Roman"/>
          <w:sz w:val="24"/>
          <w:szCs w:val="24"/>
        </w:rPr>
        <w:t xml:space="preserve">the </w:t>
      </w:r>
      <w:r w:rsidRPr="0025307F">
        <w:rPr>
          <w:rFonts w:cs="Times New Roman"/>
          <w:sz w:val="24"/>
          <w:szCs w:val="24"/>
        </w:rPr>
        <w:t>aboveground carbon of living trees</w:t>
      </w:r>
      <w:r>
        <w:rPr>
          <w:rFonts w:cs="Times New Roman"/>
          <w:sz w:val="24"/>
          <w:szCs w:val="24"/>
        </w:rPr>
        <w:t xml:space="preserve"> </w:t>
      </w:r>
      <w:r w:rsidRPr="0025307F">
        <w:rPr>
          <w:rFonts w:cs="Times New Roman"/>
          <w:sz w:val="24"/>
          <w:szCs w:val="24"/>
        </w:rPr>
        <w:t>with DBH≥100 mm</w:t>
      </w:r>
      <w:r>
        <w:rPr>
          <w:rFonts w:cs="Times New Roman"/>
          <w:sz w:val="24"/>
          <w:szCs w:val="24"/>
        </w:rPr>
        <w:t xml:space="preserve"> </w:t>
      </w:r>
      <w:r w:rsidRPr="0025307F">
        <w:rPr>
          <w:rFonts w:cs="Times New Roman"/>
          <w:sz w:val="24"/>
          <w:szCs w:val="24"/>
        </w:rPr>
        <w:t>in Africa</w:t>
      </w:r>
      <w:r w:rsidRPr="005A2EB8">
        <w:rPr>
          <w:rFonts w:cs="Times New Roman"/>
          <w:noProof/>
          <w:sz w:val="24"/>
          <w:szCs w:val="24"/>
          <w:vertAlign w:val="superscript"/>
        </w:rPr>
        <w:t>13</w:t>
      </w:r>
      <w:r w:rsidRPr="0025307F">
        <w:rPr>
          <w:rFonts w:cs="Times New Roman"/>
          <w:sz w:val="24"/>
          <w:szCs w:val="24"/>
        </w:rPr>
        <w:t>, Amazonia</w:t>
      </w:r>
      <w:r w:rsidRPr="00D172EE">
        <w:rPr>
          <w:rFonts w:cs="Times New Roman"/>
          <w:noProof/>
          <w:sz w:val="24"/>
          <w:szCs w:val="24"/>
          <w:vertAlign w:val="superscript"/>
        </w:rPr>
        <w:t>6</w:t>
      </w:r>
      <w:r w:rsidRPr="0025307F">
        <w:rPr>
          <w:rFonts w:cs="Times New Roman"/>
          <w:sz w:val="24"/>
          <w:szCs w:val="24"/>
        </w:rPr>
        <w:t xml:space="preserve"> and Southeast Asia</w:t>
      </w:r>
      <w:r w:rsidRPr="00EB02F2">
        <w:rPr>
          <w:rFonts w:cs="Times New Roman"/>
          <w:noProof/>
          <w:sz w:val="24"/>
          <w:szCs w:val="24"/>
          <w:vertAlign w:val="superscript"/>
        </w:rPr>
        <w:t>75</w:t>
      </w:r>
      <w:r>
        <w:rPr>
          <w:rFonts w:cs="Times New Roman"/>
          <w:sz w:val="24"/>
          <w:szCs w:val="24"/>
        </w:rPr>
        <w:t xml:space="preserve"> respectively</w:t>
      </w:r>
      <w:r w:rsidRPr="0025307F">
        <w:rPr>
          <w:rFonts w:cs="Times New Roman"/>
          <w:sz w:val="24"/>
          <w:szCs w:val="24"/>
        </w:rPr>
        <w:t xml:space="preserve">. </w:t>
      </w:r>
    </w:p>
    <w:p w:rsidR="00B43E3C" w:rsidRDefault="00B43E3C" w:rsidP="00726F1B">
      <w:pPr>
        <w:rPr>
          <w:rFonts w:cs="Times New Roman"/>
          <w:i/>
          <w:sz w:val="24"/>
          <w:szCs w:val="24"/>
        </w:rPr>
      </w:pPr>
    </w:p>
    <w:p w:rsidR="00B43E3C" w:rsidRDefault="00B43E3C" w:rsidP="00726F1B">
      <w:pPr>
        <w:rPr>
          <w:rFonts w:cs="Times New Roman"/>
          <w:sz w:val="24"/>
          <w:szCs w:val="24"/>
        </w:rPr>
      </w:pPr>
      <w:r w:rsidRPr="0025307F">
        <w:rPr>
          <w:rFonts w:cs="Times New Roman"/>
          <w:sz w:val="24"/>
          <w:szCs w:val="24"/>
        </w:rPr>
        <w:t xml:space="preserve">For each time period in Table </w:t>
      </w:r>
      <w:r>
        <w:rPr>
          <w:rFonts w:cs="Times New Roman"/>
          <w:sz w:val="24"/>
          <w:szCs w:val="24"/>
        </w:rPr>
        <w:t xml:space="preserve">1 </w:t>
      </w:r>
      <w:r w:rsidRPr="0025307F">
        <w:rPr>
          <w:rFonts w:cs="Times New Roman"/>
          <w:sz w:val="24"/>
          <w:szCs w:val="24"/>
        </w:rPr>
        <w:t>we calculated</w:t>
      </w:r>
      <w:r>
        <w:rPr>
          <w:rFonts w:cs="Times New Roman"/>
          <w:sz w:val="24"/>
          <w:szCs w:val="24"/>
        </w:rPr>
        <w:t xml:space="preserve"> the </w:t>
      </w:r>
      <w:r w:rsidRPr="00A2443A">
        <w:rPr>
          <w:rFonts w:cs="Times New Roman"/>
          <w:i/>
          <w:sz w:val="24"/>
          <w:szCs w:val="24"/>
        </w:rPr>
        <w:t>continental-scale total carbon sink</w:t>
      </w:r>
      <w:r w:rsidRPr="00195BDF">
        <w:rPr>
          <w:rFonts w:cs="Times New Roman"/>
          <w:sz w:val="24"/>
          <w:szCs w:val="24"/>
        </w:rPr>
        <w:t xml:space="preserve"> </w:t>
      </w:r>
      <w:r w:rsidRPr="007209AA">
        <w:rPr>
          <w:rFonts w:cs="Times New Roman"/>
          <w:sz w:val="24"/>
          <w:szCs w:val="24"/>
        </w:rPr>
        <w:t>(Pg C yr</w:t>
      </w:r>
      <w:r w:rsidRPr="007209AA">
        <w:rPr>
          <w:rFonts w:cs="Times New Roman"/>
          <w:sz w:val="24"/>
          <w:szCs w:val="24"/>
          <w:vertAlign w:val="superscript"/>
        </w:rPr>
        <w:t>-1</w:t>
      </w:r>
      <w:r w:rsidRPr="007209AA">
        <w:rPr>
          <w:rFonts w:cs="Times New Roman"/>
          <w:sz w:val="24"/>
          <w:szCs w:val="24"/>
        </w:rPr>
        <w:t xml:space="preserve">) by multiplying the </w:t>
      </w:r>
      <w:r w:rsidRPr="00BD451C">
        <w:rPr>
          <w:rFonts w:cs="Times New Roman"/>
          <w:sz w:val="24"/>
          <w:szCs w:val="24"/>
        </w:rPr>
        <w:t>per unit area total net carbon sink</w:t>
      </w:r>
      <w:r>
        <w:rPr>
          <w:rFonts w:cs="Times New Roman"/>
          <w:sz w:val="24"/>
          <w:szCs w:val="24"/>
        </w:rPr>
        <w:t xml:space="preserve"> described above by the </w:t>
      </w:r>
      <w:r w:rsidRPr="007209AA">
        <w:rPr>
          <w:rFonts w:cs="Times New Roman"/>
          <w:sz w:val="24"/>
          <w:szCs w:val="24"/>
        </w:rPr>
        <w:t>area of intact forest on each continent at that time interval (in ha)</w:t>
      </w:r>
      <w:r>
        <w:rPr>
          <w:rFonts w:cs="Times New Roman"/>
          <w:sz w:val="24"/>
          <w:szCs w:val="24"/>
        </w:rPr>
        <w:t xml:space="preserve"> reported in Extended Data Table 2. Decades are calculated from 1990.01 to 1999.99. </w:t>
      </w:r>
      <w:r w:rsidRPr="007209AA">
        <w:rPr>
          <w:rFonts w:cs="Times New Roman"/>
          <w:sz w:val="24"/>
          <w:szCs w:val="24"/>
        </w:rPr>
        <w:t>For comparability with previous continental-sink results, we used continental values of intact forest area for 1990, 2000 and 2010 as published in ref.</w:t>
      </w:r>
      <w:r w:rsidRPr="00D172EE">
        <w:rPr>
          <w:rFonts w:cs="Times New Roman"/>
          <w:noProof/>
          <w:sz w:val="24"/>
          <w:szCs w:val="24"/>
          <w:vertAlign w:val="superscript"/>
        </w:rPr>
        <w:t>1</w:t>
      </w:r>
      <w:r w:rsidRPr="007209AA">
        <w:rPr>
          <w:rFonts w:cs="Times New Roman"/>
          <w:sz w:val="24"/>
          <w:szCs w:val="24"/>
        </w:rPr>
        <w:t xml:space="preserve">, </w:t>
      </w:r>
      <w:r w:rsidRPr="007209AA">
        <w:rPr>
          <w:rFonts w:cs="Times New Roman"/>
          <w:i/>
          <w:sz w:val="24"/>
          <w:szCs w:val="24"/>
        </w:rPr>
        <w:t>i.e.</w:t>
      </w:r>
      <w:r w:rsidRPr="007209AA">
        <w:rPr>
          <w:rFonts w:cs="Times New Roman"/>
          <w:sz w:val="24"/>
          <w:szCs w:val="24"/>
        </w:rPr>
        <w:t xml:space="preserve"> total forest area minus forest regrowth. We used the 1990-2010 data to fit an exponential model for each continent and used this model to estimate intact forest area for 1980 and 2015.</w:t>
      </w:r>
    </w:p>
    <w:p w:rsidR="00B43E3C" w:rsidRDefault="00B43E3C" w:rsidP="00726F1B"/>
    <w:p w:rsidR="00B43E3C" w:rsidRDefault="00B43E3C" w:rsidP="00726F1B">
      <w:r>
        <w:t xml:space="preserve">Finally, in the main text we calculated the proportion of </w:t>
      </w:r>
      <w:r w:rsidRPr="005F0657">
        <w:t>anthropogenic CO</w:t>
      </w:r>
      <w:r w:rsidRPr="00257603">
        <w:rPr>
          <w:vertAlign w:val="subscript"/>
        </w:rPr>
        <w:t>2</w:t>
      </w:r>
      <w:r w:rsidRPr="005F0657">
        <w:t xml:space="preserve"> emissions</w:t>
      </w:r>
      <w:r>
        <w:t xml:space="preserve"> removed by </w:t>
      </w:r>
      <w:r w:rsidRPr="005F0657">
        <w:t>Earth’s intact tropical forests</w:t>
      </w:r>
      <w:r>
        <w:t>, as the total pan-tropical</w:t>
      </w:r>
      <w:r w:rsidRPr="005F0657">
        <w:t xml:space="preserve"> carbon sink</w:t>
      </w:r>
      <w:r>
        <w:t xml:space="preserve"> from Table 1 divided by the total </w:t>
      </w:r>
      <w:r w:rsidRPr="005F0657">
        <w:t xml:space="preserve">anthropogenic </w:t>
      </w:r>
      <w:r w:rsidRPr="005F0657">
        <w:lastRenderedPageBreak/>
        <w:t>CO</w:t>
      </w:r>
      <w:r w:rsidRPr="00257603">
        <w:rPr>
          <w:vertAlign w:val="subscript"/>
        </w:rPr>
        <w:t>2</w:t>
      </w:r>
      <w:r w:rsidRPr="005F0657">
        <w:t xml:space="preserve"> emissions</w:t>
      </w:r>
      <w:r>
        <w:t xml:space="preserve">. Total </w:t>
      </w:r>
      <w:r w:rsidRPr="005F0657">
        <w:t>anthropogenic CO</w:t>
      </w:r>
      <w:r w:rsidRPr="00257603">
        <w:rPr>
          <w:vertAlign w:val="subscript"/>
        </w:rPr>
        <w:t>2</w:t>
      </w:r>
      <w:r w:rsidRPr="005F0657">
        <w:t xml:space="preserve"> emissions</w:t>
      </w:r>
      <w:r>
        <w:t xml:space="preserve"> are calculated as the sum of emissions from fossil fuel and </w:t>
      </w:r>
      <w:r w:rsidRPr="00D71E91">
        <w:t>land-use change and are estimated at 7.6 Pg C yr</w:t>
      </w:r>
      <w:r w:rsidRPr="00D71E91">
        <w:rPr>
          <w:vertAlign w:val="superscript"/>
        </w:rPr>
        <w:t>-1</w:t>
      </w:r>
      <w:r w:rsidRPr="00D71E91">
        <w:t xml:space="preserve"> in the 1990s, 9.0 Pg C yr</w:t>
      </w:r>
      <w:r w:rsidRPr="00D71E91">
        <w:rPr>
          <w:vertAlign w:val="superscript"/>
        </w:rPr>
        <w:t>-1</w:t>
      </w:r>
      <w:r w:rsidRPr="00D71E91">
        <w:t xml:space="preserve"> in the 2000s, and 11.1 Pg C yr</w:t>
      </w:r>
      <w:r w:rsidRPr="00D71E91">
        <w:rPr>
          <w:vertAlign w:val="superscript"/>
        </w:rPr>
        <w:t>-1</w:t>
      </w:r>
      <w:r w:rsidRPr="00D71E91">
        <w:t xml:space="preserve"> in the 2010s</w:t>
      </w:r>
      <w:r>
        <w:t xml:space="preserve"> (ref.</w:t>
      </w:r>
      <w:r w:rsidRPr="00EB02F2">
        <w:rPr>
          <w:noProof/>
          <w:vertAlign w:val="superscript"/>
        </w:rPr>
        <w:t>21</w:t>
      </w:r>
      <w:r>
        <w:t>, assuming 1.7% growth in fossil fuel emissions in 2018 and 2019, and mean 2010-2017 land-use change emissions for 2018 and 2019)</w:t>
      </w:r>
      <w:r w:rsidRPr="00D71E91">
        <w:rPr>
          <w:rFonts w:cs="Times New Roman"/>
          <w:sz w:val="24"/>
          <w:szCs w:val="24"/>
        </w:rPr>
        <w:t>.</w:t>
      </w:r>
    </w:p>
    <w:p w:rsidR="00B43E3C" w:rsidRDefault="00B43E3C" w:rsidP="00726F1B"/>
    <w:p w:rsidR="00B43E3C" w:rsidRPr="00332754" w:rsidRDefault="00B43E3C" w:rsidP="00726F1B">
      <w:pPr>
        <w:pStyle w:val="Heading2"/>
      </w:pPr>
      <w:r w:rsidRPr="00332754">
        <w:t xml:space="preserve">Carbon </w:t>
      </w:r>
      <w:r>
        <w:t>S</w:t>
      </w:r>
      <w:r w:rsidRPr="00332754">
        <w:t xml:space="preserve">ink from an </w:t>
      </w:r>
      <w:r>
        <w:t>A</w:t>
      </w:r>
      <w:r w:rsidRPr="00332754">
        <w:t xml:space="preserve">tmospheric </w:t>
      </w:r>
      <w:r>
        <w:t>P</w:t>
      </w:r>
      <w:r w:rsidRPr="00332754">
        <w:t>erspective</w:t>
      </w:r>
    </w:p>
    <w:p w:rsidR="00B43E3C" w:rsidRPr="0025307F" w:rsidRDefault="00B43E3C" w:rsidP="00726F1B">
      <w:pPr>
        <w:rPr>
          <w:rFonts w:eastAsiaTheme="minorEastAsia" w:cs="Times New Roman"/>
          <w:sz w:val="24"/>
          <w:szCs w:val="24"/>
        </w:rPr>
      </w:pPr>
      <w:r w:rsidRPr="0025307F">
        <w:rPr>
          <w:rFonts w:cs="Times New Roman"/>
          <w:sz w:val="24"/>
          <w:szCs w:val="24"/>
        </w:rPr>
        <w:t xml:space="preserve">To estimate the evolution of the carbon sink from an atmospheric perspective, we assumed that the contribution to the atmosphere from carbon gains are experienced immediately, while the contribution to the atmosphere from carbon losses </w:t>
      </w:r>
      <w:r>
        <w:rPr>
          <w:rFonts w:cs="Times New Roman"/>
          <w:sz w:val="24"/>
          <w:szCs w:val="24"/>
        </w:rPr>
        <w:t xml:space="preserve">must take </w:t>
      </w:r>
      <w:r w:rsidRPr="0025307F">
        <w:rPr>
          <w:rFonts w:cs="Times New Roman"/>
          <w:sz w:val="24"/>
          <w:szCs w:val="24"/>
        </w:rPr>
        <w:t>into account the delay in decomposition of dead trees. We did this by calculating total forest carbon loss (Mg C ha</w:t>
      </w:r>
      <w:r w:rsidRPr="0025307F">
        <w:rPr>
          <w:rFonts w:cs="Times New Roman"/>
          <w:sz w:val="24"/>
          <w:szCs w:val="24"/>
          <w:vertAlign w:val="superscript"/>
        </w:rPr>
        <w:t>-1</w:t>
      </w:r>
      <w:r w:rsidRPr="0025307F">
        <w:rPr>
          <w:rFonts w:cs="Times New Roman"/>
          <w:sz w:val="24"/>
          <w:szCs w:val="24"/>
        </w:rPr>
        <w:t xml:space="preserve"> yr</w:t>
      </w:r>
      <w:r w:rsidRPr="0025307F">
        <w:rPr>
          <w:rFonts w:cs="Times New Roman"/>
          <w:sz w:val="24"/>
          <w:szCs w:val="24"/>
          <w:vertAlign w:val="superscript"/>
        </w:rPr>
        <w:t>-1</w:t>
      </w:r>
      <w:r w:rsidRPr="0025307F">
        <w:rPr>
          <w:rFonts w:cs="Times New Roman"/>
          <w:sz w:val="24"/>
          <w:szCs w:val="24"/>
        </w:rPr>
        <w:t>) for each year between 1950-2015, using the mean 1983-2015 records from Figure 1 and assuming constant losses prior to 1983 (1.9 and 1.5 Mg C ha</w:t>
      </w:r>
      <w:r w:rsidRPr="0025307F">
        <w:rPr>
          <w:rFonts w:cs="Times New Roman"/>
          <w:sz w:val="24"/>
          <w:szCs w:val="24"/>
          <w:vertAlign w:val="superscript"/>
        </w:rPr>
        <w:t>-1</w:t>
      </w:r>
      <w:r w:rsidRPr="0025307F">
        <w:rPr>
          <w:rFonts w:cs="Times New Roman"/>
          <w:sz w:val="24"/>
          <w:szCs w:val="24"/>
        </w:rPr>
        <w:t xml:space="preserve"> yr</w:t>
      </w:r>
      <w:r w:rsidRPr="0025307F">
        <w:rPr>
          <w:rFonts w:cs="Times New Roman"/>
          <w:sz w:val="24"/>
          <w:szCs w:val="24"/>
          <w:vertAlign w:val="superscript"/>
        </w:rPr>
        <w:t>-1</w:t>
      </w:r>
      <w:r w:rsidRPr="0025307F">
        <w:rPr>
          <w:rFonts w:cs="Times New Roman"/>
          <w:sz w:val="24"/>
          <w:szCs w:val="24"/>
        </w:rPr>
        <w:t xml:space="preserve"> for Africa and Amazonia respectively). Then, for each focal year between 1950-2015, we calculated how much carbon was released to the atmosphere in the subsequent years as: </w:t>
      </w:r>
      <w:r w:rsidRPr="00421723">
        <w:rPr>
          <w:rFonts w:eastAsiaTheme="minorEastAsia" w:cs="Times New Roman"/>
          <w:sz w:val="24"/>
          <w:szCs w:val="24"/>
        </w:rPr>
        <w:t>y</w:t>
      </w:r>
      <w:r w:rsidRPr="00421723">
        <w:rPr>
          <w:rFonts w:eastAsiaTheme="minorEastAsia" w:cs="Times New Roman"/>
          <w:sz w:val="24"/>
          <w:szCs w:val="24"/>
          <w:vertAlign w:val="subscript"/>
        </w:rPr>
        <w:t xml:space="preserve">t </w:t>
      </w:r>
      <w:r w:rsidRPr="00421723">
        <w:rPr>
          <w:rFonts w:eastAsiaTheme="minorEastAsia" w:cs="Times New Roman"/>
          <w:sz w:val="24"/>
          <w:szCs w:val="24"/>
        </w:rPr>
        <w:t>= x</w:t>
      </w:r>
      <w:r w:rsidRPr="00421723">
        <w:rPr>
          <w:rFonts w:eastAsiaTheme="minorEastAsia" w:cs="Times New Roman"/>
          <w:sz w:val="24"/>
          <w:szCs w:val="24"/>
          <w:vertAlign w:val="subscript"/>
        </w:rPr>
        <w:t>0</w:t>
      </w:r>
      <w:r w:rsidRPr="00421723">
        <w:rPr>
          <w:rFonts w:eastAsiaTheme="minorEastAsia" w:cs="Times New Roman"/>
          <w:sz w:val="24"/>
          <w:szCs w:val="24"/>
        </w:rPr>
        <w:t xml:space="preserve"> </w:t>
      </w:r>
      <w:r w:rsidRPr="00421723">
        <w:rPr>
          <w:rFonts w:cs="Times New Roman"/>
          <w:sz w:val="24"/>
          <w:szCs w:val="24"/>
        </w:rPr>
        <w:t xml:space="preserve">× </w:t>
      </w:r>
      <w:r w:rsidRPr="00421723">
        <w:rPr>
          <w:rFonts w:eastAsiaTheme="minorEastAsia" w:cs="Times New Roman"/>
          <w:sz w:val="24"/>
          <w:szCs w:val="24"/>
        </w:rPr>
        <w:t>e</w:t>
      </w:r>
      <w:r w:rsidRPr="00421723">
        <w:rPr>
          <w:rFonts w:eastAsiaTheme="minorEastAsia" w:cs="Times New Roman"/>
          <w:sz w:val="24"/>
          <w:szCs w:val="24"/>
          <w:vertAlign w:val="superscript"/>
        </w:rPr>
        <w:t>-0.17</w:t>
      </w:r>
      <w:r w:rsidRPr="00421723">
        <w:rPr>
          <w:rFonts w:cs="Times New Roman"/>
          <w:sz w:val="24"/>
          <w:szCs w:val="24"/>
          <w:vertAlign w:val="superscript"/>
        </w:rPr>
        <w:t>×</w:t>
      </w:r>
      <w:r w:rsidRPr="00421723">
        <w:rPr>
          <w:rFonts w:eastAsiaTheme="minorEastAsia" w:cs="Times New Roman"/>
          <w:sz w:val="24"/>
          <w:szCs w:val="24"/>
          <w:vertAlign w:val="superscript"/>
        </w:rPr>
        <w:t xml:space="preserve"> (t-1) </w:t>
      </w:r>
      <w:r w:rsidRPr="00421723">
        <w:rPr>
          <w:rFonts w:eastAsiaTheme="minorEastAsia" w:cs="Times New Roman"/>
          <w:sz w:val="24"/>
          <w:szCs w:val="24"/>
        </w:rPr>
        <w:t>- x</w:t>
      </w:r>
      <w:r w:rsidRPr="00421723">
        <w:rPr>
          <w:rFonts w:eastAsiaTheme="minorEastAsia" w:cs="Times New Roman"/>
          <w:sz w:val="24"/>
          <w:szCs w:val="24"/>
          <w:vertAlign w:val="subscript"/>
        </w:rPr>
        <w:t>0</w:t>
      </w:r>
      <w:r w:rsidRPr="00421723">
        <w:rPr>
          <w:rFonts w:eastAsiaTheme="minorEastAsia" w:cs="Times New Roman"/>
          <w:sz w:val="24"/>
          <w:szCs w:val="24"/>
        </w:rPr>
        <w:t xml:space="preserve"> </w:t>
      </w:r>
      <w:r w:rsidRPr="00421723">
        <w:rPr>
          <w:rFonts w:cs="Times New Roman"/>
          <w:sz w:val="24"/>
          <w:szCs w:val="24"/>
        </w:rPr>
        <w:t xml:space="preserve">× </w:t>
      </w:r>
      <w:r w:rsidRPr="00421723">
        <w:rPr>
          <w:rFonts w:eastAsiaTheme="minorEastAsia" w:cs="Times New Roman"/>
          <w:sz w:val="24"/>
          <w:szCs w:val="24"/>
        </w:rPr>
        <w:t>e</w:t>
      </w:r>
      <w:r w:rsidRPr="00421723">
        <w:rPr>
          <w:rFonts w:eastAsiaTheme="minorEastAsia" w:cs="Times New Roman"/>
          <w:sz w:val="24"/>
          <w:szCs w:val="24"/>
          <w:vertAlign w:val="superscript"/>
        </w:rPr>
        <w:t>-0.17</w:t>
      </w:r>
      <w:r w:rsidRPr="00421723">
        <w:rPr>
          <w:rFonts w:cs="Times New Roman"/>
          <w:sz w:val="24"/>
          <w:szCs w:val="24"/>
          <w:vertAlign w:val="superscript"/>
        </w:rPr>
        <w:t>×</w:t>
      </w:r>
      <w:r w:rsidRPr="00421723">
        <w:rPr>
          <w:rFonts w:eastAsiaTheme="minorEastAsia" w:cs="Times New Roman"/>
          <w:sz w:val="24"/>
          <w:szCs w:val="24"/>
          <w:vertAlign w:val="superscript"/>
        </w:rPr>
        <w:t xml:space="preserve"> t</w:t>
      </w:r>
      <w:r w:rsidRPr="00421723">
        <w:rPr>
          <w:rFonts w:eastAsiaTheme="minorEastAsia" w:cs="Times New Roman"/>
          <w:sz w:val="24"/>
          <w:szCs w:val="24"/>
        </w:rPr>
        <w:t xml:space="preserve">, </w:t>
      </w:r>
      <w:r w:rsidRPr="0025307F">
        <w:rPr>
          <w:rFonts w:eastAsiaTheme="minorEastAsia" w:cs="Times New Roman"/>
          <w:sz w:val="24"/>
          <w:szCs w:val="24"/>
        </w:rPr>
        <w:t>where x</w:t>
      </w:r>
      <w:r w:rsidRPr="0025307F">
        <w:rPr>
          <w:rFonts w:eastAsiaTheme="minorEastAsia" w:cs="Times New Roman"/>
          <w:sz w:val="24"/>
          <w:szCs w:val="24"/>
          <w:vertAlign w:val="subscript"/>
        </w:rPr>
        <w:t>0</w:t>
      </w:r>
      <w:r w:rsidRPr="0025307F">
        <w:rPr>
          <w:rFonts w:eastAsiaTheme="minorEastAsia" w:cs="Times New Roman"/>
          <w:sz w:val="24"/>
          <w:szCs w:val="24"/>
        </w:rPr>
        <w:t xml:space="preserve"> is the total forest carbon loss of the focal year; y</w:t>
      </w:r>
      <w:r w:rsidRPr="0025307F">
        <w:rPr>
          <w:rFonts w:eastAsiaTheme="minorEastAsia" w:cs="Times New Roman"/>
          <w:sz w:val="24"/>
          <w:szCs w:val="24"/>
          <w:vertAlign w:val="subscript"/>
        </w:rPr>
        <w:t>t</w:t>
      </w:r>
      <w:r w:rsidRPr="0025307F">
        <w:rPr>
          <w:rFonts w:eastAsiaTheme="minorEastAsia" w:cs="Times New Roman"/>
          <w:sz w:val="24"/>
          <w:szCs w:val="24"/>
        </w:rPr>
        <w:t xml:space="preserve"> is the carbon released to the atmosphere at t years from the focal year; and -0.17 yr</w:t>
      </w:r>
      <w:r w:rsidRPr="0025307F">
        <w:rPr>
          <w:rFonts w:eastAsiaTheme="minorEastAsia" w:cs="Times New Roman"/>
          <w:sz w:val="24"/>
          <w:szCs w:val="24"/>
          <w:vertAlign w:val="superscript"/>
        </w:rPr>
        <w:t xml:space="preserve">-1 </w:t>
      </w:r>
      <w:r w:rsidRPr="0025307F">
        <w:rPr>
          <w:rFonts w:eastAsiaTheme="minorEastAsia" w:cs="Times New Roman"/>
          <w:sz w:val="24"/>
          <w:szCs w:val="24"/>
        </w:rPr>
        <w:t>is a constant decomposition rate calculated for tropical forests in the Amazon</w:t>
      </w:r>
      <w:r w:rsidRPr="00EB02F2">
        <w:rPr>
          <w:rFonts w:eastAsiaTheme="minorEastAsia" w:cs="Times New Roman"/>
          <w:noProof/>
          <w:sz w:val="24"/>
          <w:szCs w:val="24"/>
          <w:vertAlign w:val="superscript"/>
        </w:rPr>
        <w:t>45</w:t>
      </w:r>
      <w:r w:rsidRPr="0025307F">
        <w:rPr>
          <w:rFonts w:eastAsiaTheme="minorEastAsia" w:cs="Times New Roman"/>
          <w:sz w:val="24"/>
          <w:szCs w:val="24"/>
        </w:rPr>
        <w:t>. For example, carbon loss was 1.95 Mg C ha</w:t>
      </w:r>
      <w:r w:rsidRPr="0025307F">
        <w:rPr>
          <w:rFonts w:eastAsiaTheme="minorEastAsia" w:cs="Times New Roman"/>
          <w:sz w:val="24"/>
          <w:szCs w:val="24"/>
          <w:vertAlign w:val="superscript"/>
        </w:rPr>
        <w:t>-1</w:t>
      </w:r>
      <w:r w:rsidRPr="0025307F">
        <w:rPr>
          <w:rFonts w:eastAsiaTheme="minorEastAsia" w:cs="Times New Roman"/>
          <w:sz w:val="24"/>
          <w:szCs w:val="24"/>
        </w:rPr>
        <w:t xml:space="preserve"> in 1990</w:t>
      </w:r>
      <w:r>
        <w:rPr>
          <w:rFonts w:eastAsiaTheme="minorEastAsia" w:cs="Times New Roman"/>
          <w:sz w:val="24"/>
          <w:szCs w:val="24"/>
        </w:rPr>
        <w:t xml:space="preserve"> in African forests</w:t>
      </w:r>
      <w:r w:rsidRPr="0025307F">
        <w:rPr>
          <w:rFonts w:eastAsiaTheme="minorEastAsia" w:cs="Times New Roman"/>
          <w:sz w:val="24"/>
          <w:szCs w:val="24"/>
        </w:rPr>
        <w:t xml:space="preserve"> (Figure 1), from which 0.31 Mg C ha</w:t>
      </w:r>
      <w:r w:rsidRPr="0025307F">
        <w:rPr>
          <w:rFonts w:eastAsiaTheme="minorEastAsia" w:cs="Times New Roman"/>
          <w:sz w:val="24"/>
          <w:szCs w:val="24"/>
          <w:vertAlign w:val="superscript"/>
        </w:rPr>
        <w:t>-1</w:t>
      </w:r>
      <w:r w:rsidRPr="0025307F">
        <w:rPr>
          <w:rFonts w:eastAsiaTheme="minorEastAsia" w:cs="Times New Roman"/>
          <w:sz w:val="24"/>
          <w:szCs w:val="24"/>
        </w:rPr>
        <w:t xml:space="preserve"> was released to the atmosphere in 1991; 0.26 Mg C ha</w:t>
      </w:r>
      <w:r w:rsidRPr="0025307F">
        <w:rPr>
          <w:rFonts w:eastAsiaTheme="minorEastAsia" w:cs="Times New Roman"/>
          <w:sz w:val="24"/>
          <w:szCs w:val="24"/>
          <w:vertAlign w:val="superscript"/>
        </w:rPr>
        <w:t>-1</w:t>
      </w:r>
      <w:r w:rsidRPr="0025307F">
        <w:rPr>
          <w:rFonts w:eastAsiaTheme="minorEastAsia" w:cs="Times New Roman"/>
          <w:sz w:val="24"/>
          <w:szCs w:val="24"/>
        </w:rPr>
        <w:t xml:space="preserve"> in 1992; 0.22 Mg C ha</w:t>
      </w:r>
      <w:r w:rsidRPr="0025307F">
        <w:rPr>
          <w:rFonts w:eastAsiaTheme="minorEastAsia" w:cs="Times New Roman"/>
          <w:sz w:val="24"/>
          <w:szCs w:val="24"/>
          <w:vertAlign w:val="superscript"/>
        </w:rPr>
        <w:t>-1</w:t>
      </w:r>
      <w:r w:rsidRPr="0025307F">
        <w:rPr>
          <w:rFonts w:eastAsiaTheme="minorEastAsia" w:cs="Times New Roman"/>
          <w:sz w:val="24"/>
          <w:szCs w:val="24"/>
        </w:rPr>
        <w:t xml:space="preserve"> in 1993; 0.07 Mg C ha</w:t>
      </w:r>
      <w:r w:rsidRPr="0025307F">
        <w:rPr>
          <w:rFonts w:eastAsiaTheme="minorEastAsia" w:cs="Times New Roman"/>
          <w:sz w:val="24"/>
          <w:szCs w:val="24"/>
          <w:vertAlign w:val="superscript"/>
        </w:rPr>
        <w:t>-1</w:t>
      </w:r>
      <w:r w:rsidRPr="0025307F">
        <w:rPr>
          <w:rFonts w:eastAsiaTheme="minorEastAsia" w:cs="Times New Roman"/>
          <w:sz w:val="24"/>
          <w:szCs w:val="24"/>
        </w:rPr>
        <w:t xml:space="preserve"> in 2000 and 0.01 Mg C ha</w:t>
      </w:r>
      <w:r w:rsidRPr="0025307F">
        <w:rPr>
          <w:rFonts w:eastAsiaTheme="minorEastAsia" w:cs="Times New Roman"/>
          <w:sz w:val="24"/>
          <w:szCs w:val="24"/>
          <w:vertAlign w:val="superscript"/>
        </w:rPr>
        <w:t>-1</w:t>
      </w:r>
      <w:r w:rsidRPr="0025307F">
        <w:rPr>
          <w:rFonts w:eastAsiaTheme="minorEastAsia" w:cs="Times New Roman"/>
          <w:sz w:val="24"/>
          <w:szCs w:val="24"/>
        </w:rPr>
        <w:t xml:space="preserve"> in 2010. Hence, of the full 1.95 Mg C ha</w:t>
      </w:r>
      <w:r w:rsidRPr="0025307F">
        <w:rPr>
          <w:rFonts w:eastAsiaTheme="minorEastAsia" w:cs="Times New Roman"/>
          <w:sz w:val="24"/>
          <w:szCs w:val="24"/>
          <w:vertAlign w:val="superscript"/>
        </w:rPr>
        <w:t>-1</w:t>
      </w:r>
      <w:r w:rsidRPr="0025307F">
        <w:rPr>
          <w:rFonts w:eastAsiaTheme="minorEastAsia" w:cs="Times New Roman"/>
          <w:sz w:val="24"/>
          <w:szCs w:val="24"/>
        </w:rPr>
        <w:t xml:space="preserve"> dead tree biomass from 1990, ~50% was released to the atmosphere after 4 yrs, ~85% after 10 yrs, and ~97% after 20 years. Finally, for each year between 1983 and 2015, </w:t>
      </w:r>
      <w:r w:rsidRPr="0025307F">
        <w:rPr>
          <w:rFonts w:cs="Times New Roman"/>
          <w:sz w:val="24"/>
          <w:szCs w:val="24"/>
        </w:rPr>
        <w:t xml:space="preserve">the total contribution to the atmosphere from carbon losses was calculated as the sum of all </w:t>
      </w:r>
      <w:r w:rsidRPr="0025307F">
        <w:rPr>
          <w:rFonts w:eastAsiaTheme="minorEastAsia" w:cs="Times New Roman"/>
          <w:sz w:val="24"/>
          <w:szCs w:val="24"/>
        </w:rPr>
        <w:t>carbon contributions released at that year, from all total yearly forest carbon loss pools of the previous years. We then calculated decadal-scale mean contributions to th</w:t>
      </w:r>
      <w:r>
        <w:rPr>
          <w:rFonts w:eastAsiaTheme="minorEastAsia" w:cs="Times New Roman"/>
          <w:sz w:val="24"/>
          <w:szCs w:val="24"/>
        </w:rPr>
        <w:t>e atmosphere from carbon losses, reported in the main text</w:t>
      </w:r>
      <w:r w:rsidRPr="0025307F">
        <w:rPr>
          <w:rFonts w:eastAsiaTheme="minorEastAsia" w:cs="Times New Roman"/>
          <w:sz w:val="24"/>
          <w:szCs w:val="24"/>
        </w:rPr>
        <w:t>.</w:t>
      </w:r>
    </w:p>
    <w:p w:rsidR="00B43E3C" w:rsidRPr="007209AA" w:rsidRDefault="00B43E3C" w:rsidP="00726F1B">
      <w:pPr>
        <w:rPr>
          <w:rFonts w:cs="Times New Roman"/>
          <w:sz w:val="24"/>
          <w:szCs w:val="24"/>
        </w:rPr>
      </w:pPr>
    </w:p>
    <w:p w:rsidR="00B43E3C" w:rsidRPr="00B23FBB" w:rsidRDefault="00B43E3C" w:rsidP="00726F1B">
      <w:pPr>
        <w:pStyle w:val="Heading2"/>
        <w:rPr>
          <w:rFonts w:cs="Times New Roman"/>
          <w:szCs w:val="24"/>
        </w:rPr>
      </w:pPr>
      <w:r w:rsidRPr="00B23FBB">
        <w:rPr>
          <w:rFonts w:cs="Times New Roman"/>
          <w:szCs w:val="24"/>
        </w:rPr>
        <w:lastRenderedPageBreak/>
        <w:t xml:space="preserve">Predictor </w:t>
      </w:r>
      <w:r>
        <w:rPr>
          <w:rFonts w:cs="Times New Roman"/>
          <w:szCs w:val="24"/>
        </w:rPr>
        <w:t>V</w:t>
      </w:r>
      <w:r w:rsidRPr="00B23FBB">
        <w:rPr>
          <w:rFonts w:cs="Times New Roman"/>
          <w:szCs w:val="24"/>
        </w:rPr>
        <w:t>ariable</w:t>
      </w:r>
      <w:r>
        <w:rPr>
          <w:rFonts w:cs="Times New Roman"/>
          <w:szCs w:val="24"/>
        </w:rPr>
        <w:t xml:space="preserve"> Estimates, 1983-2014</w:t>
      </w:r>
    </w:p>
    <w:p w:rsidR="00B43E3C" w:rsidRPr="007209AA" w:rsidRDefault="00B43E3C" w:rsidP="00726F1B">
      <w:pPr>
        <w:rPr>
          <w:rFonts w:cs="Times New Roman"/>
          <w:sz w:val="24"/>
          <w:szCs w:val="24"/>
        </w:rPr>
      </w:pPr>
      <w:r>
        <w:rPr>
          <w:rFonts w:cs="Times New Roman"/>
          <w:sz w:val="24"/>
          <w:szCs w:val="24"/>
        </w:rPr>
        <w:t>F</w:t>
      </w:r>
      <w:r w:rsidRPr="007209AA">
        <w:rPr>
          <w:rFonts w:cs="Times New Roman"/>
          <w:sz w:val="24"/>
          <w:szCs w:val="24"/>
        </w:rPr>
        <w:t>or each census interval of each plot</w:t>
      </w:r>
      <w:r>
        <w:rPr>
          <w:rFonts w:cs="Times New Roman"/>
          <w:sz w:val="24"/>
          <w:szCs w:val="24"/>
        </w:rPr>
        <w:t>, w</w:t>
      </w:r>
      <w:r w:rsidRPr="007209AA">
        <w:rPr>
          <w:rFonts w:cs="Times New Roman"/>
          <w:sz w:val="24"/>
          <w:szCs w:val="24"/>
        </w:rPr>
        <w:t>e examined potential predictor variables that may explain the long-term trends in carbon gains and carbon losses</w:t>
      </w:r>
      <w:r>
        <w:rPr>
          <w:rFonts w:cs="Times New Roman"/>
          <w:sz w:val="24"/>
          <w:szCs w:val="24"/>
        </w:rPr>
        <w:t>, reported in Extended Data Table 1 and main text Table 2</w:t>
      </w:r>
      <w:r w:rsidRPr="007209AA">
        <w:rPr>
          <w:rFonts w:cs="Times New Roman"/>
          <w:sz w:val="24"/>
          <w:szCs w:val="24"/>
        </w:rPr>
        <w:t>. First, the environmental conditions during the census interval; second the rate of change of these parameters; and third forest attributes that may affect how different forests respond to the same environmental change. The predictor variable estimates for each census need t</w:t>
      </w:r>
      <w:r w:rsidRPr="007209AA">
        <w:rPr>
          <w:rFonts w:cs="Times New Roman"/>
          <w:sz w:val="24"/>
          <w:szCs w:val="24"/>
          <w:lang w:val="en-GB"/>
        </w:rPr>
        <w:t>o avoid bias due to seasonal variation, for example the intra-annual variability in atmospheric CO</w:t>
      </w:r>
      <w:r w:rsidRPr="007209AA">
        <w:rPr>
          <w:rFonts w:cs="Times New Roman"/>
          <w:sz w:val="24"/>
          <w:szCs w:val="24"/>
          <w:vertAlign w:val="subscript"/>
          <w:lang w:val="en-GB"/>
        </w:rPr>
        <w:t>2</w:t>
      </w:r>
      <w:r w:rsidRPr="007209AA">
        <w:rPr>
          <w:rFonts w:cs="Times New Roman"/>
          <w:sz w:val="24"/>
          <w:szCs w:val="24"/>
          <w:lang w:val="en-GB"/>
        </w:rPr>
        <w:t xml:space="preserve"> concentration. We therefore applied the following procedure to avoid seasonal variability impacts on long-term trends: (i) the length of each focal census interval was rounded to the nearest complete year (e.g. a 1.1 year interval became a 1 year interval); (ii) we computed dates that minimised the difference between actual fieldwork dates and complete-year census dates, while ensuring that </w:t>
      </w:r>
      <w:r w:rsidRPr="007209AA">
        <w:rPr>
          <w:rFonts w:cs="Times New Roman"/>
          <w:sz w:val="24"/>
          <w:szCs w:val="24"/>
        </w:rPr>
        <w:t>subsequent census intervals of a plot do not overlap</w:t>
      </w:r>
      <w:r w:rsidRPr="007209AA">
        <w:rPr>
          <w:rFonts w:cs="Times New Roman"/>
          <w:sz w:val="24"/>
          <w:szCs w:val="24"/>
          <w:lang w:val="en-GB"/>
        </w:rPr>
        <w:t>.</w:t>
      </w:r>
      <w:r w:rsidRPr="007209AA">
        <w:rPr>
          <w:rFonts w:cs="Times New Roman"/>
          <w:sz w:val="24"/>
          <w:szCs w:val="24"/>
        </w:rPr>
        <w:t xml:space="preserve"> </w:t>
      </w:r>
      <w:r w:rsidRPr="007209AA">
        <w:rPr>
          <w:rFonts w:cs="Times New Roman"/>
          <w:sz w:val="24"/>
          <w:szCs w:val="24"/>
          <w:lang w:val="en-GB"/>
        </w:rPr>
        <w:t xml:space="preserve">The resulting sequence of non-overlapping census intervals </w:t>
      </w:r>
      <w:r w:rsidRPr="007209AA">
        <w:rPr>
          <w:rFonts w:cs="Times New Roman"/>
          <w:sz w:val="24"/>
          <w:szCs w:val="24"/>
        </w:rPr>
        <w:t xml:space="preserve">was used to calculate interval-specific means for each environmental predictor variable to remove </w:t>
      </w:r>
      <w:r w:rsidRPr="007209AA">
        <w:rPr>
          <w:rFonts w:cs="Times New Roman"/>
          <w:sz w:val="24"/>
          <w:szCs w:val="24"/>
          <w:lang w:val="en-GB"/>
        </w:rPr>
        <w:t>seasonal effects</w:t>
      </w:r>
      <w:r w:rsidRPr="007209AA">
        <w:rPr>
          <w:rFonts w:cs="Times New Roman"/>
          <w:sz w:val="24"/>
          <w:szCs w:val="24"/>
        </w:rPr>
        <w:t xml:space="preserve">. The </w:t>
      </w:r>
      <w:r>
        <w:rPr>
          <w:rFonts w:cs="Times New Roman"/>
          <w:sz w:val="24"/>
          <w:szCs w:val="24"/>
        </w:rPr>
        <w:t>mean</w:t>
      </w:r>
      <w:r w:rsidRPr="007209AA">
        <w:rPr>
          <w:rFonts w:cs="Times New Roman"/>
          <w:sz w:val="24"/>
          <w:szCs w:val="24"/>
        </w:rPr>
        <w:t xml:space="preserve"> difference between the actual fieldwork dates and the complete-year census dates is 0.01 decimal years.</w:t>
      </w:r>
    </w:p>
    <w:p w:rsidR="00B43E3C" w:rsidRPr="007209AA" w:rsidRDefault="00B43E3C" w:rsidP="00726F1B">
      <w:pPr>
        <w:rPr>
          <w:rFonts w:cs="Times New Roman"/>
          <w:sz w:val="24"/>
          <w:szCs w:val="24"/>
        </w:rPr>
      </w:pPr>
    </w:p>
    <w:p w:rsidR="00B43E3C" w:rsidRDefault="00B43E3C" w:rsidP="00726F1B">
      <w:pPr>
        <w:rPr>
          <w:rFonts w:cs="Times New Roman"/>
          <w:sz w:val="24"/>
          <w:szCs w:val="24"/>
        </w:rPr>
      </w:pPr>
      <w:r w:rsidRPr="007209AA">
        <w:rPr>
          <w:rFonts w:cs="Times New Roman"/>
          <w:sz w:val="24"/>
          <w:szCs w:val="24"/>
        </w:rPr>
        <w:t>The first group of potential predictor variables, estimated for each census interval of each plot, are theory-driven choices: atmospheric CO</w:t>
      </w:r>
      <w:r w:rsidRPr="007209AA">
        <w:rPr>
          <w:rFonts w:cs="Times New Roman"/>
          <w:sz w:val="24"/>
          <w:szCs w:val="24"/>
          <w:vertAlign w:val="subscript"/>
        </w:rPr>
        <w:t>2</w:t>
      </w:r>
      <w:r w:rsidRPr="007209AA">
        <w:rPr>
          <w:rFonts w:cs="Times New Roman"/>
          <w:sz w:val="24"/>
          <w:szCs w:val="24"/>
        </w:rPr>
        <w:t xml:space="preserve"> concentration (CO</w:t>
      </w:r>
      <w:r w:rsidRPr="007209AA">
        <w:rPr>
          <w:rFonts w:cs="Times New Roman"/>
          <w:sz w:val="24"/>
          <w:szCs w:val="24"/>
          <w:vertAlign w:val="subscript"/>
        </w:rPr>
        <w:t>2</w:t>
      </w:r>
      <w:r w:rsidRPr="007209AA">
        <w:rPr>
          <w:rFonts w:cs="Times New Roman"/>
          <w:sz w:val="24"/>
          <w:szCs w:val="24"/>
        </w:rPr>
        <w:t>), mean annual temperature (MAT), and drought intensity, which we quantified as maximum climatological water deficit (MCWD)</w:t>
      </w:r>
      <w:r w:rsidRPr="005A2EB8">
        <w:rPr>
          <w:rFonts w:cs="Times New Roman"/>
          <w:noProof/>
          <w:sz w:val="24"/>
          <w:szCs w:val="24"/>
          <w:vertAlign w:val="superscript"/>
        </w:rPr>
        <w:t>14</w:t>
      </w:r>
      <w:r w:rsidRPr="009A7752">
        <w:rPr>
          <w:rFonts w:cs="Times New Roman"/>
          <w:sz w:val="24"/>
          <w:szCs w:val="24"/>
          <w:vertAlign w:val="superscript"/>
        </w:rPr>
        <w:t>,</w:t>
      </w:r>
      <w:r w:rsidRPr="007209AA">
        <w:rPr>
          <w:rFonts w:cs="Times New Roman"/>
          <w:sz w:val="24"/>
          <w:szCs w:val="24"/>
          <w:vertAlign w:val="superscript"/>
        </w:rPr>
        <w:t>20,</w:t>
      </w:r>
      <w:r w:rsidRPr="00EB02F2">
        <w:rPr>
          <w:rFonts w:cs="Times New Roman"/>
          <w:noProof/>
          <w:sz w:val="24"/>
          <w:szCs w:val="24"/>
          <w:vertAlign w:val="superscript"/>
        </w:rPr>
        <w:t>76</w:t>
      </w:r>
      <w:r w:rsidRPr="00823996">
        <w:rPr>
          <w:rFonts w:cs="Times New Roman"/>
          <w:sz w:val="24"/>
          <w:szCs w:val="24"/>
          <w:vertAlign w:val="superscript"/>
        </w:rPr>
        <w:t>,</w:t>
      </w:r>
      <w:r w:rsidRPr="00EB02F2">
        <w:rPr>
          <w:rFonts w:cs="Times New Roman"/>
          <w:noProof/>
          <w:sz w:val="24"/>
          <w:szCs w:val="24"/>
          <w:vertAlign w:val="superscript"/>
        </w:rPr>
        <w:t>77</w:t>
      </w:r>
      <w:r w:rsidRPr="007209AA">
        <w:rPr>
          <w:rFonts w:cs="Times New Roman"/>
          <w:sz w:val="24"/>
          <w:szCs w:val="24"/>
        </w:rPr>
        <w:t xml:space="preserve">. </w:t>
      </w:r>
    </w:p>
    <w:p w:rsidR="00B43E3C" w:rsidRDefault="00B43E3C" w:rsidP="00726F1B">
      <w:pPr>
        <w:rPr>
          <w:rFonts w:cs="Times New Roman"/>
          <w:i/>
          <w:sz w:val="24"/>
          <w:szCs w:val="24"/>
        </w:rPr>
      </w:pPr>
    </w:p>
    <w:p w:rsidR="00B43E3C" w:rsidRPr="007209AA" w:rsidRDefault="00B43E3C" w:rsidP="00726F1B">
      <w:pPr>
        <w:rPr>
          <w:rFonts w:cs="Times New Roman"/>
          <w:sz w:val="24"/>
          <w:szCs w:val="24"/>
        </w:rPr>
      </w:pPr>
      <w:r w:rsidRPr="007209AA">
        <w:rPr>
          <w:rFonts w:cs="Times New Roman"/>
          <w:i/>
          <w:sz w:val="24"/>
          <w:szCs w:val="24"/>
        </w:rPr>
        <w:t>Atmospheric CO</w:t>
      </w:r>
      <w:r w:rsidRPr="007209AA">
        <w:rPr>
          <w:rFonts w:cs="Times New Roman"/>
          <w:i/>
          <w:sz w:val="24"/>
          <w:szCs w:val="24"/>
          <w:vertAlign w:val="subscript"/>
        </w:rPr>
        <w:t>2</w:t>
      </w:r>
      <w:r w:rsidRPr="007209AA">
        <w:rPr>
          <w:rFonts w:cs="Times New Roman"/>
          <w:i/>
          <w:sz w:val="24"/>
          <w:szCs w:val="24"/>
        </w:rPr>
        <w:t xml:space="preserve"> concentration</w:t>
      </w:r>
      <w:r w:rsidRPr="007209AA">
        <w:rPr>
          <w:rFonts w:cs="Times New Roman"/>
          <w:sz w:val="24"/>
          <w:szCs w:val="24"/>
        </w:rPr>
        <w:t xml:space="preserve"> (CO</w:t>
      </w:r>
      <w:r w:rsidRPr="007209AA">
        <w:rPr>
          <w:rFonts w:cs="Times New Roman"/>
          <w:sz w:val="24"/>
          <w:szCs w:val="24"/>
          <w:vertAlign w:val="subscript"/>
        </w:rPr>
        <w:t>2</w:t>
      </w:r>
      <w:r w:rsidRPr="007209AA">
        <w:rPr>
          <w:rFonts w:cs="Times New Roman"/>
          <w:sz w:val="24"/>
          <w:szCs w:val="24"/>
        </w:rPr>
        <w:t>, in ppm) is estimated as the mean of the monthly mean values from the Mauna Loa record</w:t>
      </w:r>
      <w:r w:rsidRPr="00EB02F2">
        <w:rPr>
          <w:rFonts w:cs="Times New Roman"/>
          <w:noProof/>
          <w:sz w:val="24"/>
          <w:szCs w:val="24"/>
          <w:vertAlign w:val="superscript"/>
        </w:rPr>
        <w:t>78</w:t>
      </w:r>
      <w:r w:rsidRPr="007209AA">
        <w:rPr>
          <w:rFonts w:cs="Times New Roman"/>
          <w:sz w:val="24"/>
          <w:szCs w:val="24"/>
        </w:rPr>
        <w:t xml:space="preserve"> over the census interval. While atmospheric CO</w:t>
      </w:r>
      <w:r w:rsidRPr="007209AA">
        <w:rPr>
          <w:rFonts w:cs="Times New Roman"/>
          <w:sz w:val="24"/>
          <w:szCs w:val="24"/>
          <w:vertAlign w:val="subscript"/>
        </w:rPr>
        <w:t>2</w:t>
      </w:r>
      <w:r w:rsidRPr="007209AA">
        <w:rPr>
          <w:rFonts w:cs="Times New Roman"/>
          <w:sz w:val="24"/>
          <w:szCs w:val="24"/>
        </w:rPr>
        <w:t xml:space="preserve"> concentration is highly correlated with time (R²=0.98), carbon gains are slightly better correlated with CO</w:t>
      </w:r>
      <w:r w:rsidRPr="007209AA">
        <w:rPr>
          <w:rFonts w:cs="Times New Roman"/>
          <w:sz w:val="24"/>
          <w:szCs w:val="24"/>
          <w:vertAlign w:val="subscript"/>
        </w:rPr>
        <w:t>2</w:t>
      </w:r>
      <w:r>
        <w:rPr>
          <w:rFonts w:cs="Times New Roman"/>
          <w:sz w:val="24"/>
          <w:szCs w:val="24"/>
        </w:rPr>
        <w:t xml:space="preserve"> </w:t>
      </w:r>
      <w:r w:rsidRPr="00A51D5C">
        <w:rPr>
          <w:rFonts w:cs="Times New Roman"/>
          <w:sz w:val="24"/>
          <w:szCs w:val="24"/>
        </w:rPr>
        <w:t>(R</w:t>
      </w:r>
      <w:r w:rsidRPr="00EF5658">
        <w:rPr>
          <w:rFonts w:cs="Times New Roman"/>
          <w:sz w:val="24"/>
          <w:szCs w:val="24"/>
          <w:vertAlign w:val="subscript"/>
        </w:rPr>
        <w:t>adj</w:t>
      </w:r>
      <w:r w:rsidRPr="00A51D5C">
        <w:rPr>
          <w:rFonts w:cs="Times New Roman"/>
          <w:sz w:val="24"/>
          <w:szCs w:val="24"/>
        </w:rPr>
        <w:t>²=0.0027) than with time</w:t>
      </w:r>
      <w:r>
        <w:rPr>
          <w:rFonts w:cs="Times New Roman"/>
          <w:sz w:val="24"/>
          <w:szCs w:val="24"/>
        </w:rPr>
        <w:t xml:space="preserve"> </w:t>
      </w:r>
      <w:r w:rsidRPr="00A51D5C">
        <w:rPr>
          <w:rFonts w:cs="Times New Roman"/>
          <w:sz w:val="24"/>
          <w:szCs w:val="24"/>
        </w:rPr>
        <w:t>(R</w:t>
      </w:r>
      <w:r w:rsidRPr="00EF5658">
        <w:rPr>
          <w:rFonts w:cs="Times New Roman"/>
          <w:sz w:val="24"/>
          <w:szCs w:val="24"/>
          <w:vertAlign w:val="subscript"/>
        </w:rPr>
        <w:t>adj</w:t>
      </w:r>
      <w:r w:rsidRPr="00A51D5C">
        <w:rPr>
          <w:rFonts w:cs="Times New Roman"/>
          <w:sz w:val="24"/>
          <w:szCs w:val="24"/>
        </w:rPr>
        <w:t>²=0.0025).</w:t>
      </w:r>
      <w:r>
        <w:rPr>
          <w:rFonts w:cs="Times New Roman"/>
          <w:sz w:val="24"/>
          <w:szCs w:val="24"/>
        </w:rPr>
        <w:t xml:space="preserve"> </w:t>
      </w:r>
    </w:p>
    <w:p w:rsidR="00B43E3C" w:rsidRDefault="00B43E3C" w:rsidP="00726F1B">
      <w:pPr>
        <w:rPr>
          <w:rFonts w:cs="Times New Roman"/>
          <w:sz w:val="24"/>
          <w:szCs w:val="24"/>
        </w:rPr>
      </w:pPr>
    </w:p>
    <w:p w:rsidR="00B43E3C" w:rsidRDefault="00B43E3C" w:rsidP="00726F1B">
      <w:pPr>
        <w:rPr>
          <w:rFonts w:cs="Times New Roman"/>
          <w:sz w:val="24"/>
          <w:szCs w:val="24"/>
        </w:rPr>
      </w:pPr>
      <w:r w:rsidRPr="007209AA">
        <w:rPr>
          <w:rFonts w:cs="Times New Roman"/>
          <w:i/>
          <w:sz w:val="24"/>
          <w:szCs w:val="24"/>
        </w:rPr>
        <w:lastRenderedPageBreak/>
        <w:t>Mean Annual Temperature</w:t>
      </w:r>
      <w:r w:rsidRPr="007209AA">
        <w:rPr>
          <w:rFonts w:cs="Times New Roman"/>
          <w:sz w:val="24"/>
          <w:szCs w:val="24"/>
        </w:rPr>
        <w:t xml:space="preserve"> (MAT, in °C) was derived </w:t>
      </w:r>
      <w:r>
        <w:rPr>
          <w:rFonts w:cs="Times New Roman"/>
          <w:sz w:val="24"/>
          <w:szCs w:val="24"/>
        </w:rPr>
        <w:t>from the temporally resolved (1901-2015) dataset</w:t>
      </w:r>
      <w:r w:rsidRPr="007209AA">
        <w:rPr>
          <w:rFonts w:cs="Times New Roman"/>
          <w:sz w:val="24"/>
          <w:szCs w:val="24"/>
        </w:rPr>
        <w:t xml:space="preserve"> </w:t>
      </w:r>
      <w:r>
        <w:rPr>
          <w:rFonts w:cs="Times New Roman"/>
          <w:sz w:val="24"/>
          <w:szCs w:val="24"/>
        </w:rPr>
        <w:t xml:space="preserve">of </w:t>
      </w:r>
      <w:r w:rsidRPr="004C757E">
        <w:rPr>
          <w:rFonts w:cs="Times New Roman"/>
          <w:sz w:val="24"/>
          <w:szCs w:val="24"/>
        </w:rPr>
        <w:t>monthly mean temperature</w:t>
      </w:r>
      <w:r>
        <w:rPr>
          <w:rFonts w:cs="Times New Roman"/>
          <w:sz w:val="24"/>
          <w:szCs w:val="24"/>
        </w:rPr>
        <w:t xml:space="preserve"> from the </w:t>
      </w:r>
      <w:r w:rsidRPr="00E92ED0">
        <w:rPr>
          <w:rFonts w:cs="Times New Roman"/>
          <w:sz w:val="24"/>
          <w:szCs w:val="24"/>
        </w:rPr>
        <w:t>C</w:t>
      </w:r>
      <w:r>
        <w:rPr>
          <w:rFonts w:cs="Times New Roman"/>
          <w:sz w:val="24"/>
          <w:szCs w:val="24"/>
        </w:rPr>
        <w:t xml:space="preserve">limatic </w:t>
      </w:r>
      <w:r w:rsidRPr="00E92ED0">
        <w:rPr>
          <w:rFonts w:cs="Times New Roman"/>
          <w:sz w:val="24"/>
          <w:szCs w:val="24"/>
        </w:rPr>
        <w:t>R</w:t>
      </w:r>
      <w:r>
        <w:rPr>
          <w:rFonts w:cs="Times New Roman"/>
          <w:sz w:val="24"/>
          <w:szCs w:val="24"/>
        </w:rPr>
        <w:t xml:space="preserve">esearch </w:t>
      </w:r>
      <w:r w:rsidRPr="00E92ED0">
        <w:rPr>
          <w:rFonts w:cs="Times New Roman"/>
          <w:sz w:val="24"/>
          <w:szCs w:val="24"/>
        </w:rPr>
        <w:t>U</w:t>
      </w:r>
      <w:r>
        <w:rPr>
          <w:rFonts w:cs="Times New Roman"/>
          <w:sz w:val="24"/>
          <w:szCs w:val="24"/>
        </w:rPr>
        <w:t>nit</w:t>
      </w:r>
      <w:r w:rsidRPr="00E92ED0">
        <w:rPr>
          <w:rFonts w:cs="Times New Roman"/>
          <w:sz w:val="24"/>
          <w:szCs w:val="24"/>
        </w:rPr>
        <w:t xml:space="preserve"> </w:t>
      </w:r>
      <w:r>
        <w:rPr>
          <w:rFonts w:cs="Times New Roman"/>
          <w:sz w:val="24"/>
          <w:szCs w:val="24"/>
        </w:rPr>
        <w:t xml:space="preserve">(CRU </w:t>
      </w:r>
      <w:r w:rsidRPr="00E92ED0">
        <w:rPr>
          <w:rFonts w:cs="Times New Roman"/>
          <w:sz w:val="24"/>
          <w:szCs w:val="24"/>
        </w:rPr>
        <w:t xml:space="preserve">TS </w:t>
      </w:r>
      <w:r>
        <w:rPr>
          <w:rFonts w:cs="Times New Roman"/>
          <w:sz w:val="24"/>
          <w:szCs w:val="24"/>
        </w:rPr>
        <w:t>version 4.03;</w:t>
      </w:r>
      <w:r w:rsidRPr="00E31301">
        <w:rPr>
          <w:rFonts w:cs="Times New Roman"/>
          <w:sz w:val="24"/>
          <w:szCs w:val="24"/>
        </w:rPr>
        <w:t xml:space="preserve"> </w:t>
      </w:r>
      <w:r w:rsidRPr="007209AA">
        <w:rPr>
          <w:rFonts w:cs="Times New Roman"/>
          <w:sz w:val="24"/>
          <w:szCs w:val="24"/>
        </w:rPr>
        <w:t>~3025 km² resolution</w:t>
      </w:r>
      <w:r>
        <w:rPr>
          <w:rFonts w:cs="Times New Roman"/>
          <w:sz w:val="24"/>
          <w:szCs w:val="24"/>
        </w:rPr>
        <w:t xml:space="preserve">; </w:t>
      </w:r>
      <w:r w:rsidRPr="00E92ED0">
        <w:rPr>
          <w:rFonts w:cs="Times New Roman"/>
          <w:sz w:val="24"/>
          <w:szCs w:val="24"/>
        </w:rPr>
        <w:t xml:space="preserve">released </w:t>
      </w:r>
      <w:r w:rsidRPr="00E92ED0">
        <w:rPr>
          <w:sz w:val="24"/>
          <w:szCs w:val="24"/>
        </w:rPr>
        <w:t>15 May 2019; https://crudata.uea.ac.uk/cru/data/hrg/</w:t>
      </w:r>
      <w:r w:rsidRPr="00E92ED0">
        <w:rPr>
          <w:rFonts w:cs="Times New Roman"/>
          <w:sz w:val="24"/>
          <w:szCs w:val="24"/>
        </w:rPr>
        <w:t>)</w:t>
      </w:r>
      <w:r w:rsidRPr="00EB02F2">
        <w:rPr>
          <w:rFonts w:cs="Times New Roman"/>
          <w:noProof/>
          <w:sz w:val="24"/>
          <w:szCs w:val="24"/>
          <w:vertAlign w:val="superscript"/>
        </w:rPr>
        <w:t>79</w:t>
      </w:r>
      <w:r>
        <w:rPr>
          <w:rFonts w:cs="Times New Roman"/>
          <w:sz w:val="24"/>
          <w:szCs w:val="24"/>
        </w:rPr>
        <w:t xml:space="preserve">. We downscaled the data </w:t>
      </w:r>
      <w:r>
        <w:rPr>
          <w:sz w:val="24"/>
          <w:szCs w:val="24"/>
        </w:rPr>
        <w:t>to</w:t>
      </w:r>
      <w:r w:rsidRPr="004C757E">
        <w:rPr>
          <w:sz w:val="24"/>
          <w:szCs w:val="24"/>
        </w:rPr>
        <w:t xml:space="preserve"> </w:t>
      </w:r>
      <w:r>
        <w:rPr>
          <w:sz w:val="24"/>
          <w:szCs w:val="24"/>
        </w:rPr>
        <w:t>~</w:t>
      </w:r>
      <w:r w:rsidRPr="004C757E">
        <w:rPr>
          <w:sz w:val="24"/>
          <w:szCs w:val="24"/>
        </w:rPr>
        <w:t>1 km</w:t>
      </w:r>
      <w:r w:rsidRPr="0017053F">
        <w:rPr>
          <w:sz w:val="24"/>
          <w:szCs w:val="24"/>
          <w:vertAlign w:val="superscript"/>
        </w:rPr>
        <w:t>2</w:t>
      </w:r>
      <w:r w:rsidRPr="004C757E">
        <w:rPr>
          <w:sz w:val="24"/>
          <w:szCs w:val="24"/>
        </w:rPr>
        <w:t xml:space="preserve"> resolution</w:t>
      </w:r>
      <w:r w:rsidRPr="0017053F">
        <w:rPr>
          <w:rFonts w:cs="Times New Roman"/>
          <w:sz w:val="24"/>
          <w:szCs w:val="24"/>
        </w:rPr>
        <w:t xml:space="preserve"> </w:t>
      </w:r>
      <w:r>
        <w:rPr>
          <w:rFonts w:cs="Times New Roman"/>
          <w:sz w:val="24"/>
          <w:szCs w:val="24"/>
        </w:rPr>
        <w:t xml:space="preserve">using the </w:t>
      </w:r>
      <w:r w:rsidRPr="007209AA">
        <w:rPr>
          <w:rFonts w:cs="Times New Roman"/>
          <w:sz w:val="24"/>
          <w:szCs w:val="24"/>
        </w:rPr>
        <w:t>WorldClim dataset</w:t>
      </w:r>
      <w:r w:rsidRPr="00EB02F2">
        <w:rPr>
          <w:rFonts w:cs="Times New Roman"/>
          <w:noProof/>
          <w:sz w:val="24"/>
          <w:szCs w:val="24"/>
          <w:vertAlign w:val="superscript"/>
        </w:rPr>
        <w:t>51,80</w:t>
      </w:r>
      <w:r>
        <w:rPr>
          <w:rFonts w:cs="Times New Roman"/>
          <w:sz w:val="24"/>
          <w:szCs w:val="24"/>
        </w:rPr>
        <w:t xml:space="preserve">, </w:t>
      </w:r>
      <w:r w:rsidRPr="004C757E">
        <w:rPr>
          <w:sz w:val="24"/>
          <w:szCs w:val="24"/>
        </w:rPr>
        <w:t>by subtracting the difference in mean monthly temperature</w:t>
      </w:r>
      <w:r>
        <w:rPr>
          <w:sz w:val="24"/>
          <w:szCs w:val="24"/>
        </w:rPr>
        <w:t xml:space="preserve">, and applying </w:t>
      </w:r>
      <w:r w:rsidRPr="004C757E">
        <w:rPr>
          <w:sz w:val="24"/>
          <w:szCs w:val="24"/>
        </w:rPr>
        <w:t>this monthly correction to all months</w:t>
      </w:r>
      <w:r w:rsidRPr="00EB02F2">
        <w:rPr>
          <w:noProof/>
          <w:sz w:val="24"/>
          <w:szCs w:val="24"/>
          <w:vertAlign w:val="superscript"/>
        </w:rPr>
        <w:t>81</w:t>
      </w:r>
      <w:r w:rsidRPr="004C757E">
        <w:rPr>
          <w:sz w:val="24"/>
          <w:szCs w:val="24"/>
        </w:rPr>
        <w:t xml:space="preserve">. </w:t>
      </w:r>
      <w:r w:rsidRPr="004C757E">
        <w:rPr>
          <w:rFonts w:cs="Times New Roman"/>
          <w:sz w:val="24"/>
          <w:szCs w:val="24"/>
        </w:rPr>
        <w:t xml:space="preserve">We then calculated MAT for each census interval of each plot </w:t>
      </w:r>
      <w:r w:rsidRPr="007209AA">
        <w:rPr>
          <w:rFonts w:cs="Times New Roman"/>
          <w:sz w:val="24"/>
          <w:szCs w:val="24"/>
        </w:rPr>
        <w:t xml:space="preserve">using the </w:t>
      </w:r>
      <w:r>
        <w:rPr>
          <w:rFonts w:cs="Times New Roman"/>
          <w:sz w:val="24"/>
          <w:szCs w:val="24"/>
        </w:rPr>
        <w:t xml:space="preserve">downscaled </w:t>
      </w:r>
      <w:r w:rsidRPr="007209AA">
        <w:rPr>
          <w:rFonts w:cs="Times New Roman"/>
          <w:sz w:val="24"/>
          <w:szCs w:val="24"/>
        </w:rPr>
        <w:t>monthly CRU record.</w:t>
      </w:r>
    </w:p>
    <w:p w:rsidR="00B43E3C" w:rsidRDefault="00B43E3C" w:rsidP="00726F1B">
      <w:pPr>
        <w:rPr>
          <w:rFonts w:cs="Times New Roman"/>
          <w:sz w:val="24"/>
          <w:szCs w:val="24"/>
        </w:rPr>
      </w:pPr>
    </w:p>
    <w:p w:rsidR="00B43E3C" w:rsidRDefault="00B43E3C" w:rsidP="00726F1B">
      <w:pPr>
        <w:rPr>
          <w:rFonts w:cs="Times New Roman"/>
          <w:sz w:val="24"/>
          <w:szCs w:val="24"/>
        </w:rPr>
      </w:pPr>
      <w:r w:rsidRPr="007209AA">
        <w:rPr>
          <w:rFonts w:cs="Times New Roman"/>
          <w:i/>
          <w:sz w:val="24"/>
          <w:szCs w:val="24"/>
        </w:rPr>
        <w:t>Maximum Climatological Water Deficit</w:t>
      </w:r>
      <w:r w:rsidRPr="007209AA">
        <w:rPr>
          <w:rFonts w:cs="Times New Roman"/>
          <w:sz w:val="24"/>
          <w:szCs w:val="24"/>
        </w:rPr>
        <w:t xml:space="preserve"> (MCWD, in mm) was derived from </w:t>
      </w:r>
      <w:r>
        <w:rPr>
          <w:rFonts w:cs="Times New Roman"/>
          <w:sz w:val="24"/>
          <w:szCs w:val="24"/>
        </w:rPr>
        <w:t xml:space="preserve">the </w:t>
      </w:r>
      <w:r w:rsidRPr="007209AA">
        <w:rPr>
          <w:rFonts w:cs="Times New Roman"/>
          <w:sz w:val="24"/>
          <w:szCs w:val="24"/>
        </w:rPr>
        <w:t xml:space="preserve">~3025 km² </w:t>
      </w:r>
      <w:r>
        <w:rPr>
          <w:rFonts w:cs="Times New Roman"/>
          <w:sz w:val="24"/>
          <w:szCs w:val="24"/>
        </w:rPr>
        <w:t>resolution</w:t>
      </w:r>
      <w:r w:rsidRPr="007209AA">
        <w:rPr>
          <w:rFonts w:cs="Times New Roman"/>
          <w:sz w:val="24"/>
          <w:szCs w:val="24"/>
        </w:rPr>
        <w:t xml:space="preserve"> Global Precipitation Climatology Centre dataset (GPCC</w:t>
      </w:r>
      <w:r w:rsidRPr="00E31301">
        <w:t xml:space="preserve"> </w:t>
      </w:r>
      <w:r>
        <w:rPr>
          <w:rFonts w:cs="Times New Roman"/>
          <w:sz w:val="24"/>
          <w:szCs w:val="24"/>
        </w:rPr>
        <w:t>v</w:t>
      </w:r>
      <w:r w:rsidRPr="00E31301">
        <w:rPr>
          <w:rFonts w:cs="Times New Roman"/>
          <w:sz w:val="24"/>
          <w:szCs w:val="24"/>
        </w:rPr>
        <w:t>ersion 6.0</w:t>
      </w:r>
      <w:r w:rsidRPr="007209AA">
        <w:rPr>
          <w:rFonts w:cs="Times New Roman"/>
          <w:sz w:val="24"/>
          <w:szCs w:val="24"/>
        </w:rPr>
        <w:t xml:space="preserve">) that includes many more </w:t>
      </w:r>
      <w:r>
        <w:rPr>
          <w:rFonts w:cs="Times New Roman"/>
          <w:sz w:val="24"/>
          <w:szCs w:val="24"/>
        </w:rPr>
        <w:t xml:space="preserve">rain </w:t>
      </w:r>
      <w:r w:rsidRPr="007209AA">
        <w:rPr>
          <w:rFonts w:cs="Times New Roman"/>
          <w:sz w:val="24"/>
          <w:szCs w:val="24"/>
        </w:rPr>
        <w:t>gauges than CRU in tropical Africa</w:t>
      </w:r>
      <w:r w:rsidRPr="00EB02F2">
        <w:rPr>
          <w:rFonts w:cs="Times New Roman"/>
          <w:noProof/>
          <w:sz w:val="24"/>
          <w:szCs w:val="24"/>
          <w:vertAlign w:val="superscript"/>
        </w:rPr>
        <w:t>82</w:t>
      </w:r>
      <w:r w:rsidRPr="007209AA">
        <w:rPr>
          <w:rFonts w:cs="Times New Roman"/>
          <w:sz w:val="24"/>
          <w:szCs w:val="24"/>
          <w:vertAlign w:val="superscript"/>
        </w:rPr>
        <w:t>,</w:t>
      </w:r>
      <w:r w:rsidRPr="00EB02F2">
        <w:rPr>
          <w:rFonts w:cs="Times New Roman"/>
          <w:noProof/>
          <w:sz w:val="24"/>
          <w:szCs w:val="24"/>
          <w:vertAlign w:val="superscript"/>
        </w:rPr>
        <w:t>83</w:t>
      </w:r>
      <w:r w:rsidRPr="004C757E">
        <w:rPr>
          <w:sz w:val="24"/>
          <w:szCs w:val="24"/>
        </w:rPr>
        <w:t>.</w:t>
      </w:r>
      <w:r w:rsidRPr="007209AA">
        <w:rPr>
          <w:rFonts w:cs="Times New Roman"/>
          <w:sz w:val="24"/>
          <w:szCs w:val="24"/>
        </w:rPr>
        <w:t xml:space="preserve"> </w:t>
      </w:r>
      <w:r>
        <w:rPr>
          <w:rFonts w:cs="Times New Roman"/>
          <w:sz w:val="24"/>
          <w:szCs w:val="24"/>
        </w:rPr>
        <w:t>A</w:t>
      </w:r>
      <w:r w:rsidRPr="007209AA">
        <w:rPr>
          <w:rFonts w:cs="Times New Roman"/>
          <w:sz w:val="24"/>
          <w:szCs w:val="24"/>
        </w:rPr>
        <w:t>s GPCC ends in 2013 we combined it with satellite-based Tropical Rainfall Measurement Mission data (TRMM 3B43 V7 product, ~</w:t>
      </w:r>
      <w:r>
        <w:rPr>
          <w:rFonts w:cs="Times New Roman"/>
          <w:sz w:val="24"/>
          <w:szCs w:val="24"/>
        </w:rPr>
        <w:t>757 km²</w:t>
      </w:r>
      <w:r w:rsidRPr="007209AA">
        <w:rPr>
          <w:rFonts w:cs="Times New Roman"/>
          <w:sz w:val="24"/>
          <w:szCs w:val="24"/>
        </w:rPr>
        <w:t xml:space="preserve"> resolution)</w:t>
      </w:r>
      <w:r w:rsidRPr="00EB02F2">
        <w:rPr>
          <w:rFonts w:cs="Times New Roman"/>
          <w:noProof/>
          <w:sz w:val="24"/>
          <w:szCs w:val="24"/>
          <w:vertAlign w:val="superscript"/>
        </w:rPr>
        <w:t>84</w:t>
      </w:r>
      <w:r w:rsidRPr="004E043B">
        <w:rPr>
          <w:rFonts w:cs="Times New Roman"/>
          <w:sz w:val="24"/>
          <w:szCs w:val="24"/>
        </w:rPr>
        <w:t xml:space="preserve">. </w:t>
      </w:r>
      <w:r w:rsidRPr="0025307F">
        <w:rPr>
          <w:rFonts w:cs="Times New Roman"/>
          <w:sz w:val="24"/>
          <w:szCs w:val="24"/>
        </w:rPr>
        <w:t>The fit for the overlapping time period (1998-2013) was used to correct the systematic difference between GPCC and TRMM: GPCC’ = a+b*GPCC, with GPCC’ the adjusted GPCC record and a and b different parameters for each month of the year and for each continent.</w:t>
      </w:r>
      <w:r>
        <w:rPr>
          <w:rFonts w:cs="Times New Roman"/>
          <w:sz w:val="24"/>
          <w:szCs w:val="24"/>
        </w:rPr>
        <w:t xml:space="preserve"> </w:t>
      </w:r>
      <w:r w:rsidRPr="004E043B">
        <w:rPr>
          <w:rFonts w:cs="Times New Roman"/>
          <w:sz w:val="24"/>
          <w:szCs w:val="24"/>
        </w:rPr>
        <w:t>Pre</w:t>
      </w:r>
      <w:r>
        <w:rPr>
          <w:rFonts w:cs="Times New Roman"/>
          <w:sz w:val="24"/>
          <w:szCs w:val="24"/>
        </w:rPr>
        <w:t>cipitation was then downscaled to</w:t>
      </w:r>
      <w:r w:rsidRPr="004C757E">
        <w:rPr>
          <w:sz w:val="24"/>
          <w:szCs w:val="24"/>
        </w:rPr>
        <w:t xml:space="preserve"> </w:t>
      </w:r>
      <w:r>
        <w:rPr>
          <w:sz w:val="24"/>
          <w:szCs w:val="24"/>
        </w:rPr>
        <w:t>~</w:t>
      </w:r>
      <w:r w:rsidRPr="004C757E">
        <w:rPr>
          <w:sz w:val="24"/>
          <w:szCs w:val="24"/>
        </w:rPr>
        <w:t>1 km</w:t>
      </w:r>
      <w:r w:rsidRPr="0017053F">
        <w:rPr>
          <w:sz w:val="24"/>
          <w:szCs w:val="24"/>
          <w:vertAlign w:val="superscript"/>
        </w:rPr>
        <w:t>2</w:t>
      </w:r>
      <w:r w:rsidRPr="004C757E">
        <w:rPr>
          <w:sz w:val="24"/>
          <w:szCs w:val="24"/>
        </w:rPr>
        <w:t xml:space="preserve"> resolution</w:t>
      </w:r>
      <w:r w:rsidRPr="0017053F">
        <w:rPr>
          <w:rFonts w:cs="Times New Roman"/>
          <w:sz w:val="24"/>
          <w:szCs w:val="24"/>
        </w:rPr>
        <w:t xml:space="preserve"> </w:t>
      </w:r>
      <w:r>
        <w:rPr>
          <w:rFonts w:cs="Times New Roman"/>
          <w:sz w:val="24"/>
          <w:szCs w:val="24"/>
        </w:rPr>
        <w:t xml:space="preserve">using the </w:t>
      </w:r>
      <w:r w:rsidRPr="007209AA">
        <w:rPr>
          <w:rFonts w:cs="Times New Roman"/>
          <w:sz w:val="24"/>
          <w:szCs w:val="24"/>
        </w:rPr>
        <w:t>WorldClim dataset</w:t>
      </w:r>
      <w:r w:rsidRPr="00EB02F2">
        <w:rPr>
          <w:rFonts w:cs="Times New Roman"/>
          <w:noProof/>
          <w:sz w:val="24"/>
          <w:szCs w:val="24"/>
          <w:vertAlign w:val="superscript"/>
        </w:rPr>
        <w:t>51,80</w:t>
      </w:r>
      <w:r>
        <w:rPr>
          <w:rFonts w:cs="Times New Roman"/>
          <w:sz w:val="24"/>
          <w:szCs w:val="24"/>
        </w:rPr>
        <w:t xml:space="preserve">, by </w:t>
      </w:r>
      <w:r>
        <w:rPr>
          <w:sz w:val="24"/>
          <w:szCs w:val="24"/>
        </w:rPr>
        <w:t xml:space="preserve">dividing by </w:t>
      </w:r>
      <w:r w:rsidRPr="004C757E">
        <w:rPr>
          <w:sz w:val="24"/>
          <w:szCs w:val="24"/>
        </w:rPr>
        <w:t xml:space="preserve">the </w:t>
      </w:r>
      <w:r>
        <w:rPr>
          <w:sz w:val="24"/>
          <w:szCs w:val="24"/>
        </w:rPr>
        <w:t>ratio</w:t>
      </w:r>
      <w:r w:rsidRPr="004C757E">
        <w:rPr>
          <w:sz w:val="24"/>
          <w:szCs w:val="24"/>
        </w:rPr>
        <w:t xml:space="preserve"> in mean monthly </w:t>
      </w:r>
      <w:r>
        <w:rPr>
          <w:sz w:val="24"/>
          <w:szCs w:val="24"/>
        </w:rPr>
        <w:t xml:space="preserve">rainfall, and applying </w:t>
      </w:r>
      <w:r w:rsidRPr="004C757E">
        <w:rPr>
          <w:sz w:val="24"/>
          <w:szCs w:val="24"/>
        </w:rPr>
        <w:t>this monthly correction to all months</w:t>
      </w:r>
      <w:r w:rsidRPr="00EB02F2">
        <w:rPr>
          <w:noProof/>
          <w:sz w:val="24"/>
          <w:szCs w:val="24"/>
          <w:vertAlign w:val="superscript"/>
        </w:rPr>
        <w:t>81</w:t>
      </w:r>
      <w:r w:rsidRPr="004C757E">
        <w:rPr>
          <w:sz w:val="24"/>
          <w:szCs w:val="24"/>
        </w:rPr>
        <w:t>.</w:t>
      </w:r>
      <w:r w:rsidRPr="007209AA">
        <w:rPr>
          <w:rFonts w:cs="Times New Roman"/>
          <w:sz w:val="24"/>
          <w:szCs w:val="24"/>
        </w:rPr>
        <w:t xml:space="preserve"> </w:t>
      </w:r>
      <w:r>
        <w:rPr>
          <w:rFonts w:cs="Times New Roman"/>
          <w:sz w:val="24"/>
          <w:szCs w:val="24"/>
        </w:rPr>
        <w:t>F</w:t>
      </w:r>
      <w:r w:rsidRPr="004C757E">
        <w:rPr>
          <w:rFonts w:cs="Times New Roman"/>
          <w:sz w:val="24"/>
          <w:szCs w:val="24"/>
        </w:rPr>
        <w:t xml:space="preserve">or </w:t>
      </w:r>
      <w:r w:rsidRPr="007209AA">
        <w:rPr>
          <w:rFonts w:cs="Times New Roman"/>
          <w:sz w:val="24"/>
          <w:szCs w:val="24"/>
        </w:rPr>
        <w:t>each census interval we extract</w:t>
      </w:r>
      <w:r>
        <w:rPr>
          <w:rFonts w:cs="Times New Roman"/>
          <w:sz w:val="24"/>
          <w:szCs w:val="24"/>
        </w:rPr>
        <w:t>ed</w:t>
      </w:r>
      <w:r w:rsidRPr="007209AA">
        <w:rPr>
          <w:rFonts w:cs="Times New Roman"/>
          <w:sz w:val="24"/>
          <w:szCs w:val="24"/>
        </w:rPr>
        <w:t xml:space="preserve"> monthly precipitation values and </w:t>
      </w:r>
      <w:r>
        <w:rPr>
          <w:rFonts w:cs="Times New Roman"/>
          <w:sz w:val="24"/>
          <w:szCs w:val="24"/>
        </w:rPr>
        <w:t xml:space="preserve">estimated evapotranspiration (ET) to </w:t>
      </w:r>
      <w:r w:rsidRPr="007209AA">
        <w:rPr>
          <w:rFonts w:cs="Times New Roman"/>
          <w:sz w:val="24"/>
          <w:szCs w:val="24"/>
        </w:rPr>
        <w:t>calculate monthly Climatological Water Deficit (CWD), a commonly used metric of dry season intensity for tropical forests</w:t>
      </w:r>
      <w:r w:rsidRPr="005A2EB8">
        <w:rPr>
          <w:rFonts w:cs="Times New Roman"/>
          <w:noProof/>
          <w:sz w:val="24"/>
          <w:szCs w:val="24"/>
          <w:vertAlign w:val="superscript"/>
        </w:rPr>
        <w:t>14</w:t>
      </w:r>
      <w:r w:rsidRPr="009A7752">
        <w:rPr>
          <w:rFonts w:cs="Times New Roman"/>
          <w:sz w:val="24"/>
          <w:szCs w:val="24"/>
          <w:vertAlign w:val="superscript"/>
        </w:rPr>
        <w:t>,</w:t>
      </w:r>
      <w:r w:rsidRPr="00EB02F2">
        <w:rPr>
          <w:rFonts w:cs="Times New Roman"/>
          <w:noProof/>
          <w:sz w:val="24"/>
          <w:szCs w:val="24"/>
          <w:vertAlign w:val="superscript"/>
        </w:rPr>
        <w:t>76</w:t>
      </w:r>
      <w:r w:rsidRPr="007209AA">
        <w:rPr>
          <w:rFonts w:cs="Times New Roman"/>
          <w:sz w:val="24"/>
          <w:szCs w:val="24"/>
          <w:vertAlign w:val="superscript"/>
        </w:rPr>
        <w:t>,</w:t>
      </w:r>
      <w:r w:rsidRPr="00EB02F2">
        <w:rPr>
          <w:rFonts w:cs="Times New Roman"/>
          <w:noProof/>
          <w:sz w:val="24"/>
          <w:szCs w:val="24"/>
          <w:vertAlign w:val="superscript"/>
        </w:rPr>
        <w:t>77</w:t>
      </w:r>
      <w:r>
        <w:rPr>
          <w:rFonts w:cs="Times New Roman"/>
          <w:sz w:val="24"/>
          <w:szCs w:val="24"/>
        </w:rPr>
        <w:t>. M</w:t>
      </w:r>
      <w:r w:rsidRPr="0025307F">
        <w:rPr>
          <w:rFonts w:cs="Times New Roman"/>
          <w:sz w:val="24"/>
          <w:szCs w:val="24"/>
        </w:rPr>
        <w:t>onthly CWD values were calculated for each subsequent series of 12 months (complete years)</w:t>
      </w:r>
      <w:r w:rsidRPr="00EB02F2">
        <w:rPr>
          <w:rFonts w:cs="Times New Roman"/>
          <w:noProof/>
          <w:sz w:val="24"/>
          <w:szCs w:val="24"/>
          <w:vertAlign w:val="superscript"/>
        </w:rPr>
        <w:t>77</w:t>
      </w:r>
      <w:r w:rsidRPr="0025307F">
        <w:rPr>
          <w:rFonts w:cs="Times New Roman"/>
          <w:sz w:val="24"/>
          <w:szCs w:val="24"/>
        </w:rPr>
        <w:t>. Monthly CWD estimation begins with the wettest month of the first year in the interval, and is calculated as 100 mm per month evapotranspiration (ET) minus monthly precipitation (P). Then, CWD values for the subsequent 11 months were calculated re</w:t>
      </w:r>
      <w:r>
        <w:rPr>
          <w:rFonts w:cs="Times New Roman"/>
          <w:sz w:val="24"/>
          <w:szCs w:val="24"/>
        </w:rPr>
        <w:t xml:space="preserve">cursively as: </w:t>
      </w:r>
      <w:r w:rsidRPr="00421723">
        <w:rPr>
          <w:rFonts w:cs="Times New Roman"/>
          <w:sz w:val="24"/>
          <w:szCs w:val="24"/>
        </w:rPr>
        <w:t>CWD</w:t>
      </w:r>
      <w:r w:rsidRPr="00421723">
        <w:rPr>
          <w:rFonts w:cs="Times New Roman"/>
          <w:sz w:val="24"/>
          <w:szCs w:val="24"/>
          <w:vertAlign w:val="subscript"/>
        </w:rPr>
        <w:t>i</w:t>
      </w:r>
      <w:r w:rsidRPr="00421723">
        <w:rPr>
          <w:rFonts w:cs="Times New Roman"/>
          <w:sz w:val="24"/>
          <w:szCs w:val="24"/>
        </w:rPr>
        <w:t xml:space="preserve">= </w:t>
      </w:r>
      <w:r>
        <w:rPr>
          <w:rFonts w:cs="Times New Roman"/>
          <w:sz w:val="24"/>
          <w:szCs w:val="24"/>
        </w:rPr>
        <w:t>ET - P</w:t>
      </w:r>
      <w:r w:rsidRPr="00421723">
        <w:rPr>
          <w:rFonts w:cs="Times New Roman"/>
          <w:sz w:val="24"/>
          <w:szCs w:val="24"/>
          <w:vertAlign w:val="subscript"/>
        </w:rPr>
        <w:t>i</w:t>
      </w:r>
      <w:r>
        <w:rPr>
          <w:rFonts w:cs="Times New Roman"/>
          <w:sz w:val="24"/>
          <w:szCs w:val="24"/>
          <w:vertAlign w:val="subscript"/>
        </w:rPr>
        <w:t xml:space="preserve"> </w:t>
      </w:r>
      <w:r>
        <w:rPr>
          <w:rFonts w:cs="Times New Roman"/>
          <w:sz w:val="24"/>
          <w:szCs w:val="24"/>
        </w:rPr>
        <w:t xml:space="preserve">+ </w:t>
      </w:r>
      <w:r w:rsidRPr="00421723">
        <w:rPr>
          <w:rFonts w:cs="Times New Roman"/>
          <w:sz w:val="24"/>
          <w:szCs w:val="24"/>
        </w:rPr>
        <w:t>CWD</w:t>
      </w:r>
      <w:r w:rsidRPr="00421723">
        <w:rPr>
          <w:rFonts w:cs="Times New Roman"/>
          <w:sz w:val="24"/>
          <w:szCs w:val="24"/>
          <w:vertAlign w:val="subscript"/>
        </w:rPr>
        <w:t>i-1</w:t>
      </w:r>
      <w:r>
        <w:rPr>
          <w:rFonts w:cs="Times New Roman"/>
          <w:sz w:val="24"/>
          <w:szCs w:val="24"/>
        </w:rPr>
        <w:t xml:space="preserve">, </w:t>
      </w:r>
      <w:r w:rsidRPr="00421723">
        <w:rPr>
          <w:rFonts w:cs="Times New Roman"/>
          <w:sz w:val="24"/>
          <w:szCs w:val="24"/>
        </w:rPr>
        <w:t>where</w:t>
      </w:r>
      <w:r w:rsidRPr="0025307F">
        <w:rPr>
          <w:rFonts w:cs="Times New Roman"/>
          <w:sz w:val="24"/>
          <w:szCs w:val="24"/>
        </w:rPr>
        <w:t xml:space="preserve"> negative CWD</w:t>
      </w:r>
      <w:r w:rsidRPr="0025307F">
        <w:rPr>
          <w:rFonts w:cs="Times New Roman"/>
          <w:sz w:val="24"/>
          <w:szCs w:val="24"/>
          <w:vertAlign w:val="subscript"/>
        </w:rPr>
        <w:t>i</w:t>
      </w:r>
      <w:r w:rsidRPr="0025307F">
        <w:rPr>
          <w:rFonts w:cs="Times New Roman"/>
          <w:sz w:val="24"/>
          <w:szCs w:val="24"/>
        </w:rPr>
        <w:t xml:space="preserve"> values were set to zero</w:t>
      </w:r>
      <w:r w:rsidRPr="00EB02F2">
        <w:rPr>
          <w:rFonts w:cs="Times New Roman"/>
          <w:noProof/>
          <w:sz w:val="24"/>
          <w:szCs w:val="24"/>
          <w:vertAlign w:val="superscript"/>
        </w:rPr>
        <w:t>77</w:t>
      </w:r>
      <w:r w:rsidRPr="0025307F">
        <w:rPr>
          <w:rFonts w:cs="Times New Roman"/>
          <w:sz w:val="24"/>
          <w:szCs w:val="24"/>
        </w:rPr>
        <w:t xml:space="preserve"> (no drought conditions). This procedure was repeated for each subsequent complete 12 months. </w:t>
      </w:r>
      <w:r>
        <w:rPr>
          <w:rFonts w:cs="Times New Roman"/>
          <w:sz w:val="24"/>
          <w:szCs w:val="24"/>
        </w:rPr>
        <w:t xml:space="preserve">We then </w:t>
      </w:r>
      <w:r w:rsidRPr="007209AA">
        <w:rPr>
          <w:rFonts w:cs="Times New Roman"/>
          <w:sz w:val="24"/>
          <w:szCs w:val="24"/>
        </w:rPr>
        <w:t>calculate</w:t>
      </w:r>
      <w:r>
        <w:rPr>
          <w:rFonts w:cs="Times New Roman"/>
          <w:sz w:val="24"/>
          <w:szCs w:val="24"/>
        </w:rPr>
        <w:t>d</w:t>
      </w:r>
      <w:r w:rsidRPr="007209AA">
        <w:rPr>
          <w:rFonts w:cs="Times New Roman"/>
          <w:sz w:val="24"/>
          <w:szCs w:val="24"/>
        </w:rPr>
        <w:t xml:space="preserve"> the annual MCWD as the largest monthly CWD value for every complete </w:t>
      </w:r>
      <w:r>
        <w:rPr>
          <w:rFonts w:cs="Times New Roman"/>
          <w:sz w:val="24"/>
          <w:szCs w:val="24"/>
        </w:rPr>
        <w:t>year within the census interval, with</w:t>
      </w:r>
      <w:r w:rsidRPr="007209AA">
        <w:rPr>
          <w:rFonts w:cs="Times New Roman"/>
          <w:sz w:val="24"/>
          <w:szCs w:val="24"/>
        </w:rPr>
        <w:t xml:space="preserve"> </w:t>
      </w:r>
      <w:r w:rsidRPr="007209AA">
        <w:rPr>
          <w:rFonts w:cs="Times New Roman"/>
          <w:sz w:val="24"/>
          <w:szCs w:val="24"/>
        </w:rPr>
        <w:lastRenderedPageBreak/>
        <w:t xml:space="preserve">the MCWD of a census interval </w:t>
      </w:r>
      <w:r>
        <w:rPr>
          <w:rFonts w:cs="Times New Roman"/>
          <w:sz w:val="24"/>
          <w:szCs w:val="24"/>
        </w:rPr>
        <w:t xml:space="preserve">being </w:t>
      </w:r>
      <w:r w:rsidRPr="007209AA">
        <w:rPr>
          <w:rFonts w:cs="Times New Roman"/>
          <w:sz w:val="24"/>
          <w:szCs w:val="24"/>
        </w:rPr>
        <w:t>the mean of the annual MCWD values within the ce</w:t>
      </w:r>
      <w:r>
        <w:rPr>
          <w:rFonts w:cs="Times New Roman"/>
          <w:sz w:val="24"/>
          <w:szCs w:val="24"/>
        </w:rPr>
        <w:t xml:space="preserve">nsus interval. </w:t>
      </w:r>
      <w:r w:rsidRPr="0025307F">
        <w:rPr>
          <w:rFonts w:cs="Times New Roman"/>
          <w:sz w:val="24"/>
          <w:szCs w:val="24"/>
        </w:rPr>
        <w:t>Larger MCWD indicates more severe water deficits.</w:t>
      </w:r>
      <w:r>
        <w:rPr>
          <w:rFonts w:cs="Times New Roman"/>
          <w:sz w:val="24"/>
          <w:szCs w:val="24"/>
        </w:rPr>
        <w:t xml:space="preserve"> </w:t>
      </w:r>
    </w:p>
    <w:p w:rsidR="00B43E3C" w:rsidRDefault="00B43E3C" w:rsidP="00726F1B">
      <w:pPr>
        <w:rPr>
          <w:rFonts w:cs="Times New Roman"/>
          <w:sz w:val="24"/>
          <w:szCs w:val="24"/>
        </w:rPr>
      </w:pPr>
    </w:p>
    <w:p w:rsidR="00B43E3C" w:rsidRPr="007209AA" w:rsidRDefault="00B43E3C" w:rsidP="00726F1B">
      <w:pPr>
        <w:rPr>
          <w:rFonts w:cs="Times New Roman"/>
          <w:sz w:val="24"/>
          <w:szCs w:val="24"/>
        </w:rPr>
      </w:pPr>
      <w:r>
        <w:rPr>
          <w:rFonts w:cs="Times New Roman"/>
          <w:sz w:val="24"/>
          <w:szCs w:val="24"/>
        </w:rPr>
        <w:t>W</w:t>
      </w:r>
      <w:r w:rsidRPr="0025071B">
        <w:rPr>
          <w:rFonts w:cs="Times New Roman"/>
          <w:sz w:val="24"/>
          <w:szCs w:val="24"/>
        </w:rPr>
        <w:t xml:space="preserve">e assume </w:t>
      </w:r>
      <w:r>
        <w:rPr>
          <w:rFonts w:cs="Times New Roman"/>
          <w:sz w:val="24"/>
          <w:szCs w:val="24"/>
        </w:rPr>
        <w:t>ET</w:t>
      </w:r>
      <w:r w:rsidRPr="0025071B">
        <w:rPr>
          <w:rFonts w:cs="Times New Roman"/>
          <w:sz w:val="24"/>
          <w:szCs w:val="24"/>
        </w:rPr>
        <w:t xml:space="preserve"> is 100 mm month</w:t>
      </w:r>
      <w:r w:rsidRPr="0025071B">
        <w:rPr>
          <w:rFonts w:cs="Times New Roman"/>
          <w:sz w:val="24"/>
          <w:szCs w:val="24"/>
          <w:vertAlign w:val="superscript"/>
        </w:rPr>
        <w:t>-1</w:t>
      </w:r>
      <w:r>
        <w:rPr>
          <w:rFonts w:cs="Times New Roman"/>
          <w:sz w:val="24"/>
          <w:szCs w:val="24"/>
        </w:rPr>
        <w:t xml:space="preserve"> on both continents,</w:t>
      </w:r>
      <w:r w:rsidRPr="0025071B">
        <w:rPr>
          <w:rFonts w:cs="Times New Roman"/>
          <w:sz w:val="24"/>
          <w:szCs w:val="24"/>
        </w:rPr>
        <w:t xml:space="preserve"> based on measurements from Amazonia</w:t>
      </w:r>
      <w:r w:rsidRPr="00EB02F2">
        <w:rPr>
          <w:rFonts w:cs="Times New Roman"/>
          <w:noProof/>
          <w:sz w:val="24"/>
          <w:szCs w:val="24"/>
          <w:vertAlign w:val="superscript"/>
        </w:rPr>
        <w:t>76,77</w:t>
      </w:r>
      <w:r w:rsidRPr="0025071B">
        <w:rPr>
          <w:rFonts w:cs="Times New Roman"/>
          <w:sz w:val="24"/>
          <w:szCs w:val="24"/>
        </w:rPr>
        <w:t>, more limited measurements from West Africa</w:t>
      </w:r>
      <w:r>
        <w:rPr>
          <w:rFonts w:cs="Times New Roman"/>
          <w:sz w:val="24"/>
          <w:szCs w:val="24"/>
        </w:rPr>
        <w:t xml:space="preserve"> summarized in ref.</w:t>
      </w:r>
      <w:r w:rsidRPr="00EB02F2">
        <w:rPr>
          <w:rFonts w:cs="Times New Roman"/>
          <w:noProof/>
          <w:sz w:val="24"/>
          <w:szCs w:val="24"/>
          <w:vertAlign w:val="superscript"/>
        </w:rPr>
        <w:t>85</w:t>
      </w:r>
      <w:r>
        <w:rPr>
          <w:rFonts w:cs="Times New Roman"/>
          <w:sz w:val="24"/>
          <w:szCs w:val="24"/>
        </w:rPr>
        <w:t>, predictive skill</w:t>
      </w:r>
      <w:r w:rsidRPr="00EB02F2">
        <w:rPr>
          <w:rFonts w:cs="Times New Roman"/>
          <w:noProof/>
          <w:sz w:val="24"/>
          <w:szCs w:val="24"/>
          <w:vertAlign w:val="superscript"/>
        </w:rPr>
        <w:t>86</w:t>
      </w:r>
      <w:r w:rsidRPr="0025071B">
        <w:rPr>
          <w:rFonts w:cs="Times New Roman"/>
          <w:sz w:val="24"/>
          <w:szCs w:val="24"/>
        </w:rPr>
        <w:t>, and use in past studies on both continents</w:t>
      </w:r>
      <w:r w:rsidRPr="00EB02F2">
        <w:rPr>
          <w:rFonts w:cs="Times New Roman"/>
          <w:noProof/>
          <w:sz w:val="24"/>
          <w:szCs w:val="24"/>
          <w:vertAlign w:val="superscript"/>
        </w:rPr>
        <w:t>14,87</w:t>
      </w:r>
      <w:r w:rsidRPr="0025071B">
        <w:rPr>
          <w:rFonts w:cs="Times New Roman"/>
          <w:sz w:val="24"/>
          <w:szCs w:val="24"/>
        </w:rPr>
        <w:t>. MCWD therefore represents a precipitation-driven dry season deficit, as ET remains constant.</w:t>
      </w:r>
      <w:r>
        <w:rPr>
          <w:rFonts w:cs="Times New Roman"/>
          <w:sz w:val="24"/>
          <w:szCs w:val="24"/>
        </w:rPr>
        <w:t xml:space="preserve"> An alternative assessment, </w:t>
      </w:r>
      <w:r w:rsidRPr="00143A48">
        <w:rPr>
          <w:rFonts w:cs="Times New Roman"/>
          <w:sz w:val="24"/>
          <w:szCs w:val="24"/>
        </w:rPr>
        <w:t>using a data-driven ET product</w:t>
      </w:r>
      <w:r w:rsidRPr="00EB02F2">
        <w:rPr>
          <w:rFonts w:cs="Times New Roman"/>
          <w:noProof/>
          <w:sz w:val="24"/>
          <w:szCs w:val="24"/>
          <w:vertAlign w:val="superscript"/>
        </w:rPr>
        <w:t>88,89</w:t>
      </w:r>
      <w:r>
        <w:rPr>
          <w:rFonts w:cs="Times New Roman"/>
          <w:sz w:val="24"/>
          <w:szCs w:val="24"/>
        </w:rPr>
        <w:t xml:space="preserve">, </w:t>
      </w:r>
      <w:r w:rsidRPr="00143A48">
        <w:rPr>
          <w:rFonts w:cs="Times New Roman"/>
          <w:sz w:val="24"/>
          <w:szCs w:val="24"/>
        </w:rPr>
        <w:t>gave a mean ET of 95 and 98 mm month</w:t>
      </w:r>
      <w:r w:rsidRPr="00143A48">
        <w:rPr>
          <w:rFonts w:cs="Times New Roman"/>
          <w:sz w:val="24"/>
          <w:szCs w:val="24"/>
          <w:vertAlign w:val="superscript"/>
        </w:rPr>
        <w:t>-1</w:t>
      </w:r>
      <w:r w:rsidRPr="00143A48">
        <w:rPr>
          <w:rFonts w:cs="Times New Roman"/>
          <w:sz w:val="24"/>
          <w:szCs w:val="24"/>
        </w:rPr>
        <w:t xml:space="preserve"> for the African and Amazonian plot networks respectively</w:t>
      </w:r>
      <w:r>
        <w:rPr>
          <w:rFonts w:cs="Times New Roman"/>
          <w:sz w:val="24"/>
          <w:szCs w:val="24"/>
        </w:rPr>
        <w:t>. Using these values</w:t>
      </w:r>
      <w:r w:rsidRPr="00143A48">
        <w:rPr>
          <w:rFonts w:cs="Times New Roman"/>
          <w:sz w:val="24"/>
          <w:szCs w:val="24"/>
        </w:rPr>
        <w:t xml:space="preserve"> did not affect the results.</w:t>
      </w:r>
    </w:p>
    <w:p w:rsidR="00B43E3C" w:rsidRPr="007209AA" w:rsidRDefault="00B43E3C" w:rsidP="00726F1B">
      <w:pPr>
        <w:rPr>
          <w:rFonts w:cs="Times New Roman"/>
          <w:sz w:val="24"/>
          <w:szCs w:val="24"/>
        </w:rPr>
      </w:pPr>
    </w:p>
    <w:p w:rsidR="00B43E3C" w:rsidRPr="007209AA" w:rsidDel="00803567" w:rsidRDefault="00B43E3C" w:rsidP="00726F1B">
      <w:pPr>
        <w:rPr>
          <w:rFonts w:cs="Times New Roman"/>
          <w:sz w:val="24"/>
          <w:szCs w:val="24"/>
        </w:rPr>
      </w:pPr>
      <w:r w:rsidRPr="007209AA" w:rsidDel="00803567">
        <w:rPr>
          <w:rFonts w:cs="Times New Roman"/>
          <w:sz w:val="24"/>
          <w:szCs w:val="24"/>
        </w:rPr>
        <w:t xml:space="preserve">To calculate </w:t>
      </w:r>
      <w:r w:rsidRPr="007209AA">
        <w:rPr>
          <w:rFonts w:cs="Times New Roman"/>
          <w:sz w:val="24"/>
          <w:szCs w:val="24"/>
        </w:rPr>
        <w:t xml:space="preserve">the environmental change of potential predictor variables, </w:t>
      </w:r>
      <w:r w:rsidRPr="007209AA" w:rsidDel="00803567">
        <w:rPr>
          <w:rFonts w:cs="Times New Roman"/>
          <w:sz w:val="24"/>
          <w:szCs w:val="24"/>
        </w:rPr>
        <w:t>CO</w:t>
      </w:r>
      <w:r w:rsidRPr="007209AA" w:rsidDel="00803567">
        <w:rPr>
          <w:rFonts w:cs="Times New Roman"/>
          <w:sz w:val="24"/>
          <w:szCs w:val="24"/>
          <w:vertAlign w:val="subscript"/>
        </w:rPr>
        <w:t>2</w:t>
      </w:r>
      <w:r w:rsidRPr="007209AA" w:rsidDel="00803567">
        <w:rPr>
          <w:rFonts w:cs="Times New Roman"/>
          <w:sz w:val="24"/>
          <w:szCs w:val="24"/>
        </w:rPr>
        <w:t>-change</w:t>
      </w:r>
      <w:r>
        <w:rPr>
          <w:rFonts w:cs="Times New Roman"/>
          <w:sz w:val="24"/>
          <w:szCs w:val="24"/>
        </w:rPr>
        <w:t xml:space="preserve"> (in ppm</w:t>
      </w:r>
      <w:r w:rsidRPr="007209AA" w:rsidDel="00803567">
        <w:rPr>
          <w:rFonts w:cs="Times New Roman"/>
          <w:sz w:val="24"/>
          <w:szCs w:val="24"/>
        </w:rPr>
        <w:t xml:space="preserve"> yr</w:t>
      </w:r>
      <w:r w:rsidRPr="007209AA" w:rsidDel="00803567">
        <w:rPr>
          <w:rFonts w:cs="Times New Roman"/>
          <w:sz w:val="24"/>
          <w:szCs w:val="24"/>
          <w:vertAlign w:val="superscript"/>
        </w:rPr>
        <w:t>-1</w:t>
      </w:r>
      <w:r w:rsidRPr="007209AA" w:rsidDel="00803567">
        <w:rPr>
          <w:rFonts w:cs="Times New Roman"/>
          <w:sz w:val="24"/>
          <w:szCs w:val="24"/>
        </w:rPr>
        <w:t>), MAT-change</w:t>
      </w:r>
      <w:r>
        <w:rPr>
          <w:rFonts w:cs="Times New Roman"/>
          <w:sz w:val="24"/>
          <w:szCs w:val="24"/>
        </w:rPr>
        <w:t xml:space="preserve"> </w:t>
      </w:r>
      <w:r w:rsidRPr="007209AA" w:rsidDel="00803567">
        <w:rPr>
          <w:rFonts w:cs="Times New Roman"/>
          <w:sz w:val="24"/>
          <w:szCs w:val="24"/>
        </w:rPr>
        <w:t>(in °C yr</w:t>
      </w:r>
      <w:r w:rsidRPr="007209AA" w:rsidDel="00803567">
        <w:rPr>
          <w:rFonts w:cs="Times New Roman"/>
          <w:sz w:val="24"/>
          <w:szCs w:val="24"/>
          <w:vertAlign w:val="superscript"/>
        </w:rPr>
        <w:t>-1</w:t>
      </w:r>
      <w:r w:rsidRPr="007209AA" w:rsidDel="00803567">
        <w:rPr>
          <w:rFonts w:cs="Times New Roman"/>
          <w:sz w:val="24"/>
          <w:szCs w:val="24"/>
        </w:rPr>
        <w:t>) and MCWD-change</w:t>
      </w:r>
      <w:r>
        <w:rPr>
          <w:rFonts w:cs="Times New Roman"/>
          <w:sz w:val="24"/>
          <w:szCs w:val="24"/>
        </w:rPr>
        <w:t xml:space="preserve"> (in mm</w:t>
      </w:r>
      <w:r w:rsidRPr="007209AA" w:rsidDel="00803567">
        <w:rPr>
          <w:rFonts w:cs="Times New Roman"/>
          <w:sz w:val="24"/>
          <w:szCs w:val="24"/>
        </w:rPr>
        <w:t xml:space="preserve"> yr</w:t>
      </w:r>
      <w:r w:rsidRPr="007209AA" w:rsidDel="00803567">
        <w:rPr>
          <w:rFonts w:cs="Times New Roman"/>
          <w:sz w:val="24"/>
          <w:szCs w:val="24"/>
          <w:vertAlign w:val="superscript"/>
        </w:rPr>
        <w:t>-1</w:t>
      </w:r>
      <w:r w:rsidRPr="007209AA" w:rsidDel="00803567">
        <w:rPr>
          <w:rFonts w:cs="Times New Roman"/>
          <w:sz w:val="24"/>
          <w:szCs w:val="24"/>
        </w:rPr>
        <w:t>), we selected an optimum period over which to calculate the change</w:t>
      </w:r>
      <w:r>
        <w:rPr>
          <w:rFonts w:cs="Times New Roman"/>
          <w:sz w:val="24"/>
          <w:szCs w:val="24"/>
        </w:rPr>
        <w:t>,</w:t>
      </w:r>
      <w:r w:rsidRPr="007209AA" w:rsidDel="00803567">
        <w:rPr>
          <w:rFonts w:cs="Times New Roman"/>
          <w:sz w:val="24"/>
          <w:szCs w:val="24"/>
        </w:rPr>
        <w:t xml:space="preserve"> derived empirically by assessing the correlation of carbon gains (all plots, all censuses) with the change in each environmental variable, using linear mixed effects models (lmer</w:t>
      </w:r>
      <w:r w:rsidRPr="007209AA">
        <w:rPr>
          <w:rFonts w:cs="Times New Roman"/>
          <w:sz w:val="24"/>
          <w:szCs w:val="24"/>
        </w:rPr>
        <w:t xml:space="preserve"> function in R, lme4 package</w:t>
      </w:r>
      <w:r w:rsidRPr="00EB02F2">
        <w:rPr>
          <w:rFonts w:cs="Times New Roman"/>
          <w:noProof/>
          <w:sz w:val="24"/>
          <w:szCs w:val="24"/>
          <w:vertAlign w:val="superscript"/>
        </w:rPr>
        <w:t>72</w:t>
      </w:r>
      <w:r w:rsidRPr="007209AA" w:rsidDel="00803567">
        <w:rPr>
          <w:rFonts w:cs="Times New Roman"/>
          <w:sz w:val="24"/>
          <w:szCs w:val="24"/>
        </w:rPr>
        <w:t xml:space="preserve">). The </w:t>
      </w:r>
      <w:r w:rsidRPr="007209AA">
        <w:rPr>
          <w:rFonts w:cs="Times New Roman"/>
          <w:sz w:val="24"/>
          <w:szCs w:val="24"/>
        </w:rPr>
        <w:t xml:space="preserve">annualised </w:t>
      </w:r>
      <w:r w:rsidRPr="007209AA" w:rsidDel="00803567">
        <w:rPr>
          <w:rFonts w:cs="Times New Roman"/>
          <w:sz w:val="24"/>
          <w:szCs w:val="24"/>
        </w:rPr>
        <w:t xml:space="preserve">change in </w:t>
      </w:r>
      <w:r w:rsidRPr="007209AA">
        <w:rPr>
          <w:rFonts w:cs="Times New Roman"/>
          <w:sz w:val="24"/>
          <w:szCs w:val="24"/>
        </w:rPr>
        <w:t xml:space="preserve">the </w:t>
      </w:r>
      <w:r w:rsidRPr="007209AA" w:rsidDel="00803567">
        <w:rPr>
          <w:rFonts w:cs="Times New Roman"/>
          <w:sz w:val="24"/>
          <w:szCs w:val="24"/>
        </w:rPr>
        <w:t xml:space="preserve">environmental variable </w:t>
      </w:r>
      <w:r w:rsidRPr="007209AA">
        <w:rPr>
          <w:rFonts w:cs="Times New Roman"/>
          <w:sz w:val="24"/>
          <w:szCs w:val="24"/>
        </w:rPr>
        <w:t>was</w:t>
      </w:r>
      <w:r w:rsidRPr="007209AA" w:rsidDel="00803567">
        <w:rPr>
          <w:rFonts w:cs="Times New Roman"/>
          <w:sz w:val="24"/>
          <w:szCs w:val="24"/>
        </w:rPr>
        <w:t xml:space="preserve"> calculated as the change between the focal interval and a prior interval (</w:t>
      </w:r>
      <w:r w:rsidRPr="007209AA">
        <w:rPr>
          <w:rFonts w:cs="Times New Roman"/>
          <w:sz w:val="24"/>
          <w:szCs w:val="24"/>
        </w:rPr>
        <w:t xml:space="preserve">termed the </w:t>
      </w:r>
      <w:r w:rsidRPr="007209AA" w:rsidDel="00803567">
        <w:rPr>
          <w:rFonts w:cs="Times New Roman"/>
          <w:sz w:val="24"/>
          <w:szCs w:val="24"/>
        </w:rPr>
        <w:t xml:space="preserve">baseline period) with a lengthening time window ranging from 1 year through to 80 years prior to the focal interval (i.e. 80 linear mixed effects models per variable). We calculated AIC for each model and selected the interval length with the lowest AIC. Thus, </w:t>
      </w:r>
      <w:r w:rsidRPr="007209AA">
        <w:rPr>
          <w:rFonts w:cs="Times New Roman"/>
          <w:sz w:val="24"/>
          <w:szCs w:val="24"/>
        </w:rPr>
        <w:t>MAT</w:t>
      </w:r>
      <w:r w:rsidRPr="007209AA" w:rsidDel="00803567">
        <w:rPr>
          <w:rFonts w:cs="Times New Roman"/>
          <w:sz w:val="24"/>
          <w:szCs w:val="24"/>
        </w:rPr>
        <w:t xml:space="preserve">-change (in </w:t>
      </w:r>
      <w:r w:rsidRPr="007209AA">
        <w:rPr>
          <w:rFonts w:cs="Times New Roman"/>
          <w:sz w:val="24"/>
          <w:szCs w:val="24"/>
        </w:rPr>
        <w:t>°C</w:t>
      </w:r>
      <w:r w:rsidRPr="007209AA" w:rsidDel="00803567">
        <w:rPr>
          <w:rFonts w:cs="Times New Roman"/>
          <w:sz w:val="24"/>
          <w:szCs w:val="24"/>
        </w:rPr>
        <w:t xml:space="preserve"> yr</w:t>
      </w:r>
      <w:r w:rsidRPr="007209AA" w:rsidDel="00803567">
        <w:rPr>
          <w:rFonts w:cs="Times New Roman"/>
          <w:sz w:val="24"/>
          <w:szCs w:val="24"/>
          <w:vertAlign w:val="superscript"/>
        </w:rPr>
        <w:t>-1</w:t>
      </w:r>
      <w:r w:rsidRPr="007209AA">
        <w:rPr>
          <w:rFonts w:cs="Times New Roman"/>
          <w:sz w:val="24"/>
          <w:szCs w:val="24"/>
        </w:rPr>
        <w:t>)</w:t>
      </w:r>
      <w:r w:rsidRPr="007209AA" w:rsidDel="00803567">
        <w:rPr>
          <w:rFonts w:cs="Times New Roman"/>
          <w:sz w:val="24"/>
          <w:szCs w:val="24"/>
        </w:rPr>
        <w:t xml:space="preserve"> </w:t>
      </w:r>
      <w:r>
        <w:rPr>
          <w:rFonts w:cs="Times New Roman"/>
          <w:sz w:val="24"/>
          <w:szCs w:val="24"/>
        </w:rPr>
        <w:t>=</w:t>
      </w:r>
      <w:r w:rsidR="00EF5658">
        <w:rPr>
          <w:rFonts w:cs="Times New Roman"/>
          <w:sz w:val="24"/>
          <w:szCs w:val="24"/>
        </w:rPr>
        <w:t xml:space="preserve"> </w:t>
      </w:r>
      <w:r>
        <w:rPr>
          <w:rFonts w:cs="Times New Roman"/>
          <w:sz w:val="24"/>
          <w:szCs w:val="24"/>
        </w:rPr>
        <w:t>(MAT</w:t>
      </w:r>
      <w:r w:rsidRPr="00421723">
        <w:rPr>
          <w:rFonts w:cs="Times New Roman"/>
          <w:sz w:val="24"/>
          <w:szCs w:val="24"/>
          <w:vertAlign w:val="subscript"/>
        </w:rPr>
        <w:t>i</w:t>
      </w:r>
      <w:r>
        <w:rPr>
          <w:rFonts w:cs="Times New Roman"/>
          <w:sz w:val="24"/>
          <w:szCs w:val="24"/>
        </w:rPr>
        <w:t>-MAT</w:t>
      </w:r>
      <w:r w:rsidRPr="00421723">
        <w:rPr>
          <w:rFonts w:cs="Times New Roman"/>
          <w:sz w:val="24"/>
          <w:szCs w:val="24"/>
          <w:vertAlign w:val="subscript"/>
        </w:rPr>
        <w:t>b</w:t>
      </w:r>
      <w:r>
        <w:rPr>
          <w:rFonts w:cs="Times New Roman"/>
          <w:sz w:val="24"/>
          <w:szCs w:val="24"/>
        </w:rPr>
        <w:t>)/(date</w:t>
      </w:r>
      <w:r w:rsidRPr="00421723">
        <w:rPr>
          <w:rFonts w:cs="Times New Roman"/>
          <w:sz w:val="24"/>
          <w:szCs w:val="24"/>
          <w:vertAlign w:val="subscript"/>
        </w:rPr>
        <w:t>i</w:t>
      </w:r>
      <w:r>
        <w:rPr>
          <w:rFonts w:cs="Times New Roman"/>
          <w:sz w:val="24"/>
          <w:szCs w:val="24"/>
        </w:rPr>
        <w:t>-date</w:t>
      </w:r>
      <w:r w:rsidRPr="00421723">
        <w:rPr>
          <w:rFonts w:cs="Times New Roman"/>
          <w:sz w:val="24"/>
          <w:szCs w:val="24"/>
          <w:vertAlign w:val="subscript"/>
        </w:rPr>
        <w:t>b</w:t>
      </w:r>
      <w:r>
        <w:rPr>
          <w:rFonts w:cs="Times New Roman"/>
          <w:sz w:val="24"/>
          <w:szCs w:val="24"/>
        </w:rPr>
        <w:t>),</w:t>
      </w:r>
      <w:r w:rsidRPr="00421723">
        <w:rPr>
          <w:rFonts w:cs="Times New Roman"/>
          <w:sz w:val="24"/>
          <w:szCs w:val="24"/>
        </w:rPr>
        <w:t xml:space="preserve"> </w:t>
      </w:r>
      <w:r w:rsidRPr="007209AA" w:rsidDel="00803567">
        <w:rPr>
          <w:rFonts w:cs="Times New Roman"/>
          <w:sz w:val="24"/>
          <w:szCs w:val="24"/>
        </w:rPr>
        <w:t xml:space="preserve">where </w:t>
      </w:r>
      <w:r w:rsidRPr="007209AA">
        <w:rPr>
          <w:rFonts w:cs="Times New Roman"/>
          <w:sz w:val="24"/>
          <w:szCs w:val="24"/>
        </w:rPr>
        <w:t>MAT</w:t>
      </w:r>
      <w:r w:rsidRPr="007209AA" w:rsidDel="00803567">
        <w:rPr>
          <w:rFonts w:cs="Times New Roman"/>
          <w:sz w:val="24"/>
          <w:szCs w:val="24"/>
          <w:vertAlign w:val="subscript"/>
        </w:rPr>
        <w:t>i</w:t>
      </w:r>
      <w:r w:rsidRPr="007209AA" w:rsidDel="00803567">
        <w:rPr>
          <w:rFonts w:cs="Times New Roman"/>
          <w:sz w:val="24"/>
          <w:szCs w:val="24"/>
        </w:rPr>
        <w:t xml:space="preserve"> is the </w:t>
      </w:r>
      <w:r w:rsidRPr="007209AA">
        <w:rPr>
          <w:rFonts w:cs="Times New Roman"/>
          <w:sz w:val="24"/>
          <w:szCs w:val="24"/>
        </w:rPr>
        <w:t>MAT</w:t>
      </w:r>
      <w:r w:rsidRPr="007209AA" w:rsidDel="00803567">
        <w:rPr>
          <w:rFonts w:cs="Times New Roman"/>
          <w:sz w:val="24"/>
          <w:szCs w:val="24"/>
        </w:rPr>
        <w:t xml:space="preserve"> over the focal census interval</w:t>
      </w:r>
      <w:r w:rsidRPr="007209AA">
        <w:rPr>
          <w:rFonts w:cs="Times New Roman"/>
          <w:sz w:val="24"/>
          <w:szCs w:val="24"/>
        </w:rPr>
        <w:t xml:space="preserve"> calculated using the procedure described above</w:t>
      </w:r>
      <w:r w:rsidRPr="007209AA" w:rsidDel="00803567">
        <w:rPr>
          <w:rFonts w:cs="Times New Roman"/>
          <w:sz w:val="24"/>
          <w:szCs w:val="24"/>
        </w:rPr>
        <w:t xml:space="preserve">, </w:t>
      </w:r>
      <w:r w:rsidRPr="007209AA">
        <w:rPr>
          <w:rFonts w:cs="Times New Roman"/>
          <w:sz w:val="24"/>
          <w:szCs w:val="24"/>
        </w:rPr>
        <w:t>MAT</w:t>
      </w:r>
      <w:r w:rsidRPr="007209AA" w:rsidDel="00803567">
        <w:rPr>
          <w:rFonts w:cs="Times New Roman"/>
          <w:sz w:val="24"/>
          <w:szCs w:val="24"/>
          <w:vertAlign w:val="subscript"/>
        </w:rPr>
        <w:t>b</w:t>
      </w:r>
      <w:r w:rsidRPr="007209AA" w:rsidDel="00803567">
        <w:rPr>
          <w:rFonts w:cs="Times New Roman"/>
          <w:sz w:val="24"/>
          <w:szCs w:val="24"/>
        </w:rPr>
        <w:t xml:space="preserve"> is the </w:t>
      </w:r>
      <w:r w:rsidRPr="007209AA">
        <w:rPr>
          <w:rFonts w:cs="Times New Roman"/>
          <w:sz w:val="24"/>
          <w:szCs w:val="24"/>
        </w:rPr>
        <w:t>MAT</w:t>
      </w:r>
      <w:r w:rsidRPr="007209AA" w:rsidDel="00803567">
        <w:rPr>
          <w:rFonts w:cs="Times New Roman"/>
          <w:sz w:val="24"/>
          <w:szCs w:val="24"/>
        </w:rPr>
        <w:t xml:space="preserve"> over a baseline period prior to t</w:t>
      </w:r>
      <w:r w:rsidRPr="007209AA">
        <w:rPr>
          <w:rFonts w:cs="Times New Roman"/>
          <w:sz w:val="24"/>
          <w:szCs w:val="24"/>
        </w:rPr>
        <w:t xml:space="preserve">he focal interval, </w:t>
      </w:r>
      <w:r w:rsidRPr="007209AA" w:rsidDel="00803567">
        <w:rPr>
          <w:rFonts w:cs="Times New Roman"/>
          <w:sz w:val="24"/>
          <w:szCs w:val="24"/>
        </w:rPr>
        <w:t>date</w:t>
      </w:r>
      <w:r w:rsidRPr="007209AA" w:rsidDel="00803567">
        <w:rPr>
          <w:rFonts w:cs="Times New Roman"/>
          <w:sz w:val="24"/>
          <w:szCs w:val="24"/>
          <w:vertAlign w:val="subscript"/>
        </w:rPr>
        <w:t>i</w:t>
      </w:r>
      <w:r w:rsidRPr="007209AA" w:rsidDel="00803567">
        <w:rPr>
          <w:rFonts w:cs="Times New Roman"/>
          <w:sz w:val="24"/>
          <w:szCs w:val="24"/>
        </w:rPr>
        <w:t xml:space="preserve"> is the mid-date of t</w:t>
      </w:r>
      <w:r w:rsidRPr="007209AA">
        <w:rPr>
          <w:rFonts w:cs="Times New Roman"/>
          <w:sz w:val="24"/>
          <w:szCs w:val="24"/>
        </w:rPr>
        <w:t xml:space="preserve">he focal census interval and </w:t>
      </w:r>
      <w:r w:rsidRPr="007209AA" w:rsidDel="00803567">
        <w:rPr>
          <w:rFonts w:cs="Times New Roman"/>
          <w:sz w:val="24"/>
          <w:szCs w:val="24"/>
        </w:rPr>
        <w:t>date</w:t>
      </w:r>
      <w:r w:rsidRPr="007209AA" w:rsidDel="00803567">
        <w:rPr>
          <w:rFonts w:cs="Times New Roman"/>
          <w:sz w:val="24"/>
          <w:szCs w:val="24"/>
          <w:vertAlign w:val="subscript"/>
        </w:rPr>
        <w:t>b</w:t>
      </w:r>
      <w:r w:rsidRPr="007209AA" w:rsidDel="00803567">
        <w:rPr>
          <w:rFonts w:cs="Times New Roman"/>
          <w:sz w:val="24"/>
          <w:szCs w:val="24"/>
        </w:rPr>
        <w:t xml:space="preserve"> is the mid-date of the baseline period. The lmer results show that </w:t>
      </w:r>
      <w:r>
        <w:rPr>
          <w:rFonts w:cs="Times New Roman"/>
          <w:sz w:val="24"/>
          <w:szCs w:val="24"/>
        </w:rPr>
        <w:t xml:space="preserve">the baseline period for </w:t>
      </w:r>
      <w:r w:rsidRPr="007209AA" w:rsidDel="00803567">
        <w:rPr>
          <w:rFonts w:cs="Times New Roman"/>
          <w:sz w:val="24"/>
          <w:szCs w:val="24"/>
        </w:rPr>
        <w:t>MAT-change</w:t>
      </w:r>
      <w:r>
        <w:rPr>
          <w:rFonts w:cs="Times New Roman"/>
          <w:sz w:val="24"/>
          <w:szCs w:val="24"/>
        </w:rPr>
        <w:t xml:space="preserve"> is 5 years and for </w:t>
      </w:r>
      <w:r w:rsidRPr="007209AA" w:rsidDel="00803567">
        <w:rPr>
          <w:rFonts w:cs="Times New Roman"/>
          <w:sz w:val="24"/>
          <w:szCs w:val="24"/>
        </w:rPr>
        <w:t>CO</w:t>
      </w:r>
      <w:r w:rsidRPr="007209AA" w:rsidDel="00803567">
        <w:rPr>
          <w:rFonts w:cs="Times New Roman"/>
          <w:sz w:val="24"/>
          <w:szCs w:val="24"/>
          <w:vertAlign w:val="subscript"/>
        </w:rPr>
        <w:t>2</w:t>
      </w:r>
      <w:r w:rsidRPr="007209AA" w:rsidDel="00803567">
        <w:rPr>
          <w:rFonts w:cs="Times New Roman"/>
          <w:sz w:val="24"/>
          <w:szCs w:val="24"/>
        </w:rPr>
        <w:t>-change</w:t>
      </w:r>
      <w:r>
        <w:rPr>
          <w:rFonts w:cs="Times New Roman"/>
          <w:sz w:val="24"/>
          <w:szCs w:val="24"/>
        </w:rPr>
        <w:t xml:space="preserve"> it is 56 years, while </w:t>
      </w:r>
      <w:r w:rsidRPr="007209AA" w:rsidDel="00803567">
        <w:rPr>
          <w:rFonts w:cs="Times New Roman"/>
          <w:sz w:val="24"/>
          <w:szCs w:val="24"/>
        </w:rPr>
        <w:t xml:space="preserve">MCWD showed no clear trend, so MCWD-change </w:t>
      </w:r>
      <w:r w:rsidRPr="007209AA">
        <w:rPr>
          <w:rFonts w:cs="Times New Roman"/>
          <w:sz w:val="24"/>
          <w:szCs w:val="24"/>
        </w:rPr>
        <w:t>was not included in the models</w:t>
      </w:r>
      <w:r>
        <w:rPr>
          <w:rFonts w:cs="Times New Roman"/>
          <w:sz w:val="24"/>
          <w:szCs w:val="24"/>
        </w:rPr>
        <w:t xml:space="preserve"> (see Extended Data Figure 3)</w:t>
      </w:r>
      <w:r w:rsidRPr="007209AA">
        <w:rPr>
          <w:rFonts w:cs="Times New Roman"/>
          <w:sz w:val="24"/>
          <w:szCs w:val="24"/>
        </w:rPr>
        <w:t>.</w:t>
      </w:r>
      <w:r w:rsidRPr="007209AA" w:rsidDel="00803567">
        <w:rPr>
          <w:rFonts w:cs="Times New Roman"/>
          <w:sz w:val="24"/>
          <w:szCs w:val="24"/>
        </w:rPr>
        <w:t xml:space="preserve"> </w:t>
      </w:r>
      <w:r w:rsidRPr="007209AA">
        <w:rPr>
          <w:rFonts w:cs="Times New Roman"/>
          <w:sz w:val="24"/>
          <w:szCs w:val="24"/>
        </w:rPr>
        <w:t>All three results conform</w:t>
      </w:r>
      <w:r w:rsidRPr="007209AA" w:rsidDel="00803567">
        <w:rPr>
          <w:rFonts w:cs="Times New Roman"/>
          <w:sz w:val="24"/>
          <w:szCs w:val="24"/>
        </w:rPr>
        <w:t xml:space="preserve"> to </w:t>
      </w:r>
      <w:r w:rsidRPr="007209AA" w:rsidDel="00803567">
        <w:rPr>
          <w:rFonts w:cs="Times New Roman"/>
          <w:i/>
          <w:sz w:val="24"/>
          <w:szCs w:val="24"/>
        </w:rPr>
        <w:t>a priori</w:t>
      </w:r>
      <w:r w:rsidRPr="007209AA" w:rsidDel="00803567">
        <w:rPr>
          <w:rFonts w:cs="Times New Roman"/>
          <w:sz w:val="24"/>
          <w:szCs w:val="24"/>
        </w:rPr>
        <w:t xml:space="preserve"> </w:t>
      </w:r>
      <w:r w:rsidRPr="007209AA">
        <w:rPr>
          <w:rFonts w:cs="Times New Roman"/>
          <w:sz w:val="24"/>
          <w:szCs w:val="24"/>
        </w:rPr>
        <w:t>theoretical expectations</w:t>
      </w:r>
      <w:r>
        <w:rPr>
          <w:rFonts w:cs="Times New Roman"/>
          <w:sz w:val="24"/>
          <w:szCs w:val="24"/>
        </w:rPr>
        <w:t xml:space="preserve">. </w:t>
      </w:r>
      <w:r w:rsidRPr="00B23FBB">
        <w:rPr>
          <w:noProof/>
          <w:sz w:val="24"/>
          <w:szCs w:val="24"/>
        </w:rPr>
        <w:t>For CO</w:t>
      </w:r>
      <w:r w:rsidRPr="00B23FBB">
        <w:rPr>
          <w:noProof/>
          <w:sz w:val="24"/>
          <w:szCs w:val="24"/>
          <w:vertAlign w:val="subscript"/>
        </w:rPr>
        <w:t>2</w:t>
      </w:r>
      <w:r w:rsidRPr="00B23FBB">
        <w:rPr>
          <w:noProof/>
          <w:sz w:val="24"/>
          <w:szCs w:val="24"/>
        </w:rPr>
        <w:t xml:space="preserve"> </w:t>
      </w:r>
      <w:r>
        <w:rPr>
          <w:noProof/>
          <w:sz w:val="24"/>
          <w:szCs w:val="24"/>
        </w:rPr>
        <w:t xml:space="preserve">a </w:t>
      </w:r>
      <w:r>
        <w:rPr>
          <w:noProof/>
          <w:sz w:val="24"/>
          <w:szCs w:val="24"/>
        </w:rPr>
        <w:lastRenderedPageBreak/>
        <w:t xml:space="preserve">maximum response to an integrated 56 years of change is expected </w:t>
      </w:r>
      <w:r w:rsidRPr="00B23FBB">
        <w:rPr>
          <w:noProof/>
          <w:sz w:val="24"/>
          <w:szCs w:val="24"/>
        </w:rPr>
        <w:t>because forest stands will respond most strongly to CO</w:t>
      </w:r>
      <w:r w:rsidRPr="00B23FBB">
        <w:rPr>
          <w:noProof/>
          <w:sz w:val="24"/>
          <w:szCs w:val="24"/>
          <w:vertAlign w:val="subscript"/>
        </w:rPr>
        <w:t>2</w:t>
      </w:r>
      <w:r w:rsidRPr="00B23FBB">
        <w:rPr>
          <w:noProof/>
          <w:sz w:val="24"/>
          <w:szCs w:val="24"/>
        </w:rPr>
        <w:t xml:space="preserve"> when most individuals have grown under the new rapidly changing condit</w:t>
      </w:r>
      <w:r>
        <w:rPr>
          <w:noProof/>
          <w:sz w:val="24"/>
          <w:szCs w:val="24"/>
        </w:rPr>
        <w:t>i</w:t>
      </w:r>
      <w:r w:rsidRPr="00B23FBB">
        <w:rPr>
          <w:noProof/>
          <w:sz w:val="24"/>
          <w:szCs w:val="24"/>
        </w:rPr>
        <w:t>on, which should be at its maximum at a time approximately equivalent to the carbon residence time of a forest stand</w:t>
      </w:r>
      <w:r w:rsidRPr="00EB02F2">
        <w:rPr>
          <w:rFonts w:cs="Times New Roman"/>
          <w:noProof/>
          <w:sz w:val="24"/>
          <w:szCs w:val="24"/>
          <w:vertAlign w:val="superscript"/>
        </w:rPr>
        <w:t>30,90</w:t>
      </w:r>
      <w:r>
        <w:rPr>
          <w:noProof/>
          <w:sz w:val="24"/>
          <w:szCs w:val="24"/>
        </w:rPr>
        <w:t xml:space="preserve"> (</w:t>
      </w:r>
      <w:r w:rsidRPr="00B23FBB">
        <w:rPr>
          <w:noProof/>
          <w:sz w:val="24"/>
          <w:szCs w:val="24"/>
        </w:rPr>
        <w:t xml:space="preserve">mean of 62 </w:t>
      </w:r>
      <w:r>
        <w:rPr>
          <w:noProof/>
          <w:sz w:val="24"/>
          <w:szCs w:val="24"/>
        </w:rPr>
        <w:t xml:space="preserve">years in this dataset). For MAT, 5 years </w:t>
      </w:r>
      <w:r w:rsidRPr="00B23FBB">
        <w:rPr>
          <w:noProof/>
          <w:sz w:val="24"/>
          <w:szCs w:val="24"/>
        </w:rPr>
        <w:t xml:space="preserve">is consistent with </w:t>
      </w:r>
      <w:r w:rsidRPr="00B23FBB">
        <w:rPr>
          <w:rFonts w:cs="Times New Roman"/>
          <w:sz w:val="24"/>
          <w:szCs w:val="24"/>
        </w:rPr>
        <w:t xml:space="preserve">experiments showing temperature </w:t>
      </w:r>
      <w:r w:rsidRPr="00B23FBB" w:rsidDel="002952FC">
        <w:rPr>
          <w:rFonts w:cs="Times New Roman"/>
          <w:sz w:val="24"/>
          <w:szCs w:val="24"/>
        </w:rPr>
        <w:t>acclimation</w:t>
      </w:r>
      <w:r w:rsidRPr="00B23FBB">
        <w:rPr>
          <w:rFonts w:cs="Times New Roman"/>
          <w:sz w:val="24"/>
          <w:szCs w:val="24"/>
        </w:rPr>
        <w:t xml:space="preserve"> of </w:t>
      </w:r>
      <w:r w:rsidRPr="00B23FBB">
        <w:rPr>
          <w:sz w:val="24"/>
          <w:szCs w:val="24"/>
        </w:rPr>
        <w:t>leaf- and plant-level photosynthetic and respiration processes</w:t>
      </w:r>
      <w:r w:rsidRPr="00B23FBB">
        <w:rPr>
          <w:rFonts w:cs="Times New Roman"/>
          <w:sz w:val="24"/>
          <w:szCs w:val="24"/>
        </w:rPr>
        <w:t xml:space="preserve"> over half-decadal timescales</w:t>
      </w:r>
      <w:r w:rsidRPr="00EB02F2">
        <w:rPr>
          <w:rFonts w:cs="Times New Roman"/>
          <w:noProof/>
          <w:sz w:val="24"/>
          <w:szCs w:val="24"/>
          <w:vertAlign w:val="superscript"/>
        </w:rPr>
        <w:t>31,91</w:t>
      </w:r>
      <w:r w:rsidRPr="00B23FBB">
        <w:rPr>
          <w:rFonts w:cs="Times New Roman"/>
          <w:sz w:val="24"/>
          <w:szCs w:val="24"/>
        </w:rPr>
        <w:t xml:space="preserve">. </w:t>
      </w:r>
      <w:r w:rsidRPr="00B23FBB">
        <w:rPr>
          <w:noProof/>
          <w:sz w:val="24"/>
          <w:szCs w:val="24"/>
        </w:rPr>
        <w:t xml:space="preserve">MCWD has no overall trend </w:t>
      </w:r>
      <w:r>
        <w:rPr>
          <w:noProof/>
          <w:sz w:val="24"/>
          <w:szCs w:val="24"/>
        </w:rPr>
        <w:t>suggesting that</w:t>
      </w:r>
      <w:r w:rsidRPr="00B23FBB">
        <w:rPr>
          <w:noProof/>
          <w:sz w:val="24"/>
          <w:szCs w:val="24"/>
        </w:rPr>
        <w:t xml:space="preserve"> </w:t>
      </w:r>
      <w:r w:rsidRPr="00B23FBB">
        <w:rPr>
          <w:rFonts w:cs="Times New Roman"/>
          <w:sz w:val="24"/>
          <w:szCs w:val="24"/>
        </w:rPr>
        <w:t>once a drought ends, its impact on tree growth fades rapidly</w:t>
      </w:r>
      <w:r>
        <w:rPr>
          <w:rFonts w:cs="Times New Roman"/>
          <w:sz w:val="24"/>
          <w:szCs w:val="24"/>
        </w:rPr>
        <w:t>, as seen in other studies</w:t>
      </w:r>
      <w:r w:rsidRPr="005A2EB8">
        <w:rPr>
          <w:rFonts w:cs="Times New Roman"/>
          <w:noProof/>
          <w:sz w:val="24"/>
          <w:szCs w:val="24"/>
          <w:vertAlign w:val="superscript"/>
        </w:rPr>
        <w:t>14</w:t>
      </w:r>
      <w:r w:rsidRPr="00B23FBB">
        <w:rPr>
          <w:rFonts w:cs="Times New Roman"/>
          <w:sz w:val="24"/>
          <w:szCs w:val="24"/>
          <w:vertAlign w:val="superscript"/>
        </w:rPr>
        <w:t>,</w:t>
      </w:r>
      <w:r w:rsidRPr="00EB02F2">
        <w:rPr>
          <w:rFonts w:cs="Times New Roman"/>
          <w:noProof/>
          <w:sz w:val="24"/>
          <w:szCs w:val="24"/>
          <w:vertAlign w:val="superscript"/>
        </w:rPr>
        <w:t>92</w:t>
      </w:r>
      <w:r>
        <w:rPr>
          <w:rFonts w:cs="Times New Roman"/>
          <w:sz w:val="24"/>
          <w:szCs w:val="24"/>
        </w:rPr>
        <w:t xml:space="preserve">. Also in the moist tropics wet-season rainfall is expected to re-charge soil water, </w:t>
      </w:r>
      <w:r w:rsidRPr="00B23FBB">
        <w:rPr>
          <w:rFonts w:cs="Times New Roman"/>
          <w:sz w:val="24"/>
          <w:szCs w:val="24"/>
        </w:rPr>
        <w:t>hence lagged impacts of droughts are not expected.</w:t>
      </w:r>
      <w:r w:rsidRPr="007209AA" w:rsidDel="00803567">
        <w:rPr>
          <w:rFonts w:cs="Times New Roman"/>
          <w:sz w:val="24"/>
          <w:szCs w:val="24"/>
        </w:rPr>
        <w:t xml:space="preserve"> </w:t>
      </w:r>
    </w:p>
    <w:p w:rsidR="00B43E3C" w:rsidRPr="007209AA" w:rsidDel="00803567" w:rsidRDefault="00B43E3C" w:rsidP="00726F1B">
      <w:pPr>
        <w:rPr>
          <w:rFonts w:cs="Times New Roman"/>
          <w:sz w:val="24"/>
          <w:szCs w:val="24"/>
        </w:rPr>
      </w:pPr>
    </w:p>
    <w:p w:rsidR="00B43E3C" w:rsidRPr="007209AA" w:rsidRDefault="00B43E3C" w:rsidP="00726F1B">
      <w:pPr>
        <w:rPr>
          <w:rFonts w:cs="Times New Roman"/>
          <w:sz w:val="24"/>
          <w:szCs w:val="24"/>
        </w:rPr>
      </w:pPr>
      <w:r w:rsidRPr="007209AA">
        <w:rPr>
          <w:rFonts w:cs="Times New Roman"/>
          <w:sz w:val="24"/>
          <w:szCs w:val="24"/>
        </w:rPr>
        <w:t xml:space="preserve">We calculated </w:t>
      </w:r>
      <w:r>
        <w:rPr>
          <w:rFonts w:cs="Times New Roman"/>
          <w:sz w:val="24"/>
          <w:szCs w:val="24"/>
        </w:rPr>
        <w:t xml:space="preserve">estimates of </w:t>
      </w:r>
      <w:r w:rsidRPr="007209AA">
        <w:rPr>
          <w:rFonts w:cs="Times New Roman"/>
          <w:sz w:val="24"/>
          <w:szCs w:val="24"/>
        </w:rPr>
        <w:t>two forest attributes that may alter responses to environmental change as potential predictor variables: Wood Density (WD) and Carbon Residence Time (CRT). In intact old-growth forests, mean WD (in g cm</w:t>
      </w:r>
      <w:r w:rsidRPr="007209AA">
        <w:rPr>
          <w:rFonts w:cs="Times New Roman"/>
          <w:sz w:val="24"/>
          <w:szCs w:val="24"/>
          <w:vertAlign w:val="superscript"/>
        </w:rPr>
        <w:t>-3</w:t>
      </w:r>
      <w:r w:rsidRPr="007209AA">
        <w:rPr>
          <w:rFonts w:cs="Times New Roman"/>
          <w:sz w:val="24"/>
          <w:szCs w:val="24"/>
        </w:rPr>
        <w:t>) is inversely related to resource availability</w:t>
      </w:r>
      <w:r w:rsidRPr="00EB02F2">
        <w:rPr>
          <w:rFonts w:cs="Times New Roman"/>
          <w:noProof/>
          <w:sz w:val="24"/>
          <w:szCs w:val="24"/>
          <w:vertAlign w:val="superscript"/>
        </w:rPr>
        <w:t>28,93</w:t>
      </w:r>
      <w:r w:rsidRPr="007209AA">
        <w:rPr>
          <w:rFonts w:cs="Times New Roman"/>
          <w:sz w:val="24"/>
          <w:szCs w:val="24"/>
          <w:vertAlign w:val="superscript"/>
        </w:rPr>
        <w:t>,</w:t>
      </w:r>
      <w:r w:rsidRPr="00EB02F2">
        <w:rPr>
          <w:rFonts w:cs="Times New Roman"/>
          <w:noProof/>
          <w:sz w:val="24"/>
          <w:szCs w:val="24"/>
          <w:vertAlign w:val="superscript"/>
        </w:rPr>
        <w:t>94</w:t>
      </w:r>
      <w:r w:rsidRPr="007209AA">
        <w:rPr>
          <w:rFonts w:cs="Times New Roman"/>
          <w:sz w:val="24"/>
          <w:szCs w:val="24"/>
        </w:rPr>
        <w:t>, as is seen in our dataset (carbon gains and plot-level mean WD are negatively correlated, Extended Data Figure 4). WD is calculated for each census</w:t>
      </w:r>
      <w:r>
        <w:rPr>
          <w:rFonts w:cs="Times New Roman"/>
          <w:sz w:val="24"/>
          <w:szCs w:val="24"/>
        </w:rPr>
        <w:t xml:space="preserve"> interval</w:t>
      </w:r>
      <w:r w:rsidRPr="007209AA">
        <w:rPr>
          <w:rFonts w:cs="Times New Roman"/>
          <w:sz w:val="24"/>
          <w:szCs w:val="24"/>
        </w:rPr>
        <w:t xml:space="preserve"> in the dataset, as the mean WD of all trees alive at the end of the census</w:t>
      </w:r>
      <w:r>
        <w:rPr>
          <w:rFonts w:cs="Times New Roman"/>
          <w:sz w:val="24"/>
          <w:szCs w:val="24"/>
        </w:rPr>
        <w:t xml:space="preserve"> interval, to be consistent with the </w:t>
      </w:r>
      <w:r w:rsidRPr="003C0FD1">
        <w:rPr>
          <w:rFonts w:cs="Times New Roman"/>
          <w:sz w:val="24"/>
          <w:szCs w:val="24"/>
        </w:rPr>
        <w:t>previous A</w:t>
      </w:r>
      <w:r>
        <w:rPr>
          <w:rFonts w:cs="Times New Roman"/>
          <w:sz w:val="24"/>
          <w:szCs w:val="24"/>
        </w:rPr>
        <w:t>mazon analysis</w:t>
      </w:r>
      <w:r w:rsidRPr="00D172EE">
        <w:rPr>
          <w:rFonts w:cs="Times New Roman"/>
          <w:noProof/>
          <w:sz w:val="24"/>
          <w:szCs w:val="24"/>
          <w:vertAlign w:val="superscript"/>
        </w:rPr>
        <w:t>6</w:t>
      </w:r>
      <w:r>
        <w:rPr>
          <w:rFonts w:cs="Times New Roman"/>
          <w:sz w:val="24"/>
          <w:szCs w:val="24"/>
        </w:rPr>
        <w:t xml:space="preserve">. </w:t>
      </w:r>
      <w:r w:rsidRPr="007209AA">
        <w:rPr>
          <w:rFonts w:cs="Times New Roman"/>
          <w:sz w:val="24"/>
          <w:szCs w:val="24"/>
        </w:rPr>
        <w:t>Carbon residence time (CRT, in yrs) is a measure of the time that fixed carbon stays in the system. CRT is a potential correlate of the impact of past carbon gains on later carbon losses</w:t>
      </w:r>
      <w:r w:rsidRPr="00EB02F2">
        <w:rPr>
          <w:rFonts w:cs="Times New Roman"/>
          <w:noProof/>
          <w:sz w:val="24"/>
          <w:szCs w:val="24"/>
          <w:vertAlign w:val="superscript"/>
        </w:rPr>
        <w:t>30</w:t>
      </w:r>
      <w:r w:rsidRPr="007209AA">
        <w:rPr>
          <w:rFonts w:cs="Times New Roman"/>
          <w:sz w:val="24"/>
          <w:szCs w:val="24"/>
        </w:rPr>
        <w:t xml:space="preserve">. </w:t>
      </w:r>
      <w:r w:rsidRPr="007209AA">
        <w:rPr>
          <w:rFonts w:eastAsia="Times New Roman" w:cs="Times New Roman"/>
          <w:sz w:val="24"/>
          <w:szCs w:val="24"/>
          <w:lang w:eastAsia="nl-BE"/>
        </w:rPr>
        <w:t>To avoid circularity in the models, the equation used to calculate CRT differed depending on the response variable.</w:t>
      </w:r>
      <w:r w:rsidRPr="007209AA">
        <w:rPr>
          <w:rFonts w:cs="Times New Roman"/>
          <w:sz w:val="24"/>
          <w:szCs w:val="24"/>
        </w:rPr>
        <w:t xml:space="preserve"> If</w:t>
      </w:r>
      <w:r w:rsidRPr="007209AA">
        <w:rPr>
          <w:rFonts w:eastAsia="Times New Roman" w:cs="Times New Roman"/>
          <w:sz w:val="24"/>
          <w:szCs w:val="24"/>
          <w:lang w:eastAsia="nl-BE"/>
        </w:rPr>
        <w:t xml:space="preserve"> the response variable is carbon loss,</w:t>
      </w:r>
      <w:r w:rsidRPr="007209AA">
        <w:rPr>
          <w:rFonts w:cs="Times New Roman"/>
          <w:sz w:val="24"/>
          <w:szCs w:val="24"/>
        </w:rPr>
        <w:t xml:space="preserve"> the CRT equation </w:t>
      </w:r>
      <w:r w:rsidRPr="007209AA">
        <w:rPr>
          <w:rFonts w:eastAsia="Times New Roman" w:cs="Times New Roman"/>
          <w:sz w:val="24"/>
          <w:szCs w:val="24"/>
          <w:lang w:eastAsia="nl-BE"/>
        </w:rPr>
        <w:t xml:space="preserve">is based on gains: </w:t>
      </w:r>
      <w:r w:rsidRPr="004C751C">
        <w:rPr>
          <w:rFonts w:eastAsia="Times New Roman" w:cs="Times New Roman"/>
          <w:sz w:val="24"/>
          <w:szCs w:val="24"/>
          <w:lang w:eastAsia="nl-BE"/>
        </w:rPr>
        <w:t xml:space="preserve">CRT=AGC/gains, </w:t>
      </w:r>
      <w:r w:rsidRPr="007209AA">
        <w:rPr>
          <w:rFonts w:eastAsia="Times New Roman" w:cs="Times New Roman"/>
          <w:sz w:val="24"/>
          <w:szCs w:val="24"/>
          <w:lang w:eastAsia="nl-BE"/>
        </w:rPr>
        <w:t>with AGC for each interval based on AGC at the end of the interval, and the gains for each interval calculated as the mean of the gains in the interval and the previous intervals (i.e. long-term gains). If the response variable is carbon gain</w:t>
      </w:r>
      <w:r>
        <w:rPr>
          <w:rFonts w:eastAsia="Times New Roman" w:cs="Times New Roman"/>
          <w:sz w:val="24"/>
          <w:szCs w:val="24"/>
          <w:lang w:eastAsia="nl-BE"/>
        </w:rPr>
        <w:t>s</w:t>
      </w:r>
      <w:r w:rsidRPr="007209AA">
        <w:rPr>
          <w:rFonts w:eastAsia="Times New Roman" w:cs="Times New Roman"/>
          <w:sz w:val="24"/>
          <w:szCs w:val="24"/>
          <w:lang w:eastAsia="nl-BE"/>
        </w:rPr>
        <w:t xml:space="preserve">, the CRT equation is based on losses: </w:t>
      </w:r>
      <w:r>
        <w:rPr>
          <w:rFonts w:eastAsia="Times New Roman" w:cs="Times New Roman"/>
          <w:sz w:val="24"/>
          <w:szCs w:val="24"/>
          <w:lang w:eastAsia="nl-BE"/>
        </w:rPr>
        <w:t xml:space="preserve">CRT=AGC/losses. </w:t>
      </w:r>
      <w:r w:rsidRPr="007209AA" w:rsidDel="00944E42">
        <w:rPr>
          <w:rFonts w:eastAsia="Times New Roman" w:cs="Times New Roman"/>
          <w:sz w:val="24"/>
          <w:szCs w:val="24"/>
          <w:lang w:eastAsia="nl-BE"/>
        </w:rPr>
        <w:t xml:space="preserve">The </w:t>
      </w:r>
      <w:r w:rsidRPr="007209AA">
        <w:rPr>
          <w:rFonts w:eastAsia="Times New Roman" w:cs="Times New Roman"/>
          <w:sz w:val="24"/>
          <w:szCs w:val="24"/>
          <w:lang w:eastAsia="nl-BE"/>
        </w:rPr>
        <w:t>equation employed for</w:t>
      </w:r>
      <w:r w:rsidRPr="007209AA" w:rsidDel="00944E42">
        <w:rPr>
          <w:rFonts w:eastAsia="Times New Roman" w:cs="Times New Roman"/>
          <w:sz w:val="24"/>
          <w:szCs w:val="24"/>
          <w:lang w:eastAsia="nl-BE"/>
        </w:rPr>
        <w:t xml:space="preserve"> </w:t>
      </w:r>
      <w:r w:rsidRPr="007209AA">
        <w:rPr>
          <w:rFonts w:eastAsia="Times New Roman" w:cs="Times New Roman"/>
          <w:sz w:val="24"/>
          <w:szCs w:val="24"/>
          <w:lang w:eastAsia="nl-BE"/>
        </w:rPr>
        <w:t xml:space="preserve">use in the </w:t>
      </w:r>
      <w:r w:rsidRPr="007209AA" w:rsidDel="00944E42">
        <w:rPr>
          <w:rFonts w:eastAsia="Times New Roman" w:cs="Times New Roman"/>
          <w:sz w:val="24"/>
          <w:szCs w:val="24"/>
          <w:lang w:eastAsia="nl-BE"/>
        </w:rPr>
        <w:t xml:space="preserve">carbon </w:t>
      </w:r>
      <w:r w:rsidRPr="007209AA">
        <w:rPr>
          <w:rFonts w:eastAsia="Times New Roman" w:cs="Times New Roman"/>
          <w:sz w:val="24"/>
          <w:szCs w:val="24"/>
          <w:lang w:eastAsia="nl-BE"/>
        </w:rPr>
        <w:t>loss</w:t>
      </w:r>
      <w:r w:rsidRPr="007209AA" w:rsidDel="00944E42">
        <w:rPr>
          <w:rFonts w:eastAsia="Times New Roman" w:cs="Times New Roman"/>
          <w:sz w:val="24"/>
          <w:szCs w:val="24"/>
          <w:lang w:eastAsia="nl-BE"/>
        </w:rPr>
        <w:t xml:space="preserve"> </w:t>
      </w:r>
      <w:r w:rsidRPr="007209AA">
        <w:rPr>
          <w:rFonts w:eastAsia="Times New Roman" w:cs="Times New Roman"/>
          <w:sz w:val="24"/>
          <w:szCs w:val="24"/>
          <w:lang w:eastAsia="nl-BE"/>
        </w:rPr>
        <w:t xml:space="preserve">model (based on gains) is </w:t>
      </w:r>
      <w:r w:rsidRPr="007209AA" w:rsidDel="00944E42">
        <w:rPr>
          <w:rFonts w:eastAsia="Times New Roman" w:cs="Times New Roman"/>
          <w:sz w:val="24"/>
          <w:szCs w:val="24"/>
          <w:lang w:eastAsia="nl-BE"/>
        </w:rPr>
        <w:t>the standard formula</w:t>
      </w:r>
      <w:r w:rsidRPr="007209AA">
        <w:rPr>
          <w:rFonts w:eastAsia="Times New Roman" w:cs="Times New Roman"/>
          <w:sz w:val="24"/>
          <w:szCs w:val="24"/>
          <w:lang w:eastAsia="nl-BE"/>
        </w:rPr>
        <w:t xml:space="preserve"> used to calculate CRT and is retained in the </w:t>
      </w:r>
      <w:r w:rsidRPr="007209AA">
        <w:rPr>
          <w:rFonts w:cs="Times New Roman"/>
          <w:sz w:val="24"/>
          <w:szCs w:val="24"/>
        </w:rPr>
        <w:t xml:space="preserve">minimum adequate </w:t>
      </w:r>
      <w:r w:rsidRPr="007209AA">
        <w:rPr>
          <w:rFonts w:eastAsia="Times New Roman" w:cs="Times New Roman"/>
          <w:sz w:val="24"/>
          <w:szCs w:val="24"/>
          <w:lang w:eastAsia="nl-BE"/>
        </w:rPr>
        <w:t>model (see below and Table 2). The non-</w:t>
      </w:r>
      <w:r w:rsidRPr="007209AA">
        <w:rPr>
          <w:rFonts w:eastAsia="Times New Roman" w:cs="Times New Roman"/>
          <w:sz w:val="24"/>
          <w:szCs w:val="24"/>
          <w:lang w:eastAsia="nl-BE"/>
        </w:rPr>
        <w:lastRenderedPageBreak/>
        <w:t xml:space="preserve">standard CRT equation (based on </w:t>
      </w:r>
      <w:r>
        <w:rPr>
          <w:rFonts w:eastAsia="Times New Roman" w:cs="Times New Roman"/>
          <w:sz w:val="24"/>
          <w:szCs w:val="24"/>
          <w:lang w:eastAsia="nl-BE"/>
        </w:rPr>
        <w:t>losses</w:t>
      </w:r>
      <w:r w:rsidRPr="007209AA">
        <w:rPr>
          <w:rFonts w:eastAsia="Times New Roman" w:cs="Times New Roman"/>
          <w:sz w:val="24"/>
          <w:szCs w:val="24"/>
          <w:lang w:eastAsia="nl-BE"/>
        </w:rPr>
        <w:t xml:space="preserve">) used in the carbon gain model is not retained in the </w:t>
      </w:r>
      <w:r w:rsidRPr="007209AA">
        <w:rPr>
          <w:rFonts w:cs="Times New Roman"/>
          <w:sz w:val="24"/>
          <w:szCs w:val="24"/>
        </w:rPr>
        <w:t xml:space="preserve">minimum adequate </w:t>
      </w:r>
      <w:r w:rsidRPr="007209AA">
        <w:rPr>
          <w:rFonts w:eastAsia="Times New Roman" w:cs="Times New Roman"/>
          <w:sz w:val="24"/>
          <w:szCs w:val="24"/>
          <w:lang w:eastAsia="nl-BE"/>
        </w:rPr>
        <w:t xml:space="preserve">model (see below). </w:t>
      </w:r>
    </w:p>
    <w:p w:rsidR="00B43E3C" w:rsidRPr="00B23FBB" w:rsidRDefault="00B43E3C" w:rsidP="00726F1B">
      <w:pPr>
        <w:rPr>
          <w:rFonts w:cs="Times New Roman"/>
          <w:sz w:val="24"/>
          <w:szCs w:val="24"/>
        </w:rPr>
      </w:pPr>
    </w:p>
    <w:p w:rsidR="00B43E3C" w:rsidRPr="00B23FBB" w:rsidRDefault="00B43E3C" w:rsidP="00726F1B">
      <w:pPr>
        <w:pStyle w:val="Heading2"/>
        <w:rPr>
          <w:rFonts w:cs="Times New Roman"/>
          <w:szCs w:val="24"/>
        </w:rPr>
      </w:pPr>
      <w:r>
        <w:rPr>
          <w:rFonts w:cs="Times New Roman"/>
          <w:szCs w:val="24"/>
        </w:rPr>
        <w:t>Statistical modelling of the Carbon Gain, Loss and Sink Trends</w:t>
      </w:r>
    </w:p>
    <w:p w:rsidR="00B43E3C" w:rsidRPr="007209AA" w:rsidRDefault="00B43E3C" w:rsidP="00726F1B">
      <w:pPr>
        <w:rPr>
          <w:rFonts w:cs="Times New Roman"/>
          <w:sz w:val="24"/>
          <w:szCs w:val="24"/>
        </w:rPr>
      </w:pPr>
      <w:r w:rsidRPr="007209AA">
        <w:rPr>
          <w:rFonts w:cs="Times New Roman"/>
          <w:sz w:val="24"/>
          <w:szCs w:val="24"/>
        </w:rPr>
        <w:t>We first construct</w:t>
      </w:r>
      <w:r>
        <w:rPr>
          <w:rFonts w:cs="Times New Roman"/>
          <w:sz w:val="24"/>
          <w:szCs w:val="24"/>
        </w:rPr>
        <w:t>ed</w:t>
      </w:r>
      <w:r w:rsidRPr="007209AA">
        <w:rPr>
          <w:rFonts w:cs="Times New Roman"/>
          <w:sz w:val="24"/>
          <w:szCs w:val="24"/>
        </w:rPr>
        <w:t xml:space="preserve"> two models</w:t>
      </w:r>
      <w:r>
        <w:rPr>
          <w:rFonts w:cs="Times New Roman"/>
          <w:sz w:val="24"/>
          <w:szCs w:val="24"/>
        </w:rPr>
        <w:t xml:space="preserve"> including those environmental drivers exhibiting long-term change that impact theory-driven models of photosynthesis and respiration as predictor variables: </w:t>
      </w:r>
      <w:r w:rsidRPr="007209AA">
        <w:rPr>
          <w:rFonts w:cs="Times New Roman"/>
          <w:sz w:val="24"/>
          <w:szCs w:val="24"/>
        </w:rPr>
        <w:t>CO</w:t>
      </w:r>
      <w:r w:rsidRPr="007209AA">
        <w:rPr>
          <w:rFonts w:cs="Times New Roman"/>
          <w:sz w:val="24"/>
          <w:szCs w:val="24"/>
          <w:vertAlign w:val="subscript"/>
        </w:rPr>
        <w:t>2</w:t>
      </w:r>
      <w:r w:rsidRPr="007209AA">
        <w:rPr>
          <w:rFonts w:cs="Times New Roman"/>
          <w:sz w:val="24"/>
          <w:szCs w:val="24"/>
        </w:rPr>
        <w:t xml:space="preserve">, </w:t>
      </w:r>
      <w:r>
        <w:rPr>
          <w:rFonts w:cs="Times New Roman"/>
          <w:sz w:val="24"/>
          <w:szCs w:val="24"/>
        </w:rPr>
        <w:t>MAT</w:t>
      </w:r>
      <w:r w:rsidRPr="007209AA">
        <w:rPr>
          <w:rFonts w:cs="Times New Roman"/>
          <w:sz w:val="24"/>
          <w:szCs w:val="24"/>
        </w:rPr>
        <w:t xml:space="preserve">, and </w:t>
      </w:r>
      <w:r>
        <w:rPr>
          <w:rFonts w:cs="Times New Roman"/>
          <w:sz w:val="24"/>
          <w:szCs w:val="24"/>
        </w:rPr>
        <w:t>MCWD. O</w:t>
      </w:r>
      <w:r w:rsidRPr="007209AA">
        <w:rPr>
          <w:rFonts w:cs="Times New Roman"/>
          <w:sz w:val="24"/>
          <w:szCs w:val="24"/>
        </w:rPr>
        <w:t>ne model ha</w:t>
      </w:r>
      <w:r>
        <w:rPr>
          <w:rFonts w:cs="Times New Roman"/>
          <w:sz w:val="24"/>
          <w:szCs w:val="24"/>
        </w:rPr>
        <w:t>d</w:t>
      </w:r>
      <w:r w:rsidRPr="007209AA">
        <w:rPr>
          <w:rFonts w:cs="Times New Roman"/>
          <w:sz w:val="24"/>
          <w:szCs w:val="24"/>
        </w:rPr>
        <w:t xml:space="preserve"> carbon gains as the response variable, the other ha</w:t>
      </w:r>
      <w:r>
        <w:rPr>
          <w:rFonts w:cs="Times New Roman"/>
          <w:sz w:val="24"/>
          <w:szCs w:val="24"/>
        </w:rPr>
        <w:t>d</w:t>
      </w:r>
      <w:r w:rsidRPr="007209AA">
        <w:rPr>
          <w:rFonts w:cs="Times New Roman"/>
          <w:sz w:val="24"/>
          <w:szCs w:val="24"/>
        </w:rPr>
        <w:t xml:space="preserve"> carbon losses as the response variable (both in Mg C ha</w:t>
      </w:r>
      <w:r w:rsidRPr="007209AA">
        <w:rPr>
          <w:rFonts w:cs="Times New Roman"/>
          <w:sz w:val="24"/>
          <w:szCs w:val="24"/>
          <w:vertAlign w:val="superscript"/>
        </w:rPr>
        <w:t>-1</w:t>
      </w:r>
      <w:r w:rsidRPr="007209AA">
        <w:rPr>
          <w:rFonts w:cs="Times New Roman"/>
          <w:sz w:val="24"/>
          <w:szCs w:val="24"/>
        </w:rPr>
        <w:t xml:space="preserve"> yr</w:t>
      </w:r>
      <w:r w:rsidRPr="007209AA">
        <w:rPr>
          <w:rFonts w:cs="Times New Roman"/>
          <w:sz w:val="24"/>
          <w:szCs w:val="24"/>
          <w:vertAlign w:val="superscript"/>
        </w:rPr>
        <w:t>-1</w:t>
      </w:r>
      <w:r w:rsidRPr="007209AA">
        <w:rPr>
          <w:rFonts w:cs="Times New Roman"/>
          <w:sz w:val="24"/>
          <w:szCs w:val="24"/>
        </w:rPr>
        <w:t>). Models were fitted using the lme function in R, with maximum likelihood (NLME package</w:t>
      </w:r>
      <w:r w:rsidRPr="00EB02F2">
        <w:rPr>
          <w:rFonts w:cs="Times New Roman"/>
          <w:noProof/>
          <w:sz w:val="24"/>
          <w:szCs w:val="24"/>
          <w:vertAlign w:val="superscript"/>
        </w:rPr>
        <w:t>95</w:t>
      </w:r>
      <w:r w:rsidRPr="007209AA">
        <w:rPr>
          <w:rFonts w:cs="Times New Roman"/>
          <w:sz w:val="24"/>
          <w:szCs w:val="24"/>
        </w:rPr>
        <w:t xml:space="preserve">). All census intervals within all plots were used, weighted by plot size and census length (using </w:t>
      </w:r>
      <w:r w:rsidRPr="00610FA6">
        <w:rPr>
          <w:rFonts w:cs="Times New Roman"/>
          <w:sz w:val="24"/>
          <w:szCs w:val="24"/>
        </w:rPr>
        <w:t>equation 3</w:t>
      </w:r>
      <w:r>
        <w:rPr>
          <w:rFonts w:cs="Times New Roman"/>
          <w:sz w:val="24"/>
          <w:szCs w:val="24"/>
        </w:rPr>
        <w:t xml:space="preserve"> above</w:t>
      </w:r>
      <w:r w:rsidRPr="007209AA">
        <w:rPr>
          <w:rFonts w:cs="Times New Roman"/>
          <w:sz w:val="24"/>
          <w:szCs w:val="24"/>
        </w:rPr>
        <w:t>). Plot identity was included as a random effect, i.e. assuming that the intercept can vary randomly among plots. All predictor variables in the models were scaled without centering (scale function in R, RASTER package</w:t>
      </w:r>
      <w:r w:rsidRPr="00EB02F2">
        <w:rPr>
          <w:rFonts w:cs="Times New Roman"/>
          <w:noProof/>
          <w:sz w:val="24"/>
          <w:szCs w:val="24"/>
          <w:vertAlign w:val="superscript"/>
        </w:rPr>
        <w:t>62</w:t>
      </w:r>
      <w:r w:rsidRPr="007209AA">
        <w:rPr>
          <w:rFonts w:cs="Times New Roman"/>
          <w:sz w:val="24"/>
          <w:szCs w:val="24"/>
        </w:rPr>
        <w:t>). Carbon gain values were normally distributed but carbon loss values required a power-law transformation (λ= 0.361) to meet normality criteria. Multi-parameter m</w:t>
      </w:r>
      <w:r>
        <w:rPr>
          <w:rFonts w:cs="Times New Roman"/>
          <w:sz w:val="24"/>
          <w:szCs w:val="24"/>
        </w:rPr>
        <w:t xml:space="preserve">odels are: </w:t>
      </w:r>
      <w:r w:rsidRPr="004C751C">
        <w:rPr>
          <w:rFonts w:eastAsiaTheme="minorEastAsia" w:cs="Times New Roman"/>
          <w:sz w:val="24"/>
          <w:szCs w:val="24"/>
        </w:rPr>
        <w:t>carbon gains</w:t>
      </w:r>
      <w:r>
        <w:rPr>
          <w:rFonts w:eastAsiaTheme="minorEastAsia" w:cs="Times New Roman"/>
          <w:sz w:val="24"/>
          <w:szCs w:val="24"/>
        </w:rPr>
        <w:t xml:space="preserve"> = intcp + a</w:t>
      </w:r>
      <w:r w:rsidRPr="00421723">
        <w:rPr>
          <w:rFonts w:cs="Times New Roman"/>
          <w:sz w:val="24"/>
          <w:szCs w:val="24"/>
        </w:rPr>
        <w:t>×</w:t>
      </w:r>
      <w:r>
        <w:rPr>
          <w:rFonts w:eastAsiaTheme="minorEastAsia" w:cs="Times New Roman"/>
          <w:sz w:val="24"/>
          <w:szCs w:val="24"/>
        </w:rPr>
        <w:t>CO</w:t>
      </w:r>
      <w:r w:rsidRPr="004C751C">
        <w:rPr>
          <w:rFonts w:eastAsiaTheme="minorEastAsia" w:cs="Times New Roman"/>
          <w:sz w:val="24"/>
          <w:szCs w:val="24"/>
          <w:vertAlign w:val="subscript"/>
        </w:rPr>
        <w:t>2</w:t>
      </w:r>
      <w:r>
        <w:rPr>
          <w:rFonts w:eastAsiaTheme="minorEastAsia" w:cs="Times New Roman"/>
          <w:sz w:val="24"/>
          <w:szCs w:val="24"/>
          <w:vertAlign w:val="subscript"/>
        </w:rPr>
        <w:t xml:space="preserve"> </w:t>
      </w:r>
      <w:r>
        <w:rPr>
          <w:rFonts w:eastAsiaTheme="minorEastAsia" w:cs="Times New Roman"/>
          <w:sz w:val="24"/>
          <w:szCs w:val="24"/>
        </w:rPr>
        <w:t>+ b</w:t>
      </w:r>
      <w:r w:rsidRPr="00421723">
        <w:rPr>
          <w:rFonts w:cs="Times New Roman"/>
          <w:sz w:val="24"/>
          <w:szCs w:val="24"/>
        </w:rPr>
        <w:t>×</w:t>
      </w:r>
      <w:r>
        <w:rPr>
          <w:rFonts w:eastAsiaTheme="minorEastAsia" w:cs="Times New Roman"/>
          <w:sz w:val="24"/>
          <w:szCs w:val="24"/>
        </w:rPr>
        <w:t>MAT + c</w:t>
      </w:r>
      <w:r w:rsidRPr="00421723">
        <w:rPr>
          <w:rFonts w:cs="Times New Roman"/>
          <w:sz w:val="24"/>
          <w:szCs w:val="24"/>
        </w:rPr>
        <w:t>×</w:t>
      </w:r>
      <w:r>
        <w:rPr>
          <w:rFonts w:eastAsiaTheme="minorEastAsia" w:cs="Times New Roman"/>
          <w:sz w:val="24"/>
          <w:szCs w:val="24"/>
        </w:rPr>
        <w:t>MCWD</w:t>
      </w:r>
      <w:r w:rsidR="00EF5658">
        <w:rPr>
          <w:rFonts w:eastAsiaTheme="minorEastAsia" w:cs="Times New Roman"/>
          <w:sz w:val="24"/>
          <w:szCs w:val="24"/>
        </w:rPr>
        <w:t xml:space="preserve"> </w:t>
      </w:r>
      <w:r w:rsidRPr="004C751C">
        <w:rPr>
          <w:rFonts w:eastAsiaTheme="minorEastAsia" w:cs="Times New Roman"/>
          <w:sz w:val="24"/>
          <w:szCs w:val="24"/>
        </w:rPr>
        <w:t>(model 1);</w:t>
      </w:r>
      <w:r>
        <w:rPr>
          <w:rFonts w:cs="Times New Roman"/>
          <w:sz w:val="24"/>
          <w:szCs w:val="24"/>
        </w:rPr>
        <w:t xml:space="preserve"> </w:t>
      </w:r>
      <w:r w:rsidRPr="004C751C">
        <w:rPr>
          <w:rFonts w:eastAsiaTheme="minorEastAsia" w:cs="Times New Roman"/>
          <w:sz w:val="24"/>
          <w:szCs w:val="24"/>
        </w:rPr>
        <w:t xml:space="preserve">carbon </w:t>
      </w:r>
      <w:r>
        <w:rPr>
          <w:rFonts w:eastAsiaTheme="minorEastAsia" w:cs="Times New Roman"/>
          <w:sz w:val="24"/>
          <w:szCs w:val="24"/>
        </w:rPr>
        <w:t>losses = intcp + a</w:t>
      </w:r>
      <w:r w:rsidRPr="00421723">
        <w:rPr>
          <w:rFonts w:cs="Times New Roman"/>
          <w:sz w:val="24"/>
          <w:szCs w:val="24"/>
        </w:rPr>
        <w:t>×</w:t>
      </w:r>
      <w:r>
        <w:rPr>
          <w:rFonts w:eastAsiaTheme="minorEastAsia" w:cs="Times New Roman"/>
          <w:sz w:val="24"/>
          <w:szCs w:val="24"/>
        </w:rPr>
        <w:t>CO</w:t>
      </w:r>
      <w:r w:rsidRPr="004C751C">
        <w:rPr>
          <w:rFonts w:eastAsiaTheme="minorEastAsia" w:cs="Times New Roman"/>
          <w:sz w:val="24"/>
          <w:szCs w:val="24"/>
          <w:vertAlign w:val="subscript"/>
        </w:rPr>
        <w:t>2</w:t>
      </w:r>
      <w:r>
        <w:rPr>
          <w:rFonts w:eastAsiaTheme="minorEastAsia" w:cs="Times New Roman"/>
          <w:sz w:val="24"/>
          <w:szCs w:val="24"/>
          <w:vertAlign w:val="subscript"/>
        </w:rPr>
        <w:t xml:space="preserve"> </w:t>
      </w:r>
      <w:r>
        <w:rPr>
          <w:rFonts w:eastAsiaTheme="minorEastAsia" w:cs="Times New Roman"/>
          <w:sz w:val="24"/>
          <w:szCs w:val="24"/>
        </w:rPr>
        <w:t>+ b</w:t>
      </w:r>
      <w:r w:rsidRPr="00421723">
        <w:rPr>
          <w:rFonts w:cs="Times New Roman"/>
          <w:sz w:val="24"/>
          <w:szCs w:val="24"/>
        </w:rPr>
        <w:t>×</w:t>
      </w:r>
      <w:r>
        <w:rPr>
          <w:rFonts w:eastAsiaTheme="minorEastAsia" w:cs="Times New Roman"/>
          <w:sz w:val="24"/>
          <w:szCs w:val="24"/>
        </w:rPr>
        <w:t>MAT + c</w:t>
      </w:r>
      <w:r w:rsidRPr="00421723">
        <w:rPr>
          <w:rFonts w:cs="Times New Roman"/>
          <w:sz w:val="24"/>
          <w:szCs w:val="24"/>
        </w:rPr>
        <w:t>×</w:t>
      </w:r>
      <w:r>
        <w:rPr>
          <w:rFonts w:eastAsiaTheme="minorEastAsia" w:cs="Times New Roman"/>
          <w:sz w:val="24"/>
          <w:szCs w:val="24"/>
        </w:rPr>
        <w:t>MCWD</w:t>
      </w:r>
      <w:r w:rsidR="00EF5658">
        <w:rPr>
          <w:rFonts w:eastAsiaTheme="minorEastAsia" w:cs="Times New Roman"/>
          <w:sz w:val="24"/>
          <w:szCs w:val="24"/>
        </w:rPr>
        <w:t xml:space="preserve"> </w:t>
      </w:r>
      <w:r>
        <w:rPr>
          <w:rFonts w:eastAsiaTheme="minorEastAsia" w:cs="Times New Roman"/>
          <w:sz w:val="24"/>
          <w:szCs w:val="24"/>
        </w:rPr>
        <w:t>(model 2</w:t>
      </w:r>
      <w:r w:rsidRPr="004C751C">
        <w:rPr>
          <w:rFonts w:eastAsiaTheme="minorEastAsia" w:cs="Times New Roman"/>
          <w:sz w:val="24"/>
          <w:szCs w:val="24"/>
        </w:rPr>
        <w:t>);</w:t>
      </w:r>
      <w:r>
        <w:rPr>
          <w:rFonts w:cs="Times New Roman"/>
          <w:sz w:val="24"/>
          <w:szCs w:val="24"/>
        </w:rPr>
        <w:t xml:space="preserve"> </w:t>
      </w:r>
      <w:r w:rsidRPr="004C751C">
        <w:rPr>
          <w:rFonts w:cs="Times New Roman"/>
          <w:sz w:val="24"/>
          <w:szCs w:val="24"/>
        </w:rPr>
        <w:t>where intcp is the estimated model intercept, and a, b, and c are model parameters giving the slope of</w:t>
      </w:r>
      <w:r w:rsidRPr="007209AA">
        <w:rPr>
          <w:rFonts w:cs="Times New Roman"/>
          <w:sz w:val="24"/>
          <w:szCs w:val="24"/>
        </w:rPr>
        <w:t xml:space="preserve"> relationships with environmental predictor variables. </w:t>
      </w:r>
      <w:r>
        <w:rPr>
          <w:rFonts w:cs="Times New Roman"/>
          <w:sz w:val="24"/>
          <w:szCs w:val="24"/>
        </w:rPr>
        <w:t>For m</w:t>
      </w:r>
      <w:r w:rsidRPr="007209AA">
        <w:rPr>
          <w:rFonts w:cs="Times New Roman"/>
          <w:sz w:val="24"/>
          <w:szCs w:val="24"/>
        </w:rPr>
        <w:t xml:space="preserve">ulti-parameter model outputs </w:t>
      </w:r>
      <w:r>
        <w:rPr>
          <w:rFonts w:cs="Times New Roman"/>
          <w:sz w:val="24"/>
          <w:szCs w:val="24"/>
        </w:rPr>
        <w:t>see Extended Data Table 1, for s</w:t>
      </w:r>
      <w:r w:rsidRPr="007209AA">
        <w:rPr>
          <w:rFonts w:cs="Times New Roman"/>
          <w:sz w:val="24"/>
          <w:szCs w:val="24"/>
        </w:rPr>
        <w:t>ingle-parameter relations</w:t>
      </w:r>
      <w:r>
        <w:rPr>
          <w:rFonts w:cs="Times New Roman"/>
          <w:sz w:val="24"/>
          <w:szCs w:val="24"/>
        </w:rPr>
        <w:t>hips,</w:t>
      </w:r>
      <w:r w:rsidRPr="007209AA">
        <w:rPr>
          <w:rFonts w:cs="Times New Roman"/>
          <w:sz w:val="24"/>
          <w:szCs w:val="24"/>
        </w:rPr>
        <w:t xml:space="preserve"> Figure 2.</w:t>
      </w:r>
    </w:p>
    <w:p w:rsidR="00B43E3C" w:rsidRPr="007209AA" w:rsidRDefault="00B43E3C" w:rsidP="00726F1B">
      <w:pPr>
        <w:rPr>
          <w:rFonts w:cs="Times New Roman"/>
          <w:sz w:val="24"/>
          <w:szCs w:val="24"/>
        </w:rPr>
      </w:pPr>
    </w:p>
    <w:p w:rsidR="00B43E3C" w:rsidRPr="007209AA" w:rsidRDefault="00B43E3C" w:rsidP="00726F1B">
      <w:pPr>
        <w:rPr>
          <w:rFonts w:cs="Times New Roman"/>
          <w:sz w:val="24"/>
          <w:szCs w:val="24"/>
        </w:rPr>
      </w:pPr>
      <w:r>
        <w:rPr>
          <w:rFonts w:cs="Times New Roman"/>
          <w:sz w:val="24"/>
          <w:szCs w:val="24"/>
        </w:rPr>
        <w:t>The second pair of models include</w:t>
      </w:r>
      <w:r w:rsidRPr="007209AA">
        <w:rPr>
          <w:rFonts w:cs="Times New Roman"/>
          <w:sz w:val="24"/>
          <w:szCs w:val="24"/>
        </w:rPr>
        <w:t xml:space="preserve"> the same environmental predictors (CO</w:t>
      </w:r>
      <w:r w:rsidRPr="007209AA">
        <w:rPr>
          <w:rFonts w:cs="Times New Roman"/>
          <w:sz w:val="24"/>
          <w:szCs w:val="24"/>
          <w:vertAlign w:val="subscript"/>
        </w:rPr>
        <w:t>2</w:t>
      </w:r>
      <w:r w:rsidRPr="007209AA">
        <w:rPr>
          <w:rFonts w:cs="Times New Roman"/>
          <w:sz w:val="24"/>
          <w:szCs w:val="24"/>
        </w:rPr>
        <w:t>, MAT, MCWD), plus their rate of change (CO</w:t>
      </w:r>
      <w:r w:rsidRPr="007209AA">
        <w:rPr>
          <w:rFonts w:cs="Times New Roman"/>
          <w:sz w:val="24"/>
          <w:szCs w:val="24"/>
          <w:vertAlign w:val="subscript"/>
        </w:rPr>
        <w:t>2</w:t>
      </w:r>
      <w:r w:rsidRPr="007209AA">
        <w:rPr>
          <w:rFonts w:cs="Times New Roman"/>
          <w:sz w:val="24"/>
          <w:szCs w:val="24"/>
        </w:rPr>
        <w:t xml:space="preserve">-change, MAT-change, </w:t>
      </w:r>
      <w:r>
        <w:rPr>
          <w:rFonts w:cs="Times New Roman"/>
          <w:sz w:val="24"/>
          <w:szCs w:val="24"/>
        </w:rPr>
        <w:t xml:space="preserve">but not </w:t>
      </w:r>
      <w:r w:rsidRPr="007209AA">
        <w:rPr>
          <w:rFonts w:cs="Times New Roman"/>
          <w:sz w:val="24"/>
          <w:szCs w:val="24"/>
        </w:rPr>
        <w:t>MCWD-change</w:t>
      </w:r>
      <w:r>
        <w:rPr>
          <w:rFonts w:cs="Times New Roman"/>
          <w:sz w:val="24"/>
          <w:szCs w:val="24"/>
        </w:rPr>
        <w:t xml:space="preserve"> as explained above</w:t>
      </w:r>
      <w:r w:rsidRPr="007209AA">
        <w:rPr>
          <w:rFonts w:cs="Times New Roman"/>
          <w:sz w:val="24"/>
          <w:szCs w:val="24"/>
        </w:rPr>
        <w:t xml:space="preserve">), and forest attributes that may alter how forests respond (WD, CRT), as described above. We </w:t>
      </w:r>
      <w:r>
        <w:rPr>
          <w:rFonts w:cs="Times New Roman"/>
          <w:sz w:val="24"/>
          <w:szCs w:val="24"/>
        </w:rPr>
        <w:t xml:space="preserve">also </w:t>
      </w:r>
      <w:r w:rsidRPr="007209AA">
        <w:rPr>
          <w:rFonts w:cs="Times New Roman"/>
          <w:sz w:val="24"/>
          <w:szCs w:val="24"/>
        </w:rPr>
        <w:t>evaluated the possible inclusion of a differential continent effect of each variable in the full model. We first construct</w:t>
      </w:r>
      <w:r>
        <w:rPr>
          <w:rFonts w:cs="Times New Roman"/>
          <w:sz w:val="24"/>
          <w:szCs w:val="24"/>
        </w:rPr>
        <w:t>ed</w:t>
      </w:r>
      <w:r w:rsidRPr="007209AA">
        <w:rPr>
          <w:rFonts w:cs="Times New Roman"/>
          <w:sz w:val="24"/>
          <w:szCs w:val="24"/>
        </w:rPr>
        <w:t xml:space="preserve"> models with only a single predictor variable, and allow</w:t>
      </w:r>
      <w:r>
        <w:rPr>
          <w:rFonts w:cs="Times New Roman"/>
          <w:sz w:val="24"/>
          <w:szCs w:val="24"/>
        </w:rPr>
        <w:t>ed</w:t>
      </w:r>
      <w:r w:rsidRPr="007209AA">
        <w:rPr>
          <w:rFonts w:cs="Times New Roman"/>
          <w:sz w:val="24"/>
          <w:szCs w:val="24"/>
        </w:rPr>
        <w:t xml:space="preserve"> different slopes in each continent. Next, if removal of the continent-specific slope (using stepAIC function in R, MASS </w:t>
      </w:r>
      <w:r w:rsidRPr="007209AA">
        <w:rPr>
          <w:rFonts w:cs="Times New Roman"/>
          <w:sz w:val="24"/>
          <w:szCs w:val="24"/>
        </w:rPr>
        <w:lastRenderedPageBreak/>
        <w:t>package</w:t>
      </w:r>
      <w:r w:rsidRPr="00EB02F2">
        <w:rPr>
          <w:rFonts w:cs="Times New Roman"/>
          <w:noProof/>
          <w:sz w:val="24"/>
          <w:szCs w:val="24"/>
          <w:vertAlign w:val="superscript"/>
        </w:rPr>
        <w:t>96</w:t>
      </w:r>
      <w:r w:rsidRPr="007209AA">
        <w:rPr>
          <w:rFonts w:cs="Times New Roman"/>
          <w:sz w:val="24"/>
          <w:szCs w:val="24"/>
        </w:rPr>
        <w:t xml:space="preserve">) decreased model Akaike Information Criterion (AIC) then the continent-specific slope was not included in the full model for that variable. Only MCWD showed a significant differential continent-specific slope. This implies that forests on both continents have common responses to </w:t>
      </w:r>
      <w:r>
        <w:rPr>
          <w:rFonts w:cs="Times New Roman"/>
          <w:sz w:val="24"/>
          <w:szCs w:val="24"/>
        </w:rPr>
        <w:t>CO</w:t>
      </w:r>
      <w:r w:rsidRPr="006B34E1">
        <w:rPr>
          <w:rFonts w:cs="Times New Roman"/>
          <w:sz w:val="24"/>
          <w:szCs w:val="24"/>
          <w:vertAlign w:val="subscript"/>
        </w:rPr>
        <w:t>2</w:t>
      </w:r>
      <w:r>
        <w:rPr>
          <w:rFonts w:cs="Times New Roman"/>
          <w:sz w:val="24"/>
          <w:szCs w:val="24"/>
        </w:rPr>
        <w:t xml:space="preserve">, </w:t>
      </w:r>
      <w:r w:rsidRPr="007209AA">
        <w:rPr>
          <w:rFonts w:cs="Times New Roman"/>
          <w:sz w:val="24"/>
          <w:szCs w:val="24"/>
        </w:rPr>
        <w:t>CO</w:t>
      </w:r>
      <w:r w:rsidRPr="007209AA">
        <w:rPr>
          <w:rFonts w:cs="Times New Roman"/>
          <w:sz w:val="24"/>
          <w:szCs w:val="24"/>
          <w:vertAlign w:val="subscript"/>
        </w:rPr>
        <w:t>2</w:t>
      </w:r>
      <w:r w:rsidRPr="007209AA">
        <w:rPr>
          <w:rFonts w:cs="Times New Roman"/>
          <w:sz w:val="24"/>
          <w:szCs w:val="24"/>
        </w:rPr>
        <w:t>-change, MAT, MAT-change, WD and CRT, but respond differently to differences in MCWD. This is likely because wet-adapted species are much rarer in Africa than in Amazonia as a result of large differences in past climate variation</w:t>
      </w:r>
      <w:r w:rsidRPr="00EB02F2">
        <w:rPr>
          <w:rFonts w:cs="Times New Roman"/>
          <w:noProof/>
          <w:sz w:val="24"/>
          <w:szCs w:val="24"/>
          <w:vertAlign w:val="superscript"/>
        </w:rPr>
        <w:t>34</w:t>
      </w:r>
      <w:r w:rsidRPr="007209AA">
        <w:rPr>
          <w:rFonts w:cs="Times New Roman"/>
          <w:sz w:val="24"/>
          <w:szCs w:val="24"/>
        </w:rPr>
        <w:t>. Lastly, we allowed different intercepts for the t</w:t>
      </w:r>
      <w:r>
        <w:rPr>
          <w:rFonts w:cs="Times New Roman"/>
          <w:sz w:val="24"/>
          <w:szCs w:val="24"/>
        </w:rPr>
        <w:t>wo continents</w:t>
      </w:r>
      <w:r w:rsidRPr="007209AA">
        <w:rPr>
          <w:rFonts w:cs="Times New Roman"/>
          <w:sz w:val="24"/>
          <w:szCs w:val="24"/>
        </w:rPr>
        <w:t xml:space="preserve"> to potentially account for differing biogeographical or other continent-specific factors. For the carbon loss model, we applied the same continent-specific effects for slope as </w:t>
      </w:r>
      <w:r>
        <w:rPr>
          <w:rFonts w:cs="Times New Roman"/>
          <w:sz w:val="24"/>
          <w:szCs w:val="24"/>
        </w:rPr>
        <w:t>for the carbon gain model. C</w:t>
      </w:r>
      <w:r w:rsidRPr="007209AA">
        <w:rPr>
          <w:rFonts w:cs="Times New Roman"/>
          <w:sz w:val="24"/>
          <w:szCs w:val="24"/>
        </w:rPr>
        <w:t>arbon loss values were transformed using a power-law transformation (λ= 0.361) to meet normality criteria.</w:t>
      </w:r>
    </w:p>
    <w:p w:rsidR="00B43E3C" w:rsidRPr="007209AA" w:rsidRDefault="00B43E3C" w:rsidP="00726F1B">
      <w:pPr>
        <w:rPr>
          <w:rFonts w:cs="Times New Roman"/>
          <w:sz w:val="24"/>
          <w:szCs w:val="24"/>
        </w:rPr>
      </w:pPr>
    </w:p>
    <w:p w:rsidR="00B43E3C" w:rsidRDefault="00B43E3C" w:rsidP="00726F1B">
      <w:pPr>
        <w:rPr>
          <w:rFonts w:cs="Times New Roman"/>
          <w:sz w:val="24"/>
          <w:szCs w:val="24"/>
        </w:rPr>
      </w:pPr>
      <w:r w:rsidRPr="007209AA">
        <w:rPr>
          <w:rFonts w:cs="Times New Roman"/>
          <w:sz w:val="24"/>
          <w:szCs w:val="24"/>
        </w:rPr>
        <w:t xml:space="preserve">For both carbon gains and losses we parameterized </w:t>
      </w:r>
      <w:r>
        <w:rPr>
          <w:rFonts w:cs="Times New Roman"/>
          <w:sz w:val="24"/>
          <w:szCs w:val="24"/>
        </w:rPr>
        <w:t xml:space="preserve">a global </w:t>
      </w:r>
      <w:r w:rsidRPr="007209AA">
        <w:rPr>
          <w:rFonts w:cs="Times New Roman"/>
          <w:sz w:val="24"/>
          <w:szCs w:val="24"/>
        </w:rPr>
        <w:t>model including the significant co</w:t>
      </w:r>
      <w:r>
        <w:rPr>
          <w:rFonts w:cs="Times New Roman"/>
          <w:sz w:val="24"/>
          <w:szCs w:val="24"/>
        </w:rPr>
        <w:t xml:space="preserve">ntinent-specific effect of MCWD, selecting the </w:t>
      </w:r>
      <w:r w:rsidRPr="002D03D5">
        <w:rPr>
          <w:rFonts w:cs="Times New Roman"/>
          <w:sz w:val="24"/>
          <w:szCs w:val="24"/>
        </w:rPr>
        <w:t xml:space="preserve">most parsimonious </w:t>
      </w:r>
      <w:r>
        <w:rPr>
          <w:rFonts w:cs="Times New Roman"/>
          <w:sz w:val="24"/>
          <w:szCs w:val="24"/>
        </w:rPr>
        <w:t xml:space="preserve">simplified </w:t>
      </w:r>
      <w:r w:rsidRPr="002D03D5">
        <w:rPr>
          <w:rFonts w:cs="Times New Roman"/>
          <w:sz w:val="24"/>
          <w:szCs w:val="24"/>
        </w:rPr>
        <w:t>model</w:t>
      </w:r>
      <w:r>
        <w:rPr>
          <w:rFonts w:cs="Times New Roman"/>
          <w:sz w:val="24"/>
          <w:szCs w:val="24"/>
        </w:rPr>
        <w:t xml:space="preserve"> using all-subsets regression</w:t>
      </w:r>
      <w:r w:rsidRPr="00EB02F2">
        <w:rPr>
          <w:rFonts w:cs="Times New Roman"/>
          <w:noProof/>
          <w:sz w:val="24"/>
          <w:szCs w:val="24"/>
          <w:vertAlign w:val="superscript"/>
        </w:rPr>
        <w:t>97,98</w:t>
      </w:r>
      <w:r>
        <w:rPr>
          <w:rFonts w:cs="Times New Roman"/>
          <w:sz w:val="24"/>
          <w:szCs w:val="24"/>
        </w:rPr>
        <w:t>.</w:t>
      </w:r>
      <w:r w:rsidRPr="00EB71CB">
        <w:rPr>
          <w:rFonts w:cs="Times New Roman"/>
          <w:sz w:val="24"/>
          <w:szCs w:val="24"/>
        </w:rPr>
        <w:t xml:space="preserve"> </w:t>
      </w:r>
      <w:r>
        <w:rPr>
          <w:rFonts w:cs="Times New Roman"/>
          <w:sz w:val="24"/>
          <w:szCs w:val="24"/>
        </w:rPr>
        <w:t xml:space="preserve">To do so, we first generated </w:t>
      </w:r>
      <w:r w:rsidRPr="009C5451">
        <w:rPr>
          <w:rFonts w:cs="Times New Roman"/>
          <w:sz w:val="24"/>
          <w:szCs w:val="24"/>
        </w:rPr>
        <w:t xml:space="preserve">a set of models with </w:t>
      </w:r>
      <w:r>
        <w:rPr>
          <w:rFonts w:cs="Times New Roman"/>
          <w:sz w:val="24"/>
          <w:szCs w:val="24"/>
        </w:rPr>
        <w:t xml:space="preserve">all possible </w:t>
      </w:r>
      <w:r w:rsidRPr="009C5451">
        <w:rPr>
          <w:rFonts w:cs="Times New Roman"/>
          <w:sz w:val="24"/>
          <w:szCs w:val="24"/>
        </w:rPr>
        <w:t>combinations (subsets) of fixed effect terms</w:t>
      </w:r>
      <w:r>
        <w:rPr>
          <w:rFonts w:cs="Times New Roman"/>
          <w:sz w:val="24"/>
          <w:szCs w:val="24"/>
        </w:rPr>
        <w:t xml:space="preserve"> in the global model using the dredge function of the MuMIn package in R</w:t>
      </w:r>
      <w:r w:rsidRPr="00EB02F2">
        <w:rPr>
          <w:rFonts w:cs="Times New Roman"/>
          <w:noProof/>
          <w:sz w:val="24"/>
          <w:szCs w:val="24"/>
          <w:vertAlign w:val="superscript"/>
        </w:rPr>
        <w:t>99</w:t>
      </w:r>
      <w:r>
        <w:rPr>
          <w:rFonts w:cs="Times New Roman"/>
          <w:sz w:val="24"/>
          <w:szCs w:val="24"/>
        </w:rPr>
        <w:t>. We then chose the best-ranked simplified model based on the AICc criterion, hereafter called “</w:t>
      </w:r>
      <w:r w:rsidRPr="00C0388B">
        <w:rPr>
          <w:rFonts w:cs="Times New Roman"/>
          <w:sz w:val="24"/>
          <w:szCs w:val="24"/>
        </w:rPr>
        <w:t>minimum adequate carbon gain</w:t>
      </w:r>
      <w:r>
        <w:rPr>
          <w:rFonts w:cs="Times New Roman"/>
          <w:sz w:val="24"/>
          <w:szCs w:val="24"/>
        </w:rPr>
        <w:t>/loss</w:t>
      </w:r>
      <w:r w:rsidRPr="00C0388B">
        <w:rPr>
          <w:rFonts w:cs="Times New Roman"/>
          <w:sz w:val="24"/>
          <w:szCs w:val="24"/>
        </w:rPr>
        <w:t xml:space="preserve"> model</w:t>
      </w:r>
      <w:r>
        <w:rPr>
          <w:rFonts w:cs="Times New Roman"/>
          <w:sz w:val="24"/>
          <w:szCs w:val="24"/>
        </w:rPr>
        <w:t>”, reported in Table 2.</w:t>
      </w:r>
      <w:r w:rsidRPr="007209AA">
        <w:rPr>
          <w:rFonts w:cs="Times New Roman"/>
          <w:sz w:val="24"/>
          <w:szCs w:val="24"/>
        </w:rPr>
        <w:t xml:space="preserve"> </w:t>
      </w:r>
      <w:r>
        <w:rPr>
          <w:rFonts w:cs="Times New Roman"/>
          <w:sz w:val="24"/>
          <w:szCs w:val="24"/>
        </w:rPr>
        <w:t xml:space="preserve">The minimum adequate models are: </w:t>
      </w:r>
      <w:r w:rsidRPr="004C751C">
        <w:rPr>
          <w:rFonts w:eastAsiaTheme="minorEastAsia" w:cs="Times New Roman"/>
          <w:sz w:val="24"/>
          <w:szCs w:val="24"/>
        </w:rPr>
        <w:t>carbon gains</w:t>
      </w:r>
      <w:r>
        <w:rPr>
          <w:rFonts w:eastAsiaTheme="minorEastAsia" w:cs="Times New Roman"/>
          <w:sz w:val="24"/>
          <w:szCs w:val="24"/>
        </w:rPr>
        <w:t xml:space="preserve"> </w:t>
      </w:r>
      <w:r w:rsidRPr="004C751C">
        <w:rPr>
          <w:rFonts w:eastAsiaTheme="minorEastAsia" w:cs="Times New Roman"/>
          <w:sz w:val="24"/>
          <w:szCs w:val="24"/>
        </w:rPr>
        <w:t>=</w:t>
      </w:r>
      <w:r>
        <w:rPr>
          <w:rFonts w:eastAsiaTheme="minorEastAsia" w:cs="Times New Roman"/>
          <w:sz w:val="24"/>
          <w:szCs w:val="24"/>
        </w:rPr>
        <w:t xml:space="preserve"> </w:t>
      </w:r>
      <w:r w:rsidRPr="004C751C">
        <w:rPr>
          <w:rFonts w:eastAsiaTheme="minorEastAsia" w:cs="Times New Roman"/>
          <w:sz w:val="24"/>
          <w:szCs w:val="24"/>
        </w:rPr>
        <w:t>intcp</w:t>
      </w:r>
      <w:r w:rsidRPr="00421723">
        <w:rPr>
          <w:rFonts w:cs="Times New Roman"/>
          <w:sz w:val="24"/>
          <w:szCs w:val="24"/>
        </w:rPr>
        <w:t>×</w:t>
      </w:r>
      <w:r>
        <w:rPr>
          <w:rFonts w:eastAsiaTheme="minorEastAsia" w:cs="Times New Roman"/>
          <w:sz w:val="24"/>
          <w:szCs w:val="24"/>
        </w:rPr>
        <w:t xml:space="preserve">continent </w:t>
      </w:r>
      <w:r w:rsidRPr="004C751C">
        <w:rPr>
          <w:rFonts w:eastAsiaTheme="minorEastAsia" w:cs="Times New Roman"/>
          <w:sz w:val="24"/>
          <w:szCs w:val="24"/>
        </w:rPr>
        <w:t>+</w:t>
      </w:r>
      <w:r>
        <w:rPr>
          <w:rFonts w:eastAsiaTheme="minorEastAsia" w:cs="Times New Roman"/>
          <w:sz w:val="24"/>
          <w:szCs w:val="24"/>
        </w:rPr>
        <w:t xml:space="preserve"> a</w:t>
      </w:r>
      <w:r w:rsidRPr="00421723">
        <w:rPr>
          <w:rFonts w:cs="Times New Roman"/>
          <w:sz w:val="24"/>
          <w:szCs w:val="24"/>
        </w:rPr>
        <w:t>×</w:t>
      </w:r>
      <w:r>
        <w:rPr>
          <w:rFonts w:eastAsiaTheme="minorEastAsia" w:cs="Times New Roman"/>
          <w:sz w:val="24"/>
          <w:szCs w:val="24"/>
        </w:rPr>
        <w:t>CO</w:t>
      </w:r>
      <w:r w:rsidRPr="004C751C">
        <w:rPr>
          <w:rFonts w:eastAsiaTheme="minorEastAsia" w:cs="Times New Roman"/>
          <w:sz w:val="24"/>
          <w:szCs w:val="24"/>
          <w:vertAlign w:val="subscript"/>
        </w:rPr>
        <w:t>2</w:t>
      </w:r>
      <w:r w:rsidRPr="004C751C">
        <w:rPr>
          <w:rFonts w:eastAsiaTheme="minorEastAsia" w:cs="Times New Roman"/>
          <w:sz w:val="24"/>
          <w:szCs w:val="24"/>
        </w:rPr>
        <w:t>-change</w:t>
      </w:r>
      <w:r>
        <w:rPr>
          <w:rFonts w:eastAsiaTheme="minorEastAsia" w:cs="Times New Roman"/>
          <w:sz w:val="24"/>
          <w:szCs w:val="24"/>
        </w:rPr>
        <w:t xml:space="preserve"> </w:t>
      </w:r>
      <w:r w:rsidRPr="004C751C">
        <w:rPr>
          <w:rFonts w:eastAsiaTheme="minorEastAsia" w:cs="Times New Roman"/>
          <w:sz w:val="24"/>
          <w:szCs w:val="24"/>
        </w:rPr>
        <w:t>+</w:t>
      </w:r>
      <w:r>
        <w:rPr>
          <w:rFonts w:eastAsiaTheme="minorEastAsia" w:cs="Times New Roman"/>
          <w:sz w:val="24"/>
          <w:szCs w:val="24"/>
        </w:rPr>
        <w:t xml:space="preserve"> b</w:t>
      </w:r>
      <w:r w:rsidRPr="00421723">
        <w:rPr>
          <w:rFonts w:cs="Times New Roman"/>
          <w:sz w:val="24"/>
          <w:szCs w:val="24"/>
        </w:rPr>
        <w:t>×</w:t>
      </w:r>
      <w:r w:rsidRPr="004C751C">
        <w:rPr>
          <w:rFonts w:eastAsiaTheme="minorEastAsia" w:cs="Times New Roman"/>
          <w:sz w:val="24"/>
          <w:szCs w:val="24"/>
        </w:rPr>
        <w:t>MAT</w:t>
      </w:r>
      <w:r>
        <w:rPr>
          <w:rFonts w:eastAsiaTheme="minorEastAsia" w:cs="Times New Roman"/>
          <w:sz w:val="24"/>
          <w:szCs w:val="24"/>
        </w:rPr>
        <w:t xml:space="preserve"> </w:t>
      </w:r>
      <w:r w:rsidRPr="004C751C">
        <w:rPr>
          <w:rFonts w:eastAsiaTheme="minorEastAsia" w:cs="Times New Roman"/>
          <w:sz w:val="24"/>
          <w:szCs w:val="24"/>
        </w:rPr>
        <w:t>+</w:t>
      </w:r>
      <w:r>
        <w:rPr>
          <w:rFonts w:eastAsiaTheme="minorEastAsia" w:cs="Times New Roman"/>
          <w:sz w:val="24"/>
          <w:szCs w:val="24"/>
        </w:rPr>
        <w:t xml:space="preserve"> c</w:t>
      </w:r>
      <w:r w:rsidRPr="00421723">
        <w:rPr>
          <w:rFonts w:cs="Times New Roman"/>
          <w:sz w:val="24"/>
          <w:szCs w:val="24"/>
        </w:rPr>
        <w:t>×</w:t>
      </w:r>
      <w:r w:rsidRPr="004C751C">
        <w:rPr>
          <w:rFonts w:eastAsiaTheme="minorEastAsia" w:cs="Times New Roman"/>
          <w:sz w:val="24"/>
          <w:szCs w:val="24"/>
        </w:rPr>
        <w:t>MAT-change</w:t>
      </w:r>
      <w:r>
        <w:rPr>
          <w:rFonts w:eastAsiaTheme="minorEastAsia" w:cs="Times New Roman"/>
          <w:sz w:val="24"/>
          <w:szCs w:val="24"/>
        </w:rPr>
        <w:t xml:space="preserve"> </w:t>
      </w:r>
      <w:r w:rsidRPr="004C751C">
        <w:rPr>
          <w:rFonts w:eastAsiaTheme="minorEastAsia" w:cs="Times New Roman"/>
          <w:sz w:val="24"/>
          <w:szCs w:val="24"/>
        </w:rPr>
        <w:t>+</w:t>
      </w:r>
      <w:r>
        <w:rPr>
          <w:rFonts w:eastAsiaTheme="minorEastAsia" w:cs="Times New Roman"/>
          <w:sz w:val="24"/>
          <w:szCs w:val="24"/>
        </w:rPr>
        <w:t xml:space="preserve"> </w:t>
      </w:r>
      <w:r w:rsidRPr="004C751C">
        <w:rPr>
          <w:rFonts w:eastAsiaTheme="minorEastAsia" w:cs="Times New Roman"/>
          <w:sz w:val="24"/>
          <w:szCs w:val="24"/>
        </w:rPr>
        <w:t>d</w:t>
      </w:r>
      <w:r w:rsidRPr="00421723">
        <w:rPr>
          <w:rFonts w:cs="Times New Roman"/>
          <w:sz w:val="24"/>
          <w:szCs w:val="24"/>
        </w:rPr>
        <w:t>×</w:t>
      </w:r>
      <w:r w:rsidRPr="004C751C">
        <w:rPr>
          <w:rFonts w:eastAsiaTheme="minorEastAsia" w:cs="Times New Roman"/>
          <w:sz w:val="24"/>
          <w:szCs w:val="24"/>
        </w:rPr>
        <w:t>MCWD</w:t>
      </w:r>
      <w:r w:rsidRPr="00421723">
        <w:rPr>
          <w:rFonts w:cs="Times New Roman"/>
          <w:sz w:val="24"/>
          <w:szCs w:val="24"/>
        </w:rPr>
        <w:t>×</w:t>
      </w:r>
      <w:r w:rsidRPr="004C751C">
        <w:rPr>
          <w:rFonts w:eastAsiaTheme="minorEastAsia" w:cs="Times New Roman"/>
          <w:sz w:val="24"/>
          <w:szCs w:val="24"/>
        </w:rPr>
        <w:t>continent</w:t>
      </w:r>
      <w:r>
        <w:rPr>
          <w:rFonts w:eastAsiaTheme="minorEastAsia" w:cs="Times New Roman"/>
          <w:sz w:val="24"/>
          <w:szCs w:val="24"/>
        </w:rPr>
        <w:t xml:space="preserve"> </w:t>
      </w:r>
      <w:r w:rsidRPr="004C751C">
        <w:rPr>
          <w:rFonts w:eastAsiaTheme="minorEastAsia" w:cs="Times New Roman"/>
          <w:sz w:val="24"/>
          <w:szCs w:val="24"/>
        </w:rPr>
        <w:t>+</w:t>
      </w:r>
      <w:r>
        <w:rPr>
          <w:rFonts w:eastAsiaTheme="minorEastAsia" w:cs="Times New Roman"/>
          <w:sz w:val="24"/>
          <w:szCs w:val="24"/>
        </w:rPr>
        <w:t xml:space="preserve"> e</w:t>
      </w:r>
      <w:r w:rsidRPr="00421723">
        <w:rPr>
          <w:rFonts w:cs="Times New Roman"/>
          <w:sz w:val="24"/>
          <w:szCs w:val="24"/>
        </w:rPr>
        <w:t>×</w:t>
      </w:r>
      <w:r>
        <w:rPr>
          <w:rFonts w:eastAsiaTheme="minorEastAsia" w:cs="Times New Roman"/>
          <w:sz w:val="24"/>
          <w:szCs w:val="24"/>
        </w:rPr>
        <w:t>WD</w:t>
      </w:r>
      <w:r w:rsidR="00EF5658">
        <w:rPr>
          <w:rFonts w:eastAsiaTheme="minorEastAsia" w:cs="Times New Roman"/>
          <w:sz w:val="24"/>
          <w:szCs w:val="24"/>
        </w:rPr>
        <w:t xml:space="preserve"> </w:t>
      </w:r>
      <w:r w:rsidRPr="004C751C">
        <w:rPr>
          <w:rFonts w:eastAsiaTheme="minorEastAsia" w:cs="Times New Roman"/>
          <w:sz w:val="24"/>
          <w:szCs w:val="24"/>
        </w:rPr>
        <w:t>(model 3);</w:t>
      </w:r>
      <w:r>
        <w:rPr>
          <w:rFonts w:cs="Times New Roman"/>
          <w:sz w:val="24"/>
          <w:szCs w:val="24"/>
        </w:rPr>
        <w:t xml:space="preserve"> </w:t>
      </w:r>
      <w:r w:rsidRPr="004C751C">
        <w:rPr>
          <w:rFonts w:eastAsiaTheme="minorEastAsia" w:cs="Times New Roman"/>
          <w:sz w:val="24"/>
          <w:szCs w:val="24"/>
        </w:rPr>
        <w:t xml:space="preserve">carbon </w:t>
      </w:r>
      <w:r>
        <w:rPr>
          <w:rFonts w:eastAsiaTheme="minorEastAsia" w:cs="Times New Roman"/>
          <w:sz w:val="24"/>
          <w:szCs w:val="24"/>
        </w:rPr>
        <w:t xml:space="preserve">losses </w:t>
      </w:r>
      <w:r w:rsidRPr="004C751C">
        <w:rPr>
          <w:rFonts w:eastAsiaTheme="minorEastAsia" w:cs="Times New Roman"/>
          <w:sz w:val="24"/>
          <w:szCs w:val="24"/>
        </w:rPr>
        <w:t>=</w:t>
      </w:r>
      <w:r>
        <w:rPr>
          <w:rFonts w:eastAsiaTheme="minorEastAsia" w:cs="Times New Roman"/>
          <w:sz w:val="24"/>
          <w:szCs w:val="24"/>
        </w:rPr>
        <w:t xml:space="preserve"> </w:t>
      </w:r>
      <w:r w:rsidRPr="004C751C">
        <w:rPr>
          <w:rFonts w:eastAsiaTheme="minorEastAsia" w:cs="Times New Roman"/>
          <w:sz w:val="24"/>
          <w:szCs w:val="24"/>
        </w:rPr>
        <w:t>intcp</w:t>
      </w:r>
      <w:r>
        <w:rPr>
          <w:rFonts w:eastAsiaTheme="minorEastAsia" w:cs="Times New Roman"/>
          <w:sz w:val="24"/>
          <w:szCs w:val="24"/>
        </w:rPr>
        <w:t xml:space="preserve"> </w:t>
      </w:r>
      <w:r w:rsidRPr="004C751C">
        <w:rPr>
          <w:rFonts w:eastAsiaTheme="minorEastAsia" w:cs="Times New Roman"/>
          <w:sz w:val="24"/>
          <w:szCs w:val="24"/>
        </w:rPr>
        <w:t>+</w:t>
      </w:r>
      <w:r>
        <w:rPr>
          <w:rFonts w:eastAsiaTheme="minorEastAsia" w:cs="Times New Roman"/>
          <w:sz w:val="24"/>
          <w:szCs w:val="24"/>
        </w:rPr>
        <w:t xml:space="preserve"> a</w:t>
      </w:r>
      <w:r w:rsidRPr="00421723">
        <w:rPr>
          <w:rFonts w:cs="Times New Roman"/>
          <w:sz w:val="24"/>
          <w:szCs w:val="24"/>
        </w:rPr>
        <w:t>×</w:t>
      </w:r>
      <w:r>
        <w:rPr>
          <w:rFonts w:eastAsiaTheme="minorEastAsia" w:cs="Times New Roman"/>
          <w:sz w:val="24"/>
          <w:szCs w:val="24"/>
        </w:rPr>
        <w:t>CO</w:t>
      </w:r>
      <w:r w:rsidRPr="004C751C">
        <w:rPr>
          <w:rFonts w:eastAsiaTheme="minorEastAsia" w:cs="Times New Roman"/>
          <w:sz w:val="24"/>
          <w:szCs w:val="24"/>
          <w:vertAlign w:val="subscript"/>
        </w:rPr>
        <w:t>2</w:t>
      </w:r>
      <w:r w:rsidRPr="004C751C">
        <w:rPr>
          <w:rFonts w:eastAsiaTheme="minorEastAsia" w:cs="Times New Roman"/>
          <w:sz w:val="24"/>
          <w:szCs w:val="24"/>
        </w:rPr>
        <w:t>-change</w:t>
      </w:r>
      <w:r>
        <w:rPr>
          <w:rFonts w:eastAsiaTheme="minorEastAsia" w:cs="Times New Roman"/>
          <w:sz w:val="24"/>
          <w:szCs w:val="24"/>
        </w:rPr>
        <w:t xml:space="preserve"> </w:t>
      </w:r>
      <w:r w:rsidRPr="004C751C">
        <w:rPr>
          <w:rFonts w:eastAsiaTheme="minorEastAsia" w:cs="Times New Roman"/>
          <w:sz w:val="24"/>
          <w:szCs w:val="24"/>
        </w:rPr>
        <w:t>+</w:t>
      </w:r>
      <w:r>
        <w:rPr>
          <w:rFonts w:eastAsiaTheme="minorEastAsia" w:cs="Times New Roman"/>
          <w:sz w:val="24"/>
          <w:szCs w:val="24"/>
        </w:rPr>
        <w:t xml:space="preserve"> b</w:t>
      </w:r>
      <w:r w:rsidRPr="00421723">
        <w:rPr>
          <w:rFonts w:cs="Times New Roman"/>
          <w:sz w:val="24"/>
          <w:szCs w:val="24"/>
        </w:rPr>
        <w:t>×</w:t>
      </w:r>
      <w:r w:rsidRPr="004C751C">
        <w:rPr>
          <w:rFonts w:eastAsiaTheme="minorEastAsia" w:cs="Times New Roman"/>
          <w:sz w:val="24"/>
          <w:szCs w:val="24"/>
        </w:rPr>
        <w:t>MAT-change</w:t>
      </w:r>
      <w:r>
        <w:rPr>
          <w:rFonts w:eastAsiaTheme="minorEastAsia" w:cs="Times New Roman"/>
          <w:sz w:val="24"/>
          <w:szCs w:val="24"/>
        </w:rPr>
        <w:t xml:space="preserve"> </w:t>
      </w:r>
      <w:r w:rsidRPr="004C751C">
        <w:rPr>
          <w:rFonts w:eastAsiaTheme="minorEastAsia" w:cs="Times New Roman"/>
          <w:sz w:val="24"/>
          <w:szCs w:val="24"/>
        </w:rPr>
        <w:t>+</w:t>
      </w:r>
      <w:r>
        <w:rPr>
          <w:rFonts w:eastAsiaTheme="minorEastAsia" w:cs="Times New Roman"/>
          <w:sz w:val="24"/>
          <w:szCs w:val="24"/>
        </w:rPr>
        <w:t xml:space="preserve"> c</w:t>
      </w:r>
      <w:r w:rsidRPr="00421723">
        <w:rPr>
          <w:rFonts w:cs="Times New Roman"/>
          <w:sz w:val="24"/>
          <w:szCs w:val="24"/>
        </w:rPr>
        <w:t>×</w:t>
      </w:r>
      <w:r w:rsidRPr="004C751C">
        <w:rPr>
          <w:rFonts w:eastAsiaTheme="minorEastAsia" w:cs="Times New Roman"/>
          <w:sz w:val="24"/>
          <w:szCs w:val="24"/>
        </w:rPr>
        <w:t>MCWD</w:t>
      </w:r>
      <w:r>
        <w:rPr>
          <w:rFonts w:eastAsiaTheme="minorEastAsia" w:cs="Times New Roman"/>
          <w:sz w:val="24"/>
          <w:szCs w:val="24"/>
        </w:rPr>
        <w:t xml:space="preserve"> </w:t>
      </w:r>
      <w:r w:rsidRPr="004C751C">
        <w:rPr>
          <w:rFonts w:eastAsiaTheme="minorEastAsia" w:cs="Times New Roman"/>
          <w:sz w:val="24"/>
          <w:szCs w:val="24"/>
        </w:rPr>
        <w:t>+</w:t>
      </w:r>
      <w:r>
        <w:rPr>
          <w:rFonts w:eastAsiaTheme="minorEastAsia" w:cs="Times New Roman"/>
          <w:sz w:val="24"/>
          <w:szCs w:val="24"/>
        </w:rPr>
        <w:t xml:space="preserve"> d</w:t>
      </w:r>
      <w:r w:rsidRPr="00421723">
        <w:rPr>
          <w:rFonts w:cs="Times New Roman"/>
          <w:sz w:val="24"/>
          <w:szCs w:val="24"/>
        </w:rPr>
        <w:t>×</w:t>
      </w:r>
      <w:r>
        <w:rPr>
          <w:rFonts w:eastAsiaTheme="minorEastAsia" w:cs="Times New Roman"/>
          <w:sz w:val="24"/>
          <w:szCs w:val="24"/>
        </w:rPr>
        <w:t>CRT</w:t>
      </w:r>
      <w:r w:rsidR="00EF5658">
        <w:rPr>
          <w:rFonts w:eastAsiaTheme="minorEastAsia" w:cs="Times New Roman"/>
          <w:sz w:val="24"/>
          <w:szCs w:val="24"/>
        </w:rPr>
        <w:t xml:space="preserve"> </w:t>
      </w:r>
      <w:r>
        <w:rPr>
          <w:rFonts w:eastAsiaTheme="minorEastAsia" w:cs="Times New Roman"/>
          <w:sz w:val="24"/>
          <w:szCs w:val="24"/>
        </w:rPr>
        <w:t xml:space="preserve">(model 4). </w:t>
      </w:r>
      <w:r w:rsidRPr="007209AA" w:rsidDel="00944E42">
        <w:rPr>
          <w:rFonts w:eastAsia="Times New Roman" w:cs="Times New Roman"/>
          <w:sz w:val="24"/>
          <w:szCs w:val="24"/>
          <w:lang w:eastAsia="nl-BE"/>
        </w:rPr>
        <w:t xml:space="preserve">WD was retained </w:t>
      </w:r>
      <w:r w:rsidRPr="007209AA">
        <w:rPr>
          <w:rFonts w:eastAsia="Times New Roman" w:cs="Times New Roman"/>
          <w:sz w:val="24"/>
          <w:szCs w:val="24"/>
          <w:lang w:eastAsia="nl-BE"/>
        </w:rPr>
        <w:t>in the carbon gain model</w:t>
      </w:r>
      <w:r>
        <w:rPr>
          <w:rFonts w:eastAsia="Times New Roman" w:cs="Times New Roman"/>
          <w:sz w:val="24"/>
          <w:szCs w:val="24"/>
          <w:lang w:eastAsia="nl-BE"/>
        </w:rPr>
        <w:t xml:space="preserve">, likely </w:t>
      </w:r>
      <w:r w:rsidRPr="007209AA" w:rsidDel="00944E42">
        <w:rPr>
          <w:rFonts w:eastAsia="Times New Roman" w:cs="Times New Roman"/>
          <w:sz w:val="24"/>
          <w:szCs w:val="24"/>
          <w:lang w:eastAsia="nl-BE"/>
        </w:rPr>
        <w:t xml:space="preserve">because growth is primarily impacted by resource availability, while CRT was retained in the carbon </w:t>
      </w:r>
      <w:r w:rsidRPr="007209AA">
        <w:rPr>
          <w:rFonts w:eastAsia="Times New Roman" w:cs="Times New Roman"/>
          <w:sz w:val="24"/>
          <w:szCs w:val="24"/>
          <w:lang w:eastAsia="nl-BE"/>
        </w:rPr>
        <w:t>loss</w:t>
      </w:r>
      <w:r w:rsidRPr="007209AA" w:rsidDel="00944E42">
        <w:rPr>
          <w:rFonts w:eastAsia="Times New Roman" w:cs="Times New Roman"/>
          <w:sz w:val="24"/>
          <w:szCs w:val="24"/>
          <w:lang w:eastAsia="nl-BE"/>
        </w:rPr>
        <w:t xml:space="preserve"> model, likely </w:t>
      </w:r>
      <w:r>
        <w:rPr>
          <w:rFonts w:eastAsia="Times New Roman" w:cs="Times New Roman"/>
          <w:sz w:val="24"/>
          <w:szCs w:val="24"/>
          <w:lang w:eastAsia="nl-BE"/>
        </w:rPr>
        <w:t xml:space="preserve">because losses are </w:t>
      </w:r>
      <w:r w:rsidRPr="007209AA" w:rsidDel="00944E42">
        <w:rPr>
          <w:rFonts w:eastAsia="Times New Roman" w:cs="Times New Roman"/>
          <w:sz w:val="24"/>
          <w:szCs w:val="24"/>
          <w:lang w:eastAsia="nl-BE"/>
        </w:rPr>
        <w:t>primarily impacted by how long fixed carbon is retained in the system</w:t>
      </w:r>
      <w:r>
        <w:rPr>
          <w:rFonts w:eastAsia="Times New Roman" w:cs="Times New Roman"/>
          <w:sz w:val="24"/>
          <w:szCs w:val="24"/>
          <w:lang w:eastAsia="nl-BE"/>
        </w:rPr>
        <w:t xml:space="preserve">. </w:t>
      </w:r>
    </w:p>
    <w:p w:rsidR="00B43E3C" w:rsidRDefault="00B43E3C" w:rsidP="00726F1B"/>
    <w:p w:rsidR="00B43E3C" w:rsidRPr="0025307F" w:rsidRDefault="00B43E3C" w:rsidP="00726F1B">
      <w:pPr>
        <w:rPr>
          <w:rFonts w:cs="Times New Roman"/>
          <w:color w:val="000000" w:themeColor="text1"/>
          <w:sz w:val="24"/>
          <w:szCs w:val="24"/>
        </w:rPr>
      </w:pPr>
      <w:r w:rsidRPr="0025307F">
        <w:rPr>
          <w:rFonts w:cs="Times New Roman"/>
          <w:sz w:val="24"/>
          <w:szCs w:val="24"/>
        </w:rPr>
        <w:t xml:space="preserve">Table 2 presents model coefficients of the best-ranked </w:t>
      </w:r>
      <w:r>
        <w:rPr>
          <w:rFonts w:cs="Times New Roman"/>
          <w:sz w:val="24"/>
          <w:szCs w:val="24"/>
        </w:rPr>
        <w:t>gain model and best-ranked loss</w:t>
      </w:r>
      <w:r w:rsidRPr="0025307F">
        <w:rPr>
          <w:rFonts w:cs="Times New Roman"/>
          <w:sz w:val="24"/>
          <w:szCs w:val="24"/>
        </w:rPr>
        <w:t xml:space="preserve"> model</w:t>
      </w:r>
      <w:r>
        <w:rPr>
          <w:rFonts w:cs="Times New Roman"/>
          <w:sz w:val="24"/>
          <w:szCs w:val="24"/>
        </w:rPr>
        <w:t xml:space="preserve"> </w:t>
      </w:r>
      <w:r w:rsidRPr="0025307F">
        <w:rPr>
          <w:rFonts w:cs="Times New Roman"/>
          <w:sz w:val="24"/>
          <w:szCs w:val="24"/>
        </w:rPr>
        <w:t>selected using all-subsets</w:t>
      </w:r>
      <w:r>
        <w:rPr>
          <w:rFonts w:cs="Times New Roman"/>
          <w:sz w:val="24"/>
          <w:szCs w:val="24"/>
        </w:rPr>
        <w:t xml:space="preserve"> regression. </w:t>
      </w:r>
      <w:r w:rsidRPr="0025307F">
        <w:rPr>
          <w:rFonts w:cs="Times New Roman"/>
          <w:sz w:val="24"/>
          <w:szCs w:val="24"/>
        </w:rPr>
        <w:t xml:space="preserve">These best-ranked gain and loss models have weights of 0.310 </w:t>
      </w:r>
      <w:r w:rsidRPr="0025307F">
        <w:rPr>
          <w:rFonts w:cs="Times New Roman"/>
          <w:sz w:val="24"/>
          <w:szCs w:val="24"/>
        </w:rPr>
        <w:lastRenderedPageBreak/>
        <w:t xml:space="preserve">and 0.132 respectively, which is almost double the weight of the second ranked models (0.152 and 0.075 respectively). </w:t>
      </w:r>
      <w:r>
        <w:rPr>
          <w:rFonts w:cs="Times New Roman"/>
          <w:sz w:val="24"/>
          <w:szCs w:val="24"/>
        </w:rPr>
        <w:t xml:space="preserve">In Supplementary Table 2 </w:t>
      </w:r>
      <w:r w:rsidRPr="0025307F">
        <w:rPr>
          <w:rFonts w:cs="Times New Roman"/>
          <w:sz w:val="24"/>
          <w:szCs w:val="24"/>
        </w:rPr>
        <w:t xml:space="preserve">we also used the model.avg function of the MuMIn package to calculate a weighted mean of the coefficients of the best-ranked models together representing a cumulative weight-sum of 0.95 (i.e. a 95% confidence subset). </w:t>
      </w:r>
      <w:r w:rsidRPr="0025307F">
        <w:rPr>
          <w:rFonts w:cs="Times New Roman"/>
          <w:color w:val="000000" w:themeColor="text1"/>
          <w:sz w:val="24"/>
          <w:szCs w:val="24"/>
        </w:rPr>
        <w:t xml:space="preserve">Supplementary Table 2 </w:t>
      </w:r>
      <w:r>
        <w:rPr>
          <w:rFonts w:cs="Times New Roman"/>
          <w:color w:val="000000" w:themeColor="text1"/>
          <w:sz w:val="24"/>
          <w:szCs w:val="24"/>
        </w:rPr>
        <w:t xml:space="preserve">(model-averaged) </w:t>
      </w:r>
      <w:r w:rsidRPr="0025307F">
        <w:rPr>
          <w:rFonts w:cs="Times New Roman"/>
          <w:color w:val="000000" w:themeColor="text1"/>
          <w:sz w:val="24"/>
          <w:szCs w:val="24"/>
        </w:rPr>
        <w:t xml:space="preserve">and </w:t>
      </w:r>
      <w:r>
        <w:rPr>
          <w:rFonts w:cs="Times New Roman"/>
          <w:color w:val="000000" w:themeColor="text1"/>
          <w:sz w:val="24"/>
          <w:szCs w:val="24"/>
        </w:rPr>
        <w:t xml:space="preserve">main text Table 2 (best-ranked) model parameters </w:t>
      </w:r>
      <w:r w:rsidRPr="0025307F">
        <w:rPr>
          <w:rFonts w:cs="Times New Roman"/>
          <w:color w:val="000000" w:themeColor="text1"/>
          <w:sz w:val="24"/>
          <w:szCs w:val="24"/>
        </w:rPr>
        <w:t>are very similar. Supplementary Tables 3 and 4 report the complete sets of carbon gains and loss models that contribut</w:t>
      </w:r>
      <w:r>
        <w:rPr>
          <w:rFonts w:cs="Times New Roman"/>
          <w:color w:val="000000" w:themeColor="text1"/>
          <w:sz w:val="24"/>
          <w:szCs w:val="24"/>
        </w:rPr>
        <w:t>e to the model average results.</w:t>
      </w:r>
    </w:p>
    <w:p w:rsidR="00B43E3C" w:rsidRPr="0025307F" w:rsidRDefault="00B43E3C" w:rsidP="00726F1B">
      <w:pPr>
        <w:rPr>
          <w:rFonts w:cs="Times New Roman"/>
          <w:sz w:val="24"/>
          <w:szCs w:val="24"/>
          <w:lang w:val="en-GB"/>
        </w:rPr>
      </w:pPr>
    </w:p>
    <w:p w:rsidR="00B43E3C" w:rsidRPr="001D1AD6" w:rsidRDefault="00B43E3C" w:rsidP="00726F1B">
      <w:pPr>
        <w:rPr>
          <w:rFonts w:cs="Times New Roman"/>
          <w:sz w:val="24"/>
          <w:szCs w:val="24"/>
        </w:rPr>
      </w:pPr>
      <w:r w:rsidRPr="0025307F">
        <w:rPr>
          <w:rFonts w:cs="Times New Roman"/>
          <w:sz w:val="24"/>
          <w:szCs w:val="24"/>
        </w:rPr>
        <w:t xml:space="preserve">The </w:t>
      </w:r>
      <w:r>
        <w:rPr>
          <w:rFonts w:cs="Times New Roman"/>
          <w:sz w:val="24"/>
          <w:szCs w:val="24"/>
        </w:rPr>
        <w:t>model-</w:t>
      </w:r>
      <w:r w:rsidRPr="0025307F">
        <w:rPr>
          <w:rFonts w:cs="Times New Roman"/>
          <w:sz w:val="24"/>
          <w:szCs w:val="24"/>
        </w:rPr>
        <w:t>average</w:t>
      </w:r>
      <w:r>
        <w:rPr>
          <w:rFonts w:cs="Times New Roman"/>
          <w:sz w:val="24"/>
          <w:szCs w:val="24"/>
        </w:rPr>
        <w:t xml:space="preserve"> results</w:t>
      </w:r>
      <w:r w:rsidRPr="0025307F">
        <w:rPr>
          <w:rFonts w:cs="Times New Roman"/>
          <w:sz w:val="24"/>
          <w:szCs w:val="24"/>
        </w:rPr>
        <w:t xml:space="preserve"> show the same continental differences in sensitivity to environmental variables</w:t>
      </w:r>
      <w:r>
        <w:rPr>
          <w:rFonts w:cs="Times New Roman"/>
          <w:sz w:val="24"/>
          <w:szCs w:val="24"/>
        </w:rPr>
        <w:t xml:space="preserve"> as the best-ranked models</w:t>
      </w:r>
      <w:r w:rsidRPr="0025307F">
        <w:rPr>
          <w:rFonts w:cs="Times New Roman"/>
          <w:sz w:val="24"/>
          <w:szCs w:val="24"/>
        </w:rPr>
        <w:t>. From 2000 to 2015, carbon gains increased due to CO</w:t>
      </w:r>
      <w:r w:rsidRPr="0025307F">
        <w:rPr>
          <w:rFonts w:cs="Times New Roman"/>
          <w:sz w:val="24"/>
          <w:szCs w:val="24"/>
          <w:vertAlign w:val="subscript"/>
        </w:rPr>
        <w:t>2</w:t>
      </w:r>
      <w:r w:rsidRPr="0025307F">
        <w:rPr>
          <w:rFonts w:cs="Times New Roman"/>
          <w:sz w:val="24"/>
          <w:szCs w:val="24"/>
        </w:rPr>
        <w:t>-change (+3.7% in both the averaged and the best-ranked models, both continents), while temperature rises led to a decline in gains, which especially had an effect in the Amazon (-1.14% and -1.07% due to MAT and MAT-change together in the averaged and best-ranked model respectively). Finally, both models result in similar predictions of the net carbon sink over the 1983-2040 period: the future net sink trend in Africa is -0.004 and -0.003 in the best-ranked and averaged models respectively; in Amazonia the future net sink trend is -0.013 and -0.011 in the best-ranked and averaged models respectively. The Amazon sink reaches zero in 2041 using model-averaged parameters compared to 2035 using the best-ranked models.</w:t>
      </w:r>
    </w:p>
    <w:p w:rsidR="00B43E3C" w:rsidRDefault="00B43E3C" w:rsidP="00726F1B"/>
    <w:p w:rsidR="00B43E3C" w:rsidRPr="00165E9B" w:rsidRDefault="00B43E3C" w:rsidP="00726F1B">
      <w:pPr>
        <w:pStyle w:val="Heading2"/>
      </w:pPr>
      <w:r>
        <w:t>Estimating Future Predictor Variables to 2040</w:t>
      </w:r>
    </w:p>
    <w:p w:rsidR="00B43E3C" w:rsidRDefault="00B43E3C" w:rsidP="00726F1B">
      <w:pPr>
        <w:rPr>
          <w:rFonts w:cs="Times New Roman"/>
          <w:sz w:val="24"/>
          <w:szCs w:val="24"/>
        </w:rPr>
      </w:pPr>
      <w:r w:rsidRPr="0076420C">
        <w:rPr>
          <w:rFonts w:cs="Times New Roman"/>
          <w:sz w:val="24"/>
          <w:szCs w:val="24"/>
        </w:rPr>
        <w:t>To calculate future modelled trends in carbon gain</w:t>
      </w:r>
      <w:r>
        <w:rPr>
          <w:rFonts w:cs="Times New Roman"/>
          <w:sz w:val="24"/>
          <w:szCs w:val="24"/>
        </w:rPr>
        <w:t>s</w:t>
      </w:r>
      <w:r w:rsidRPr="0076420C">
        <w:rPr>
          <w:rFonts w:cs="Times New Roman"/>
          <w:sz w:val="24"/>
          <w:szCs w:val="24"/>
        </w:rPr>
        <w:t xml:space="preserve"> and loss</w:t>
      </w:r>
      <w:r>
        <w:rPr>
          <w:rFonts w:cs="Times New Roman"/>
          <w:sz w:val="24"/>
          <w:szCs w:val="24"/>
        </w:rPr>
        <w:t>es</w:t>
      </w:r>
      <w:r w:rsidRPr="0076420C">
        <w:rPr>
          <w:rFonts w:cs="Times New Roman"/>
          <w:sz w:val="24"/>
          <w:szCs w:val="24"/>
        </w:rPr>
        <w:t xml:space="preserve"> (Figure 3), we </w:t>
      </w:r>
      <w:r>
        <w:rPr>
          <w:rFonts w:cs="Times New Roman"/>
          <w:sz w:val="24"/>
          <w:szCs w:val="24"/>
        </w:rPr>
        <w:t>first estimated</w:t>
      </w:r>
      <w:r w:rsidRPr="0076420C">
        <w:rPr>
          <w:rFonts w:cs="Times New Roman"/>
          <w:sz w:val="24"/>
          <w:szCs w:val="24"/>
        </w:rPr>
        <w:t xml:space="preserve"> annual records </w:t>
      </w:r>
      <w:r>
        <w:rPr>
          <w:rFonts w:cs="Times New Roman"/>
          <w:sz w:val="24"/>
          <w:szCs w:val="24"/>
        </w:rPr>
        <w:t>of the predictor variables (</w:t>
      </w:r>
      <w:r w:rsidRPr="007209AA">
        <w:rPr>
          <w:rFonts w:cs="Times New Roman"/>
          <w:sz w:val="24"/>
          <w:szCs w:val="24"/>
        </w:rPr>
        <w:t>CO</w:t>
      </w:r>
      <w:r w:rsidRPr="007209AA">
        <w:rPr>
          <w:rFonts w:cs="Times New Roman"/>
          <w:sz w:val="24"/>
          <w:szCs w:val="24"/>
          <w:vertAlign w:val="subscript"/>
        </w:rPr>
        <w:t>2</w:t>
      </w:r>
      <w:r w:rsidRPr="007209AA">
        <w:rPr>
          <w:rFonts w:cs="Times New Roman"/>
          <w:sz w:val="24"/>
          <w:szCs w:val="24"/>
        </w:rPr>
        <w:t xml:space="preserve">-change, MAT, MAT-change, </w:t>
      </w:r>
      <w:r>
        <w:rPr>
          <w:rFonts w:cs="Times New Roman"/>
          <w:sz w:val="24"/>
          <w:szCs w:val="24"/>
        </w:rPr>
        <w:t xml:space="preserve">MCWD, </w:t>
      </w:r>
      <w:r w:rsidRPr="007209AA">
        <w:rPr>
          <w:rFonts w:cs="Times New Roman"/>
          <w:sz w:val="24"/>
          <w:szCs w:val="24"/>
        </w:rPr>
        <w:t>WD and CRT</w:t>
      </w:r>
      <w:r>
        <w:rPr>
          <w:rFonts w:cs="Times New Roman"/>
          <w:sz w:val="24"/>
          <w:szCs w:val="24"/>
        </w:rPr>
        <w:t xml:space="preserve">) to 2040 (Extended Data Figure 5). </w:t>
      </w:r>
    </w:p>
    <w:p w:rsidR="00B43E3C" w:rsidRDefault="00B43E3C" w:rsidP="00726F1B">
      <w:pPr>
        <w:rPr>
          <w:rFonts w:cs="Times New Roman"/>
          <w:sz w:val="24"/>
          <w:szCs w:val="24"/>
        </w:rPr>
      </w:pPr>
    </w:p>
    <w:p w:rsidR="00B43E3C" w:rsidRPr="00165E9B" w:rsidRDefault="00B43E3C" w:rsidP="00726F1B">
      <w:pPr>
        <w:rPr>
          <w:rFonts w:cs="Times New Roman"/>
          <w:sz w:val="24"/>
          <w:szCs w:val="24"/>
        </w:rPr>
      </w:pPr>
      <w:r>
        <w:rPr>
          <w:rFonts w:cs="Times New Roman"/>
          <w:sz w:val="24"/>
          <w:szCs w:val="24"/>
          <w:lang w:val="en-GB"/>
        </w:rPr>
        <w:lastRenderedPageBreak/>
        <w:t xml:space="preserve">To do so </w:t>
      </w:r>
      <w:r>
        <w:rPr>
          <w:rFonts w:cs="Times New Roman"/>
          <w:sz w:val="24"/>
          <w:szCs w:val="24"/>
        </w:rPr>
        <w:t>w</w:t>
      </w:r>
      <w:r w:rsidRPr="00DC7F60">
        <w:rPr>
          <w:rFonts w:cs="Times New Roman"/>
          <w:sz w:val="24"/>
          <w:szCs w:val="24"/>
          <w:lang w:val="en-GB"/>
        </w:rPr>
        <w:t xml:space="preserve">e first calculated annual records for </w:t>
      </w:r>
      <w:r>
        <w:rPr>
          <w:rFonts w:cs="Times New Roman"/>
          <w:sz w:val="24"/>
          <w:szCs w:val="24"/>
          <w:lang w:val="en-GB"/>
        </w:rPr>
        <w:t xml:space="preserve">the </w:t>
      </w:r>
      <w:r w:rsidRPr="00DC7F60">
        <w:rPr>
          <w:rFonts w:cs="Times New Roman"/>
          <w:sz w:val="24"/>
          <w:szCs w:val="24"/>
          <w:lang w:val="en-GB"/>
        </w:rPr>
        <w:t>period of the observe</w:t>
      </w:r>
      <w:r>
        <w:rPr>
          <w:rFonts w:cs="Times New Roman"/>
          <w:sz w:val="24"/>
          <w:szCs w:val="24"/>
          <w:lang w:val="en-GB"/>
        </w:rPr>
        <w:t>d trends for each plot location (</w:t>
      </w:r>
      <w:r w:rsidRPr="00DC7F60">
        <w:rPr>
          <w:rFonts w:cs="Times New Roman"/>
          <w:sz w:val="24"/>
          <w:szCs w:val="24"/>
          <w:lang w:val="en-GB"/>
        </w:rPr>
        <w:t xml:space="preserve">i.e. </w:t>
      </w:r>
      <w:r>
        <w:rPr>
          <w:rFonts w:cs="Times New Roman"/>
          <w:sz w:val="24"/>
          <w:szCs w:val="24"/>
          <w:lang w:val="en-GB"/>
        </w:rPr>
        <w:t xml:space="preserve">from 1983-2014 in Africa and 1983-2011.5 </w:t>
      </w:r>
      <w:r w:rsidRPr="00DC7F60">
        <w:rPr>
          <w:rFonts w:cs="Times New Roman"/>
          <w:sz w:val="24"/>
          <w:szCs w:val="24"/>
          <w:lang w:val="en-GB"/>
        </w:rPr>
        <w:t>in Amazonia</w:t>
      </w:r>
      <w:r>
        <w:rPr>
          <w:rFonts w:cs="Times New Roman"/>
          <w:sz w:val="24"/>
          <w:szCs w:val="24"/>
          <w:lang w:val="en-GB"/>
        </w:rPr>
        <w:t>). F</w:t>
      </w:r>
      <w:r w:rsidRPr="00DC7F60">
        <w:rPr>
          <w:rFonts w:cs="Times New Roman"/>
          <w:sz w:val="24"/>
          <w:szCs w:val="24"/>
          <w:lang w:val="en-GB"/>
        </w:rPr>
        <w:t>or CO</w:t>
      </w:r>
      <w:r w:rsidRPr="00DC7F60">
        <w:rPr>
          <w:rFonts w:cs="Times New Roman"/>
          <w:sz w:val="24"/>
          <w:szCs w:val="24"/>
          <w:vertAlign w:val="subscript"/>
          <w:lang w:val="en-GB"/>
        </w:rPr>
        <w:t>2</w:t>
      </w:r>
      <w:r>
        <w:rPr>
          <w:rFonts w:cs="Times New Roman"/>
          <w:sz w:val="24"/>
          <w:szCs w:val="24"/>
          <w:lang w:val="en-GB"/>
        </w:rPr>
        <w:t>-change, MAT, MAT-change and</w:t>
      </w:r>
      <w:r w:rsidRPr="00DC7F60">
        <w:rPr>
          <w:rFonts w:cs="Times New Roman"/>
          <w:sz w:val="24"/>
          <w:szCs w:val="24"/>
          <w:lang w:val="en-GB"/>
        </w:rPr>
        <w:t xml:space="preserve"> MCWD </w:t>
      </w:r>
      <w:r>
        <w:rPr>
          <w:rFonts w:cs="Times New Roman"/>
          <w:sz w:val="24"/>
          <w:szCs w:val="24"/>
          <w:lang w:val="en-GB"/>
        </w:rPr>
        <w:t xml:space="preserve">we extracted monthly records as </w:t>
      </w:r>
      <w:r w:rsidRPr="00DC7F60">
        <w:rPr>
          <w:rFonts w:cs="Times New Roman"/>
          <w:sz w:val="24"/>
          <w:szCs w:val="24"/>
          <w:lang w:val="en-GB"/>
        </w:rPr>
        <w:t>described in section Pred</w:t>
      </w:r>
      <w:r>
        <w:rPr>
          <w:rFonts w:cs="Times New Roman"/>
          <w:sz w:val="24"/>
          <w:szCs w:val="24"/>
          <w:lang w:val="en-GB"/>
        </w:rPr>
        <w:t>ictor Variable Estimates (above).</w:t>
      </w:r>
      <w:r w:rsidRPr="00DC7F60">
        <w:rPr>
          <w:rFonts w:cs="Times New Roman"/>
          <w:sz w:val="24"/>
          <w:szCs w:val="24"/>
          <w:lang w:val="en-GB"/>
        </w:rPr>
        <w:t xml:space="preserve"> </w:t>
      </w:r>
      <w:r>
        <w:rPr>
          <w:rFonts w:cs="Times New Roman"/>
          <w:sz w:val="24"/>
          <w:szCs w:val="24"/>
          <w:lang w:val="en-GB"/>
        </w:rPr>
        <w:t xml:space="preserve">For </w:t>
      </w:r>
      <w:r w:rsidRPr="00DC7F60">
        <w:rPr>
          <w:rFonts w:cs="Times New Roman"/>
          <w:sz w:val="24"/>
          <w:szCs w:val="24"/>
          <w:lang w:val="en-GB"/>
        </w:rPr>
        <w:t xml:space="preserve">WD and CRT we interpolated to a 0.1-yr period within </w:t>
      </w:r>
      <w:r>
        <w:rPr>
          <w:rFonts w:cs="Times New Roman"/>
          <w:sz w:val="24"/>
          <w:szCs w:val="24"/>
          <w:lang w:val="en-GB"/>
        </w:rPr>
        <w:t xml:space="preserve">each </w:t>
      </w:r>
      <w:r w:rsidRPr="00DC7F60">
        <w:rPr>
          <w:rFonts w:cs="Times New Roman"/>
          <w:sz w:val="24"/>
          <w:szCs w:val="24"/>
          <w:lang w:val="en-GB"/>
        </w:rPr>
        <w:t>census interval (as in Figure 1).</w:t>
      </w:r>
      <w:r>
        <w:rPr>
          <w:rFonts w:cs="Times New Roman"/>
          <w:sz w:val="24"/>
          <w:szCs w:val="24"/>
          <w:lang w:val="en-GB"/>
        </w:rPr>
        <w:t xml:space="preserve"> </w:t>
      </w:r>
      <w:r w:rsidRPr="0025307F">
        <w:rPr>
          <w:rFonts w:cs="Times New Roman"/>
          <w:sz w:val="24"/>
          <w:szCs w:val="24"/>
          <w:lang w:val="en-GB"/>
        </w:rPr>
        <w:t>Then, we calculated the mean annual value of each predictor variable from the 244 plot locations in Africa, and separately the mean annual value of each predictor variable from the 321 plot locations in Amazonia (i.e. solid lines in ED Figure 5</w:t>
      </w:r>
      <w:r>
        <w:rPr>
          <w:rFonts w:cs="Times New Roman"/>
          <w:sz w:val="24"/>
          <w:szCs w:val="24"/>
          <w:lang w:val="en-GB"/>
        </w:rPr>
        <w:t>)</w:t>
      </w:r>
      <w:r w:rsidRPr="0025307F">
        <w:rPr>
          <w:rFonts w:cs="Times New Roman"/>
          <w:sz w:val="24"/>
          <w:szCs w:val="24"/>
          <w:lang w:val="en-GB"/>
        </w:rPr>
        <w:t xml:space="preserve">. For each predictor variable, we calculated annual records of upper and lower confidence intervals by respectively adding and subtracting 2σ to the mean of each annual value (shaded area in ED Figure 5). </w:t>
      </w:r>
    </w:p>
    <w:p w:rsidR="00B43E3C" w:rsidRPr="0025307F" w:rsidRDefault="00B43E3C" w:rsidP="00726F1B">
      <w:pPr>
        <w:rPr>
          <w:rFonts w:cs="Times New Roman"/>
          <w:sz w:val="24"/>
          <w:szCs w:val="24"/>
          <w:lang w:val="en-GB"/>
        </w:rPr>
      </w:pPr>
    </w:p>
    <w:p w:rsidR="00B43E3C" w:rsidRPr="00477ACC" w:rsidRDefault="00B43E3C" w:rsidP="00726F1B">
      <w:pPr>
        <w:rPr>
          <w:rFonts w:cs="Times New Roman"/>
          <w:sz w:val="24"/>
          <w:szCs w:val="24"/>
        </w:rPr>
      </w:pPr>
      <w:r>
        <w:rPr>
          <w:rFonts w:cs="Times New Roman"/>
          <w:sz w:val="24"/>
          <w:szCs w:val="24"/>
        </w:rPr>
        <w:t>Secondly, f</w:t>
      </w:r>
      <w:r w:rsidRPr="00F95328">
        <w:rPr>
          <w:rFonts w:cs="Times New Roman"/>
          <w:sz w:val="24"/>
          <w:szCs w:val="24"/>
        </w:rPr>
        <w:t xml:space="preserve">or each predictor variable </w:t>
      </w:r>
      <w:r w:rsidRPr="0025307F">
        <w:rPr>
          <w:rFonts w:cs="Times New Roman"/>
          <w:sz w:val="24"/>
          <w:szCs w:val="24"/>
        </w:rPr>
        <w:t xml:space="preserve">we parameterised a linear model for each continent using the </w:t>
      </w:r>
      <w:r w:rsidRPr="00DC7F60">
        <w:rPr>
          <w:rFonts w:cs="Times New Roman"/>
          <w:sz w:val="24"/>
          <w:szCs w:val="24"/>
          <w:lang w:val="en-GB"/>
        </w:rPr>
        <w:t xml:space="preserve">annual records for </w:t>
      </w:r>
      <w:r>
        <w:rPr>
          <w:rFonts w:cs="Times New Roman"/>
          <w:sz w:val="24"/>
          <w:szCs w:val="24"/>
          <w:lang w:val="en-GB"/>
        </w:rPr>
        <w:t xml:space="preserve">the </w:t>
      </w:r>
      <w:r w:rsidRPr="00DC7F60">
        <w:rPr>
          <w:rFonts w:cs="Times New Roman"/>
          <w:sz w:val="24"/>
          <w:szCs w:val="24"/>
          <w:lang w:val="en-GB"/>
        </w:rPr>
        <w:t>period of the observe</w:t>
      </w:r>
      <w:r>
        <w:rPr>
          <w:rFonts w:cs="Times New Roman"/>
          <w:sz w:val="24"/>
          <w:szCs w:val="24"/>
          <w:lang w:val="en-GB"/>
        </w:rPr>
        <w:t>d trends.</w:t>
      </w:r>
      <w:r>
        <w:rPr>
          <w:rFonts w:cs="Times New Roman"/>
          <w:sz w:val="24"/>
          <w:szCs w:val="24"/>
        </w:rPr>
        <w:t xml:space="preserve"> Then f</w:t>
      </w:r>
      <w:r w:rsidRPr="0025307F">
        <w:rPr>
          <w:rFonts w:cs="Times New Roman"/>
          <w:sz w:val="24"/>
          <w:szCs w:val="24"/>
        </w:rPr>
        <w:t>or each predictor variable, the continent-specific linear regression models were used to estimate predictor variables for each plot location from 2014 to 2040 in Africa and from 2011.5 to 2040 in the Amazon (dotted lines in Extended Data Figure 5).</w:t>
      </w:r>
      <w:r w:rsidRPr="003C1458">
        <w:rPr>
          <w:rFonts w:cs="Times New Roman"/>
          <w:sz w:val="24"/>
          <w:szCs w:val="24"/>
          <w:lang w:val="en-GB"/>
        </w:rPr>
        <w:t xml:space="preserve"> </w:t>
      </w:r>
      <w:r w:rsidRPr="0025307F">
        <w:rPr>
          <w:rFonts w:cs="Times New Roman"/>
          <w:sz w:val="24"/>
          <w:szCs w:val="24"/>
          <w:lang w:val="en-GB"/>
        </w:rPr>
        <w:t xml:space="preserve">For each predictor variable, we calculated annual records of upper and lower confidence intervals by respectively adding and subtracting 2σ to the </w:t>
      </w:r>
      <w:r>
        <w:rPr>
          <w:rFonts w:cs="Times New Roman"/>
          <w:sz w:val="24"/>
          <w:szCs w:val="24"/>
          <w:lang w:val="en-GB"/>
        </w:rPr>
        <w:t>slope of each linear model</w:t>
      </w:r>
      <w:r w:rsidRPr="0025307F">
        <w:rPr>
          <w:rFonts w:cs="Times New Roman"/>
          <w:sz w:val="24"/>
          <w:szCs w:val="24"/>
          <w:lang w:val="en-GB"/>
        </w:rPr>
        <w:t xml:space="preserve"> (shaded area</w:t>
      </w:r>
      <w:r>
        <w:rPr>
          <w:rFonts w:cs="Times New Roman"/>
          <w:sz w:val="24"/>
          <w:szCs w:val="24"/>
          <w:lang w:val="en-GB"/>
        </w:rPr>
        <w:t xml:space="preserve"> around dotted lines</w:t>
      </w:r>
      <w:r w:rsidRPr="0025307F">
        <w:rPr>
          <w:rFonts w:cs="Times New Roman"/>
          <w:sz w:val="24"/>
          <w:szCs w:val="24"/>
          <w:lang w:val="en-GB"/>
        </w:rPr>
        <w:t xml:space="preserve"> in ED Figure 5).</w:t>
      </w:r>
    </w:p>
    <w:p w:rsidR="00B43E3C" w:rsidRPr="0076420C" w:rsidRDefault="00B43E3C" w:rsidP="00726F1B">
      <w:pPr>
        <w:rPr>
          <w:rFonts w:cs="Times New Roman"/>
          <w:sz w:val="24"/>
          <w:szCs w:val="24"/>
          <w:lang w:val="en-GB"/>
        </w:rPr>
      </w:pPr>
    </w:p>
    <w:p w:rsidR="00B43E3C" w:rsidRPr="006E612C" w:rsidRDefault="00B43E3C" w:rsidP="00726F1B">
      <w:pPr>
        <w:pStyle w:val="Heading2"/>
        <w:rPr>
          <w:rFonts w:cs="Times New Roman"/>
          <w:szCs w:val="24"/>
        </w:rPr>
      </w:pPr>
      <w:r>
        <w:rPr>
          <w:rFonts w:cs="Times New Roman"/>
          <w:szCs w:val="24"/>
        </w:rPr>
        <w:t>Estimating F</w:t>
      </w:r>
      <w:r w:rsidRPr="00B23FBB">
        <w:rPr>
          <w:rFonts w:cs="Times New Roman"/>
          <w:szCs w:val="24"/>
        </w:rPr>
        <w:t xml:space="preserve">uture </w:t>
      </w:r>
      <w:r>
        <w:rPr>
          <w:rFonts w:cs="Times New Roman"/>
          <w:szCs w:val="24"/>
        </w:rPr>
        <w:t>C</w:t>
      </w:r>
      <w:r w:rsidRPr="00B23FBB">
        <w:rPr>
          <w:rFonts w:cs="Times New Roman"/>
          <w:szCs w:val="24"/>
        </w:rPr>
        <w:t xml:space="preserve">arbon </w:t>
      </w:r>
      <w:r>
        <w:rPr>
          <w:rFonts w:cs="Times New Roman"/>
          <w:szCs w:val="24"/>
        </w:rPr>
        <w:t>G</w:t>
      </w:r>
      <w:r w:rsidRPr="00B23FBB">
        <w:rPr>
          <w:rFonts w:cs="Times New Roman"/>
          <w:szCs w:val="24"/>
        </w:rPr>
        <w:t xml:space="preserve">ain, </w:t>
      </w:r>
      <w:r>
        <w:rPr>
          <w:rFonts w:cs="Times New Roman"/>
          <w:szCs w:val="24"/>
        </w:rPr>
        <w:t>L</w:t>
      </w:r>
      <w:r w:rsidRPr="00B23FBB">
        <w:rPr>
          <w:rFonts w:cs="Times New Roman"/>
          <w:szCs w:val="24"/>
        </w:rPr>
        <w:t>oss and</w:t>
      </w:r>
      <w:r>
        <w:rPr>
          <w:rFonts w:cs="Times New Roman"/>
          <w:szCs w:val="24"/>
        </w:rPr>
        <w:t xml:space="preserve"> N</w:t>
      </w:r>
      <w:r w:rsidRPr="00B23FBB">
        <w:rPr>
          <w:rFonts w:cs="Times New Roman"/>
          <w:szCs w:val="24"/>
        </w:rPr>
        <w:t xml:space="preserve">et </w:t>
      </w:r>
      <w:r>
        <w:rPr>
          <w:rFonts w:cs="Times New Roman"/>
          <w:szCs w:val="24"/>
        </w:rPr>
        <w:t>C</w:t>
      </w:r>
      <w:r w:rsidRPr="00B23FBB">
        <w:rPr>
          <w:rFonts w:cs="Times New Roman"/>
          <w:szCs w:val="24"/>
        </w:rPr>
        <w:t xml:space="preserve">arbon </w:t>
      </w:r>
      <w:r>
        <w:rPr>
          <w:rFonts w:cs="Times New Roman"/>
          <w:szCs w:val="24"/>
        </w:rPr>
        <w:t>S</w:t>
      </w:r>
      <w:r w:rsidRPr="00B23FBB">
        <w:rPr>
          <w:rFonts w:cs="Times New Roman"/>
          <w:szCs w:val="24"/>
        </w:rPr>
        <w:t>ink</w:t>
      </w:r>
    </w:p>
    <w:p w:rsidR="00B43E3C" w:rsidRDefault="00B43E3C" w:rsidP="00726F1B">
      <w:pPr>
        <w:rPr>
          <w:rFonts w:cs="Times New Roman"/>
          <w:sz w:val="24"/>
          <w:szCs w:val="24"/>
        </w:rPr>
      </w:pPr>
      <w:r w:rsidRPr="006E612C">
        <w:rPr>
          <w:sz w:val="24"/>
          <w:szCs w:val="24"/>
        </w:rPr>
        <w:t xml:space="preserve">We used the minimum adequate models (Table 2) to predict annual records of carbon </w:t>
      </w:r>
      <w:r>
        <w:rPr>
          <w:sz w:val="24"/>
          <w:szCs w:val="24"/>
        </w:rPr>
        <w:t>gain,</w:t>
      </w:r>
      <w:r w:rsidRPr="006E612C">
        <w:rPr>
          <w:sz w:val="24"/>
          <w:szCs w:val="24"/>
        </w:rPr>
        <w:t xml:space="preserve"> carbon loss </w:t>
      </w:r>
      <w:r>
        <w:rPr>
          <w:sz w:val="24"/>
          <w:szCs w:val="24"/>
        </w:rPr>
        <w:t xml:space="preserve">and the carbon sink </w:t>
      </w:r>
      <w:r w:rsidRPr="006E612C">
        <w:rPr>
          <w:sz w:val="24"/>
          <w:szCs w:val="24"/>
        </w:rPr>
        <w:t>for the plot networks in Africa and Amazonia over the period 1983 through to 2040 (Figure 3). We extracted</w:t>
      </w:r>
      <w:r>
        <w:rPr>
          <w:sz w:val="24"/>
          <w:szCs w:val="24"/>
        </w:rPr>
        <w:t xml:space="preserve"> </w:t>
      </w:r>
      <w:r w:rsidRPr="006E612C">
        <w:rPr>
          <w:sz w:val="24"/>
          <w:szCs w:val="24"/>
        </w:rPr>
        <w:t>fitted carbon gain and loss values using the mean annual records for each predictor variable (predictSE.lme function, AICcmodavg package</w:t>
      </w:r>
      <w:r w:rsidRPr="00EB02F2">
        <w:rPr>
          <w:noProof/>
          <w:sz w:val="24"/>
          <w:szCs w:val="24"/>
          <w:vertAlign w:val="superscript"/>
        </w:rPr>
        <w:t>100</w:t>
      </w:r>
      <w:r>
        <w:rPr>
          <w:sz w:val="24"/>
          <w:szCs w:val="24"/>
        </w:rPr>
        <w:t>)</w:t>
      </w:r>
      <w:r w:rsidRPr="006E612C">
        <w:rPr>
          <w:sz w:val="24"/>
          <w:szCs w:val="24"/>
        </w:rPr>
        <w:t xml:space="preserve">. Upper and lower confidence intervals </w:t>
      </w:r>
      <w:r>
        <w:rPr>
          <w:sz w:val="24"/>
          <w:szCs w:val="24"/>
        </w:rPr>
        <w:t>were calculated</w:t>
      </w:r>
      <w:r w:rsidRPr="006E612C">
        <w:rPr>
          <w:sz w:val="24"/>
          <w:szCs w:val="24"/>
        </w:rPr>
        <w:t xml:space="preserve"> accounting for uncertainties in the model (both fixed and random ef</w:t>
      </w:r>
      <w:r>
        <w:rPr>
          <w:sz w:val="24"/>
          <w:szCs w:val="24"/>
        </w:rPr>
        <w:t xml:space="preserve">fects) and predictor variables using </w:t>
      </w:r>
      <w:r w:rsidRPr="006E612C">
        <w:rPr>
          <w:sz w:val="24"/>
          <w:szCs w:val="24"/>
        </w:rPr>
        <w:t xml:space="preserve">the 2σ upper </w:t>
      </w:r>
      <w:r w:rsidRPr="008A6C88">
        <w:rPr>
          <w:sz w:val="24"/>
          <w:szCs w:val="24"/>
        </w:rPr>
        <w:t xml:space="preserve">and lower confidence interval for each </w:t>
      </w:r>
      <w:r w:rsidRPr="008A6C88">
        <w:rPr>
          <w:sz w:val="24"/>
          <w:szCs w:val="24"/>
        </w:rPr>
        <w:lastRenderedPageBreak/>
        <w:t xml:space="preserve">predictor variable (using predictSE.lme). Finally the net carbon sink was calculated by subtracting the losses from the gains. </w:t>
      </w:r>
      <w:r w:rsidRPr="008A6C88">
        <w:rPr>
          <w:rFonts w:cs="Times New Roman"/>
          <w:sz w:val="24"/>
          <w:szCs w:val="24"/>
        </w:rPr>
        <w:t>To obtain sink values in the future in</w:t>
      </w:r>
      <w:r>
        <w:rPr>
          <w:rFonts w:cs="Times New Roman"/>
          <w:sz w:val="24"/>
          <w:szCs w:val="24"/>
        </w:rPr>
        <w:t xml:space="preserve"> Table 1</w:t>
      </w:r>
      <w:r w:rsidRPr="0076420C">
        <w:rPr>
          <w:rFonts w:cs="Times New Roman"/>
          <w:sz w:val="24"/>
          <w:szCs w:val="24"/>
        </w:rPr>
        <w:t xml:space="preserve">, </w:t>
      </w:r>
      <w:r>
        <w:rPr>
          <w:rFonts w:cs="Times New Roman"/>
          <w:sz w:val="24"/>
          <w:szCs w:val="24"/>
        </w:rPr>
        <w:t xml:space="preserve">annual </w:t>
      </w:r>
      <w:r w:rsidRPr="0076420C">
        <w:rPr>
          <w:rFonts w:cs="Times New Roman"/>
          <w:sz w:val="24"/>
          <w:szCs w:val="24"/>
        </w:rPr>
        <w:t xml:space="preserve">per unit area sink </w:t>
      </w:r>
      <w:r>
        <w:rPr>
          <w:rFonts w:cs="Times New Roman"/>
          <w:sz w:val="24"/>
          <w:szCs w:val="24"/>
        </w:rPr>
        <w:t>predictions, from Figure 3,</w:t>
      </w:r>
      <w:r w:rsidRPr="0076420C">
        <w:rPr>
          <w:rFonts w:cs="Times New Roman"/>
          <w:sz w:val="24"/>
          <w:szCs w:val="24"/>
        </w:rPr>
        <w:t xml:space="preserve"> </w:t>
      </w:r>
      <w:r>
        <w:rPr>
          <w:rFonts w:cs="Times New Roman"/>
          <w:sz w:val="24"/>
          <w:szCs w:val="24"/>
        </w:rPr>
        <w:t xml:space="preserve">were averaged over each decade and multiplied </w:t>
      </w:r>
      <w:r w:rsidRPr="0076420C">
        <w:rPr>
          <w:rFonts w:cs="Times New Roman"/>
          <w:sz w:val="24"/>
          <w:szCs w:val="24"/>
        </w:rPr>
        <w:t xml:space="preserve">by </w:t>
      </w:r>
      <w:r>
        <w:rPr>
          <w:rFonts w:cs="Times New Roman"/>
          <w:sz w:val="24"/>
          <w:szCs w:val="24"/>
        </w:rPr>
        <w:t xml:space="preserve">the </w:t>
      </w:r>
      <w:r w:rsidRPr="0076420C">
        <w:rPr>
          <w:rFonts w:cs="Times New Roman"/>
          <w:sz w:val="24"/>
          <w:szCs w:val="24"/>
        </w:rPr>
        <w:t xml:space="preserve">future forest area, </w:t>
      </w:r>
      <w:r>
        <w:rPr>
          <w:rFonts w:cs="Times New Roman"/>
          <w:sz w:val="24"/>
          <w:szCs w:val="24"/>
        </w:rPr>
        <w:t>as described above</w:t>
      </w:r>
      <w:r w:rsidRPr="0076420C">
        <w:rPr>
          <w:rFonts w:cs="Times New Roman"/>
          <w:sz w:val="24"/>
          <w:szCs w:val="24"/>
        </w:rPr>
        <w:t xml:space="preserve">. </w:t>
      </w:r>
    </w:p>
    <w:p w:rsidR="00B43E3C" w:rsidRDefault="00B43E3C" w:rsidP="00726F1B">
      <w:pPr>
        <w:rPr>
          <w:rFonts w:cs="Times New Roman"/>
          <w:sz w:val="24"/>
          <w:szCs w:val="24"/>
        </w:rPr>
      </w:pPr>
    </w:p>
    <w:p w:rsidR="00B43E3C" w:rsidRPr="0025307F" w:rsidRDefault="00B43E3C" w:rsidP="00726F1B">
      <w:pPr>
        <w:rPr>
          <w:rFonts w:cs="Times New Roman"/>
          <w:sz w:val="24"/>
          <w:szCs w:val="24"/>
        </w:rPr>
      </w:pPr>
      <w:r w:rsidRPr="0025307F">
        <w:rPr>
          <w:rFonts w:cs="Times New Roman"/>
          <w:sz w:val="24"/>
          <w:szCs w:val="24"/>
        </w:rPr>
        <w:t xml:space="preserve">To test the sensitivity of the future predictions in Figure 3, we reran the analysis by modifying future trajectories of predictor variables one at a time, while keeping all others the same, to assess the mean C sink over 2010-15 and 2030 (averaging at 2030 is not necessary as trends in MAT-change and MCWD, which largely drive modelled inter-annual variability, are </w:t>
      </w:r>
      <w:r>
        <w:rPr>
          <w:rFonts w:cs="Times New Roman"/>
          <w:sz w:val="24"/>
          <w:szCs w:val="24"/>
        </w:rPr>
        <w:t xml:space="preserve">estimated as </w:t>
      </w:r>
      <w:r w:rsidRPr="0025307F">
        <w:rPr>
          <w:rFonts w:cs="Times New Roman"/>
          <w:sz w:val="24"/>
          <w:szCs w:val="24"/>
        </w:rPr>
        <w:t xml:space="preserve">smooth trends in the future). For each predictor variable, we explored potential impacts of </w:t>
      </w:r>
      <w:r>
        <w:rPr>
          <w:rFonts w:cs="Times New Roman"/>
          <w:sz w:val="24"/>
          <w:szCs w:val="24"/>
        </w:rPr>
        <w:t xml:space="preserve">the </w:t>
      </w:r>
      <w:r w:rsidRPr="0025307F">
        <w:rPr>
          <w:rFonts w:cs="Times New Roman"/>
          <w:sz w:val="24"/>
          <w:szCs w:val="24"/>
        </w:rPr>
        <w:t xml:space="preserve">likely bounds of possibility, (i) by taking the steepest slope of either continent from the extrapolated trends, doubling this slope and applying it on both continents; and (ii) by taking the steepest slope of either continent from the extrapolated trends, taking the opposite of this slope and applying it on both continents. These bounds represent deviations of &gt;2 sigma from observed trends. </w:t>
      </w:r>
      <w:r>
        <w:rPr>
          <w:rFonts w:cs="Times New Roman"/>
          <w:sz w:val="24"/>
          <w:szCs w:val="24"/>
        </w:rPr>
        <w:t xml:space="preserve">Change in </w:t>
      </w:r>
      <w:r w:rsidRPr="0025307F">
        <w:rPr>
          <w:rFonts w:cs="Times New Roman"/>
          <w:sz w:val="24"/>
          <w:szCs w:val="24"/>
        </w:rPr>
        <w:t>MAT also alter</w:t>
      </w:r>
      <w:r>
        <w:rPr>
          <w:rFonts w:cs="Times New Roman"/>
          <w:sz w:val="24"/>
          <w:szCs w:val="24"/>
        </w:rPr>
        <w:t>s</w:t>
      </w:r>
      <w:r w:rsidRPr="0025307F">
        <w:rPr>
          <w:rFonts w:cs="Times New Roman"/>
          <w:sz w:val="24"/>
          <w:szCs w:val="24"/>
        </w:rPr>
        <w:t xml:space="preserve"> MAT-change, so we present the sensitivity of both parameters together.</w:t>
      </w:r>
    </w:p>
    <w:p w:rsidR="00B43E3C" w:rsidRPr="0025307F" w:rsidRDefault="00B43E3C" w:rsidP="00726F1B">
      <w:pPr>
        <w:rPr>
          <w:rFonts w:cs="Times New Roman"/>
          <w:sz w:val="24"/>
          <w:szCs w:val="24"/>
        </w:rPr>
      </w:pPr>
    </w:p>
    <w:p w:rsidR="00B43E3C" w:rsidRDefault="00B43E3C" w:rsidP="00726F1B">
      <w:pPr>
        <w:rPr>
          <w:rFonts w:cs="Times New Roman"/>
          <w:sz w:val="24"/>
          <w:szCs w:val="24"/>
        </w:rPr>
      </w:pPr>
      <w:r w:rsidRPr="0025307F">
        <w:rPr>
          <w:rFonts w:cs="Times New Roman"/>
          <w:sz w:val="24"/>
          <w:szCs w:val="24"/>
        </w:rPr>
        <w:t>Additionally, for CO</w:t>
      </w:r>
      <w:r w:rsidRPr="0025307F">
        <w:rPr>
          <w:rFonts w:cs="Times New Roman"/>
          <w:sz w:val="24"/>
          <w:szCs w:val="24"/>
          <w:vertAlign w:val="subscript"/>
        </w:rPr>
        <w:t>2</w:t>
      </w:r>
      <w:r w:rsidRPr="0025307F">
        <w:rPr>
          <w:rFonts w:cs="Times New Roman"/>
          <w:sz w:val="24"/>
          <w:szCs w:val="24"/>
        </w:rPr>
        <w:t xml:space="preserve">-change and MAT, we </w:t>
      </w:r>
      <w:r>
        <w:rPr>
          <w:rFonts w:cs="Times New Roman"/>
          <w:sz w:val="24"/>
          <w:szCs w:val="24"/>
        </w:rPr>
        <w:t xml:space="preserve">also </w:t>
      </w:r>
      <w:r w:rsidRPr="0025307F">
        <w:rPr>
          <w:rFonts w:cs="Times New Roman"/>
          <w:sz w:val="24"/>
          <w:szCs w:val="24"/>
        </w:rPr>
        <w:t>calculated future slopes under three future Representative Concentration Pathway (RCP) scenarios</w:t>
      </w:r>
      <w:r w:rsidRPr="00EB02F2">
        <w:rPr>
          <w:rFonts w:cs="Times New Roman"/>
          <w:noProof/>
          <w:sz w:val="24"/>
          <w:szCs w:val="24"/>
          <w:vertAlign w:val="superscript"/>
        </w:rPr>
        <w:t>38</w:t>
      </w:r>
      <w:r w:rsidRPr="0025307F">
        <w:rPr>
          <w:rFonts w:cs="Times New Roman"/>
          <w:sz w:val="24"/>
          <w:szCs w:val="24"/>
        </w:rPr>
        <w:t xml:space="preserve"> with different radiative forcing in 2100: RCP2.6, 4.5, and 8.5. Future RCP CO</w:t>
      </w:r>
      <w:r w:rsidRPr="0025307F">
        <w:rPr>
          <w:rFonts w:cs="Times New Roman"/>
          <w:sz w:val="24"/>
          <w:szCs w:val="24"/>
          <w:vertAlign w:val="subscript"/>
        </w:rPr>
        <w:t>2</w:t>
      </w:r>
      <w:r w:rsidRPr="0025307F">
        <w:rPr>
          <w:rFonts w:cs="Times New Roman"/>
          <w:sz w:val="24"/>
          <w:szCs w:val="24"/>
        </w:rPr>
        <w:t>-change slopes (ppm yr</w:t>
      </w:r>
      <w:r w:rsidRPr="0025307F">
        <w:rPr>
          <w:rFonts w:cs="Times New Roman"/>
          <w:sz w:val="24"/>
          <w:szCs w:val="24"/>
          <w:vertAlign w:val="superscript"/>
        </w:rPr>
        <w:t>-1</w:t>
      </w:r>
      <w:r w:rsidRPr="0025307F">
        <w:rPr>
          <w:rFonts w:cs="Times New Roman"/>
          <w:sz w:val="24"/>
          <w:szCs w:val="24"/>
        </w:rPr>
        <w:t>) were calculated using RCP CO</w:t>
      </w:r>
      <w:r w:rsidRPr="0025307F">
        <w:rPr>
          <w:rFonts w:cs="Times New Roman"/>
          <w:sz w:val="24"/>
          <w:szCs w:val="24"/>
          <w:vertAlign w:val="subscript"/>
        </w:rPr>
        <w:t>2</w:t>
      </w:r>
      <w:r w:rsidRPr="0025307F">
        <w:rPr>
          <w:rFonts w:cs="Times New Roman"/>
          <w:sz w:val="24"/>
          <w:szCs w:val="24"/>
        </w:rPr>
        <w:t xml:space="preserve"> concentration data for the years between 2015 and 2030 inclusive. Future RCP MAT and MAT-change</w:t>
      </w:r>
      <w:r>
        <w:rPr>
          <w:rFonts w:cs="Times New Roman"/>
          <w:sz w:val="24"/>
          <w:szCs w:val="24"/>
        </w:rPr>
        <w:t xml:space="preserve"> slopes were obtained from p</w:t>
      </w:r>
      <w:r w:rsidRPr="0025307F">
        <w:rPr>
          <w:rFonts w:cs="Times New Roman"/>
          <w:sz w:val="24"/>
          <w:szCs w:val="24"/>
        </w:rPr>
        <w:t>lot-specific MAT values extracted from downscaled 30 seconds resolution data for current</w:t>
      </w:r>
      <w:r w:rsidRPr="00EB02F2">
        <w:rPr>
          <w:rFonts w:cs="Times New Roman"/>
          <w:noProof/>
          <w:sz w:val="24"/>
          <w:szCs w:val="24"/>
          <w:vertAlign w:val="superscript"/>
        </w:rPr>
        <w:t>80</w:t>
      </w:r>
      <w:r w:rsidRPr="0025307F">
        <w:rPr>
          <w:rFonts w:cs="Times New Roman"/>
          <w:sz w:val="24"/>
          <w:szCs w:val="24"/>
        </w:rPr>
        <w:t xml:space="preserve"> and future</w:t>
      </w:r>
      <w:r w:rsidRPr="00EB02F2">
        <w:rPr>
          <w:rFonts w:cs="Times New Roman"/>
          <w:noProof/>
          <w:sz w:val="24"/>
          <w:szCs w:val="24"/>
          <w:vertAlign w:val="superscript"/>
        </w:rPr>
        <w:t>51</w:t>
      </w:r>
      <w:r w:rsidRPr="0025307F">
        <w:rPr>
          <w:rFonts w:cs="Times New Roman"/>
          <w:sz w:val="24"/>
          <w:szCs w:val="24"/>
        </w:rPr>
        <w:t xml:space="preserve"> climate from WorldClim, and averaged over 19 CMIP5 models. </w:t>
      </w:r>
      <w:r>
        <w:rPr>
          <w:rFonts w:cs="Times New Roman"/>
          <w:sz w:val="24"/>
          <w:szCs w:val="24"/>
        </w:rPr>
        <w:t xml:space="preserve">We </w:t>
      </w:r>
      <w:r w:rsidRPr="0025307F">
        <w:rPr>
          <w:rFonts w:cs="Times New Roman"/>
          <w:sz w:val="24"/>
          <w:szCs w:val="24"/>
        </w:rPr>
        <w:t>subtract</w:t>
      </w:r>
      <w:r>
        <w:rPr>
          <w:rFonts w:cs="Times New Roman"/>
          <w:sz w:val="24"/>
          <w:szCs w:val="24"/>
        </w:rPr>
        <w:t>ed</w:t>
      </w:r>
      <w:r w:rsidRPr="0025307F">
        <w:rPr>
          <w:rFonts w:cs="Times New Roman"/>
          <w:sz w:val="24"/>
          <w:szCs w:val="24"/>
        </w:rPr>
        <w:t xml:space="preserve"> the mean 2040-2060 climate MAT (i.e. 2050) from the mean 1970-2000 climate MAT (i.e. 1985), divided by 65 years to give the annual rate of change. We then calculated a mean slope over all plots per continent. Finally</w:t>
      </w:r>
      <w:r>
        <w:rPr>
          <w:rFonts w:cs="Times New Roman"/>
          <w:sz w:val="24"/>
          <w:szCs w:val="24"/>
        </w:rPr>
        <w:t>,</w:t>
      </w:r>
      <w:r w:rsidRPr="0025307F">
        <w:rPr>
          <w:rFonts w:cs="Times New Roman"/>
          <w:sz w:val="24"/>
          <w:szCs w:val="24"/>
        </w:rPr>
        <w:t xml:space="preserve"> to avoid mismatches between RCP-derived values of </w:t>
      </w:r>
      <w:r w:rsidRPr="0025307F">
        <w:rPr>
          <w:rFonts w:cs="Times New Roman"/>
          <w:sz w:val="24"/>
          <w:szCs w:val="24"/>
        </w:rPr>
        <w:lastRenderedPageBreak/>
        <w:t>CO</w:t>
      </w:r>
      <w:r w:rsidRPr="0025307F">
        <w:rPr>
          <w:rFonts w:cs="Times New Roman"/>
          <w:sz w:val="24"/>
          <w:szCs w:val="24"/>
          <w:vertAlign w:val="subscript"/>
        </w:rPr>
        <w:t>2</w:t>
      </w:r>
      <w:r w:rsidRPr="0025307F">
        <w:rPr>
          <w:rFonts w:cs="Times New Roman"/>
          <w:sz w:val="24"/>
          <w:szCs w:val="24"/>
        </w:rPr>
        <w:t xml:space="preserve"> and MAT and </w:t>
      </w:r>
      <w:r>
        <w:rPr>
          <w:rFonts w:cs="Times New Roman"/>
          <w:sz w:val="24"/>
          <w:szCs w:val="24"/>
        </w:rPr>
        <w:t>the</w:t>
      </w:r>
      <w:r w:rsidRPr="0025307F">
        <w:rPr>
          <w:rFonts w:cs="Times New Roman"/>
          <w:sz w:val="24"/>
          <w:szCs w:val="24"/>
        </w:rPr>
        <w:t xml:space="preserve"> observed records</w:t>
      </w:r>
      <w:r>
        <w:rPr>
          <w:rFonts w:cs="Times New Roman"/>
          <w:sz w:val="24"/>
          <w:szCs w:val="24"/>
        </w:rPr>
        <w:t xml:space="preserve"> </w:t>
      </w:r>
      <w:r w:rsidRPr="0025307F">
        <w:rPr>
          <w:rFonts w:cs="Times New Roman"/>
          <w:sz w:val="24"/>
          <w:szCs w:val="24"/>
        </w:rPr>
        <w:t xml:space="preserve">we </w:t>
      </w:r>
      <w:r>
        <w:rPr>
          <w:rFonts w:cs="Times New Roman"/>
          <w:sz w:val="24"/>
          <w:szCs w:val="24"/>
        </w:rPr>
        <w:t xml:space="preserve">removed any difference in intercept between the RCP trends and observed trends, so the RCP trends were a continuation of </w:t>
      </w:r>
      <w:r w:rsidRPr="0025307F">
        <w:rPr>
          <w:rFonts w:cs="Times New Roman"/>
          <w:sz w:val="24"/>
          <w:szCs w:val="24"/>
        </w:rPr>
        <w:t xml:space="preserve">the end-point of the observed trajectory in 2015. We did not estimate the sensitivity of MCWD under the RCP scenarios, because the CMIP5 model means do not show drought trends for our forest plot networks, unlike rain gauge data for the recent past, and thus would show little or no sensitivity to MCWD. For each modified slope, Supplementary Table 5 reports the absolute decline in the sink in each continent in 2030 compared to the 2010-15 mean sink. This shows that the future sink strength is sensitive to future environmental conditions, but within </w:t>
      </w:r>
      <w:r>
        <w:rPr>
          <w:rFonts w:cs="Times New Roman"/>
          <w:sz w:val="24"/>
          <w:szCs w:val="24"/>
        </w:rPr>
        <w:t xml:space="preserve">both RCP scenarios and our </w:t>
      </w:r>
      <w:r w:rsidRPr="0025307F">
        <w:rPr>
          <w:rFonts w:cs="Times New Roman"/>
          <w:sz w:val="24"/>
          <w:szCs w:val="24"/>
        </w:rPr>
        <w:t>bounds of possibility we show a decline in the sink strength in both continents over the 2020s.</w:t>
      </w:r>
    </w:p>
    <w:p w:rsidR="00B43E3C" w:rsidRDefault="00B43E3C" w:rsidP="00726F1B">
      <w:pPr>
        <w:rPr>
          <w:rFonts w:cs="Times New Roman"/>
          <w:sz w:val="24"/>
          <w:szCs w:val="24"/>
        </w:rPr>
      </w:pPr>
    </w:p>
    <w:p w:rsidR="00B43E3C" w:rsidRDefault="00B43E3C" w:rsidP="00726F1B">
      <w:pPr>
        <w:pStyle w:val="Heading2"/>
      </w:pPr>
      <w:r>
        <w:t>Data and Code Availability</w:t>
      </w:r>
    </w:p>
    <w:p w:rsidR="00B43E3C" w:rsidRDefault="00B43E3C" w:rsidP="00726F1B">
      <w:pPr>
        <w:rPr>
          <w:rStyle w:val="Hyperlink"/>
          <w:rFonts w:cs="Times New Roman"/>
          <w:sz w:val="24"/>
          <w:szCs w:val="24"/>
        </w:rPr>
      </w:pPr>
      <w:r w:rsidRPr="00C0388B">
        <w:rPr>
          <w:sz w:val="24"/>
          <w:szCs w:val="24"/>
        </w:rPr>
        <w:t>Source data and R-code to generate figures and tables are available from:</w:t>
      </w:r>
      <w:r w:rsidRPr="00C0388B">
        <w:rPr>
          <w:rFonts w:eastAsia="Times New Roman"/>
          <w:sz w:val="24"/>
          <w:szCs w:val="24"/>
          <w:lang w:eastAsia="nl-BE"/>
        </w:rPr>
        <w:t xml:space="preserve"> </w:t>
      </w:r>
      <w:hyperlink r:id="rId15" w:history="1">
        <w:r w:rsidRPr="00B262DD">
          <w:rPr>
            <w:rStyle w:val="Hyperlink"/>
            <w:rFonts w:cs="Times New Roman"/>
            <w:sz w:val="24"/>
            <w:szCs w:val="24"/>
          </w:rPr>
          <w:t>http://dx.doi.org/10.5521/Forestplots.net/2019_1</w:t>
        </w:r>
      </w:hyperlink>
    </w:p>
    <w:p w:rsidR="00EF5658" w:rsidRPr="00B262DD" w:rsidRDefault="00EF5658" w:rsidP="00726F1B">
      <w:pPr>
        <w:rPr>
          <w:sz w:val="24"/>
          <w:szCs w:val="24"/>
        </w:rPr>
      </w:pPr>
    </w:p>
    <w:p w:rsidR="00B43E3C" w:rsidRDefault="00B43E3C" w:rsidP="00726F1B">
      <w:pPr>
        <w:pStyle w:val="Heading1"/>
        <w:rPr>
          <w:noProof/>
        </w:rPr>
      </w:pPr>
      <w:r w:rsidRPr="006A4755">
        <w:rPr>
          <w:noProof/>
        </w:rPr>
        <w:t>References (Methods only)</w:t>
      </w:r>
    </w:p>
    <w:p w:rsidR="00B43E3C" w:rsidRPr="0043737F" w:rsidRDefault="00B43E3C" w:rsidP="00726F1B">
      <w:pPr>
        <w:ind w:left="720" w:hanging="720"/>
        <w:rPr>
          <w:rFonts w:cs="Times New Roman"/>
          <w:noProof/>
          <w:sz w:val="24"/>
          <w:szCs w:val="24"/>
        </w:rPr>
      </w:pPr>
      <w:r w:rsidRPr="0043737F">
        <w:rPr>
          <w:rFonts w:cs="Times New Roman"/>
          <w:noProof/>
          <w:sz w:val="24"/>
          <w:szCs w:val="24"/>
        </w:rPr>
        <w:t>51</w:t>
      </w:r>
      <w:r w:rsidRPr="0043737F">
        <w:rPr>
          <w:rFonts w:cs="Times New Roman"/>
          <w:noProof/>
          <w:sz w:val="24"/>
          <w:szCs w:val="24"/>
        </w:rPr>
        <w:tab/>
        <w:t xml:space="preserve">Hijmans, R. J., Cameron, S. E., Parra, J. L., Jones, P. G. &amp; Jarvis, A. Very high resolution interpolated climate surfaces for global land areas. </w:t>
      </w:r>
      <w:r w:rsidRPr="0043737F">
        <w:rPr>
          <w:rFonts w:cs="Times New Roman"/>
          <w:i/>
          <w:noProof/>
          <w:sz w:val="24"/>
          <w:szCs w:val="24"/>
        </w:rPr>
        <w:t>International Journal of Climatology</w:t>
      </w:r>
      <w:r w:rsidRPr="0043737F">
        <w:rPr>
          <w:rFonts w:cs="Times New Roman"/>
          <w:noProof/>
          <w:sz w:val="24"/>
          <w:szCs w:val="24"/>
        </w:rPr>
        <w:t xml:space="preserve"> </w:t>
      </w:r>
      <w:r w:rsidRPr="0043737F">
        <w:rPr>
          <w:rFonts w:cs="Times New Roman"/>
          <w:b/>
          <w:noProof/>
          <w:sz w:val="24"/>
          <w:szCs w:val="24"/>
        </w:rPr>
        <w:t>25</w:t>
      </w:r>
      <w:r w:rsidRPr="0043737F">
        <w:rPr>
          <w:rFonts w:cs="Times New Roman"/>
          <w:noProof/>
          <w:sz w:val="24"/>
          <w:szCs w:val="24"/>
        </w:rPr>
        <w:t>, 1965-1978, doi:10.1002/joc.1276 (2005).</w:t>
      </w:r>
    </w:p>
    <w:p w:rsidR="00B43E3C" w:rsidRPr="0043737F" w:rsidRDefault="00B43E3C" w:rsidP="00726F1B">
      <w:pPr>
        <w:ind w:left="720" w:hanging="720"/>
        <w:rPr>
          <w:rFonts w:cs="Times New Roman"/>
          <w:noProof/>
          <w:sz w:val="24"/>
          <w:szCs w:val="24"/>
        </w:rPr>
      </w:pPr>
      <w:r w:rsidRPr="0043737F">
        <w:rPr>
          <w:rFonts w:cs="Times New Roman"/>
          <w:noProof/>
          <w:sz w:val="24"/>
          <w:szCs w:val="24"/>
        </w:rPr>
        <w:t>52</w:t>
      </w:r>
      <w:r w:rsidRPr="0043737F">
        <w:rPr>
          <w:rFonts w:cs="Times New Roman"/>
          <w:noProof/>
          <w:sz w:val="24"/>
          <w:szCs w:val="24"/>
        </w:rPr>
        <w:tab/>
        <w:t xml:space="preserve">Lopez-Gonzalez, G., Lewis, S. L., Burkitt, M. &amp; Phillips, O. L. ForestPlots.net: a web application and research tool to manage and analyse tropical forest plot data. </w:t>
      </w:r>
      <w:r w:rsidRPr="0043737F">
        <w:rPr>
          <w:rFonts w:cs="Times New Roman"/>
          <w:i/>
          <w:noProof/>
          <w:sz w:val="24"/>
          <w:szCs w:val="24"/>
        </w:rPr>
        <w:t>Journal of Vegetation Science</w:t>
      </w:r>
      <w:r w:rsidRPr="0043737F">
        <w:rPr>
          <w:rFonts w:cs="Times New Roman"/>
          <w:noProof/>
          <w:sz w:val="24"/>
          <w:szCs w:val="24"/>
        </w:rPr>
        <w:t xml:space="preserve"> </w:t>
      </w:r>
      <w:r w:rsidRPr="0043737F">
        <w:rPr>
          <w:rFonts w:cs="Times New Roman"/>
          <w:b/>
          <w:noProof/>
          <w:sz w:val="24"/>
          <w:szCs w:val="24"/>
        </w:rPr>
        <w:t>22</w:t>
      </w:r>
      <w:r w:rsidRPr="0043737F">
        <w:rPr>
          <w:rFonts w:cs="Times New Roman"/>
          <w:noProof/>
          <w:sz w:val="24"/>
          <w:szCs w:val="24"/>
        </w:rPr>
        <w:t>, 610–613, doi:10.1111/j.1654-1103.2011.01312.x (2011).</w:t>
      </w:r>
    </w:p>
    <w:p w:rsidR="00B43E3C" w:rsidRPr="0043737F" w:rsidRDefault="00B43E3C" w:rsidP="00726F1B">
      <w:pPr>
        <w:ind w:left="720" w:hanging="720"/>
        <w:rPr>
          <w:rFonts w:cs="Times New Roman"/>
          <w:noProof/>
          <w:sz w:val="24"/>
          <w:szCs w:val="24"/>
        </w:rPr>
      </w:pPr>
      <w:r w:rsidRPr="0043737F">
        <w:rPr>
          <w:rFonts w:cs="Times New Roman"/>
          <w:noProof/>
          <w:sz w:val="24"/>
          <w:szCs w:val="24"/>
        </w:rPr>
        <w:t>53</w:t>
      </w:r>
      <w:r w:rsidRPr="0043737F">
        <w:rPr>
          <w:rFonts w:cs="Times New Roman"/>
          <w:noProof/>
          <w:sz w:val="24"/>
          <w:szCs w:val="24"/>
        </w:rPr>
        <w:tab/>
        <w:t xml:space="preserve">Lopez-Gonzalez, G., Lewis, S. L., Burkitt, M., T.R., B. &amp; Phillips, O. L. ForestPlots.net Database. </w:t>
      </w:r>
      <w:r w:rsidRPr="00B43E3C">
        <w:rPr>
          <w:rFonts w:cs="Times New Roman"/>
          <w:noProof/>
          <w:sz w:val="24"/>
          <w:szCs w:val="24"/>
        </w:rPr>
        <w:t>www.forestplots.net</w:t>
      </w:r>
      <w:r w:rsidRPr="0043737F">
        <w:rPr>
          <w:rFonts w:cs="Times New Roman"/>
          <w:noProof/>
          <w:sz w:val="24"/>
          <w:szCs w:val="24"/>
        </w:rPr>
        <w:t>. Date of extraction [10/11/2017].</w:t>
      </w:r>
      <w:r w:rsidR="00EF5658">
        <w:rPr>
          <w:rFonts w:cs="Times New Roman"/>
          <w:noProof/>
          <w:sz w:val="24"/>
          <w:szCs w:val="24"/>
        </w:rPr>
        <w:t xml:space="preserve"> </w:t>
      </w:r>
      <w:r w:rsidRPr="0043737F">
        <w:rPr>
          <w:rFonts w:cs="Times New Roman"/>
          <w:noProof/>
          <w:sz w:val="24"/>
          <w:szCs w:val="24"/>
        </w:rPr>
        <w:t>(2009).</w:t>
      </w:r>
    </w:p>
    <w:p w:rsidR="00B43E3C" w:rsidRPr="0043737F" w:rsidRDefault="00B43E3C" w:rsidP="00726F1B">
      <w:pPr>
        <w:ind w:left="720" w:hanging="720"/>
        <w:rPr>
          <w:rFonts w:cs="Times New Roman"/>
          <w:noProof/>
          <w:sz w:val="24"/>
          <w:szCs w:val="24"/>
        </w:rPr>
      </w:pPr>
      <w:r w:rsidRPr="0043737F">
        <w:rPr>
          <w:rFonts w:cs="Times New Roman"/>
          <w:noProof/>
          <w:sz w:val="24"/>
          <w:szCs w:val="24"/>
        </w:rPr>
        <w:t>54</w:t>
      </w:r>
      <w:r w:rsidRPr="0043737F">
        <w:rPr>
          <w:rFonts w:cs="Times New Roman"/>
          <w:noProof/>
          <w:sz w:val="24"/>
          <w:szCs w:val="24"/>
        </w:rPr>
        <w:tab/>
        <w:t>Sheil, D. &amp; Bitariho, R. Bwindi Impenetrable Forest TEAM Site. Data Set Identifier: TEAM-DataPackage-20151201235855_1254.</w:t>
      </w:r>
      <w:r w:rsidR="00EF5658">
        <w:rPr>
          <w:rFonts w:cs="Times New Roman"/>
          <w:noProof/>
          <w:sz w:val="24"/>
          <w:szCs w:val="24"/>
        </w:rPr>
        <w:t xml:space="preserve"> </w:t>
      </w:r>
      <w:r w:rsidRPr="0043737F">
        <w:rPr>
          <w:rFonts w:cs="Times New Roman"/>
          <w:noProof/>
          <w:sz w:val="24"/>
          <w:szCs w:val="24"/>
        </w:rPr>
        <w:t>(2009).</w:t>
      </w:r>
    </w:p>
    <w:p w:rsidR="00B43E3C" w:rsidRPr="0043737F" w:rsidRDefault="00B43E3C" w:rsidP="00726F1B">
      <w:pPr>
        <w:ind w:left="720" w:hanging="720"/>
        <w:rPr>
          <w:rFonts w:cs="Times New Roman"/>
          <w:noProof/>
          <w:sz w:val="24"/>
          <w:szCs w:val="24"/>
        </w:rPr>
      </w:pPr>
      <w:r w:rsidRPr="0043737F">
        <w:rPr>
          <w:rFonts w:cs="Times New Roman"/>
          <w:noProof/>
          <w:sz w:val="24"/>
          <w:szCs w:val="24"/>
        </w:rPr>
        <w:lastRenderedPageBreak/>
        <w:t>55</w:t>
      </w:r>
      <w:r w:rsidRPr="0043737F">
        <w:rPr>
          <w:rFonts w:cs="Times New Roman"/>
          <w:noProof/>
          <w:sz w:val="24"/>
          <w:szCs w:val="24"/>
        </w:rPr>
        <w:tab/>
        <w:t>Kenfack, D. Korup National Park TEAM Site. Data Set Identifier: TEAM-DataPackage-20151201235855_1254.</w:t>
      </w:r>
      <w:r w:rsidR="00EF5658">
        <w:rPr>
          <w:rFonts w:cs="Times New Roman"/>
          <w:noProof/>
          <w:sz w:val="24"/>
          <w:szCs w:val="24"/>
        </w:rPr>
        <w:t xml:space="preserve"> </w:t>
      </w:r>
      <w:r w:rsidRPr="0043737F">
        <w:rPr>
          <w:rFonts w:cs="Times New Roman"/>
          <w:noProof/>
          <w:sz w:val="24"/>
          <w:szCs w:val="24"/>
        </w:rPr>
        <w:t>(2011).</w:t>
      </w:r>
    </w:p>
    <w:p w:rsidR="00B43E3C" w:rsidRPr="0043737F" w:rsidRDefault="00B43E3C" w:rsidP="00726F1B">
      <w:pPr>
        <w:ind w:left="720" w:hanging="720"/>
        <w:rPr>
          <w:rFonts w:cs="Times New Roman"/>
          <w:noProof/>
          <w:sz w:val="24"/>
          <w:szCs w:val="24"/>
        </w:rPr>
      </w:pPr>
      <w:r w:rsidRPr="0043737F">
        <w:rPr>
          <w:rFonts w:cs="Times New Roman"/>
          <w:noProof/>
          <w:sz w:val="24"/>
          <w:szCs w:val="24"/>
        </w:rPr>
        <w:t>56</w:t>
      </w:r>
      <w:r w:rsidRPr="0043737F">
        <w:rPr>
          <w:rFonts w:cs="Times New Roman"/>
          <w:noProof/>
          <w:sz w:val="24"/>
          <w:szCs w:val="24"/>
        </w:rPr>
        <w:tab/>
        <w:t>Rovero, F., Marshall, A. &amp; Martin, E. Udzungwa TEAM Site. Data Set Identifier: TEAM-DataPackage-20151130235007_5069.</w:t>
      </w:r>
      <w:r w:rsidR="00EF5658">
        <w:rPr>
          <w:rFonts w:cs="Times New Roman"/>
          <w:noProof/>
          <w:sz w:val="24"/>
          <w:szCs w:val="24"/>
        </w:rPr>
        <w:t xml:space="preserve"> </w:t>
      </w:r>
      <w:r w:rsidRPr="0043737F">
        <w:rPr>
          <w:rFonts w:cs="Times New Roman"/>
          <w:noProof/>
          <w:sz w:val="24"/>
          <w:szCs w:val="24"/>
        </w:rPr>
        <w:t>(2009).</w:t>
      </w:r>
    </w:p>
    <w:p w:rsidR="00B43E3C" w:rsidRPr="0043737F" w:rsidRDefault="00B43E3C" w:rsidP="00726F1B">
      <w:pPr>
        <w:ind w:left="720" w:hanging="720"/>
        <w:rPr>
          <w:rFonts w:cs="Times New Roman"/>
          <w:noProof/>
          <w:sz w:val="24"/>
          <w:szCs w:val="24"/>
        </w:rPr>
      </w:pPr>
      <w:r w:rsidRPr="0043737F">
        <w:rPr>
          <w:rFonts w:cs="Times New Roman"/>
          <w:noProof/>
          <w:sz w:val="24"/>
          <w:szCs w:val="24"/>
        </w:rPr>
        <w:t>57</w:t>
      </w:r>
      <w:r w:rsidRPr="0043737F">
        <w:rPr>
          <w:rFonts w:cs="Times New Roman"/>
          <w:noProof/>
          <w:sz w:val="24"/>
          <w:szCs w:val="24"/>
        </w:rPr>
        <w:tab/>
        <w:t>Hockemba, M. B. N. Nouabalé Ndoki TEAM Site. Data Set Identifier: TEAM-DataPackage-20151201235855_1254.</w:t>
      </w:r>
      <w:r w:rsidR="00EF5658">
        <w:rPr>
          <w:rFonts w:cs="Times New Roman"/>
          <w:noProof/>
          <w:sz w:val="24"/>
          <w:szCs w:val="24"/>
        </w:rPr>
        <w:t xml:space="preserve"> </w:t>
      </w:r>
      <w:r w:rsidRPr="0043737F">
        <w:rPr>
          <w:rFonts w:cs="Times New Roman"/>
          <w:noProof/>
          <w:sz w:val="24"/>
          <w:szCs w:val="24"/>
        </w:rPr>
        <w:t>(2010).</w:t>
      </w:r>
    </w:p>
    <w:p w:rsidR="00B43E3C" w:rsidRPr="0043737F" w:rsidRDefault="00B43E3C" w:rsidP="00726F1B">
      <w:pPr>
        <w:ind w:left="720" w:hanging="720"/>
        <w:rPr>
          <w:rFonts w:cs="Times New Roman"/>
          <w:noProof/>
          <w:sz w:val="24"/>
          <w:szCs w:val="24"/>
        </w:rPr>
      </w:pPr>
      <w:r w:rsidRPr="0043737F">
        <w:rPr>
          <w:rFonts w:cs="Times New Roman"/>
          <w:noProof/>
          <w:sz w:val="24"/>
          <w:szCs w:val="24"/>
        </w:rPr>
        <w:t>58</w:t>
      </w:r>
      <w:r w:rsidRPr="0043737F">
        <w:rPr>
          <w:rFonts w:cs="Times New Roman"/>
          <w:noProof/>
          <w:sz w:val="24"/>
          <w:szCs w:val="24"/>
        </w:rPr>
        <w:tab/>
        <w:t>Anderson-Teixeira, K. J.</w:t>
      </w:r>
      <w:r w:rsidRPr="0043737F">
        <w:rPr>
          <w:rFonts w:cs="Times New Roman"/>
          <w:i/>
          <w:noProof/>
          <w:sz w:val="24"/>
          <w:szCs w:val="24"/>
        </w:rPr>
        <w:t xml:space="preserve"> et al.</w:t>
      </w:r>
      <w:r w:rsidRPr="0043737F">
        <w:rPr>
          <w:rFonts w:cs="Times New Roman"/>
          <w:noProof/>
          <w:sz w:val="24"/>
          <w:szCs w:val="24"/>
        </w:rPr>
        <w:t xml:space="preserve"> CTFS-ForestGEO: a worldwide network monitoring forests in an era of global change. </w:t>
      </w:r>
      <w:r w:rsidRPr="0043737F">
        <w:rPr>
          <w:rFonts w:cs="Times New Roman"/>
          <w:i/>
          <w:noProof/>
          <w:sz w:val="24"/>
          <w:szCs w:val="24"/>
        </w:rPr>
        <w:t>Global Change Biology</w:t>
      </w:r>
      <w:r w:rsidRPr="0043737F">
        <w:rPr>
          <w:rFonts w:cs="Times New Roman"/>
          <w:noProof/>
          <w:sz w:val="24"/>
          <w:szCs w:val="24"/>
        </w:rPr>
        <w:t xml:space="preserve"> </w:t>
      </w:r>
      <w:r w:rsidRPr="0043737F">
        <w:rPr>
          <w:rFonts w:cs="Times New Roman"/>
          <w:b/>
          <w:noProof/>
          <w:sz w:val="24"/>
          <w:szCs w:val="24"/>
        </w:rPr>
        <w:t>21</w:t>
      </w:r>
      <w:r w:rsidRPr="0043737F">
        <w:rPr>
          <w:rFonts w:cs="Times New Roman"/>
          <w:noProof/>
          <w:sz w:val="24"/>
          <w:szCs w:val="24"/>
        </w:rPr>
        <w:t>, 528-549, doi:10.1111/gcb.12712 (2015).</w:t>
      </w:r>
    </w:p>
    <w:p w:rsidR="00B43E3C" w:rsidRPr="0043737F" w:rsidRDefault="00B43E3C" w:rsidP="00726F1B">
      <w:pPr>
        <w:ind w:left="720" w:hanging="720"/>
        <w:rPr>
          <w:rFonts w:cs="Times New Roman"/>
          <w:noProof/>
          <w:sz w:val="24"/>
          <w:szCs w:val="24"/>
        </w:rPr>
      </w:pPr>
      <w:r w:rsidRPr="0043737F">
        <w:rPr>
          <w:rFonts w:cs="Times New Roman"/>
          <w:noProof/>
          <w:sz w:val="24"/>
          <w:szCs w:val="24"/>
        </w:rPr>
        <w:t>59</w:t>
      </w:r>
      <w:r w:rsidRPr="0043737F">
        <w:rPr>
          <w:rFonts w:cs="Times New Roman"/>
          <w:noProof/>
          <w:sz w:val="24"/>
          <w:szCs w:val="24"/>
        </w:rPr>
        <w:tab/>
        <w:t>Gourlet-Fleury, S.</w:t>
      </w:r>
      <w:r w:rsidRPr="0043737F">
        <w:rPr>
          <w:rFonts w:cs="Times New Roman"/>
          <w:i/>
          <w:noProof/>
          <w:sz w:val="24"/>
          <w:szCs w:val="24"/>
        </w:rPr>
        <w:t xml:space="preserve"> et al.</w:t>
      </w:r>
      <w:r w:rsidRPr="0043737F">
        <w:rPr>
          <w:rFonts w:cs="Times New Roman"/>
          <w:noProof/>
          <w:sz w:val="24"/>
          <w:szCs w:val="24"/>
        </w:rPr>
        <w:t xml:space="preserve"> Tropical forest recovery from logging: a 24 year silvicultural experiment from Central Africa. </w:t>
      </w:r>
      <w:r w:rsidRPr="0043737F">
        <w:rPr>
          <w:rFonts w:cs="Times New Roman"/>
          <w:i/>
          <w:noProof/>
          <w:sz w:val="24"/>
          <w:szCs w:val="24"/>
        </w:rPr>
        <w:t>Philosophical Transactions of the Royal Society B-Biological Sciences</w:t>
      </w:r>
      <w:r w:rsidRPr="0043737F">
        <w:rPr>
          <w:rFonts w:cs="Times New Roman"/>
          <w:noProof/>
          <w:sz w:val="24"/>
          <w:szCs w:val="24"/>
        </w:rPr>
        <w:t xml:space="preserve"> </w:t>
      </w:r>
      <w:r w:rsidRPr="0043737F">
        <w:rPr>
          <w:rFonts w:cs="Times New Roman"/>
          <w:b/>
          <w:noProof/>
          <w:sz w:val="24"/>
          <w:szCs w:val="24"/>
        </w:rPr>
        <w:t>368</w:t>
      </w:r>
      <w:r w:rsidRPr="0043737F">
        <w:rPr>
          <w:rFonts w:cs="Times New Roman"/>
          <w:noProof/>
          <w:sz w:val="24"/>
          <w:szCs w:val="24"/>
        </w:rPr>
        <w:t>, 20120302, doi:10.1098/rstb.2012.0302 (2013).</w:t>
      </w:r>
    </w:p>
    <w:p w:rsidR="00B43E3C" w:rsidRPr="0043737F" w:rsidRDefault="00B43E3C" w:rsidP="00726F1B">
      <w:pPr>
        <w:ind w:left="720" w:hanging="720"/>
        <w:rPr>
          <w:rFonts w:cs="Times New Roman"/>
          <w:noProof/>
          <w:sz w:val="24"/>
          <w:szCs w:val="24"/>
        </w:rPr>
      </w:pPr>
      <w:r w:rsidRPr="0043737F">
        <w:rPr>
          <w:rFonts w:cs="Times New Roman"/>
          <w:noProof/>
          <w:sz w:val="24"/>
          <w:szCs w:val="24"/>
        </w:rPr>
        <w:t>60</w:t>
      </w:r>
      <w:r w:rsidRPr="0043737F">
        <w:rPr>
          <w:rFonts w:cs="Times New Roman"/>
          <w:noProof/>
          <w:sz w:val="24"/>
          <w:szCs w:val="24"/>
        </w:rPr>
        <w:tab/>
        <w:t>Claeys, F.</w:t>
      </w:r>
      <w:r w:rsidRPr="0043737F">
        <w:rPr>
          <w:rFonts w:cs="Times New Roman"/>
          <w:i/>
          <w:noProof/>
          <w:sz w:val="24"/>
          <w:szCs w:val="24"/>
        </w:rPr>
        <w:t xml:space="preserve"> et al.</w:t>
      </w:r>
      <w:r w:rsidRPr="0043737F">
        <w:rPr>
          <w:rFonts w:cs="Times New Roman"/>
          <w:noProof/>
          <w:sz w:val="24"/>
          <w:szCs w:val="24"/>
        </w:rPr>
        <w:t xml:space="preserve"> Climate change would lead to a sharp acceleration of Central African forests dynamics by the end of the century. </w:t>
      </w:r>
      <w:r w:rsidRPr="0043737F">
        <w:rPr>
          <w:rFonts w:cs="Times New Roman"/>
          <w:i/>
          <w:noProof/>
          <w:sz w:val="24"/>
          <w:szCs w:val="24"/>
        </w:rPr>
        <w:t>Environmental Research Letters</w:t>
      </w:r>
      <w:r w:rsidRPr="0043737F">
        <w:rPr>
          <w:rFonts w:cs="Times New Roman"/>
          <w:noProof/>
          <w:sz w:val="24"/>
          <w:szCs w:val="24"/>
        </w:rPr>
        <w:t xml:space="preserve"> </w:t>
      </w:r>
      <w:r w:rsidRPr="0043737F">
        <w:rPr>
          <w:rFonts w:cs="Times New Roman"/>
          <w:b/>
          <w:noProof/>
          <w:sz w:val="24"/>
          <w:szCs w:val="24"/>
        </w:rPr>
        <w:t>14</w:t>
      </w:r>
      <w:r w:rsidRPr="0043737F">
        <w:rPr>
          <w:rFonts w:cs="Times New Roman"/>
          <w:noProof/>
          <w:sz w:val="24"/>
          <w:szCs w:val="24"/>
        </w:rPr>
        <w:t>, 044002, doi:10.1088/1748-9326/aafb81 (2019).</w:t>
      </w:r>
    </w:p>
    <w:p w:rsidR="00B43E3C" w:rsidRPr="0043737F" w:rsidRDefault="00B43E3C" w:rsidP="00726F1B">
      <w:pPr>
        <w:ind w:left="720" w:hanging="720"/>
        <w:rPr>
          <w:rFonts w:cs="Times New Roman"/>
          <w:noProof/>
          <w:sz w:val="24"/>
          <w:szCs w:val="24"/>
        </w:rPr>
      </w:pPr>
      <w:r w:rsidRPr="0043737F">
        <w:rPr>
          <w:rFonts w:cs="Times New Roman"/>
          <w:noProof/>
          <w:sz w:val="24"/>
          <w:szCs w:val="24"/>
        </w:rPr>
        <w:t>61</w:t>
      </w:r>
      <w:r w:rsidRPr="0043737F">
        <w:rPr>
          <w:rFonts w:cs="Times New Roman"/>
          <w:noProof/>
          <w:sz w:val="24"/>
          <w:szCs w:val="24"/>
        </w:rPr>
        <w:tab/>
        <w:t>Chave, J.</w:t>
      </w:r>
      <w:r w:rsidRPr="0043737F">
        <w:rPr>
          <w:rFonts w:cs="Times New Roman"/>
          <w:i/>
          <w:noProof/>
          <w:sz w:val="24"/>
          <w:szCs w:val="24"/>
        </w:rPr>
        <w:t xml:space="preserve"> et al.</w:t>
      </w:r>
      <w:r w:rsidRPr="0043737F">
        <w:rPr>
          <w:rFonts w:cs="Times New Roman"/>
          <w:noProof/>
          <w:sz w:val="24"/>
          <w:szCs w:val="24"/>
        </w:rPr>
        <w:t xml:space="preserve"> Improved allometric models to estimate the aboveground biomass of tropical trees. </w:t>
      </w:r>
      <w:r w:rsidRPr="0043737F">
        <w:rPr>
          <w:rFonts w:cs="Times New Roman"/>
          <w:i/>
          <w:noProof/>
          <w:sz w:val="24"/>
          <w:szCs w:val="24"/>
        </w:rPr>
        <w:t>Global Change Biology</w:t>
      </w:r>
      <w:r w:rsidRPr="0043737F">
        <w:rPr>
          <w:rFonts w:cs="Times New Roman"/>
          <w:noProof/>
          <w:sz w:val="24"/>
          <w:szCs w:val="24"/>
        </w:rPr>
        <w:t xml:space="preserve"> </w:t>
      </w:r>
      <w:r w:rsidRPr="0043737F">
        <w:rPr>
          <w:rFonts w:cs="Times New Roman"/>
          <w:b/>
          <w:noProof/>
          <w:sz w:val="24"/>
          <w:szCs w:val="24"/>
        </w:rPr>
        <w:t>20</w:t>
      </w:r>
      <w:r w:rsidRPr="0043737F">
        <w:rPr>
          <w:rFonts w:cs="Times New Roman"/>
          <w:noProof/>
          <w:sz w:val="24"/>
          <w:szCs w:val="24"/>
        </w:rPr>
        <w:t>, 3177-3190, doi:10.1111/gcb.12629 (2014).</w:t>
      </w:r>
    </w:p>
    <w:p w:rsidR="00B43E3C" w:rsidRPr="0043737F" w:rsidRDefault="00B43E3C" w:rsidP="00726F1B">
      <w:pPr>
        <w:ind w:left="720" w:hanging="720"/>
        <w:rPr>
          <w:rFonts w:cs="Times New Roman"/>
          <w:noProof/>
          <w:sz w:val="24"/>
          <w:szCs w:val="24"/>
        </w:rPr>
      </w:pPr>
      <w:r w:rsidRPr="0043737F">
        <w:rPr>
          <w:rFonts w:cs="Times New Roman"/>
          <w:noProof/>
          <w:sz w:val="24"/>
          <w:szCs w:val="24"/>
        </w:rPr>
        <w:t>62</w:t>
      </w:r>
      <w:r w:rsidRPr="0043737F">
        <w:rPr>
          <w:rFonts w:cs="Times New Roman"/>
          <w:noProof/>
          <w:sz w:val="24"/>
          <w:szCs w:val="24"/>
        </w:rPr>
        <w:tab/>
        <w:t xml:space="preserve">R Development Core Team. R: A Language and Environment for Statistical Computing. Available at </w:t>
      </w:r>
      <w:r w:rsidRPr="00B43E3C">
        <w:rPr>
          <w:rFonts w:cs="Times New Roman"/>
          <w:noProof/>
          <w:sz w:val="24"/>
          <w:szCs w:val="24"/>
        </w:rPr>
        <w:t>http://www.R-project.org/</w:t>
      </w:r>
      <w:r w:rsidRPr="0043737F">
        <w:rPr>
          <w:rFonts w:cs="Times New Roman"/>
          <w:noProof/>
          <w:sz w:val="24"/>
          <w:szCs w:val="24"/>
        </w:rPr>
        <w:t>.</w:t>
      </w:r>
      <w:r w:rsidR="00EF5658">
        <w:rPr>
          <w:rFonts w:cs="Times New Roman"/>
          <w:noProof/>
          <w:sz w:val="24"/>
          <w:szCs w:val="24"/>
        </w:rPr>
        <w:t xml:space="preserve"> </w:t>
      </w:r>
      <w:r w:rsidRPr="0043737F">
        <w:rPr>
          <w:rFonts w:cs="Times New Roman"/>
          <w:noProof/>
          <w:sz w:val="24"/>
          <w:szCs w:val="24"/>
        </w:rPr>
        <w:t>(2015).</w:t>
      </w:r>
    </w:p>
    <w:p w:rsidR="00B43E3C" w:rsidRPr="0043737F" w:rsidRDefault="00B43E3C" w:rsidP="00726F1B">
      <w:pPr>
        <w:ind w:left="720" w:hanging="720"/>
        <w:rPr>
          <w:rFonts w:cs="Times New Roman"/>
          <w:noProof/>
          <w:sz w:val="24"/>
          <w:szCs w:val="24"/>
        </w:rPr>
      </w:pPr>
      <w:r w:rsidRPr="0043737F">
        <w:rPr>
          <w:rFonts w:cs="Times New Roman"/>
          <w:noProof/>
          <w:sz w:val="24"/>
          <w:szCs w:val="24"/>
        </w:rPr>
        <w:t>63</w:t>
      </w:r>
      <w:r w:rsidRPr="0043737F">
        <w:rPr>
          <w:rFonts w:cs="Times New Roman"/>
          <w:noProof/>
          <w:sz w:val="24"/>
          <w:szCs w:val="24"/>
        </w:rPr>
        <w:tab/>
        <w:t xml:space="preserve">Lopez-Gonzalez, G., Sullivan, M. &amp; Baker, T. BiomasaFP package. Tools for analysing data downloaded from ForestPlots.net. R package version 0.2.1. Available at </w:t>
      </w:r>
      <w:hyperlink r:id="rId16" w:history="1">
        <w:r w:rsidR="00EF5658" w:rsidRPr="00834460">
          <w:rPr>
            <w:rStyle w:val="Hyperlink"/>
            <w:rFonts w:cs="Times New Roman"/>
            <w:noProof/>
            <w:sz w:val="24"/>
            <w:szCs w:val="24"/>
          </w:rPr>
          <w:t>http://www.forestplots.net/en/resources/analysis</w:t>
        </w:r>
      </w:hyperlink>
      <w:r w:rsidR="00EF5658">
        <w:rPr>
          <w:rFonts w:cs="Times New Roman"/>
          <w:noProof/>
          <w:sz w:val="24"/>
          <w:szCs w:val="24"/>
        </w:rPr>
        <w:t xml:space="preserve">. </w:t>
      </w:r>
      <w:r w:rsidRPr="0043737F">
        <w:rPr>
          <w:rFonts w:cs="Times New Roman"/>
          <w:noProof/>
          <w:sz w:val="24"/>
          <w:szCs w:val="24"/>
        </w:rPr>
        <w:t>(2017).</w:t>
      </w:r>
    </w:p>
    <w:p w:rsidR="00B43E3C" w:rsidRPr="0043737F" w:rsidRDefault="00B43E3C" w:rsidP="00726F1B">
      <w:pPr>
        <w:ind w:left="720" w:hanging="720"/>
        <w:rPr>
          <w:rFonts w:cs="Times New Roman"/>
          <w:noProof/>
          <w:sz w:val="24"/>
          <w:szCs w:val="24"/>
        </w:rPr>
      </w:pPr>
      <w:r w:rsidRPr="0043737F">
        <w:rPr>
          <w:rFonts w:cs="Times New Roman"/>
          <w:noProof/>
          <w:sz w:val="24"/>
          <w:szCs w:val="24"/>
        </w:rPr>
        <w:t>64</w:t>
      </w:r>
      <w:r w:rsidRPr="0043737F">
        <w:rPr>
          <w:rFonts w:cs="Times New Roman"/>
          <w:noProof/>
          <w:sz w:val="24"/>
          <w:szCs w:val="24"/>
        </w:rPr>
        <w:tab/>
        <w:t xml:space="preserve">Phillips, O., Baker, T., Brienen, R. &amp; Feldpausch, T. RAINFOR field manual for plot establishment and remeasurement. Available at </w:t>
      </w:r>
      <w:r w:rsidRPr="00B43E3C">
        <w:rPr>
          <w:rFonts w:cs="Times New Roman"/>
          <w:noProof/>
          <w:sz w:val="24"/>
          <w:szCs w:val="24"/>
        </w:rPr>
        <w:t>http://www.rainfor.org/upload/ManualsEnglish/RAINFOR_field_manual_version_2016.pdf</w:t>
      </w:r>
      <w:r w:rsidRPr="0043737F">
        <w:rPr>
          <w:rFonts w:cs="Times New Roman"/>
          <w:noProof/>
          <w:sz w:val="24"/>
          <w:szCs w:val="24"/>
        </w:rPr>
        <w:t>.</w:t>
      </w:r>
      <w:r w:rsidR="00EF5658">
        <w:rPr>
          <w:rFonts w:cs="Times New Roman"/>
          <w:noProof/>
          <w:sz w:val="24"/>
          <w:szCs w:val="24"/>
        </w:rPr>
        <w:t xml:space="preserve"> </w:t>
      </w:r>
      <w:r w:rsidRPr="0043737F">
        <w:rPr>
          <w:rFonts w:cs="Times New Roman"/>
          <w:noProof/>
          <w:sz w:val="24"/>
          <w:szCs w:val="24"/>
        </w:rPr>
        <w:t>(2016).</w:t>
      </w:r>
    </w:p>
    <w:p w:rsidR="00B43E3C" w:rsidRPr="0043737F" w:rsidRDefault="00B43E3C" w:rsidP="00726F1B">
      <w:pPr>
        <w:ind w:left="720" w:hanging="720"/>
        <w:rPr>
          <w:rFonts w:cs="Times New Roman"/>
          <w:noProof/>
          <w:sz w:val="24"/>
          <w:szCs w:val="24"/>
        </w:rPr>
      </w:pPr>
      <w:r w:rsidRPr="0043737F">
        <w:rPr>
          <w:rFonts w:cs="Times New Roman"/>
          <w:noProof/>
          <w:sz w:val="24"/>
          <w:szCs w:val="24"/>
        </w:rPr>
        <w:lastRenderedPageBreak/>
        <w:t>65</w:t>
      </w:r>
      <w:r w:rsidRPr="0043737F">
        <w:rPr>
          <w:rFonts w:cs="Times New Roman"/>
          <w:noProof/>
          <w:sz w:val="24"/>
          <w:szCs w:val="24"/>
        </w:rPr>
        <w:tab/>
        <w:t>Talbot, J.</w:t>
      </w:r>
      <w:r w:rsidRPr="0043737F">
        <w:rPr>
          <w:rFonts w:cs="Times New Roman"/>
          <w:i/>
          <w:noProof/>
          <w:sz w:val="24"/>
          <w:szCs w:val="24"/>
        </w:rPr>
        <w:t xml:space="preserve"> et al.</w:t>
      </w:r>
      <w:r w:rsidRPr="0043737F">
        <w:rPr>
          <w:rFonts w:cs="Times New Roman"/>
          <w:noProof/>
          <w:sz w:val="24"/>
          <w:szCs w:val="24"/>
        </w:rPr>
        <w:t xml:space="preserve"> Methods to estimate aboveground wood productivity from long-term forest inventory plots. </w:t>
      </w:r>
      <w:r w:rsidRPr="0043737F">
        <w:rPr>
          <w:rFonts w:cs="Times New Roman"/>
          <w:i/>
          <w:noProof/>
          <w:sz w:val="24"/>
          <w:szCs w:val="24"/>
        </w:rPr>
        <w:t>Forest Ecology and Management</w:t>
      </w:r>
      <w:r w:rsidRPr="0043737F">
        <w:rPr>
          <w:rFonts w:cs="Times New Roman"/>
          <w:noProof/>
          <w:sz w:val="24"/>
          <w:szCs w:val="24"/>
        </w:rPr>
        <w:t xml:space="preserve"> </w:t>
      </w:r>
      <w:r w:rsidRPr="0043737F">
        <w:rPr>
          <w:rFonts w:cs="Times New Roman"/>
          <w:b/>
          <w:noProof/>
          <w:sz w:val="24"/>
          <w:szCs w:val="24"/>
        </w:rPr>
        <w:t>320</w:t>
      </w:r>
      <w:r w:rsidRPr="0043737F">
        <w:rPr>
          <w:rFonts w:cs="Times New Roman"/>
          <w:noProof/>
          <w:sz w:val="24"/>
          <w:szCs w:val="24"/>
        </w:rPr>
        <w:t>, 30-38, doi:10.1016/j.foreco.2014.02.021 (2014).</w:t>
      </w:r>
    </w:p>
    <w:p w:rsidR="00B43E3C" w:rsidRPr="0043737F" w:rsidRDefault="00B43E3C" w:rsidP="00726F1B">
      <w:pPr>
        <w:ind w:left="720" w:hanging="720"/>
        <w:rPr>
          <w:rFonts w:cs="Times New Roman"/>
          <w:noProof/>
          <w:sz w:val="24"/>
          <w:szCs w:val="24"/>
        </w:rPr>
      </w:pPr>
      <w:r w:rsidRPr="0043737F">
        <w:rPr>
          <w:rFonts w:cs="Times New Roman"/>
          <w:noProof/>
          <w:sz w:val="24"/>
          <w:szCs w:val="24"/>
        </w:rPr>
        <w:t>66</w:t>
      </w:r>
      <w:r w:rsidRPr="0043737F">
        <w:rPr>
          <w:rFonts w:cs="Times New Roman"/>
          <w:noProof/>
          <w:sz w:val="24"/>
          <w:szCs w:val="24"/>
        </w:rPr>
        <w:tab/>
        <w:t>Sullivan, M. J. P.</w:t>
      </w:r>
      <w:r w:rsidRPr="0043737F">
        <w:rPr>
          <w:rFonts w:cs="Times New Roman"/>
          <w:i/>
          <w:noProof/>
          <w:sz w:val="24"/>
          <w:szCs w:val="24"/>
        </w:rPr>
        <w:t xml:space="preserve"> et al.</w:t>
      </w:r>
      <w:r w:rsidRPr="0043737F">
        <w:rPr>
          <w:rFonts w:cs="Times New Roman"/>
          <w:noProof/>
          <w:sz w:val="24"/>
          <w:szCs w:val="24"/>
        </w:rPr>
        <w:t xml:space="preserve"> Field methods for sampling tree height for tropical forest biomass estimation. </w:t>
      </w:r>
      <w:r w:rsidRPr="0043737F">
        <w:rPr>
          <w:rFonts w:cs="Times New Roman"/>
          <w:i/>
          <w:noProof/>
          <w:sz w:val="24"/>
          <w:szCs w:val="24"/>
        </w:rPr>
        <w:t>Methods in Ecology and Evolution</w:t>
      </w:r>
      <w:r w:rsidRPr="0043737F">
        <w:rPr>
          <w:rFonts w:cs="Times New Roman"/>
          <w:noProof/>
          <w:sz w:val="24"/>
          <w:szCs w:val="24"/>
        </w:rPr>
        <w:t xml:space="preserve"> </w:t>
      </w:r>
      <w:r w:rsidRPr="0043737F">
        <w:rPr>
          <w:rFonts w:cs="Times New Roman"/>
          <w:b/>
          <w:noProof/>
          <w:sz w:val="24"/>
          <w:szCs w:val="24"/>
        </w:rPr>
        <w:t>9</w:t>
      </w:r>
      <w:r w:rsidRPr="0043737F">
        <w:rPr>
          <w:rFonts w:cs="Times New Roman"/>
          <w:noProof/>
          <w:sz w:val="24"/>
          <w:szCs w:val="24"/>
        </w:rPr>
        <w:t>, 1179-1189, doi:10.1111/2041-210X.12962 (2018).</w:t>
      </w:r>
    </w:p>
    <w:p w:rsidR="00B43E3C" w:rsidRPr="0043737F" w:rsidRDefault="00B43E3C" w:rsidP="00726F1B">
      <w:pPr>
        <w:ind w:left="720" w:hanging="720"/>
        <w:rPr>
          <w:rFonts w:cs="Times New Roman"/>
          <w:noProof/>
          <w:sz w:val="24"/>
          <w:szCs w:val="24"/>
        </w:rPr>
      </w:pPr>
      <w:r w:rsidRPr="0043737F">
        <w:rPr>
          <w:rFonts w:cs="Times New Roman"/>
          <w:noProof/>
          <w:sz w:val="24"/>
          <w:szCs w:val="24"/>
        </w:rPr>
        <w:t>67</w:t>
      </w:r>
      <w:r w:rsidRPr="0043737F">
        <w:rPr>
          <w:rFonts w:cs="Times New Roman"/>
          <w:noProof/>
          <w:sz w:val="24"/>
          <w:szCs w:val="24"/>
        </w:rPr>
        <w:tab/>
        <w:t>Feldpausch, T. R.</w:t>
      </w:r>
      <w:r w:rsidRPr="0043737F">
        <w:rPr>
          <w:rFonts w:cs="Times New Roman"/>
          <w:i/>
          <w:noProof/>
          <w:sz w:val="24"/>
          <w:szCs w:val="24"/>
        </w:rPr>
        <w:t xml:space="preserve"> et al.</w:t>
      </w:r>
      <w:r w:rsidRPr="0043737F">
        <w:rPr>
          <w:rFonts w:cs="Times New Roman"/>
          <w:noProof/>
          <w:sz w:val="24"/>
          <w:szCs w:val="24"/>
        </w:rPr>
        <w:t xml:space="preserve"> Tree height integrated into pantropical forest biomass estimates. </w:t>
      </w:r>
      <w:r w:rsidRPr="0043737F">
        <w:rPr>
          <w:rFonts w:cs="Times New Roman"/>
          <w:i/>
          <w:noProof/>
          <w:sz w:val="24"/>
          <w:szCs w:val="24"/>
        </w:rPr>
        <w:t>Biogeosciences</w:t>
      </w:r>
      <w:r w:rsidRPr="0043737F">
        <w:rPr>
          <w:rFonts w:cs="Times New Roman"/>
          <w:noProof/>
          <w:sz w:val="24"/>
          <w:szCs w:val="24"/>
        </w:rPr>
        <w:t xml:space="preserve"> </w:t>
      </w:r>
      <w:r w:rsidRPr="0043737F">
        <w:rPr>
          <w:rFonts w:cs="Times New Roman"/>
          <w:b/>
          <w:noProof/>
          <w:sz w:val="24"/>
          <w:szCs w:val="24"/>
        </w:rPr>
        <w:t>9</w:t>
      </w:r>
      <w:r w:rsidRPr="0043737F">
        <w:rPr>
          <w:rFonts w:cs="Times New Roman"/>
          <w:noProof/>
          <w:sz w:val="24"/>
          <w:szCs w:val="24"/>
        </w:rPr>
        <w:t>, 3381-3403, doi:10.5194/bg-9-3381-2012 (2012).</w:t>
      </w:r>
    </w:p>
    <w:p w:rsidR="00B43E3C" w:rsidRPr="00B43E3C" w:rsidRDefault="00B43E3C" w:rsidP="00726F1B">
      <w:pPr>
        <w:ind w:left="720" w:hanging="720"/>
        <w:rPr>
          <w:rFonts w:cs="Times New Roman"/>
          <w:noProof/>
          <w:sz w:val="24"/>
          <w:szCs w:val="24"/>
          <w:lang w:val="fr-FR"/>
        </w:rPr>
      </w:pPr>
      <w:r w:rsidRPr="0043737F">
        <w:rPr>
          <w:rFonts w:cs="Times New Roman"/>
          <w:noProof/>
          <w:sz w:val="24"/>
          <w:szCs w:val="24"/>
        </w:rPr>
        <w:t>68</w:t>
      </w:r>
      <w:r w:rsidRPr="0043737F">
        <w:rPr>
          <w:rFonts w:cs="Times New Roman"/>
          <w:noProof/>
          <w:sz w:val="24"/>
          <w:szCs w:val="24"/>
        </w:rPr>
        <w:tab/>
        <w:t>Chave, J.</w:t>
      </w:r>
      <w:r w:rsidRPr="0043737F">
        <w:rPr>
          <w:rFonts w:cs="Times New Roman"/>
          <w:i/>
          <w:noProof/>
          <w:sz w:val="24"/>
          <w:szCs w:val="24"/>
        </w:rPr>
        <w:t xml:space="preserve"> et al.</w:t>
      </w:r>
      <w:r w:rsidRPr="0043737F">
        <w:rPr>
          <w:rFonts w:cs="Times New Roman"/>
          <w:noProof/>
          <w:sz w:val="24"/>
          <w:szCs w:val="24"/>
        </w:rPr>
        <w:t xml:space="preserve"> Towards a worldwide wood economics spectrum. </w:t>
      </w:r>
      <w:r w:rsidRPr="00B43E3C">
        <w:rPr>
          <w:rFonts w:cs="Times New Roman"/>
          <w:i/>
          <w:noProof/>
          <w:sz w:val="24"/>
          <w:szCs w:val="24"/>
          <w:lang w:val="fr-FR"/>
        </w:rPr>
        <w:t>Ecology Letters</w:t>
      </w:r>
      <w:r w:rsidRPr="00B43E3C">
        <w:rPr>
          <w:rFonts w:cs="Times New Roman"/>
          <w:noProof/>
          <w:sz w:val="24"/>
          <w:szCs w:val="24"/>
          <w:lang w:val="fr-FR"/>
        </w:rPr>
        <w:t xml:space="preserve"> </w:t>
      </w:r>
      <w:r w:rsidRPr="00B43E3C">
        <w:rPr>
          <w:rFonts w:cs="Times New Roman"/>
          <w:b/>
          <w:noProof/>
          <w:sz w:val="24"/>
          <w:szCs w:val="24"/>
          <w:lang w:val="fr-FR"/>
        </w:rPr>
        <w:t>12</w:t>
      </w:r>
      <w:r w:rsidRPr="00B43E3C">
        <w:rPr>
          <w:rFonts w:cs="Times New Roman"/>
          <w:noProof/>
          <w:sz w:val="24"/>
          <w:szCs w:val="24"/>
          <w:lang w:val="fr-FR"/>
        </w:rPr>
        <w:t>, 351-366, doi:10.1111/j.1461-0248.2009.01285.x (2009).</w:t>
      </w:r>
    </w:p>
    <w:p w:rsidR="00B43E3C" w:rsidRPr="0043737F" w:rsidRDefault="00B43E3C" w:rsidP="00726F1B">
      <w:pPr>
        <w:ind w:left="720" w:hanging="720"/>
        <w:rPr>
          <w:rFonts w:cs="Times New Roman"/>
          <w:noProof/>
          <w:sz w:val="24"/>
          <w:szCs w:val="24"/>
        </w:rPr>
      </w:pPr>
      <w:r w:rsidRPr="00B43E3C">
        <w:rPr>
          <w:rFonts w:cs="Times New Roman"/>
          <w:noProof/>
          <w:sz w:val="24"/>
          <w:szCs w:val="24"/>
          <w:lang w:val="fr-FR"/>
        </w:rPr>
        <w:t>69</w:t>
      </w:r>
      <w:r w:rsidRPr="00B43E3C">
        <w:rPr>
          <w:rFonts w:cs="Times New Roman"/>
          <w:noProof/>
          <w:sz w:val="24"/>
          <w:szCs w:val="24"/>
          <w:lang w:val="fr-FR"/>
        </w:rPr>
        <w:tab/>
        <w:t>Zanne, A. E.</w:t>
      </w:r>
      <w:r w:rsidRPr="00B43E3C">
        <w:rPr>
          <w:rFonts w:cs="Times New Roman"/>
          <w:i/>
          <w:noProof/>
          <w:sz w:val="24"/>
          <w:szCs w:val="24"/>
          <w:lang w:val="fr-FR"/>
        </w:rPr>
        <w:t xml:space="preserve"> et al.</w:t>
      </w:r>
      <w:r w:rsidR="00EF5658">
        <w:rPr>
          <w:rFonts w:cs="Times New Roman"/>
          <w:noProof/>
          <w:sz w:val="24"/>
          <w:szCs w:val="24"/>
          <w:lang w:val="fr-FR"/>
        </w:rPr>
        <w:t xml:space="preserve"> </w:t>
      </w:r>
      <w:r w:rsidRPr="0043737F">
        <w:rPr>
          <w:rFonts w:cs="Times New Roman"/>
          <w:i/>
          <w:noProof/>
          <w:sz w:val="24"/>
          <w:szCs w:val="24"/>
        </w:rPr>
        <w:t>Data from: Towards a worldwide wood economics spectrum</w:t>
      </w:r>
      <w:r w:rsidR="00EF5658">
        <w:rPr>
          <w:rFonts w:cs="Times New Roman"/>
          <w:noProof/>
          <w:sz w:val="24"/>
          <w:szCs w:val="24"/>
        </w:rPr>
        <w:t xml:space="preserve"> </w:t>
      </w:r>
      <w:r w:rsidRPr="0043737F">
        <w:rPr>
          <w:rFonts w:cs="Times New Roman"/>
          <w:noProof/>
          <w:sz w:val="24"/>
          <w:szCs w:val="24"/>
        </w:rPr>
        <w:t>(Dryad Digital Repository, 2009).</w:t>
      </w:r>
    </w:p>
    <w:p w:rsidR="00B43E3C" w:rsidRPr="0043737F" w:rsidRDefault="00B43E3C" w:rsidP="00726F1B">
      <w:pPr>
        <w:ind w:left="720" w:hanging="720"/>
        <w:rPr>
          <w:rFonts w:cs="Times New Roman"/>
          <w:noProof/>
          <w:sz w:val="24"/>
          <w:szCs w:val="24"/>
        </w:rPr>
      </w:pPr>
      <w:r w:rsidRPr="0043737F">
        <w:rPr>
          <w:rFonts w:cs="Times New Roman"/>
          <w:noProof/>
          <w:sz w:val="24"/>
          <w:szCs w:val="24"/>
        </w:rPr>
        <w:t>70</w:t>
      </w:r>
      <w:r w:rsidRPr="0043737F">
        <w:rPr>
          <w:rFonts w:cs="Times New Roman"/>
          <w:noProof/>
          <w:sz w:val="24"/>
          <w:szCs w:val="24"/>
        </w:rPr>
        <w:tab/>
        <w:t xml:space="preserve">Martin, A. R., Doraisami, M. &amp; Thomas, S. C. Global patterns in wood carbon concentration across the world’s trees and forests. </w:t>
      </w:r>
      <w:r w:rsidRPr="0043737F">
        <w:rPr>
          <w:rFonts w:cs="Times New Roman"/>
          <w:i/>
          <w:noProof/>
          <w:sz w:val="24"/>
          <w:szCs w:val="24"/>
        </w:rPr>
        <w:t>Nature Geoscience</w:t>
      </w:r>
      <w:r w:rsidRPr="0043737F">
        <w:rPr>
          <w:rFonts w:cs="Times New Roman"/>
          <w:noProof/>
          <w:sz w:val="24"/>
          <w:szCs w:val="24"/>
        </w:rPr>
        <w:t xml:space="preserve"> </w:t>
      </w:r>
      <w:r w:rsidRPr="0043737F">
        <w:rPr>
          <w:rFonts w:cs="Times New Roman"/>
          <w:b/>
          <w:noProof/>
          <w:sz w:val="24"/>
          <w:szCs w:val="24"/>
        </w:rPr>
        <w:t>11</w:t>
      </w:r>
      <w:r w:rsidRPr="0043737F">
        <w:rPr>
          <w:rFonts w:cs="Times New Roman"/>
          <w:noProof/>
          <w:sz w:val="24"/>
          <w:szCs w:val="24"/>
        </w:rPr>
        <w:t>, 915-920, doi:10.1038/s41561-018-0246-x (2018).</w:t>
      </w:r>
    </w:p>
    <w:p w:rsidR="00B43E3C" w:rsidRPr="0043737F" w:rsidRDefault="00B43E3C" w:rsidP="00726F1B">
      <w:pPr>
        <w:ind w:left="720" w:hanging="720"/>
        <w:rPr>
          <w:rFonts w:cs="Times New Roman"/>
          <w:noProof/>
          <w:sz w:val="24"/>
          <w:szCs w:val="24"/>
        </w:rPr>
      </w:pPr>
      <w:r w:rsidRPr="0043737F">
        <w:rPr>
          <w:rFonts w:cs="Times New Roman"/>
          <w:noProof/>
          <w:sz w:val="24"/>
          <w:szCs w:val="24"/>
        </w:rPr>
        <w:t>71</w:t>
      </w:r>
      <w:r w:rsidRPr="0043737F">
        <w:rPr>
          <w:rFonts w:cs="Times New Roman"/>
          <w:noProof/>
          <w:sz w:val="24"/>
          <w:szCs w:val="24"/>
        </w:rPr>
        <w:tab/>
        <w:t xml:space="preserve">Kohyama, T. S., Kohyama, T. I., Sheil, D. &amp; Rees, M. Definition and estimation of vital rates from repeated censuses: Choices, comparisons and bias corrections focusing on trees. </w:t>
      </w:r>
      <w:r w:rsidRPr="0043737F">
        <w:rPr>
          <w:rFonts w:cs="Times New Roman"/>
          <w:i/>
          <w:noProof/>
          <w:sz w:val="24"/>
          <w:szCs w:val="24"/>
        </w:rPr>
        <w:t>Methods in Ecology and Evolution</w:t>
      </w:r>
      <w:r w:rsidRPr="0043737F">
        <w:rPr>
          <w:rFonts w:cs="Times New Roman"/>
          <w:noProof/>
          <w:sz w:val="24"/>
          <w:szCs w:val="24"/>
        </w:rPr>
        <w:t xml:space="preserve"> </w:t>
      </w:r>
      <w:r w:rsidRPr="0043737F">
        <w:rPr>
          <w:rFonts w:cs="Times New Roman"/>
          <w:b/>
          <w:noProof/>
          <w:sz w:val="24"/>
          <w:szCs w:val="24"/>
        </w:rPr>
        <w:t>9</w:t>
      </w:r>
      <w:r w:rsidRPr="0043737F">
        <w:rPr>
          <w:rFonts w:cs="Times New Roman"/>
          <w:noProof/>
          <w:sz w:val="24"/>
          <w:szCs w:val="24"/>
        </w:rPr>
        <w:t>, 809-821, doi:10.1111/2041-210x.12929 (2018).</w:t>
      </w:r>
    </w:p>
    <w:p w:rsidR="00B43E3C" w:rsidRPr="0043737F" w:rsidRDefault="00B43E3C" w:rsidP="00726F1B">
      <w:pPr>
        <w:ind w:left="720" w:hanging="720"/>
        <w:rPr>
          <w:rFonts w:cs="Times New Roman"/>
          <w:noProof/>
          <w:sz w:val="24"/>
          <w:szCs w:val="24"/>
        </w:rPr>
      </w:pPr>
      <w:r w:rsidRPr="0043737F">
        <w:rPr>
          <w:rFonts w:cs="Times New Roman"/>
          <w:noProof/>
          <w:sz w:val="24"/>
          <w:szCs w:val="24"/>
        </w:rPr>
        <w:t>72</w:t>
      </w:r>
      <w:r w:rsidRPr="0043737F">
        <w:rPr>
          <w:rFonts w:cs="Times New Roman"/>
          <w:noProof/>
          <w:sz w:val="24"/>
          <w:szCs w:val="24"/>
        </w:rPr>
        <w:tab/>
        <w:t xml:space="preserve">Bates, D., Maechler, M., Bolker, B. &amp; Walker, S. lme4: Linear mixed-effects models using Eigen andS4.Rpackage version, 1.0-4. Available at </w:t>
      </w:r>
      <w:r w:rsidRPr="00B43E3C">
        <w:rPr>
          <w:rFonts w:cs="Times New Roman"/>
          <w:noProof/>
          <w:sz w:val="24"/>
          <w:szCs w:val="24"/>
        </w:rPr>
        <w:t>http://www.inside-r.org/packages/lme4/versions/1-0-4</w:t>
      </w:r>
      <w:r w:rsidRPr="0043737F">
        <w:rPr>
          <w:rFonts w:cs="Times New Roman"/>
          <w:noProof/>
          <w:sz w:val="24"/>
          <w:szCs w:val="24"/>
        </w:rPr>
        <w:t>.</w:t>
      </w:r>
      <w:r w:rsidR="00EF5658">
        <w:rPr>
          <w:rFonts w:cs="Times New Roman"/>
          <w:noProof/>
          <w:sz w:val="24"/>
          <w:szCs w:val="24"/>
        </w:rPr>
        <w:t xml:space="preserve"> </w:t>
      </w:r>
      <w:r w:rsidRPr="0043737F">
        <w:rPr>
          <w:rFonts w:cs="Times New Roman"/>
          <w:noProof/>
          <w:sz w:val="24"/>
          <w:szCs w:val="24"/>
        </w:rPr>
        <w:t>(2013).</w:t>
      </w:r>
    </w:p>
    <w:p w:rsidR="00B43E3C" w:rsidRPr="0043737F" w:rsidRDefault="00B43E3C" w:rsidP="00726F1B">
      <w:pPr>
        <w:ind w:left="720" w:hanging="720"/>
        <w:rPr>
          <w:rFonts w:cs="Times New Roman"/>
          <w:noProof/>
          <w:sz w:val="24"/>
          <w:szCs w:val="24"/>
        </w:rPr>
      </w:pPr>
      <w:r w:rsidRPr="0043737F">
        <w:rPr>
          <w:rFonts w:cs="Times New Roman"/>
          <w:noProof/>
          <w:sz w:val="24"/>
          <w:szCs w:val="24"/>
        </w:rPr>
        <w:t>73</w:t>
      </w:r>
      <w:r w:rsidRPr="0043737F">
        <w:rPr>
          <w:rFonts w:cs="Times New Roman"/>
          <w:noProof/>
          <w:sz w:val="24"/>
          <w:szCs w:val="24"/>
        </w:rPr>
        <w:tab/>
        <w:t xml:space="preserve">Fox, J. </w:t>
      </w:r>
      <w:r w:rsidRPr="0043737F">
        <w:rPr>
          <w:rFonts w:cs="Times New Roman"/>
          <w:i/>
          <w:noProof/>
          <w:sz w:val="24"/>
          <w:szCs w:val="24"/>
        </w:rPr>
        <w:t>Applied Regression Analysis and Generalized Linear Models</w:t>
      </w:r>
      <w:r w:rsidRPr="0043737F">
        <w:rPr>
          <w:rFonts w:cs="Times New Roman"/>
          <w:noProof/>
          <w:sz w:val="24"/>
          <w:szCs w:val="24"/>
        </w:rPr>
        <w:t>. Second edn,</w:t>
      </w:r>
      <w:r w:rsidR="00EF5658">
        <w:rPr>
          <w:rFonts w:cs="Times New Roman"/>
          <w:noProof/>
          <w:sz w:val="24"/>
          <w:szCs w:val="24"/>
        </w:rPr>
        <w:t xml:space="preserve"> </w:t>
      </w:r>
      <w:r w:rsidRPr="0043737F">
        <w:rPr>
          <w:rFonts w:cs="Times New Roman"/>
          <w:noProof/>
          <w:sz w:val="24"/>
          <w:szCs w:val="24"/>
        </w:rPr>
        <w:t>(Sage Publishing, 2008).</w:t>
      </w:r>
    </w:p>
    <w:p w:rsidR="00B43E3C" w:rsidRPr="0043737F" w:rsidRDefault="00B43E3C" w:rsidP="00726F1B">
      <w:pPr>
        <w:ind w:left="720" w:hanging="720"/>
        <w:rPr>
          <w:rFonts w:cs="Times New Roman"/>
          <w:noProof/>
          <w:sz w:val="24"/>
          <w:szCs w:val="24"/>
        </w:rPr>
      </w:pPr>
      <w:r w:rsidRPr="0043737F">
        <w:rPr>
          <w:rFonts w:cs="Times New Roman"/>
          <w:noProof/>
          <w:sz w:val="24"/>
          <w:szCs w:val="24"/>
        </w:rPr>
        <w:t>74</w:t>
      </w:r>
      <w:r w:rsidRPr="0043737F">
        <w:rPr>
          <w:rFonts w:cs="Times New Roman"/>
          <w:noProof/>
          <w:sz w:val="24"/>
          <w:szCs w:val="24"/>
        </w:rPr>
        <w:tab/>
        <w:t>Chave, J.</w:t>
      </w:r>
      <w:r w:rsidRPr="0043737F">
        <w:rPr>
          <w:rFonts w:cs="Times New Roman"/>
          <w:i/>
          <w:noProof/>
          <w:sz w:val="24"/>
          <w:szCs w:val="24"/>
        </w:rPr>
        <w:t xml:space="preserve"> et al.</w:t>
      </w:r>
      <w:r w:rsidRPr="0043737F">
        <w:rPr>
          <w:rFonts w:cs="Times New Roman"/>
          <w:noProof/>
          <w:sz w:val="24"/>
          <w:szCs w:val="24"/>
        </w:rPr>
        <w:t xml:space="preserve"> Assessing evidence for a pervasive alteration in tropical tree communities. </w:t>
      </w:r>
      <w:r w:rsidRPr="0043737F">
        <w:rPr>
          <w:rFonts w:cs="Times New Roman"/>
          <w:i/>
          <w:noProof/>
          <w:sz w:val="24"/>
          <w:szCs w:val="24"/>
        </w:rPr>
        <w:t>PLoS Biology</w:t>
      </w:r>
      <w:r w:rsidRPr="0043737F">
        <w:rPr>
          <w:rFonts w:cs="Times New Roman"/>
          <w:noProof/>
          <w:sz w:val="24"/>
          <w:szCs w:val="24"/>
        </w:rPr>
        <w:t xml:space="preserve"> </w:t>
      </w:r>
      <w:r w:rsidRPr="0043737F">
        <w:rPr>
          <w:rFonts w:cs="Times New Roman"/>
          <w:b/>
          <w:noProof/>
          <w:sz w:val="24"/>
          <w:szCs w:val="24"/>
        </w:rPr>
        <w:t>6</w:t>
      </w:r>
      <w:r w:rsidRPr="0043737F">
        <w:rPr>
          <w:rFonts w:cs="Times New Roman"/>
          <w:noProof/>
          <w:sz w:val="24"/>
          <w:szCs w:val="24"/>
        </w:rPr>
        <w:t>, 0455-0462, doi:10.1371/journal.pbio.0060045 (2008).</w:t>
      </w:r>
    </w:p>
    <w:p w:rsidR="00B43E3C" w:rsidRPr="0043737F" w:rsidRDefault="00B43E3C" w:rsidP="00726F1B">
      <w:pPr>
        <w:ind w:left="720" w:hanging="720"/>
        <w:rPr>
          <w:rFonts w:cs="Times New Roman"/>
          <w:noProof/>
          <w:sz w:val="24"/>
          <w:szCs w:val="24"/>
        </w:rPr>
      </w:pPr>
      <w:r w:rsidRPr="0043737F">
        <w:rPr>
          <w:rFonts w:cs="Times New Roman"/>
          <w:noProof/>
          <w:sz w:val="24"/>
          <w:szCs w:val="24"/>
        </w:rPr>
        <w:lastRenderedPageBreak/>
        <w:t>75</w:t>
      </w:r>
      <w:r w:rsidRPr="0043737F">
        <w:rPr>
          <w:rFonts w:cs="Times New Roman"/>
          <w:noProof/>
          <w:sz w:val="24"/>
          <w:szCs w:val="24"/>
        </w:rPr>
        <w:tab/>
        <w:t xml:space="preserve">Yuen, J. Q., Ziegler, A. D., Webb, E. L. &amp; Ryan, C. M. Uncertainty in below-ground carbon biomass for major land covers in Southeast Asia. </w:t>
      </w:r>
      <w:r w:rsidRPr="0043737F">
        <w:rPr>
          <w:rFonts w:cs="Times New Roman"/>
          <w:i/>
          <w:noProof/>
          <w:sz w:val="24"/>
          <w:szCs w:val="24"/>
        </w:rPr>
        <w:t>Forest Ecology and Management</w:t>
      </w:r>
      <w:r w:rsidRPr="0043737F">
        <w:rPr>
          <w:rFonts w:cs="Times New Roman"/>
          <w:noProof/>
          <w:sz w:val="24"/>
          <w:szCs w:val="24"/>
        </w:rPr>
        <w:t xml:space="preserve"> </w:t>
      </w:r>
      <w:r w:rsidRPr="0043737F">
        <w:rPr>
          <w:rFonts w:cs="Times New Roman"/>
          <w:b/>
          <w:noProof/>
          <w:sz w:val="24"/>
          <w:szCs w:val="24"/>
        </w:rPr>
        <w:t>310</w:t>
      </w:r>
      <w:r w:rsidRPr="0043737F">
        <w:rPr>
          <w:rFonts w:cs="Times New Roman"/>
          <w:noProof/>
          <w:sz w:val="24"/>
          <w:szCs w:val="24"/>
        </w:rPr>
        <w:t>, 915-926, doi:10.1016/j.foreco.2013.09.042 (2013).</w:t>
      </w:r>
    </w:p>
    <w:p w:rsidR="00B43E3C" w:rsidRPr="0043737F" w:rsidRDefault="00B43E3C" w:rsidP="00726F1B">
      <w:pPr>
        <w:ind w:left="720" w:hanging="720"/>
        <w:rPr>
          <w:rFonts w:cs="Times New Roman"/>
          <w:noProof/>
          <w:sz w:val="24"/>
          <w:szCs w:val="24"/>
        </w:rPr>
      </w:pPr>
      <w:r w:rsidRPr="0043737F">
        <w:rPr>
          <w:rFonts w:cs="Times New Roman"/>
          <w:noProof/>
          <w:sz w:val="24"/>
          <w:szCs w:val="24"/>
        </w:rPr>
        <w:t>76</w:t>
      </w:r>
      <w:r w:rsidRPr="0043737F">
        <w:rPr>
          <w:rFonts w:cs="Times New Roman"/>
          <w:noProof/>
          <w:sz w:val="24"/>
          <w:szCs w:val="24"/>
        </w:rPr>
        <w:tab/>
        <w:t>Aragão, L. E. O. C.</w:t>
      </w:r>
      <w:r w:rsidRPr="0043737F">
        <w:rPr>
          <w:rFonts w:cs="Times New Roman"/>
          <w:i/>
          <w:noProof/>
          <w:sz w:val="24"/>
          <w:szCs w:val="24"/>
        </w:rPr>
        <w:t xml:space="preserve"> et al.</w:t>
      </w:r>
      <w:r w:rsidRPr="0043737F">
        <w:rPr>
          <w:rFonts w:cs="Times New Roman"/>
          <w:noProof/>
          <w:sz w:val="24"/>
          <w:szCs w:val="24"/>
        </w:rPr>
        <w:t xml:space="preserve"> Spatial patterns and fire response of recent Amazonian droughts. </w:t>
      </w:r>
      <w:r w:rsidRPr="0043737F">
        <w:rPr>
          <w:rFonts w:cs="Times New Roman"/>
          <w:i/>
          <w:noProof/>
          <w:sz w:val="24"/>
          <w:szCs w:val="24"/>
        </w:rPr>
        <w:t>Geophysical Research Letters</w:t>
      </w:r>
      <w:r w:rsidRPr="0043737F">
        <w:rPr>
          <w:rFonts w:cs="Times New Roman"/>
          <w:noProof/>
          <w:sz w:val="24"/>
          <w:szCs w:val="24"/>
        </w:rPr>
        <w:t xml:space="preserve"> </w:t>
      </w:r>
      <w:r w:rsidRPr="0043737F">
        <w:rPr>
          <w:rFonts w:cs="Times New Roman"/>
          <w:b/>
          <w:noProof/>
          <w:sz w:val="24"/>
          <w:szCs w:val="24"/>
        </w:rPr>
        <w:t>34</w:t>
      </w:r>
      <w:r w:rsidRPr="0043737F">
        <w:rPr>
          <w:rFonts w:cs="Times New Roman"/>
          <w:noProof/>
          <w:sz w:val="24"/>
          <w:szCs w:val="24"/>
        </w:rPr>
        <w:t>, 1-5, doi:10.1029/2006gl028946 (2007).</w:t>
      </w:r>
    </w:p>
    <w:p w:rsidR="00B43E3C" w:rsidRPr="0043737F" w:rsidRDefault="00B43E3C" w:rsidP="00726F1B">
      <w:pPr>
        <w:ind w:left="720" w:hanging="720"/>
        <w:rPr>
          <w:rFonts w:cs="Times New Roman"/>
          <w:noProof/>
          <w:sz w:val="24"/>
          <w:szCs w:val="24"/>
        </w:rPr>
      </w:pPr>
      <w:r w:rsidRPr="0043737F">
        <w:rPr>
          <w:rFonts w:cs="Times New Roman"/>
          <w:noProof/>
          <w:sz w:val="24"/>
          <w:szCs w:val="24"/>
        </w:rPr>
        <w:t>77</w:t>
      </w:r>
      <w:r w:rsidRPr="0043737F">
        <w:rPr>
          <w:rFonts w:cs="Times New Roman"/>
          <w:noProof/>
          <w:sz w:val="24"/>
          <w:szCs w:val="24"/>
        </w:rPr>
        <w:tab/>
        <w:t>Aragão, L. E. O. C.</w:t>
      </w:r>
      <w:r w:rsidRPr="0043737F">
        <w:rPr>
          <w:rFonts w:cs="Times New Roman"/>
          <w:i/>
          <w:noProof/>
          <w:sz w:val="24"/>
          <w:szCs w:val="24"/>
        </w:rPr>
        <w:t xml:space="preserve"> et al.</w:t>
      </w:r>
      <w:r w:rsidRPr="0043737F">
        <w:rPr>
          <w:rFonts w:cs="Times New Roman"/>
          <w:noProof/>
          <w:sz w:val="24"/>
          <w:szCs w:val="24"/>
        </w:rPr>
        <w:t xml:space="preserve"> Environmental change and the carbon balance of Amazonian forests. </w:t>
      </w:r>
      <w:r w:rsidRPr="0043737F">
        <w:rPr>
          <w:rFonts w:cs="Times New Roman"/>
          <w:i/>
          <w:noProof/>
          <w:sz w:val="24"/>
          <w:szCs w:val="24"/>
        </w:rPr>
        <w:t>Biological Reviews</w:t>
      </w:r>
      <w:r w:rsidRPr="0043737F">
        <w:rPr>
          <w:rFonts w:cs="Times New Roman"/>
          <w:noProof/>
          <w:sz w:val="24"/>
          <w:szCs w:val="24"/>
        </w:rPr>
        <w:t xml:space="preserve"> </w:t>
      </w:r>
      <w:r w:rsidRPr="0043737F">
        <w:rPr>
          <w:rFonts w:cs="Times New Roman"/>
          <w:b/>
          <w:noProof/>
          <w:sz w:val="24"/>
          <w:szCs w:val="24"/>
        </w:rPr>
        <w:t>89</w:t>
      </w:r>
      <w:r w:rsidRPr="0043737F">
        <w:rPr>
          <w:rFonts w:cs="Times New Roman"/>
          <w:noProof/>
          <w:sz w:val="24"/>
          <w:szCs w:val="24"/>
        </w:rPr>
        <w:t>, 913-931, doi:10.1111/brv.12088 (2014).</w:t>
      </w:r>
    </w:p>
    <w:p w:rsidR="00B43E3C" w:rsidRPr="0043737F" w:rsidRDefault="00B43E3C" w:rsidP="00726F1B">
      <w:pPr>
        <w:ind w:left="720" w:hanging="720"/>
        <w:rPr>
          <w:rFonts w:cs="Times New Roman"/>
          <w:noProof/>
          <w:sz w:val="24"/>
          <w:szCs w:val="24"/>
        </w:rPr>
      </w:pPr>
      <w:r w:rsidRPr="0043737F">
        <w:rPr>
          <w:rFonts w:cs="Times New Roman"/>
          <w:noProof/>
          <w:sz w:val="24"/>
          <w:szCs w:val="24"/>
        </w:rPr>
        <w:t>78</w:t>
      </w:r>
      <w:r w:rsidRPr="0043737F">
        <w:rPr>
          <w:rFonts w:cs="Times New Roman"/>
          <w:noProof/>
          <w:sz w:val="24"/>
          <w:szCs w:val="24"/>
        </w:rPr>
        <w:tab/>
        <w:t>Tans, P. &amp; Keeling, R. Mauna Loa CO</w:t>
      </w:r>
      <w:r w:rsidRPr="00EF5658">
        <w:rPr>
          <w:rFonts w:cs="Times New Roman"/>
          <w:noProof/>
          <w:sz w:val="24"/>
          <w:szCs w:val="24"/>
          <w:vertAlign w:val="subscript"/>
        </w:rPr>
        <w:t>2</w:t>
      </w:r>
      <w:r w:rsidRPr="0043737F">
        <w:rPr>
          <w:rFonts w:cs="Times New Roman"/>
          <w:noProof/>
          <w:sz w:val="24"/>
          <w:szCs w:val="24"/>
        </w:rPr>
        <w:t xml:space="preserve"> monthly mean data. Available at </w:t>
      </w:r>
      <w:r w:rsidRPr="00B43E3C">
        <w:rPr>
          <w:rFonts w:cs="Times New Roman"/>
          <w:noProof/>
          <w:sz w:val="24"/>
          <w:szCs w:val="24"/>
        </w:rPr>
        <w:t>http://www.esrl.noaa.gov/gmd/ccgg/trends/</w:t>
      </w:r>
      <w:r w:rsidRPr="0043737F">
        <w:rPr>
          <w:rFonts w:cs="Times New Roman"/>
          <w:noProof/>
          <w:sz w:val="24"/>
          <w:szCs w:val="24"/>
        </w:rPr>
        <w:t>.</w:t>
      </w:r>
      <w:r w:rsidR="00EF5658">
        <w:rPr>
          <w:rFonts w:cs="Times New Roman"/>
          <w:noProof/>
          <w:sz w:val="24"/>
          <w:szCs w:val="24"/>
        </w:rPr>
        <w:t xml:space="preserve"> </w:t>
      </w:r>
      <w:r w:rsidRPr="0043737F">
        <w:rPr>
          <w:rFonts w:cs="Times New Roman"/>
          <w:noProof/>
          <w:sz w:val="24"/>
          <w:szCs w:val="24"/>
        </w:rPr>
        <w:t>(2016).</w:t>
      </w:r>
    </w:p>
    <w:p w:rsidR="00B43E3C" w:rsidRPr="0043737F" w:rsidRDefault="00B43E3C" w:rsidP="00726F1B">
      <w:pPr>
        <w:ind w:left="720" w:hanging="720"/>
        <w:rPr>
          <w:rFonts w:cs="Times New Roman"/>
          <w:noProof/>
          <w:sz w:val="24"/>
          <w:szCs w:val="24"/>
        </w:rPr>
      </w:pPr>
      <w:r w:rsidRPr="0043737F">
        <w:rPr>
          <w:rFonts w:cs="Times New Roman"/>
          <w:noProof/>
          <w:sz w:val="24"/>
          <w:szCs w:val="24"/>
        </w:rPr>
        <w:t>79</w:t>
      </w:r>
      <w:r w:rsidRPr="0043737F">
        <w:rPr>
          <w:rFonts w:cs="Times New Roman"/>
          <w:noProof/>
          <w:sz w:val="24"/>
          <w:szCs w:val="24"/>
        </w:rPr>
        <w:tab/>
        <w:t xml:space="preserve">Harris, I., Jones, P. D., Osborn, T. J. &amp; Lister, D. H. Updated high-resolution grids of monthly climatic observations – the CRU TS3.10 Dataset. </w:t>
      </w:r>
      <w:r w:rsidRPr="0043737F">
        <w:rPr>
          <w:rFonts w:cs="Times New Roman"/>
          <w:i/>
          <w:noProof/>
          <w:sz w:val="24"/>
          <w:szCs w:val="24"/>
        </w:rPr>
        <w:t>International Journal of Climatology</w:t>
      </w:r>
      <w:r w:rsidRPr="0043737F">
        <w:rPr>
          <w:rFonts w:cs="Times New Roman"/>
          <w:noProof/>
          <w:sz w:val="24"/>
          <w:szCs w:val="24"/>
        </w:rPr>
        <w:t xml:space="preserve"> </w:t>
      </w:r>
      <w:r w:rsidRPr="0043737F">
        <w:rPr>
          <w:rFonts w:cs="Times New Roman"/>
          <w:b/>
          <w:noProof/>
          <w:sz w:val="24"/>
          <w:szCs w:val="24"/>
        </w:rPr>
        <w:t>34</w:t>
      </w:r>
      <w:r w:rsidRPr="0043737F">
        <w:rPr>
          <w:rFonts w:cs="Times New Roman"/>
          <w:noProof/>
          <w:sz w:val="24"/>
          <w:szCs w:val="24"/>
        </w:rPr>
        <w:t>, 623–642 doi:10.1002/joc.3711 (2014).</w:t>
      </w:r>
    </w:p>
    <w:p w:rsidR="00B43E3C" w:rsidRPr="0043737F" w:rsidRDefault="00B43E3C" w:rsidP="00726F1B">
      <w:pPr>
        <w:ind w:left="720" w:hanging="720"/>
        <w:rPr>
          <w:rFonts w:cs="Times New Roman"/>
          <w:noProof/>
          <w:sz w:val="24"/>
          <w:szCs w:val="24"/>
        </w:rPr>
      </w:pPr>
      <w:r w:rsidRPr="0043737F">
        <w:rPr>
          <w:rFonts w:cs="Times New Roman"/>
          <w:noProof/>
          <w:sz w:val="24"/>
          <w:szCs w:val="24"/>
        </w:rPr>
        <w:t>80</w:t>
      </w:r>
      <w:r w:rsidRPr="0043737F">
        <w:rPr>
          <w:rFonts w:cs="Times New Roman"/>
          <w:noProof/>
          <w:sz w:val="24"/>
          <w:szCs w:val="24"/>
        </w:rPr>
        <w:tab/>
        <w:t xml:space="preserve">Fick, S. E. &amp; Hijmans, R. J. WorldClim 2: new 1-km spatial resolution climate surfaces for global land areas. </w:t>
      </w:r>
      <w:r w:rsidRPr="0043737F">
        <w:rPr>
          <w:rFonts w:cs="Times New Roman"/>
          <w:i/>
          <w:noProof/>
          <w:sz w:val="24"/>
          <w:szCs w:val="24"/>
        </w:rPr>
        <w:t>International Journal of Climatology</w:t>
      </w:r>
      <w:r w:rsidRPr="0043737F">
        <w:rPr>
          <w:rFonts w:cs="Times New Roman"/>
          <w:noProof/>
          <w:sz w:val="24"/>
          <w:szCs w:val="24"/>
        </w:rPr>
        <w:t xml:space="preserve"> </w:t>
      </w:r>
      <w:r w:rsidRPr="0043737F">
        <w:rPr>
          <w:rFonts w:cs="Times New Roman"/>
          <w:b/>
          <w:noProof/>
          <w:sz w:val="24"/>
          <w:szCs w:val="24"/>
        </w:rPr>
        <w:t>37</w:t>
      </w:r>
      <w:r w:rsidRPr="0043737F">
        <w:rPr>
          <w:rFonts w:cs="Times New Roman"/>
          <w:noProof/>
          <w:sz w:val="24"/>
          <w:szCs w:val="24"/>
        </w:rPr>
        <w:t>, 4302-4315, doi:10.1002/joc.5086 (2017).</w:t>
      </w:r>
    </w:p>
    <w:p w:rsidR="00B43E3C" w:rsidRPr="0043737F" w:rsidRDefault="00B43E3C" w:rsidP="00726F1B">
      <w:pPr>
        <w:ind w:left="720" w:hanging="720"/>
        <w:rPr>
          <w:rFonts w:cs="Times New Roman"/>
          <w:noProof/>
          <w:sz w:val="24"/>
          <w:szCs w:val="24"/>
        </w:rPr>
      </w:pPr>
      <w:r w:rsidRPr="0043737F">
        <w:rPr>
          <w:rFonts w:cs="Times New Roman"/>
          <w:noProof/>
          <w:sz w:val="24"/>
          <w:szCs w:val="24"/>
        </w:rPr>
        <w:t>81</w:t>
      </w:r>
      <w:r w:rsidRPr="0043737F">
        <w:rPr>
          <w:rFonts w:cs="Times New Roman"/>
          <w:noProof/>
          <w:sz w:val="24"/>
          <w:szCs w:val="24"/>
        </w:rPr>
        <w:tab/>
        <w:t>Ramirez-Villegas, J. &amp; Jarvis, A. Downscaling Global Circulation Model Outputs: The Delta Method. Decision and Policy Analysis Working Paper No. 1., 18 (2010).</w:t>
      </w:r>
    </w:p>
    <w:p w:rsidR="00B43E3C" w:rsidRPr="0043737F" w:rsidRDefault="00B43E3C" w:rsidP="00726F1B">
      <w:pPr>
        <w:ind w:left="720" w:hanging="720"/>
        <w:rPr>
          <w:rFonts w:cs="Times New Roman"/>
          <w:noProof/>
          <w:sz w:val="24"/>
          <w:szCs w:val="24"/>
        </w:rPr>
      </w:pPr>
      <w:r w:rsidRPr="0043737F">
        <w:rPr>
          <w:rFonts w:cs="Times New Roman"/>
          <w:noProof/>
          <w:sz w:val="24"/>
          <w:szCs w:val="24"/>
        </w:rPr>
        <w:t>82</w:t>
      </w:r>
      <w:r w:rsidRPr="0043737F">
        <w:rPr>
          <w:rFonts w:cs="Times New Roman"/>
          <w:noProof/>
          <w:sz w:val="24"/>
          <w:szCs w:val="24"/>
        </w:rPr>
        <w:tab/>
        <w:t>Schneider, U.</w:t>
      </w:r>
      <w:r w:rsidRPr="0043737F">
        <w:rPr>
          <w:rFonts w:cs="Times New Roman"/>
          <w:i/>
          <w:noProof/>
          <w:sz w:val="24"/>
          <w:szCs w:val="24"/>
        </w:rPr>
        <w:t xml:space="preserve"> et al.</w:t>
      </w:r>
      <w:r w:rsidRPr="0043737F">
        <w:rPr>
          <w:rFonts w:cs="Times New Roman"/>
          <w:noProof/>
          <w:sz w:val="24"/>
          <w:szCs w:val="24"/>
        </w:rPr>
        <w:t xml:space="preserve"> GPCC Full Data Reanalysis Version 6.0 at 0.5°: Monthly Land-Surface Precipitation from Rain-Gauges built on GTS-based and Historic Data. doi:10.5676/DWD_GPCC/FD_M_V6_050 (2011).</w:t>
      </w:r>
    </w:p>
    <w:p w:rsidR="00B43E3C" w:rsidRPr="0043737F" w:rsidRDefault="00B43E3C" w:rsidP="00726F1B">
      <w:pPr>
        <w:ind w:left="720" w:hanging="720"/>
        <w:rPr>
          <w:rFonts w:cs="Times New Roman"/>
          <w:noProof/>
          <w:sz w:val="24"/>
          <w:szCs w:val="24"/>
        </w:rPr>
      </w:pPr>
      <w:r w:rsidRPr="0043737F">
        <w:rPr>
          <w:rFonts w:cs="Times New Roman"/>
          <w:noProof/>
          <w:sz w:val="24"/>
          <w:szCs w:val="24"/>
        </w:rPr>
        <w:t>83</w:t>
      </w:r>
      <w:r w:rsidRPr="0043737F">
        <w:rPr>
          <w:rFonts w:cs="Times New Roman"/>
          <w:noProof/>
          <w:sz w:val="24"/>
          <w:szCs w:val="24"/>
        </w:rPr>
        <w:tab/>
        <w:t>Sun, Q.</w:t>
      </w:r>
      <w:r w:rsidRPr="0043737F">
        <w:rPr>
          <w:rFonts w:cs="Times New Roman"/>
          <w:i/>
          <w:noProof/>
          <w:sz w:val="24"/>
          <w:szCs w:val="24"/>
        </w:rPr>
        <w:t xml:space="preserve"> et al.</w:t>
      </w:r>
      <w:r w:rsidRPr="0043737F">
        <w:rPr>
          <w:rFonts w:cs="Times New Roman"/>
          <w:noProof/>
          <w:sz w:val="24"/>
          <w:szCs w:val="24"/>
        </w:rPr>
        <w:t xml:space="preserve"> Review of Global Precipitation Data Sets: Data Sources, Estimation, and Intercomparisons. </w:t>
      </w:r>
      <w:r w:rsidRPr="0043737F">
        <w:rPr>
          <w:rFonts w:cs="Times New Roman"/>
          <w:i/>
          <w:noProof/>
          <w:sz w:val="24"/>
          <w:szCs w:val="24"/>
        </w:rPr>
        <w:t>Reviews of geophysics</w:t>
      </w:r>
      <w:r w:rsidRPr="0043737F">
        <w:rPr>
          <w:rFonts w:cs="Times New Roman"/>
          <w:noProof/>
          <w:sz w:val="24"/>
          <w:szCs w:val="24"/>
        </w:rPr>
        <w:t xml:space="preserve"> </w:t>
      </w:r>
      <w:r w:rsidRPr="0043737F">
        <w:rPr>
          <w:rFonts w:cs="Times New Roman"/>
          <w:b/>
          <w:noProof/>
          <w:sz w:val="24"/>
          <w:szCs w:val="24"/>
        </w:rPr>
        <w:t>56</w:t>
      </w:r>
      <w:r w:rsidRPr="0043737F">
        <w:rPr>
          <w:rFonts w:cs="Times New Roman"/>
          <w:noProof/>
          <w:sz w:val="24"/>
          <w:szCs w:val="24"/>
        </w:rPr>
        <w:t>, 79-107, doi:10.1002/ (2017).</w:t>
      </w:r>
    </w:p>
    <w:p w:rsidR="00B43E3C" w:rsidRPr="0043737F" w:rsidRDefault="00B43E3C" w:rsidP="00726F1B">
      <w:pPr>
        <w:ind w:left="720" w:hanging="720"/>
        <w:rPr>
          <w:rFonts w:cs="Times New Roman"/>
          <w:noProof/>
          <w:sz w:val="24"/>
          <w:szCs w:val="24"/>
        </w:rPr>
      </w:pPr>
      <w:r w:rsidRPr="0043737F">
        <w:rPr>
          <w:rFonts w:cs="Times New Roman"/>
          <w:noProof/>
          <w:sz w:val="24"/>
          <w:szCs w:val="24"/>
        </w:rPr>
        <w:t>84</w:t>
      </w:r>
      <w:r w:rsidRPr="0043737F">
        <w:rPr>
          <w:rFonts w:cs="Times New Roman"/>
          <w:noProof/>
          <w:sz w:val="24"/>
          <w:szCs w:val="24"/>
        </w:rPr>
        <w:tab/>
        <w:t>Huffman, G. J.</w:t>
      </w:r>
      <w:r w:rsidRPr="0043737F">
        <w:rPr>
          <w:rFonts w:cs="Times New Roman"/>
          <w:i/>
          <w:noProof/>
          <w:sz w:val="24"/>
          <w:szCs w:val="24"/>
        </w:rPr>
        <w:t xml:space="preserve"> et al.</w:t>
      </w:r>
      <w:r w:rsidRPr="0043737F">
        <w:rPr>
          <w:rFonts w:cs="Times New Roman"/>
          <w:noProof/>
          <w:sz w:val="24"/>
          <w:szCs w:val="24"/>
        </w:rPr>
        <w:t xml:space="preserve"> The TRMM Multisatellite Precipitation Analysis (TMPA): Quasi-Global, Multiyear, Combined-Sensor Precipitation Estimates at Fine Scales. </w:t>
      </w:r>
      <w:r w:rsidRPr="0043737F">
        <w:rPr>
          <w:rFonts w:cs="Times New Roman"/>
          <w:i/>
          <w:noProof/>
          <w:sz w:val="24"/>
          <w:szCs w:val="24"/>
        </w:rPr>
        <w:t>Journal of Hydrometeorology</w:t>
      </w:r>
      <w:r w:rsidRPr="0043737F">
        <w:rPr>
          <w:rFonts w:cs="Times New Roman"/>
          <w:noProof/>
          <w:sz w:val="24"/>
          <w:szCs w:val="24"/>
        </w:rPr>
        <w:t xml:space="preserve"> </w:t>
      </w:r>
      <w:r w:rsidRPr="0043737F">
        <w:rPr>
          <w:rFonts w:cs="Times New Roman"/>
          <w:b/>
          <w:noProof/>
          <w:sz w:val="24"/>
          <w:szCs w:val="24"/>
        </w:rPr>
        <w:t>8</w:t>
      </w:r>
      <w:r w:rsidRPr="0043737F">
        <w:rPr>
          <w:rFonts w:cs="Times New Roman"/>
          <w:noProof/>
          <w:sz w:val="24"/>
          <w:szCs w:val="24"/>
        </w:rPr>
        <w:t>, 38-55, doi:10.1175/jhm560.1 (2007).</w:t>
      </w:r>
    </w:p>
    <w:p w:rsidR="00B43E3C" w:rsidRPr="0043737F" w:rsidRDefault="00B43E3C" w:rsidP="00726F1B">
      <w:pPr>
        <w:ind w:left="720" w:hanging="720"/>
        <w:rPr>
          <w:rFonts w:cs="Times New Roman"/>
          <w:noProof/>
          <w:sz w:val="24"/>
          <w:szCs w:val="24"/>
        </w:rPr>
      </w:pPr>
      <w:r w:rsidRPr="0043737F">
        <w:rPr>
          <w:rFonts w:cs="Times New Roman"/>
          <w:noProof/>
          <w:sz w:val="24"/>
          <w:szCs w:val="24"/>
        </w:rPr>
        <w:lastRenderedPageBreak/>
        <w:t>85</w:t>
      </w:r>
      <w:r w:rsidRPr="0043737F">
        <w:rPr>
          <w:rFonts w:cs="Times New Roman"/>
          <w:noProof/>
          <w:sz w:val="24"/>
          <w:szCs w:val="24"/>
        </w:rPr>
        <w:tab/>
        <w:t>Kume, T.</w:t>
      </w:r>
      <w:r w:rsidRPr="0043737F">
        <w:rPr>
          <w:rFonts w:cs="Times New Roman"/>
          <w:i/>
          <w:noProof/>
          <w:sz w:val="24"/>
          <w:szCs w:val="24"/>
        </w:rPr>
        <w:t xml:space="preserve"> et al.</w:t>
      </w:r>
      <w:r w:rsidRPr="0043737F">
        <w:rPr>
          <w:rFonts w:cs="Times New Roman"/>
          <w:noProof/>
          <w:sz w:val="24"/>
          <w:szCs w:val="24"/>
        </w:rPr>
        <w:t xml:space="preserve"> Ten-year evapotranspiration estimates in a Bornean tropical rainforest. </w:t>
      </w:r>
      <w:r w:rsidRPr="0043737F">
        <w:rPr>
          <w:rFonts w:cs="Times New Roman"/>
          <w:i/>
          <w:noProof/>
          <w:sz w:val="24"/>
          <w:szCs w:val="24"/>
        </w:rPr>
        <w:t>Agricultural and Forest Meteorology</w:t>
      </w:r>
      <w:r w:rsidRPr="0043737F">
        <w:rPr>
          <w:rFonts w:cs="Times New Roman"/>
          <w:noProof/>
          <w:sz w:val="24"/>
          <w:szCs w:val="24"/>
        </w:rPr>
        <w:t xml:space="preserve"> </w:t>
      </w:r>
      <w:r w:rsidRPr="0043737F">
        <w:rPr>
          <w:rFonts w:cs="Times New Roman"/>
          <w:b/>
          <w:noProof/>
          <w:sz w:val="24"/>
          <w:szCs w:val="24"/>
        </w:rPr>
        <w:t>151</w:t>
      </w:r>
      <w:r w:rsidRPr="0043737F">
        <w:rPr>
          <w:rFonts w:cs="Times New Roman"/>
          <w:noProof/>
          <w:sz w:val="24"/>
          <w:szCs w:val="24"/>
        </w:rPr>
        <w:t>, 1183-1192, doi:10.1016/j.agrformet.2011.04.005 (2011).</w:t>
      </w:r>
    </w:p>
    <w:p w:rsidR="00B43E3C" w:rsidRPr="0043737F" w:rsidRDefault="00B43E3C" w:rsidP="00726F1B">
      <w:pPr>
        <w:ind w:left="720" w:hanging="720"/>
        <w:rPr>
          <w:rFonts w:cs="Times New Roman"/>
          <w:noProof/>
          <w:sz w:val="24"/>
          <w:szCs w:val="24"/>
        </w:rPr>
      </w:pPr>
      <w:r w:rsidRPr="0043737F">
        <w:rPr>
          <w:rFonts w:cs="Times New Roman"/>
          <w:noProof/>
          <w:sz w:val="24"/>
          <w:szCs w:val="24"/>
        </w:rPr>
        <w:t>86</w:t>
      </w:r>
      <w:r w:rsidRPr="0043737F">
        <w:rPr>
          <w:rFonts w:cs="Times New Roman"/>
          <w:noProof/>
          <w:sz w:val="24"/>
          <w:szCs w:val="24"/>
        </w:rPr>
        <w:tab/>
        <w:t xml:space="preserve">Zelazowski, P., Malhi, Y., Huntingford, C., Sitch, S. &amp; Fisher, J. B. Changes in the potential distribution of humid tropical forests on a warmer planet. </w:t>
      </w:r>
      <w:r w:rsidRPr="0043737F">
        <w:rPr>
          <w:rFonts w:cs="Times New Roman"/>
          <w:i/>
          <w:noProof/>
          <w:sz w:val="24"/>
          <w:szCs w:val="24"/>
        </w:rPr>
        <w:t>Philosophical Transactions of the Royal Society A: Mathematical, Physical and Engineering Sciences</w:t>
      </w:r>
      <w:r w:rsidRPr="0043737F">
        <w:rPr>
          <w:rFonts w:cs="Times New Roman"/>
          <w:noProof/>
          <w:sz w:val="24"/>
          <w:szCs w:val="24"/>
        </w:rPr>
        <w:t xml:space="preserve"> </w:t>
      </w:r>
      <w:r w:rsidRPr="0043737F">
        <w:rPr>
          <w:rFonts w:cs="Times New Roman"/>
          <w:b/>
          <w:noProof/>
          <w:sz w:val="24"/>
          <w:szCs w:val="24"/>
        </w:rPr>
        <w:t>369</w:t>
      </w:r>
      <w:r w:rsidRPr="0043737F">
        <w:rPr>
          <w:rFonts w:cs="Times New Roman"/>
          <w:noProof/>
          <w:sz w:val="24"/>
          <w:szCs w:val="24"/>
        </w:rPr>
        <w:t>, 137-160, doi:10.1098/rsta.2010.0238 (2011).</w:t>
      </w:r>
    </w:p>
    <w:p w:rsidR="00B43E3C" w:rsidRPr="0043737F" w:rsidRDefault="00B43E3C" w:rsidP="00726F1B">
      <w:pPr>
        <w:ind w:left="720" w:hanging="720"/>
        <w:rPr>
          <w:rFonts w:cs="Times New Roman"/>
          <w:noProof/>
          <w:sz w:val="24"/>
          <w:szCs w:val="24"/>
        </w:rPr>
      </w:pPr>
      <w:r w:rsidRPr="0043737F">
        <w:rPr>
          <w:rFonts w:cs="Times New Roman"/>
          <w:noProof/>
          <w:sz w:val="24"/>
          <w:szCs w:val="24"/>
        </w:rPr>
        <w:t>87</w:t>
      </w:r>
      <w:r w:rsidRPr="0043737F">
        <w:rPr>
          <w:rFonts w:cs="Times New Roman"/>
          <w:noProof/>
          <w:sz w:val="24"/>
          <w:szCs w:val="24"/>
        </w:rPr>
        <w:tab/>
        <w:t xml:space="preserve">James, R., Washington, R. &amp; Rowell, D. P. Implications of global warming for the climate of African rainforests. </w:t>
      </w:r>
      <w:r w:rsidRPr="0043737F">
        <w:rPr>
          <w:rFonts w:cs="Times New Roman"/>
          <w:i/>
          <w:noProof/>
          <w:sz w:val="24"/>
          <w:szCs w:val="24"/>
        </w:rPr>
        <w:t>Philosophical transactions of the Royal Society of London. Series B, Biological sciences</w:t>
      </w:r>
      <w:r w:rsidRPr="0043737F">
        <w:rPr>
          <w:rFonts w:cs="Times New Roman"/>
          <w:noProof/>
          <w:sz w:val="24"/>
          <w:szCs w:val="24"/>
        </w:rPr>
        <w:t xml:space="preserve"> </w:t>
      </w:r>
      <w:r w:rsidRPr="0043737F">
        <w:rPr>
          <w:rFonts w:cs="Times New Roman"/>
          <w:b/>
          <w:noProof/>
          <w:sz w:val="24"/>
          <w:szCs w:val="24"/>
        </w:rPr>
        <w:t>368</w:t>
      </w:r>
      <w:r w:rsidRPr="0043737F">
        <w:rPr>
          <w:rFonts w:cs="Times New Roman"/>
          <w:noProof/>
          <w:sz w:val="24"/>
          <w:szCs w:val="24"/>
        </w:rPr>
        <w:t>, 20120298, doi:10.1098/rstb.2012.0298 (2013).</w:t>
      </w:r>
    </w:p>
    <w:p w:rsidR="00B43E3C" w:rsidRPr="0043737F" w:rsidRDefault="00B43E3C" w:rsidP="00726F1B">
      <w:pPr>
        <w:ind w:left="720" w:hanging="720"/>
        <w:rPr>
          <w:rFonts w:cs="Times New Roman"/>
          <w:noProof/>
          <w:sz w:val="24"/>
          <w:szCs w:val="24"/>
        </w:rPr>
      </w:pPr>
      <w:r w:rsidRPr="0043737F">
        <w:rPr>
          <w:rFonts w:cs="Times New Roman"/>
          <w:noProof/>
          <w:sz w:val="24"/>
          <w:szCs w:val="24"/>
        </w:rPr>
        <w:t>88</w:t>
      </w:r>
      <w:r w:rsidRPr="0043737F">
        <w:rPr>
          <w:rFonts w:cs="Times New Roman"/>
          <w:noProof/>
          <w:sz w:val="24"/>
          <w:szCs w:val="24"/>
        </w:rPr>
        <w:tab/>
        <w:t>Jung, M.</w:t>
      </w:r>
      <w:r w:rsidRPr="0043737F">
        <w:rPr>
          <w:rFonts w:cs="Times New Roman"/>
          <w:i/>
          <w:noProof/>
          <w:sz w:val="24"/>
          <w:szCs w:val="24"/>
        </w:rPr>
        <w:t xml:space="preserve"> et al.</w:t>
      </w:r>
      <w:r w:rsidRPr="0043737F">
        <w:rPr>
          <w:rFonts w:cs="Times New Roman"/>
          <w:noProof/>
          <w:sz w:val="24"/>
          <w:szCs w:val="24"/>
        </w:rPr>
        <w:t xml:space="preserve"> Recent decline in the global land evapotranspiration trend due to limited moisture supply. </w:t>
      </w:r>
      <w:r w:rsidRPr="0043737F">
        <w:rPr>
          <w:rFonts w:cs="Times New Roman"/>
          <w:i/>
          <w:noProof/>
          <w:sz w:val="24"/>
          <w:szCs w:val="24"/>
        </w:rPr>
        <w:t>Nature</w:t>
      </w:r>
      <w:r w:rsidRPr="0043737F">
        <w:rPr>
          <w:rFonts w:cs="Times New Roman"/>
          <w:noProof/>
          <w:sz w:val="24"/>
          <w:szCs w:val="24"/>
        </w:rPr>
        <w:t xml:space="preserve"> </w:t>
      </w:r>
      <w:r w:rsidRPr="0043737F">
        <w:rPr>
          <w:rFonts w:cs="Times New Roman"/>
          <w:b/>
          <w:noProof/>
          <w:sz w:val="24"/>
          <w:szCs w:val="24"/>
        </w:rPr>
        <w:t>467</w:t>
      </w:r>
      <w:r w:rsidRPr="0043737F">
        <w:rPr>
          <w:rFonts w:cs="Times New Roman"/>
          <w:noProof/>
          <w:sz w:val="24"/>
          <w:szCs w:val="24"/>
        </w:rPr>
        <w:t>, 951-954, doi:10.1038/nature09396 (2010).</w:t>
      </w:r>
    </w:p>
    <w:p w:rsidR="00B43E3C" w:rsidRPr="0043737F" w:rsidRDefault="00B43E3C" w:rsidP="00726F1B">
      <w:pPr>
        <w:ind w:left="720" w:hanging="720"/>
        <w:rPr>
          <w:rFonts w:cs="Times New Roman"/>
          <w:noProof/>
          <w:sz w:val="24"/>
          <w:szCs w:val="24"/>
        </w:rPr>
      </w:pPr>
      <w:r w:rsidRPr="0043737F">
        <w:rPr>
          <w:rFonts w:cs="Times New Roman"/>
          <w:noProof/>
          <w:sz w:val="24"/>
          <w:szCs w:val="24"/>
        </w:rPr>
        <w:t>89</w:t>
      </w:r>
      <w:r w:rsidRPr="0043737F">
        <w:rPr>
          <w:rFonts w:cs="Times New Roman"/>
          <w:noProof/>
          <w:sz w:val="24"/>
          <w:szCs w:val="24"/>
        </w:rPr>
        <w:tab/>
        <w:t>Jung, M.</w:t>
      </w:r>
      <w:r w:rsidRPr="0043737F">
        <w:rPr>
          <w:rFonts w:cs="Times New Roman"/>
          <w:i/>
          <w:noProof/>
          <w:sz w:val="24"/>
          <w:szCs w:val="24"/>
        </w:rPr>
        <w:t xml:space="preserve"> et al.</w:t>
      </w:r>
      <w:r w:rsidRPr="0043737F">
        <w:rPr>
          <w:rFonts w:cs="Times New Roman"/>
          <w:noProof/>
          <w:sz w:val="24"/>
          <w:szCs w:val="24"/>
        </w:rPr>
        <w:t xml:space="preserve"> Global patterns of land-atmosphere fluxes of carbon dioxide, latent heat, and sensible heat derived from eddy covariance, satellite, and meteorological observations. </w:t>
      </w:r>
      <w:r w:rsidRPr="0043737F">
        <w:rPr>
          <w:rFonts w:cs="Times New Roman"/>
          <w:i/>
          <w:noProof/>
          <w:sz w:val="24"/>
          <w:szCs w:val="24"/>
        </w:rPr>
        <w:t>Journal of Geophysical Research</w:t>
      </w:r>
      <w:r w:rsidRPr="0043737F">
        <w:rPr>
          <w:rFonts w:cs="Times New Roman"/>
          <w:noProof/>
          <w:sz w:val="24"/>
          <w:szCs w:val="24"/>
        </w:rPr>
        <w:t xml:space="preserve"> </w:t>
      </w:r>
      <w:r w:rsidRPr="0043737F">
        <w:rPr>
          <w:rFonts w:cs="Times New Roman"/>
          <w:b/>
          <w:noProof/>
          <w:sz w:val="24"/>
          <w:szCs w:val="24"/>
        </w:rPr>
        <w:t>116</w:t>
      </w:r>
      <w:r w:rsidRPr="0043737F">
        <w:rPr>
          <w:rFonts w:cs="Times New Roman"/>
          <w:noProof/>
          <w:sz w:val="24"/>
          <w:szCs w:val="24"/>
        </w:rPr>
        <w:t>, doi:10.1029/2010jg001566 (2011).</w:t>
      </w:r>
    </w:p>
    <w:p w:rsidR="00B43E3C" w:rsidRPr="0043737F" w:rsidRDefault="00B43E3C" w:rsidP="00726F1B">
      <w:pPr>
        <w:ind w:left="720" w:hanging="720"/>
        <w:rPr>
          <w:rFonts w:cs="Times New Roman"/>
          <w:noProof/>
          <w:sz w:val="24"/>
          <w:szCs w:val="24"/>
        </w:rPr>
      </w:pPr>
      <w:r w:rsidRPr="0043737F">
        <w:rPr>
          <w:rFonts w:cs="Times New Roman"/>
          <w:noProof/>
          <w:sz w:val="24"/>
          <w:szCs w:val="24"/>
        </w:rPr>
        <w:t>90</w:t>
      </w:r>
      <w:r w:rsidRPr="0043737F">
        <w:rPr>
          <w:rFonts w:cs="Times New Roman"/>
          <w:noProof/>
          <w:sz w:val="24"/>
          <w:szCs w:val="24"/>
        </w:rPr>
        <w:tab/>
        <w:t>Lloyd, J. &amp; Farquhar, G. D. The CO</w:t>
      </w:r>
      <w:r w:rsidRPr="00EF5658">
        <w:rPr>
          <w:rFonts w:cs="Times New Roman"/>
          <w:noProof/>
          <w:sz w:val="24"/>
          <w:szCs w:val="24"/>
          <w:vertAlign w:val="subscript"/>
        </w:rPr>
        <w:t>2</w:t>
      </w:r>
      <w:r w:rsidR="00EF5658">
        <w:rPr>
          <w:rFonts w:cs="Times New Roman"/>
          <w:noProof/>
          <w:sz w:val="24"/>
          <w:szCs w:val="24"/>
        </w:rPr>
        <w:t xml:space="preserve"> dependence of photosynthesis</w:t>
      </w:r>
      <w:r w:rsidRPr="0043737F">
        <w:rPr>
          <w:rFonts w:cs="Times New Roman"/>
          <w:noProof/>
          <w:sz w:val="24"/>
          <w:szCs w:val="24"/>
        </w:rPr>
        <w:t>, plant growth responses to elevated atmospheric CO</w:t>
      </w:r>
      <w:r w:rsidRPr="00EF5658">
        <w:rPr>
          <w:rFonts w:cs="Times New Roman"/>
          <w:noProof/>
          <w:sz w:val="24"/>
          <w:szCs w:val="24"/>
          <w:vertAlign w:val="subscript"/>
        </w:rPr>
        <w:t>2</w:t>
      </w:r>
      <w:r w:rsidRPr="0043737F">
        <w:rPr>
          <w:rFonts w:cs="Times New Roman"/>
          <w:noProof/>
          <w:sz w:val="24"/>
          <w:szCs w:val="24"/>
        </w:rPr>
        <w:t xml:space="preserve"> concentrations and their intera</w:t>
      </w:r>
      <w:r w:rsidR="00EF5658">
        <w:rPr>
          <w:rFonts w:cs="Times New Roman"/>
          <w:noProof/>
          <w:sz w:val="24"/>
          <w:szCs w:val="24"/>
        </w:rPr>
        <w:t xml:space="preserve">ction with soil nutrient status. I. </w:t>
      </w:r>
      <w:r w:rsidRPr="0043737F">
        <w:rPr>
          <w:rFonts w:cs="Times New Roman"/>
          <w:noProof/>
          <w:sz w:val="24"/>
          <w:szCs w:val="24"/>
        </w:rPr>
        <w:t xml:space="preserve">General principles and forest ecosystems. </w:t>
      </w:r>
      <w:r w:rsidRPr="0043737F">
        <w:rPr>
          <w:rFonts w:cs="Times New Roman"/>
          <w:i/>
          <w:noProof/>
          <w:sz w:val="24"/>
          <w:szCs w:val="24"/>
        </w:rPr>
        <w:t>Functional Ecology</w:t>
      </w:r>
      <w:r w:rsidRPr="0043737F">
        <w:rPr>
          <w:rFonts w:cs="Times New Roman"/>
          <w:noProof/>
          <w:sz w:val="24"/>
          <w:szCs w:val="24"/>
        </w:rPr>
        <w:t xml:space="preserve"> </w:t>
      </w:r>
      <w:r w:rsidRPr="0043737F">
        <w:rPr>
          <w:rFonts w:cs="Times New Roman"/>
          <w:b/>
          <w:noProof/>
          <w:sz w:val="24"/>
          <w:szCs w:val="24"/>
        </w:rPr>
        <w:t>10</w:t>
      </w:r>
      <w:r w:rsidRPr="0043737F">
        <w:rPr>
          <w:rFonts w:cs="Times New Roman"/>
          <w:noProof/>
          <w:sz w:val="24"/>
          <w:szCs w:val="24"/>
        </w:rPr>
        <w:t>, 4-32, doi:10.2307/2390258 (1996).</w:t>
      </w:r>
    </w:p>
    <w:p w:rsidR="00B43E3C" w:rsidRPr="0043737F" w:rsidRDefault="00B43E3C" w:rsidP="00726F1B">
      <w:pPr>
        <w:ind w:left="720" w:hanging="720"/>
        <w:rPr>
          <w:rFonts w:cs="Times New Roman"/>
          <w:noProof/>
          <w:sz w:val="24"/>
          <w:szCs w:val="24"/>
        </w:rPr>
      </w:pPr>
      <w:r w:rsidRPr="0043737F">
        <w:rPr>
          <w:rFonts w:cs="Times New Roman"/>
          <w:noProof/>
          <w:sz w:val="24"/>
          <w:szCs w:val="24"/>
        </w:rPr>
        <w:t>91</w:t>
      </w:r>
      <w:r w:rsidRPr="0043737F">
        <w:rPr>
          <w:rFonts w:cs="Times New Roman"/>
          <w:noProof/>
          <w:sz w:val="24"/>
          <w:szCs w:val="24"/>
        </w:rPr>
        <w:tab/>
        <w:t>Aspinwall, M. J.</w:t>
      </w:r>
      <w:r w:rsidRPr="0043737F">
        <w:rPr>
          <w:rFonts w:cs="Times New Roman"/>
          <w:i/>
          <w:noProof/>
          <w:sz w:val="24"/>
          <w:szCs w:val="24"/>
        </w:rPr>
        <w:t xml:space="preserve"> et al.</w:t>
      </w:r>
      <w:r w:rsidRPr="0043737F">
        <w:rPr>
          <w:rFonts w:cs="Times New Roman"/>
          <w:noProof/>
          <w:sz w:val="24"/>
          <w:szCs w:val="24"/>
        </w:rPr>
        <w:t xml:space="preserve"> Convergent acclimation of leaf photosynthesis and respiration to prevailing ambient temperatures under current and warmer climates in Eucalyptus tereticornis. </w:t>
      </w:r>
      <w:r w:rsidRPr="0043737F">
        <w:rPr>
          <w:rFonts w:cs="Times New Roman"/>
          <w:i/>
          <w:noProof/>
          <w:sz w:val="24"/>
          <w:szCs w:val="24"/>
        </w:rPr>
        <w:t>New Phytol</w:t>
      </w:r>
      <w:r w:rsidRPr="0043737F">
        <w:rPr>
          <w:rFonts w:cs="Times New Roman"/>
          <w:noProof/>
          <w:sz w:val="24"/>
          <w:szCs w:val="24"/>
        </w:rPr>
        <w:t xml:space="preserve"> </w:t>
      </w:r>
      <w:r w:rsidRPr="0043737F">
        <w:rPr>
          <w:rFonts w:cs="Times New Roman"/>
          <w:b/>
          <w:noProof/>
          <w:sz w:val="24"/>
          <w:szCs w:val="24"/>
        </w:rPr>
        <w:t>212</w:t>
      </w:r>
      <w:r w:rsidRPr="0043737F">
        <w:rPr>
          <w:rFonts w:cs="Times New Roman"/>
          <w:noProof/>
          <w:sz w:val="24"/>
          <w:szCs w:val="24"/>
        </w:rPr>
        <w:t>, 354-367, doi:10.1111/nph.14035 (2016).</w:t>
      </w:r>
    </w:p>
    <w:p w:rsidR="00B43E3C" w:rsidRPr="0043737F" w:rsidRDefault="00B43E3C" w:rsidP="00726F1B">
      <w:pPr>
        <w:ind w:left="720" w:hanging="720"/>
        <w:rPr>
          <w:rFonts w:cs="Times New Roman"/>
          <w:noProof/>
          <w:sz w:val="24"/>
          <w:szCs w:val="24"/>
        </w:rPr>
      </w:pPr>
      <w:r w:rsidRPr="0043737F">
        <w:rPr>
          <w:rFonts w:cs="Times New Roman"/>
          <w:noProof/>
          <w:sz w:val="24"/>
          <w:szCs w:val="24"/>
        </w:rPr>
        <w:t>92</w:t>
      </w:r>
      <w:r w:rsidRPr="0043737F">
        <w:rPr>
          <w:rFonts w:cs="Times New Roman"/>
          <w:noProof/>
          <w:sz w:val="24"/>
          <w:szCs w:val="24"/>
        </w:rPr>
        <w:tab/>
        <w:t xml:space="preserve">Bonal, D., Burban, B., Stahl, C., Wagner, F. &amp; Hérault, B. The response of tropical rainforests to drought—lessons from recent research and future prospects. </w:t>
      </w:r>
      <w:r w:rsidRPr="0043737F">
        <w:rPr>
          <w:rFonts w:cs="Times New Roman"/>
          <w:i/>
          <w:noProof/>
          <w:sz w:val="24"/>
          <w:szCs w:val="24"/>
        </w:rPr>
        <w:t>Annals of Forest Science</w:t>
      </w:r>
      <w:r w:rsidRPr="0043737F">
        <w:rPr>
          <w:rFonts w:cs="Times New Roman"/>
          <w:noProof/>
          <w:sz w:val="24"/>
          <w:szCs w:val="24"/>
        </w:rPr>
        <w:t xml:space="preserve"> </w:t>
      </w:r>
      <w:r w:rsidRPr="0043737F">
        <w:rPr>
          <w:rFonts w:cs="Times New Roman"/>
          <w:b/>
          <w:noProof/>
          <w:sz w:val="24"/>
          <w:szCs w:val="24"/>
        </w:rPr>
        <w:t>73</w:t>
      </w:r>
      <w:r w:rsidRPr="0043737F">
        <w:rPr>
          <w:rFonts w:cs="Times New Roman"/>
          <w:noProof/>
          <w:sz w:val="24"/>
          <w:szCs w:val="24"/>
        </w:rPr>
        <w:t>, 27-44, doi:10.1007/s13595-015-0522-5 (2016).</w:t>
      </w:r>
    </w:p>
    <w:p w:rsidR="00B43E3C" w:rsidRPr="0043737F" w:rsidRDefault="00B43E3C" w:rsidP="00726F1B">
      <w:pPr>
        <w:ind w:left="720" w:hanging="720"/>
        <w:rPr>
          <w:rFonts w:cs="Times New Roman"/>
          <w:noProof/>
          <w:sz w:val="24"/>
          <w:szCs w:val="24"/>
        </w:rPr>
      </w:pPr>
      <w:r w:rsidRPr="0043737F">
        <w:rPr>
          <w:rFonts w:cs="Times New Roman"/>
          <w:noProof/>
          <w:sz w:val="24"/>
          <w:szCs w:val="24"/>
        </w:rPr>
        <w:lastRenderedPageBreak/>
        <w:t>93</w:t>
      </w:r>
      <w:r w:rsidRPr="0043737F">
        <w:rPr>
          <w:rFonts w:cs="Times New Roman"/>
          <w:noProof/>
          <w:sz w:val="24"/>
          <w:szCs w:val="24"/>
        </w:rPr>
        <w:tab/>
        <w:t>Quesada, C. A.</w:t>
      </w:r>
      <w:r w:rsidRPr="0043737F">
        <w:rPr>
          <w:rFonts w:cs="Times New Roman"/>
          <w:i/>
          <w:noProof/>
          <w:sz w:val="24"/>
          <w:szCs w:val="24"/>
        </w:rPr>
        <w:t xml:space="preserve"> et al.</w:t>
      </w:r>
      <w:r w:rsidRPr="0043737F">
        <w:rPr>
          <w:rFonts w:cs="Times New Roman"/>
          <w:noProof/>
          <w:sz w:val="24"/>
          <w:szCs w:val="24"/>
        </w:rPr>
        <w:t xml:space="preserve"> Variations in chemical and physical properties of Amazon forest soils in relation to their genesis. </w:t>
      </w:r>
      <w:r w:rsidRPr="0043737F">
        <w:rPr>
          <w:rFonts w:cs="Times New Roman"/>
          <w:i/>
          <w:noProof/>
          <w:sz w:val="24"/>
          <w:szCs w:val="24"/>
        </w:rPr>
        <w:t>Biogeosciences</w:t>
      </w:r>
      <w:r w:rsidRPr="0043737F">
        <w:rPr>
          <w:rFonts w:cs="Times New Roman"/>
          <w:noProof/>
          <w:sz w:val="24"/>
          <w:szCs w:val="24"/>
        </w:rPr>
        <w:t xml:space="preserve"> </w:t>
      </w:r>
      <w:r w:rsidRPr="0043737F">
        <w:rPr>
          <w:rFonts w:cs="Times New Roman"/>
          <w:b/>
          <w:noProof/>
          <w:sz w:val="24"/>
          <w:szCs w:val="24"/>
        </w:rPr>
        <w:t>7</w:t>
      </w:r>
      <w:r w:rsidRPr="0043737F">
        <w:rPr>
          <w:rFonts w:cs="Times New Roman"/>
          <w:noProof/>
          <w:sz w:val="24"/>
          <w:szCs w:val="24"/>
        </w:rPr>
        <w:t>, 1515-1541, doi:10.5194/bg-7-1515-2010 (2010).</w:t>
      </w:r>
    </w:p>
    <w:p w:rsidR="00B43E3C" w:rsidRPr="0043737F" w:rsidRDefault="00B43E3C" w:rsidP="00726F1B">
      <w:pPr>
        <w:ind w:left="720" w:hanging="720"/>
        <w:rPr>
          <w:rFonts w:cs="Times New Roman"/>
          <w:noProof/>
          <w:sz w:val="24"/>
          <w:szCs w:val="24"/>
        </w:rPr>
      </w:pPr>
      <w:r w:rsidRPr="0043737F">
        <w:rPr>
          <w:rFonts w:cs="Times New Roman"/>
          <w:noProof/>
          <w:sz w:val="24"/>
          <w:szCs w:val="24"/>
        </w:rPr>
        <w:t>94</w:t>
      </w:r>
      <w:r w:rsidRPr="0043737F">
        <w:rPr>
          <w:rFonts w:cs="Times New Roman"/>
          <w:noProof/>
          <w:sz w:val="24"/>
          <w:szCs w:val="24"/>
        </w:rPr>
        <w:tab/>
        <w:t xml:space="preserve">Baker, T. R., Swaine, M.D., Burslem, D.F.R.P. Variation in tropical forest growth rates: combined effects of functional group composition and resource availability. </w:t>
      </w:r>
      <w:r w:rsidRPr="0043737F">
        <w:rPr>
          <w:rFonts w:cs="Times New Roman"/>
          <w:i/>
          <w:noProof/>
          <w:sz w:val="24"/>
          <w:szCs w:val="24"/>
        </w:rPr>
        <w:t>Perspectives in Plant Ecology, Evolution and Systematics</w:t>
      </w:r>
      <w:r w:rsidRPr="0043737F">
        <w:rPr>
          <w:rFonts w:cs="Times New Roman"/>
          <w:noProof/>
          <w:sz w:val="24"/>
          <w:szCs w:val="24"/>
        </w:rPr>
        <w:t xml:space="preserve"> </w:t>
      </w:r>
      <w:r w:rsidRPr="0043737F">
        <w:rPr>
          <w:rFonts w:cs="Times New Roman"/>
          <w:b/>
          <w:noProof/>
          <w:sz w:val="24"/>
          <w:szCs w:val="24"/>
        </w:rPr>
        <w:t>6</w:t>
      </w:r>
      <w:r w:rsidRPr="0043737F">
        <w:rPr>
          <w:rFonts w:cs="Times New Roman"/>
          <w:noProof/>
          <w:sz w:val="24"/>
          <w:szCs w:val="24"/>
        </w:rPr>
        <w:t>, 21-36, doi:10.1078/1433-8319-00040 (2003).</w:t>
      </w:r>
    </w:p>
    <w:p w:rsidR="00B43E3C" w:rsidRPr="0043737F" w:rsidRDefault="00B43E3C" w:rsidP="00726F1B">
      <w:pPr>
        <w:ind w:left="720" w:hanging="720"/>
        <w:rPr>
          <w:rFonts w:cs="Times New Roman"/>
          <w:noProof/>
          <w:sz w:val="24"/>
          <w:szCs w:val="24"/>
        </w:rPr>
      </w:pPr>
      <w:r w:rsidRPr="0043737F">
        <w:rPr>
          <w:rFonts w:cs="Times New Roman"/>
          <w:noProof/>
          <w:sz w:val="24"/>
          <w:szCs w:val="24"/>
        </w:rPr>
        <w:t>95</w:t>
      </w:r>
      <w:r w:rsidRPr="0043737F">
        <w:rPr>
          <w:rFonts w:cs="Times New Roman"/>
          <w:noProof/>
          <w:sz w:val="24"/>
          <w:szCs w:val="24"/>
        </w:rPr>
        <w:tab/>
        <w:t xml:space="preserve">Pinheiro, J. C. &amp; Bates, D. M. </w:t>
      </w:r>
      <w:r w:rsidRPr="0043737F">
        <w:rPr>
          <w:rFonts w:cs="Times New Roman"/>
          <w:i/>
          <w:noProof/>
          <w:sz w:val="24"/>
          <w:szCs w:val="24"/>
        </w:rPr>
        <w:t>Mixed-Effects Models in S and S-PLUS.</w:t>
      </w:r>
      <w:r w:rsidRPr="0043737F">
        <w:rPr>
          <w:rFonts w:cs="Times New Roman"/>
          <w:noProof/>
          <w:sz w:val="24"/>
          <w:szCs w:val="24"/>
        </w:rPr>
        <w:t xml:space="preserve"> First edn,</w:t>
      </w:r>
      <w:r w:rsidR="00EF5658">
        <w:rPr>
          <w:rFonts w:cs="Times New Roman"/>
          <w:noProof/>
          <w:sz w:val="24"/>
          <w:szCs w:val="24"/>
        </w:rPr>
        <w:t xml:space="preserve"> </w:t>
      </w:r>
      <w:r w:rsidRPr="0043737F">
        <w:rPr>
          <w:rFonts w:cs="Times New Roman"/>
          <w:noProof/>
          <w:sz w:val="24"/>
          <w:szCs w:val="24"/>
        </w:rPr>
        <w:t>528 (Springer, 2000).</w:t>
      </w:r>
    </w:p>
    <w:p w:rsidR="00B43E3C" w:rsidRPr="0043737F" w:rsidRDefault="00B43E3C" w:rsidP="00726F1B">
      <w:pPr>
        <w:ind w:left="720" w:hanging="720"/>
        <w:rPr>
          <w:rFonts w:cs="Times New Roman"/>
          <w:noProof/>
          <w:sz w:val="24"/>
          <w:szCs w:val="24"/>
        </w:rPr>
      </w:pPr>
      <w:r w:rsidRPr="0043737F">
        <w:rPr>
          <w:rFonts w:cs="Times New Roman"/>
          <w:noProof/>
          <w:sz w:val="24"/>
          <w:szCs w:val="24"/>
        </w:rPr>
        <w:t>96</w:t>
      </w:r>
      <w:r w:rsidRPr="0043737F">
        <w:rPr>
          <w:rFonts w:cs="Times New Roman"/>
          <w:noProof/>
          <w:sz w:val="24"/>
          <w:szCs w:val="24"/>
        </w:rPr>
        <w:tab/>
        <w:t xml:space="preserve">Venables, W. N. &amp; Ripley, B. D. </w:t>
      </w:r>
      <w:r w:rsidRPr="0043737F">
        <w:rPr>
          <w:rFonts w:cs="Times New Roman"/>
          <w:i/>
          <w:noProof/>
          <w:sz w:val="24"/>
          <w:szCs w:val="24"/>
        </w:rPr>
        <w:t>Modern Applied Statistics with S.</w:t>
      </w:r>
      <w:r w:rsidRPr="0043737F">
        <w:rPr>
          <w:rFonts w:cs="Times New Roman"/>
          <w:noProof/>
          <w:sz w:val="24"/>
          <w:szCs w:val="24"/>
        </w:rPr>
        <w:t xml:space="preserve"> Fourth edn,</w:t>
      </w:r>
      <w:r w:rsidR="00EF5658">
        <w:rPr>
          <w:rFonts w:cs="Times New Roman"/>
          <w:noProof/>
          <w:sz w:val="24"/>
          <w:szCs w:val="24"/>
        </w:rPr>
        <w:t xml:space="preserve"> </w:t>
      </w:r>
      <w:r w:rsidRPr="0043737F">
        <w:rPr>
          <w:rFonts w:cs="Times New Roman"/>
          <w:noProof/>
          <w:sz w:val="24"/>
          <w:szCs w:val="24"/>
        </w:rPr>
        <w:t>498 (Springer, 2002).</w:t>
      </w:r>
    </w:p>
    <w:p w:rsidR="00B43E3C" w:rsidRPr="0043737F" w:rsidRDefault="00B43E3C" w:rsidP="00726F1B">
      <w:pPr>
        <w:ind w:left="720" w:hanging="720"/>
        <w:rPr>
          <w:rFonts w:cs="Times New Roman"/>
          <w:noProof/>
          <w:sz w:val="24"/>
          <w:szCs w:val="24"/>
        </w:rPr>
      </w:pPr>
      <w:r w:rsidRPr="0043737F">
        <w:rPr>
          <w:rFonts w:cs="Times New Roman"/>
          <w:noProof/>
          <w:sz w:val="24"/>
          <w:szCs w:val="24"/>
        </w:rPr>
        <w:t>97</w:t>
      </w:r>
      <w:r w:rsidRPr="0043737F">
        <w:rPr>
          <w:rFonts w:cs="Times New Roman"/>
          <w:noProof/>
          <w:sz w:val="24"/>
          <w:szCs w:val="24"/>
        </w:rPr>
        <w:tab/>
        <w:t>Olejnik, S., Mills, J. &amp; Keselma</w:t>
      </w:r>
      <w:r w:rsidR="00EF5658">
        <w:rPr>
          <w:rFonts w:cs="Times New Roman"/>
          <w:noProof/>
          <w:sz w:val="24"/>
          <w:szCs w:val="24"/>
        </w:rPr>
        <w:t>n, H. Using Wherry's Adjusted R</w:t>
      </w:r>
      <w:r w:rsidRPr="00EF5658">
        <w:rPr>
          <w:rFonts w:cs="Times New Roman"/>
          <w:noProof/>
          <w:sz w:val="24"/>
          <w:szCs w:val="24"/>
          <w:vertAlign w:val="superscript"/>
        </w:rPr>
        <w:t>2</w:t>
      </w:r>
      <w:r w:rsidRPr="0043737F">
        <w:rPr>
          <w:rFonts w:cs="Times New Roman"/>
          <w:noProof/>
          <w:sz w:val="24"/>
          <w:szCs w:val="24"/>
        </w:rPr>
        <w:t xml:space="preserve"> and Mallow's Cp for Model Selection From All Possible Regressions. </w:t>
      </w:r>
      <w:r w:rsidRPr="0043737F">
        <w:rPr>
          <w:rFonts w:cs="Times New Roman"/>
          <w:i/>
          <w:noProof/>
          <w:sz w:val="24"/>
          <w:szCs w:val="24"/>
        </w:rPr>
        <w:t>The Journal of Experimental Education</w:t>
      </w:r>
      <w:r w:rsidRPr="0043737F">
        <w:rPr>
          <w:rFonts w:cs="Times New Roman"/>
          <w:noProof/>
          <w:sz w:val="24"/>
          <w:szCs w:val="24"/>
        </w:rPr>
        <w:t xml:space="preserve"> </w:t>
      </w:r>
      <w:r w:rsidRPr="0043737F">
        <w:rPr>
          <w:rFonts w:cs="Times New Roman"/>
          <w:b/>
          <w:noProof/>
          <w:sz w:val="24"/>
          <w:szCs w:val="24"/>
        </w:rPr>
        <w:t>68</w:t>
      </w:r>
      <w:r w:rsidRPr="0043737F">
        <w:rPr>
          <w:rFonts w:cs="Times New Roman"/>
          <w:noProof/>
          <w:sz w:val="24"/>
          <w:szCs w:val="24"/>
        </w:rPr>
        <w:t>, 365-380, doi:10.1080/00220970009600643 (2000).</w:t>
      </w:r>
    </w:p>
    <w:p w:rsidR="00B43E3C" w:rsidRPr="0043737F" w:rsidRDefault="00B43E3C" w:rsidP="00726F1B">
      <w:pPr>
        <w:ind w:left="720" w:hanging="720"/>
        <w:rPr>
          <w:rFonts w:cs="Times New Roman"/>
          <w:noProof/>
          <w:sz w:val="24"/>
          <w:szCs w:val="24"/>
        </w:rPr>
      </w:pPr>
      <w:r w:rsidRPr="0043737F">
        <w:rPr>
          <w:rFonts w:cs="Times New Roman"/>
          <w:noProof/>
          <w:sz w:val="24"/>
          <w:szCs w:val="24"/>
        </w:rPr>
        <w:t>98</w:t>
      </w:r>
      <w:r w:rsidRPr="0043737F">
        <w:rPr>
          <w:rFonts w:cs="Times New Roman"/>
          <w:noProof/>
          <w:sz w:val="24"/>
          <w:szCs w:val="24"/>
        </w:rPr>
        <w:tab/>
        <w:t xml:space="preserve">Whittingham, M. J., Stephens, P. A., Bradbury, R. B. &amp; Freckleton, R. P. Why do we still use stepwise modelling in ecology and behaviour? </w:t>
      </w:r>
      <w:r w:rsidRPr="0043737F">
        <w:rPr>
          <w:rFonts w:cs="Times New Roman"/>
          <w:i/>
          <w:noProof/>
          <w:sz w:val="24"/>
          <w:szCs w:val="24"/>
        </w:rPr>
        <w:t>Journal of Animal Ecology</w:t>
      </w:r>
      <w:r w:rsidRPr="0043737F">
        <w:rPr>
          <w:rFonts w:cs="Times New Roman"/>
          <w:noProof/>
          <w:sz w:val="24"/>
          <w:szCs w:val="24"/>
        </w:rPr>
        <w:t xml:space="preserve"> </w:t>
      </w:r>
      <w:r w:rsidRPr="0043737F">
        <w:rPr>
          <w:rFonts w:cs="Times New Roman"/>
          <w:b/>
          <w:noProof/>
          <w:sz w:val="24"/>
          <w:szCs w:val="24"/>
        </w:rPr>
        <w:t>75</w:t>
      </w:r>
      <w:r w:rsidRPr="0043737F">
        <w:rPr>
          <w:rFonts w:cs="Times New Roman"/>
          <w:noProof/>
          <w:sz w:val="24"/>
          <w:szCs w:val="24"/>
        </w:rPr>
        <w:t>, 1182-1189, doi:10.1111/j.1365-2656.2006.01141.x (2006).</w:t>
      </w:r>
    </w:p>
    <w:p w:rsidR="00B43E3C" w:rsidRPr="0043737F" w:rsidRDefault="00B43E3C" w:rsidP="00726F1B">
      <w:pPr>
        <w:ind w:left="720" w:hanging="720"/>
        <w:rPr>
          <w:rFonts w:cs="Times New Roman"/>
          <w:noProof/>
          <w:sz w:val="24"/>
          <w:szCs w:val="24"/>
        </w:rPr>
      </w:pPr>
      <w:r w:rsidRPr="0043737F">
        <w:rPr>
          <w:rFonts w:cs="Times New Roman"/>
          <w:noProof/>
          <w:sz w:val="24"/>
          <w:szCs w:val="24"/>
        </w:rPr>
        <w:t>99</w:t>
      </w:r>
      <w:r w:rsidRPr="0043737F">
        <w:rPr>
          <w:rFonts w:cs="Times New Roman"/>
          <w:noProof/>
          <w:sz w:val="24"/>
          <w:szCs w:val="24"/>
        </w:rPr>
        <w:tab/>
        <w:t>Bartoń, K. MuMIn: Multi-Model Inference. Tools for performing model selection and model averaging. R package version 1.43.6.</w:t>
      </w:r>
      <w:r w:rsidR="00EF5658">
        <w:rPr>
          <w:rFonts w:cs="Times New Roman"/>
          <w:noProof/>
          <w:sz w:val="24"/>
          <w:szCs w:val="24"/>
        </w:rPr>
        <w:t xml:space="preserve"> </w:t>
      </w:r>
      <w:r w:rsidRPr="0043737F">
        <w:rPr>
          <w:rFonts w:cs="Times New Roman"/>
          <w:noProof/>
          <w:sz w:val="24"/>
          <w:szCs w:val="24"/>
        </w:rPr>
        <w:t>(2019).</w:t>
      </w:r>
    </w:p>
    <w:p w:rsidR="00B43E3C" w:rsidRPr="0043737F" w:rsidRDefault="00B43E3C" w:rsidP="00726F1B">
      <w:pPr>
        <w:ind w:left="720" w:hanging="720"/>
        <w:rPr>
          <w:rFonts w:cs="Times New Roman"/>
          <w:noProof/>
          <w:sz w:val="24"/>
          <w:szCs w:val="24"/>
        </w:rPr>
      </w:pPr>
      <w:r w:rsidRPr="0043737F">
        <w:rPr>
          <w:rFonts w:cs="Times New Roman"/>
          <w:noProof/>
          <w:sz w:val="24"/>
          <w:szCs w:val="24"/>
        </w:rPr>
        <w:t>100</w:t>
      </w:r>
      <w:r w:rsidRPr="0043737F">
        <w:rPr>
          <w:rFonts w:cs="Times New Roman"/>
          <w:noProof/>
          <w:sz w:val="24"/>
          <w:szCs w:val="24"/>
        </w:rPr>
        <w:tab/>
        <w:t xml:space="preserve">Gelman, A. &amp; Hill, J. </w:t>
      </w:r>
      <w:r w:rsidRPr="0043737F">
        <w:rPr>
          <w:rFonts w:cs="Times New Roman"/>
          <w:i/>
          <w:noProof/>
          <w:sz w:val="24"/>
          <w:szCs w:val="24"/>
        </w:rPr>
        <w:t>Data Analysis Using Regression and Multilevel/Hierarchical Models</w:t>
      </w:r>
      <w:r w:rsidRPr="0043737F">
        <w:rPr>
          <w:rFonts w:cs="Times New Roman"/>
          <w:noProof/>
          <w:sz w:val="24"/>
          <w:szCs w:val="24"/>
        </w:rPr>
        <w:t>.</w:t>
      </w:r>
      <w:r w:rsidR="00EF5658">
        <w:rPr>
          <w:rFonts w:cs="Times New Roman"/>
          <w:noProof/>
          <w:sz w:val="24"/>
          <w:szCs w:val="24"/>
        </w:rPr>
        <w:t xml:space="preserve"> </w:t>
      </w:r>
      <w:r w:rsidRPr="0043737F">
        <w:rPr>
          <w:rFonts w:cs="Times New Roman"/>
          <w:noProof/>
          <w:sz w:val="24"/>
          <w:szCs w:val="24"/>
        </w:rPr>
        <w:t>(Cambridge University Press, New York, 2007).</w:t>
      </w:r>
    </w:p>
    <w:p w:rsidR="00B43E3C" w:rsidRPr="0043737F" w:rsidRDefault="00B43E3C" w:rsidP="00726F1B">
      <w:pPr>
        <w:ind w:left="720" w:hanging="720"/>
        <w:rPr>
          <w:rFonts w:cs="Times New Roman"/>
          <w:noProof/>
          <w:sz w:val="24"/>
          <w:szCs w:val="24"/>
        </w:rPr>
      </w:pPr>
      <w:r w:rsidRPr="0043737F">
        <w:rPr>
          <w:rFonts w:cs="Times New Roman"/>
          <w:noProof/>
          <w:sz w:val="24"/>
          <w:szCs w:val="24"/>
        </w:rPr>
        <w:t>101</w:t>
      </w:r>
      <w:r w:rsidRPr="0043737F">
        <w:rPr>
          <w:rFonts w:cs="Times New Roman"/>
          <w:noProof/>
          <w:sz w:val="24"/>
          <w:szCs w:val="24"/>
        </w:rPr>
        <w:tab/>
        <w:t xml:space="preserve">Mayaux, P., De Grandi, G. &amp; Malingreau, J.-P. Central African Forest Cover Revisited: A Multisatellite Analysis. </w:t>
      </w:r>
      <w:r w:rsidRPr="0043737F">
        <w:rPr>
          <w:rFonts w:cs="Times New Roman"/>
          <w:i/>
          <w:noProof/>
          <w:sz w:val="24"/>
          <w:szCs w:val="24"/>
        </w:rPr>
        <w:t>Remote Sensing of Environment</w:t>
      </w:r>
      <w:r w:rsidRPr="0043737F">
        <w:rPr>
          <w:rFonts w:cs="Times New Roman"/>
          <w:noProof/>
          <w:sz w:val="24"/>
          <w:szCs w:val="24"/>
        </w:rPr>
        <w:t xml:space="preserve"> </w:t>
      </w:r>
      <w:r w:rsidRPr="0043737F">
        <w:rPr>
          <w:rFonts w:cs="Times New Roman"/>
          <w:b/>
          <w:noProof/>
          <w:sz w:val="24"/>
          <w:szCs w:val="24"/>
        </w:rPr>
        <w:t>71</w:t>
      </w:r>
      <w:r w:rsidRPr="0043737F">
        <w:rPr>
          <w:rFonts w:cs="Times New Roman"/>
          <w:noProof/>
          <w:sz w:val="24"/>
          <w:szCs w:val="24"/>
        </w:rPr>
        <w:t>, 183–196, doi:10.1016/S0034-4257(99)00073-5 (2000).</w:t>
      </w:r>
    </w:p>
    <w:p w:rsidR="00EF5658" w:rsidRDefault="00EF5658" w:rsidP="00EF5658"/>
    <w:p w:rsidR="00B43E3C" w:rsidRPr="00C0388B" w:rsidRDefault="00B43E3C" w:rsidP="00726F1B">
      <w:pPr>
        <w:pStyle w:val="Heading1"/>
      </w:pPr>
      <w:r>
        <w:lastRenderedPageBreak/>
        <w:t>Author</w:t>
      </w:r>
      <w:r w:rsidRPr="00C0388B">
        <w:t xml:space="preserve"> Information </w:t>
      </w:r>
    </w:p>
    <w:p w:rsidR="00B43E3C" w:rsidRPr="00126FD9" w:rsidRDefault="00B43E3C" w:rsidP="00726F1B">
      <w:pPr>
        <w:rPr>
          <w:rFonts w:cs="Times New Roman"/>
          <w:sz w:val="24"/>
          <w:szCs w:val="24"/>
        </w:rPr>
      </w:pPr>
      <w:r w:rsidRPr="00C0388B">
        <w:rPr>
          <w:rFonts w:cs="Times New Roman"/>
          <w:sz w:val="24"/>
          <w:szCs w:val="24"/>
        </w:rPr>
        <w:t>Correspondence and requests for materials should be addressed to W.H. (</w:t>
      </w:r>
      <w:hyperlink r:id="rId17" w:history="1">
        <w:r w:rsidRPr="00C404D0">
          <w:rPr>
            <w:rStyle w:val="Hyperlink"/>
            <w:rFonts w:cs="Times New Roman"/>
            <w:sz w:val="24"/>
            <w:szCs w:val="24"/>
          </w:rPr>
          <w:t>whubau@gmail.com</w:t>
        </w:r>
      </w:hyperlink>
      <w:r>
        <w:rPr>
          <w:rFonts w:cs="Times New Roman"/>
          <w:sz w:val="24"/>
          <w:szCs w:val="24"/>
        </w:rPr>
        <w:t xml:space="preserve">). </w:t>
      </w:r>
      <w:r w:rsidRPr="00C0388B">
        <w:rPr>
          <w:rFonts w:cs="Times New Roman"/>
          <w:sz w:val="24"/>
          <w:szCs w:val="24"/>
        </w:rPr>
        <w:t>The authors declare no</w:t>
      </w:r>
      <w:r>
        <w:rPr>
          <w:rFonts w:cs="Times New Roman"/>
          <w:sz w:val="24"/>
          <w:szCs w:val="24"/>
        </w:rPr>
        <w:t xml:space="preserve"> competing financial interests. </w:t>
      </w:r>
      <w:r w:rsidRPr="00FB2756">
        <w:rPr>
          <w:rFonts w:cs="Times New Roman"/>
          <w:sz w:val="24"/>
          <w:szCs w:val="24"/>
        </w:rPr>
        <w:t xml:space="preserve">Supplementary Information </w:t>
      </w:r>
      <w:r>
        <w:rPr>
          <w:rFonts w:cs="Times New Roman"/>
          <w:sz w:val="24"/>
          <w:szCs w:val="24"/>
        </w:rPr>
        <w:t>is</w:t>
      </w:r>
      <w:r w:rsidRPr="00FB2756">
        <w:rPr>
          <w:rFonts w:cs="Times New Roman"/>
          <w:sz w:val="24"/>
          <w:szCs w:val="24"/>
        </w:rPr>
        <w:t xml:space="preserve"> available online</w:t>
      </w:r>
      <w:r>
        <w:rPr>
          <w:rFonts w:cs="Times New Roman"/>
          <w:sz w:val="24"/>
          <w:szCs w:val="24"/>
        </w:rPr>
        <w:t xml:space="preserve"> for this paper</w:t>
      </w:r>
      <w:r w:rsidRPr="00FB2756">
        <w:rPr>
          <w:rFonts w:cs="Times New Roman"/>
          <w:sz w:val="24"/>
          <w:szCs w:val="24"/>
        </w:rPr>
        <w:t>.</w:t>
      </w:r>
    </w:p>
    <w:p w:rsidR="00EF5658" w:rsidRDefault="00EF5658" w:rsidP="00726F1B"/>
    <w:p w:rsidR="00B43E3C" w:rsidRPr="00B23FBB" w:rsidRDefault="00B43E3C" w:rsidP="00726F1B">
      <w:pPr>
        <w:pStyle w:val="Heading1"/>
      </w:pPr>
      <w:r w:rsidRPr="00B23FBB">
        <w:t>Extended Data</w:t>
      </w:r>
      <w:r w:rsidR="00726F1B">
        <w:t xml:space="preserve"> Figure</w:t>
      </w:r>
      <w:r>
        <w:t>s</w:t>
      </w:r>
    </w:p>
    <w:p w:rsidR="00B43E3C" w:rsidRDefault="00317384" w:rsidP="00726F1B">
      <w:pPr>
        <w:rPr>
          <w:noProof/>
          <w:lang w:eastAsia="nl-BE"/>
        </w:rPr>
      </w:pPr>
      <w:r>
        <w:rPr>
          <w:noProof/>
          <w:lang w:val="en-GB" w:eastAsia="en-GB"/>
        </w:rPr>
        <w:drawing>
          <wp:inline distT="0" distB="0" distL="0" distR="0">
            <wp:extent cx="6120000" cy="2924694"/>
            <wp:effectExtent l="0" t="0" r="0" b="9525"/>
            <wp:docPr id="2" name="Picture 2" descr="D:\Wannes\UGent Data\3 POSTDOC LEEDS\Publication\submitted\Hubau et al. (in prep)\13 manuscript draft for submission3\Hubau_ED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annes\UGent Data\3 POSTDOC LEEDS\Publication\submitted\Hubau et al. (in prep)\13 manuscript draft for submission3\Hubau_EDfig1.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6120000" cy="2924694"/>
                    </a:xfrm>
                    <a:prstGeom prst="rect">
                      <a:avLst/>
                    </a:prstGeom>
                    <a:noFill/>
                    <a:ln>
                      <a:noFill/>
                    </a:ln>
                    <a:extLst>
                      <a:ext uri="{53640926-AAD7-44D8-BBD7-CCE9431645EC}">
                        <a14:shadowObscured xmlns:a14="http://schemas.microsoft.com/office/drawing/2010/main"/>
                      </a:ext>
                    </a:extLst>
                  </pic:spPr>
                </pic:pic>
              </a:graphicData>
            </a:graphic>
          </wp:inline>
        </w:drawing>
      </w:r>
    </w:p>
    <w:p w:rsidR="00B43E3C" w:rsidRPr="00B23FBB" w:rsidRDefault="00B43E3C" w:rsidP="00726F1B">
      <w:pPr>
        <w:rPr>
          <w:noProof/>
          <w:sz w:val="24"/>
          <w:szCs w:val="24"/>
        </w:rPr>
      </w:pPr>
      <w:r w:rsidRPr="00B23FBB">
        <w:rPr>
          <w:b/>
          <w:noProof/>
          <w:sz w:val="24"/>
          <w:szCs w:val="24"/>
        </w:rPr>
        <w:t>Extended Data Figure 1. Map showing the locations of the 244 plots included in this study.</w:t>
      </w:r>
      <w:r w:rsidRPr="00B23FBB">
        <w:rPr>
          <w:noProof/>
          <w:sz w:val="24"/>
          <w:szCs w:val="24"/>
        </w:rPr>
        <w:t xml:space="preserve"> Dark green represents all lowland closed-canopy forests, submontane forests and forest-</w:t>
      </w:r>
      <w:r>
        <w:rPr>
          <w:noProof/>
          <w:sz w:val="24"/>
          <w:szCs w:val="24"/>
        </w:rPr>
        <w:t>agriculture</w:t>
      </w:r>
      <w:r w:rsidRPr="00B23FBB">
        <w:rPr>
          <w:noProof/>
          <w:sz w:val="24"/>
          <w:szCs w:val="24"/>
        </w:rPr>
        <w:t xml:space="preserve"> mosaics; light green shows swamp forests and mangroves</w:t>
      </w:r>
      <w:r w:rsidRPr="00EB02F2">
        <w:rPr>
          <w:noProof/>
          <w:sz w:val="24"/>
          <w:szCs w:val="24"/>
          <w:vertAlign w:val="superscript"/>
        </w:rPr>
        <w:t>101</w:t>
      </w:r>
      <w:r>
        <w:rPr>
          <w:noProof/>
          <w:sz w:val="24"/>
          <w:szCs w:val="24"/>
        </w:rPr>
        <w:t xml:space="preserve">, blue circles represent plot clusters, referred to by </w:t>
      </w:r>
      <w:r w:rsidRPr="00B23FBB">
        <w:rPr>
          <w:noProof/>
          <w:sz w:val="24"/>
          <w:szCs w:val="24"/>
        </w:rPr>
        <w:t xml:space="preserve">three-letter codes (see Supplementary Table 1 for the full list of plots). Clusters &lt;50 km apart are shown as one </w:t>
      </w:r>
      <w:r>
        <w:rPr>
          <w:noProof/>
          <w:sz w:val="24"/>
          <w:szCs w:val="24"/>
        </w:rPr>
        <w:t xml:space="preserve">point </w:t>
      </w:r>
      <w:r w:rsidRPr="00B23FBB">
        <w:rPr>
          <w:noProof/>
          <w:sz w:val="24"/>
          <w:szCs w:val="24"/>
        </w:rPr>
        <w:t>for display only</w:t>
      </w:r>
      <w:r>
        <w:rPr>
          <w:noProof/>
          <w:sz w:val="24"/>
          <w:szCs w:val="24"/>
        </w:rPr>
        <w:t>, with the circle</w:t>
      </w:r>
      <w:r w:rsidRPr="00B23FBB">
        <w:rPr>
          <w:noProof/>
          <w:sz w:val="24"/>
          <w:szCs w:val="24"/>
        </w:rPr>
        <w:t>size correspond</w:t>
      </w:r>
      <w:r>
        <w:rPr>
          <w:noProof/>
          <w:sz w:val="24"/>
          <w:szCs w:val="24"/>
        </w:rPr>
        <w:t>ing</w:t>
      </w:r>
      <w:r w:rsidRPr="00B23FBB">
        <w:rPr>
          <w:noProof/>
          <w:sz w:val="24"/>
          <w:szCs w:val="24"/>
        </w:rPr>
        <w:t xml:space="preserve"> to sampling effort in terms of hectares monitored.</w:t>
      </w:r>
    </w:p>
    <w:p w:rsidR="00B43E3C" w:rsidRPr="00B23FBB" w:rsidRDefault="00317384" w:rsidP="00726F1B">
      <w:pPr>
        <w:rPr>
          <w:noProof/>
          <w:sz w:val="24"/>
          <w:szCs w:val="24"/>
        </w:rPr>
      </w:pPr>
      <w:r>
        <w:rPr>
          <w:noProof/>
          <w:sz w:val="24"/>
          <w:szCs w:val="24"/>
          <w:lang w:val="en-GB" w:eastAsia="en-GB"/>
        </w:rPr>
        <w:lastRenderedPageBreak/>
        <w:drawing>
          <wp:inline distT="0" distB="0" distL="0" distR="0">
            <wp:extent cx="6120000" cy="4616109"/>
            <wp:effectExtent l="0" t="0" r="0" b="0"/>
            <wp:docPr id="3" name="Picture 3" descr="D:\Wannes\UGent Data\3 POSTDOC LEEDS\Publication\submitted\Hubau et al. (in prep)\13 manuscript draft for submission3\Hubau_ED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annes\UGent Data\3 POSTDOC LEEDS\Publication\submitted\Hubau et al. (in prep)\13 manuscript draft for submission3\Hubau_EDfig2.jpg"/>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6120000" cy="4616109"/>
                    </a:xfrm>
                    <a:prstGeom prst="rect">
                      <a:avLst/>
                    </a:prstGeom>
                    <a:noFill/>
                    <a:ln>
                      <a:noFill/>
                    </a:ln>
                    <a:extLst>
                      <a:ext uri="{53640926-AAD7-44D8-BBD7-CCE9431645EC}">
                        <a14:shadowObscured xmlns:a14="http://schemas.microsoft.com/office/drawing/2010/main"/>
                      </a:ext>
                    </a:extLst>
                  </pic:spPr>
                </pic:pic>
              </a:graphicData>
            </a:graphic>
          </wp:inline>
        </w:drawing>
      </w:r>
    </w:p>
    <w:p w:rsidR="00B43E3C" w:rsidRPr="00B23FBB" w:rsidRDefault="00B43E3C" w:rsidP="00726F1B">
      <w:pPr>
        <w:rPr>
          <w:sz w:val="24"/>
          <w:szCs w:val="24"/>
        </w:rPr>
      </w:pPr>
      <w:r w:rsidRPr="00B23FBB">
        <w:rPr>
          <w:b/>
          <w:noProof/>
          <w:sz w:val="24"/>
          <w:szCs w:val="24"/>
        </w:rPr>
        <w:t xml:space="preserve">Extended Data Figure 2. </w:t>
      </w:r>
      <w:r>
        <w:rPr>
          <w:rFonts w:cs="Times New Roman"/>
          <w:b/>
          <w:sz w:val="24"/>
          <w:szCs w:val="24"/>
        </w:rPr>
        <w:t>L</w:t>
      </w:r>
      <w:r w:rsidRPr="00B23FBB">
        <w:rPr>
          <w:rFonts w:cs="Times New Roman"/>
          <w:b/>
          <w:sz w:val="24"/>
          <w:szCs w:val="24"/>
        </w:rPr>
        <w:t xml:space="preserve">ong-term above-ground carbon dynamics of 244 African intact tropical forest inventory plots. </w:t>
      </w:r>
      <w:r w:rsidRPr="00B23FBB">
        <w:rPr>
          <w:rFonts w:cs="Times New Roman"/>
          <w:sz w:val="24"/>
          <w:szCs w:val="24"/>
        </w:rPr>
        <w:t xml:space="preserve">Points in the scatterplots indicate the mid-census interval date, with horizontal bars connecting the start and end date for each census interval for net </w:t>
      </w:r>
      <w:r>
        <w:rPr>
          <w:rFonts w:cs="Times New Roman"/>
          <w:sz w:val="24"/>
          <w:szCs w:val="24"/>
        </w:rPr>
        <w:t xml:space="preserve">aboveground biomass </w:t>
      </w:r>
      <w:r w:rsidRPr="00B23FBB">
        <w:rPr>
          <w:rFonts w:cs="Times New Roman"/>
          <w:sz w:val="24"/>
          <w:szCs w:val="24"/>
        </w:rPr>
        <w:t>carbon</w:t>
      </w:r>
      <w:r>
        <w:rPr>
          <w:rFonts w:cs="Times New Roman"/>
          <w:sz w:val="24"/>
          <w:szCs w:val="24"/>
        </w:rPr>
        <w:t xml:space="preserve"> change</w:t>
      </w:r>
      <w:r w:rsidRPr="00B23FBB">
        <w:rPr>
          <w:rFonts w:cs="Times New Roman"/>
          <w:sz w:val="24"/>
          <w:szCs w:val="24"/>
        </w:rPr>
        <w:t xml:space="preserve"> (</w:t>
      </w:r>
      <w:r w:rsidRPr="00B23FBB">
        <w:rPr>
          <w:rFonts w:cs="Times New Roman"/>
          <w:b/>
          <w:sz w:val="24"/>
          <w:szCs w:val="24"/>
        </w:rPr>
        <w:t>a</w:t>
      </w:r>
      <w:r w:rsidRPr="00B23FBB">
        <w:rPr>
          <w:rFonts w:cs="Times New Roman"/>
          <w:sz w:val="24"/>
          <w:szCs w:val="24"/>
        </w:rPr>
        <w:t>), car</w:t>
      </w:r>
      <w:r>
        <w:rPr>
          <w:rFonts w:cs="Times New Roman"/>
          <w:sz w:val="24"/>
          <w:szCs w:val="24"/>
        </w:rPr>
        <w:t>bon gains (from woody production from tree growth and newly recruited stems</w:t>
      </w:r>
      <w:r w:rsidRPr="00B23FBB">
        <w:rPr>
          <w:rFonts w:cs="Times New Roman"/>
          <w:sz w:val="24"/>
          <w:szCs w:val="24"/>
        </w:rPr>
        <w:t>) (</w:t>
      </w:r>
      <w:r w:rsidRPr="00B23FBB">
        <w:rPr>
          <w:rFonts w:cs="Times New Roman"/>
          <w:b/>
          <w:sz w:val="24"/>
          <w:szCs w:val="24"/>
        </w:rPr>
        <w:t>b</w:t>
      </w:r>
      <w:r w:rsidRPr="00B23FBB">
        <w:rPr>
          <w:rFonts w:cs="Times New Roman"/>
          <w:sz w:val="24"/>
          <w:szCs w:val="24"/>
        </w:rPr>
        <w:t>), and carbon losses (from</w:t>
      </w:r>
      <w:r>
        <w:rPr>
          <w:rFonts w:cs="Times New Roman"/>
          <w:sz w:val="24"/>
          <w:szCs w:val="24"/>
        </w:rPr>
        <w:t xml:space="preserve"> tree</w:t>
      </w:r>
      <w:r w:rsidRPr="00B23FBB">
        <w:rPr>
          <w:rFonts w:cs="Times New Roman"/>
          <w:sz w:val="24"/>
          <w:szCs w:val="24"/>
        </w:rPr>
        <w:t xml:space="preserve"> mortality) (</w:t>
      </w:r>
      <w:r w:rsidRPr="00B23FBB">
        <w:rPr>
          <w:rFonts w:cs="Times New Roman"/>
          <w:b/>
          <w:sz w:val="24"/>
          <w:szCs w:val="24"/>
        </w:rPr>
        <w:t>c</w:t>
      </w:r>
      <w:r w:rsidRPr="00B23FBB">
        <w:rPr>
          <w:rFonts w:cs="Times New Roman"/>
          <w:sz w:val="24"/>
          <w:szCs w:val="24"/>
        </w:rPr>
        <w:t>). Examples of time series for three individual plots are shown in purple, yellow and green.</w:t>
      </w:r>
      <w:r w:rsidRPr="00B23FBB">
        <w:rPr>
          <w:b/>
          <w:noProof/>
          <w:sz w:val="24"/>
          <w:szCs w:val="24"/>
        </w:rPr>
        <w:t xml:space="preserve"> </w:t>
      </w:r>
      <w:r w:rsidRPr="00B23FBB">
        <w:rPr>
          <w:noProof/>
          <w:sz w:val="24"/>
          <w:szCs w:val="24"/>
        </w:rPr>
        <w:t xml:space="preserve">Associated </w:t>
      </w:r>
      <w:r w:rsidRPr="00B23FBB">
        <w:rPr>
          <w:rFonts w:cs="Times New Roman"/>
          <w:bCs/>
          <w:sz w:val="24"/>
          <w:szCs w:val="24"/>
        </w:rPr>
        <w:t xml:space="preserve">histograms show the distribution of the plot-level net </w:t>
      </w:r>
      <w:r>
        <w:rPr>
          <w:rFonts w:cs="Times New Roman"/>
          <w:bCs/>
          <w:sz w:val="24"/>
          <w:szCs w:val="24"/>
        </w:rPr>
        <w:t xml:space="preserve">aboveground biomass </w:t>
      </w:r>
      <w:r w:rsidRPr="00B23FBB">
        <w:rPr>
          <w:rFonts w:cs="Times New Roman"/>
          <w:bCs/>
          <w:sz w:val="24"/>
          <w:szCs w:val="24"/>
        </w:rPr>
        <w:t>carbon (</w:t>
      </w:r>
      <w:r w:rsidRPr="00B23FBB">
        <w:rPr>
          <w:rFonts w:cs="Times New Roman"/>
          <w:b/>
          <w:bCs/>
          <w:sz w:val="24"/>
          <w:szCs w:val="24"/>
        </w:rPr>
        <w:t>d</w:t>
      </w:r>
      <w:r w:rsidRPr="00B23FBB">
        <w:rPr>
          <w:rFonts w:cs="Times New Roman"/>
          <w:sz w:val="24"/>
          <w:szCs w:val="24"/>
        </w:rPr>
        <w:t>)</w:t>
      </w:r>
      <w:r w:rsidRPr="00B23FBB">
        <w:rPr>
          <w:rFonts w:cs="Times New Roman"/>
          <w:b/>
          <w:bCs/>
          <w:sz w:val="24"/>
          <w:szCs w:val="24"/>
        </w:rPr>
        <w:t xml:space="preserve"> </w:t>
      </w:r>
      <w:r w:rsidRPr="00B23FBB">
        <w:rPr>
          <w:rFonts w:cs="Times New Roman"/>
          <w:bCs/>
          <w:sz w:val="24"/>
          <w:szCs w:val="24"/>
        </w:rPr>
        <w:t xml:space="preserve">(with a three-parameter Weibull probability density distribution fitted in blue, showing the </w:t>
      </w:r>
      <w:r>
        <w:rPr>
          <w:rFonts w:cs="Times New Roman"/>
          <w:bCs/>
          <w:sz w:val="24"/>
          <w:szCs w:val="24"/>
        </w:rPr>
        <w:t xml:space="preserve">carbon </w:t>
      </w:r>
      <w:r w:rsidRPr="00B23FBB">
        <w:rPr>
          <w:rFonts w:cs="Times New Roman"/>
          <w:bCs/>
          <w:sz w:val="24"/>
          <w:szCs w:val="24"/>
        </w:rPr>
        <w:t>sink is significantly larger than zero; one-tail t-test: p&lt;0.001), carbon gains (</w:t>
      </w:r>
      <w:r w:rsidRPr="00B23FBB">
        <w:rPr>
          <w:rFonts w:cs="Times New Roman"/>
          <w:b/>
          <w:bCs/>
          <w:sz w:val="24"/>
          <w:szCs w:val="24"/>
        </w:rPr>
        <w:t>e</w:t>
      </w:r>
      <w:r w:rsidRPr="00B23FBB">
        <w:rPr>
          <w:rFonts w:cs="Times New Roman"/>
          <w:sz w:val="24"/>
          <w:szCs w:val="24"/>
        </w:rPr>
        <w:t>)</w:t>
      </w:r>
      <w:r w:rsidRPr="00B23FBB">
        <w:rPr>
          <w:rFonts w:cs="Times New Roman"/>
          <w:bCs/>
          <w:sz w:val="24"/>
          <w:szCs w:val="24"/>
        </w:rPr>
        <w:t>, and carbon losses (</w:t>
      </w:r>
      <w:r w:rsidRPr="00B23FBB">
        <w:rPr>
          <w:rFonts w:cs="Times New Roman"/>
          <w:b/>
          <w:bCs/>
          <w:sz w:val="24"/>
          <w:szCs w:val="24"/>
        </w:rPr>
        <w:t>f</w:t>
      </w:r>
      <w:r w:rsidRPr="00B23FBB">
        <w:rPr>
          <w:rFonts w:cs="Times New Roman"/>
          <w:sz w:val="24"/>
          <w:szCs w:val="24"/>
        </w:rPr>
        <w:t>)</w:t>
      </w:r>
      <w:r w:rsidRPr="00B23FBB">
        <w:rPr>
          <w:rFonts w:cs="Times New Roman"/>
          <w:bCs/>
          <w:sz w:val="24"/>
          <w:szCs w:val="24"/>
        </w:rPr>
        <w:t xml:space="preserve">. </w:t>
      </w:r>
    </w:p>
    <w:p w:rsidR="00B43E3C" w:rsidRDefault="00317384" w:rsidP="00726F1B">
      <w:pPr>
        <w:jc w:val="center"/>
        <w:rPr>
          <w:b/>
          <w:noProof/>
          <w:sz w:val="24"/>
          <w:szCs w:val="24"/>
        </w:rPr>
      </w:pPr>
      <w:r>
        <w:rPr>
          <w:b/>
          <w:noProof/>
          <w:sz w:val="24"/>
          <w:szCs w:val="24"/>
          <w:lang w:val="en-GB" w:eastAsia="en-GB"/>
        </w:rPr>
        <w:lastRenderedPageBreak/>
        <w:drawing>
          <wp:inline distT="0" distB="0" distL="0" distR="0">
            <wp:extent cx="4410075" cy="4695825"/>
            <wp:effectExtent l="0" t="0" r="9525" b="9525"/>
            <wp:docPr id="4" name="Picture 4" descr="D:\Wannes\UGent Data\3 POSTDOC LEEDS\Publication\submitted\Hubau et al. (in prep)\13 manuscript draft for submission3\Hubau_ED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annes\UGent Data\3 POSTDOC LEEDS\Publication\submitted\Hubau et al. (in prep)\13 manuscript draft for submission3\Hubau_EDfig3.jpg"/>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4410622" cy="4696407"/>
                    </a:xfrm>
                    <a:prstGeom prst="rect">
                      <a:avLst/>
                    </a:prstGeom>
                    <a:noFill/>
                    <a:ln>
                      <a:noFill/>
                    </a:ln>
                    <a:extLst>
                      <a:ext uri="{53640926-AAD7-44D8-BBD7-CCE9431645EC}">
                        <a14:shadowObscured xmlns:a14="http://schemas.microsoft.com/office/drawing/2010/main"/>
                      </a:ext>
                    </a:extLst>
                  </pic:spPr>
                </pic:pic>
              </a:graphicData>
            </a:graphic>
          </wp:inline>
        </w:drawing>
      </w:r>
    </w:p>
    <w:p w:rsidR="00B43E3C" w:rsidRDefault="00B43E3C" w:rsidP="00726F1B">
      <w:pPr>
        <w:rPr>
          <w:rFonts w:cs="Times New Roman"/>
          <w:sz w:val="24"/>
          <w:szCs w:val="24"/>
        </w:rPr>
      </w:pPr>
      <w:r w:rsidRPr="00B23FBB">
        <w:rPr>
          <w:b/>
          <w:noProof/>
          <w:sz w:val="24"/>
          <w:szCs w:val="24"/>
        </w:rPr>
        <w:t>Extended Data Figure 3. Akaike’s Information Criterion (AIC) from correlations between the carbon gain in tropical forest inventory plots and changes in either atmospheric CO</w:t>
      </w:r>
      <w:r w:rsidRPr="00B23FBB">
        <w:rPr>
          <w:b/>
          <w:noProof/>
          <w:sz w:val="24"/>
          <w:szCs w:val="24"/>
          <w:vertAlign w:val="subscript"/>
        </w:rPr>
        <w:t>2</w:t>
      </w:r>
      <w:r w:rsidRPr="00B23FBB">
        <w:rPr>
          <w:b/>
          <w:noProof/>
          <w:sz w:val="24"/>
          <w:szCs w:val="24"/>
        </w:rPr>
        <w:t>, temperature (as MAT) or drought (as MCWD)</w:t>
      </w:r>
      <w:r>
        <w:rPr>
          <w:b/>
          <w:noProof/>
          <w:sz w:val="24"/>
          <w:szCs w:val="24"/>
        </w:rPr>
        <w:t>,</w:t>
      </w:r>
      <w:r w:rsidRPr="00B23FBB">
        <w:rPr>
          <w:b/>
          <w:noProof/>
          <w:sz w:val="24"/>
          <w:szCs w:val="24"/>
        </w:rPr>
        <w:t xml:space="preserve"> each calculated over ever-longer prior intervals.</w:t>
      </w:r>
      <w:r w:rsidRPr="00B23FBB">
        <w:rPr>
          <w:noProof/>
          <w:sz w:val="24"/>
          <w:szCs w:val="24"/>
        </w:rPr>
        <w:t xml:space="preserve"> Panels show AIC from linear mixed effects models of carbon gains </w:t>
      </w:r>
      <w:r>
        <w:rPr>
          <w:noProof/>
          <w:sz w:val="24"/>
          <w:szCs w:val="24"/>
        </w:rPr>
        <w:t xml:space="preserve">from 565 plots </w:t>
      </w:r>
      <w:r w:rsidRPr="00B23FBB">
        <w:rPr>
          <w:noProof/>
          <w:sz w:val="24"/>
          <w:szCs w:val="24"/>
        </w:rPr>
        <w:t>and</w:t>
      </w:r>
      <w:r>
        <w:rPr>
          <w:noProof/>
          <w:sz w:val="24"/>
          <w:szCs w:val="24"/>
        </w:rPr>
        <w:t xml:space="preserve"> corresponding</w:t>
      </w:r>
      <w:r w:rsidRPr="00B23FBB">
        <w:rPr>
          <w:noProof/>
          <w:sz w:val="24"/>
          <w:szCs w:val="24"/>
        </w:rPr>
        <w:t>, atmospheric CO</w:t>
      </w:r>
      <w:r w:rsidRPr="00B23FBB">
        <w:rPr>
          <w:noProof/>
          <w:sz w:val="24"/>
          <w:szCs w:val="24"/>
          <w:vertAlign w:val="subscript"/>
        </w:rPr>
        <w:t>2</w:t>
      </w:r>
      <w:r w:rsidRPr="00B23FBB">
        <w:rPr>
          <w:noProof/>
          <w:sz w:val="24"/>
          <w:szCs w:val="24"/>
        </w:rPr>
        <w:t xml:space="preserve"> (CO</w:t>
      </w:r>
      <w:r w:rsidRPr="00B23FBB">
        <w:rPr>
          <w:noProof/>
          <w:sz w:val="24"/>
          <w:szCs w:val="24"/>
          <w:vertAlign w:val="subscript"/>
        </w:rPr>
        <w:t>2</w:t>
      </w:r>
      <w:r w:rsidRPr="00B23FBB">
        <w:rPr>
          <w:noProof/>
          <w:sz w:val="24"/>
          <w:szCs w:val="24"/>
        </w:rPr>
        <w:t>-change) (</w:t>
      </w:r>
      <w:r w:rsidRPr="00B23FBB">
        <w:rPr>
          <w:b/>
          <w:noProof/>
          <w:sz w:val="24"/>
          <w:szCs w:val="24"/>
        </w:rPr>
        <w:t>a</w:t>
      </w:r>
      <w:r w:rsidRPr="00B23FBB">
        <w:rPr>
          <w:noProof/>
          <w:sz w:val="24"/>
          <w:szCs w:val="24"/>
        </w:rPr>
        <w:t>), Mean Annual Temperature (MAT-change) (</w:t>
      </w:r>
      <w:r w:rsidRPr="00B23FBB">
        <w:rPr>
          <w:b/>
          <w:noProof/>
          <w:sz w:val="24"/>
          <w:szCs w:val="24"/>
        </w:rPr>
        <w:t>b</w:t>
      </w:r>
      <w:r w:rsidRPr="00B23FBB">
        <w:rPr>
          <w:noProof/>
          <w:sz w:val="24"/>
          <w:szCs w:val="24"/>
        </w:rPr>
        <w:t>), and Maximum Climatological Water Deficit (MCWD</w:t>
      </w:r>
      <w:r>
        <w:rPr>
          <w:noProof/>
          <w:sz w:val="24"/>
          <w:szCs w:val="24"/>
        </w:rPr>
        <w:t>-change</w:t>
      </w:r>
      <w:r w:rsidRPr="00B23FBB">
        <w:rPr>
          <w:noProof/>
          <w:sz w:val="24"/>
          <w:szCs w:val="24"/>
        </w:rPr>
        <w:t>) (</w:t>
      </w:r>
      <w:r w:rsidRPr="00B23FBB">
        <w:rPr>
          <w:b/>
          <w:noProof/>
          <w:sz w:val="24"/>
          <w:szCs w:val="24"/>
        </w:rPr>
        <w:t>c</w:t>
      </w:r>
      <w:r w:rsidRPr="00B23FBB">
        <w:rPr>
          <w:noProof/>
          <w:sz w:val="24"/>
          <w:szCs w:val="24"/>
        </w:rPr>
        <w:t>). For CO</w:t>
      </w:r>
      <w:r w:rsidRPr="00B23FBB">
        <w:rPr>
          <w:noProof/>
          <w:sz w:val="24"/>
          <w:szCs w:val="24"/>
          <w:vertAlign w:val="subscript"/>
        </w:rPr>
        <w:t>2</w:t>
      </w:r>
      <w:r w:rsidRPr="00B23FBB">
        <w:rPr>
          <w:noProof/>
          <w:sz w:val="24"/>
          <w:szCs w:val="24"/>
        </w:rPr>
        <w:t xml:space="preserve"> the AIC minimum was observed when predicting the carbon gain from the change in CO</w:t>
      </w:r>
      <w:r w:rsidRPr="00B23FBB">
        <w:rPr>
          <w:noProof/>
          <w:sz w:val="24"/>
          <w:szCs w:val="24"/>
          <w:vertAlign w:val="subscript"/>
        </w:rPr>
        <w:t>2</w:t>
      </w:r>
      <w:r w:rsidRPr="00B23FBB">
        <w:rPr>
          <w:noProof/>
          <w:sz w:val="24"/>
          <w:szCs w:val="24"/>
        </w:rPr>
        <w:t xml:space="preserve"> calculated over a 56 year long prior interval length. We use this length of time to calculate our CO</w:t>
      </w:r>
      <w:r w:rsidRPr="00B23FBB">
        <w:rPr>
          <w:noProof/>
          <w:sz w:val="24"/>
          <w:szCs w:val="24"/>
          <w:vertAlign w:val="subscript"/>
        </w:rPr>
        <w:t>2</w:t>
      </w:r>
      <w:r w:rsidRPr="00B23FBB">
        <w:rPr>
          <w:noProof/>
          <w:sz w:val="24"/>
          <w:szCs w:val="24"/>
        </w:rPr>
        <w:t>-change para</w:t>
      </w:r>
      <w:r>
        <w:rPr>
          <w:noProof/>
          <w:sz w:val="24"/>
          <w:szCs w:val="24"/>
        </w:rPr>
        <w:t xml:space="preserve">meter. Such a value is expected </w:t>
      </w:r>
      <w:r w:rsidRPr="00B23FBB">
        <w:rPr>
          <w:noProof/>
          <w:sz w:val="24"/>
          <w:szCs w:val="24"/>
        </w:rPr>
        <w:t>because forest stands will respond most strongly to CO</w:t>
      </w:r>
      <w:r w:rsidRPr="00B23FBB">
        <w:rPr>
          <w:noProof/>
          <w:sz w:val="24"/>
          <w:szCs w:val="24"/>
          <w:vertAlign w:val="subscript"/>
        </w:rPr>
        <w:t>2</w:t>
      </w:r>
      <w:r w:rsidRPr="00B23FBB">
        <w:rPr>
          <w:noProof/>
          <w:sz w:val="24"/>
          <w:szCs w:val="24"/>
        </w:rPr>
        <w:t xml:space="preserve"> when most individuals have grown under the new rapidly changing condit</w:t>
      </w:r>
      <w:r>
        <w:rPr>
          <w:noProof/>
          <w:sz w:val="24"/>
          <w:szCs w:val="24"/>
        </w:rPr>
        <w:t>i</w:t>
      </w:r>
      <w:r w:rsidRPr="00B23FBB">
        <w:rPr>
          <w:noProof/>
          <w:sz w:val="24"/>
          <w:szCs w:val="24"/>
        </w:rPr>
        <w:t>on, which should be at its maximum at a time approximately equivalent to the carbon residence time of a forest stand</w:t>
      </w:r>
      <w:r w:rsidRPr="00EB02F2">
        <w:rPr>
          <w:rFonts w:cs="Times New Roman"/>
          <w:noProof/>
          <w:sz w:val="24"/>
          <w:szCs w:val="24"/>
          <w:vertAlign w:val="superscript"/>
        </w:rPr>
        <w:t>30,90</w:t>
      </w:r>
      <w:r>
        <w:rPr>
          <w:noProof/>
          <w:sz w:val="24"/>
          <w:szCs w:val="24"/>
        </w:rPr>
        <w:t xml:space="preserve"> (</w:t>
      </w:r>
      <w:r w:rsidRPr="00B23FBB">
        <w:rPr>
          <w:noProof/>
          <w:sz w:val="24"/>
          <w:szCs w:val="24"/>
        </w:rPr>
        <w:t>mean of 62 years in this</w:t>
      </w:r>
      <w:r>
        <w:rPr>
          <w:noProof/>
          <w:sz w:val="24"/>
          <w:szCs w:val="24"/>
        </w:rPr>
        <w:t xml:space="preserve"> </w:t>
      </w:r>
      <w:r>
        <w:rPr>
          <w:noProof/>
          <w:sz w:val="24"/>
          <w:szCs w:val="24"/>
        </w:rPr>
        <w:lastRenderedPageBreak/>
        <w:t>pooled African and Amazonian</w:t>
      </w:r>
      <w:r w:rsidRPr="00B23FBB">
        <w:rPr>
          <w:noProof/>
          <w:sz w:val="24"/>
          <w:szCs w:val="24"/>
        </w:rPr>
        <w:t xml:space="preserve"> dataset). For MAT the AIC minimum was 5 years, which we use as the prior interval to calculate our MAT-change parameter. This length is consistent with </w:t>
      </w:r>
      <w:r w:rsidRPr="00B23FBB">
        <w:rPr>
          <w:rFonts w:cs="Times New Roman"/>
          <w:sz w:val="24"/>
          <w:szCs w:val="24"/>
        </w:rPr>
        <w:t xml:space="preserve">experiments showing temperature </w:t>
      </w:r>
      <w:r w:rsidRPr="00B23FBB" w:rsidDel="002952FC">
        <w:rPr>
          <w:rFonts w:cs="Times New Roman"/>
          <w:sz w:val="24"/>
          <w:szCs w:val="24"/>
        </w:rPr>
        <w:t>acclimation</w:t>
      </w:r>
      <w:r w:rsidRPr="00B23FBB">
        <w:rPr>
          <w:rFonts w:cs="Times New Roman"/>
          <w:sz w:val="24"/>
          <w:szCs w:val="24"/>
        </w:rPr>
        <w:t xml:space="preserve"> of </w:t>
      </w:r>
      <w:r w:rsidRPr="00B23FBB">
        <w:rPr>
          <w:sz w:val="24"/>
          <w:szCs w:val="24"/>
        </w:rPr>
        <w:t>leaf- and plant-level photosynthetic and respiration processes</w:t>
      </w:r>
      <w:r w:rsidRPr="00B23FBB">
        <w:rPr>
          <w:rFonts w:cs="Times New Roman"/>
          <w:sz w:val="24"/>
          <w:szCs w:val="24"/>
        </w:rPr>
        <w:t xml:space="preserve"> over </w:t>
      </w:r>
      <w:r>
        <w:rPr>
          <w:rFonts w:cs="Times New Roman"/>
          <w:sz w:val="24"/>
          <w:szCs w:val="24"/>
        </w:rPr>
        <w:t xml:space="preserve">approximately </w:t>
      </w:r>
      <w:r w:rsidRPr="00B23FBB">
        <w:rPr>
          <w:rFonts w:cs="Times New Roman"/>
          <w:sz w:val="24"/>
          <w:szCs w:val="24"/>
        </w:rPr>
        <w:t>half-decadal timescales</w:t>
      </w:r>
      <w:r w:rsidRPr="00EB02F2">
        <w:rPr>
          <w:rFonts w:cs="Times New Roman"/>
          <w:noProof/>
          <w:sz w:val="24"/>
          <w:szCs w:val="24"/>
          <w:vertAlign w:val="superscript"/>
        </w:rPr>
        <w:t>31,91</w:t>
      </w:r>
      <w:r w:rsidRPr="00B23FBB">
        <w:rPr>
          <w:rFonts w:cs="Times New Roman"/>
          <w:sz w:val="24"/>
          <w:szCs w:val="24"/>
        </w:rPr>
        <w:t xml:space="preserve">. </w:t>
      </w:r>
      <w:r w:rsidRPr="00B23FBB">
        <w:rPr>
          <w:noProof/>
          <w:sz w:val="24"/>
          <w:szCs w:val="24"/>
        </w:rPr>
        <w:t>For MCWD the AIC minimum is not obvious, while the slope of the correlation, shown in panel (</w:t>
      </w:r>
      <w:r w:rsidRPr="00B23FBB">
        <w:rPr>
          <w:b/>
          <w:noProof/>
          <w:sz w:val="24"/>
          <w:szCs w:val="24"/>
        </w:rPr>
        <w:t>d</w:t>
      </w:r>
      <w:r w:rsidRPr="00B23FBB">
        <w:rPr>
          <w:noProof/>
          <w:sz w:val="24"/>
          <w:szCs w:val="24"/>
        </w:rPr>
        <w:t xml:space="preserve">), </w:t>
      </w:r>
      <w:r>
        <w:rPr>
          <w:noProof/>
          <w:sz w:val="24"/>
          <w:szCs w:val="24"/>
        </w:rPr>
        <w:t>shows</w:t>
      </w:r>
      <w:r w:rsidRPr="00B23FBB">
        <w:rPr>
          <w:noProof/>
          <w:sz w:val="24"/>
          <w:szCs w:val="24"/>
        </w:rPr>
        <w:t xml:space="preserve"> no overall trend and oscillates between positive or negative values, meaning there is no relationship between carbon gains and the change in MCWD over intervals longer than 1 year; thus MCWD-change is not included in our models. This result </w:t>
      </w:r>
      <w:r>
        <w:rPr>
          <w:noProof/>
          <w:sz w:val="24"/>
          <w:szCs w:val="24"/>
        </w:rPr>
        <w:t>suggests that</w:t>
      </w:r>
      <w:r w:rsidRPr="00B23FBB">
        <w:rPr>
          <w:noProof/>
          <w:sz w:val="24"/>
          <w:szCs w:val="24"/>
        </w:rPr>
        <w:t xml:space="preserve"> </w:t>
      </w:r>
      <w:r w:rsidRPr="00B23FBB">
        <w:rPr>
          <w:rFonts w:cs="Times New Roman"/>
          <w:sz w:val="24"/>
          <w:szCs w:val="24"/>
        </w:rPr>
        <w:t>once a drought ends, its impact on tree growth fades rapidly</w:t>
      </w:r>
      <w:r>
        <w:rPr>
          <w:rFonts w:cs="Times New Roman"/>
          <w:sz w:val="24"/>
          <w:szCs w:val="24"/>
        </w:rPr>
        <w:t>, as seen in other studies</w:t>
      </w:r>
      <w:r w:rsidRPr="005A2EB8">
        <w:rPr>
          <w:rFonts w:cs="Times New Roman"/>
          <w:noProof/>
          <w:sz w:val="24"/>
          <w:szCs w:val="24"/>
          <w:vertAlign w:val="superscript"/>
        </w:rPr>
        <w:t>14</w:t>
      </w:r>
      <w:r w:rsidRPr="00B23FBB">
        <w:rPr>
          <w:rFonts w:cs="Times New Roman"/>
          <w:sz w:val="24"/>
          <w:szCs w:val="24"/>
          <w:vertAlign w:val="superscript"/>
        </w:rPr>
        <w:t>,</w:t>
      </w:r>
      <w:r w:rsidRPr="00EB02F2">
        <w:rPr>
          <w:rFonts w:cs="Times New Roman"/>
          <w:noProof/>
          <w:sz w:val="24"/>
          <w:szCs w:val="24"/>
          <w:vertAlign w:val="superscript"/>
        </w:rPr>
        <w:t>92</w:t>
      </w:r>
      <w:r>
        <w:rPr>
          <w:rFonts w:cs="Times New Roman"/>
          <w:sz w:val="24"/>
          <w:szCs w:val="24"/>
        </w:rPr>
        <w:t xml:space="preserve">. Also in the moist tropics wet-season rainfall is expected to re-charge soil water, </w:t>
      </w:r>
      <w:r w:rsidRPr="00B23FBB">
        <w:rPr>
          <w:rFonts w:cs="Times New Roman"/>
          <w:sz w:val="24"/>
          <w:szCs w:val="24"/>
        </w:rPr>
        <w:t>hence lagged impacts of droughts are not expected.</w:t>
      </w:r>
    </w:p>
    <w:p w:rsidR="00726F1B" w:rsidRDefault="00726F1B" w:rsidP="00726F1B">
      <w:pPr>
        <w:rPr>
          <w:rFonts w:cs="Times New Roman"/>
          <w:sz w:val="24"/>
          <w:szCs w:val="24"/>
        </w:rPr>
      </w:pPr>
    </w:p>
    <w:p w:rsidR="00726F1B" w:rsidRDefault="00726F1B" w:rsidP="00726F1B">
      <w:pPr>
        <w:rPr>
          <w:rFonts w:cs="Times New Roman"/>
          <w:sz w:val="24"/>
          <w:szCs w:val="24"/>
        </w:rPr>
      </w:pPr>
    </w:p>
    <w:p w:rsidR="00726F1B" w:rsidRDefault="00726F1B" w:rsidP="00726F1B">
      <w:pPr>
        <w:rPr>
          <w:rFonts w:cs="Times New Roman"/>
          <w:sz w:val="24"/>
          <w:szCs w:val="24"/>
        </w:rPr>
      </w:pPr>
    </w:p>
    <w:p w:rsidR="00726F1B" w:rsidRDefault="00726F1B" w:rsidP="00726F1B">
      <w:pPr>
        <w:rPr>
          <w:rFonts w:cs="Times New Roman"/>
          <w:sz w:val="24"/>
          <w:szCs w:val="24"/>
        </w:rPr>
      </w:pPr>
    </w:p>
    <w:p w:rsidR="00726F1B" w:rsidRPr="00B23FBB" w:rsidRDefault="00726F1B" w:rsidP="00726F1B">
      <w:pPr>
        <w:rPr>
          <w:rFonts w:cs="Times New Roman"/>
          <w:sz w:val="24"/>
          <w:szCs w:val="24"/>
        </w:rPr>
      </w:pPr>
    </w:p>
    <w:p w:rsidR="00B43E3C" w:rsidRPr="00B23FBB" w:rsidRDefault="00026984" w:rsidP="00726F1B">
      <w:pPr>
        <w:jc w:val="center"/>
        <w:rPr>
          <w:b/>
          <w:sz w:val="24"/>
          <w:szCs w:val="24"/>
        </w:rPr>
      </w:pPr>
      <w:r>
        <w:rPr>
          <w:b/>
          <w:noProof/>
          <w:sz w:val="24"/>
          <w:szCs w:val="24"/>
          <w:lang w:val="en-GB" w:eastAsia="en-GB"/>
        </w:rPr>
        <w:lastRenderedPageBreak/>
        <w:drawing>
          <wp:inline distT="0" distB="0" distL="0" distR="0">
            <wp:extent cx="4096234" cy="3705308"/>
            <wp:effectExtent l="0" t="0" r="0" b="0"/>
            <wp:docPr id="1" name="Picture 1" descr="D:\Wannes\UGent Data\3 POSTDOC LEEDS\Publication\submitted\Hubau et al. (in prep)\13 manuscript draft for submission3\Hubau_ED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annes\UGent Data\3 POSTDOC LEEDS\Publication\submitted\Hubau et al. (in prep)\13 manuscript draft for submission3\Hubau_EDfig4.jpg"/>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4099552" cy="3708309"/>
                    </a:xfrm>
                    <a:prstGeom prst="rect">
                      <a:avLst/>
                    </a:prstGeom>
                    <a:noFill/>
                    <a:ln>
                      <a:noFill/>
                    </a:ln>
                    <a:extLst>
                      <a:ext uri="{53640926-AAD7-44D8-BBD7-CCE9431645EC}">
                        <a14:shadowObscured xmlns:a14="http://schemas.microsoft.com/office/drawing/2010/main"/>
                      </a:ext>
                    </a:extLst>
                  </pic:spPr>
                </pic:pic>
              </a:graphicData>
            </a:graphic>
          </wp:inline>
        </w:drawing>
      </w:r>
    </w:p>
    <w:p w:rsidR="00B43E3C" w:rsidRDefault="00B43E3C" w:rsidP="00726F1B">
      <w:pPr>
        <w:rPr>
          <w:sz w:val="24"/>
          <w:szCs w:val="24"/>
        </w:rPr>
      </w:pPr>
      <w:r w:rsidRPr="00B23FBB">
        <w:rPr>
          <w:b/>
          <w:sz w:val="24"/>
          <w:szCs w:val="24"/>
        </w:rPr>
        <w:t xml:space="preserve">Extended </w:t>
      </w:r>
      <w:r>
        <w:rPr>
          <w:b/>
          <w:sz w:val="24"/>
          <w:szCs w:val="24"/>
        </w:rPr>
        <w:t xml:space="preserve">Data Figure 4. Potential forest </w:t>
      </w:r>
      <w:r w:rsidRPr="00B23FBB">
        <w:rPr>
          <w:b/>
          <w:sz w:val="24"/>
          <w:szCs w:val="24"/>
        </w:rPr>
        <w:t>dynamics-related drivers of carbon gains and losses in structurally intact African and Amazonian tropical forest</w:t>
      </w:r>
      <w:r>
        <w:rPr>
          <w:b/>
          <w:sz w:val="24"/>
          <w:szCs w:val="24"/>
        </w:rPr>
        <w:t xml:space="preserve"> inventory plots</w:t>
      </w:r>
      <w:r w:rsidRPr="00B23FBB">
        <w:rPr>
          <w:b/>
          <w:sz w:val="24"/>
          <w:szCs w:val="24"/>
        </w:rPr>
        <w:t>.</w:t>
      </w:r>
      <w:r w:rsidRPr="00B23FBB">
        <w:rPr>
          <w:sz w:val="24"/>
          <w:szCs w:val="24"/>
        </w:rPr>
        <w:t xml:space="preserve"> The aboveground carbo</w:t>
      </w:r>
      <w:r>
        <w:rPr>
          <w:sz w:val="24"/>
          <w:szCs w:val="24"/>
        </w:rPr>
        <w:t>n gains, from woody production</w:t>
      </w:r>
      <w:r w:rsidRPr="00B23FBB">
        <w:rPr>
          <w:sz w:val="24"/>
          <w:szCs w:val="24"/>
        </w:rPr>
        <w:t xml:space="preserve"> (</w:t>
      </w:r>
      <w:r w:rsidRPr="00B23FBB">
        <w:rPr>
          <w:b/>
          <w:sz w:val="24"/>
          <w:szCs w:val="24"/>
        </w:rPr>
        <w:t>a-b</w:t>
      </w:r>
      <w:r w:rsidRPr="00B23FBB">
        <w:rPr>
          <w:rFonts w:cs="Times New Roman"/>
          <w:bCs/>
          <w:sz w:val="24"/>
          <w:szCs w:val="24"/>
        </w:rPr>
        <w:t>)</w:t>
      </w:r>
      <w:r w:rsidRPr="00B23FBB">
        <w:rPr>
          <w:sz w:val="24"/>
          <w:szCs w:val="24"/>
        </w:rPr>
        <w:t xml:space="preserve">, and aboveground carbon losses, from </w:t>
      </w:r>
      <w:r>
        <w:rPr>
          <w:sz w:val="24"/>
          <w:szCs w:val="24"/>
        </w:rPr>
        <w:t xml:space="preserve">tree </w:t>
      </w:r>
      <w:r w:rsidRPr="00B23FBB">
        <w:rPr>
          <w:sz w:val="24"/>
          <w:szCs w:val="24"/>
        </w:rPr>
        <w:t>mortality (</w:t>
      </w:r>
      <w:r w:rsidRPr="00B23FBB">
        <w:rPr>
          <w:b/>
          <w:sz w:val="24"/>
          <w:szCs w:val="24"/>
        </w:rPr>
        <w:t>c-d</w:t>
      </w:r>
      <w:r w:rsidRPr="00B23FBB">
        <w:rPr>
          <w:rFonts w:cs="Times New Roman"/>
          <w:bCs/>
          <w:sz w:val="24"/>
          <w:szCs w:val="24"/>
        </w:rPr>
        <w:t>)</w:t>
      </w:r>
      <w:r w:rsidRPr="00B23FBB">
        <w:rPr>
          <w:sz w:val="24"/>
          <w:szCs w:val="24"/>
        </w:rPr>
        <w:t xml:space="preserve">, are plotted against the carbon residence time (CRT), and wood density (WD), for African (blue) and Amazonian (brown) inventory plots. Linear mixed effect models were performed with census intervals (n=1566) nested within plots (n=565) to avoid pseudo-replication, using an empirically derived weighting based on interval length and plot area (see methods). Significant regression lines for the complete dataset are shown as a solid line; non-significant regressions as a dashed line. </w:t>
      </w:r>
      <w:r w:rsidRPr="00B23FBB">
        <w:rPr>
          <w:rFonts w:cs="Times New Roman"/>
          <w:sz w:val="24"/>
          <w:szCs w:val="24"/>
        </w:rPr>
        <w:t xml:space="preserve">Each dot represents a time-weighted </w:t>
      </w:r>
      <w:r>
        <w:rPr>
          <w:rFonts w:cs="Times New Roman"/>
          <w:sz w:val="24"/>
          <w:szCs w:val="24"/>
        </w:rPr>
        <w:t>mean</w:t>
      </w:r>
      <w:r w:rsidRPr="00B23FBB">
        <w:rPr>
          <w:rFonts w:cs="Times New Roman"/>
          <w:sz w:val="24"/>
          <w:szCs w:val="24"/>
        </w:rPr>
        <w:t xml:space="preserve"> plot-level value; transparency of the inner part of the dot represents total monitoring length, with empty circles corresponding to plots monitored for ≤ 5 years and solid </w:t>
      </w:r>
      <w:r>
        <w:rPr>
          <w:rFonts w:cs="Times New Roman"/>
          <w:sz w:val="24"/>
          <w:szCs w:val="24"/>
        </w:rPr>
        <w:t xml:space="preserve">circles </w:t>
      </w:r>
      <w:r w:rsidRPr="00B23FBB">
        <w:rPr>
          <w:rFonts w:cs="Times New Roman"/>
          <w:sz w:val="24"/>
          <w:szCs w:val="24"/>
        </w:rPr>
        <w:t xml:space="preserve">for plots monitored for &gt;20 years. </w:t>
      </w:r>
      <w:r w:rsidRPr="00B23FBB">
        <w:rPr>
          <w:sz w:val="24"/>
          <w:szCs w:val="24"/>
        </w:rPr>
        <w:t xml:space="preserve">Carbon loss data are presented untransformed </w:t>
      </w:r>
      <w:r>
        <w:rPr>
          <w:sz w:val="24"/>
          <w:szCs w:val="24"/>
        </w:rPr>
        <w:t>for comparison with carbon gains</w:t>
      </w:r>
      <w:r w:rsidRPr="00B23FBB">
        <w:rPr>
          <w:sz w:val="24"/>
          <w:szCs w:val="24"/>
        </w:rPr>
        <w:t xml:space="preserve">; linear mixed effects models on transformed data to fit normality assumptions do not change the </w:t>
      </w:r>
      <w:r>
        <w:rPr>
          <w:sz w:val="24"/>
          <w:szCs w:val="24"/>
        </w:rPr>
        <w:t xml:space="preserve">significance of the results. Note, </w:t>
      </w:r>
      <w:r w:rsidRPr="00B23FBB">
        <w:rPr>
          <w:rFonts w:cs="Times New Roman"/>
          <w:sz w:val="24"/>
          <w:szCs w:val="24"/>
        </w:rPr>
        <w:t>CRT is calculated differently</w:t>
      </w:r>
      <w:r w:rsidRPr="008A1575">
        <w:rPr>
          <w:sz w:val="24"/>
          <w:szCs w:val="24"/>
        </w:rPr>
        <w:t xml:space="preserve"> </w:t>
      </w:r>
      <w:r>
        <w:rPr>
          <w:sz w:val="24"/>
          <w:szCs w:val="24"/>
        </w:rPr>
        <w:t>f</w:t>
      </w:r>
      <w:r w:rsidRPr="00B23FBB">
        <w:rPr>
          <w:sz w:val="24"/>
          <w:szCs w:val="24"/>
        </w:rPr>
        <w:t>or the carbon gains and losses models</w:t>
      </w:r>
      <w:r>
        <w:rPr>
          <w:sz w:val="24"/>
          <w:szCs w:val="24"/>
        </w:rPr>
        <w:t xml:space="preserve"> (</w:t>
      </w:r>
      <w:r w:rsidRPr="00B23FBB">
        <w:rPr>
          <w:rFonts w:cs="Times New Roman"/>
          <w:sz w:val="24"/>
          <w:szCs w:val="24"/>
        </w:rPr>
        <w:t>see methods</w:t>
      </w:r>
      <w:r>
        <w:rPr>
          <w:rFonts w:cs="Times New Roman"/>
          <w:sz w:val="24"/>
          <w:szCs w:val="24"/>
        </w:rPr>
        <w:t>)</w:t>
      </w:r>
      <w:r w:rsidRPr="00B23FBB">
        <w:rPr>
          <w:rFonts w:eastAsia="Times New Roman" w:cs="Times New Roman"/>
          <w:sz w:val="24"/>
          <w:szCs w:val="24"/>
          <w:lang w:eastAsia="nl-BE"/>
        </w:rPr>
        <w:t>.</w:t>
      </w:r>
    </w:p>
    <w:p w:rsidR="00B43E3C" w:rsidRDefault="00317384" w:rsidP="00726F1B">
      <w:pPr>
        <w:rPr>
          <w:sz w:val="24"/>
          <w:szCs w:val="24"/>
        </w:rPr>
      </w:pPr>
      <w:r>
        <w:rPr>
          <w:noProof/>
          <w:sz w:val="24"/>
          <w:szCs w:val="24"/>
          <w:lang w:val="en-GB" w:eastAsia="en-GB"/>
        </w:rPr>
        <w:lastRenderedPageBreak/>
        <w:drawing>
          <wp:inline distT="0" distB="0" distL="0" distR="0">
            <wp:extent cx="6120000" cy="3621000"/>
            <wp:effectExtent l="0" t="0" r="0" b="0"/>
            <wp:docPr id="5" name="Picture 5" descr="D:\Wannes\UGent Data\3 POSTDOC LEEDS\Publication\submitted\Hubau et al. (in prep)\13 manuscript draft for submission3\Hubau_ED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annes\UGent Data\3 POSTDOC LEEDS\Publication\submitted\Hubau et al. (in prep)\13 manuscript draft for submission3\Hubau_EDfig5.jpg"/>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6120000" cy="3621000"/>
                    </a:xfrm>
                    <a:prstGeom prst="rect">
                      <a:avLst/>
                    </a:prstGeom>
                    <a:noFill/>
                    <a:ln>
                      <a:noFill/>
                    </a:ln>
                    <a:extLst>
                      <a:ext uri="{53640926-AAD7-44D8-BBD7-CCE9431645EC}">
                        <a14:shadowObscured xmlns:a14="http://schemas.microsoft.com/office/drawing/2010/main"/>
                      </a:ext>
                    </a:extLst>
                  </pic:spPr>
                </pic:pic>
              </a:graphicData>
            </a:graphic>
          </wp:inline>
        </w:drawing>
      </w:r>
    </w:p>
    <w:p w:rsidR="00B43E3C" w:rsidRDefault="00B43E3C" w:rsidP="00726F1B">
      <w:pPr>
        <w:rPr>
          <w:noProof/>
          <w:sz w:val="24"/>
          <w:szCs w:val="24"/>
          <w:lang w:eastAsia="nl-BE"/>
        </w:rPr>
      </w:pPr>
      <w:r w:rsidRPr="00B23FBB">
        <w:rPr>
          <w:b/>
          <w:noProof/>
          <w:sz w:val="24"/>
          <w:szCs w:val="24"/>
        </w:rPr>
        <w:t xml:space="preserve">Extended Data Figure 5. Trends in predictor variables used to estimate long-term trends in above-ground carbon gains, carbon losses and the resulting net carbon sink in African and Amazonian </w:t>
      </w:r>
      <w:r>
        <w:rPr>
          <w:b/>
          <w:noProof/>
          <w:sz w:val="24"/>
          <w:szCs w:val="24"/>
        </w:rPr>
        <w:t xml:space="preserve">intact </w:t>
      </w:r>
      <w:r w:rsidRPr="00B23FBB">
        <w:rPr>
          <w:b/>
          <w:noProof/>
          <w:sz w:val="24"/>
          <w:szCs w:val="24"/>
        </w:rPr>
        <w:t xml:space="preserve">tropical forest plot networks. </w:t>
      </w:r>
      <w:r>
        <w:rPr>
          <w:noProof/>
          <w:sz w:val="24"/>
          <w:szCs w:val="24"/>
        </w:rPr>
        <w:t xml:space="preserve">Mean annual </w:t>
      </w:r>
      <w:r w:rsidRPr="00B23FBB">
        <w:rPr>
          <w:noProof/>
          <w:sz w:val="24"/>
          <w:szCs w:val="24"/>
        </w:rPr>
        <w:t>CO</w:t>
      </w:r>
      <w:r w:rsidRPr="00B23FBB">
        <w:rPr>
          <w:noProof/>
          <w:sz w:val="24"/>
          <w:szCs w:val="24"/>
          <w:vertAlign w:val="subscript"/>
        </w:rPr>
        <w:t>2</w:t>
      </w:r>
      <w:r w:rsidRPr="00B23FBB">
        <w:rPr>
          <w:noProof/>
          <w:sz w:val="24"/>
          <w:szCs w:val="24"/>
        </w:rPr>
        <w:t>-change</w:t>
      </w:r>
      <w:r>
        <w:rPr>
          <w:noProof/>
          <w:sz w:val="24"/>
          <w:szCs w:val="24"/>
        </w:rPr>
        <w:t xml:space="preserve"> (</w:t>
      </w:r>
      <w:r>
        <w:rPr>
          <w:b/>
          <w:noProof/>
          <w:sz w:val="24"/>
          <w:szCs w:val="24"/>
        </w:rPr>
        <w:t>a</w:t>
      </w:r>
      <w:r>
        <w:rPr>
          <w:noProof/>
          <w:sz w:val="24"/>
          <w:szCs w:val="24"/>
        </w:rPr>
        <w:t>)</w:t>
      </w:r>
      <w:r w:rsidRPr="00B23FBB">
        <w:rPr>
          <w:noProof/>
          <w:sz w:val="24"/>
          <w:szCs w:val="24"/>
        </w:rPr>
        <w:t>, MAT</w:t>
      </w:r>
      <w:r>
        <w:rPr>
          <w:noProof/>
          <w:sz w:val="24"/>
          <w:szCs w:val="24"/>
        </w:rPr>
        <w:t xml:space="preserve"> (</w:t>
      </w:r>
      <w:r>
        <w:rPr>
          <w:b/>
          <w:noProof/>
          <w:sz w:val="24"/>
          <w:szCs w:val="24"/>
        </w:rPr>
        <w:t>b</w:t>
      </w:r>
      <w:r>
        <w:rPr>
          <w:noProof/>
          <w:sz w:val="24"/>
          <w:szCs w:val="24"/>
        </w:rPr>
        <w:t>)</w:t>
      </w:r>
      <w:r w:rsidRPr="00B23FBB">
        <w:rPr>
          <w:noProof/>
          <w:sz w:val="24"/>
          <w:szCs w:val="24"/>
        </w:rPr>
        <w:t>, MAT-change</w:t>
      </w:r>
      <w:r>
        <w:rPr>
          <w:noProof/>
          <w:sz w:val="24"/>
          <w:szCs w:val="24"/>
        </w:rPr>
        <w:t xml:space="preserve"> (</w:t>
      </w:r>
      <w:r>
        <w:rPr>
          <w:b/>
          <w:noProof/>
          <w:sz w:val="24"/>
          <w:szCs w:val="24"/>
        </w:rPr>
        <w:t>c</w:t>
      </w:r>
      <w:r>
        <w:rPr>
          <w:noProof/>
          <w:sz w:val="24"/>
          <w:szCs w:val="24"/>
        </w:rPr>
        <w:t>)</w:t>
      </w:r>
      <w:r w:rsidRPr="00B23FBB">
        <w:rPr>
          <w:noProof/>
          <w:sz w:val="24"/>
          <w:szCs w:val="24"/>
        </w:rPr>
        <w:t>, MCWD</w:t>
      </w:r>
      <w:r>
        <w:rPr>
          <w:noProof/>
          <w:sz w:val="24"/>
          <w:szCs w:val="24"/>
        </w:rPr>
        <w:t xml:space="preserve"> (</w:t>
      </w:r>
      <w:r>
        <w:rPr>
          <w:b/>
          <w:noProof/>
          <w:sz w:val="24"/>
          <w:szCs w:val="24"/>
        </w:rPr>
        <w:t>d</w:t>
      </w:r>
      <w:r w:rsidRPr="00B23FBB">
        <w:rPr>
          <w:noProof/>
          <w:sz w:val="24"/>
          <w:szCs w:val="24"/>
        </w:rPr>
        <w:t>),</w:t>
      </w:r>
      <w:r>
        <w:rPr>
          <w:noProof/>
          <w:sz w:val="24"/>
          <w:szCs w:val="24"/>
        </w:rPr>
        <w:t xml:space="preserve"> </w:t>
      </w:r>
      <w:r w:rsidRPr="00B23FBB">
        <w:rPr>
          <w:noProof/>
          <w:sz w:val="24"/>
          <w:szCs w:val="24"/>
        </w:rPr>
        <w:t>CRT</w:t>
      </w:r>
      <w:r>
        <w:rPr>
          <w:noProof/>
          <w:sz w:val="24"/>
          <w:szCs w:val="24"/>
        </w:rPr>
        <w:t xml:space="preserve"> (</w:t>
      </w:r>
      <w:r w:rsidRPr="004074CD">
        <w:rPr>
          <w:b/>
          <w:noProof/>
          <w:sz w:val="24"/>
          <w:szCs w:val="24"/>
        </w:rPr>
        <w:t>e</w:t>
      </w:r>
      <w:r>
        <w:rPr>
          <w:noProof/>
          <w:sz w:val="24"/>
          <w:szCs w:val="24"/>
        </w:rPr>
        <w:t>), and WD (</w:t>
      </w:r>
      <w:r w:rsidRPr="004074CD">
        <w:rPr>
          <w:b/>
          <w:noProof/>
          <w:sz w:val="24"/>
          <w:szCs w:val="24"/>
        </w:rPr>
        <w:t>f</w:t>
      </w:r>
      <w:r>
        <w:rPr>
          <w:noProof/>
          <w:sz w:val="24"/>
          <w:szCs w:val="24"/>
        </w:rPr>
        <w:t>) for African plot locations in blue, and corresponding Amazon plots locations in brown (</w:t>
      </w:r>
      <w:r w:rsidRPr="004074CD">
        <w:rPr>
          <w:b/>
          <w:noProof/>
          <w:sz w:val="24"/>
          <w:szCs w:val="24"/>
        </w:rPr>
        <w:t>g-l</w:t>
      </w:r>
      <w:r>
        <w:rPr>
          <w:noProof/>
          <w:sz w:val="24"/>
          <w:szCs w:val="24"/>
        </w:rPr>
        <w:t xml:space="preserve">). Solid lines for </w:t>
      </w:r>
      <w:r w:rsidRPr="00B23FBB">
        <w:rPr>
          <w:noProof/>
          <w:sz w:val="24"/>
          <w:szCs w:val="24"/>
        </w:rPr>
        <w:t>CO</w:t>
      </w:r>
      <w:r w:rsidRPr="00B23FBB">
        <w:rPr>
          <w:noProof/>
          <w:sz w:val="24"/>
          <w:szCs w:val="24"/>
          <w:vertAlign w:val="subscript"/>
        </w:rPr>
        <w:t>2</w:t>
      </w:r>
      <w:r w:rsidRPr="00B23FBB">
        <w:rPr>
          <w:noProof/>
          <w:sz w:val="24"/>
          <w:szCs w:val="24"/>
        </w:rPr>
        <w:t>-change, MAT, MAT-change, MCWD</w:t>
      </w:r>
      <w:r>
        <w:rPr>
          <w:noProof/>
          <w:sz w:val="24"/>
          <w:szCs w:val="24"/>
        </w:rPr>
        <w:t xml:space="preserve"> represent obervational data, and solid lines for </w:t>
      </w:r>
      <w:r w:rsidRPr="00B23FBB">
        <w:rPr>
          <w:noProof/>
          <w:sz w:val="24"/>
          <w:szCs w:val="24"/>
        </w:rPr>
        <w:t>CRT</w:t>
      </w:r>
      <w:r>
        <w:rPr>
          <w:noProof/>
          <w:sz w:val="24"/>
          <w:szCs w:val="24"/>
        </w:rPr>
        <w:t xml:space="preserve"> and WD represent plot means and a </w:t>
      </w:r>
      <w:r>
        <w:rPr>
          <w:noProof/>
          <w:sz w:val="24"/>
          <w:szCs w:val="24"/>
          <w:lang w:eastAsia="nl-BE"/>
        </w:rPr>
        <w:t>time window where &gt;</w:t>
      </w:r>
      <w:r w:rsidRPr="00423584">
        <w:rPr>
          <w:noProof/>
          <w:sz w:val="24"/>
          <w:szCs w:val="24"/>
          <w:lang w:eastAsia="nl-BE"/>
        </w:rPr>
        <w:t xml:space="preserve">75% of </w:t>
      </w:r>
      <w:r>
        <w:rPr>
          <w:noProof/>
          <w:sz w:val="24"/>
          <w:szCs w:val="24"/>
          <w:lang w:eastAsia="nl-BE"/>
        </w:rPr>
        <w:t xml:space="preserve">the </w:t>
      </w:r>
      <w:r w:rsidRPr="00423584">
        <w:rPr>
          <w:noProof/>
          <w:sz w:val="24"/>
          <w:szCs w:val="24"/>
          <w:lang w:eastAsia="nl-BE"/>
        </w:rPr>
        <w:t>plots were monitored</w:t>
      </w:r>
      <w:r>
        <w:rPr>
          <w:noProof/>
          <w:sz w:val="24"/>
          <w:szCs w:val="24"/>
          <w:lang w:eastAsia="nl-BE"/>
        </w:rPr>
        <w:t xml:space="preserve">, long-dashed lines are plot means were &lt;75% of plots were monitored. </w:t>
      </w:r>
      <w:r w:rsidRPr="00B23FBB">
        <w:rPr>
          <w:noProof/>
          <w:sz w:val="24"/>
          <w:szCs w:val="24"/>
        </w:rPr>
        <w:t xml:space="preserve">Dotted lines are future values </w:t>
      </w:r>
      <w:r>
        <w:rPr>
          <w:noProof/>
          <w:sz w:val="24"/>
          <w:szCs w:val="24"/>
        </w:rPr>
        <w:t>estimated from linear trends on the 1983-2014 (Africa) or 1983-2011 (Amazon) data (slope and p-value reported in each panel), see methods for details</w:t>
      </w:r>
      <w:r w:rsidRPr="00B23FBB">
        <w:rPr>
          <w:noProof/>
          <w:sz w:val="24"/>
          <w:szCs w:val="24"/>
        </w:rPr>
        <w:t>.</w:t>
      </w:r>
      <w:r>
        <w:rPr>
          <w:noProof/>
          <w:sz w:val="24"/>
          <w:szCs w:val="24"/>
        </w:rPr>
        <w:t xml:space="preserve"> </w:t>
      </w:r>
      <w:r>
        <w:rPr>
          <w:rFonts w:cs="Times New Roman"/>
          <w:sz w:val="24"/>
          <w:szCs w:val="24"/>
          <w:lang w:val="en-GB"/>
        </w:rPr>
        <w:t>U</w:t>
      </w:r>
      <w:r w:rsidRPr="0076420C">
        <w:rPr>
          <w:rFonts w:cs="Times New Roman"/>
          <w:sz w:val="24"/>
          <w:szCs w:val="24"/>
          <w:lang w:val="en-GB"/>
        </w:rPr>
        <w:t>pper and lower confidence intervals</w:t>
      </w:r>
      <w:r>
        <w:rPr>
          <w:rFonts w:cs="Times New Roman"/>
          <w:sz w:val="24"/>
          <w:szCs w:val="24"/>
          <w:lang w:val="en-GB"/>
        </w:rPr>
        <w:t xml:space="preserve"> </w:t>
      </w:r>
      <w:r w:rsidRPr="0076420C">
        <w:rPr>
          <w:rFonts w:cs="Times New Roman"/>
          <w:sz w:val="24"/>
          <w:szCs w:val="24"/>
          <w:lang w:val="en-GB"/>
        </w:rPr>
        <w:t>(shaded area</w:t>
      </w:r>
      <w:r>
        <w:rPr>
          <w:rFonts w:cs="Times New Roman"/>
          <w:sz w:val="24"/>
          <w:szCs w:val="24"/>
          <w:lang w:val="en-GB"/>
        </w:rPr>
        <w:t>) for the past (</w:t>
      </w:r>
      <w:r>
        <w:rPr>
          <w:noProof/>
          <w:sz w:val="24"/>
          <w:szCs w:val="24"/>
        </w:rPr>
        <w:t xml:space="preserve">Africa: 1983-2014; Amazonia: 1983-2011) </w:t>
      </w:r>
      <w:r>
        <w:rPr>
          <w:rFonts w:cs="Times New Roman"/>
          <w:sz w:val="24"/>
          <w:szCs w:val="24"/>
          <w:lang w:val="en-GB"/>
        </w:rPr>
        <w:t>are calculated by</w:t>
      </w:r>
      <w:r w:rsidRPr="0076420C">
        <w:rPr>
          <w:rFonts w:cs="Times New Roman"/>
          <w:sz w:val="24"/>
          <w:szCs w:val="24"/>
          <w:lang w:val="en-GB"/>
        </w:rPr>
        <w:t xml:space="preserve"> respectively adding and subtracting 2σ t</w:t>
      </w:r>
      <w:r>
        <w:rPr>
          <w:rFonts w:cs="Times New Roman"/>
          <w:sz w:val="24"/>
          <w:szCs w:val="24"/>
          <w:lang w:val="en-GB"/>
        </w:rPr>
        <w:t xml:space="preserve">o the mean of each annual value. </w:t>
      </w:r>
      <w:r>
        <w:rPr>
          <w:noProof/>
          <w:sz w:val="24"/>
          <w:szCs w:val="24"/>
          <w:lang w:eastAsia="nl-BE"/>
        </w:rPr>
        <w:t xml:space="preserve">Upper and lower confidence intervals for the </w:t>
      </w:r>
      <w:r>
        <w:rPr>
          <w:rFonts w:cs="Times New Roman"/>
          <w:sz w:val="24"/>
          <w:szCs w:val="24"/>
          <w:lang w:val="en-GB"/>
        </w:rPr>
        <w:t>future were</w:t>
      </w:r>
      <w:r w:rsidRPr="0076420C">
        <w:rPr>
          <w:rFonts w:cs="Times New Roman"/>
          <w:sz w:val="24"/>
          <w:szCs w:val="24"/>
          <w:lang w:val="en-GB"/>
        </w:rPr>
        <w:t xml:space="preserve"> estimated by adding and subtracting 2σ from th</w:t>
      </w:r>
      <w:r>
        <w:rPr>
          <w:rFonts w:cs="Times New Roman"/>
          <w:sz w:val="24"/>
          <w:szCs w:val="24"/>
          <w:lang w:val="en-GB"/>
        </w:rPr>
        <w:t>e slope of the regression model</w:t>
      </w:r>
      <w:r>
        <w:rPr>
          <w:color w:val="000000" w:themeColor="text1"/>
        </w:rPr>
        <w:t>.</w:t>
      </w:r>
    </w:p>
    <w:p w:rsidR="00B43E3C" w:rsidRPr="00B23FBB" w:rsidRDefault="00317384" w:rsidP="00726F1B">
      <w:pPr>
        <w:jc w:val="center"/>
        <w:rPr>
          <w:rFonts w:cs="Times New Roman"/>
          <w:sz w:val="24"/>
          <w:szCs w:val="24"/>
        </w:rPr>
      </w:pPr>
      <w:r>
        <w:rPr>
          <w:rFonts w:cs="Times New Roman"/>
          <w:noProof/>
          <w:sz w:val="24"/>
          <w:szCs w:val="24"/>
          <w:lang w:val="en-GB" w:eastAsia="en-GB"/>
        </w:rPr>
        <w:lastRenderedPageBreak/>
        <w:drawing>
          <wp:inline distT="0" distB="0" distL="0" distR="0">
            <wp:extent cx="2295525" cy="2152650"/>
            <wp:effectExtent l="0" t="0" r="9525" b="0"/>
            <wp:docPr id="6" name="Picture 6" descr="D:\Wannes\UGent Data\3 POSTDOC LEEDS\Publication\submitted\Hubau et al. (in prep)\13 manuscript draft for submission3\Hubau_ED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annes\UGent Data\3 POSTDOC LEEDS\Publication\submitted\Hubau et al. (in prep)\13 manuscript draft for submission3\Hubau_EDfig6.jpg"/>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2295810" cy="2152917"/>
                    </a:xfrm>
                    <a:prstGeom prst="rect">
                      <a:avLst/>
                    </a:prstGeom>
                    <a:noFill/>
                    <a:ln>
                      <a:noFill/>
                    </a:ln>
                    <a:extLst>
                      <a:ext uri="{53640926-AAD7-44D8-BBD7-CCE9431645EC}">
                        <a14:shadowObscured xmlns:a14="http://schemas.microsoft.com/office/drawing/2010/main"/>
                      </a:ext>
                    </a:extLst>
                  </pic:spPr>
                </pic:pic>
              </a:graphicData>
            </a:graphic>
          </wp:inline>
        </w:drawing>
      </w:r>
    </w:p>
    <w:p w:rsidR="00B43E3C" w:rsidRPr="00B23FBB" w:rsidRDefault="00B43E3C" w:rsidP="00726F1B">
      <w:pPr>
        <w:rPr>
          <w:rFonts w:cs="Times New Roman"/>
          <w:sz w:val="24"/>
          <w:szCs w:val="24"/>
        </w:rPr>
      </w:pPr>
      <w:r w:rsidRPr="00B23FBB">
        <w:rPr>
          <w:rFonts w:cs="Times New Roman"/>
          <w:b/>
          <w:sz w:val="24"/>
          <w:szCs w:val="24"/>
        </w:rPr>
        <w:t xml:space="preserve">Extended Data Figure 6. The change in carbon losses versus carbon residence time (CRT) of </w:t>
      </w:r>
      <w:r>
        <w:rPr>
          <w:rFonts w:cs="Times New Roman"/>
          <w:b/>
          <w:sz w:val="24"/>
          <w:szCs w:val="24"/>
        </w:rPr>
        <w:t xml:space="preserve">inventory </w:t>
      </w:r>
      <w:r w:rsidRPr="00B23FBB">
        <w:rPr>
          <w:rFonts w:cs="Times New Roman"/>
          <w:b/>
          <w:sz w:val="24"/>
          <w:szCs w:val="24"/>
        </w:rPr>
        <w:t xml:space="preserve">plots in Africa and Amazonia. </w:t>
      </w:r>
      <w:r>
        <w:rPr>
          <w:rFonts w:cs="Times New Roman"/>
          <w:sz w:val="24"/>
          <w:szCs w:val="24"/>
        </w:rPr>
        <w:t>For plots with two census intervals, we calculated the change in carbon losses (∆losses, in Mg C ha</w:t>
      </w:r>
      <w:r w:rsidRPr="00042F72">
        <w:rPr>
          <w:rFonts w:cs="Times New Roman"/>
          <w:sz w:val="24"/>
          <w:szCs w:val="24"/>
          <w:vertAlign w:val="superscript"/>
        </w:rPr>
        <w:t>-1</w:t>
      </w:r>
      <w:r>
        <w:rPr>
          <w:rFonts w:cs="Times New Roman"/>
          <w:sz w:val="24"/>
          <w:szCs w:val="24"/>
        </w:rPr>
        <w:t xml:space="preserve"> yr</w:t>
      </w:r>
      <w:r w:rsidRPr="00042F72">
        <w:rPr>
          <w:rFonts w:cs="Times New Roman"/>
          <w:sz w:val="24"/>
          <w:szCs w:val="24"/>
          <w:vertAlign w:val="superscript"/>
        </w:rPr>
        <w:t>-1</w:t>
      </w:r>
      <w:r>
        <w:rPr>
          <w:rFonts w:cs="Times New Roman"/>
          <w:sz w:val="24"/>
          <w:szCs w:val="24"/>
        </w:rPr>
        <w:t xml:space="preserve"> yr</w:t>
      </w:r>
      <w:r w:rsidRPr="00042F72">
        <w:rPr>
          <w:rFonts w:cs="Times New Roman"/>
          <w:sz w:val="24"/>
          <w:szCs w:val="24"/>
          <w:vertAlign w:val="superscript"/>
        </w:rPr>
        <w:t>-1</w:t>
      </w:r>
      <w:r>
        <w:rPr>
          <w:rFonts w:cs="Times New Roman"/>
          <w:sz w:val="24"/>
          <w:szCs w:val="24"/>
        </w:rPr>
        <w:t>) as the carbon losses (Mg C ha</w:t>
      </w:r>
      <w:r w:rsidRPr="00042F72">
        <w:rPr>
          <w:rFonts w:cs="Times New Roman"/>
          <w:sz w:val="24"/>
          <w:szCs w:val="24"/>
          <w:vertAlign w:val="superscript"/>
        </w:rPr>
        <w:t>-1</w:t>
      </w:r>
      <w:r>
        <w:rPr>
          <w:rFonts w:cs="Times New Roman"/>
          <w:sz w:val="24"/>
          <w:szCs w:val="24"/>
        </w:rPr>
        <w:t xml:space="preserve"> yr</w:t>
      </w:r>
      <w:r w:rsidRPr="00042F72">
        <w:rPr>
          <w:rFonts w:cs="Times New Roman"/>
          <w:sz w:val="24"/>
          <w:szCs w:val="24"/>
          <w:vertAlign w:val="superscript"/>
        </w:rPr>
        <w:t>-1</w:t>
      </w:r>
      <w:r>
        <w:rPr>
          <w:rFonts w:cs="Times New Roman"/>
          <w:sz w:val="24"/>
          <w:szCs w:val="24"/>
        </w:rPr>
        <w:t>) of the second interval minus the carbon losses of the first interval, divided by the difference in mid-interval dates. For plots with more than two intervals, we calculated the change in carbon losses for each pair of subsequent intervals, then calculated the plot-level mean over all pairs, weighted by the time length between mid-interval dates. This analysis</w:t>
      </w:r>
      <w:r w:rsidRPr="00B23FBB">
        <w:rPr>
          <w:rFonts w:cs="Times New Roman"/>
          <w:sz w:val="24"/>
          <w:szCs w:val="24"/>
        </w:rPr>
        <w:t xml:space="preserve"> include</w:t>
      </w:r>
      <w:r>
        <w:rPr>
          <w:rFonts w:cs="Times New Roman"/>
          <w:sz w:val="24"/>
          <w:szCs w:val="24"/>
        </w:rPr>
        <w:t>s</w:t>
      </w:r>
      <w:r w:rsidRPr="00B23FBB">
        <w:rPr>
          <w:rFonts w:cs="Times New Roman"/>
          <w:sz w:val="24"/>
          <w:szCs w:val="24"/>
        </w:rPr>
        <w:t xml:space="preserve"> only plots </w:t>
      </w:r>
      <w:r>
        <w:rPr>
          <w:rFonts w:cs="Times New Roman"/>
          <w:sz w:val="24"/>
          <w:szCs w:val="24"/>
        </w:rPr>
        <w:t xml:space="preserve">with at least two census intervals and </w:t>
      </w:r>
      <w:r w:rsidRPr="00B23FBB">
        <w:rPr>
          <w:rFonts w:cs="Times New Roman"/>
          <w:sz w:val="24"/>
          <w:szCs w:val="24"/>
        </w:rPr>
        <w:t xml:space="preserve">monitored for </w:t>
      </w:r>
      <w:r>
        <w:rPr>
          <w:rFonts w:cs="Times New Roman"/>
          <w:sz w:val="24"/>
          <w:szCs w:val="24"/>
        </w:rPr>
        <w:t>≥</w:t>
      </w:r>
      <w:r w:rsidRPr="00B23FBB">
        <w:rPr>
          <w:rFonts w:cs="Times New Roman"/>
          <w:sz w:val="24"/>
          <w:szCs w:val="24"/>
        </w:rPr>
        <w:t xml:space="preserve">20 years (i.e. roughly one-third of the mean CRT of the pooled African and Amazon dataset; n = 116). Breakpoint regression was used to assess the CRT length below which forest carbon losses begin to increase. Plots with CRT &lt;77 years show a </w:t>
      </w:r>
      <w:r>
        <w:rPr>
          <w:rFonts w:cs="Times New Roman"/>
          <w:sz w:val="24"/>
          <w:szCs w:val="24"/>
        </w:rPr>
        <w:t xml:space="preserve">recent </w:t>
      </w:r>
      <w:r w:rsidRPr="00B23FBB">
        <w:rPr>
          <w:rFonts w:cs="Times New Roman"/>
          <w:sz w:val="24"/>
          <w:szCs w:val="24"/>
        </w:rPr>
        <w:t>long-term increase in carbon losses</w:t>
      </w:r>
      <w:r>
        <w:rPr>
          <w:rFonts w:cs="Times New Roman"/>
          <w:sz w:val="24"/>
          <w:szCs w:val="24"/>
        </w:rPr>
        <w:t>, longer CRT plots do not</w:t>
      </w:r>
      <w:r w:rsidRPr="00B23FBB">
        <w:rPr>
          <w:rFonts w:cs="Times New Roman"/>
          <w:sz w:val="24"/>
          <w:szCs w:val="24"/>
        </w:rPr>
        <w:t xml:space="preserve">. Blue </w:t>
      </w:r>
      <w:r>
        <w:rPr>
          <w:rFonts w:cs="Times New Roman"/>
          <w:sz w:val="24"/>
          <w:szCs w:val="24"/>
        </w:rPr>
        <w:t xml:space="preserve">points </w:t>
      </w:r>
      <w:r w:rsidRPr="00B23FBB">
        <w:rPr>
          <w:rFonts w:cs="Times New Roman"/>
          <w:sz w:val="24"/>
          <w:szCs w:val="24"/>
        </w:rPr>
        <w:t xml:space="preserve">are African plots, brown </w:t>
      </w:r>
      <w:r>
        <w:rPr>
          <w:rFonts w:cs="Times New Roman"/>
          <w:sz w:val="24"/>
          <w:szCs w:val="24"/>
        </w:rPr>
        <w:t xml:space="preserve">points </w:t>
      </w:r>
      <w:r w:rsidRPr="00B23FBB">
        <w:rPr>
          <w:rFonts w:cs="Times New Roman"/>
          <w:sz w:val="24"/>
          <w:szCs w:val="24"/>
        </w:rPr>
        <w:t xml:space="preserve">are Amazonian plots. </w:t>
      </w:r>
    </w:p>
    <w:p w:rsidR="00B43E3C" w:rsidRPr="00B23FBB" w:rsidRDefault="00317384" w:rsidP="00726F1B">
      <w:pPr>
        <w:jc w:val="center"/>
        <w:rPr>
          <w:rFonts w:cs="Times New Roman"/>
          <w:sz w:val="24"/>
          <w:szCs w:val="24"/>
        </w:rPr>
      </w:pPr>
      <w:r>
        <w:rPr>
          <w:rFonts w:cs="Times New Roman"/>
          <w:noProof/>
          <w:sz w:val="24"/>
          <w:szCs w:val="24"/>
          <w:lang w:val="en-GB" w:eastAsia="en-GB"/>
        </w:rPr>
        <w:lastRenderedPageBreak/>
        <w:drawing>
          <wp:inline distT="0" distB="0" distL="0" distR="0">
            <wp:extent cx="5162550" cy="4410075"/>
            <wp:effectExtent l="0" t="0" r="0" b="0"/>
            <wp:docPr id="7" name="Picture 7" descr="D:\Wannes\UGent Data\3 POSTDOC LEEDS\Publication\submitted\Hubau et al. (in prep)\13 manuscript draft for submission3\Hubau_ED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annes\UGent Data\3 POSTDOC LEEDS\Publication\submitted\Hubau et al. (in prep)\13 manuscript draft for submission3\Hubau_EDfig7.jpg"/>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5163191" cy="4410622"/>
                    </a:xfrm>
                    <a:prstGeom prst="rect">
                      <a:avLst/>
                    </a:prstGeom>
                    <a:noFill/>
                    <a:ln>
                      <a:noFill/>
                    </a:ln>
                    <a:extLst>
                      <a:ext uri="{53640926-AAD7-44D8-BBD7-CCE9431645EC}">
                        <a14:shadowObscured xmlns:a14="http://schemas.microsoft.com/office/drawing/2010/main"/>
                      </a:ext>
                    </a:extLst>
                  </pic:spPr>
                </pic:pic>
              </a:graphicData>
            </a:graphic>
          </wp:inline>
        </w:drawing>
      </w:r>
    </w:p>
    <w:p w:rsidR="00B43E3C" w:rsidRDefault="00B43E3C" w:rsidP="00726F1B">
      <w:pPr>
        <w:rPr>
          <w:noProof/>
          <w:sz w:val="24"/>
          <w:szCs w:val="24"/>
          <w:lang w:eastAsia="nl-BE"/>
        </w:rPr>
      </w:pPr>
      <w:r w:rsidRPr="00B23FBB">
        <w:rPr>
          <w:rFonts w:cs="Times New Roman"/>
          <w:b/>
          <w:sz w:val="24"/>
          <w:szCs w:val="24"/>
        </w:rPr>
        <w:t xml:space="preserve">Extended Data Figure 7. Trends in African </w:t>
      </w:r>
      <w:r>
        <w:rPr>
          <w:rFonts w:cs="Times New Roman"/>
          <w:b/>
          <w:sz w:val="24"/>
          <w:szCs w:val="24"/>
        </w:rPr>
        <w:t xml:space="preserve">tropical </w:t>
      </w:r>
      <w:r w:rsidRPr="00B23FBB">
        <w:rPr>
          <w:rFonts w:cs="Times New Roman"/>
          <w:b/>
          <w:sz w:val="24"/>
          <w:szCs w:val="24"/>
        </w:rPr>
        <w:t>forest net aboveground live biomass carbon, carbon gains and carbon losses, calculated for the last 15 years of the twentieth century (left panels a-c) and the first 15 years of the twenty-first century (right panels d-f).</w:t>
      </w:r>
      <w:r w:rsidRPr="00B23FBB">
        <w:rPr>
          <w:rFonts w:cs="Times New Roman"/>
          <w:sz w:val="24"/>
          <w:szCs w:val="24"/>
        </w:rPr>
        <w:t xml:space="preserve"> Plots were selected from the full dataset if their census intervals cover at least 50% of the respective time windows</w:t>
      </w:r>
      <w:r>
        <w:rPr>
          <w:rFonts w:cs="Times New Roman"/>
          <w:sz w:val="24"/>
          <w:szCs w:val="24"/>
        </w:rPr>
        <w:t>, i.e. they are intensely monitored</w:t>
      </w:r>
      <w:r w:rsidRPr="00B23FBB">
        <w:rPr>
          <w:rFonts w:cs="Times New Roman"/>
          <w:sz w:val="24"/>
          <w:szCs w:val="24"/>
        </w:rPr>
        <w:t xml:space="preserve"> (</w:t>
      </w:r>
      <w:r w:rsidRPr="00B23FBB">
        <w:rPr>
          <w:rFonts w:cs="Times New Roman"/>
          <w:i/>
          <w:sz w:val="24"/>
          <w:szCs w:val="24"/>
        </w:rPr>
        <w:t>n</w:t>
      </w:r>
      <w:r w:rsidRPr="00B23FBB">
        <w:rPr>
          <w:rFonts w:cs="Times New Roman"/>
          <w:sz w:val="24"/>
          <w:szCs w:val="24"/>
        </w:rPr>
        <w:t xml:space="preserve">=56 plots for 1985-2000, and </w:t>
      </w:r>
      <w:r w:rsidRPr="00B23FBB">
        <w:rPr>
          <w:rFonts w:cs="Times New Roman"/>
          <w:i/>
          <w:sz w:val="24"/>
          <w:szCs w:val="24"/>
        </w:rPr>
        <w:t>n</w:t>
      </w:r>
      <w:r w:rsidRPr="00B23FBB">
        <w:rPr>
          <w:rFonts w:cs="Times New Roman"/>
          <w:sz w:val="24"/>
          <w:szCs w:val="24"/>
        </w:rPr>
        <w:t>=134 plots for 2000-2015, respectively</w:t>
      </w:r>
      <w:r>
        <w:rPr>
          <w:rFonts w:cs="Times New Roman"/>
          <w:sz w:val="24"/>
          <w:szCs w:val="24"/>
        </w:rPr>
        <w:t xml:space="preserve">). Solid lines show mean values, </w:t>
      </w:r>
      <w:r w:rsidRPr="00B23FBB">
        <w:rPr>
          <w:rFonts w:cs="Times New Roman"/>
          <w:sz w:val="24"/>
          <w:szCs w:val="24"/>
        </w:rPr>
        <w:t>shading corresponds to the 95% CI</w:t>
      </w:r>
      <w:r>
        <w:rPr>
          <w:rFonts w:cs="Times New Roman"/>
          <w:sz w:val="24"/>
          <w:szCs w:val="24"/>
        </w:rPr>
        <w:t xml:space="preserve">, as </w:t>
      </w:r>
      <w:r w:rsidRPr="00B23FBB">
        <w:rPr>
          <w:rFonts w:cs="Times New Roman"/>
          <w:sz w:val="24"/>
          <w:szCs w:val="24"/>
        </w:rPr>
        <w:t xml:space="preserve">calculated </w:t>
      </w:r>
      <w:r>
        <w:rPr>
          <w:rFonts w:cs="Times New Roman"/>
          <w:sz w:val="24"/>
          <w:szCs w:val="24"/>
        </w:rPr>
        <w:t>in Figure 1</w:t>
      </w:r>
      <w:r w:rsidRPr="00B23FBB">
        <w:rPr>
          <w:rFonts w:cs="Times New Roman"/>
          <w:sz w:val="24"/>
          <w:szCs w:val="24"/>
        </w:rPr>
        <w:t xml:space="preserve">. Dashed lines, </w:t>
      </w:r>
      <w:r w:rsidRPr="00B23FBB">
        <w:rPr>
          <w:sz w:val="24"/>
          <w:szCs w:val="24"/>
        </w:rPr>
        <w:t xml:space="preserve">slopes and p-values </w:t>
      </w:r>
      <w:r w:rsidRPr="00B23FBB">
        <w:rPr>
          <w:rFonts w:cs="Times New Roman"/>
          <w:sz w:val="24"/>
          <w:szCs w:val="24"/>
        </w:rPr>
        <w:t>are from linear mixed effects models</w:t>
      </w:r>
      <w:r>
        <w:rPr>
          <w:rFonts w:cs="Times New Roman"/>
          <w:sz w:val="24"/>
          <w:szCs w:val="24"/>
        </w:rPr>
        <w:t>, as in Figure 1</w:t>
      </w:r>
      <w:r w:rsidRPr="00B23FBB">
        <w:rPr>
          <w:rStyle w:val="CommentReference"/>
          <w:sz w:val="24"/>
          <w:szCs w:val="24"/>
        </w:rPr>
        <w:t xml:space="preserve">. </w:t>
      </w:r>
      <w:r>
        <w:rPr>
          <w:rStyle w:val="CommentReference"/>
          <w:sz w:val="24"/>
          <w:szCs w:val="24"/>
        </w:rPr>
        <w:t xml:space="preserve">The data shows a difference compared to Figure 1, notably the sink decline after ~2010 driven by rising carbon losses. This is because in Figure 1 we include all available plots over the 1983-2015 window, which includes clusters of plots monitored </w:t>
      </w:r>
      <w:r w:rsidRPr="00B262DD">
        <w:rPr>
          <w:rStyle w:val="CommentReference"/>
          <w:i/>
          <w:sz w:val="24"/>
          <w:szCs w:val="24"/>
        </w:rPr>
        <w:t xml:space="preserve">only </w:t>
      </w:r>
      <w:r>
        <w:rPr>
          <w:rStyle w:val="CommentReference"/>
          <w:sz w:val="24"/>
          <w:szCs w:val="24"/>
        </w:rPr>
        <w:t xml:space="preserve">in the 2010s that had low carbon loss and high carbon sink values. </w:t>
      </w:r>
    </w:p>
    <w:p w:rsidR="00B43E3C" w:rsidRPr="00B23FBB" w:rsidRDefault="00317384" w:rsidP="00726F1B">
      <w:pPr>
        <w:jc w:val="center"/>
        <w:rPr>
          <w:b/>
          <w:sz w:val="24"/>
          <w:szCs w:val="24"/>
        </w:rPr>
      </w:pPr>
      <w:r>
        <w:rPr>
          <w:b/>
          <w:noProof/>
          <w:sz w:val="24"/>
          <w:szCs w:val="24"/>
          <w:lang w:val="en-GB" w:eastAsia="en-GB"/>
        </w:rPr>
        <w:lastRenderedPageBreak/>
        <w:drawing>
          <wp:inline distT="0" distB="0" distL="0" distR="0">
            <wp:extent cx="5333999" cy="4010025"/>
            <wp:effectExtent l="0" t="0" r="635" b="0"/>
            <wp:docPr id="8" name="Picture 8" descr="D:\Wannes\UGent Data\3 POSTDOC LEEDS\Publication\submitted\Hubau et al. (in prep)\13 manuscript draft for submission3\Hubau_ED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Wannes\UGent Data\3 POSTDOC LEEDS\Publication\submitted\Hubau et al. (in prep)\13 manuscript draft for submission3\Hubau_EDfig8.jpg"/>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334661" cy="4010523"/>
                    </a:xfrm>
                    <a:prstGeom prst="rect">
                      <a:avLst/>
                    </a:prstGeom>
                    <a:noFill/>
                    <a:ln>
                      <a:noFill/>
                    </a:ln>
                    <a:extLst>
                      <a:ext uri="{53640926-AAD7-44D8-BBD7-CCE9431645EC}">
                        <a14:shadowObscured xmlns:a14="http://schemas.microsoft.com/office/drawing/2010/main"/>
                      </a:ext>
                    </a:extLst>
                  </pic:spPr>
                </pic:pic>
              </a:graphicData>
            </a:graphic>
          </wp:inline>
        </w:drawing>
      </w:r>
    </w:p>
    <w:p w:rsidR="00B43E3C" w:rsidRPr="00B23FBB" w:rsidRDefault="00B43E3C" w:rsidP="00726F1B">
      <w:pPr>
        <w:rPr>
          <w:b/>
          <w:sz w:val="24"/>
          <w:szCs w:val="24"/>
        </w:rPr>
      </w:pPr>
      <w:r w:rsidRPr="00B23FBB">
        <w:rPr>
          <w:b/>
          <w:sz w:val="24"/>
          <w:szCs w:val="24"/>
        </w:rPr>
        <w:t>Extended Data Figure 8. Twenty-first century trends in aboveground biomass carbon losses from African tropical forest inventory plots with either long (left panels) or short (right panels) carbon residence time.</w:t>
      </w:r>
      <w:r w:rsidRPr="00B23FBB">
        <w:rPr>
          <w:sz w:val="24"/>
          <w:szCs w:val="24"/>
        </w:rPr>
        <w:t xml:space="preserve"> Upper panels include all plots, i.e. as in Figure 1, but split into a long-CRT group (</w:t>
      </w:r>
      <w:r w:rsidRPr="00B23FBB">
        <w:rPr>
          <w:b/>
          <w:sz w:val="24"/>
          <w:szCs w:val="24"/>
        </w:rPr>
        <w:t>a</w:t>
      </w:r>
      <w:r w:rsidRPr="00B23FBB">
        <w:rPr>
          <w:rFonts w:cs="Times New Roman"/>
          <w:sz w:val="24"/>
          <w:szCs w:val="24"/>
        </w:rPr>
        <w:t>)</w:t>
      </w:r>
      <w:r w:rsidRPr="00B23FBB">
        <w:rPr>
          <w:sz w:val="24"/>
          <w:szCs w:val="24"/>
        </w:rPr>
        <w:t>, and a short-CRT group (</w:t>
      </w:r>
      <w:r w:rsidRPr="00B23FBB">
        <w:rPr>
          <w:b/>
          <w:sz w:val="24"/>
          <w:szCs w:val="24"/>
        </w:rPr>
        <w:t>b</w:t>
      </w:r>
      <w:r w:rsidRPr="00B23FBB">
        <w:rPr>
          <w:rFonts w:cs="Times New Roman"/>
          <w:sz w:val="24"/>
          <w:szCs w:val="24"/>
        </w:rPr>
        <w:t>)</w:t>
      </w:r>
      <w:r w:rsidRPr="00B23FBB">
        <w:rPr>
          <w:sz w:val="24"/>
          <w:szCs w:val="24"/>
        </w:rPr>
        <w:t xml:space="preserve">, each containing half the 244 plots. Lower panels restrict plots to those spanning &gt;50% of the time window, i.e. </w:t>
      </w:r>
      <w:r>
        <w:rPr>
          <w:sz w:val="24"/>
          <w:szCs w:val="24"/>
        </w:rPr>
        <w:t xml:space="preserve">intensely monitored plots, </w:t>
      </w:r>
      <w:r w:rsidRPr="00B23FBB">
        <w:rPr>
          <w:sz w:val="24"/>
          <w:szCs w:val="24"/>
        </w:rPr>
        <w:t>as in Extended Data Figure 7, but split into a long-CRT group (</w:t>
      </w:r>
      <w:r w:rsidRPr="00B23FBB">
        <w:rPr>
          <w:b/>
          <w:sz w:val="24"/>
          <w:szCs w:val="24"/>
        </w:rPr>
        <w:t>c</w:t>
      </w:r>
      <w:r w:rsidRPr="00B23FBB">
        <w:rPr>
          <w:rFonts w:cs="Times New Roman"/>
          <w:sz w:val="24"/>
          <w:szCs w:val="24"/>
        </w:rPr>
        <w:t>)</w:t>
      </w:r>
      <w:r w:rsidRPr="00B23FBB">
        <w:rPr>
          <w:sz w:val="24"/>
          <w:szCs w:val="24"/>
        </w:rPr>
        <w:t>, and a short-CRT group (</w:t>
      </w:r>
      <w:r w:rsidRPr="00B23FBB">
        <w:rPr>
          <w:b/>
          <w:sz w:val="24"/>
          <w:szCs w:val="24"/>
        </w:rPr>
        <w:t>d</w:t>
      </w:r>
      <w:r w:rsidRPr="00B23FBB">
        <w:rPr>
          <w:rFonts w:cs="Times New Roman"/>
          <w:sz w:val="24"/>
          <w:szCs w:val="24"/>
        </w:rPr>
        <w:t>)</w:t>
      </w:r>
      <w:r w:rsidRPr="00B23FBB">
        <w:rPr>
          <w:sz w:val="24"/>
          <w:szCs w:val="24"/>
        </w:rPr>
        <w:t>, each containing half the 134 plots. Solid lines indicate mean values, shading the 95% CI</w:t>
      </w:r>
      <w:r>
        <w:rPr>
          <w:sz w:val="24"/>
          <w:szCs w:val="24"/>
        </w:rPr>
        <w:t>, as for Figure 1</w:t>
      </w:r>
      <w:r w:rsidRPr="00B23FBB">
        <w:rPr>
          <w:sz w:val="24"/>
          <w:szCs w:val="24"/>
        </w:rPr>
        <w:t>. Dashed lines, slopes and p-values are from linear mixed-effects models</w:t>
      </w:r>
      <w:r>
        <w:rPr>
          <w:sz w:val="24"/>
          <w:szCs w:val="24"/>
        </w:rPr>
        <w:t>, as for Figure 1. C</w:t>
      </w:r>
      <w:r w:rsidRPr="00B23FBB">
        <w:rPr>
          <w:sz w:val="24"/>
          <w:szCs w:val="24"/>
        </w:rPr>
        <w:t xml:space="preserve">arbon losses increase </w:t>
      </w:r>
      <w:r>
        <w:rPr>
          <w:sz w:val="24"/>
          <w:szCs w:val="24"/>
        </w:rPr>
        <w:t xml:space="preserve">at a higher rate </w:t>
      </w:r>
      <w:r w:rsidRPr="00B23FBB">
        <w:rPr>
          <w:sz w:val="24"/>
          <w:szCs w:val="24"/>
        </w:rPr>
        <w:t xml:space="preserve">in the short-CRT than the long-CRT group of plots, in both datasets, although this increase is not statistically significant. </w:t>
      </w:r>
    </w:p>
    <w:p w:rsidR="00B43E3C" w:rsidRDefault="00B43E3C" w:rsidP="00726F1B">
      <w:pPr>
        <w:rPr>
          <w:rFonts w:cs="Times New Roman"/>
          <w:sz w:val="24"/>
          <w:szCs w:val="24"/>
        </w:rPr>
      </w:pPr>
    </w:p>
    <w:p w:rsidR="00726F1B" w:rsidRDefault="00726F1B" w:rsidP="00726F1B">
      <w:pPr>
        <w:rPr>
          <w:rFonts w:cs="Times New Roman"/>
          <w:sz w:val="24"/>
          <w:szCs w:val="24"/>
        </w:rPr>
      </w:pPr>
    </w:p>
    <w:p w:rsidR="00726F1B" w:rsidRDefault="00726F1B" w:rsidP="00726F1B">
      <w:pPr>
        <w:rPr>
          <w:rFonts w:cs="Times New Roman"/>
          <w:sz w:val="24"/>
          <w:szCs w:val="24"/>
        </w:rPr>
      </w:pPr>
    </w:p>
    <w:p w:rsidR="00B43E3C" w:rsidRPr="00B23FBB" w:rsidRDefault="00B43E3C" w:rsidP="00726F1B">
      <w:pPr>
        <w:pStyle w:val="Heading1"/>
      </w:pPr>
      <w:r w:rsidRPr="00B23FBB">
        <w:lastRenderedPageBreak/>
        <w:t>Extended Data</w:t>
      </w:r>
      <w:r w:rsidR="00726F1B">
        <w:t xml:space="preserve"> Table</w:t>
      </w:r>
      <w:r>
        <w:t xml:space="preserve">s </w:t>
      </w:r>
    </w:p>
    <w:p w:rsidR="00B43E3C" w:rsidRPr="00B23FBB" w:rsidRDefault="00B43E3C" w:rsidP="00726F1B">
      <w:pPr>
        <w:rPr>
          <w:rFonts w:cs="Times New Roman"/>
          <w:noProof/>
          <w:sz w:val="24"/>
          <w:szCs w:val="24"/>
          <w:lang w:eastAsia="nl-BE"/>
        </w:rPr>
      </w:pPr>
    </w:p>
    <w:p w:rsidR="00B43E3C" w:rsidRPr="00FB2756" w:rsidRDefault="00B43E3C" w:rsidP="00726F1B">
      <w:pPr>
        <w:rPr>
          <w:rFonts w:eastAsia="Times New Roman" w:cs="Times New Roman"/>
          <w:bCs/>
          <w:color w:val="000000"/>
          <w:sz w:val="24"/>
          <w:szCs w:val="24"/>
          <w:lang w:eastAsia="nl-BE"/>
        </w:rPr>
      </w:pPr>
      <w:r w:rsidRPr="00B23FBB">
        <w:rPr>
          <w:rFonts w:cs="Times New Roman"/>
          <w:b/>
          <w:sz w:val="24"/>
          <w:szCs w:val="24"/>
        </w:rPr>
        <w:t xml:space="preserve">Extended Data Table 1. </w:t>
      </w:r>
      <w:r w:rsidRPr="00FB2756">
        <w:rPr>
          <w:rFonts w:cs="Times New Roman"/>
          <w:sz w:val="24"/>
          <w:szCs w:val="24"/>
        </w:rPr>
        <w:t>Models to predict carbon gains and losses in African and Amazonian tropical forests</w:t>
      </w:r>
      <w:r>
        <w:rPr>
          <w:rFonts w:cs="Times New Roman"/>
          <w:sz w:val="24"/>
          <w:szCs w:val="24"/>
        </w:rPr>
        <w:t>, including only environmental variables, showing long-term trends that impact theory-driven models of photosynthesis and respiration</w:t>
      </w:r>
      <w:r w:rsidRPr="00FB2756">
        <w:rPr>
          <w:rFonts w:cs="Times New Roman"/>
          <w:sz w:val="24"/>
          <w:szCs w:val="24"/>
        </w:rPr>
        <w:t>. Significant values in bold.</w:t>
      </w:r>
      <w:r w:rsidRPr="00FB2756">
        <w:rPr>
          <w:rFonts w:eastAsia="Times New Roman" w:cs="Times New Roman"/>
          <w:bCs/>
          <w:color w:val="000000"/>
          <w:lang w:eastAsia="nl-BE"/>
        </w:rPr>
        <w:t xml:space="preserve"> </w:t>
      </w:r>
    </w:p>
    <w:p w:rsidR="00B43E3C" w:rsidRDefault="00317384" w:rsidP="00726F1B">
      <w:pPr>
        <w:jc w:val="center"/>
        <w:rPr>
          <w:b/>
          <w:noProof/>
          <w:sz w:val="24"/>
          <w:szCs w:val="24"/>
        </w:rPr>
      </w:pPr>
      <w:r>
        <w:rPr>
          <w:b/>
          <w:noProof/>
          <w:sz w:val="24"/>
          <w:szCs w:val="24"/>
          <w:lang w:val="en-GB" w:eastAsia="en-GB"/>
        </w:rPr>
        <w:drawing>
          <wp:inline distT="0" distB="0" distL="0" distR="0">
            <wp:extent cx="5041127" cy="2481180"/>
            <wp:effectExtent l="0" t="0" r="7620" b="0"/>
            <wp:docPr id="9" name="Picture 9" descr="D:\Wannes\UGent Data\3 POSTDOC LEEDS\Publication\submitted\Hubau et al. (in prep)\13 manuscript draft for submission3\Hubau_EDt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Wannes\UGent Data\3 POSTDOC LEEDS\Publication\submitted\Hubau et al. (in prep)\13 manuscript draft for submission3\Hubau_EDtable1.jpg"/>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5039064" cy="2480165"/>
                    </a:xfrm>
                    <a:prstGeom prst="rect">
                      <a:avLst/>
                    </a:prstGeom>
                    <a:noFill/>
                    <a:ln>
                      <a:noFill/>
                    </a:ln>
                    <a:extLst>
                      <a:ext uri="{53640926-AAD7-44D8-BBD7-CCE9431645EC}">
                        <a14:shadowObscured xmlns:a14="http://schemas.microsoft.com/office/drawing/2010/main"/>
                      </a:ext>
                    </a:extLst>
                  </pic:spPr>
                </pic:pic>
              </a:graphicData>
            </a:graphic>
          </wp:inline>
        </w:drawing>
      </w:r>
    </w:p>
    <w:p w:rsidR="00317384" w:rsidRDefault="00317384" w:rsidP="00726F1B">
      <w:pPr>
        <w:rPr>
          <w:b/>
          <w:noProof/>
          <w:sz w:val="24"/>
          <w:szCs w:val="24"/>
        </w:rPr>
      </w:pPr>
    </w:p>
    <w:p w:rsidR="00B43E3C" w:rsidRDefault="00B43E3C" w:rsidP="00726F1B">
      <w:pPr>
        <w:rPr>
          <w:rFonts w:cs="Times New Roman"/>
          <w:sz w:val="24"/>
          <w:szCs w:val="24"/>
        </w:rPr>
      </w:pPr>
      <w:r w:rsidRPr="00B23FBB">
        <w:rPr>
          <w:b/>
          <w:noProof/>
          <w:sz w:val="24"/>
          <w:szCs w:val="24"/>
        </w:rPr>
        <w:t>Extende</w:t>
      </w:r>
      <w:r w:rsidRPr="00387FC8">
        <w:rPr>
          <w:rFonts w:cs="Times New Roman"/>
          <w:b/>
          <w:noProof/>
          <w:sz w:val="24"/>
          <w:szCs w:val="24"/>
        </w:rPr>
        <w:t xml:space="preserve">d Data Table 2. </w:t>
      </w:r>
      <w:r w:rsidRPr="00FB2756">
        <w:rPr>
          <w:rFonts w:cs="Times New Roman"/>
          <w:sz w:val="24"/>
          <w:szCs w:val="24"/>
        </w:rPr>
        <w:t>Forest area estimates used to calculate total continental forest sink.</w:t>
      </w:r>
    </w:p>
    <w:p w:rsidR="00B43E3C" w:rsidRDefault="00317384" w:rsidP="00726F1B">
      <w:pPr>
        <w:jc w:val="center"/>
      </w:pPr>
      <w:r>
        <w:rPr>
          <w:rFonts w:cs="Times New Roman"/>
          <w:noProof/>
          <w:sz w:val="24"/>
          <w:szCs w:val="24"/>
          <w:lang w:val="en-GB" w:eastAsia="en-GB"/>
        </w:rPr>
        <w:drawing>
          <wp:inline distT="0" distB="0" distL="0" distR="0">
            <wp:extent cx="4309607" cy="2997988"/>
            <wp:effectExtent l="0" t="0" r="0" b="0"/>
            <wp:docPr id="10" name="Picture 10" descr="D:\Wannes\UGent Data\3 POSTDOC LEEDS\Publication\submitted\Hubau et al. (in prep)\13 manuscript draft for submission3\Hubau_EDtab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Wannes\UGent Data\3 POSTDOC LEEDS\Publication\submitted\Hubau et al. (in prep)\13 manuscript draft for submission3\Hubau_EDtable2.jpg"/>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4311178" cy="2999081"/>
                    </a:xfrm>
                    <a:prstGeom prst="rect">
                      <a:avLst/>
                    </a:prstGeom>
                    <a:noFill/>
                    <a:ln>
                      <a:noFill/>
                    </a:ln>
                    <a:extLst>
                      <a:ext uri="{53640926-AAD7-44D8-BBD7-CCE9431645EC}">
                        <a14:shadowObscured xmlns:a14="http://schemas.microsoft.com/office/drawing/2010/main"/>
                      </a:ext>
                    </a:extLst>
                  </pic:spPr>
                </pic:pic>
              </a:graphicData>
            </a:graphic>
          </wp:inline>
        </w:drawing>
      </w:r>
    </w:p>
    <w:sectPr w:rsidR="00B43E3C" w:rsidSect="00EF5658">
      <w:footerReference w:type="default" r:id="rId28"/>
      <w:pgSz w:w="11906" w:h="16838"/>
      <w:pgMar w:top="1440" w:right="1080" w:bottom="1440" w:left="108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03A" w:rsidRDefault="002E003A">
      <w:pPr>
        <w:spacing w:line="240" w:lineRule="auto"/>
      </w:pPr>
      <w:r>
        <w:separator/>
      </w:r>
    </w:p>
  </w:endnote>
  <w:endnote w:type="continuationSeparator" w:id="0">
    <w:p w:rsidR="002E003A" w:rsidRDefault="002E00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850022"/>
      <w:docPartObj>
        <w:docPartGallery w:val="Page Numbers (Bottom of Page)"/>
        <w:docPartUnique/>
      </w:docPartObj>
    </w:sdtPr>
    <w:sdtEndPr>
      <w:rPr>
        <w:noProof/>
      </w:rPr>
    </w:sdtEndPr>
    <w:sdtContent>
      <w:p w:rsidR="00726F1B" w:rsidRDefault="00726F1B">
        <w:pPr>
          <w:pStyle w:val="Footer"/>
          <w:jc w:val="center"/>
        </w:pPr>
        <w:r>
          <w:fldChar w:fldCharType="begin"/>
        </w:r>
        <w:r>
          <w:instrText xml:space="preserve"> PAGE   \* MERGEFORMAT </w:instrText>
        </w:r>
        <w:r>
          <w:fldChar w:fldCharType="separate"/>
        </w:r>
        <w:r w:rsidR="008D33A5">
          <w:rPr>
            <w:noProof/>
          </w:rPr>
          <w:t>1</w:t>
        </w:r>
        <w:r>
          <w:rPr>
            <w:noProof/>
          </w:rPr>
          <w:fldChar w:fldCharType="end"/>
        </w:r>
      </w:p>
    </w:sdtContent>
  </w:sdt>
  <w:p w:rsidR="00726F1B" w:rsidRDefault="00726F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03A" w:rsidRDefault="002E003A">
      <w:pPr>
        <w:spacing w:line="240" w:lineRule="auto"/>
      </w:pPr>
      <w:r>
        <w:separator/>
      </w:r>
    </w:p>
  </w:footnote>
  <w:footnote w:type="continuationSeparator" w:id="0">
    <w:p w:rsidR="002E003A" w:rsidRDefault="002E003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EA6CB3"/>
    <w:multiLevelType w:val="hybridMultilevel"/>
    <w:tmpl w:val="DAE4EA5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4001A38"/>
    <w:multiLevelType w:val="multilevel"/>
    <w:tmpl w:val="147C5B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3695544"/>
    <w:multiLevelType w:val="multilevel"/>
    <w:tmpl w:val="62583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0A4C0C"/>
    <w:multiLevelType w:val="hybridMultilevel"/>
    <w:tmpl w:val="5B22B56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27AF2D82"/>
    <w:multiLevelType w:val="multilevel"/>
    <w:tmpl w:val="3C2CD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6CB305E"/>
    <w:multiLevelType w:val="multilevel"/>
    <w:tmpl w:val="62583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92E53B4"/>
    <w:multiLevelType w:val="hybridMultilevel"/>
    <w:tmpl w:val="F162CE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75AC29C9"/>
    <w:multiLevelType w:val="multilevel"/>
    <w:tmpl w:val="62583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8"/>
  </w:num>
  <w:num w:numId="4">
    <w:abstractNumId w:val="5"/>
  </w:num>
  <w:num w:numId="5">
    <w:abstractNumId w:val="3"/>
  </w:num>
  <w:num w:numId="6">
    <w:abstractNumId w:val="6"/>
  </w:num>
  <w:num w:numId="7">
    <w:abstractNumId w:val="9"/>
  </w:num>
  <w:num w:numId="8">
    <w:abstractNumId w:val="4"/>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1&lt;/Suspended&gt;&lt;/ENInstantFormat&gt;"/>
  </w:docVars>
  <w:rsids>
    <w:rsidRoot w:val="00B43E3C"/>
    <w:rsid w:val="00026984"/>
    <w:rsid w:val="000D5E77"/>
    <w:rsid w:val="002E003A"/>
    <w:rsid w:val="00317384"/>
    <w:rsid w:val="005720CF"/>
    <w:rsid w:val="00726F1B"/>
    <w:rsid w:val="008D33A5"/>
    <w:rsid w:val="00A92981"/>
    <w:rsid w:val="00B10A60"/>
    <w:rsid w:val="00B43E3C"/>
    <w:rsid w:val="00C255B2"/>
    <w:rsid w:val="00D63582"/>
    <w:rsid w:val="00E24882"/>
    <w:rsid w:val="00E25E12"/>
    <w:rsid w:val="00EF4A53"/>
    <w:rsid w:val="00EF565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20E8B3-5168-444C-BACE-D9CF93ACF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3E3C"/>
    <w:pPr>
      <w:spacing w:after="0" w:line="480" w:lineRule="auto"/>
      <w:jc w:val="both"/>
    </w:pPr>
    <w:rPr>
      <w:rFonts w:ascii="Times New Roman" w:hAnsi="Times New Roman"/>
      <w:lang w:val="en-US"/>
    </w:rPr>
  </w:style>
  <w:style w:type="paragraph" w:styleId="Heading1">
    <w:name w:val="heading 1"/>
    <w:basedOn w:val="Normal"/>
    <w:next w:val="Normal"/>
    <w:link w:val="Heading1Char"/>
    <w:autoRedefine/>
    <w:uiPriority w:val="9"/>
    <w:qFormat/>
    <w:rsid w:val="00B43E3C"/>
    <w:pPr>
      <w:keepNext/>
      <w:keepLines/>
      <w:outlineLvl w:val="0"/>
    </w:pPr>
    <w:rPr>
      <w:rFonts w:eastAsiaTheme="majorEastAsia"/>
      <w:b/>
      <w:bCs/>
      <w:sz w:val="24"/>
      <w:szCs w:val="28"/>
    </w:rPr>
  </w:style>
  <w:style w:type="paragraph" w:styleId="Heading2">
    <w:name w:val="heading 2"/>
    <w:basedOn w:val="Normal"/>
    <w:next w:val="Normal"/>
    <w:link w:val="Heading2Char"/>
    <w:autoRedefine/>
    <w:uiPriority w:val="9"/>
    <w:unhideWhenUsed/>
    <w:qFormat/>
    <w:rsid w:val="00B43E3C"/>
    <w:pPr>
      <w:keepNext/>
      <w:keepLines/>
      <w:outlineLvl w:val="1"/>
    </w:pPr>
    <w:rPr>
      <w:rFonts w:eastAsiaTheme="majorEastAsia"/>
      <w:b/>
      <w:bCs/>
      <w:sz w:val="24"/>
      <w:szCs w:val="26"/>
    </w:rPr>
  </w:style>
  <w:style w:type="paragraph" w:styleId="Heading3">
    <w:name w:val="heading 3"/>
    <w:basedOn w:val="Normal"/>
    <w:next w:val="Normal"/>
    <w:link w:val="Heading3Char"/>
    <w:autoRedefine/>
    <w:uiPriority w:val="9"/>
    <w:unhideWhenUsed/>
    <w:qFormat/>
    <w:rsid w:val="00B43E3C"/>
    <w:pPr>
      <w:keepNext/>
      <w:keepLines/>
      <w:outlineLvl w:val="2"/>
    </w:pPr>
    <w:rPr>
      <w:rFonts w:eastAsiaTheme="majorEastAsia"/>
      <w:bCs/>
      <w:i/>
    </w:rPr>
  </w:style>
  <w:style w:type="paragraph" w:styleId="Heading4">
    <w:name w:val="heading 4"/>
    <w:basedOn w:val="Normal"/>
    <w:next w:val="Normal"/>
    <w:link w:val="Heading4Char"/>
    <w:autoRedefine/>
    <w:uiPriority w:val="9"/>
    <w:unhideWhenUsed/>
    <w:qFormat/>
    <w:rsid w:val="00B43E3C"/>
    <w:pPr>
      <w:keepNext/>
      <w:keepLines/>
      <w:spacing w:before="240" w:after="120"/>
      <w:outlineLvl w:val="3"/>
    </w:pPr>
    <w:rPr>
      <w:rFonts w:eastAsiaTheme="majorEastAsia"/>
      <w:b/>
      <w:bCs/>
      <w:iCs/>
    </w:rPr>
  </w:style>
  <w:style w:type="paragraph" w:styleId="Heading5">
    <w:name w:val="heading 5"/>
    <w:basedOn w:val="Normal"/>
    <w:next w:val="Normal"/>
    <w:link w:val="Heading5Char"/>
    <w:autoRedefine/>
    <w:uiPriority w:val="9"/>
    <w:unhideWhenUsed/>
    <w:qFormat/>
    <w:rsid w:val="00B43E3C"/>
    <w:pPr>
      <w:keepNext/>
      <w:keepLines/>
      <w:spacing w:before="240" w:after="120"/>
      <w:outlineLvl w:val="4"/>
    </w:pPr>
    <w:rPr>
      <w:rFonts w:eastAsiaTheme="majorEastAsia"/>
      <w:b/>
    </w:rPr>
  </w:style>
  <w:style w:type="paragraph" w:styleId="Heading6">
    <w:name w:val="heading 6"/>
    <w:basedOn w:val="Normal"/>
    <w:next w:val="Normal"/>
    <w:link w:val="Heading6Char"/>
    <w:uiPriority w:val="9"/>
    <w:unhideWhenUsed/>
    <w:qFormat/>
    <w:rsid w:val="00B43E3C"/>
    <w:pPr>
      <w:keepNext/>
      <w:keepLines/>
      <w:spacing w:before="240" w:after="120"/>
      <w:outlineLvl w:val="5"/>
    </w:pPr>
    <w:rPr>
      <w:rFonts w:eastAsiaTheme="majorEastAsia"/>
      <w:b/>
      <w:iCs/>
    </w:rPr>
  </w:style>
  <w:style w:type="paragraph" w:styleId="Heading7">
    <w:name w:val="heading 7"/>
    <w:basedOn w:val="Normal"/>
    <w:next w:val="Normal"/>
    <w:link w:val="Heading7Char"/>
    <w:uiPriority w:val="9"/>
    <w:unhideWhenUsed/>
    <w:qFormat/>
    <w:rsid w:val="00B43E3C"/>
    <w:pPr>
      <w:keepNext/>
      <w:keepLines/>
      <w:spacing w:before="240" w:after="120"/>
      <w:outlineLvl w:val="6"/>
    </w:pPr>
    <w:rPr>
      <w:rFonts w:eastAsiaTheme="majorEastAsia" w:cstheme="majorBidi"/>
      <w:b/>
      <w:i/>
      <w:iCs/>
    </w:rPr>
  </w:style>
  <w:style w:type="paragraph" w:styleId="Heading8">
    <w:name w:val="heading 8"/>
    <w:basedOn w:val="Normal"/>
    <w:next w:val="Normal"/>
    <w:link w:val="Heading8Char"/>
    <w:uiPriority w:val="9"/>
    <w:unhideWhenUsed/>
    <w:qFormat/>
    <w:rsid w:val="00B43E3C"/>
    <w:pPr>
      <w:keepNext/>
      <w:keepLines/>
      <w:spacing w:before="240" w:after="12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B43E3C"/>
    <w:pPr>
      <w:keepNext/>
      <w:keepLines/>
      <w:spacing w:before="240" w:after="12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3E3C"/>
    <w:rPr>
      <w:rFonts w:ascii="Times New Roman" w:eastAsiaTheme="majorEastAsia" w:hAnsi="Times New Roman"/>
      <w:b/>
      <w:bCs/>
      <w:sz w:val="24"/>
      <w:szCs w:val="28"/>
      <w:lang w:val="en-US"/>
    </w:rPr>
  </w:style>
  <w:style w:type="character" w:customStyle="1" w:styleId="Heading2Char">
    <w:name w:val="Heading 2 Char"/>
    <w:basedOn w:val="DefaultParagraphFont"/>
    <w:link w:val="Heading2"/>
    <w:uiPriority w:val="9"/>
    <w:rsid w:val="00B43E3C"/>
    <w:rPr>
      <w:rFonts w:ascii="Times New Roman" w:eastAsiaTheme="majorEastAsia" w:hAnsi="Times New Roman"/>
      <w:b/>
      <w:bCs/>
      <w:sz w:val="24"/>
      <w:szCs w:val="26"/>
      <w:lang w:val="en-US"/>
    </w:rPr>
  </w:style>
  <w:style w:type="character" w:customStyle="1" w:styleId="Heading3Char">
    <w:name w:val="Heading 3 Char"/>
    <w:basedOn w:val="DefaultParagraphFont"/>
    <w:link w:val="Heading3"/>
    <w:uiPriority w:val="9"/>
    <w:rsid w:val="00B43E3C"/>
    <w:rPr>
      <w:rFonts w:ascii="Times New Roman" w:eastAsiaTheme="majorEastAsia" w:hAnsi="Times New Roman"/>
      <w:bCs/>
      <w:i/>
      <w:lang w:val="en-US"/>
    </w:rPr>
  </w:style>
  <w:style w:type="character" w:customStyle="1" w:styleId="Heading4Char">
    <w:name w:val="Heading 4 Char"/>
    <w:basedOn w:val="DefaultParagraphFont"/>
    <w:link w:val="Heading4"/>
    <w:uiPriority w:val="9"/>
    <w:rsid w:val="00B43E3C"/>
    <w:rPr>
      <w:rFonts w:ascii="Times New Roman" w:eastAsiaTheme="majorEastAsia" w:hAnsi="Times New Roman"/>
      <w:b/>
      <w:bCs/>
      <w:iCs/>
      <w:lang w:val="en-US"/>
    </w:rPr>
  </w:style>
  <w:style w:type="character" w:customStyle="1" w:styleId="Heading5Char">
    <w:name w:val="Heading 5 Char"/>
    <w:basedOn w:val="DefaultParagraphFont"/>
    <w:link w:val="Heading5"/>
    <w:uiPriority w:val="9"/>
    <w:rsid w:val="00B43E3C"/>
    <w:rPr>
      <w:rFonts w:ascii="Times New Roman" w:eastAsiaTheme="majorEastAsia" w:hAnsi="Times New Roman"/>
      <w:b/>
      <w:lang w:val="en-US"/>
    </w:rPr>
  </w:style>
  <w:style w:type="character" w:customStyle="1" w:styleId="Heading6Char">
    <w:name w:val="Heading 6 Char"/>
    <w:basedOn w:val="DefaultParagraphFont"/>
    <w:link w:val="Heading6"/>
    <w:uiPriority w:val="9"/>
    <w:rsid w:val="00B43E3C"/>
    <w:rPr>
      <w:rFonts w:ascii="Times New Roman" w:eastAsiaTheme="majorEastAsia" w:hAnsi="Times New Roman"/>
      <w:b/>
      <w:iCs/>
      <w:lang w:val="en-US"/>
    </w:rPr>
  </w:style>
  <w:style w:type="character" w:customStyle="1" w:styleId="Heading7Char">
    <w:name w:val="Heading 7 Char"/>
    <w:basedOn w:val="DefaultParagraphFont"/>
    <w:link w:val="Heading7"/>
    <w:uiPriority w:val="9"/>
    <w:rsid w:val="00B43E3C"/>
    <w:rPr>
      <w:rFonts w:ascii="Times New Roman" w:eastAsiaTheme="majorEastAsia" w:hAnsi="Times New Roman" w:cstheme="majorBidi"/>
      <w:b/>
      <w:i/>
      <w:iCs/>
      <w:lang w:val="en-US"/>
    </w:rPr>
  </w:style>
  <w:style w:type="character" w:customStyle="1" w:styleId="Heading8Char">
    <w:name w:val="Heading 8 Char"/>
    <w:basedOn w:val="DefaultParagraphFont"/>
    <w:link w:val="Heading8"/>
    <w:uiPriority w:val="9"/>
    <w:rsid w:val="00B43E3C"/>
    <w:rPr>
      <w:rFonts w:ascii="Times New Roman" w:eastAsiaTheme="majorEastAsia" w:hAnsi="Times New Roman" w:cstheme="majorBidi"/>
      <w:szCs w:val="20"/>
      <w:lang w:val="en-US"/>
    </w:rPr>
  </w:style>
  <w:style w:type="character" w:customStyle="1" w:styleId="Heading9Char">
    <w:name w:val="Heading 9 Char"/>
    <w:basedOn w:val="DefaultParagraphFont"/>
    <w:link w:val="Heading9"/>
    <w:uiPriority w:val="9"/>
    <w:rsid w:val="00B43E3C"/>
    <w:rPr>
      <w:rFonts w:ascii="Times New Roman" w:eastAsiaTheme="majorEastAsia" w:hAnsi="Times New Roman" w:cstheme="majorBidi"/>
      <w:i/>
      <w:iCs/>
      <w:szCs w:val="20"/>
      <w:lang w:val="en-US"/>
    </w:rPr>
  </w:style>
  <w:style w:type="paragraph" w:customStyle="1" w:styleId="Subheading">
    <w:name w:val="Subheading"/>
    <w:basedOn w:val="Normal"/>
    <w:next w:val="Normal"/>
    <w:link w:val="SubheadingChar"/>
    <w:rsid w:val="00B43E3C"/>
    <w:pPr>
      <w:keepNext/>
    </w:pPr>
    <w:rPr>
      <w:b/>
    </w:rPr>
  </w:style>
  <w:style w:type="character" w:customStyle="1" w:styleId="SubheadingChar">
    <w:name w:val="Subheading Char"/>
    <w:basedOn w:val="DefaultParagraphFont"/>
    <w:link w:val="Subheading"/>
    <w:rsid w:val="00B43E3C"/>
    <w:rPr>
      <w:rFonts w:ascii="Times New Roman" w:hAnsi="Times New Roman"/>
      <w:b/>
      <w:lang w:val="en-US"/>
    </w:rPr>
  </w:style>
  <w:style w:type="paragraph" w:styleId="Caption">
    <w:name w:val="caption"/>
    <w:basedOn w:val="Normal"/>
    <w:next w:val="Normal"/>
    <w:uiPriority w:val="35"/>
    <w:unhideWhenUsed/>
    <w:qFormat/>
    <w:rsid w:val="00B43E3C"/>
    <w:pPr>
      <w:spacing w:line="240" w:lineRule="auto"/>
    </w:pPr>
    <w:rPr>
      <w:b/>
      <w:bCs/>
      <w:szCs w:val="18"/>
    </w:rPr>
  </w:style>
  <w:style w:type="paragraph" w:styleId="Title">
    <w:name w:val="Title"/>
    <w:basedOn w:val="Normal"/>
    <w:next w:val="Normal"/>
    <w:link w:val="TitleChar"/>
    <w:autoRedefine/>
    <w:uiPriority w:val="10"/>
    <w:qFormat/>
    <w:rsid w:val="00B43E3C"/>
    <w:pPr>
      <w:keepNext/>
      <w:pBdr>
        <w:bottom w:val="single" w:sz="8" w:space="4" w:color="auto"/>
      </w:pBdr>
      <w:spacing w:before="240" w:after="120" w:line="240" w:lineRule="auto"/>
      <w:contextualSpacing/>
      <w:outlineLvl w:val="0"/>
    </w:pPr>
    <w:rPr>
      <w:rFonts w:eastAsiaTheme="majorEastAsia"/>
      <w:b/>
      <w:spacing w:val="5"/>
      <w:sz w:val="36"/>
      <w:szCs w:val="52"/>
    </w:rPr>
  </w:style>
  <w:style w:type="character" w:customStyle="1" w:styleId="TitleChar">
    <w:name w:val="Title Char"/>
    <w:basedOn w:val="DefaultParagraphFont"/>
    <w:link w:val="Title"/>
    <w:uiPriority w:val="10"/>
    <w:rsid w:val="00B43E3C"/>
    <w:rPr>
      <w:rFonts w:ascii="Times New Roman" w:eastAsiaTheme="majorEastAsia" w:hAnsi="Times New Roman"/>
      <w:b/>
      <w:spacing w:val="5"/>
      <w:sz w:val="36"/>
      <w:szCs w:val="52"/>
      <w:lang w:val="en-US"/>
    </w:rPr>
  </w:style>
  <w:style w:type="paragraph" w:styleId="Subtitle">
    <w:name w:val="Subtitle"/>
    <w:basedOn w:val="Normal"/>
    <w:next w:val="Normal"/>
    <w:link w:val="SubtitleChar"/>
    <w:autoRedefine/>
    <w:uiPriority w:val="11"/>
    <w:qFormat/>
    <w:rsid w:val="00B43E3C"/>
    <w:pPr>
      <w:keepNext/>
      <w:numPr>
        <w:ilvl w:val="1"/>
      </w:numPr>
    </w:pPr>
    <w:rPr>
      <w:rFonts w:eastAsiaTheme="majorEastAsia"/>
      <w:iCs/>
      <w:spacing w:val="15"/>
      <w:sz w:val="28"/>
    </w:rPr>
  </w:style>
  <w:style w:type="character" w:customStyle="1" w:styleId="SubtitleChar">
    <w:name w:val="Subtitle Char"/>
    <w:basedOn w:val="DefaultParagraphFont"/>
    <w:link w:val="Subtitle"/>
    <w:uiPriority w:val="11"/>
    <w:rsid w:val="00B43E3C"/>
    <w:rPr>
      <w:rFonts w:ascii="Times New Roman" w:eastAsiaTheme="majorEastAsia" w:hAnsi="Times New Roman"/>
      <w:iCs/>
      <w:spacing w:val="15"/>
      <w:sz w:val="28"/>
      <w:lang w:val="en-US"/>
    </w:rPr>
  </w:style>
  <w:style w:type="paragraph" w:styleId="Quote">
    <w:name w:val="Quote"/>
    <w:basedOn w:val="Normal"/>
    <w:next w:val="Normal"/>
    <w:link w:val="QuoteChar1"/>
    <w:uiPriority w:val="29"/>
    <w:qFormat/>
    <w:rsid w:val="00B43E3C"/>
    <w:pPr>
      <w:ind w:left="794" w:right="794"/>
    </w:pPr>
    <w:rPr>
      <w:i/>
      <w:iCs/>
    </w:rPr>
  </w:style>
  <w:style w:type="character" w:customStyle="1" w:styleId="QuoteChar">
    <w:name w:val="Quote Char"/>
    <w:basedOn w:val="DefaultParagraphFont"/>
    <w:uiPriority w:val="29"/>
    <w:rsid w:val="00B43E3C"/>
    <w:rPr>
      <w:rFonts w:ascii="Arial" w:hAnsi="Arial" w:cs="Arial"/>
      <w:i/>
      <w:iCs/>
      <w:color w:val="000000" w:themeColor="text1"/>
      <w:sz w:val="28"/>
    </w:rPr>
  </w:style>
  <w:style w:type="character" w:customStyle="1" w:styleId="QuoteChar1">
    <w:name w:val="Quote Char1"/>
    <w:basedOn w:val="DefaultParagraphFont"/>
    <w:link w:val="Quote"/>
    <w:uiPriority w:val="29"/>
    <w:rsid w:val="00B43E3C"/>
    <w:rPr>
      <w:rFonts w:ascii="Times New Roman" w:hAnsi="Times New Roman"/>
      <w:i/>
      <w:iCs/>
      <w:lang w:val="en-US"/>
    </w:rPr>
  </w:style>
  <w:style w:type="paragraph" w:styleId="ListBullet">
    <w:name w:val="List Bullet"/>
    <w:basedOn w:val="Normal"/>
    <w:uiPriority w:val="99"/>
    <w:semiHidden/>
    <w:unhideWhenUsed/>
    <w:rsid w:val="00B43E3C"/>
    <w:pPr>
      <w:numPr>
        <w:numId w:val="1"/>
      </w:numPr>
      <w:contextualSpacing/>
    </w:pPr>
  </w:style>
  <w:style w:type="paragraph" w:styleId="ListNumber">
    <w:name w:val="List Number"/>
    <w:basedOn w:val="Normal"/>
    <w:uiPriority w:val="99"/>
    <w:semiHidden/>
    <w:unhideWhenUsed/>
    <w:rsid w:val="00B43E3C"/>
    <w:pPr>
      <w:numPr>
        <w:numId w:val="2"/>
      </w:numPr>
      <w:contextualSpacing/>
    </w:pPr>
  </w:style>
  <w:style w:type="paragraph" w:styleId="TableofFigures">
    <w:name w:val="table of figures"/>
    <w:basedOn w:val="Normal"/>
    <w:next w:val="Normal"/>
    <w:uiPriority w:val="99"/>
    <w:semiHidden/>
    <w:unhideWhenUsed/>
    <w:rsid w:val="00B43E3C"/>
  </w:style>
  <w:style w:type="character" w:styleId="IntenseEmphasis">
    <w:name w:val="Intense Emphasis"/>
    <w:basedOn w:val="DefaultParagraphFont"/>
    <w:uiPriority w:val="21"/>
    <w:qFormat/>
    <w:rsid w:val="00B43E3C"/>
    <w:rPr>
      <w:b/>
      <w:bCs/>
      <w:i/>
      <w:iCs/>
      <w:color w:val="auto"/>
    </w:rPr>
  </w:style>
  <w:style w:type="paragraph" w:styleId="IntenseQuote">
    <w:name w:val="Intense Quote"/>
    <w:basedOn w:val="Normal"/>
    <w:next w:val="Normal"/>
    <w:link w:val="IntenseQuoteChar"/>
    <w:uiPriority w:val="30"/>
    <w:qFormat/>
    <w:rsid w:val="00B43E3C"/>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B43E3C"/>
    <w:rPr>
      <w:rFonts w:ascii="Times New Roman" w:hAnsi="Times New Roman"/>
      <w:b/>
      <w:bCs/>
      <w:i/>
      <w:iCs/>
      <w:lang w:val="en-US"/>
    </w:rPr>
  </w:style>
  <w:style w:type="character" w:styleId="SubtleReference">
    <w:name w:val="Subtle Reference"/>
    <w:basedOn w:val="DefaultParagraphFont"/>
    <w:uiPriority w:val="31"/>
    <w:qFormat/>
    <w:rsid w:val="00B43E3C"/>
    <w:rPr>
      <w:smallCaps/>
      <w:color w:val="auto"/>
      <w:u w:val="single"/>
    </w:rPr>
  </w:style>
  <w:style w:type="character" w:styleId="IntenseReference">
    <w:name w:val="Intense Reference"/>
    <w:basedOn w:val="DefaultParagraphFont"/>
    <w:uiPriority w:val="32"/>
    <w:qFormat/>
    <w:rsid w:val="00B43E3C"/>
    <w:rPr>
      <w:b/>
      <w:bCs/>
      <w:smallCaps/>
      <w:color w:val="auto"/>
      <w:spacing w:val="5"/>
      <w:u w:val="single"/>
    </w:rPr>
  </w:style>
  <w:style w:type="paragraph" w:styleId="TOCHeading">
    <w:name w:val="TOC Heading"/>
    <w:basedOn w:val="Heading1"/>
    <w:next w:val="Normal"/>
    <w:uiPriority w:val="39"/>
    <w:semiHidden/>
    <w:unhideWhenUsed/>
    <w:qFormat/>
    <w:rsid w:val="00B43E3C"/>
    <w:pPr>
      <w:spacing w:before="480"/>
      <w:outlineLvl w:val="9"/>
    </w:pPr>
    <w:rPr>
      <w:rFonts w:cstheme="majorBidi"/>
      <w:sz w:val="28"/>
    </w:rPr>
  </w:style>
  <w:style w:type="paragraph" w:styleId="BlockText">
    <w:name w:val="Block Text"/>
    <w:basedOn w:val="Normal"/>
    <w:uiPriority w:val="99"/>
    <w:semiHidden/>
    <w:unhideWhenUsed/>
    <w:rsid w:val="00B43E3C"/>
    <w:pPr>
      <w:pBdr>
        <w:top w:val="single" w:sz="2" w:space="10" w:color="auto" w:shadow="1"/>
        <w:left w:val="single" w:sz="2" w:space="10" w:color="auto" w:shadow="1"/>
        <w:bottom w:val="single" w:sz="2" w:space="10" w:color="auto" w:shadow="1"/>
        <w:right w:val="single" w:sz="2" w:space="10" w:color="auto" w:shadow="1"/>
      </w:pBdr>
      <w:ind w:left="1152" w:right="1152"/>
    </w:pPr>
    <w:rPr>
      <w:rFonts w:eastAsiaTheme="minorEastAsia"/>
      <w:i/>
      <w:iCs/>
    </w:rPr>
  </w:style>
  <w:style w:type="character" w:styleId="PlaceholderText">
    <w:name w:val="Placeholder Text"/>
    <w:basedOn w:val="DefaultParagraphFont"/>
    <w:uiPriority w:val="99"/>
    <w:semiHidden/>
    <w:rsid w:val="00B43E3C"/>
    <w:rPr>
      <w:color w:val="auto"/>
    </w:rPr>
  </w:style>
  <w:style w:type="paragraph" w:styleId="TOAHeading">
    <w:name w:val="toa heading"/>
    <w:basedOn w:val="Normal"/>
    <w:next w:val="Normal"/>
    <w:uiPriority w:val="99"/>
    <w:semiHidden/>
    <w:unhideWhenUsed/>
    <w:rsid w:val="00B43E3C"/>
    <w:rPr>
      <w:rFonts w:eastAsiaTheme="majorEastAsia" w:cstheme="majorBidi"/>
      <w:b/>
      <w:bCs/>
      <w:sz w:val="28"/>
    </w:rPr>
  </w:style>
  <w:style w:type="paragraph" w:styleId="PlainText">
    <w:name w:val="Plain Text"/>
    <w:basedOn w:val="Normal"/>
    <w:link w:val="PlainTextChar"/>
    <w:uiPriority w:val="99"/>
    <w:semiHidden/>
    <w:unhideWhenUsed/>
    <w:rsid w:val="00B43E3C"/>
    <w:pPr>
      <w:spacing w:line="240" w:lineRule="auto"/>
    </w:pPr>
    <w:rPr>
      <w:rFonts w:ascii="Consolas" w:hAnsi="Consolas"/>
      <w:szCs w:val="21"/>
    </w:rPr>
  </w:style>
  <w:style w:type="character" w:customStyle="1" w:styleId="PlainTextChar">
    <w:name w:val="Plain Text Char"/>
    <w:basedOn w:val="DefaultParagraphFont"/>
    <w:link w:val="PlainText"/>
    <w:uiPriority w:val="99"/>
    <w:semiHidden/>
    <w:rsid w:val="00B43E3C"/>
    <w:rPr>
      <w:rFonts w:ascii="Consolas" w:hAnsi="Consolas"/>
      <w:szCs w:val="21"/>
      <w:lang w:val="en-US"/>
    </w:rPr>
  </w:style>
  <w:style w:type="paragraph" w:styleId="BodyText3">
    <w:name w:val="Body Text 3"/>
    <w:basedOn w:val="Normal"/>
    <w:link w:val="BodyText3Char"/>
    <w:uiPriority w:val="99"/>
    <w:semiHidden/>
    <w:unhideWhenUsed/>
    <w:rsid w:val="00B43E3C"/>
    <w:pPr>
      <w:spacing w:after="120"/>
    </w:pPr>
    <w:rPr>
      <w:sz w:val="20"/>
      <w:szCs w:val="16"/>
    </w:rPr>
  </w:style>
  <w:style w:type="character" w:customStyle="1" w:styleId="BodyText3Char">
    <w:name w:val="Body Text 3 Char"/>
    <w:basedOn w:val="DefaultParagraphFont"/>
    <w:link w:val="BodyText3"/>
    <w:uiPriority w:val="99"/>
    <w:semiHidden/>
    <w:rsid w:val="00B43E3C"/>
    <w:rPr>
      <w:rFonts w:ascii="Times New Roman" w:hAnsi="Times New Roman"/>
      <w:sz w:val="20"/>
      <w:szCs w:val="16"/>
      <w:lang w:val="en-US"/>
    </w:rPr>
  </w:style>
  <w:style w:type="paragraph" w:styleId="BodyText">
    <w:name w:val="Body Text"/>
    <w:basedOn w:val="Normal"/>
    <w:link w:val="BodyTextChar"/>
    <w:uiPriority w:val="99"/>
    <w:semiHidden/>
    <w:unhideWhenUsed/>
    <w:rsid w:val="00B43E3C"/>
    <w:pPr>
      <w:spacing w:after="120"/>
    </w:pPr>
  </w:style>
  <w:style w:type="character" w:customStyle="1" w:styleId="BodyTextChar">
    <w:name w:val="Body Text Char"/>
    <w:basedOn w:val="DefaultParagraphFont"/>
    <w:link w:val="BodyText"/>
    <w:uiPriority w:val="99"/>
    <w:semiHidden/>
    <w:rsid w:val="00B43E3C"/>
    <w:rPr>
      <w:rFonts w:ascii="Times New Roman" w:hAnsi="Times New Roman"/>
      <w:lang w:val="en-US"/>
    </w:rPr>
  </w:style>
  <w:style w:type="paragraph" w:styleId="BodyTextFirstIndent">
    <w:name w:val="Body Text First Indent"/>
    <w:basedOn w:val="BodyText"/>
    <w:link w:val="BodyTextFirstIndentChar"/>
    <w:uiPriority w:val="99"/>
    <w:unhideWhenUsed/>
    <w:rsid w:val="00B43E3C"/>
    <w:pPr>
      <w:spacing w:after="320"/>
      <w:ind w:firstLine="360"/>
    </w:pPr>
  </w:style>
  <w:style w:type="character" w:customStyle="1" w:styleId="BodyTextFirstIndentChar">
    <w:name w:val="Body Text First Indent Char"/>
    <w:basedOn w:val="BodyTextChar"/>
    <w:link w:val="BodyTextFirstIndent"/>
    <w:uiPriority w:val="99"/>
    <w:rsid w:val="00B43E3C"/>
    <w:rPr>
      <w:rFonts w:ascii="Times New Roman" w:hAnsi="Times New Roman"/>
      <w:lang w:val="en-US"/>
    </w:rPr>
  </w:style>
  <w:style w:type="paragraph" w:styleId="BodyTextIndent3">
    <w:name w:val="Body Text Indent 3"/>
    <w:basedOn w:val="Normal"/>
    <w:link w:val="BodyTextIndent3Char"/>
    <w:uiPriority w:val="99"/>
    <w:unhideWhenUsed/>
    <w:rsid w:val="00B43E3C"/>
    <w:pPr>
      <w:spacing w:after="120"/>
      <w:ind w:left="283"/>
    </w:pPr>
    <w:rPr>
      <w:sz w:val="20"/>
      <w:szCs w:val="16"/>
    </w:rPr>
  </w:style>
  <w:style w:type="character" w:customStyle="1" w:styleId="BodyTextIndent3Char">
    <w:name w:val="Body Text Indent 3 Char"/>
    <w:basedOn w:val="DefaultParagraphFont"/>
    <w:link w:val="BodyTextIndent3"/>
    <w:uiPriority w:val="99"/>
    <w:rsid w:val="00B43E3C"/>
    <w:rPr>
      <w:rFonts w:ascii="Times New Roman" w:hAnsi="Times New Roman"/>
      <w:sz w:val="20"/>
      <w:szCs w:val="16"/>
      <w:lang w:val="en-US"/>
    </w:rPr>
  </w:style>
  <w:style w:type="paragraph" w:styleId="DocumentMap">
    <w:name w:val="Document Map"/>
    <w:basedOn w:val="Normal"/>
    <w:link w:val="DocumentMapChar"/>
    <w:uiPriority w:val="99"/>
    <w:semiHidden/>
    <w:unhideWhenUsed/>
    <w:rsid w:val="00B43E3C"/>
    <w:pPr>
      <w:spacing w:line="240" w:lineRule="auto"/>
    </w:pPr>
    <w:rPr>
      <w:rFonts w:cs="Tahoma"/>
      <w:szCs w:val="16"/>
    </w:rPr>
  </w:style>
  <w:style w:type="character" w:customStyle="1" w:styleId="DocumentMapChar">
    <w:name w:val="Document Map Char"/>
    <w:basedOn w:val="DefaultParagraphFont"/>
    <w:link w:val="DocumentMap"/>
    <w:uiPriority w:val="99"/>
    <w:semiHidden/>
    <w:rsid w:val="00B43E3C"/>
    <w:rPr>
      <w:rFonts w:ascii="Times New Roman" w:hAnsi="Times New Roman" w:cs="Tahoma"/>
      <w:szCs w:val="16"/>
      <w:lang w:val="en-US"/>
    </w:rPr>
  </w:style>
  <w:style w:type="paragraph" w:styleId="EndnoteText">
    <w:name w:val="endnote text"/>
    <w:basedOn w:val="Normal"/>
    <w:link w:val="EndnoteTextChar"/>
    <w:uiPriority w:val="99"/>
    <w:unhideWhenUsed/>
    <w:rsid w:val="00B43E3C"/>
    <w:pPr>
      <w:spacing w:line="240" w:lineRule="auto"/>
    </w:pPr>
    <w:rPr>
      <w:szCs w:val="20"/>
    </w:rPr>
  </w:style>
  <w:style w:type="character" w:customStyle="1" w:styleId="EndnoteTextChar">
    <w:name w:val="Endnote Text Char"/>
    <w:basedOn w:val="DefaultParagraphFont"/>
    <w:link w:val="EndnoteText"/>
    <w:uiPriority w:val="99"/>
    <w:rsid w:val="00B43E3C"/>
    <w:rPr>
      <w:rFonts w:ascii="Times New Roman" w:hAnsi="Times New Roman"/>
      <w:szCs w:val="20"/>
      <w:lang w:val="en-US"/>
    </w:rPr>
  </w:style>
  <w:style w:type="character" w:styleId="Emphasis">
    <w:name w:val="Emphasis"/>
    <w:basedOn w:val="DefaultParagraphFont"/>
    <w:uiPriority w:val="20"/>
    <w:qFormat/>
    <w:rsid w:val="00B43E3C"/>
    <w:rPr>
      <w:i/>
      <w:iCs/>
    </w:rPr>
  </w:style>
  <w:style w:type="paragraph" w:styleId="EnvelopeReturn">
    <w:name w:val="envelope return"/>
    <w:basedOn w:val="Normal"/>
    <w:uiPriority w:val="99"/>
    <w:semiHidden/>
    <w:unhideWhenUsed/>
    <w:rsid w:val="00B43E3C"/>
    <w:pPr>
      <w:spacing w:line="240" w:lineRule="auto"/>
    </w:pPr>
    <w:rPr>
      <w:rFonts w:eastAsiaTheme="majorEastAsia" w:cstheme="majorBidi"/>
      <w:szCs w:val="20"/>
    </w:rPr>
  </w:style>
  <w:style w:type="paragraph" w:styleId="MessageHeader">
    <w:name w:val="Message Header"/>
    <w:basedOn w:val="Normal"/>
    <w:link w:val="MessageHeaderChar"/>
    <w:uiPriority w:val="99"/>
    <w:semiHidden/>
    <w:unhideWhenUsed/>
    <w:rsid w:val="00B43E3C"/>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B43E3C"/>
    <w:rPr>
      <w:rFonts w:ascii="Times New Roman" w:eastAsiaTheme="majorEastAsia" w:hAnsi="Times New Roman" w:cstheme="majorBidi"/>
      <w:shd w:val="pct20" w:color="auto" w:fill="auto"/>
      <w:lang w:val="en-US"/>
    </w:rPr>
  </w:style>
  <w:style w:type="paragraph" w:styleId="NoSpacing">
    <w:name w:val="No Spacing"/>
    <w:uiPriority w:val="1"/>
    <w:qFormat/>
    <w:rsid w:val="00B43E3C"/>
    <w:pPr>
      <w:spacing w:after="0" w:line="240" w:lineRule="auto"/>
    </w:pPr>
    <w:rPr>
      <w:rFonts w:ascii="Arial" w:hAnsi="Arial" w:cs="Arial"/>
      <w:sz w:val="24"/>
      <w:szCs w:val="24"/>
      <w:lang w:val="en-GB"/>
    </w:rPr>
  </w:style>
  <w:style w:type="paragraph" w:styleId="NormalWeb">
    <w:name w:val="Normal (Web)"/>
    <w:basedOn w:val="Normal"/>
    <w:uiPriority w:val="99"/>
    <w:unhideWhenUsed/>
    <w:rsid w:val="00B43E3C"/>
    <w:rPr>
      <w:rFonts w:cs="Times New Roman"/>
    </w:rPr>
  </w:style>
  <w:style w:type="paragraph" w:styleId="Index1">
    <w:name w:val="index 1"/>
    <w:basedOn w:val="Normal"/>
    <w:next w:val="Normal"/>
    <w:autoRedefine/>
    <w:uiPriority w:val="99"/>
    <w:semiHidden/>
    <w:unhideWhenUsed/>
    <w:rsid w:val="00B43E3C"/>
    <w:pPr>
      <w:spacing w:line="240" w:lineRule="auto"/>
      <w:ind w:left="240" w:hanging="240"/>
    </w:pPr>
  </w:style>
  <w:style w:type="paragraph" w:styleId="IndexHeading">
    <w:name w:val="index heading"/>
    <w:basedOn w:val="Normal"/>
    <w:next w:val="Index1"/>
    <w:uiPriority w:val="99"/>
    <w:semiHidden/>
    <w:unhideWhenUsed/>
    <w:rsid w:val="00B43E3C"/>
    <w:rPr>
      <w:rFonts w:eastAsiaTheme="majorEastAsia" w:cstheme="majorBidi"/>
      <w:b/>
      <w:bCs/>
    </w:rPr>
  </w:style>
  <w:style w:type="paragraph" w:customStyle="1" w:styleId="EndNoteBibliographyTitle">
    <w:name w:val="EndNote Bibliography Title"/>
    <w:basedOn w:val="Normal"/>
    <w:link w:val="EndNoteBibliographyTitleChar"/>
    <w:rsid w:val="00B43E3C"/>
    <w:pPr>
      <w:jc w:val="center"/>
    </w:pPr>
    <w:rPr>
      <w:rFonts w:cs="Times New Roman"/>
      <w:noProof/>
    </w:rPr>
  </w:style>
  <w:style w:type="character" w:customStyle="1" w:styleId="EndNoteBibliographyTitleChar">
    <w:name w:val="EndNote Bibliography Title Char"/>
    <w:basedOn w:val="DefaultParagraphFont"/>
    <w:link w:val="EndNoteBibliographyTitle"/>
    <w:rsid w:val="00B43E3C"/>
    <w:rPr>
      <w:rFonts w:ascii="Times New Roman" w:hAnsi="Times New Roman" w:cs="Times New Roman"/>
      <w:noProof/>
      <w:lang w:val="en-US"/>
    </w:rPr>
  </w:style>
  <w:style w:type="paragraph" w:customStyle="1" w:styleId="EndNoteBibliography">
    <w:name w:val="EndNote Bibliography"/>
    <w:basedOn w:val="Normal"/>
    <w:link w:val="EndNoteBibliographyChar"/>
    <w:rsid w:val="00B43E3C"/>
    <w:pPr>
      <w:spacing w:line="240" w:lineRule="auto"/>
    </w:pPr>
    <w:rPr>
      <w:rFonts w:cs="Times New Roman"/>
      <w:noProof/>
    </w:rPr>
  </w:style>
  <w:style w:type="character" w:customStyle="1" w:styleId="EndNoteBibliographyChar">
    <w:name w:val="EndNote Bibliography Char"/>
    <w:basedOn w:val="DefaultParagraphFont"/>
    <w:link w:val="EndNoteBibliography"/>
    <w:rsid w:val="00B43E3C"/>
    <w:rPr>
      <w:rFonts w:ascii="Times New Roman" w:hAnsi="Times New Roman" w:cs="Times New Roman"/>
      <w:noProof/>
      <w:lang w:val="en-US"/>
    </w:rPr>
  </w:style>
  <w:style w:type="character" w:styleId="Hyperlink">
    <w:name w:val="Hyperlink"/>
    <w:basedOn w:val="DefaultParagraphFont"/>
    <w:uiPriority w:val="99"/>
    <w:unhideWhenUsed/>
    <w:rsid w:val="00B43E3C"/>
    <w:rPr>
      <w:color w:val="0000FF" w:themeColor="hyperlink"/>
      <w:u w:val="single"/>
    </w:rPr>
  </w:style>
  <w:style w:type="character" w:styleId="CommentReference">
    <w:name w:val="annotation reference"/>
    <w:basedOn w:val="DefaultParagraphFont"/>
    <w:uiPriority w:val="99"/>
    <w:semiHidden/>
    <w:unhideWhenUsed/>
    <w:rsid w:val="00B43E3C"/>
    <w:rPr>
      <w:sz w:val="16"/>
      <w:szCs w:val="16"/>
    </w:rPr>
  </w:style>
  <w:style w:type="paragraph" w:styleId="CommentText">
    <w:name w:val="annotation text"/>
    <w:basedOn w:val="Normal"/>
    <w:link w:val="CommentTextChar"/>
    <w:uiPriority w:val="99"/>
    <w:unhideWhenUsed/>
    <w:rsid w:val="00B43E3C"/>
    <w:pPr>
      <w:spacing w:line="240" w:lineRule="auto"/>
    </w:pPr>
    <w:rPr>
      <w:sz w:val="20"/>
      <w:szCs w:val="20"/>
    </w:rPr>
  </w:style>
  <w:style w:type="character" w:customStyle="1" w:styleId="CommentTextChar">
    <w:name w:val="Comment Text Char"/>
    <w:basedOn w:val="DefaultParagraphFont"/>
    <w:link w:val="CommentText"/>
    <w:uiPriority w:val="99"/>
    <w:rsid w:val="00B43E3C"/>
    <w:rPr>
      <w:rFonts w:ascii="Times New Roman" w:hAnsi="Times New Roman"/>
      <w:sz w:val="20"/>
      <w:szCs w:val="20"/>
      <w:lang w:val="en-US"/>
    </w:rPr>
  </w:style>
  <w:style w:type="paragraph" w:styleId="FootnoteText">
    <w:name w:val="footnote text"/>
    <w:basedOn w:val="Normal"/>
    <w:link w:val="FootnoteTextChar"/>
    <w:uiPriority w:val="99"/>
    <w:semiHidden/>
    <w:unhideWhenUsed/>
    <w:rsid w:val="00B43E3C"/>
    <w:pPr>
      <w:spacing w:line="240" w:lineRule="auto"/>
    </w:pPr>
    <w:rPr>
      <w:sz w:val="20"/>
      <w:szCs w:val="20"/>
    </w:rPr>
  </w:style>
  <w:style w:type="character" w:customStyle="1" w:styleId="FootnoteTextChar">
    <w:name w:val="Footnote Text Char"/>
    <w:basedOn w:val="DefaultParagraphFont"/>
    <w:link w:val="FootnoteText"/>
    <w:uiPriority w:val="99"/>
    <w:semiHidden/>
    <w:rsid w:val="00B43E3C"/>
    <w:rPr>
      <w:rFonts w:ascii="Times New Roman" w:hAnsi="Times New Roman"/>
      <w:sz w:val="20"/>
      <w:szCs w:val="20"/>
      <w:lang w:val="en-US"/>
    </w:rPr>
  </w:style>
  <w:style w:type="character" w:styleId="FootnoteReference">
    <w:name w:val="footnote reference"/>
    <w:basedOn w:val="DefaultParagraphFont"/>
    <w:uiPriority w:val="99"/>
    <w:semiHidden/>
    <w:unhideWhenUsed/>
    <w:rsid w:val="00B43E3C"/>
    <w:rPr>
      <w:vertAlign w:val="superscript"/>
    </w:rPr>
  </w:style>
  <w:style w:type="paragraph" w:styleId="BalloonText">
    <w:name w:val="Balloon Text"/>
    <w:basedOn w:val="Normal"/>
    <w:link w:val="BalloonTextChar"/>
    <w:uiPriority w:val="99"/>
    <w:semiHidden/>
    <w:unhideWhenUsed/>
    <w:rsid w:val="00B43E3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3E3C"/>
    <w:rPr>
      <w:rFonts w:ascii="Segoe UI"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B43E3C"/>
    <w:rPr>
      <w:b/>
      <w:bCs/>
    </w:rPr>
  </w:style>
  <w:style w:type="character" w:customStyle="1" w:styleId="CommentSubjectChar">
    <w:name w:val="Comment Subject Char"/>
    <w:basedOn w:val="CommentTextChar"/>
    <w:link w:val="CommentSubject"/>
    <w:uiPriority w:val="99"/>
    <w:semiHidden/>
    <w:rsid w:val="00B43E3C"/>
    <w:rPr>
      <w:rFonts w:ascii="Times New Roman" w:hAnsi="Times New Roman"/>
      <w:b/>
      <w:bCs/>
      <w:sz w:val="20"/>
      <w:szCs w:val="20"/>
      <w:lang w:val="en-US"/>
    </w:rPr>
  </w:style>
  <w:style w:type="paragraph" w:styleId="Revision">
    <w:name w:val="Revision"/>
    <w:hidden/>
    <w:uiPriority w:val="99"/>
    <w:semiHidden/>
    <w:rsid w:val="00B43E3C"/>
    <w:pPr>
      <w:spacing w:after="0" w:line="240" w:lineRule="auto"/>
    </w:pPr>
    <w:rPr>
      <w:rFonts w:ascii="Times New Roman" w:hAnsi="Times New Roman"/>
      <w:lang w:val="en-US"/>
    </w:rPr>
  </w:style>
  <w:style w:type="character" w:styleId="EndnoteReference">
    <w:name w:val="endnote reference"/>
    <w:basedOn w:val="DefaultParagraphFont"/>
    <w:uiPriority w:val="99"/>
    <w:semiHidden/>
    <w:unhideWhenUsed/>
    <w:rsid w:val="00B43E3C"/>
    <w:rPr>
      <w:vertAlign w:val="superscript"/>
    </w:rPr>
  </w:style>
  <w:style w:type="paragraph" w:styleId="ListParagraph">
    <w:name w:val="List Paragraph"/>
    <w:basedOn w:val="Normal"/>
    <w:uiPriority w:val="34"/>
    <w:qFormat/>
    <w:rsid w:val="00B43E3C"/>
    <w:pPr>
      <w:ind w:left="720"/>
      <w:contextualSpacing/>
    </w:pPr>
  </w:style>
  <w:style w:type="character" w:customStyle="1" w:styleId="ui-ncbitoggler-master-text">
    <w:name w:val="ui-ncbitoggler-master-text"/>
    <w:basedOn w:val="DefaultParagraphFont"/>
    <w:rsid w:val="00B43E3C"/>
  </w:style>
  <w:style w:type="paragraph" w:styleId="Header">
    <w:name w:val="header"/>
    <w:basedOn w:val="Normal"/>
    <w:link w:val="HeaderChar"/>
    <w:uiPriority w:val="99"/>
    <w:unhideWhenUsed/>
    <w:rsid w:val="00B43E3C"/>
    <w:pPr>
      <w:tabs>
        <w:tab w:val="center" w:pos="4536"/>
        <w:tab w:val="right" w:pos="9072"/>
      </w:tabs>
      <w:spacing w:line="240" w:lineRule="auto"/>
    </w:pPr>
  </w:style>
  <w:style w:type="character" w:customStyle="1" w:styleId="HeaderChar">
    <w:name w:val="Header Char"/>
    <w:basedOn w:val="DefaultParagraphFont"/>
    <w:link w:val="Header"/>
    <w:uiPriority w:val="99"/>
    <w:rsid w:val="00B43E3C"/>
    <w:rPr>
      <w:rFonts w:ascii="Times New Roman" w:hAnsi="Times New Roman"/>
      <w:lang w:val="en-US"/>
    </w:rPr>
  </w:style>
  <w:style w:type="paragraph" w:styleId="Footer">
    <w:name w:val="footer"/>
    <w:basedOn w:val="Normal"/>
    <w:link w:val="FooterChar"/>
    <w:uiPriority w:val="99"/>
    <w:unhideWhenUsed/>
    <w:rsid w:val="00B43E3C"/>
    <w:pPr>
      <w:tabs>
        <w:tab w:val="center" w:pos="4536"/>
        <w:tab w:val="right" w:pos="9072"/>
      </w:tabs>
      <w:spacing w:line="240" w:lineRule="auto"/>
    </w:pPr>
  </w:style>
  <w:style w:type="character" w:customStyle="1" w:styleId="FooterChar">
    <w:name w:val="Footer Char"/>
    <w:basedOn w:val="DefaultParagraphFont"/>
    <w:link w:val="Footer"/>
    <w:uiPriority w:val="99"/>
    <w:rsid w:val="00B43E3C"/>
    <w:rPr>
      <w:rFonts w:ascii="Times New Roman" w:hAnsi="Times New Roman"/>
      <w:lang w:val="en-US"/>
    </w:rPr>
  </w:style>
  <w:style w:type="character" w:styleId="Strong">
    <w:name w:val="Strong"/>
    <w:basedOn w:val="DefaultParagraphFont"/>
    <w:uiPriority w:val="22"/>
    <w:qFormat/>
    <w:rsid w:val="00B43E3C"/>
    <w:rPr>
      <w:b/>
      <w:bCs/>
    </w:rPr>
  </w:style>
  <w:style w:type="character" w:styleId="LineNumber">
    <w:name w:val="line number"/>
    <w:basedOn w:val="DefaultParagraphFont"/>
    <w:uiPriority w:val="99"/>
    <w:semiHidden/>
    <w:unhideWhenUsed/>
    <w:rsid w:val="00B43E3C"/>
  </w:style>
  <w:style w:type="numbering" w:customStyle="1" w:styleId="NoList1">
    <w:name w:val="No List1"/>
    <w:next w:val="NoList"/>
    <w:uiPriority w:val="99"/>
    <w:semiHidden/>
    <w:unhideWhenUsed/>
    <w:rsid w:val="00B43E3C"/>
  </w:style>
  <w:style w:type="character" w:styleId="FollowedHyperlink">
    <w:name w:val="FollowedHyperlink"/>
    <w:basedOn w:val="DefaultParagraphFont"/>
    <w:uiPriority w:val="99"/>
    <w:semiHidden/>
    <w:unhideWhenUsed/>
    <w:rsid w:val="00B43E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atadryad.org"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png"/><Relationship Id="rId12" Type="http://schemas.openxmlformats.org/officeDocument/2006/relationships/hyperlink" Target="http://www.ForestPlots.net" TargetMode="External"/><Relationship Id="rId17" Type="http://schemas.openxmlformats.org/officeDocument/2006/relationships/hyperlink" Target="mailto:whubau@gmail.com"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www.forestplots.net/en/resources/analysis" TargetMode="Externa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orestPlots.net"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dx.doi.org/10.5521/Forestplots.net/2019_1" TargetMode="External"/><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hyperlink" Target="http://www.afritron.org"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ville-ge.ch/cjb/bd/africa/"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67</Pages>
  <Words>18028</Words>
  <Characters>102763</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MRAC - KMMA</Company>
  <LinksUpToDate>false</LinksUpToDate>
  <CharactersWithSpaces>120550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Wannes Hubau</dc:creator>
  <cp:lastModifiedBy>Andy Poyer</cp:lastModifiedBy>
  <cp:revision>2</cp:revision>
  <dcterms:created xsi:type="dcterms:W3CDTF">2020-01-14T09:49:00Z</dcterms:created>
  <dcterms:modified xsi:type="dcterms:W3CDTF">2020-01-14T09:49:00Z</dcterms:modified>
</cp:coreProperties>
</file>