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53E" w:rsidRDefault="0068753E" w:rsidP="00CC12E4">
      <w:pPr>
        <w:pStyle w:val="ListParagraph"/>
        <w:spacing w:after="120" w:line="240" w:lineRule="auto"/>
        <w:jc w:val="center"/>
        <w:rPr>
          <w:rFonts w:eastAsia="Times New Roman" w:cs="Times New Roman"/>
          <w:spacing w:val="5"/>
          <w:kern w:val="28"/>
          <w:sz w:val="28"/>
          <w:szCs w:val="28"/>
          <w:lang w:eastAsia="en-GB"/>
        </w:rPr>
      </w:pPr>
      <w:bookmarkStart w:id="0" w:name="_GoBack"/>
      <w:r w:rsidRPr="00836AE3">
        <w:rPr>
          <w:rFonts w:eastAsia="Times New Roman" w:cs="Times New Roman"/>
          <w:spacing w:val="5"/>
          <w:kern w:val="28"/>
          <w:sz w:val="28"/>
          <w:szCs w:val="28"/>
          <w:lang w:eastAsia="en-GB"/>
        </w:rPr>
        <w:t>Health opportunity costs: assessing the implications of uncertainty using elicitation methods with experts</w:t>
      </w:r>
    </w:p>
    <w:p w:rsidR="0068753E" w:rsidRDefault="0068753E" w:rsidP="00CC12E4">
      <w:pPr>
        <w:pStyle w:val="ListParagraph"/>
        <w:tabs>
          <w:tab w:val="left" w:pos="6127"/>
        </w:tabs>
        <w:spacing w:after="120" w:line="240" w:lineRule="auto"/>
        <w:ind w:left="0"/>
        <w:contextualSpacing w:val="0"/>
        <w:rPr>
          <w:rFonts w:eastAsia="Times New Roman" w:cs="Times New Roman"/>
          <w:b/>
          <w:color w:val="000000" w:themeColor="text1"/>
          <w:spacing w:val="5"/>
          <w:kern w:val="28"/>
          <w:sz w:val="14"/>
          <w:szCs w:val="28"/>
          <w:lang w:eastAsia="en-GB"/>
        </w:rPr>
      </w:pPr>
      <w:r>
        <w:rPr>
          <w:rFonts w:eastAsia="Times New Roman" w:cs="Times New Roman"/>
          <w:b/>
          <w:color w:val="000000" w:themeColor="text1"/>
          <w:spacing w:val="5"/>
          <w:kern w:val="28"/>
          <w:sz w:val="14"/>
          <w:szCs w:val="28"/>
          <w:lang w:eastAsia="en-GB"/>
        </w:rPr>
        <w:tab/>
      </w:r>
    </w:p>
    <w:p w:rsidR="0068753E" w:rsidRDefault="0068753E" w:rsidP="00CC12E4">
      <w:pPr>
        <w:pStyle w:val="ListParagraph"/>
        <w:spacing w:after="120" w:line="240" w:lineRule="auto"/>
        <w:ind w:left="0"/>
        <w:contextualSpacing w:val="0"/>
        <w:jc w:val="center"/>
        <w:rPr>
          <w:rFonts w:eastAsia="Times New Roman" w:cs="Times New Roman"/>
          <w:color w:val="000000" w:themeColor="text1"/>
          <w:spacing w:val="5"/>
          <w:kern w:val="28"/>
          <w:sz w:val="14"/>
          <w:szCs w:val="28"/>
          <w:lang w:eastAsia="en-GB"/>
        </w:rPr>
      </w:pPr>
    </w:p>
    <w:p w:rsidR="0068753E" w:rsidRPr="00EC696B" w:rsidRDefault="0068753E" w:rsidP="00CC12E4">
      <w:pPr>
        <w:pStyle w:val="ListParagraph"/>
        <w:spacing w:after="120" w:line="240" w:lineRule="auto"/>
        <w:ind w:left="0"/>
        <w:contextualSpacing w:val="0"/>
        <w:jc w:val="center"/>
        <w:rPr>
          <w:rFonts w:eastAsia="Times New Roman" w:cs="Times New Roman"/>
          <w:color w:val="000000" w:themeColor="text1"/>
          <w:spacing w:val="5"/>
          <w:kern w:val="28"/>
          <w:sz w:val="24"/>
          <w:szCs w:val="28"/>
          <w:lang w:val="pt-PT" w:eastAsia="en-GB"/>
        </w:rPr>
      </w:pPr>
      <w:r w:rsidRPr="00EC696B">
        <w:rPr>
          <w:rFonts w:eastAsia="Times New Roman" w:cs="Times New Roman"/>
          <w:color w:val="000000" w:themeColor="text1"/>
          <w:spacing w:val="5"/>
          <w:kern w:val="28"/>
          <w:sz w:val="24"/>
          <w:szCs w:val="28"/>
          <w:lang w:val="pt-PT" w:eastAsia="en-GB"/>
        </w:rPr>
        <w:t>Soares MO, Sculpher MJ, Claxton K</w:t>
      </w:r>
    </w:p>
    <w:p w:rsidR="0068753E" w:rsidRDefault="0068753E" w:rsidP="00CC12E4">
      <w:pPr>
        <w:pStyle w:val="ListParagraph"/>
        <w:spacing w:after="120" w:line="240" w:lineRule="auto"/>
        <w:ind w:left="0"/>
        <w:contextualSpacing w:val="0"/>
        <w:rPr>
          <w:rFonts w:eastAsia="Times New Roman" w:cs="Times New Roman"/>
          <w:b/>
          <w:color w:val="000000" w:themeColor="text1"/>
          <w:spacing w:val="5"/>
          <w:kern w:val="28"/>
          <w:sz w:val="14"/>
          <w:szCs w:val="28"/>
          <w:lang w:val="pt-PT" w:eastAsia="en-GB"/>
        </w:rPr>
      </w:pPr>
    </w:p>
    <w:p w:rsidR="0068753E" w:rsidRDefault="0068753E" w:rsidP="00CC12E4">
      <w:pPr>
        <w:pStyle w:val="ListParagraph"/>
        <w:spacing w:after="120" w:line="240" w:lineRule="auto"/>
        <w:ind w:left="0"/>
        <w:contextualSpacing w:val="0"/>
        <w:jc w:val="center"/>
        <w:rPr>
          <w:rFonts w:eastAsia="Times New Roman" w:cs="Times New Roman"/>
          <w:spacing w:val="5"/>
          <w:kern w:val="28"/>
          <w:szCs w:val="28"/>
          <w:lang w:eastAsia="en-GB"/>
        </w:rPr>
      </w:pPr>
      <w:r>
        <w:rPr>
          <w:rFonts w:eastAsia="Times New Roman" w:cs="Times New Roman"/>
          <w:spacing w:val="5"/>
          <w:kern w:val="28"/>
          <w:szCs w:val="28"/>
          <w:lang w:eastAsia="en-GB"/>
        </w:rPr>
        <w:t>S</w:t>
      </w:r>
      <w:r w:rsidRPr="002202CB">
        <w:rPr>
          <w:rFonts w:eastAsia="Times New Roman" w:cs="Times New Roman"/>
          <w:spacing w:val="5"/>
          <w:kern w:val="28"/>
          <w:szCs w:val="28"/>
          <w:lang w:eastAsia="en-GB"/>
        </w:rPr>
        <w:t>ubmission to MDM</w:t>
      </w:r>
      <w:r>
        <w:rPr>
          <w:rFonts w:eastAsia="Times New Roman" w:cs="Times New Roman"/>
          <w:spacing w:val="5"/>
          <w:kern w:val="28"/>
          <w:szCs w:val="28"/>
          <w:lang w:eastAsia="en-GB"/>
        </w:rPr>
        <w:t xml:space="preserve"> </w:t>
      </w:r>
    </w:p>
    <w:p w:rsidR="0068753E" w:rsidRDefault="0068753E">
      <w:pPr>
        <w:rPr>
          <w:rFonts w:eastAsia="Times New Roman" w:cs="Times New Roman"/>
          <w:spacing w:val="5"/>
          <w:kern w:val="28"/>
          <w:szCs w:val="28"/>
          <w:lang w:eastAsia="en-GB"/>
        </w:rPr>
      </w:pPr>
    </w:p>
    <w:p w:rsidR="0068753E" w:rsidRDefault="0068753E">
      <w:pPr>
        <w:rPr>
          <w:rFonts w:eastAsia="Times New Roman" w:cs="Times New Roman"/>
          <w:spacing w:val="5"/>
          <w:kern w:val="28"/>
          <w:szCs w:val="28"/>
          <w:lang w:eastAsia="en-GB"/>
        </w:rPr>
      </w:pPr>
      <w:r>
        <w:rPr>
          <w:rFonts w:eastAsia="Times New Roman" w:cs="Times New Roman"/>
          <w:spacing w:val="5"/>
          <w:kern w:val="28"/>
          <w:szCs w:val="28"/>
          <w:lang w:eastAsia="en-GB"/>
        </w:rPr>
        <w:t xml:space="preserve">Running title: Elicitation to inform health opportunity costs </w:t>
      </w:r>
    </w:p>
    <w:p w:rsidR="0068753E" w:rsidRPr="00836AE3" w:rsidRDefault="0068753E" w:rsidP="00CC12E4">
      <w:pPr>
        <w:rPr>
          <w:rFonts w:eastAsia="Times New Roman" w:cs="Times New Roman"/>
          <w:spacing w:val="5"/>
          <w:kern w:val="28"/>
          <w:szCs w:val="28"/>
          <w:lang w:eastAsia="en-GB"/>
        </w:rPr>
      </w:pPr>
    </w:p>
    <w:p w:rsidR="0068753E" w:rsidRPr="00836AE3" w:rsidRDefault="0068753E" w:rsidP="00CC12E4">
      <w:pPr>
        <w:rPr>
          <w:rFonts w:eastAsia="Times New Roman" w:cs="Times New Roman"/>
          <w:spacing w:val="5"/>
          <w:kern w:val="28"/>
          <w:szCs w:val="28"/>
          <w:lang w:eastAsia="en-GB"/>
        </w:rPr>
      </w:pPr>
      <w:r w:rsidRPr="00836AE3">
        <w:rPr>
          <w:rFonts w:eastAsia="Times New Roman" w:cs="Times New Roman"/>
          <w:spacing w:val="5"/>
          <w:kern w:val="28"/>
          <w:szCs w:val="28"/>
          <w:lang w:eastAsia="en-GB"/>
        </w:rPr>
        <w:t xml:space="preserve">Soares MO*, </w:t>
      </w:r>
      <w:r>
        <w:rPr>
          <w:rFonts w:eastAsia="Times New Roman" w:cs="Times New Roman"/>
          <w:spacing w:val="5"/>
          <w:kern w:val="28"/>
          <w:szCs w:val="28"/>
          <w:lang w:eastAsia="en-GB"/>
        </w:rPr>
        <w:t>PhD</w:t>
      </w:r>
      <w:r w:rsidRPr="00836AE3">
        <w:rPr>
          <w:rFonts w:eastAsia="Times New Roman" w:cs="Times New Roman"/>
          <w:spacing w:val="5"/>
          <w:kern w:val="28"/>
          <w:szCs w:val="28"/>
          <w:lang w:eastAsia="en-GB"/>
        </w:rPr>
        <w:t>: Centre for Health Economics, the University of York, UK; marta.soares@york.ac.uk</w:t>
      </w:r>
    </w:p>
    <w:p w:rsidR="0068753E" w:rsidRPr="00836AE3" w:rsidRDefault="0068753E" w:rsidP="00CC12E4">
      <w:pPr>
        <w:rPr>
          <w:rFonts w:eastAsia="Times New Roman" w:cs="Times New Roman"/>
          <w:spacing w:val="5"/>
          <w:kern w:val="28"/>
          <w:szCs w:val="28"/>
          <w:lang w:eastAsia="en-GB"/>
        </w:rPr>
      </w:pPr>
      <w:r w:rsidRPr="00836AE3">
        <w:rPr>
          <w:rFonts w:eastAsia="Times New Roman" w:cs="Times New Roman"/>
          <w:spacing w:val="5"/>
          <w:kern w:val="28"/>
          <w:szCs w:val="28"/>
          <w:lang w:eastAsia="en-GB"/>
        </w:rPr>
        <w:t>Sculpher MJ, PhD: Centre for Health Economics, the University of York, UK; mark.sculpher@york.ac.uk</w:t>
      </w:r>
    </w:p>
    <w:p w:rsidR="0068753E" w:rsidRPr="00836AE3" w:rsidRDefault="0068753E" w:rsidP="00CC12E4">
      <w:pPr>
        <w:rPr>
          <w:rFonts w:eastAsia="Times New Roman" w:cs="Times New Roman"/>
          <w:spacing w:val="5"/>
          <w:kern w:val="28"/>
          <w:szCs w:val="28"/>
          <w:lang w:eastAsia="en-GB"/>
        </w:rPr>
      </w:pPr>
      <w:r>
        <w:rPr>
          <w:rFonts w:eastAsia="Times New Roman" w:cs="Times New Roman"/>
          <w:spacing w:val="5"/>
          <w:kern w:val="28"/>
          <w:szCs w:val="28"/>
          <w:lang w:eastAsia="en-GB"/>
        </w:rPr>
        <w:t>Claxton</w:t>
      </w:r>
      <w:r w:rsidRPr="00836AE3">
        <w:rPr>
          <w:rFonts w:eastAsia="Times New Roman" w:cs="Times New Roman"/>
          <w:spacing w:val="5"/>
          <w:kern w:val="28"/>
          <w:szCs w:val="28"/>
          <w:lang w:eastAsia="en-GB"/>
        </w:rPr>
        <w:t xml:space="preserve"> </w:t>
      </w:r>
      <w:r>
        <w:rPr>
          <w:rFonts w:eastAsia="Times New Roman" w:cs="Times New Roman"/>
          <w:spacing w:val="5"/>
          <w:kern w:val="28"/>
          <w:szCs w:val="28"/>
          <w:lang w:eastAsia="en-GB"/>
        </w:rPr>
        <w:t>K</w:t>
      </w:r>
      <w:r w:rsidRPr="00836AE3">
        <w:rPr>
          <w:rFonts w:eastAsia="Times New Roman" w:cs="Times New Roman"/>
          <w:spacing w:val="5"/>
          <w:kern w:val="28"/>
          <w:szCs w:val="28"/>
          <w:lang w:eastAsia="en-GB"/>
        </w:rPr>
        <w:t>, PhD</w:t>
      </w:r>
      <w:r>
        <w:rPr>
          <w:rFonts w:eastAsia="Times New Roman" w:cs="Times New Roman"/>
          <w:spacing w:val="5"/>
          <w:kern w:val="28"/>
          <w:szCs w:val="28"/>
          <w:lang w:eastAsia="en-GB"/>
        </w:rPr>
        <w:t>:</w:t>
      </w:r>
      <w:r w:rsidRPr="00836AE3">
        <w:rPr>
          <w:rFonts w:eastAsia="Times New Roman" w:cs="Times New Roman"/>
          <w:spacing w:val="5"/>
          <w:kern w:val="28"/>
          <w:szCs w:val="28"/>
          <w:lang w:eastAsia="en-GB"/>
        </w:rPr>
        <w:t xml:space="preserve"> Centre for Health Economics</w:t>
      </w:r>
      <w:r>
        <w:rPr>
          <w:rFonts w:eastAsia="Times New Roman" w:cs="Times New Roman"/>
          <w:spacing w:val="5"/>
          <w:kern w:val="28"/>
          <w:szCs w:val="28"/>
          <w:lang w:eastAsia="en-GB"/>
        </w:rPr>
        <w:t xml:space="preserve"> and Department of Economics</w:t>
      </w:r>
      <w:r w:rsidRPr="00836AE3">
        <w:rPr>
          <w:rFonts w:eastAsia="Times New Roman" w:cs="Times New Roman"/>
          <w:spacing w:val="5"/>
          <w:kern w:val="28"/>
          <w:szCs w:val="28"/>
          <w:lang w:eastAsia="en-GB"/>
        </w:rPr>
        <w:t xml:space="preserve">, the University of York, UK; </w:t>
      </w:r>
      <w:r>
        <w:rPr>
          <w:rFonts w:eastAsia="Times New Roman" w:cs="Times New Roman"/>
          <w:spacing w:val="5"/>
          <w:kern w:val="28"/>
          <w:szCs w:val="28"/>
          <w:lang w:eastAsia="en-GB"/>
        </w:rPr>
        <w:t>karl</w:t>
      </w:r>
      <w:r w:rsidRPr="00836AE3">
        <w:rPr>
          <w:rFonts w:eastAsia="Times New Roman" w:cs="Times New Roman"/>
          <w:spacing w:val="5"/>
          <w:kern w:val="28"/>
          <w:szCs w:val="28"/>
          <w:lang w:eastAsia="en-GB"/>
        </w:rPr>
        <w:t>.</w:t>
      </w:r>
      <w:r>
        <w:rPr>
          <w:rFonts w:eastAsia="Times New Roman" w:cs="Times New Roman"/>
          <w:spacing w:val="5"/>
          <w:kern w:val="28"/>
          <w:szCs w:val="28"/>
          <w:lang w:eastAsia="en-GB"/>
        </w:rPr>
        <w:t>claxton</w:t>
      </w:r>
      <w:r w:rsidRPr="00836AE3">
        <w:rPr>
          <w:rFonts w:eastAsia="Times New Roman" w:cs="Times New Roman"/>
          <w:spacing w:val="5"/>
          <w:kern w:val="28"/>
          <w:szCs w:val="28"/>
          <w:lang w:eastAsia="en-GB"/>
        </w:rPr>
        <w:t>@york.ac.uk</w:t>
      </w:r>
    </w:p>
    <w:p w:rsidR="0068753E" w:rsidRPr="00836AE3" w:rsidRDefault="0068753E" w:rsidP="00CC12E4">
      <w:pPr>
        <w:rPr>
          <w:rFonts w:eastAsia="Times New Roman" w:cs="Times New Roman"/>
          <w:spacing w:val="5"/>
          <w:kern w:val="28"/>
          <w:szCs w:val="28"/>
          <w:lang w:eastAsia="en-GB"/>
        </w:rPr>
      </w:pPr>
    </w:p>
    <w:p w:rsidR="0068753E" w:rsidRPr="00836AE3" w:rsidRDefault="0068753E" w:rsidP="00CC12E4">
      <w:pPr>
        <w:rPr>
          <w:rFonts w:eastAsia="Times New Roman" w:cs="Times New Roman"/>
          <w:spacing w:val="5"/>
          <w:kern w:val="28"/>
          <w:szCs w:val="28"/>
          <w:lang w:eastAsia="en-GB"/>
        </w:rPr>
      </w:pPr>
      <w:r w:rsidRPr="00836AE3">
        <w:rPr>
          <w:rFonts w:eastAsia="Times New Roman" w:cs="Times New Roman"/>
          <w:spacing w:val="5"/>
          <w:kern w:val="28"/>
          <w:szCs w:val="28"/>
          <w:lang w:eastAsia="en-GB"/>
        </w:rPr>
        <w:t>* corresponding author</w:t>
      </w:r>
    </w:p>
    <w:p w:rsidR="0068753E" w:rsidRPr="00836AE3" w:rsidRDefault="0068753E" w:rsidP="00CC12E4">
      <w:pPr>
        <w:rPr>
          <w:rFonts w:eastAsia="Times New Roman" w:cs="Times New Roman"/>
          <w:spacing w:val="5"/>
          <w:kern w:val="28"/>
          <w:szCs w:val="28"/>
          <w:lang w:eastAsia="en-GB"/>
        </w:rPr>
      </w:pPr>
    </w:p>
    <w:p w:rsidR="0068753E" w:rsidRPr="00836AE3" w:rsidRDefault="0068753E" w:rsidP="00CC12E4">
      <w:pPr>
        <w:rPr>
          <w:rFonts w:eastAsia="Times New Roman" w:cs="Times New Roman"/>
          <w:spacing w:val="5"/>
          <w:kern w:val="28"/>
          <w:szCs w:val="28"/>
          <w:lang w:eastAsia="en-GB"/>
        </w:rPr>
      </w:pPr>
    </w:p>
    <w:p w:rsidR="0068753E" w:rsidRPr="00836AE3" w:rsidRDefault="0068753E" w:rsidP="00CC12E4">
      <w:pPr>
        <w:rPr>
          <w:rFonts w:eastAsia="Times New Roman" w:cs="Times New Roman"/>
          <w:spacing w:val="5"/>
          <w:kern w:val="28"/>
          <w:szCs w:val="28"/>
          <w:lang w:eastAsia="en-GB"/>
        </w:rPr>
      </w:pPr>
    </w:p>
    <w:p w:rsidR="0068753E" w:rsidRPr="00836AE3" w:rsidRDefault="0068753E" w:rsidP="00CC12E4">
      <w:pPr>
        <w:rPr>
          <w:rFonts w:eastAsia="Times New Roman" w:cs="Times New Roman"/>
          <w:spacing w:val="5"/>
          <w:kern w:val="28"/>
          <w:szCs w:val="28"/>
          <w:lang w:eastAsia="en-GB"/>
        </w:rPr>
      </w:pPr>
    </w:p>
    <w:p w:rsidR="0068753E" w:rsidRPr="00836AE3" w:rsidRDefault="0068753E" w:rsidP="00CC12E4">
      <w:pPr>
        <w:rPr>
          <w:rFonts w:eastAsia="Times New Roman" w:cs="Times New Roman"/>
          <w:spacing w:val="5"/>
          <w:kern w:val="28"/>
          <w:szCs w:val="28"/>
          <w:lang w:eastAsia="en-GB"/>
        </w:rPr>
      </w:pPr>
    </w:p>
    <w:p w:rsidR="0068753E" w:rsidRPr="00836AE3" w:rsidRDefault="0068753E" w:rsidP="00CC12E4">
      <w:pPr>
        <w:rPr>
          <w:rFonts w:eastAsia="Times New Roman" w:cs="Times New Roman"/>
          <w:spacing w:val="5"/>
          <w:kern w:val="28"/>
          <w:szCs w:val="28"/>
          <w:lang w:eastAsia="en-GB"/>
        </w:rPr>
      </w:pPr>
      <w:r>
        <w:rPr>
          <w:rFonts w:eastAsia="Times New Roman" w:cs="Times New Roman"/>
          <w:spacing w:val="5"/>
          <w:kern w:val="28"/>
          <w:szCs w:val="28"/>
          <w:lang w:eastAsia="en-GB"/>
        </w:rPr>
        <w:t>Word count (up to 5000): 5280</w:t>
      </w:r>
    </w:p>
    <w:p w:rsidR="0068753E" w:rsidRPr="00836AE3" w:rsidRDefault="0068753E" w:rsidP="00CC12E4">
      <w:pPr>
        <w:rPr>
          <w:rFonts w:eastAsia="Times New Roman" w:cs="Times New Roman"/>
          <w:spacing w:val="5"/>
          <w:kern w:val="28"/>
          <w:szCs w:val="28"/>
          <w:lang w:eastAsia="en-GB"/>
        </w:rPr>
      </w:pPr>
    </w:p>
    <w:p w:rsidR="008E605A" w:rsidRPr="00D102C4" w:rsidRDefault="0068753E" w:rsidP="008E605A">
      <w:pPr>
        <w:autoSpaceDE w:val="0"/>
        <w:autoSpaceDN w:val="0"/>
        <w:adjustRightInd w:val="0"/>
        <w:spacing w:after="0" w:line="240" w:lineRule="auto"/>
        <w:rPr>
          <w:rFonts w:cstheme="minorHAnsi"/>
          <w:i/>
          <w:iCs/>
        </w:rPr>
      </w:pPr>
      <w:r>
        <w:rPr>
          <w:rFonts w:eastAsia="Times New Roman" w:cs="Times New Roman"/>
          <w:spacing w:val="5"/>
          <w:kern w:val="28"/>
          <w:szCs w:val="28"/>
          <w:lang w:eastAsia="en-GB"/>
        </w:rPr>
        <w:t xml:space="preserve">FUNDING STATEMENT: </w:t>
      </w:r>
    </w:p>
    <w:p w:rsidR="008E605A" w:rsidRPr="00D102C4" w:rsidRDefault="008E605A" w:rsidP="008E605A">
      <w:pPr>
        <w:autoSpaceDE w:val="0"/>
        <w:autoSpaceDN w:val="0"/>
        <w:adjustRightInd w:val="0"/>
        <w:spacing w:after="0" w:line="240" w:lineRule="auto"/>
        <w:rPr>
          <w:rFonts w:eastAsia="Times New Roman" w:cstheme="minorHAnsi"/>
          <w:i/>
          <w:iCs/>
          <w:spacing w:val="5"/>
          <w:kern w:val="28"/>
          <w:lang w:eastAsia="en-GB"/>
        </w:rPr>
      </w:pPr>
      <w:r w:rsidRPr="00D102C4">
        <w:rPr>
          <w:rFonts w:cstheme="minorHAnsi"/>
          <w:i/>
          <w:iCs/>
        </w:rPr>
        <w:t>This research is funded by the National Institute for Health Research (NIHR) Policy Research Programme, conducted through the Policy Research Unit in Economic Methods of Evaluation in Health and Social Care Interventions, PR-PRU-</w:t>
      </w:r>
      <w:r w:rsidRPr="00D102C4">
        <w:rPr>
          <w:rFonts w:eastAsia="Times New Roman" w:cstheme="minorHAnsi"/>
          <w:i/>
          <w:iCs/>
          <w:color w:val="222222"/>
        </w:rPr>
        <w:t>104/0001</w:t>
      </w:r>
      <w:r w:rsidRPr="00D102C4">
        <w:rPr>
          <w:rFonts w:cstheme="minorHAnsi"/>
          <w:i/>
          <w:iCs/>
        </w:rPr>
        <w:t>. The views expressed are those of the author(s) and not necessarily those of the NIHR or the Department of Health and Social Care.</w:t>
      </w:r>
    </w:p>
    <w:p w:rsidR="008E605A" w:rsidRPr="00690B90" w:rsidRDefault="008E605A" w:rsidP="008E605A">
      <w:pPr>
        <w:rPr>
          <w:rFonts w:eastAsia="Times New Roman" w:cs="Times New Roman"/>
          <w:spacing w:val="5"/>
          <w:kern w:val="28"/>
          <w:szCs w:val="28"/>
          <w:lang w:eastAsia="en-GB"/>
        </w:rPr>
      </w:pPr>
      <w:r w:rsidRPr="007504F1">
        <w:rPr>
          <w:rFonts w:eastAsia="Times New Roman" w:cs="Times New Roman"/>
          <w:i/>
          <w:iCs/>
          <w:spacing w:val="5"/>
          <w:kern w:val="28"/>
          <w:szCs w:val="28"/>
          <w:lang w:eastAsia="en-GB"/>
        </w:rPr>
        <w:t>Any errors are the responsibility of the authors.</w:t>
      </w:r>
    </w:p>
    <w:p w:rsidR="0068753E" w:rsidRPr="00690B90" w:rsidRDefault="0068753E" w:rsidP="00CC12E4">
      <w:pPr>
        <w:rPr>
          <w:rFonts w:eastAsia="Times New Roman" w:cs="Times New Roman"/>
          <w:spacing w:val="5"/>
          <w:kern w:val="28"/>
          <w:szCs w:val="28"/>
          <w:lang w:eastAsia="en-GB"/>
        </w:rPr>
      </w:pPr>
    </w:p>
    <w:p w:rsidR="0068753E" w:rsidRDefault="0068753E">
      <w:pPr>
        <w:rPr>
          <w:rFonts w:eastAsia="Times New Roman" w:cs="Times New Roman"/>
          <w:spacing w:val="5"/>
          <w:kern w:val="28"/>
          <w:szCs w:val="28"/>
          <w:lang w:eastAsia="en-GB"/>
        </w:rPr>
      </w:pPr>
    </w:p>
    <w:p w:rsidR="0068753E" w:rsidRDefault="0068753E" w:rsidP="00CC12E4">
      <w:pPr>
        <w:pStyle w:val="ListParagraph"/>
        <w:spacing w:after="120" w:line="240" w:lineRule="auto"/>
        <w:ind w:left="0"/>
        <w:contextualSpacing w:val="0"/>
        <w:rPr>
          <w:rFonts w:eastAsia="Times New Roman" w:cs="Times New Roman"/>
          <w:spacing w:val="5"/>
          <w:kern w:val="28"/>
          <w:szCs w:val="28"/>
          <w:lang w:eastAsia="en-GB"/>
        </w:rPr>
      </w:pPr>
    </w:p>
    <w:p w:rsidR="0068753E" w:rsidRPr="006509B4" w:rsidRDefault="0068753E" w:rsidP="00CC12E4">
      <w:pPr>
        <w:spacing w:after="0" w:line="360" w:lineRule="auto"/>
        <w:rPr>
          <w:rFonts w:ascii="Arial" w:hAnsi="Arial"/>
          <w:sz w:val="20"/>
        </w:rPr>
      </w:pPr>
      <w:r>
        <w:rPr>
          <w:rFonts w:ascii="Arial" w:hAnsi="Arial" w:cs="Arial"/>
          <w:b/>
          <w:caps/>
          <w:szCs w:val="24"/>
        </w:rPr>
        <w:t xml:space="preserve">abstract </w:t>
      </w:r>
    </w:p>
    <w:p w:rsidR="0068753E" w:rsidRDefault="0068753E" w:rsidP="00CC12E4">
      <w:pPr>
        <w:spacing w:after="120"/>
      </w:pPr>
      <w:r w:rsidDel="009B30AB">
        <w:t xml:space="preserve">Well-established methods of economic evaluation are used in many countries to inform decisions about </w:t>
      </w:r>
      <w:r>
        <w:t xml:space="preserve">the funding of </w:t>
      </w:r>
      <w:r w:rsidDel="009B30AB">
        <w:t xml:space="preserve">new medical interventions. </w:t>
      </w:r>
      <w:r>
        <w:t>To guide such decisions, it is important to consider what health gains would be expected from the same level of investment elsewhere in the health care system.  Recent research in the UK has evaluated the evidence available and the methods required to estimate the health effects of changes in health care expenditure within</w:t>
      </w:r>
      <w:r w:rsidRPr="000605CF">
        <w:t xml:space="preserve"> the </w:t>
      </w:r>
      <w:r>
        <w:t xml:space="preserve">National Health Service. Due to the absence of sufficiently broad-ranging data, assumptions were required to estimate health effects in terms of a </w:t>
      </w:r>
      <w:r w:rsidRPr="003526C3">
        <w:t>broader measure of health</w:t>
      </w:r>
      <w:r>
        <w:t xml:space="preserve"> (quality adjusted life-years), which is more relevant for policy. These assumptions constitute important sources of uncertainty.</w:t>
      </w:r>
    </w:p>
    <w:p w:rsidR="0068753E" w:rsidRDefault="0068753E" w:rsidP="00CC12E4">
      <w:pPr>
        <w:spacing w:after="120"/>
      </w:pPr>
      <w:r>
        <w:t>This work presents an application of the structured elicitation of the judgements of key individuals about these uncertain quantities. This paper describes the</w:t>
      </w:r>
      <w:r w:rsidRPr="00C87EF0">
        <w:t xml:space="preserve"> </w:t>
      </w:r>
      <w:r>
        <w:t xml:space="preserve">design and conduct of the exercise, </w:t>
      </w:r>
      <w:r w:rsidR="008E605A">
        <w:t>including</w:t>
      </w:r>
      <w:r>
        <w:t xml:space="preserve">: the quantities elicited; the individual (rather than consensus) approach used; how uncertainty in knowledge was elicited (mode and bounds of an </w:t>
      </w:r>
      <w:r w:rsidRPr="004153E9">
        <w:t>80</w:t>
      </w:r>
      <w:r w:rsidRPr="00662D10">
        <w:t>%</w:t>
      </w:r>
      <w:r>
        <w:t xml:space="preserve"> credible interval); and methods to generate group estimates. It also reports on a successful application involving 28 clinical experts and 25 individuals with policy responsibilities. Whilst,</w:t>
      </w:r>
      <w:r w:rsidRPr="003C30A7">
        <w:t xml:space="preserve"> </w:t>
      </w:r>
      <w:r>
        <w:t xml:space="preserve">as expected, most experts found replying to the questions challenging, they were able to express their beliefs quantitatively. </w:t>
      </w:r>
      <w:r w:rsidRPr="0028795B">
        <w:t>Consistently across the uncertainties</w:t>
      </w:r>
      <w:r>
        <w:t xml:space="preserve"> elicited</w:t>
      </w:r>
      <w:r w:rsidRPr="0028795B">
        <w:t>, experts’ judgements suggest the QALY impact</w:t>
      </w:r>
      <w:r>
        <w:t>s</w:t>
      </w:r>
      <w:r w:rsidRPr="0028795B">
        <w:t xml:space="preserve"> of changes in expenditure </w:t>
      </w:r>
      <w:r>
        <w:t xml:space="preserve">from earlier work using assumptions </w:t>
      </w:r>
      <w:r w:rsidRPr="0028795B">
        <w:t xml:space="preserve">are likely to </w:t>
      </w:r>
      <w:r>
        <w:t xml:space="preserve">have </w:t>
      </w:r>
      <w:r w:rsidRPr="0028795B">
        <w:t>be</w:t>
      </w:r>
      <w:r>
        <w:t>en</w:t>
      </w:r>
      <w:r w:rsidRPr="0028795B">
        <w:t xml:space="preserve"> underestimated </w:t>
      </w:r>
      <w:r>
        <w:t>and</w:t>
      </w:r>
      <w:r w:rsidRPr="0028795B">
        <w:t xml:space="preserve"> the ‘central’ estimate of </w:t>
      </w:r>
      <w:r>
        <w:t>health opportunity cost from that work (</w:t>
      </w:r>
      <w:r w:rsidRPr="0028795B">
        <w:t>£12,936 per QALY</w:t>
      </w:r>
      <w:r>
        <w:t xml:space="preserve">) to have been over-estimated.  </w:t>
      </w:r>
    </w:p>
    <w:p w:rsidR="0068753E" w:rsidRPr="002202CB" w:rsidRDefault="0068753E" w:rsidP="00CC12E4">
      <w:pPr>
        <w:pStyle w:val="ListParagraph"/>
        <w:spacing w:after="120" w:line="240" w:lineRule="auto"/>
        <w:ind w:left="0"/>
        <w:contextualSpacing w:val="0"/>
        <w:rPr>
          <w:rFonts w:eastAsia="Times New Roman" w:cs="Times New Roman"/>
          <w:spacing w:val="5"/>
          <w:kern w:val="28"/>
          <w:sz w:val="20"/>
          <w:szCs w:val="28"/>
          <w:lang w:eastAsia="en-GB"/>
        </w:rPr>
      </w:pPr>
    </w:p>
    <w:p w:rsidR="0068753E" w:rsidRDefault="0068753E">
      <w:pPr>
        <w:rPr>
          <w:rFonts w:eastAsiaTheme="majorEastAsia" w:cstheme="majorBidi"/>
          <w:b/>
          <w:bCs/>
        </w:rPr>
      </w:pPr>
      <w:r>
        <w:br w:type="page"/>
      </w:r>
    </w:p>
    <w:p w:rsidR="0068753E" w:rsidRPr="00FC58B2" w:rsidRDefault="0068753E" w:rsidP="00CC12E4">
      <w:pPr>
        <w:pStyle w:val="Heading1"/>
        <w:rPr>
          <w:rFonts w:asciiTheme="minorHAnsi" w:hAnsiTheme="minorHAnsi"/>
          <w:color w:val="auto"/>
          <w:sz w:val="22"/>
          <w:szCs w:val="22"/>
        </w:rPr>
      </w:pPr>
      <w:r>
        <w:rPr>
          <w:rFonts w:asciiTheme="minorHAnsi" w:hAnsiTheme="minorHAnsi"/>
          <w:color w:val="auto"/>
          <w:sz w:val="22"/>
          <w:szCs w:val="22"/>
        </w:rPr>
        <w:lastRenderedPageBreak/>
        <w:t>INTRODUCTION</w:t>
      </w:r>
    </w:p>
    <w:p w:rsidR="0068753E" w:rsidRDefault="0068753E" w:rsidP="00CC12E4">
      <w:pPr>
        <w:spacing w:after="120"/>
      </w:pPr>
      <w:r>
        <w:t>A number of countries use well-established methods of economic evaluation</w:t>
      </w:r>
      <w:r>
        <w:rPr>
          <w:noProof/>
        </w:rPr>
        <w:t>(1)</w:t>
      </w:r>
      <w:r>
        <w:t xml:space="preserve"> to inform decisions about which new medical interventions warrant funding; examples include NICE in the United Kingdom (UK), CADTH in Canada, INFARMED in Portugal and HITAP in Thailand.</w:t>
      </w:r>
      <w:r>
        <w:rPr>
          <w:noProof/>
        </w:rPr>
        <w:t>(2-4)</w:t>
      </w:r>
      <w:r>
        <w:t xml:space="preserve">  Economic evaluation identifies evidence on the expected health effects and costs of the intervention in relation to relevant alternatives. However, to inform a decision</w:t>
      </w:r>
      <w:r w:rsidRPr="00763BEF">
        <w:t xml:space="preserve"> </w:t>
      </w:r>
      <w:r>
        <w:t>fully, there needs to be some consideration of how any health gains offered by the new intervention are to be assessed against any additional costs it impose</w:t>
      </w:r>
      <w:r w:rsidR="00A26A35">
        <w:t>s</w:t>
      </w:r>
      <w:r>
        <w:t xml:space="preserve"> on health systems. A key piece of information to guide this assessment is an estimate of the health gains that could have been achieved elsewhere with the same levels of investment– the health opportunity costs.  That is, to consider the health effects that could be generated by making the additional resources required for the new interventions available for other services and interventions that could be funded instead, or the health effects of those activities that would need to be given up if these resources are committed to the new intervention. </w:t>
      </w:r>
    </w:p>
    <w:p w:rsidR="0068753E" w:rsidRDefault="0068753E" w:rsidP="00CC12E4">
      <w:pPr>
        <w:spacing w:after="120"/>
      </w:pPr>
      <w:r>
        <w:t xml:space="preserve">A number of studies in different countries have based an assessment of </w:t>
      </w:r>
      <w:r w:rsidRPr="000522C2">
        <w:t xml:space="preserve">opportunity </w:t>
      </w:r>
      <w:r>
        <w:t>costs on the empirical</w:t>
      </w:r>
      <w:r w:rsidRPr="000522C2">
        <w:t xml:space="preserve"> relationship between changes in health care expenditure and health outcome</w:t>
      </w:r>
      <w:r>
        <w:t>s</w:t>
      </w:r>
      <w:r>
        <w:rPr>
          <w:noProof/>
        </w:rPr>
        <w:t>(5-8)</w:t>
      </w:r>
      <w:r w:rsidR="00CC12E4">
        <w:rPr>
          <w:noProof/>
        </w:rPr>
        <w:t>.</w:t>
      </w:r>
      <w:r w:rsidRPr="000522C2">
        <w:t xml:space="preserve">  Recent research </w:t>
      </w:r>
      <w:r>
        <w:t xml:space="preserve">in the UK </w:t>
      </w:r>
      <w:r w:rsidRPr="000522C2">
        <w:t>used national data on expenditure and outcomes in different disease areas reported at a local level in the UK</w:t>
      </w:r>
      <w:r>
        <w:t>’s National Health Service (</w:t>
      </w:r>
      <w:r w:rsidRPr="000522C2">
        <w:t>NHS</w:t>
      </w:r>
      <w:r>
        <w:t>)</w:t>
      </w:r>
      <w:r w:rsidRPr="000522C2">
        <w:t>.</w:t>
      </w:r>
      <w:r>
        <w:rPr>
          <w:noProof/>
        </w:rPr>
        <w:t>(9-11)</w:t>
      </w:r>
      <w:r w:rsidRPr="000522C2">
        <w:t xml:space="preserve">  By exploiting the variation in expenditure and mortality outcomes, the relationship between changes in expenditure and mortality </w:t>
      </w:r>
      <w:r>
        <w:t>was</w:t>
      </w:r>
      <w:r w:rsidRPr="000522C2">
        <w:t xml:space="preserve"> estimated </w:t>
      </w:r>
      <w:r>
        <w:t>(</w:t>
      </w:r>
      <w:r w:rsidRPr="000522C2">
        <w:t>while accounting for endogeneity</w:t>
      </w:r>
      <w:r>
        <w:t>)</w:t>
      </w:r>
      <w:r w:rsidRPr="000522C2">
        <w:t>.  By using the effect of expenditure on the mortality and life-year burden of disease as a surrogate for the effects on a more complete measure of burden (one that also includes the quality of life burden of dis</w:t>
      </w:r>
      <w:r>
        <w:t>ease), a cost per quality-adjusted life-year (QALY)</w:t>
      </w:r>
      <w:r w:rsidRPr="000522C2">
        <w:t xml:space="preserve"> that reflects the likely impact of changes in expenditure on both mortalit</w:t>
      </w:r>
      <w:r>
        <w:t xml:space="preserve">y and morbidity was also reported. </w:t>
      </w:r>
    </w:p>
    <w:p w:rsidR="0068753E" w:rsidRDefault="0068753E" w:rsidP="00CC12E4">
      <w:pPr>
        <w:spacing w:after="120"/>
      </w:pPr>
      <w:r>
        <w:t>These estimates of the marginal productivity of health care expenditure indicate the health that is expected to be forgone as a consequence of additional costs displacing other health care activities</w:t>
      </w:r>
      <w:r w:rsidR="00A26A35">
        <w:t xml:space="preserve">. They </w:t>
      </w:r>
      <w:r>
        <w:t xml:space="preserve">reflect what is likely to happen in the health care system, given current levels of information, local decision-making and </w:t>
      </w:r>
      <w:r w:rsidR="00A26A35">
        <w:t xml:space="preserve">the influence of </w:t>
      </w:r>
      <w:r>
        <w:t xml:space="preserve">other aspects of social value </w:t>
      </w:r>
      <w:r w:rsidR="00A26A35">
        <w:t xml:space="preserve">which are </w:t>
      </w:r>
      <w:r>
        <w:t xml:space="preserve">not captured in measures of health such as QALYs. They represent </w:t>
      </w:r>
      <w:r w:rsidRPr="00E0423C">
        <w:t>the relevant expected health opportunity costs when the decision context is restricted to approving or</w:t>
      </w:r>
      <w:r>
        <w:t xml:space="preserve"> rejecting a new intervention</w:t>
      </w:r>
      <w:r w:rsidRPr="00E0423C">
        <w:t>.</w:t>
      </w:r>
      <w:r w:rsidRPr="00E0423C">
        <w:rPr>
          <w:rFonts w:ascii="Times New Roman" w:eastAsia="Times New Roman" w:hAnsi="Times New Roman" w:cs="Times New Roman"/>
          <w:sz w:val="20"/>
          <w:szCs w:val="24"/>
          <w:vertAlign w:val="superscript"/>
          <w:lang w:eastAsia="en-GB"/>
        </w:rPr>
        <w:footnoteReference w:id="1"/>
      </w:r>
      <w:r w:rsidR="008B469B">
        <w:t xml:space="preserve"> </w:t>
      </w:r>
      <w:r w:rsidRPr="00E0423C">
        <w:t xml:space="preserve"> In this context</w:t>
      </w:r>
      <w:r>
        <w:t>,</w:t>
      </w:r>
      <w:r w:rsidRPr="00E0423C">
        <w:t xml:space="preserve"> it also indicates the maximum that the health care system can afford to pay for the additional benefits</w:t>
      </w:r>
      <w:r>
        <w:t xml:space="preserve"> offered by a new intervention</w:t>
      </w:r>
      <w:r w:rsidRPr="00E0423C">
        <w:t xml:space="preserve"> (e.g., the temporary monopoly price for pharmaceuticals protected by patent)</w:t>
      </w:r>
      <w:r>
        <w:t xml:space="preserve"> </w:t>
      </w:r>
      <w:r w:rsidRPr="00BF14CF">
        <w:t>without reducing the total number of QALYs generated</w:t>
      </w:r>
      <w:r w:rsidRPr="00E0423C">
        <w:t xml:space="preserve">. </w:t>
      </w:r>
    </w:p>
    <w:p w:rsidR="0068753E" w:rsidRDefault="0068753E" w:rsidP="00CC12E4">
      <w:pPr>
        <w:spacing w:after="120"/>
      </w:pPr>
      <w:r>
        <w:t xml:space="preserve">The assumptions that were required to link the estimates of effects of changes in expenditure on the mortality burden of disease to the likely effect on QALYs constitute important sources of uncertainty.  To inform these assumptions appropriately, the judgements of key individuals, such as those with substantive clinical or policy expertise, are important.  Elicitation methods offer a </w:t>
      </w:r>
      <w:r>
        <w:lastRenderedPageBreak/>
        <w:t xml:space="preserve">systematic process for formalising and quantifying, typically in probabilistic terms, </w:t>
      </w:r>
      <w:r w:rsidR="00F73088">
        <w:t>individuals</w:t>
      </w:r>
      <w:r w:rsidR="00A26A35">
        <w:t>’</w:t>
      </w:r>
      <w:r w:rsidR="00F73088">
        <w:t xml:space="preserve"> </w:t>
      </w:r>
      <w:r>
        <w:t>judgements about uncertain quantities.</w:t>
      </w:r>
      <w:r>
        <w:rPr>
          <w:noProof/>
        </w:rPr>
        <w:t>(12, 13)</w:t>
      </w:r>
      <w:r>
        <w:t xml:space="preserve"> </w:t>
      </w:r>
    </w:p>
    <w:p w:rsidR="00CC12E4" w:rsidRDefault="00CC12E4" w:rsidP="00CC12E4">
      <w:pPr>
        <w:spacing w:after="120"/>
      </w:pPr>
      <w:r>
        <w:t>Elicitation is an important activity in many fields, including in support of decision making where there may be significant uncertainties and their quantification can feed directly onto decision</w:t>
      </w:r>
      <w:r w:rsidR="00A26A35">
        <w:t>s</w:t>
      </w:r>
      <w:r>
        <w:t xml:space="preserve">. </w:t>
      </w:r>
      <w:r w:rsidR="00A26A35">
        <w:t>Furthermore</w:t>
      </w:r>
      <w:r w:rsidR="00944932">
        <w:t>,</w:t>
      </w:r>
      <w:r>
        <w:t xml:space="preserve"> elicitation is </w:t>
      </w:r>
      <w:r w:rsidR="00A26A35">
        <w:t xml:space="preserve">a </w:t>
      </w:r>
      <w:r>
        <w:t xml:space="preserve">vital </w:t>
      </w:r>
      <w:r w:rsidR="00A26A35">
        <w:t xml:space="preserve">element of </w:t>
      </w:r>
      <w:r>
        <w:t>a Bayesian approach to statistics</w:t>
      </w:r>
      <w:r w:rsidR="00A26A35">
        <w:t xml:space="preserve">, the </w:t>
      </w:r>
      <w:r>
        <w:t xml:space="preserve">principles </w:t>
      </w:r>
      <w:r w:rsidR="00A26A35">
        <w:t xml:space="preserve">of which </w:t>
      </w:r>
      <w:r>
        <w:t>are core to decision analyses</w:t>
      </w:r>
      <w:r w:rsidR="00A26A35">
        <w:t>.</w:t>
      </w:r>
      <w:r>
        <w:t xml:space="preserve"> </w:t>
      </w:r>
      <w:r w:rsidR="00A26A35">
        <w:t>H</w:t>
      </w:r>
      <w:r w:rsidR="00744EC8">
        <w:t>ere</w:t>
      </w:r>
      <w:r w:rsidR="00A26A35">
        <w:t xml:space="preserve"> </w:t>
      </w:r>
      <w:r>
        <w:t xml:space="preserve">the use prior information </w:t>
      </w:r>
      <w:r w:rsidR="00DB0674">
        <w:t xml:space="preserve">to augment existing data </w:t>
      </w:r>
      <w:r w:rsidR="00A26A35">
        <w:t xml:space="preserve">has an established </w:t>
      </w:r>
      <w:r>
        <w:t>theoretical</w:t>
      </w:r>
      <w:r w:rsidR="00DB0674">
        <w:t>ly</w:t>
      </w:r>
      <w:r>
        <w:t xml:space="preserve"> </w:t>
      </w:r>
      <w:r w:rsidR="00A26A35">
        <w:t>basis</w:t>
      </w:r>
      <w:r w:rsidR="00F73088">
        <w:t>, particularly where empirical evidence is limited</w:t>
      </w:r>
      <w:r w:rsidR="00DB0674">
        <w:t>.</w:t>
      </w:r>
      <w:r w:rsidR="00F73088">
        <w:t xml:space="preserve"> (12)</w:t>
      </w:r>
    </w:p>
    <w:p w:rsidR="0068753E" w:rsidRDefault="0068753E" w:rsidP="00CC12E4">
      <w:pPr>
        <w:spacing w:after="120"/>
      </w:pPr>
      <w:r>
        <w:t xml:space="preserve">This research </w:t>
      </w:r>
      <w:r w:rsidRPr="002B4F31">
        <w:rPr>
          <w:rFonts w:cstheme="minorHAnsi"/>
        </w:rPr>
        <w:t>presents an</w:t>
      </w:r>
      <w:r w:rsidR="00CC12E4">
        <w:rPr>
          <w:rFonts w:cstheme="minorHAnsi"/>
        </w:rPr>
        <w:t xml:space="preserve"> application of</w:t>
      </w:r>
      <w:r w:rsidRPr="002B4F31">
        <w:rPr>
          <w:rFonts w:cstheme="minorHAnsi"/>
        </w:rPr>
        <w:t xml:space="preserve"> </w:t>
      </w:r>
      <w:r w:rsidR="00CC12E4">
        <w:rPr>
          <w:rFonts w:cstheme="minorHAnsi"/>
        </w:rPr>
        <w:t xml:space="preserve">structured elicitation </w:t>
      </w:r>
      <w:r>
        <w:rPr>
          <w:rFonts w:cstheme="minorHAnsi"/>
        </w:rPr>
        <w:t>to inform</w:t>
      </w:r>
      <w:r w:rsidR="00484C46">
        <w:rPr>
          <w:rFonts w:cstheme="minorHAnsi"/>
        </w:rPr>
        <w:t xml:space="preserve"> </w:t>
      </w:r>
      <w:r w:rsidR="00D642C5">
        <w:rPr>
          <w:rFonts w:cstheme="minorHAnsi"/>
        </w:rPr>
        <w:t xml:space="preserve">estimates of </w:t>
      </w:r>
      <w:r w:rsidR="00484C46" w:rsidRPr="00E0423C">
        <w:t>expected health opportunity costs</w:t>
      </w:r>
      <w:r w:rsidR="00D642C5">
        <w:t xml:space="preserve"> in the UK NHS</w:t>
      </w:r>
      <w:r w:rsidR="00CE7B4C">
        <w:t xml:space="preserve">, a key quantity to inform </w:t>
      </w:r>
      <w:r w:rsidR="00CE7B4C">
        <w:rPr>
          <w:rFonts w:cstheme="minorHAnsi"/>
        </w:rPr>
        <w:t>policy decisions.</w:t>
      </w:r>
      <w:r w:rsidR="00484C46">
        <w:rPr>
          <w:rFonts w:cstheme="minorHAnsi"/>
        </w:rPr>
        <w:t xml:space="preserve"> This </w:t>
      </w:r>
      <w:r w:rsidR="001D38DB">
        <w:t>constitutes a novel and important context for the use of structured elicitation</w:t>
      </w:r>
      <w:r w:rsidR="00484C46">
        <w:rPr>
          <w:rFonts w:cstheme="minorHAnsi"/>
        </w:rPr>
        <w:t>,</w:t>
      </w:r>
      <w:r w:rsidR="007E51C2">
        <w:rPr>
          <w:rFonts w:cstheme="minorHAnsi"/>
        </w:rPr>
        <w:t xml:space="preserve"> </w:t>
      </w:r>
      <w:r w:rsidR="00484C46">
        <w:rPr>
          <w:rFonts w:cstheme="minorHAnsi"/>
        </w:rPr>
        <w:t xml:space="preserve">aiming </w:t>
      </w:r>
      <w:r w:rsidR="00D642C5">
        <w:rPr>
          <w:rFonts w:cstheme="minorHAnsi"/>
        </w:rPr>
        <w:t xml:space="preserve">to </w:t>
      </w:r>
      <w:r w:rsidR="007E51C2">
        <w:rPr>
          <w:rFonts w:cstheme="minorHAnsi"/>
        </w:rPr>
        <w:t xml:space="preserve">reflect </w:t>
      </w:r>
      <w:r w:rsidR="00484C46">
        <w:rPr>
          <w:rFonts w:cstheme="minorHAnsi"/>
        </w:rPr>
        <w:t>uncertainty in the judgements required for policy</w:t>
      </w:r>
      <w:r w:rsidR="00D642C5" w:rsidRPr="00D642C5">
        <w:rPr>
          <w:rFonts w:cstheme="minorHAnsi"/>
        </w:rPr>
        <w:t xml:space="preserve"> </w:t>
      </w:r>
      <w:r w:rsidR="00D642C5">
        <w:rPr>
          <w:rFonts w:cstheme="minorHAnsi"/>
        </w:rPr>
        <w:t>appropriately and explicitly</w:t>
      </w:r>
      <w:r w:rsidR="00484C46">
        <w:rPr>
          <w:rFonts w:cstheme="minorHAnsi"/>
        </w:rPr>
        <w:t>. We</w:t>
      </w:r>
      <w:r>
        <w:rPr>
          <w:rFonts w:cstheme="minorHAnsi"/>
        </w:rPr>
        <w:t xml:space="preserve"> </w:t>
      </w:r>
      <w:r w:rsidRPr="002B4F31">
        <w:rPr>
          <w:rFonts w:cstheme="minorHAnsi"/>
        </w:rPr>
        <w:t xml:space="preserve">demonstrate </w:t>
      </w:r>
      <w:r w:rsidR="00484C46">
        <w:rPr>
          <w:rFonts w:cstheme="minorHAnsi"/>
        </w:rPr>
        <w:t>the</w:t>
      </w:r>
      <w:r w:rsidR="00484C46" w:rsidRPr="002B4F31">
        <w:rPr>
          <w:rFonts w:cstheme="minorHAnsi"/>
        </w:rPr>
        <w:t xml:space="preserve"> </w:t>
      </w:r>
      <w:r w:rsidRPr="002B4F31">
        <w:rPr>
          <w:rFonts w:cstheme="minorHAnsi"/>
        </w:rPr>
        <w:t xml:space="preserve">applicability </w:t>
      </w:r>
      <w:r w:rsidR="00484C46">
        <w:rPr>
          <w:rFonts w:cstheme="minorHAnsi"/>
        </w:rPr>
        <w:t xml:space="preserve">of the elicitation exercise </w:t>
      </w:r>
      <w:r w:rsidRPr="002B4F31">
        <w:rPr>
          <w:rFonts w:cstheme="minorHAnsi"/>
        </w:rPr>
        <w:t>in practice</w:t>
      </w:r>
      <w:r>
        <w:t xml:space="preserve">. Its design draws from </w:t>
      </w:r>
      <w:r w:rsidRPr="004E0207">
        <w:t xml:space="preserve">wider experience of elicitation in </w:t>
      </w:r>
      <w:r>
        <w:t>h</w:t>
      </w:r>
      <w:r w:rsidRPr="004E0207">
        <w:t xml:space="preserve">ealth </w:t>
      </w:r>
      <w:r>
        <w:t>t</w:t>
      </w:r>
      <w:r w:rsidRPr="004E0207">
        <w:t xml:space="preserve">echnology </w:t>
      </w:r>
      <w:r>
        <w:t>a</w:t>
      </w:r>
      <w:r w:rsidRPr="004E0207">
        <w:t>ssessment</w:t>
      </w:r>
      <w:r>
        <w:rPr>
          <w:noProof/>
        </w:rPr>
        <w:t>(14)</w:t>
      </w:r>
      <w:r>
        <w:t xml:space="preserve"> and literature from other</w:t>
      </w:r>
      <w:r w:rsidRPr="004E0207">
        <w:t xml:space="preserve"> </w:t>
      </w:r>
      <w:r>
        <w:t xml:space="preserve">areas of science (for example </w:t>
      </w:r>
      <w:r>
        <w:rPr>
          <w:noProof/>
        </w:rPr>
        <w:t>(15)</w:t>
      </w:r>
      <w:r w:rsidRPr="000E6ADF">
        <w:t xml:space="preserve"> </w:t>
      </w:r>
      <w:r>
        <w:t>and</w:t>
      </w:r>
      <w:r w:rsidRPr="000E6ADF">
        <w:t xml:space="preserve"> </w:t>
      </w:r>
      <w:r>
        <w:rPr>
          <w:noProof/>
        </w:rPr>
        <w:t>(16)</w:t>
      </w:r>
      <w:r>
        <w:t xml:space="preserve">).  </w:t>
      </w:r>
    </w:p>
    <w:p w:rsidR="0068753E" w:rsidRDefault="0068753E" w:rsidP="00CC12E4">
      <w:pPr>
        <w:spacing w:after="120"/>
      </w:pPr>
      <w:r>
        <w:t>This paper is structured as follows. The next section summarises earlier work by Claxton et al</w:t>
      </w:r>
      <w:r>
        <w:rPr>
          <w:noProof/>
        </w:rPr>
        <w:t>(9)to estimate NHS marginal productivity</w:t>
      </w:r>
      <w:r>
        <w:t xml:space="preserve"> and which is the motivation for the current work.  The following sections focus on the </w:t>
      </w:r>
      <w:r w:rsidRPr="00EC2234">
        <w:t>elicitation exercise</w:t>
      </w:r>
      <w:r>
        <w:t>, presenting its methods (design, conduct and analyses) and the results of its application. The paper finishes with a discussion including key policy implications.</w:t>
      </w:r>
      <w:r w:rsidRPr="00491144">
        <w:t xml:space="preserve"> </w:t>
      </w:r>
    </w:p>
    <w:p w:rsidR="0068753E" w:rsidRPr="0040265A" w:rsidRDefault="0068753E" w:rsidP="00CC12E4">
      <w:pPr>
        <w:pStyle w:val="Heading1"/>
        <w:rPr>
          <w:rFonts w:asciiTheme="minorHAnsi" w:hAnsiTheme="minorHAnsi"/>
          <w:caps/>
          <w:color w:val="auto"/>
          <w:sz w:val="22"/>
          <w:szCs w:val="22"/>
        </w:rPr>
      </w:pPr>
      <w:r w:rsidRPr="0040265A">
        <w:rPr>
          <w:rFonts w:asciiTheme="minorHAnsi" w:hAnsiTheme="minorHAnsi"/>
          <w:caps/>
          <w:color w:val="auto"/>
          <w:sz w:val="22"/>
          <w:szCs w:val="22"/>
        </w:rPr>
        <w:t>Summary of Claxton et al</w:t>
      </w:r>
      <w:r>
        <w:rPr>
          <w:rFonts w:asciiTheme="minorHAnsi" w:hAnsiTheme="minorHAnsi"/>
          <w:caps/>
          <w:noProof/>
          <w:color w:val="auto"/>
          <w:sz w:val="22"/>
          <w:szCs w:val="22"/>
        </w:rPr>
        <w:t>(9)</w:t>
      </w:r>
      <w:r w:rsidRPr="0040265A">
        <w:rPr>
          <w:rFonts w:asciiTheme="minorHAnsi" w:hAnsiTheme="minorHAnsi"/>
          <w:caps/>
          <w:color w:val="auto"/>
          <w:sz w:val="22"/>
          <w:szCs w:val="22"/>
        </w:rPr>
        <w:t xml:space="preserve"> and overview of the key uncertainties identified</w:t>
      </w:r>
    </w:p>
    <w:p w:rsidR="0068753E" w:rsidRDefault="0068753E" w:rsidP="00CC12E4">
      <w:pPr>
        <w:spacing w:after="120"/>
      </w:pPr>
      <w:r>
        <w:t>Claxton et al</w:t>
      </w:r>
      <w:r>
        <w:rPr>
          <w:noProof/>
        </w:rPr>
        <w:t>(9)</w:t>
      </w:r>
      <w:r>
        <w:t xml:space="preserve"> evaluated the relationship between expenditure and mortality using a cross-sectional design, seeking to identify differences in mortality across health care commissioning units (at the time of this research there were 152 Primary Care Trusts, or PCTs) that could be attributed to differences in NHS spend. Empirically, the research first </w:t>
      </w:r>
      <w:r w:rsidRPr="008B53F9">
        <w:t>quantif</w:t>
      </w:r>
      <w:r>
        <w:t>ied</w:t>
      </w:r>
      <w:r w:rsidRPr="008B53F9">
        <w:t xml:space="preserve"> </w:t>
      </w:r>
      <w:r>
        <w:t xml:space="preserve">expenditure elasticities; that is, </w:t>
      </w:r>
      <w:r w:rsidRPr="008B53F9">
        <w:t xml:space="preserve">how changes in NHS expenditure in a given year </w:t>
      </w:r>
      <w:r>
        <w:t xml:space="preserve">were </w:t>
      </w:r>
      <w:r w:rsidRPr="008B53F9">
        <w:t xml:space="preserve">allocated between </w:t>
      </w:r>
      <w:r>
        <w:t>Programme Budgeting Categories (PBCs), which reflect broad disease areas characterised by International Classification of Disease (ICDs)</w:t>
      </w:r>
      <w:r w:rsidRPr="000B6ACE">
        <w:t xml:space="preserve"> </w:t>
      </w:r>
      <w:r>
        <w:t xml:space="preserve">codes. </w:t>
      </w:r>
    </w:p>
    <w:p w:rsidR="0068753E" w:rsidRDefault="0068753E" w:rsidP="00CC12E4">
      <w:pPr>
        <w:spacing w:after="120"/>
      </w:pPr>
      <w:r>
        <w:t xml:space="preserve">Secondly, the research estimated outcome elasticities; that is, </w:t>
      </w:r>
      <w:r w:rsidRPr="008B53F9">
        <w:t xml:space="preserve">how changes in expenditure by </w:t>
      </w:r>
      <w:r>
        <w:t>PBC (</w:t>
      </w:r>
      <w:r w:rsidRPr="008B53F9">
        <w:t>in a particular year</w:t>
      </w:r>
      <w:r>
        <w:t>)</w:t>
      </w:r>
      <w:r w:rsidRPr="008B53F9">
        <w:t xml:space="preserve"> </w:t>
      </w:r>
      <w:r>
        <w:t>altered</w:t>
      </w:r>
      <w:r w:rsidRPr="008B53F9">
        <w:t xml:space="preserve"> </w:t>
      </w:r>
      <w:r>
        <w:t>PBC-</w:t>
      </w:r>
      <w:r w:rsidRPr="008B53F9">
        <w:t>specific mortality rate</w:t>
      </w:r>
      <w:r>
        <w:t>s (using national data on mortality reported for ICD codes or groups of ICDs, mapped onto PBCs). Analyses adjusted for important covariates (including need) and used instrumental variables to estimate causal effects overcoming the problem of endogeneity</w:t>
      </w:r>
      <w:r w:rsidRPr="008B53F9">
        <w:t>.</w:t>
      </w:r>
      <w:r>
        <w:t xml:space="preserve"> </w:t>
      </w:r>
    </w:p>
    <w:p w:rsidR="0068753E" w:rsidRDefault="0068753E" w:rsidP="00CC12E4">
      <w:pPr>
        <w:spacing w:after="120"/>
      </w:pPr>
      <w:r>
        <w:t xml:space="preserve">Results showed that the mortality effects of changes in spend could only be identified for eleven of the 23 PBCs (such as cancer and gastrointestinal disorders).  For the remaining disease areas (such as mental health disorders), health care focusses primarily on improving health-related quality of life (HRQoL). Across the 11 PBCs for which mortality effects were detected, empirically-based estimates of how changes in total NHS expenditure affect mortality were generated, returning the following point estimates </w:t>
      </w:r>
      <w:r w:rsidRPr="00D35AAF">
        <w:t>(</w:t>
      </w:r>
      <w:r>
        <w:t xml:space="preserve">using </w:t>
      </w:r>
      <w:r w:rsidRPr="00D35AAF">
        <w:t>2008 expenditure</w:t>
      </w:r>
      <w:r>
        <w:t xml:space="preserve"> and </w:t>
      </w:r>
      <w:r w:rsidRPr="00D35AAF">
        <w:t>2008–10 mortality)</w:t>
      </w:r>
      <w:r>
        <w:t xml:space="preserve">: </w:t>
      </w:r>
      <w:r w:rsidRPr="00BD3A56">
        <w:t>£105,872</w:t>
      </w:r>
      <w:r>
        <w:t xml:space="preserve"> for the cost per death averted; </w:t>
      </w:r>
      <w:r w:rsidRPr="00BD3A56">
        <w:t>£23,360</w:t>
      </w:r>
      <w:r>
        <w:t xml:space="preserve"> for the cost per life year and </w:t>
      </w:r>
      <w:r w:rsidRPr="00BD3A56">
        <w:t>£28,045</w:t>
      </w:r>
      <w:r w:rsidRPr="00EA3165">
        <w:t xml:space="preserve"> </w:t>
      </w:r>
      <w:r>
        <w:t xml:space="preserve">for the cost per life year where life years were adjusted for HRQoL. </w:t>
      </w:r>
    </w:p>
    <w:p w:rsidR="0068753E" w:rsidRDefault="0068753E" w:rsidP="00CC12E4">
      <w:pPr>
        <w:spacing w:after="120"/>
      </w:pPr>
      <w:r>
        <w:t>However, an estimate of health opportunity costs relevant for policy needs additionally to consider:</w:t>
      </w:r>
      <w:r w:rsidRPr="003526C3">
        <w:t xml:space="preserve"> </w:t>
      </w:r>
    </w:p>
    <w:p w:rsidR="0068753E" w:rsidRDefault="0068753E" w:rsidP="00CC12E4">
      <w:pPr>
        <w:pStyle w:val="ListParagraph"/>
        <w:numPr>
          <w:ilvl w:val="0"/>
          <w:numId w:val="25"/>
        </w:numPr>
        <w:spacing w:after="120"/>
        <w:ind w:left="426" w:hanging="426"/>
      </w:pPr>
      <w:r>
        <w:t xml:space="preserve">whether </w:t>
      </w:r>
      <w:r w:rsidRPr="003526C3">
        <w:t>changes in expenditure hav</w:t>
      </w:r>
      <w:r>
        <w:t>e</w:t>
      </w:r>
      <w:r w:rsidRPr="003526C3">
        <w:t xml:space="preserve"> effect</w:t>
      </w:r>
      <w:r>
        <w:t>s</w:t>
      </w:r>
      <w:r w:rsidRPr="003526C3">
        <w:t xml:space="preserve"> beyond the year of expenditure</w:t>
      </w:r>
      <w:r>
        <w:t xml:space="preserve"> – this can be termed duration of effects</w:t>
      </w:r>
      <w:r w:rsidRPr="003526C3">
        <w:t xml:space="preserve">; </w:t>
      </w:r>
    </w:p>
    <w:p w:rsidR="0068753E" w:rsidRDefault="0068753E" w:rsidP="00CC12E4">
      <w:pPr>
        <w:pStyle w:val="ListParagraph"/>
        <w:numPr>
          <w:ilvl w:val="0"/>
          <w:numId w:val="25"/>
        </w:numPr>
        <w:spacing w:after="120"/>
        <w:ind w:left="426" w:hanging="426"/>
      </w:pPr>
      <w:r w:rsidRPr="003526C3">
        <w:lastRenderedPageBreak/>
        <w:t xml:space="preserve">how the effects of changes in expenditure on mortality relate to effects on a broader measure of health that incorporates both duration and </w:t>
      </w:r>
      <w:r>
        <w:t>HRQoL</w:t>
      </w:r>
      <w:r w:rsidRPr="003526C3">
        <w:t xml:space="preserve"> impacts (</w:t>
      </w:r>
      <w:r>
        <w:t>QALYs</w:t>
      </w:r>
      <w:r w:rsidRPr="003526C3">
        <w:t>)</w:t>
      </w:r>
      <w:r>
        <w:t xml:space="preserve"> – this can be termed surrogacy</w:t>
      </w:r>
      <w:r w:rsidRPr="003526C3">
        <w:t xml:space="preserve">; </w:t>
      </w:r>
    </w:p>
    <w:p w:rsidR="0068753E" w:rsidRDefault="0068753E" w:rsidP="00CC12E4">
      <w:pPr>
        <w:pStyle w:val="ListParagraph"/>
        <w:numPr>
          <w:ilvl w:val="0"/>
          <w:numId w:val="25"/>
        </w:numPr>
        <w:spacing w:after="120"/>
        <w:ind w:left="426" w:hanging="426"/>
      </w:pPr>
      <w:r w:rsidRPr="003526C3">
        <w:t xml:space="preserve">how changes in expenditure affect health in disease areas for which </w:t>
      </w:r>
      <w:r>
        <w:t xml:space="preserve">the </w:t>
      </w:r>
      <w:r w:rsidRPr="003526C3">
        <w:t>previous work could not measure a mortality effect</w:t>
      </w:r>
      <w:r>
        <w:t xml:space="preserve"> – this can be termed extrapolation.</w:t>
      </w:r>
    </w:p>
    <w:p w:rsidR="0068753E" w:rsidRDefault="0068753E" w:rsidP="00CC12E4">
      <w:pPr>
        <w:spacing w:after="120"/>
      </w:pPr>
      <w:r>
        <w:t>In the original research</w:t>
      </w:r>
      <w:r>
        <w:rPr>
          <w:noProof/>
        </w:rPr>
        <w:t>(9)</w:t>
      </w:r>
      <w:r>
        <w:t xml:space="preserve">, </w:t>
      </w:r>
      <w:r w:rsidRPr="003526C3">
        <w:t xml:space="preserve">very limited data </w:t>
      </w:r>
      <w:r>
        <w:t xml:space="preserve">were </w:t>
      </w:r>
      <w:r w:rsidRPr="003526C3">
        <w:t>available</w:t>
      </w:r>
      <w:r>
        <w:t xml:space="preserve"> with which to assess</w:t>
      </w:r>
      <w:r w:rsidRPr="003526C3">
        <w:t xml:space="preserve"> each of these </w:t>
      </w:r>
      <w:r>
        <w:t xml:space="preserve">questions, and hence assumptions were made (listed in Table 1).  These were used to obtain a </w:t>
      </w:r>
      <w:r w:rsidRPr="00D35AAF">
        <w:t>‘central’ estimate</w:t>
      </w:r>
      <w:r>
        <w:t xml:space="preserve"> of health opportunity costs (expressed </w:t>
      </w:r>
      <w:r w:rsidR="0037248F">
        <w:t xml:space="preserve">as a </w:t>
      </w:r>
      <w:r>
        <w:t xml:space="preserve">cost per QALY) across all disease areas of </w:t>
      </w:r>
      <w:r w:rsidRPr="00D35AAF">
        <w:t xml:space="preserve">£12,936 per QALY. </w:t>
      </w:r>
      <w:r>
        <w:t xml:space="preserve">An </w:t>
      </w:r>
      <w:r w:rsidRPr="00D35AAF">
        <w:t xml:space="preserve">analysis </w:t>
      </w:r>
      <w:r>
        <w:t xml:space="preserve">of the uncertainty imposed by the empirical estimates (the expenditure elasticities estimated for each of the 23 PBCs, and the outcome elasticities estimated for 11 of these) </w:t>
      </w:r>
      <w:r w:rsidRPr="00D35AAF">
        <w:t>indicate</w:t>
      </w:r>
      <w:r>
        <w:t>d</w:t>
      </w:r>
      <w:r w:rsidRPr="00D35AAF">
        <w:t xml:space="preserve"> that the probability </w:t>
      </w:r>
      <w:r>
        <w:t>of this</w:t>
      </w:r>
      <w:r w:rsidRPr="00D35AAF">
        <w:t xml:space="preserve"> </w:t>
      </w:r>
      <w:r>
        <w:t>central estimate</w:t>
      </w:r>
      <w:r w:rsidRPr="00D35AAF">
        <w:t xml:space="preserve"> </w:t>
      </w:r>
      <w:r>
        <w:t>being</w:t>
      </w:r>
      <w:r w:rsidRPr="00D35AAF">
        <w:t xml:space="preserve"> </w:t>
      </w:r>
      <w:r>
        <w:t xml:space="preserve">less than </w:t>
      </w:r>
      <w:r w:rsidRPr="00D35AAF">
        <w:t xml:space="preserve">£20,000 per QALY </w:t>
      </w:r>
      <w:r>
        <w:t>was</w:t>
      </w:r>
      <w:r w:rsidRPr="00D35AAF">
        <w:t xml:space="preserve"> 0.89.</w:t>
      </w:r>
      <w:r>
        <w:rPr>
          <w:noProof/>
        </w:rPr>
        <w:t>(9)</w:t>
      </w:r>
      <w:bookmarkStart w:id="1" w:name="_Ref467588504"/>
    </w:p>
    <w:p w:rsidR="0068753E" w:rsidRPr="00CC2E6B" w:rsidRDefault="0068753E" w:rsidP="00CC12E4">
      <w:pPr>
        <w:spacing w:after="120"/>
        <w:jc w:val="center"/>
      </w:pPr>
      <w:r>
        <w:t>&lt;&lt;Table 1 here&gt;&gt;</w:t>
      </w:r>
    </w:p>
    <w:p w:rsidR="0068753E" w:rsidRPr="0040265A" w:rsidRDefault="0068753E" w:rsidP="00CC12E4">
      <w:pPr>
        <w:pStyle w:val="Heading1"/>
        <w:rPr>
          <w:rFonts w:asciiTheme="minorHAnsi" w:hAnsiTheme="minorHAnsi"/>
          <w:caps/>
          <w:color w:val="auto"/>
          <w:sz w:val="22"/>
          <w:szCs w:val="22"/>
        </w:rPr>
      </w:pPr>
      <w:r w:rsidRPr="0040265A">
        <w:rPr>
          <w:rFonts w:asciiTheme="minorHAnsi" w:hAnsiTheme="minorHAnsi"/>
          <w:caps/>
          <w:color w:val="auto"/>
          <w:sz w:val="22"/>
          <w:szCs w:val="22"/>
        </w:rPr>
        <w:t xml:space="preserve">Methods </w:t>
      </w:r>
    </w:p>
    <w:bookmarkEnd w:id="1"/>
    <w:p w:rsidR="0068753E" w:rsidRDefault="0068753E" w:rsidP="00CC12E4">
      <w:pPr>
        <w:spacing w:after="120"/>
      </w:pPr>
      <w:r>
        <w:t xml:space="preserve">The research aimed at formally eliciting the beliefs of key individuals on the three judgements outlined above (and in Table 1) which are required for a policy-relevant estimate of health opportunity costs. Another uncertain </w:t>
      </w:r>
      <w:r w:rsidR="0037248F">
        <w:t xml:space="preserve">quantity that was </w:t>
      </w:r>
      <w:r>
        <w:t>elicited concerned the expected life-years gained from averting a death. This is not required to evaluate health opportunity costs in terms of QALYs (although it is important to distinguish morbidity from mortality impacts on the QALY estimate) and hence, for conciseness, methods and results of the elicitation for this quantity are not described in this manuscript, but are available elsewhere(16). Uncertainty in knowledge was explicitly elicited throughout.</w:t>
      </w:r>
      <w:r w:rsidR="008B469B">
        <w:rPr>
          <w:noProof/>
        </w:rPr>
        <w:t>(12,17,</w:t>
      </w:r>
      <w:r>
        <w:rPr>
          <w:noProof/>
        </w:rPr>
        <w:t>18)</w:t>
      </w:r>
      <w:r w:rsidRPr="00FE7714">
        <w:t xml:space="preserve"> </w:t>
      </w:r>
      <w:r>
        <w:t xml:space="preserve">The design of the exercise </w:t>
      </w:r>
      <w:r w:rsidR="0037248F">
        <w:t xml:space="preserve">sought </w:t>
      </w:r>
      <w:r>
        <w:t>to minimise the use of cognitive heuristics that may lead to bias.</w:t>
      </w:r>
      <w:r>
        <w:rPr>
          <w:noProof/>
        </w:rPr>
        <w:t>(19-21)</w:t>
      </w:r>
      <w:r>
        <w:t xml:space="preserve"> </w:t>
      </w:r>
    </w:p>
    <w:p w:rsidR="0068753E" w:rsidRDefault="0068753E" w:rsidP="00CC12E4">
      <w:pPr>
        <w:spacing w:after="120"/>
      </w:pPr>
      <w:r>
        <w:t>Two groups of individuals were considered: the first comprised of clinical experts</w:t>
      </w:r>
      <w:bookmarkStart w:id="2" w:name="_Ref436212596"/>
      <w:r>
        <w:t>, acting as substantive experts in key disease areas</w:t>
      </w:r>
      <w:bookmarkEnd w:id="2"/>
      <w:r>
        <w:t xml:space="preserve">; and the second included </w:t>
      </w:r>
      <w:r w:rsidRPr="0036484F">
        <w:t>policy experts</w:t>
      </w:r>
      <w:r>
        <w:t>, defined as individuals drawn from organisations that develop or implement policy, or that have a major interest in policy in this area, but that are not expected to have specific substantive expertise in key clinical areas. Policy experts were asked for their judgements on the quantities of interest once they had considered the information that had been elicited from clinical experts. As such, the elicited judgements from policy experts reconcile their own judgements together with the views of the substantive (</w:t>
      </w:r>
      <w:r w:rsidRPr="00CA6BA6">
        <w:t>clinical</w:t>
      </w:r>
      <w:r>
        <w:t>)</w:t>
      </w:r>
      <w:r w:rsidRPr="00CA6BA6">
        <w:t xml:space="preserve"> experts</w:t>
      </w:r>
      <w:r>
        <w:t xml:space="preserve">. </w:t>
      </w:r>
    </w:p>
    <w:p w:rsidR="0068753E" w:rsidRDefault="0068753E" w:rsidP="00CC12E4">
      <w:pPr>
        <w:spacing w:after="120"/>
      </w:pPr>
      <w:r>
        <w:t>This exercise did not seek to establish consensus as such methods are known to have a number of limitations (e.g. the fact that aggregation is done implicitly, dominant individuals may imbalance group dynamics and consensus methods are known to return overly-precise judgements)</w:t>
      </w:r>
      <w:r>
        <w:rPr>
          <w:noProof/>
        </w:rPr>
        <w:t>(22)</w:t>
      </w:r>
      <w:r>
        <w:t xml:space="preserve">. Hence, experts were </w:t>
      </w:r>
      <w:r w:rsidRPr="00090B85">
        <w:t xml:space="preserve">asked to give </w:t>
      </w:r>
      <w:r>
        <w:t xml:space="preserve">their </w:t>
      </w:r>
      <w:r w:rsidRPr="00090B85">
        <w:t xml:space="preserve">opinions individually </w:t>
      </w:r>
      <w:r>
        <w:t>(and discouraged from interacting), and a group estimate was generated analytically (detailed below)</w:t>
      </w:r>
      <w:r w:rsidRPr="00090B85">
        <w:t>.</w:t>
      </w:r>
      <w:r>
        <w:rPr>
          <w:noProof/>
        </w:rPr>
        <w:t>(12)</w:t>
      </w:r>
    </w:p>
    <w:p w:rsidR="0068753E" w:rsidRDefault="0068753E" w:rsidP="00CC12E4">
      <w:pPr>
        <w:spacing w:after="120"/>
      </w:pPr>
      <w:r>
        <w:t>All aspects of the exercise (design, conduct and analyses) were protocolled in advance.</w:t>
      </w:r>
      <w:r>
        <w:rPr>
          <w:noProof/>
        </w:rPr>
        <w:t>(23)</w:t>
      </w:r>
    </w:p>
    <w:p w:rsidR="0068753E" w:rsidRPr="0040265A" w:rsidRDefault="0068753E" w:rsidP="00CC12E4">
      <w:pPr>
        <w:pStyle w:val="Heading1"/>
        <w:spacing w:before="240"/>
        <w:rPr>
          <w:rFonts w:asciiTheme="minorHAnsi" w:hAnsiTheme="minorHAnsi"/>
          <w:i/>
          <w:color w:val="auto"/>
          <w:sz w:val="22"/>
          <w:szCs w:val="22"/>
        </w:rPr>
      </w:pPr>
      <w:bookmarkStart w:id="3" w:name="_Ref467588430"/>
      <w:bookmarkStart w:id="4" w:name="_Ref463267744"/>
      <w:r w:rsidRPr="0040265A">
        <w:rPr>
          <w:rFonts w:asciiTheme="minorHAnsi" w:hAnsiTheme="minorHAnsi"/>
          <w:i/>
          <w:color w:val="auto"/>
          <w:sz w:val="22"/>
          <w:szCs w:val="22"/>
        </w:rPr>
        <w:t>What quantities were elicited?</w:t>
      </w:r>
      <w:bookmarkEnd w:id="3"/>
    </w:p>
    <w:bookmarkEnd w:id="4"/>
    <w:p w:rsidR="0068753E" w:rsidRDefault="0068753E" w:rsidP="00CC12E4">
      <w:pPr>
        <w:spacing w:after="120"/>
      </w:pPr>
      <w:r>
        <w:t xml:space="preserve">The elicitation questionnaire focussed on the effects on population health of changes in NHS expenditure in a particular year (all else unchanged). Experts were prompted to think of changes in expenditure that were significant, but still represented a small proportion of NHS expenditure. </w:t>
      </w:r>
    </w:p>
    <w:p w:rsidR="0068753E" w:rsidRDefault="0068753E" w:rsidP="00CC12E4">
      <w:pPr>
        <w:spacing w:after="120"/>
      </w:pPr>
      <w:r>
        <w:lastRenderedPageBreak/>
        <w:t>The first uncertain quantity elicited regarded duration of effects. A two-part question was used (S</w:t>
      </w:r>
      <w:r w:rsidRPr="0081401F">
        <w:t>ection</w:t>
      </w:r>
      <w:r>
        <w:t> </w:t>
      </w:r>
      <w:r w:rsidRPr="0081401F">
        <w:t>A</w:t>
      </w:r>
      <w:r>
        <w:t>, Table 2) that, firstly, asked about the duration of mortality effects beyond the first year.   Secondly, it asked about the magnitude of mortality effects in the 2</w:t>
      </w:r>
      <w:r w:rsidRPr="003E597F">
        <w:rPr>
          <w:vertAlign w:val="superscript"/>
        </w:rPr>
        <w:t>nd</w:t>
      </w:r>
      <w:r>
        <w:t>, 3</w:t>
      </w:r>
      <w:r w:rsidRPr="003E597F">
        <w:rPr>
          <w:vertAlign w:val="superscript"/>
        </w:rPr>
        <w:t>rd</w:t>
      </w:r>
      <w:r>
        <w:t xml:space="preserve"> and 4</w:t>
      </w:r>
      <w:r w:rsidRPr="003E597F">
        <w:rPr>
          <w:vertAlign w:val="superscript"/>
        </w:rPr>
        <w:t>th</w:t>
      </w:r>
      <w:r>
        <w:t xml:space="preserve"> years after the change in expenditure. Participants were asked to express the latter as a proportion of the effect in the 1</w:t>
      </w:r>
      <w:r w:rsidRPr="003E597F">
        <w:rPr>
          <w:vertAlign w:val="superscript"/>
        </w:rPr>
        <w:t>st</w:t>
      </w:r>
      <w:r>
        <w:t xml:space="preserve"> year as the effect on the 1</w:t>
      </w:r>
      <w:r w:rsidRPr="0028035E">
        <w:rPr>
          <w:vertAlign w:val="superscript"/>
        </w:rPr>
        <w:t>st</w:t>
      </w:r>
      <w:r>
        <w:t xml:space="preserve"> year is an estimable quantity (and was the focus of the empirical work</w:t>
      </w:r>
      <w:r w:rsidRPr="00F523F3">
        <w:t xml:space="preserve"> </w:t>
      </w:r>
      <w:r>
        <w:t>in Claxton et al</w:t>
      </w:r>
      <w:r>
        <w:rPr>
          <w:noProof/>
        </w:rPr>
        <w:t>(9)</w:t>
      </w:r>
      <w:r>
        <w:t>). Using a relative quantity allows for conditional independence to be reasonably assumed and avoids the burdensome task of eliciting dependency. Conditional independence was also assumed in the elicitation of other uncertain quantities, and the accompanying diagram in Table 2 illustrates the conditional relationships specified. Note that the wording intentionally asked for the effects that can be attributed to changes in expenditure in a particular year, and hence was able to identify future (lagged) effects causal to that year’s change in spend.</w:t>
      </w:r>
    </w:p>
    <w:p w:rsidR="0068753E" w:rsidRDefault="0068753E" w:rsidP="00CC12E4">
      <w:pPr>
        <w:spacing w:after="120"/>
      </w:pPr>
      <w:r>
        <w:t xml:space="preserve">The second uncertain quantity subject to elicitation related to the surrogacy relationship and aimed to establish </w:t>
      </w:r>
      <w:r w:rsidRPr="002F40F2">
        <w:t xml:space="preserve">the effects of increased expenditure on </w:t>
      </w:r>
      <w:r>
        <w:t>a year’s QALY burden (S</w:t>
      </w:r>
      <w:r w:rsidRPr="0081401F">
        <w:t>ection B</w:t>
      </w:r>
      <w:r>
        <w:t>, Table 2). QALY burden was defined as comprising of the life-years lost due to premature mortality (due to disease) in the year of interest, adjusted for quality, plus any impacts on the level of HRQoL from disease in individuals alive in that year.  This was elicited separately for the year of expenditure (1</w:t>
      </w:r>
      <w:r w:rsidRPr="009310F0">
        <w:rPr>
          <w:vertAlign w:val="superscript"/>
        </w:rPr>
        <w:t>st</w:t>
      </w:r>
      <w:r>
        <w:t xml:space="preserve"> year) and subsequent years (2</w:t>
      </w:r>
      <w:r w:rsidRPr="009310F0">
        <w:rPr>
          <w:vertAlign w:val="superscript"/>
        </w:rPr>
        <w:t>nd</w:t>
      </w:r>
      <w:r>
        <w:t>, 3</w:t>
      </w:r>
      <w:r w:rsidRPr="009310F0">
        <w:rPr>
          <w:vertAlign w:val="superscript"/>
        </w:rPr>
        <w:t>rd</w:t>
      </w:r>
      <w:r>
        <w:t xml:space="preserve"> and 4</w:t>
      </w:r>
      <w:r w:rsidRPr="009310F0">
        <w:rPr>
          <w:vertAlign w:val="superscript"/>
        </w:rPr>
        <w:t>th</w:t>
      </w:r>
      <w:r>
        <w:t xml:space="preserve"> years). To allow for conditional independence, it was formulated as relative to </w:t>
      </w:r>
      <w:r w:rsidRPr="002F40F2">
        <w:t>effects on mortality burden</w:t>
      </w:r>
      <w:r>
        <w:t xml:space="preserve"> in the same year. </w:t>
      </w:r>
    </w:p>
    <w:p w:rsidR="0068753E" w:rsidRDefault="0068753E" w:rsidP="00CC12E4">
      <w:pPr>
        <w:spacing w:after="120"/>
      </w:pPr>
      <w:r>
        <w:t>The third uncertain quantity related to extrapolation (Section</w:t>
      </w:r>
      <w:r w:rsidRPr="008A4B73">
        <w:t xml:space="preserve"> C</w:t>
      </w:r>
      <w:r>
        <w:t xml:space="preserve">, Table 2). Experts were asked about </w:t>
      </w:r>
      <w:r w:rsidRPr="00563B1B">
        <w:t xml:space="preserve">reductions in </w:t>
      </w:r>
      <w:r>
        <w:t>QALY</w:t>
      </w:r>
      <w:r w:rsidRPr="00563B1B">
        <w:t xml:space="preserve"> burden </w:t>
      </w:r>
      <w:r>
        <w:t xml:space="preserve">in </w:t>
      </w:r>
      <w:r w:rsidRPr="00563B1B">
        <w:t xml:space="preserve">disease areas that </w:t>
      </w:r>
      <w:r>
        <w:t>did not have</w:t>
      </w:r>
      <w:r w:rsidRPr="00563B1B">
        <w:t xml:space="preserve"> measurable mortality effects </w:t>
      </w:r>
      <w:r>
        <w:t xml:space="preserve">(e.g. mental health). They were asked to express these reductions proportionally in relation to the average QALY burden reduction </w:t>
      </w:r>
      <w:r w:rsidRPr="00563B1B">
        <w:t xml:space="preserve">from an increase in NHS expenditure </w:t>
      </w:r>
      <w:r>
        <w:t xml:space="preserve">across all disease areas with </w:t>
      </w:r>
      <w:r w:rsidRPr="00563B1B">
        <w:t>measurable mortality effects</w:t>
      </w:r>
      <w:r>
        <w:t>. Again, this was elicited separately for the year of expenditure (1</w:t>
      </w:r>
      <w:r w:rsidRPr="009310F0">
        <w:rPr>
          <w:vertAlign w:val="superscript"/>
        </w:rPr>
        <w:t>st</w:t>
      </w:r>
      <w:r>
        <w:t xml:space="preserve"> year) and subsequent years (2</w:t>
      </w:r>
      <w:r w:rsidRPr="009310F0">
        <w:rPr>
          <w:vertAlign w:val="superscript"/>
        </w:rPr>
        <w:t>nd</w:t>
      </w:r>
      <w:r>
        <w:t>, 3</w:t>
      </w:r>
      <w:r w:rsidRPr="009310F0">
        <w:rPr>
          <w:vertAlign w:val="superscript"/>
        </w:rPr>
        <w:t>rd</w:t>
      </w:r>
      <w:r>
        <w:t xml:space="preserve"> and 4</w:t>
      </w:r>
      <w:r w:rsidRPr="009310F0">
        <w:rPr>
          <w:vertAlign w:val="superscript"/>
        </w:rPr>
        <w:t>th</w:t>
      </w:r>
      <w:r>
        <w:t xml:space="preserve"> years). </w:t>
      </w:r>
    </w:p>
    <w:p w:rsidR="0068753E" w:rsidRDefault="0068753E" w:rsidP="00CC12E4">
      <w:pPr>
        <w:spacing w:after="120"/>
      </w:pPr>
      <w:bookmarkStart w:id="5" w:name="_Ref464404870"/>
      <w:r>
        <w:t>Whilst elicited judgements are likely to differ between disease areas, it was considered too burdensome for the experts to present their judgements for each of the 23 PBCs. Hence, seven</w:t>
      </w:r>
      <w:r w:rsidRPr="00997DE9">
        <w:t xml:space="preserve"> </w:t>
      </w:r>
      <w:r>
        <w:t>disease areas (C</w:t>
      </w:r>
      <w:r w:rsidRPr="004A3C19">
        <w:t>irculatory, Respiratory, Gastrointestinal, Neurological, Mental health, Endocrinology, Musculoskeletal</w:t>
      </w:r>
      <w:r>
        <w:t xml:space="preserve">) were selected.  These were chosen because changes in expenditure and changes in mortality in those areas are the most </w:t>
      </w:r>
      <w:r w:rsidRPr="00997DE9">
        <w:t xml:space="preserve">important drivers of the </w:t>
      </w:r>
      <w:r>
        <w:t xml:space="preserve">central estimate of </w:t>
      </w:r>
      <w:r w:rsidRPr="00997DE9">
        <w:t>health opportunity cost</w:t>
      </w:r>
      <w:r>
        <w:t>, and most sensitive to the surrogacy and extrapolation assumptions</w:t>
      </w:r>
      <w:r w:rsidRPr="00997DE9">
        <w:t>.</w:t>
      </w:r>
      <w:bookmarkStart w:id="6" w:name="_Ref464402717"/>
      <w:r>
        <w:t xml:space="preserve"> </w:t>
      </w:r>
      <w:bookmarkEnd w:id="5"/>
      <w:bookmarkEnd w:id="6"/>
      <w:r>
        <w:t xml:space="preserve">Estimates were elicited from experts separately for each of these seven main PBCs, and a single estimate for the remaining PBCs combined. These are heterogeneous and broad disease areas, so in responding to questions experts were asked to consider the ICDs within each PBC where an increase in expenditure is more likely to fall.  </w:t>
      </w:r>
    </w:p>
    <w:p w:rsidR="0068753E" w:rsidRDefault="0068753E" w:rsidP="00CC12E4">
      <w:pPr>
        <w:spacing w:after="120"/>
        <w:jc w:val="center"/>
      </w:pPr>
      <w:r>
        <w:t>&lt;&lt;Table 2 here&gt;&gt;</w:t>
      </w:r>
    </w:p>
    <w:p w:rsidR="0068753E" w:rsidRPr="0040265A" w:rsidRDefault="0068753E" w:rsidP="00CC12E4">
      <w:pPr>
        <w:pStyle w:val="Heading1"/>
        <w:spacing w:before="240"/>
        <w:rPr>
          <w:rFonts w:asciiTheme="minorHAnsi" w:hAnsiTheme="minorHAnsi"/>
          <w:i/>
          <w:color w:val="auto"/>
          <w:sz w:val="22"/>
          <w:szCs w:val="22"/>
        </w:rPr>
      </w:pPr>
      <w:bookmarkStart w:id="7" w:name="_Ref467588695"/>
      <w:bookmarkStart w:id="8" w:name="_Ref467588276"/>
      <w:r w:rsidRPr="0040265A">
        <w:rPr>
          <w:rFonts w:asciiTheme="minorHAnsi" w:hAnsiTheme="minorHAnsi"/>
          <w:i/>
          <w:color w:val="auto"/>
          <w:sz w:val="22"/>
          <w:szCs w:val="22"/>
        </w:rPr>
        <w:lastRenderedPageBreak/>
        <w:t>Which experts?</w:t>
      </w:r>
      <w:bookmarkEnd w:id="7"/>
    </w:p>
    <w:p w:rsidR="0068753E" w:rsidRDefault="0068753E" w:rsidP="00CC12E4">
      <w:pPr>
        <w:spacing w:after="120"/>
      </w:pPr>
      <w:r>
        <w:t>We aimed to recruit purposively 20 clinicians (at least 2 from each clinical area</w:t>
      </w:r>
      <w:r>
        <w:rPr>
          <w:rStyle w:val="FootnoteReference"/>
        </w:rPr>
        <w:footnoteReference w:id="2"/>
      </w:r>
      <w:r>
        <w:t>) and 20</w:t>
      </w:r>
      <w:bookmarkStart w:id="9" w:name="_Ref436038347"/>
      <w:r>
        <w:t xml:space="preserve"> individuals affiliated to selected policy-relevant organisations</w:t>
      </w:r>
      <w:r>
        <w:rPr>
          <w:rStyle w:val="FootnoteReference"/>
        </w:rPr>
        <w:footnoteReference w:id="3"/>
      </w:r>
      <w:r>
        <w:rPr>
          <w:noProof/>
        </w:rPr>
        <w:t>(24)</w:t>
      </w:r>
      <w:r>
        <w:t>.  Responses from experts were anonymous, but the organisations they belong to were recorded (policy experts), as were the clinical areas of expertise (clinical and relevant policy experts), to facilitate analysis of between-expert heterogeneity.</w:t>
      </w:r>
      <w:r>
        <w:rPr>
          <w:noProof/>
        </w:rPr>
        <w:t>(14)</w:t>
      </w:r>
      <w:r w:rsidRPr="00655D75">
        <w:t xml:space="preserve"> </w:t>
      </w:r>
    </w:p>
    <w:bookmarkEnd w:id="9"/>
    <w:p w:rsidR="0068753E" w:rsidRPr="0040265A" w:rsidRDefault="0068753E" w:rsidP="00CC12E4">
      <w:pPr>
        <w:pStyle w:val="Heading1"/>
        <w:spacing w:before="240"/>
        <w:rPr>
          <w:rFonts w:asciiTheme="minorHAnsi" w:hAnsiTheme="minorHAnsi"/>
          <w:i/>
          <w:color w:val="auto"/>
          <w:sz w:val="22"/>
          <w:szCs w:val="22"/>
        </w:rPr>
      </w:pPr>
      <w:r w:rsidRPr="0040265A">
        <w:rPr>
          <w:rFonts w:asciiTheme="minorHAnsi" w:hAnsiTheme="minorHAnsi"/>
          <w:i/>
          <w:color w:val="auto"/>
          <w:sz w:val="22"/>
          <w:szCs w:val="22"/>
        </w:rPr>
        <w:t>How were the different quantities elicited?</w:t>
      </w:r>
      <w:bookmarkEnd w:id="8"/>
    </w:p>
    <w:p w:rsidR="0068753E" w:rsidRPr="00AD3BA5" w:rsidRDefault="0068753E" w:rsidP="00CC12E4">
      <w:pPr>
        <w:spacing w:after="120"/>
      </w:pPr>
      <w:r>
        <w:t>It was important for elicitation to reflect experts’ uncertainty, so experts were asked for multiple summaries on each quantity.</w:t>
      </w:r>
      <w:r>
        <w:rPr>
          <w:noProof/>
        </w:rPr>
        <w:t>(12)</w:t>
      </w:r>
      <w:r>
        <w:t xml:space="preserve">  One was the mode (the value the expert believes to be most likely, their best guess) as it is generally thought that experts can more easily report this than the mean or median.</w:t>
      </w:r>
      <w:r>
        <w:rPr>
          <w:noProof/>
        </w:rPr>
        <w:t>(12, 25)</w:t>
      </w:r>
      <w:r>
        <w:t xml:space="preserve">  The other summary estimates were the bounds of a credible interval (Crl, the Bayesian equivalent to confidence intervals).</w:t>
      </w:r>
      <w:r>
        <w:rPr>
          <w:rStyle w:val="FootnoteReference"/>
        </w:rPr>
        <w:footnoteReference w:id="4"/>
      </w:r>
      <w:r>
        <w:t xml:space="preserve">  Evidence shows that, while eliciting CrI is intuitive, there is a clear tendency for these to be too narrow (a bias called ‘overconfidence’), i.e. people believe their estimates are more accurate than is justified.</w:t>
      </w:r>
      <w:r>
        <w:rPr>
          <w:noProof/>
        </w:rPr>
        <w:t>(26)</w:t>
      </w:r>
      <w:r>
        <w:t xml:space="preserve">  This limitation is acknowledged, but experts’ time constraints were a major consideration</w:t>
      </w:r>
      <w:r>
        <w:rPr>
          <w:noProof/>
        </w:rPr>
        <w:t>(27)</w:t>
      </w:r>
      <w:r>
        <w:t xml:space="preserve">. Hence, strategies were adopted to minimise the potential for bias: </w:t>
      </w:r>
      <w:r w:rsidRPr="004153E9">
        <w:t>80</w:t>
      </w:r>
      <w:r w:rsidRPr="00662D10">
        <w:t>%</w:t>
      </w:r>
      <w:r>
        <w:t xml:space="preserve"> CrI were elicited as these typically shows less over confidence than 95% CrIs</w:t>
      </w:r>
      <w:r>
        <w:rPr>
          <w:noProof/>
        </w:rPr>
        <w:t>(12)</w:t>
      </w:r>
      <w:r>
        <w:t>, and single limit estimates were also elicited—where the lower bound is elicited first, and then the upper bound separately—as these are also thought to produce wider estimates than asking directly for the range.</w:t>
      </w:r>
      <w:r>
        <w:rPr>
          <w:noProof/>
        </w:rPr>
        <w:t>(28, 29)</w:t>
      </w:r>
      <w:r>
        <w:t xml:space="preserve">  Hence, the w</w:t>
      </w:r>
      <w:r w:rsidRPr="00AD3BA5">
        <w:t>ording</w:t>
      </w:r>
      <w:r>
        <w:t xml:space="preserve"> used in this work was:</w:t>
      </w:r>
    </w:p>
    <w:p w:rsidR="0068753E" w:rsidRDefault="0068753E" w:rsidP="00CC12E4">
      <w:pPr>
        <w:spacing w:after="120"/>
        <w:ind w:left="993" w:hanging="426"/>
      </w:pPr>
      <w:r>
        <w:t xml:space="preserve">(Mode) </w:t>
      </w:r>
      <w:r w:rsidRPr="00B51B36">
        <w:t>My best guess fo</w:t>
      </w:r>
      <w:r>
        <w:t>r the value of this quantity is ….</w:t>
      </w:r>
    </w:p>
    <w:p w:rsidR="0068753E" w:rsidRDefault="0068753E" w:rsidP="00CC12E4">
      <w:pPr>
        <w:spacing w:after="120"/>
        <w:ind w:left="993" w:hanging="426"/>
      </w:pPr>
      <w:r>
        <w:t xml:space="preserve">(Lower bound of 80% CrI): I am very certain (90% certain) that the true value for this quantity is </w:t>
      </w:r>
      <w:r w:rsidRPr="006D597B">
        <w:rPr>
          <w:u w:val="single"/>
        </w:rPr>
        <w:t>higher</w:t>
      </w:r>
      <w:r>
        <w:t xml:space="preserve"> than</w:t>
      </w:r>
      <w:r w:rsidRPr="00E67725">
        <w:t>...</w:t>
      </w:r>
      <w:r>
        <w:t xml:space="preserve"> </w:t>
      </w:r>
    </w:p>
    <w:p w:rsidR="0068753E" w:rsidRPr="00F259E1" w:rsidRDefault="0068753E" w:rsidP="00CC12E4">
      <w:pPr>
        <w:spacing w:after="120"/>
        <w:ind w:left="993" w:hanging="426"/>
      </w:pPr>
      <w:r>
        <w:t xml:space="preserve">(Upper bound of 80% CrI): I am very certain (90% certain) that the true value for this quantity is </w:t>
      </w:r>
      <w:r w:rsidRPr="006D597B">
        <w:rPr>
          <w:u w:val="single"/>
        </w:rPr>
        <w:t>lower</w:t>
      </w:r>
      <w:r>
        <w:t xml:space="preserve"> than</w:t>
      </w:r>
      <w:r w:rsidRPr="00E67725">
        <w:t>...</w:t>
      </w:r>
      <w:r>
        <w:t xml:space="preserve"> </w:t>
      </w:r>
    </w:p>
    <w:p w:rsidR="0068753E" w:rsidRPr="0040265A" w:rsidRDefault="0068753E" w:rsidP="00CC12E4">
      <w:pPr>
        <w:pStyle w:val="Heading1"/>
        <w:spacing w:before="240"/>
        <w:rPr>
          <w:rFonts w:asciiTheme="minorHAnsi" w:hAnsiTheme="minorHAnsi"/>
          <w:i/>
          <w:color w:val="auto"/>
          <w:sz w:val="22"/>
          <w:szCs w:val="22"/>
        </w:rPr>
      </w:pPr>
      <w:bookmarkStart w:id="10" w:name="_Ref436717599"/>
      <w:bookmarkStart w:id="11" w:name="_Ref467588124"/>
      <w:r w:rsidRPr="0040265A">
        <w:rPr>
          <w:rFonts w:asciiTheme="minorHAnsi" w:hAnsiTheme="minorHAnsi"/>
          <w:i/>
          <w:color w:val="auto"/>
          <w:sz w:val="22"/>
          <w:szCs w:val="22"/>
        </w:rPr>
        <w:t>Conduct of the exercise</w:t>
      </w:r>
    </w:p>
    <w:bookmarkEnd w:id="10"/>
    <w:bookmarkEnd w:id="11"/>
    <w:p w:rsidR="0068753E" w:rsidRDefault="0068753E" w:rsidP="00CC12E4">
      <w:pPr>
        <w:spacing w:after="120"/>
      </w:pPr>
      <w:r>
        <w:t>A</w:t>
      </w:r>
      <w:r w:rsidRPr="003A7192">
        <w:t xml:space="preserve"> paper questionnaire</w:t>
      </w:r>
      <w:r>
        <w:t xml:space="preserve"> was developed </w:t>
      </w:r>
      <w:r w:rsidRPr="006435FE">
        <w:t>(Appendix, item 1)</w:t>
      </w:r>
      <w:r>
        <w:t xml:space="preserve"> and extensively piloted</w:t>
      </w:r>
      <w:r w:rsidRPr="005C2C65">
        <w:t>.</w:t>
      </w:r>
      <w:r>
        <w:t xml:space="preserve"> To facilitate appropriate training, the exercise was, where possible, conducted in groups (workshops). A training session for experts was developed that described the objectives of the elicitation exercise; clarified concepts such as those of uncertainty, variability and heterogeneity; familiarised experts with the quantities the research sought to elicit; described and explained the impact of bias and heuristics; and trained experts on the methods of elicitation used (item 3 in Supplementary material).</w:t>
      </w:r>
      <w:r>
        <w:rPr>
          <w:noProof/>
        </w:rPr>
        <w:t>(30-32)</w:t>
      </w:r>
      <w:r>
        <w:t xml:space="preserve">  This was delivered by two of the authors (KC and MOS).  </w:t>
      </w:r>
    </w:p>
    <w:p w:rsidR="0068753E" w:rsidRDefault="0068753E" w:rsidP="00CC12E4">
      <w:pPr>
        <w:spacing w:after="120"/>
      </w:pPr>
      <w:bookmarkStart w:id="12" w:name="_Ref477945584"/>
      <w:r>
        <w:t>Throughout the exercise individuals were encouraged to revisit and to revise their answers to previous questions</w:t>
      </w:r>
      <w:r>
        <w:rPr>
          <w:noProof/>
        </w:rPr>
        <w:t>(33)</w:t>
      </w:r>
      <w:r>
        <w:t xml:space="preserve">, but we have not recorded when this occurred. At the end of each section of </w:t>
      </w:r>
      <w:r>
        <w:lastRenderedPageBreak/>
        <w:t>the exercise,</w:t>
      </w:r>
      <w:r w:rsidRPr="005D51CB">
        <w:t xml:space="preserve"> </w:t>
      </w:r>
      <w:r>
        <w:t>participants</w:t>
      </w:r>
      <w:r w:rsidRPr="005D51CB">
        <w:t xml:space="preserve"> </w:t>
      </w:r>
      <w:r>
        <w:t xml:space="preserve">were asked </w:t>
      </w:r>
      <w:r w:rsidRPr="005D51CB">
        <w:t xml:space="preserve">whether they </w:t>
      </w:r>
      <w:r>
        <w:t>were</w:t>
      </w:r>
      <w:r w:rsidRPr="005D51CB">
        <w:t xml:space="preserve"> confident the answers they </w:t>
      </w:r>
      <w:r>
        <w:t>had given</w:t>
      </w:r>
      <w:r w:rsidRPr="005D51CB">
        <w:t xml:space="preserve"> reflect</w:t>
      </w:r>
      <w:r>
        <w:t>ed</w:t>
      </w:r>
      <w:r w:rsidRPr="005D51CB">
        <w:t xml:space="preserve"> </w:t>
      </w:r>
      <w:r>
        <w:t>their</w:t>
      </w:r>
      <w:r w:rsidRPr="005D51CB">
        <w:t xml:space="preserve"> views and uncertainties.</w:t>
      </w:r>
      <w:r>
        <w:t xml:space="preserve"> Response options were ‘yes’, ‘not sure’ and ‘no’</w:t>
      </w:r>
      <w:bookmarkEnd w:id="12"/>
      <w:r>
        <w:t>. Individuals were also provided with opportunities for free text feedback.</w:t>
      </w:r>
      <w:r w:rsidRPr="00263433">
        <w:t xml:space="preserve"> </w:t>
      </w:r>
    </w:p>
    <w:p w:rsidR="0068753E" w:rsidRDefault="0068753E" w:rsidP="00CC12E4">
      <w:pPr>
        <w:spacing w:after="120"/>
      </w:pPr>
      <w:r>
        <w:t xml:space="preserve">The judgements from clinical experts were elicited prior to those of policy experts. The judgements from clinical experts were summarised (histograms of the modes and upper and lower credible interval bounds) and presented to policy experts to help them formulate their judgements using the same elicitation tool (item 2 in Supplementary material). </w:t>
      </w:r>
    </w:p>
    <w:p w:rsidR="0068753E" w:rsidRPr="0040265A" w:rsidRDefault="0068753E" w:rsidP="00CC12E4">
      <w:pPr>
        <w:pStyle w:val="Heading1"/>
        <w:spacing w:before="240"/>
        <w:rPr>
          <w:rFonts w:asciiTheme="minorHAnsi" w:hAnsiTheme="minorHAnsi"/>
          <w:i/>
          <w:color w:val="auto"/>
          <w:sz w:val="22"/>
          <w:szCs w:val="22"/>
        </w:rPr>
      </w:pPr>
      <w:r w:rsidRPr="0040265A">
        <w:rPr>
          <w:rFonts w:asciiTheme="minorHAnsi" w:hAnsiTheme="minorHAnsi"/>
          <w:i/>
          <w:color w:val="auto"/>
          <w:sz w:val="22"/>
          <w:szCs w:val="22"/>
        </w:rPr>
        <w:t xml:space="preserve">Analyses and pooling across experts </w:t>
      </w:r>
    </w:p>
    <w:p w:rsidR="0068753E" w:rsidRDefault="0068753E" w:rsidP="00CC12E4">
      <w:pPr>
        <w:spacing w:after="120"/>
      </w:pPr>
      <w:r>
        <w:t>Analyses were conducted in Excel 2010</w:t>
      </w:r>
      <w:r>
        <w:rPr>
          <w:noProof/>
        </w:rPr>
        <w:t>(34)</w:t>
      </w:r>
      <w:r>
        <w:t xml:space="preserve">. </w:t>
      </w:r>
      <w:r w:rsidRPr="0088323B">
        <w:t>In describing the elicited beliefs, the first step was to fit a distribution to each quantity elicited from each individual expert.</w:t>
      </w:r>
      <w:r w:rsidR="008B469B">
        <w:rPr>
          <w:noProof/>
        </w:rPr>
        <w:t>(30,35</w:t>
      </w:r>
      <w:r>
        <w:rPr>
          <w:noProof/>
        </w:rPr>
        <w:t>)</w:t>
      </w:r>
      <w:r w:rsidRPr="00655D75">
        <w:t xml:space="preserve"> </w:t>
      </w:r>
      <w:r w:rsidRPr="002224F2">
        <w:t xml:space="preserve"> </w:t>
      </w:r>
      <w:r>
        <w:t xml:space="preserve">The </w:t>
      </w:r>
      <w:r w:rsidRPr="0088323B">
        <w:t>quantities</w:t>
      </w:r>
      <w:r>
        <w:t xml:space="preserve"> of interest here ranged</w:t>
      </w:r>
      <w:r w:rsidRPr="0088323B">
        <w:t xml:space="preserve"> between 0 and +infinity</w:t>
      </w:r>
      <w:r>
        <w:t xml:space="preserve"> and were fitted with </w:t>
      </w:r>
      <w:r w:rsidRPr="0088323B">
        <w:t xml:space="preserve">the Log-Normal distribution </w:t>
      </w:r>
      <w:r>
        <w:t>as</w:t>
      </w:r>
      <w:r w:rsidRPr="0088323B">
        <w:t xml:space="preserve"> </w:t>
      </w:r>
      <w:r>
        <w:t>pre-specified</w:t>
      </w:r>
      <w:r>
        <w:rPr>
          <w:noProof/>
        </w:rPr>
        <w:t>(23)</w:t>
      </w:r>
      <w:r w:rsidRPr="0088323B">
        <w:t xml:space="preserve">. </w:t>
      </w:r>
      <w:r>
        <w:t xml:space="preserve"> </w:t>
      </w:r>
      <w:r w:rsidRPr="0088323B">
        <w:t>Given</w:t>
      </w:r>
      <w:r>
        <w:t xml:space="preserve"> that</w:t>
      </w:r>
      <w:r w:rsidRPr="0088323B">
        <w:t xml:space="preserve"> three summaries were elicited from </w:t>
      </w:r>
      <w:r>
        <w:t xml:space="preserve">each </w:t>
      </w:r>
      <w:r w:rsidRPr="0088323B">
        <w:t xml:space="preserve">expert, more than one </w:t>
      </w:r>
      <w:r>
        <w:t xml:space="preserve">type of </w:t>
      </w:r>
      <w:r w:rsidRPr="0088323B">
        <w:t xml:space="preserve">two-parameter distribution </w:t>
      </w:r>
      <w:r>
        <w:t xml:space="preserve">can </w:t>
      </w:r>
      <w:r w:rsidRPr="0088323B">
        <w:t>reasonably reflect the</w:t>
      </w:r>
      <w:r>
        <w:t>ir</w:t>
      </w:r>
      <w:r w:rsidRPr="0088323B">
        <w:t xml:space="preserve"> judgements. </w:t>
      </w:r>
      <w:r>
        <w:t>It was protocolled</w:t>
      </w:r>
      <w:r>
        <w:rPr>
          <w:noProof/>
        </w:rPr>
        <w:t xml:space="preserve">(23) </w:t>
      </w:r>
      <w:r>
        <w:t xml:space="preserve">that, </w:t>
      </w:r>
      <w:r w:rsidRPr="0088323B">
        <w:t xml:space="preserve">to reflect this </w:t>
      </w:r>
      <w:r>
        <w:t xml:space="preserve">additional </w:t>
      </w:r>
      <w:r w:rsidRPr="0088323B">
        <w:t>uncertainty, two alternative (two-parameter) distributions would be fitted: one using the lower bound (LB) of the credible interval and the mode, and another using the upper bound (U</w:t>
      </w:r>
      <w:r>
        <w:t>B</w:t>
      </w:r>
      <w:r w:rsidRPr="0088323B">
        <w:t>) and the mode.</w:t>
      </w:r>
      <w:r w:rsidRPr="0088323B">
        <w:rPr>
          <w:rStyle w:val="FootnoteReference"/>
          <w:rFonts w:cs="Arial"/>
        </w:rPr>
        <w:footnoteReference w:id="5"/>
      </w:r>
      <w:r w:rsidRPr="0088323B">
        <w:t xml:space="preserve">  A unique distribution for each quantity elicited by each expert was then derived by linear pooling </w:t>
      </w:r>
      <w:r>
        <w:t xml:space="preserve">of </w:t>
      </w:r>
      <w:r w:rsidRPr="0088323B">
        <w:t>the two distributions, i.e. pooling means and variances.</w:t>
      </w:r>
      <w:r w:rsidRPr="0088323B">
        <w:rPr>
          <w:vertAlign w:val="superscript"/>
        </w:rPr>
        <w:footnoteReference w:id="6"/>
      </w:r>
      <w:r>
        <w:t xml:space="preserve"> Further detail on this stage of analysis is </w:t>
      </w:r>
      <w:r w:rsidRPr="003F488E">
        <w:t xml:space="preserve">presented in Appendix </w:t>
      </w:r>
      <w:r>
        <w:t>(item 2).</w:t>
      </w:r>
    </w:p>
    <w:p w:rsidR="0068753E" w:rsidRPr="00961A71" w:rsidRDefault="0068753E" w:rsidP="00CC12E4">
      <w:pPr>
        <w:spacing w:after="120"/>
        <w:rPr>
          <w:rStyle w:val="CommentReference"/>
          <w:sz w:val="22"/>
          <w:szCs w:val="22"/>
        </w:rPr>
      </w:pPr>
      <w:r w:rsidRPr="00BE4D43">
        <w:t xml:space="preserve">After describing </w:t>
      </w:r>
      <w:r>
        <w:t>each expert’s</w:t>
      </w:r>
      <w:r w:rsidRPr="00BE4D43">
        <w:t xml:space="preserve"> judgement</w:t>
      </w:r>
      <w:r>
        <w:t xml:space="preserve"> for each quantity </w:t>
      </w:r>
      <w:r w:rsidRPr="00BE4D43">
        <w:t>using distribution</w:t>
      </w:r>
      <w:r>
        <w:t>s</w:t>
      </w:r>
      <w:r w:rsidRPr="00BE4D43">
        <w:t>, the</w:t>
      </w:r>
      <w:r>
        <w:t>se</w:t>
      </w:r>
      <w:r w:rsidRPr="00BE4D43">
        <w:t xml:space="preserve"> were pooled together to derive and a single distribution for </w:t>
      </w:r>
      <w:r>
        <w:t>the group</w:t>
      </w:r>
      <w:r w:rsidRPr="00BE4D43">
        <w:t xml:space="preserve">. </w:t>
      </w:r>
      <w:r>
        <w:t>L</w:t>
      </w:r>
      <w:r w:rsidRPr="00BE4D43">
        <w:t>inear pool</w:t>
      </w:r>
      <w:r>
        <w:t>ing was used(12) with</w:t>
      </w:r>
      <w:r w:rsidRPr="00BE4D43">
        <w:t xml:space="preserve"> equal weights</w:t>
      </w:r>
      <w:r>
        <w:t xml:space="preserve"> across experts</w:t>
      </w:r>
      <w:r w:rsidRPr="00BE4D43">
        <w:rPr>
          <w:vertAlign w:val="superscript"/>
        </w:rPr>
        <w:t>4</w:t>
      </w:r>
      <w:r>
        <w:rPr>
          <w:vertAlign w:val="superscript"/>
        </w:rPr>
        <w:t xml:space="preserve"> </w:t>
      </w:r>
      <w:r>
        <w:t>to preserve</w:t>
      </w:r>
      <w:r w:rsidRPr="00BE4D43">
        <w:t xml:space="preserve"> the individual judgements in the collective (pooled) judgement.</w:t>
      </w:r>
      <w:r>
        <w:rPr>
          <w:noProof/>
        </w:rPr>
        <w:t>(14, 26  )</w:t>
      </w:r>
      <w:r w:rsidRPr="00655D75">
        <w:t xml:space="preserve"> </w:t>
      </w:r>
      <w:r>
        <w:t xml:space="preserve">Linear pooling means that, </w:t>
      </w:r>
      <w:r w:rsidRPr="00BE4D43">
        <w:t xml:space="preserve">if the experts’ distributions for a single quantity </w:t>
      </w:r>
      <w:r>
        <w:t>are</w:t>
      </w:r>
      <w:r w:rsidRPr="00BE4D43">
        <w:t xml:space="preserve"> identical</w:t>
      </w:r>
      <w:r>
        <w:t>,</w:t>
      </w:r>
      <w:r w:rsidRPr="00BE4D43">
        <w:t xml:space="preserve"> the pooled </w:t>
      </w:r>
      <w:r>
        <w:t xml:space="preserve">distribution </w:t>
      </w:r>
      <w:r w:rsidRPr="00BE4D43">
        <w:t xml:space="preserve">is </w:t>
      </w:r>
      <w:r>
        <w:t>also identical</w:t>
      </w:r>
      <w:r w:rsidRPr="00BE4D43">
        <w:t xml:space="preserve"> to the individuals’ distributions. Also, if there is the support from at least one expert that the quantity of interest takes a particular value, the pooled distribution will also show</w:t>
      </w:r>
      <w:r>
        <w:t xml:space="preserve"> some support for that value.</w:t>
      </w:r>
      <w:r w:rsidR="008B469B">
        <w:rPr>
          <w:noProof/>
        </w:rPr>
        <w:t>(12,</w:t>
      </w:r>
      <w:r>
        <w:rPr>
          <w:noProof/>
        </w:rPr>
        <w:t>36)</w:t>
      </w:r>
    </w:p>
    <w:p w:rsidR="0068753E" w:rsidRDefault="0068753E" w:rsidP="00CC12E4">
      <w:pPr>
        <w:spacing w:after="120"/>
      </w:pPr>
      <w:bookmarkStart w:id="13" w:name="_Ref436247471"/>
      <w:r>
        <w:t>The primary analysis reflects the pooled results from clinical experts and the secondary analysis reflects the pooled results from policy experts.</w:t>
      </w:r>
      <w:bookmarkStart w:id="14" w:name="_Ref436302288"/>
      <w:r>
        <w:t xml:space="preserve"> </w:t>
      </w:r>
      <w:bookmarkEnd w:id="14"/>
    </w:p>
    <w:bookmarkEnd w:id="13"/>
    <w:p w:rsidR="0068753E" w:rsidRPr="00DD0ABF" w:rsidRDefault="0068753E" w:rsidP="00CC12E4">
      <w:pPr>
        <w:spacing w:after="120"/>
        <w:rPr>
          <w:i/>
        </w:rPr>
      </w:pPr>
      <w:r w:rsidRPr="00DD0ABF">
        <w:rPr>
          <w:i/>
        </w:rPr>
        <w:t>Sensitivity analyses</w:t>
      </w:r>
    </w:p>
    <w:p w:rsidR="0068753E" w:rsidRDefault="0068753E" w:rsidP="00CC12E4">
      <w:pPr>
        <w:spacing w:after="120"/>
      </w:pPr>
      <w:r>
        <w:t>Two sensitivity analyses were protocolled</w:t>
      </w:r>
      <w:r>
        <w:rPr>
          <w:noProof/>
        </w:rPr>
        <w:t>(23)</w:t>
      </w:r>
      <w:r>
        <w:t xml:space="preserve">. One explored heterogeneity (i.e. between-expert uncertainty) by: i) considering only responses of clinical experts in the clinical specialty relating to </w:t>
      </w:r>
      <w:r>
        <w:lastRenderedPageBreak/>
        <w:t>the disease area in the question; and ii) by grouping policy experts by the type of organisation they belonged to (see footnote 3). The second protocolled sensitivity analysis disregarded those responses where individuals indicated not to be confident that the response reflected their views and uncertainties. A third and final sensitivity analysis was not protocolled and provided a qualitative assessment of the implications of using a Gamma distribution, instead of the Log-Normal, in the fitting.</w:t>
      </w:r>
    </w:p>
    <w:p w:rsidR="0068753E" w:rsidRPr="0040265A" w:rsidRDefault="0068753E" w:rsidP="00CC12E4">
      <w:pPr>
        <w:pStyle w:val="Heading1"/>
        <w:rPr>
          <w:rFonts w:asciiTheme="minorHAnsi" w:hAnsiTheme="minorHAnsi"/>
          <w:caps/>
          <w:color w:val="auto"/>
          <w:sz w:val="22"/>
          <w:szCs w:val="22"/>
        </w:rPr>
      </w:pPr>
      <w:r w:rsidRPr="0040265A">
        <w:rPr>
          <w:rFonts w:asciiTheme="minorHAnsi" w:hAnsiTheme="minorHAnsi"/>
          <w:caps/>
          <w:color w:val="auto"/>
          <w:sz w:val="22"/>
          <w:szCs w:val="22"/>
        </w:rPr>
        <w:t xml:space="preserve">Results </w:t>
      </w:r>
    </w:p>
    <w:p w:rsidR="0068753E" w:rsidRPr="0040265A" w:rsidRDefault="0068753E" w:rsidP="00CC12E4">
      <w:pPr>
        <w:pStyle w:val="Heading1"/>
        <w:spacing w:before="240"/>
        <w:rPr>
          <w:rFonts w:asciiTheme="minorHAnsi" w:hAnsiTheme="minorHAnsi"/>
          <w:i/>
          <w:color w:val="auto"/>
          <w:sz w:val="22"/>
          <w:szCs w:val="22"/>
        </w:rPr>
      </w:pPr>
      <w:r w:rsidRPr="0040265A">
        <w:rPr>
          <w:rFonts w:asciiTheme="minorHAnsi" w:hAnsiTheme="minorHAnsi"/>
          <w:i/>
          <w:color w:val="auto"/>
          <w:sz w:val="22"/>
          <w:szCs w:val="22"/>
        </w:rPr>
        <w:t>Primary analyses using substantive (clinical) experts’ responses</w:t>
      </w:r>
    </w:p>
    <w:p w:rsidR="0068753E" w:rsidRPr="008569CD" w:rsidRDefault="0068753E" w:rsidP="00CC12E4">
      <w:pPr>
        <w:spacing w:after="120"/>
      </w:pPr>
      <w:r>
        <w:t>Twenty-eight clinical experts participated in three (group) workshops and four individual interviews</w:t>
      </w:r>
      <w:r>
        <w:rPr>
          <w:rStyle w:val="FootnoteReference"/>
        </w:rPr>
        <w:footnoteReference w:id="7"/>
      </w:r>
      <w:r>
        <w:t>. A summary of the pooled distributions across all clinical experts are presented in Table 3</w:t>
      </w:r>
      <w:r w:rsidRPr="00115552">
        <w:t>.</w:t>
      </w:r>
    </w:p>
    <w:p w:rsidR="0068753E" w:rsidRPr="00E966B0" w:rsidRDefault="0068753E" w:rsidP="00CC12E4">
      <w:pPr>
        <w:spacing w:after="120"/>
        <w:jc w:val="center"/>
      </w:pPr>
      <w:r w:rsidRPr="00E966B0">
        <w:t xml:space="preserve">&lt;&lt;Table </w:t>
      </w:r>
      <w:r>
        <w:t>3</w:t>
      </w:r>
      <w:r w:rsidRPr="00E966B0">
        <w:t xml:space="preserve"> here&gt;&gt;</w:t>
      </w:r>
    </w:p>
    <w:p w:rsidR="0068753E" w:rsidRDefault="0068753E" w:rsidP="00CC12E4">
      <w:pPr>
        <w:spacing w:after="120"/>
      </w:pPr>
      <w:r>
        <w:t xml:space="preserve">Results to Question A1 (duration of effects) indicate that changes in NHS expenditure in a particular year are expected to affect mortality in subsequent years. The mean duration of effects is highest for circulatory and gastrointestinal (approximately 11 additional years), and lowest for neurological disease (approximately 6 additional years). The pooled distribution shows considerable uncertainty, as demonstrated by its wide 80% CrI. As an illustration, the top panel </w:t>
      </w:r>
      <w:r w:rsidRPr="00FE7D60">
        <w:t>of Figure 1 shows</w:t>
      </w:r>
      <w:r w:rsidRPr="00D865C1">
        <w:t xml:space="preserve"> the</w:t>
      </w:r>
      <w:r>
        <w:t xml:space="preserve"> individual experts’ distributions for the duration of effects in circulatory disease (in grey), overlaid with the pooled distribution across all experts (in black). Note that uncertainty in the pooled distribution reflects not just each individual’s uncertainty but also between-expert heterogeneity.</w:t>
      </w:r>
    </w:p>
    <w:p w:rsidR="0068753E" w:rsidRDefault="0068753E" w:rsidP="00CC12E4">
      <w:pPr>
        <w:spacing w:after="120"/>
        <w:jc w:val="center"/>
      </w:pPr>
      <w:r>
        <w:t>&lt;&lt;Figure 1 here&gt;&gt;</w:t>
      </w:r>
    </w:p>
    <w:p w:rsidR="0068753E" w:rsidRDefault="0068753E" w:rsidP="00CC12E4">
      <w:pPr>
        <w:spacing w:after="120"/>
      </w:pPr>
      <w:r>
        <w:t>Experts’ judgements suggest that, across all disease areas, mortality effects beyond year 1 are expected to be higher than effects in the first year (Section B). In circulatory, for example, it is expected that the effect in the second year is 1.5 times that in the first year. This can be interpreted to reflect the preventative nature of much of the expenditure in this disease area, where health benefits of current expenditure are higher in the future. The magnitude of expected mortality effects decreases over time for all disease areas. For example, in circulatory disease, surrogacy on the third year is expected to be at 1.2 and in the fourth year at 0.9. The pooled distributions are wide and the 80% CrI include the value of 1.</w:t>
      </w:r>
    </w:p>
    <w:p w:rsidR="0068753E" w:rsidRDefault="0068753E" w:rsidP="00CC12E4">
      <w:pPr>
        <w:spacing w:after="120"/>
      </w:pPr>
      <w:r>
        <w:t>Experts’ judgements indicate that surrogacy relationships are expected to be above 1 in the year of expenditure for all disease areas (between 2.9 and 3.7, see Table 3). This implies that changes in spend are expected to reduce QALY burden proportionately more than mortality burden, although this is associated with considerable uncertainty. The individual experts’ distributions on the surrogacy relationship in year 1 for circulatory disease have been graphically presented in the bottom panel of Figure 1</w:t>
      </w:r>
      <w:r w:rsidRPr="00FE7D60">
        <w:t>. Only 5 of</w:t>
      </w:r>
      <w:r>
        <w:t xml:space="preserve"> the 27 distributions (one expert did not complete this question) have mean estimates below or equal to 1 (results not presented here). The pooled distribution </w:t>
      </w:r>
      <w:r>
        <w:lastRenderedPageBreak/>
        <w:t>across the 27 experts shows a mean of 2.9 and an 80% CrI suggesting the true value lies between 0.3 and 6.6 (Table 3). Over time, expected values for surrogacy do not fall below 1.</w:t>
      </w:r>
    </w:p>
    <w:p w:rsidR="0068753E" w:rsidRDefault="0068753E" w:rsidP="00CC12E4">
      <w:pPr>
        <w:spacing w:after="120"/>
      </w:pPr>
      <w:r>
        <w:t>Extrapolation relationships follow the same pattern as surrogacy, with expected values consistently above 1 (between 2.6 and 4.7). The 80% CrI seem to reduce width over time.</w:t>
      </w:r>
    </w:p>
    <w:p w:rsidR="0068753E" w:rsidRPr="00F875A1" w:rsidRDefault="0068753E" w:rsidP="00CC12E4">
      <w:pPr>
        <w:spacing w:after="120"/>
      </w:pPr>
    </w:p>
    <w:p w:rsidR="0068753E" w:rsidRPr="0040265A" w:rsidRDefault="0068753E" w:rsidP="00CC12E4">
      <w:pPr>
        <w:pStyle w:val="Heading1"/>
        <w:spacing w:before="240"/>
        <w:rPr>
          <w:rFonts w:asciiTheme="minorHAnsi" w:hAnsiTheme="minorHAnsi"/>
          <w:i/>
          <w:color w:val="auto"/>
          <w:sz w:val="22"/>
          <w:szCs w:val="22"/>
        </w:rPr>
      </w:pPr>
      <w:r w:rsidRPr="0040265A">
        <w:rPr>
          <w:rFonts w:asciiTheme="minorHAnsi" w:hAnsiTheme="minorHAnsi"/>
          <w:i/>
          <w:color w:val="auto"/>
          <w:sz w:val="22"/>
          <w:szCs w:val="22"/>
        </w:rPr>
        <w:t>Secondary analysis using policy experts’ responses</w:t>
      </w:r>
    </w:p>
    <w:p w:rsidR="0068753E" w:rsidRDefault="0068753E" w:rsidP="00CC12E4">
      <w:pPr>
        <w:spacing w:before="200"/>
      </w:pPr>
      <w:r w:rsidRPr="00776935">
        <w:rPr>
          <w:rFonts w:cs="Arial"/>
        </w:rPr>
        <w:t xml:space="preserve">Twenty-five policy experts </w:t>
      </w:r>
      <w:r>
        <w:rPr>
          <w:rFonts w:cs="Arial"/>
        </w:rPr>
        <w:t xml:space="preserve">participated in two workshops (affiliations </w:t>
      </w:r>
      <w:r w:rsidRPr="00776935">
        <w:rPr>
          <w:rFonts w:cs="Arial"/>
        </w:rPr>
        <w:t xml:space="preserve">in </w:t>
      </w:r>
      <w:r>
        <w:rPr>
          <w:rFonts w:cs="Arial"/>
        </w:rPr>
        <w:t>footnote</w:t>
      </w:r>
      <w:r>
        <w:rPr>
          <w:rStyle w:val="FootnoteReference"/>
          <w:rFonts w:cs="Arial"/>
        </w:rPr>
        <w:footnoteReference w:id="8"/>
      </w:r>
      <w:r>
        <w:rPr>
          <w:rFonts w:cs="Arial"/>
        </w:rPr>
        <w:t>)</w:t>
      </w:r>
      <w:r w:rsidRPr="00776935">
        <w:rPr>
          <w:rFonts w:cs="Arial"/>
        </w:rPr>
        <w:t>.</w:t>
      </w:r>
      <w:r>
        <w:rPr>
          <w:rFonts w:cs="Arial"/>
        </w:rPr>
        <w:t xml:space="preserve"> </w:t>
      </w:r>
      <w:r>
        <w:t>Table 4</w:t>
      </w:r>
      <w:r w:rsidRPr="002A07D9">
        <w:t xml:space="preserve"> </w:t>
      </w:r>
      <w:r>
        <w:t>presents a s</w:t>
      </w:r>
      <w:r w:rsidRPr="002A07D9">
        <w:t>ummary of pooled distributions.</w:t>
      </w:r>
      <w:r>
        <w:t xml:space="preserve"> </w:t>
      </w:r>
    </w:p>
    <w:p w:rsidR="0068753E" w:rsidRDefault="0068753E" w:rsidP="00CC12E4">
      <w:pPr>
        <w:spacing w:after="120"/>
        <w:jc w:val="center"/>
      </w:pPr>
      <w:r>
        <w:t>&lt;&lt;Table 4 here&gt;&gt;</w:t>
      </w:r>
    </w:p>
    <w:p w:rsidR="0068753E" w:rsidRDefault="0068753E" w:rsidP="00CC12E4">
      <w:pPr>
        <w:spacing w:after="120"/>
      </w:pPr>
      <w:r>
        <w:t>Results were fairly similar to those obtained with the pool of clinical experts, but between-expert variation is lower for this group of experts (exemplified in Figure 2 for duration of effects, top panel, and surrogacy, bottom panel, in circulatory disease). With respect to mortality effects, policy experts generally indicated higher duration (in terms of expected values) than clinical experts, and a similar magnitude over time.</w:t>
      </w:r>
    </w:p>
    <w:p w:rsidR="0068753E" w:rsidRDefault="0068753E" w:rsidP="00CC12E4">
      <w:pPr>
        <w:spacing w:after="120"/>
        <w:jc w:val="center"/>
        <w:rPr>
          <w:rFonts w:cs="Arial"/>
          <w:color w:val="000000" w:themeColor="text1"/>
        </w:rPr>
      </w:pPr>
      <w:r>
        <w:rPr>
          <w:rFonts w:cs="Arial"/>
          <w:color w:val="000000" w:themeColor="text1"/>
        </w:rPr>
        <w:t>&lt;&lt;Figure 2 here&gt;&gt;</w:t>
      </w:r>
    </w:p>
    <w:p w:rsidR="0068753E" w:rsidRDefault="0068753E" w:rsidP="00CC12E4">
      <w:pPr>
        <w:spacing w:after="120"/>
        <w:rPr>
          <w:rFonts w:cs="Arial"/>
          <w:color w:val="000000" w:themeColor="text1"/>
        </w:rPr>
      </w:pPr>
      <w:r w:rsidRPr="005E18DE">
        <w:rPr>
          <w:rFonts w:cs="Arial"/>
          <w:color w:val="000000" w:themeColor="text1"/>
        </w:rPr>
        <w:t xml:space="preserve">In terms </w:t>
      </w:r>
      <w:r>
        <w:rPr>
          <w:rFonts w:cs="Arial"/>
          <w:color w:val="000000" w:themeColor="text1"/>
        </w:rPr>
        <w:t>of surrogacy, expected values are also comparable to those of clinical experts. Expected values do not fall below 1 (although CrI include 1) -- for example, for respiratory, surrogacy had an expected value of 2.9. Expected extrapolation relationships also follow similar patterns</w:t>
      </w:r>
      <w:r w:rsidRPr="0057656F">
        <w:rPr>
          <w:rFonts w:cs="Arial"/>
          <w:color w:val="000000" w:themeColor="text1"/>
        </w:rPr>
        <w:t xml:space="preserve"> </w:t>
      </w:r>
      <w:r>
        <w:rPr>
          <w:rFonts w:cs="Arial"/>
          <w:color w:val="000000" w:themeColor="text1"/>
        </w:rPr>
        <w:t>to those of clinical experts, but decrease slightly faster over time.</w:t>
      </w:r>
    </w:p>
    <w:p w:rsidR="0068753E" w:rsidRPr="00776935" w:rsidRDefault="0068753E" w:rsidP="00CC12E4">
      <w:pPr>
        <w:pStyle w:val="Caption"/>
        <w:spacing w:after="0"/>
        <w:rPr>
          <w:rFonts w:cs="Arial"/>
          <w:b w:val="0"/>
          <w:color w:val="000000" w:themeColor="text1"/>
        </w:rPr>
      </w:pPr>
    </w:p>
    <w:p w:rsidR="0068753E" w:rsidRPr="0040265A" w:rsidRDefault="0068753E" w:rsidP="00CC12E4">
      <w:pPr>
        <w:pStyle w:val="Heading1"/>
        <w:spacing w:before="240"/>
        <w:rPr>
          <w:rFonts w:asciiTheme="minorHAnsi" w:hAnsiTheme="minorHAnsi"/>
          <w:i/>
          <w:color w:val="auto"/>
          <w:sz w:val="22"/>
          <w:szCs w:val="22"/>
        </w:rPr>
      </w:pPr>
      <w:r w:rsidRPr="0040265A">
        <w:rPr>
          <w:rFonts w:asciiTheme="minorHAnsi" w:hAnsiTheme="minorHAnsi"/>
          <w:i/>
          <w:color w:val="auto"/>
          <w:sz w:val="22"/>
          <w:szCs w:val="22"/>
        </w:rPr>
        <w:t>Face-validity and qualitative feedback</w:t>
      </w:r>
    </w:p>
    <w:p w:rsidR="0068753E" w:rsidRDefault="0068753E" w:rsidP="00CC12E4">
      <w:pPr>
        <w:spacing w:before="200"/>
        <w:rPr>
          <w:rFonts w:cs="Arial"/>
        </w:rPr>
      </w:pPr>
      <w:r>
        <w:rPr>
          <w:rFonts w:cs="Arial"/>
        </w:rPr>
        <w:t xml:space="preserve">The information provided by individual experts is </w:t>
      </w:r>
      <w:r w:rsidRPr="003F488E">
        <w:rPr>
          <w:rFonts w:cs="Arial"/>
        </w:rPr>
        <w:t xml:space="preserve">reproduced in </w:t>
      </w:r>
      <w:r>
        <w:rPr>
          <w:rFonts w:cs="Arial"/>
        </w:rPr>
        <w:t>item 4 of Supplemental material</w:t>
      </w:r>
      <w:r w:rsidRPr="003F488E">
        <w:rPr>
          <w:rFonts w:cs="Arial"/>
        </w:rPr>
        <w:t>. Only</w:t>
      </w:r>
      <w:r>
        <w:rPr>
          <w:rFonts w:cs="Arial"/>
        </w:rPr>
        <w:t xml:space="preserve"> a very small proportion of clinical experts (1/28 in Section A, 3/28 in Section B and 0/24 in Section C) indicated their responses did not reflect their views and uncertainties, with the remaining answering ‘yes’ or ‘unsure’ (respectively, 16 and 11 out of 28 in Section A, 7 and 19 out of 28 in Section B and 14 and 10 out of 24 in Section C). This was qualitatively similar for policy experts. Qualitative feedback was insightful regarding the reasons for these responses. Participants, both clinical and policy, consistently mentioned that the heterogeneity across the ICDs that composed the different disease areas made responding to questions particularly challenging. Some clinical experts also found it difficult to answer questions on disease areas that did not relate to their specialism. Some policy experts also indicated that they relied heavily on the clinical experts’ answers. The qualitative feedback did not suggest that the answers lacked face validity, but instead explains the wide distributions returned by participants.</w:t>
      </w:r>
    </w:p>
    <w:p w:rsidR="0068753E" w:rsidRPr="0040265A" w:rsidRDefault="0068753E" w:rsidP="00CC12E4">
      <w:pPr>
        <w:pStyle w:val="Heading1"/>
        <w:spacing w:before="240"/>
        <w:rPr>
          <w:rFonts w:asciiTheme="minorHAnsi" w:hAnsiTheme="minorHAnsi"/>
          <w:i/>
          <w:color w:val="auto"/>
          <w:sz w:val="22"/>
          <w:szCs w:val="22"/>
        </w:rPr>
      </w:pPr>
      <w:r w:rsidRPr="0040265A">
        <w:rPr>
          <w:rFonts w:asciiTheme="minorHAnsi" w:hAnsiTheme="minorHAnsi"/>
          <w:i/>
          <w:color w:val="auto"/>
          <w:sz w:val="22"/>
          <w:szCs w:val="22"/>
        </w:rPr>
        <w:lastRenderedPageBreak/>
        <w:t>Sensitivity analysis</w:t>
      </w:r>
    </w:p>
    <w:p w:rsidR="0068753E" w:rsidRDefault="0068753E" w:rsidP="00CC12E4">
      <w:pPr>
        <w:spacing w:after="120"/>
      </w:pPr>
      <w:r>
        <w:t xml:space="preserve">Results of sensitivity analyses are shown in full </w:t>
      </w:r>
      <w:r w:rsidRPr="006435FE">
        <w:t>in Appendix (</w:t>
      </w:r>
      <w:r>
        <w:t xml:space="preserve">item 2) – here, we present only a qualitative summary of results. </w:t>
      </w:r>
    </w:p>
    <w:p w:rsidR="0068753E" w:rsidRDefault="0037055D" w:rsidP="00CC12E4">
      <w:pPr>
        <w:spacing w:after="120"/>
      </w:pPr>
      <w:r>
        <w:t>R</w:t>
      </w:r>
      <w:r w:rsidR="0068753E">
        <w:t xml:space="preserve">esults do not change </w:t>
      </w:r>
      <w:r>
        <w:t xml:space="preserve">meaningfully </w:t>
      </w:r>
      <w:r w:rsidR="0068753E">
        <w:t>when remov</w:t>
      </w:r>
      <w:r>
        <w:t xml:space="preserve">ing individuals that indicate their responses did not </w:t>
      </w:r>
      <w:r>
        <w:rPr>
          <w:rFonts w:cs="Arial"/>
        </w:rPr>
        <w:t>reflect their views and uncertainties</w:t>
      </w:r>
      <w:r w:rsidR="0068753E">
        <w:t xml:space="preserve"> (item 2.1</w:t>
      </w:r>
      <w:r>
        <w:t>A</w:t>
      </w:r>
      <w:r w:rsidR="0068753E">
        <w:t xml:space="preserve"> in </w:t>
      </w:r>
      <w:r w:rsidR="0068753E" w:rsidRPr="006435FE">
        <w:t>Appendix)</w:t>
      </w:r>
      <w:r w:rsidR="0068753E">
        <w:t>.</w:t>
      </w:r>
      <w:r>
        <w:t xml:space="preserve"> When also removing individuals that responded ‘not</w:t>
      </w:r>
      <w:r w:rsidR="0068753E">
        <w:t xml:space="preserve"> </w:t>
      </w:r>
      <w:r>
        <w:t xml:space="preserve">sure’ to this question (i.e. only considering those that responded ‘yes’), again differences were not meaningful except for surrogacy where means were slightly higher across all disease areas (item 2.1B in </w:t>
      </w:r>
      <w:r w:rsidRPr="006435FE">
        <w:t>Appendix)</w:t>
      </w:r>
      <w:r>
        <w:t xml:space="preserve">. </w:t>
      </w:r>
      <w:r w:rsidR="0068753E">
        <w:t xml:space="preserve">In terms of heterogeneity in the primary analysis (item 2.2 in </w:t>
      </w:r>
      <w:r w:rsidR="0068753E" w:rsidRPr="006435FE">
        <w:t>Appendix)</w:t>
      </w:r>
      <w:r w:rsidR="0068753E">
        <w:t xml:space="preserve">, the pooled distribution of clinicians in their clinical area of expertise shows some differences in relation to the pooled results across all clinicians (see for example, the mean duration of mortality effects for circulatory, gastrointestinal and neurological). The magnitude of such effects over time is (in general) higher for circulatory and neurological. Expected surrogacy relationships are similar for the year of expenditure except for neurological, where experts indicate surrogacy to be higher. Expected extrapolation relationships are lower for mental health, in the first year and over subsequent years, but higher for the first year in musculoskeletal disease. </w:t>
      </w:r>
    </w:p>
    <w:p w:rsidR="0068753E" w:rsidRDefault="0068753E" w:rsidP="00CC12E4">
      <w:pPr>
        <w:spacing w:after="120"/>
      </w:pPr>
      <w:r>
        <w:t xml:space="preserve">In terms of heterogeneity in secondary analyses (item 2.3 in </w:t>
      </w:r>
      <w:r w:rsidRPr="006435FE">
        <w:t>Appendix)</w:t>
      </w:r>
      <w:r>
        <w:t>, of note is the pooled distribution for group G2 (the biggest group comprising of 15 out of the total 25 experts, including ‘Governmental bodies’ such as the Department of Health and Social Care or Public Health England) which presents generally lower expected values and more precise distributions than the overall group. This implies that the heterogeneity introduced by the remaining groups is contributing to a widening of the CrI.</w:t>
      </w:r>
    </w:p>
    <w:p w:rsidR="0068753E" w:rsidRDefault="0068753E" w:rsidP="00CC12E4">
      <w:pPr>
        <w:spacing w:after="120"/>
      </w:pPr>
      <w:r>
        <w:t xml:space="preserve">The post-hoc sensitivity analyses evaluating an alternative distribution to represent experts’ beliefs (item 2.4 in </w:t>
      </w:r>
      <w:r w:rsidRPr="006435FE">
        <w:t>Appendix)</w:t>
      </w:r>
      <w:r>
        <w:t xml:space="preserve"> shows overall conclusions to be robust, but that the magnitude of effects is sensitive to the choice: the LogNormal distribution (pre-specified in our analyses plan) has a heavier tail than the Gamma (implemented in sensitivity analyses) and hence generally returns higher expected values when fitted to the same mode and credible interval bounds. </w:t>
      </w:r>
    </w:p>
    <w:p w:rsidR="0068753E" w:rsidRPr="0040265A" w:rsidRDefault="0068753E" w:rsidP="00CC12E4">
      <w:pPr>
        <w:pStyle w:val="Heading1"/>
        <w:rPr>
          <w:rFonts w:asciiTheme="minorHAnsi" w:hAnsiTheme="minorHAnsi"/>
          <w:caps/>
          <w:color w:val="auto"/>
          <w:sz w:val="22"/>
          <w:szCs w:val="22"/>
        </w:rPr>
      </w:pPr>
      <w:r w:rsidRPr="0040265A">
        <w:rPr>
          <w:rFonts w:asciiTheme="minorHAnsi" w:hAnsiTheme="minorHAnsi"/>
          <w:caps/>
          <w:color w:val="auto"/>
          <w:sz w:val="22"/>
          <w:szCs w:val="22"/>
        </w:rPr>
        <w:t>Discussion</w:t>
      </w:r>
    </w:p>
    <w:p w:rsidR="0068753E" w:rsidRDefault="0068753E" w:rsidP="00CC12E4">
      <w:pPr>
        <w:spacing w:before="200"/>
      </w:pPr>
      <w:r>
        <w:t xml:space="preserve">This research developed an exemplar elicitation exercise aimed at quantitatively gathering the (uncertain) beliefs of individuals on a set of quantities for which there is currently insufficient evidence, but which are central to an estimate of </w:t>
      </w:r>
      <w:r w:rsidRPr="00411C24">
        <w:t>health opportunity costs</w:t>
      </w:r>
      <w:r>
        <w:t xml:space="preserve"> for the English NHS. Resourcing decisions in the NHS require consideration of health opportunity costs, and hence this work has direct relevance for current policy in the UK.  Despite being motivated by earlier research</w:t>
      </w:r>
      <w:r>
        <w:rPr>
          <w:noProof/>
        </w:rPr>
        <w:t>(9)</w:t>
      </w:r>
      <w:r>
        <w:t xml:space="preserve">, this work will also have longer-term relevance as the judgements elicited can be used to support other empirical studies for the UK, including those using different econometric methodologies, as these can be expected to suffer from the same evidence gaps. </w:t>
      </w:r>
    </w:p>
    <w:p w:rsidR="0068753E" w:rsidRDefault="0068753E" w:rsidP="00CC12E4">
      <w:pPr>
        <w:spacing w:before="200"/>
      </w:pPr>
      <w:r>
        <w:t xml:space="preserve">Elicited judgements should not replace high-quality evidence, and it is paramount that primary evidence is collected on each of the uncertain quantities covered here. Our work, however, was designed in such a way that, as new evidence reports on individual quantities, the judgements elicited on the other quantities can be retained for use in policy. This was achieved by defining quantities as conditionally independent. The work presented here is also important internationally, as it can be adapted for evaluations pertaining to other countries or settings, beyond the UK’s NHS. </w:t>
      </w:r>
    </w:p>
    <w:p w:rsidR="0068753E" w:rsidRPr="00200D33" w:rsidRDefault="0068753E" w:rsidP="00CC12E4">
      <w:pPr>
        <w:spacing w:before="200"/>
        <w:rPr>
          <w:rFonts w:cs="Arial"/>
          <w:color w:val="000000" w:themeColor="text1"/>
        </w:rPr>
      </w:pPr>
      <w:r w:rsidRPr="00312F8B">
        <w:rPr>
          <w:rFonts w:cs="Arial"/>
        </w:rPr>
        <w:lastRenderedPageBreak/>
        <w:t xml:space="preserve">The group estimates obtained provide </w:t>
      </w:r>
      <w:r>
        <w:rPr>
          <w:rFonts w:cs="Arial"/>
        </w:rPr>
        <w:t>a summary</w:t>
      </w:r>
      <w:r w:rsidRPr="00312F8B">
        <w:rPr>
          <w:rFonts w:cs="Arial"/>
        </w:rPr>
        <w:t xml:space="preserve"> of the beliefs of </w:t>
      </w:r>
      <w:r>
        <w:rPr>
          <w:rFonts w:cs="Arial"/>
        </w:rPr>
        <w:t>multiple</w:t>
      </w:r>
      <w:r w:rsidRPr="00312F8B">
        <w:rPr>
          <w:rFonts w:cs="Arial"/>
        </w:rPr>
        <w:t xml:space="preserve"> experts on quantities for which there </w:t>
      </w:r>
      <w:r>
        <w:rPr>
          <w:rFonts w:cs="Arial"/>
        </w:rPr>
        <w:t xml:space="preserve">currently </w:t>
      </w:r>
      <w:r w:rsidRPr="00312F8B">
        <w:rPr>
          <w:rFonts w:cs="Arial"/>
        </w:rPr>
        <w:t xml:space="preserve">is no </w:t>
      </w:r>
      <w:r>
        <w:rPr>
          <w:rFonts w:cs="Arial"/>
        </w:rPr>
        <w:t>evidence</w:t>
      </w:r>
      <w:r w:rsidRPr="00312F8B">
        <w:rPr>
          <w:rFonts w:cs="Arial"/>
        </w:rPr>
        <w:t>. The</w:t>
      </w:r>
      <w:r>
        <w:rPr>
          <w:rFonts w:cs="Arial"/>
        </w:rPr>
        <w:t>re are, therefore, important</w:t>
      </w:r>
      <w:r w:rsidRPr="00312F8B">
        <w:rPr>
          <w:rFonts w:cs="Arial"/>
        </w:rPr>
        <w:t xml:space="preserve"> implications </w:t>
      </w:r>
      <w:r>
        <w:rPr>
          <w:rFonts w:cs="Arial"/>
        </w:rPr>
        <w:t>for</w:t>
      </w:r>
      <w:r w:rsidRPr="00312F8B">
        <w:rPr>
          <w:rFonts w:cs="Arial"/>
        </w:rPr>
        <w:t xml:space="preserve"> a meaningful estimate of health opportunity costs for use in policy. </w:t>
      </w:r>
      <w:r>
        <w:rPr>
          <w:rFonts w:cs="Arial"/>
        </w:rPr>
        <w:t xml:space="preserve"> Firstly, regarding </w:t>
      </w:r>
      <w:r w:rsidRPr="00312F8B">
        <w:rPr>
          <w:rFonts w:cs="Arial"/>
        </w:rPr>
        <w:t>duration of mortality effects, the original analyses</w:t>
      </w:r>
      <w:r>
        <w:rPr>
          <w:noProof/>
        </w:rPr>
        <w:t>(9)</w:t>
      </w:r>
      <w:r>
        <w:rPr>
          <w:rFonts w:cs="Arial"/>
        </w:rPr>
        <w:t xml:space="preserve"> </w:t>
      </w:r>
      <w:r w:rsidRPr="00312F8B">
        <w:rPr>
          <w:rFonts w:cs="Arial"/>
        </w:rPr>
        <w:t>assumed impacts only in the year of expenditure</w:t>
      </w:r>
      <w:r>
        <w:rPr>
          <w:rFonts w:cs="Arial"/>
        </w:rPr>
        <w:t>. The</w:t>
      </w:r>
      <w:r w:rsidRPr="00312F8B">
        <w:rPr>
          <w:rFonts w:cs="Arial"/>
        </w:rPr>
        <w:t xml:space="preserve"> results </w:t>
      </w:r>
      <w:r>
        <w:rPr>
          <w:rFonts w:cs="Arial"/>
        </w:rPr>
        <w:t>from the current work, however, indicate</w:t>
      </w:r>
      <w:r w:rsidRPr="00312F8B">
        <w:rPr>
          <w:rFonts w:cs="Arial"/>
        </w:rPr>
        <w:t xml:space="preserve"> </w:t>
      </w:r>
      <w:r>
        <w:rPr>
          <w:rFonts w:cs="Arial"/>
        </w:rPr>
        <w:t xml:space="preserve">that </w:t>
      </w:r>
      <w:r w:rsidRPr="00312F8B">
        <w:rPr>
          <w:rFonts w:cs="Arial"/>
        </w:rPr>
        <w:t xml:space="preserve">mortality effects </w:t>
      </w:r>
      <w:r>
        <w:rPr>
          <w:rFonts w:cs="Arial"/>
        </w:rPr>
        <w:t>are</w:t>
      </w:r>
      <w:r w:rsidRPr="00312F8B">
        <w:rPr>
          <w:rFonts w:cs="Arial"/>
        </w:rPr>
        <w:t xml:space="preserve"> expected also to occur in </w:t>
      </w:r>
      <w:r>
        <w:rPr>
          <w:rFonts w:cs="Arial"/>
        </w:rPr>
        <w:t>subsequent</w:t>
      </w:r>
      <w:r w:rsidRPr="00312F8B">
        <w:rPr>
          <w:rFonts w:cs="Arial"/>
        </w:rPr>
        <w:t xml:space="preserve"> years.</w:t>
      </w:r>
      <w:r>
        <w:rPr>
          <w:rFonts w:cs="Arial"/>
        </w:rPr>
        <w:t xml:space="preserve"> </w:t>
      </w:r>
      <w:r w:rsidRPr="00312F8B">
        <w:rPr>
          <w:rFonts w:cs="Arial"/>
        </w:rPr>
        <w:t xml:space="preserve">This </w:t>
      </w:r>
      <w:r>
        <w:rPr>
          <w:rFonts w:cs="Arial"/>
        </w:rPr>
        <w:t>suggests</w:t>
      </w:r>
      <w:r w:rsidRPr="00312F8B">
        <w:rPr>
          <w:rFonts w:cs="Arial"/>
        </w:rPr>
        <w:t xml:space="preserve"> that the original work underestimated </w:t>
      </w:r>
      <w:r>
        <w:rPr>
          <w:rFonts w:cs="Arial"/>
        </w:rPr>
        <w:t xml:space="preserve">the </w:t>
      </w:r>
      <w:r w:rsidRPr="00312F8B">
        <w:rPr>
          <w:rFonts w:cs="Arial"/>
        </w:rPr>
        <w:t xml:space="preserve">QALY impacts </w:t>
      </w:r>
      <w:r>
        <w:rPr>
          <w:rFonts w:cs="Arial"/>
        </w:rPr>
        <w:t>of changes in expenditure.</w:t>
      </w:r>
      <w:r w:rsidRPr="00312F8B">
        <w:rPr>
          <w:rFonts w:cs="Arial"/>
        </w:rPr>
        <w:t xml:space="preserve"> </w:t>
      </w:r>
      <w:r>
        <w:rPr>
          <w:rFonts w:cs="Arial"/>
        </w:rPr>
        <w:t xml:space="preserve"> Secondly, t</w:t>
      </w:r>
      <w:r w:rsidRPr="00BB797D">
        <w:rPr>
          <w:rFonts w:cs="Arial"/>
        </w:rPr>
        <w:t xml:space="preserve">he original work assumed perfect surrogacy </w:t>
      </w:r>
      <w:r>
        <w:rPr>
          <w:rFonts w:cs="Arial"/>
        </w:rPr>
        <w:t xml:space="preserve">in </w:t>
      </w:r>
      <w:r w:rsidRPr="00BB797D">
        <w:rPr>
          <w:rFonts w:cs="Arial"/>
        </w:rPr>
        <w:t>the effects of changes expenditure</w:t>
      </w:r>
      <w:r>
        <w:rPr>
          <w:rFonts w:cs="Arial"/>
        </w:rPr>
        <w:t xml:space="preserve"> between </w:t>
      </w:r>
      <w:r w:rsidRPr="00BB797D">
        <w:rPr>
          <w:rFonts w:cs="Arial"/>
        </w:rPr>
        <w:t>mortality burden</w:t>
      </w:r>
      <w:r>
        <w:rPr>
          <w:rFonts w:cs="Arial"/>
        </w:rPr>
        <w:t xml:space="preserve"> and </w:t>
      </w:r>
      <w:r w:rsidRPr="00BB797D">
        <w:rPr>
          <w:rFonts w:cs="Arial"/>
        </w:rPr>
        <w:t>total QALY burden. The results from this research indicate, however, that surrogacy is expected to be above 1 (this holds across disease areas for the 1</w:t>
      </w:r>
      <w:r w:rsidRPr="00BB797D">
        <w:rPr>
          <w:rFonts w:cs="Arial"/>
          <w:vertAlign w:val="superscript"/>
        </w:rPr>
        <w:t>st</w:t>
      </w:r>
      <w:r w:rsidRPr="00BB797D">
        <w:rPr>
          <w:rFonts w:cs="Arial"/>
        </w:rPr>
        <w:t>, 2</w:t>
      </w:r>
      <w:r w:rsidRPr="00BB797D">
        <w:rPr>
          <w:rFonts w:cs="Arial"/>
          <w:vertAlign w:val="superscript"/>
        </w:rPr>
        <w:t>nd</w:t>
      </w:r>
      <w:r w:rsidRPr="00BB797D">
        <w:rPr>
          <w:rFonts w:cs="Arial"/>
        </w:rPr>
        <w:t xml:space="preserve"> and 3</w:t>
      </w:r>
      <w:r w:rsidRPr="00BB797D">
        <w:rPr>
          <w:rFonts w:cs="Arial"/>
          <w:vertAlign w:val="superscript"/>
        </w:rPr>
        <w:t>rd</w:t>
      </w:r>
      <w:r w:rsidRPr="00BB797D">
        <w:rPr>
          <w:rFonts w:cs="Arial"/>
        </w:rPr>
        <w:t xml:space="preserve"> years)</w:t>
      </w:r>
      <w:r>
        <w:rPr>
          <w:rFonts w:cs="Arial"/>
        </w:rPr>
        <w:t xml:space="preserve">, indicating that </w:t>
      </w:r>
      <w:r w:rsidRPr="00312F8B">
        <w:rPr>
          <w:rFonts w:cs="Arial"/>
        </w:rPr>
        <w:t xml:space="preserve">the effects of changes </w:t>
      </w:r>
      <w:r>
        <w:rPr>
          <w:rFonts w:cs="Arial"/>
        </w:rPr>
        <w:t xml:space="preserve">in </w:t>
      </w:r>
      <w:r w:rsidRPr="00312F8B">
        <w:rPr>
          <w:rFonts w:cs="Arial"/>
        </w:rPr>
        <w:t xml:space="preserve">expenditure on total QALY burden </w:t>
      </w:r>
      <w:r>
        <w:rPr>
          <w:rFonts w:cs="Arial"/>
        </w:rPr>
        <w:t>are, in proportionate terms, expected to be higher than (rather than equal to) those on</w:t>
      </w:r>
      <w:r w:rsidRPr="00312F8B">
        <w:rPr>
          <w:rFonts w:cs="Arial"/>
        </w:rPr>
        <w:t xml:space="preserve"> mortality burden</w:t>
      </w:r>
      <w:r w:rsidRPr="00BB797D">
        <w:rPr>
          <w:rFonts w:cs="Arial"/>
        </w:rPr>
        <w:t xml:space="preserve">. </w:t>
      </w:r>
      <w:r>
        <w:rPr>
          <w:rFonts w:cs="Arial"/>
        </w:rPr>
        <w:t xml:space="preserve"> Again, t</w:t>
      </w:r>
      <w:r w:rsidRPr="00312F8B">
        <w:rPr>
          <w:rFonts w:cs="Arial"/>
        </w:rPr>
        <w:t xml:space="preserve">his </w:t>
      </w:r>
      <w:r>
        <w:rPr>
          <w:rFonts w:cs="Arial"/>
        </w:rPr>
        <w:t>suggests</w:t>
      </w:r>
      <w:r w:rsidRPr="00312F8B">
        <w:rPr>
          <w:rFonts w:cs="Arial"/>
        </w:rPr>
        <w:t xml:space="preserve"> that the original work underestimated </w:t>
      </w:r>
      <w:r>
        <w:rPr>
          <w:rFonts w:cs="Arial"/>
        </w:rPr>
        <w:t xml:space="preserve">the </w:t>
      </w:r>
      <w:r w:rsidRPr="00312F8B">
        <w:rPr>
          <w:rFonts w:cs="Arial"/>
        </w:rPr>
        <w:t xml:space="preserve">QALY impacts </w:t>
      </w:r>
      <w:r>
        <w:rPr>
          <w:rFonts w:cs="Arial"/>
        </w:rPr>
        <w:t>of changes in expenditure. Thirdly, i</w:t>
      </w:r>
      <w:r w:rsidRPr="00BB797D">
        <w:rPr>
          <w:rFonts w:cs="Arial"/>
        </w:rPr>
        <w:t xml:space="preserve">n terms of extrapolation, the original work </w:t>
      </w:r>
      <w:r>
        <w:rPr>
          <w:rFonts w:cs="Arial"/>
        </w:rPr>
        <w:t xml:space="preserve">assumed </w:t>
      </w:r>
      <w:r w:rsidRPr="00BB797D">
        <w:rPr>
          <w:rFonts w:cs="Arial"/>
        </w:rPr>
        <w:t xml:space="preserve">changes in spend </w:t>
      </w:r>
      <w:r>
        <w:rPr>
          <w:rFonts w:cs="Arial"/>
        </w:rPr>
        <w:t xml:space="preserve">to have equal </w:t>
      </w:r>
      <w:r w:rsidRPr="00BB797D">
        <w:rPr>
          <w:rFonts w:cs="Arial"/>
        </w:rPr>
        <w:t xml:space="preserve">effects </w:t>
      </w:r>
      <w:r>
        <w:rPr>
          <w:rFonts w:cs="Arial"/>
        </w:rPr>
        <w:t xml:space="preserve">on </w:t>
      </w:r>
      <w:r w:rsidRPr="00BB797D">
        <w:rPr>
          <w:rFonts w:cs="Arial"/>
        </w:rPr>
        <w:t xml:space="preserve">diseases with, and without, measured mortality effects. This work demonstrates that </w:t>
      </w:r>
      <w:r>
        <w:rPr>
          <w:rFonts w:cs="Arial"/>
        </w:rPr>
        <w:t>the</w:t>
      </w:r>
      <w:r w:rsidRPr="00BB797D">
        <w:rPr>
          <w:rFonts w:cs="Arial"/>
        </w:rPr>
        <w:t xml:space="preserve"> extrapolation relationship is generally expected to be above 1</w:t>
      </w:r>
      <w:r>
        <w:rPr>
          <w:rFonts w:cs="Arial"/>
        </w:rPr>
        <w:t xml:space="preserve">. That is, the health effects in </w:t>
      </w:r>
      <w:r w:rsidRPr="00200D33">
        <w:rPr>
          <w:rFonts w:cs="Arial"/>
          <w:color w:val="000000" w:themeColor="text1"/>
        </w:rPr>
        <w:t xml:space="preserve">disease areas without measured mortality effects are expected to be higher than what was assumed in the original work. Consistently across the three uncertainties, experts’ judgements </w:t>
      </w:r>
      <w:r w:rsidRPr="00200D33">
        <w:rPr>
          <w:rFonts w:ascii="Calibri" w:hAnsi="Calibri"/>
          <w:color w:val="000000" w:themeColor="text1"/>
          <w:shd w:val="clear" w:color="auto" w:fill="FFFFFF"/>
        </w:rPr>
        <w:t>suggest the QALY impact of changes in expenditure are likely to be underestimated when using the assumptions which underpin the ‘central’ estimate of £12,936 per QALY reported in Claxton et al 2015</w:t>
      </w:r>
      <w:r>
        <w:rPr>
          <w:noProof/>
        </w:rPr>
        <w:t>(9)</w:t>
      </w:r>
      <w:r w:rsidRPr="00200D33">
        <w:rPr>
          <w:rFonts w:cs="Arial"/>
          <w:color w:val="000000" w:themeColor="text1"/>
        </w:rPr>
        <w:t xml:space="preserve">. </w:t>
      </w:r>
    </w:p>
    <w:p w:rsidR="0068753E" w:rsidRDefault="0068753E" w:rsidP="00CC12E4">
      <w:pPr>
        <w:spacing w:before="200"/>
      </w:pPr>
      <w:r>
        <w:t>The exercise was carefully developed to align with the scope of the policy question, was piloted extensively and was accompanied by an extensive training package to support experts and guide them through the tasks. As a consequence, it ran successfully. Experts were able to express their beliefs quantitatively, with only a few indicating their answers did not reflect their views (i.e. were not face-valid). However, in approximately half</w:t>
      </w:r>
      <w:r w:rsidRPr="00C73AA8">
        <w:t xml:space="preserve"> of the </w:t>
      </w:r>
      <w:r>
        <w:t>answers</w:t>
      </w:r>
      <w:r w:rsidRPr="00C73AA8">
        <w:t xml:space="preserve">, </w:t>
      </w:r>
      <w:r>
        <w:t xml:space="preserve">individuals </w:t>
      </w:r>
      <w:r w:rsidRPr="00C73AA8">
        <w:t xml:space="preserve">indicated they were unsure that their answers reflected their views or uncertainties. </w:t>
      </w:r>
      <w:r>
        <w:t>F</w:t>
      </w:r>
      <w:r w:rsidRPr="00C73AA8">
        <w:t>eedback</w:t>
      </w:r>
      <w:r>
        <w:t xml:space="preserve"> left in open text</w:t>
      </w:r>
      <w:r w:rsidRPr="00C73AA8">
        <w:t xml:space="preserve"> </w:t>
      </w:r>
      <w:r>
        <w:t>did</w:t>
      </w:r>
      <w:r w:rsidRPr="00C73AA8">
        <w:t xml:space="preserve"> not</w:t>
      </w:r>
      <w:r>
        <w:t>, however,</w:t>
      </w:r>
      <w:r w:rsidRPr="00C73AA8">
        <w:t xml:space="preserve"> indicate these answers were not face-valid</w:t>
      </w:r>
      <w:r>
        <w:t>, but instead suggested that the breadth of the questions meant that the distributions retrieved were wide</w:t>
      </w:r>
      <w:r w:rsidRPr="00C73AA8">
        <w:t>.</w:t>
      </w:r>
      <w:r>
        <w:t xml:space="preserve"> Convening individuals in groups aided delivery of the standardised training package and maximised expert engagement. However, it also made recruitment difficult: </w:t>
      </w:r>
      <w:r w:rsidRPr="00AE1133">
        <w:t xml:space="preserve">132 </w:t>
      </w:r>
      <w:r>
        <w:t xml:space="preserve">clinical </w:t>
      </w:r>
      <w:r w:rsidRPr="00AE1133">
        <w:t>and 84 policy experts</w:t>
      </w:r>
      <w:r>
        <w:t xml:space="preserve"> were contacted to recruit effective samples of 28 and 25, respectively.  Issues with recruitment in elicitation </w:t>
      </w:r>
      <w:r w:rsidR="008B469B">
        <w:t>have been recognised elsewhere.</w:t>
      </w:r>
      <w:r>
        <w:t>(27)</w:t>
      </w:r>
    </w:p>
    <w:p w:rsidR="0068753E" w:rsidRDefault="0068753E" w:rsidP="00CC12E4">
      <w:pPr>
        <w:spacing w:before="200"/>
      </w:pPr>
      <w:r>
        <w:t xml:space="preserve">As expected, the level of uncertainty in knowledge expressed by the individual experts was large, and group estimates were highly uncertain (as evident by the wide credible intervals). In their feedback </w:t>
      </w:r>
      <w:r w:rsidRPr="00895FAA">
        <w:t xml:space="preserve">(Appendix, item </w:t>
      </w:r>
      <w:r>
        <w:t>2</w:t>
      </w:r>
      <w:r w:rsidRPr="00895FAA">
        <w:t>),</w:t>
      </w:r>
      <w:r>
        <w:t xml:space="preserve"> experts consistently indicated that h</w:t>
      </w:r>
      <w:r w:rsidRPr="00850494">
        <w:t xml:space="preserve">eterogeneity in </w:t>
      </w:r>
      <w:r>
        <w:t xml:space="preserve">the broad </w:t>
      </w:r>
      <w:r w:rsidRPr="00850494">
        <w:t xml:space="preserve">disease </w:t>
      </w:r>
      <w:r>
        <w:t>areas contributed to the uncertainty expressed in their responses</w:t>
      </w:r>
      <w:r w:rsidRPr="00850494">
        <w:t>.</w:t>
      </w:r>
      <w:r>
        <w:t xml:space="preserve"> However, eliciting for ‘finer’ definitions of disease, for example 3-digit ICD codes of which there are more than 1500, would have been unfeasibly burdensome. Therefore, future research could instead provide further information to experts to help them make judgements over which ICDs may matter the most within each disease area. </w:t>
      </w:r>
    </w:p>
    <w:p w:rsidR="00400599" w:rsidRDefault="0068753E" w:rsidP="00CC12E4">
      <w:pPr>
        <w:spacing w:before="200"/>
      </w:pPr>
      <w:r>
        <w:t>T</w:t>
      </w:r>
      <w:r w:rsidRPr="002B5EE6">
        <w:t>he design of an elicitation exercise requires a number of methodological choices to be made</w:t>
      </w:r>
      <w:r>
        <w:t>, many of which are example-</w:t>
      </w:r>
      <w:r w:rsidRPr="002B5EE6">
        <w:t xml:space="preserve">specific. </w:t>
      </w:r>
      <w:r>
        <w:t xml:space="preserve">This </w:t>
      </w:r>
      <w:r w:rsidRPr="002B5EE6">
        <w:t xml:space="preserve">exercise </w:t>
      </w:r>
      <w:r>
        <w:t xml:space="preserve">used </w:t>
      </w:r>
      <w:r w:rsidRPr="002B5EE6">
        <w:t>methods</w:t>
      </w:r>
      <w:r>
        <w:t xml:space="preserve"> established in the literature, and justifies the choices made</w:t>
      </w:r>
      <w:r w:rsidRPr="002B5EE6">
        <w:t xml:space="preserve">. </w:t>
      </w:r>
      <w:r>
        <w:t xml:space="preserve">However, it is important to acknowledge that methods research in this area is limited and that little is known about how different choices affect results. For example, whilst there </w:t>
      </w:r>
      <w:r>
        <w:lastRenderedPageBreak/>
        <w:t xml:space="preserve">is some evidence that consensus methods present a number of challenges inherent to group interaction (see Methods section), its accuracy in relation individual elicitation is largely unknown. </w:t>
      </w:r>
    </w:p>
    <w:p w:rsidR="0068753E" w:rsidRDefault="0068753E" w:rsidP="00CC12E4">
      <w:pPr>
        <w:spacing w:before="200"/>
      </w:pPr>
      <w:r>
        <w:t xml:space="preserve">This paper demonstrates that structured elicitation can feasibly be used to explicitly quantify the judgements required to delimit important policy problems, judgements which otherwise would still need to be made implicitly and without the support of relevant experts. </w:t>
      </w:r>
      <w:r w:rsidDel="009F41BE">
        <w:t>In this work, we focussed on achieving a relevant estimate of health opportunity costs, a central quantity for policy on health care resource allocation</w:t>
      </w:r>
      <w:r w:rsidRPr="00B16624" w:rsidDel="009F41BE">
        <w:t xml:space="preserve"> </w:t>
      </w:r>
      <w:r w:rsidDel="009F41BE">
        <w:t>decisions.</w:t>
      </w:r>
      <w:r w:rsidR="00DA562E" w:rsidRPr="00DA562E">
        <w:t xml:space="preserve"> </w:t>
      </w:r>
      <w:r w:rsidR="00DA562E">
        <w:t>We have learnt that the method</w:t>
      </w:r>
      <w:r w:rsidR="0037248F">
        <w:t>s</w:t>
      </w:r>
      <w:r w:rsidR="00DA562E">
        <w:t xml:space="preserve"> used here (i.e. the elicitation protocol) </w:t>
      </w:r>
      <w:r w:rsidR="0037248F">
        <w:t>are</w:t>
      </w:r>
      <w:r w:rsidR="00DA562E">
        <w:t xml:space="preserve"> applicable in this novel context</w:t>
      </w:r>
      <w:r w:rsidR="0037248F">
        <w:t>. F</w:t>
      </w:r>
      <w:r w:rsidR="00DA562E">
        <w:t>or example, the elicitation of the</w:t>
      </w:r>
      <w:r w:rsidR="00DA562E" w:rsidRPr="00400599">
        <w:t xml:space="preserve"> </w:t>
      </w:r>
      <w:r w:rsidR="00DA562E">
        <w:t xml:space="preserve">mode and bounds of an </w:t>
      </w:r>
      <w:r w:rsidR="00DA562E" w:rsidRPr="004153E9">
        <w:t>80</w:t>
      </w:r>
      <w:r w:rsidR="00DA562E" w:rsidRPr="00662D10">
        <w:t>%</w:t>
      </w:r>
      <w:r w:rsidR="00DA562E">
        <w:t xml:space="preserve"> credible interval was wi</w:t>
      </w:r>
      <w:r w:rsidR="0037248F">
        <w:t xml:space="preserve">dely understood by the experts); also </w:t>
      </w:r>
      <w:r w:rsidR="00DA562E">
        <w:t xml:space="preserve">that </w:t>
      </w:r>
      <w:r w:rsidR="0037248F">
        <w:t xml:space="preserve">experts working close to </w:t>
      </w:r>
      <w:r w:rsidR="00DA562E">
        <w:t>policy</w:t>
      </w:r>
      <w:r w:rsidR="0037248F">
        <w:t xml:space="preserve"> </w:t>
      </w:r>
      <w:r w:rsidR="00DA562E">
        <w:t>valued the summaries of the judgements of clinical experts</w:t>
      </w:r>
      <w:r w:rsidR="00DA562E" w:rsidRPr="00400599">
        <w:t xml:space="preserve"> </w:t>
      </w:r>
      <w:r w:rsidR="00DA562E">
        <w:t xml:space="preserve">provided. We also learnt that there are challenges in eliciting policy-relevant, but broad ranging, quantities, but the use of structured expert elicitation </w:t>
      </w:r>
      <w:r w:rsidR="0037248F">
        <w:t xml:space="preserve">is </w:t>
      </w:r>
      <w:r w:rsidR="00DA562E">
        <w:t xml:space="preserve">explicit that current knowledge </w:t>
      </w:r>
      <w:r w:rsidR="0037248F">
        <w:t xml:space="preserve">about </w:t>
      </w:r>
      <w:r w:rsidR="00DA562E">
        <w:t>the required judgements can only be uncertain.</w:t>
      </w:r>
    </w:p>
    <w:p w:rsidR="0068753E" w:rsidRPr="0040265A" w:rsidRDefault="0068753E" w:rsidP="00CC12E4">
      <w:pPr>
        <w:pStyle w:val="Heading1"/>
        <w:rPr>
          <w:rFonts w:asciiTheme="minorHAnsi" w:hAnsiTheme="minorHAnsi"/>
          <w:caps/>
          <w:color w:val="auto"/>
          <w:sz w:val="22"/>
          <w:szCs w:val="22"/>
        </w:rPr>
      </w:pPr>
      <w:r w:rsidRPr="0040265A">
        <w:rPr>
          <w:rFonts w:asciiTheme="minorHAnsi" w:hAnsiTheme="minorHAnsi"/>
          <w:caps/>
          <w:color w:val="auto"/>
          <w:sz w:val="22"/>
          <w:szCs w:val="22"/>
        </w:rPr>
        <w:t>Acknowledgements</w:t>
      </w:r>
    </w:p>
    <w:p w:rsidR="0068753E" w:rsidRDefault="0068753E" w:rsidP="00CC12E4">
      <w:pPr>
        <w:spacing w:after="120"/>
      </w:pPr>
      <w:r>
        <w:t xml:space="preserve">We would like to acknowledge the participants in the elicitation exercises, the Department of Health’s </w:t>
      </w:r>
      <w:r w:rsidRPr="008D05D8">
        <w:t>Appraisal Alignment Working Group (AAWG)</w:t>
      </w:r>
      <w:r>
        <w:t>, Alex Rollinger for organising the workshops and all colleagues participating in the piloting.</w:t>
      </w:r>
    </w:p>
    <w:p w:rsidR="0068753E" w:rsidRPr="000908D6" w:rsidRDefault="0068753E" w:rsidP="00CC12E4">
      <w:pPr>
        <w:spacing w:after="120"/>
      </w:pPr>
      <w:r>
        <w:t xml:space="preserve"> </w:t>
      </w:r>
    </w:p>
    <w:p w:rsidR="0068753E" w:rsidRPr="0040265A" w:rsidRDefault="0068753E" w:rsidP="00CC12E4">
      <w:pPr>
        <w:pStyle w:val="Heading1"/>
        <w:rPr>
          <w:rFonts w:asciiTheme="minorHAnsi" w:hAnsiTheme="minorHAnsi"/>
          <w:caps/>
          <w:color w:val="auto"/>
          <w:sz w:val="22"/>
          <w:szCs w:val="22"/>
        </w:rPr>
      </w:pPr>
      <w:r w:rsidRPr="0040265A">
        <w:rPr>
          <w:rFonts w:asciiTheme="minorHAnsi" w:hAnsiTheme="minorHAnsi"/>
          <w:caps/>
          <w:color w:val="auto"/>
          <w:sz w:val="22"/>
          <w:szCs w:val="22"/>
        </w:rPr>
        <w:t>References</w:t>
      </w:r>
    </w:p>
    <w:p w:rsidR="0068753E" w:rsidRDefault="0068753E" w:rsidP="00CC12E4">
      <w:pPr>
        <w:spacing w:after="0"/>
      </w:pPr>
    </w:p>
    <w:p w:rsidR="0068753E" w:rsidRPr="00555A1F" w:rsidRDefault="0068753E" w:rsidP="00CC12E4">
      <w:pPr>
        <w:pStyle w:val="EndNoteBibliography"/>
        <w:spacing w:after="0"/>
      </w:pPr>
      <w:r w:rsidRPr="00555A1F">
        <w:t>1.</w:t>
      </w:r>
      <w:r w:rsidRPr="00555A1F">
        <w:tab/>
        <w:t>Drummond Ma, Sculpher MJa, Claxton Ka, Stoddart GLa, Torrance GWa. Methods for the economic evaluation of health care programmes. Fourth edition / Michael F. Drummond, Mark J. Sculpher, Karl Claxton, Greg L. Stoddart, George W. Torrance. ed2015.</w:t>
      </w:r>
    </w:p>
    <w:p w:rsidR="0068753E" w:rsidRPr="00555A1F" w:rsidRDefault="0068753E" w:rsidP="00CC12E4">
      <w:pPr>
        <w:pStyle w:val="EndNoteBibliography"/>
        <w:spacing w:after="0"/>
      </w:pPr>
      <w:r w:rsidRPr="00555A1F">
        <w:t>2.</w:t>
      </w:r>
      <w:r w:rsidRPr="00555A1F">
        <w:tab/>
        <w:t xml:space="preserve">HITAP. 2017 [Available from: </w:t>
      </w:r>
      <w:r w:rsidRPr="0068753E">
        <w:t>http://www.hitap.net/en/</w:t>
      </w:r>
      <w:r w:rsidRPr="00555A1F">
        <w:t>.</w:t>
      </w:r>
    </w:p>
    <w:p w:rsidR="0068753E" w:rsidRPr="00555A1F" w:rsidRDefault="0068753E" w:rsidP="00CC12E4">
      <w:pPr>
        <w:pStyle w:val="EndNoteBibliography"/>
        <w:spacing w:after="0"/>
      </w:pPr>
      <w:r w:rsidRPr="00555A1F">
        <w:t>3.</w:t>
      </w:r>
      <w:r w:rsidRPr="00555A1F">
        <w:tab/>
        <w:t xml:space="preserve">Infarmed. 2017 [Available from: </w:t>
      </w:r>
      <w:r w:rsidRPr="0068753E">
        <w:t>http://www.infarmed.pt/</w:t>
      </w:r>
      <w:r w:rsidRPr="00555A1F">
        <w:t>.</w:t>
      </w:r>
    </w:p>
    <w:p w:rsidR="0068753E" w:rsidRPr="00555A1F" w:rsidRDefault="0068753E" w:rsidP="00CC12E4">
      <w:pPr>
        <w:pStyle w:val="EndNoteBibliography"/>
        <w:spacing w:after="0"/>
      </w:pPr>
      <w:r w:rsidRPr="00555A1F">
        <w:t>4.</w:t>
      </w:r>
      <w:r w:rsidRPr="00555A1F">
        <w:tab/>
        <w:t xml:space="preserve">National Institute for Health and Care Excellence. 2017 [Available from: </w:t>
      </w:r>
      <w:r w:rsidRPr="0068753E">
        <w:t>https://www.nice.org.uk/</w:t>
      </w:r>
      <w:r w:rsidRPr="00555A1F">
        <w:t>.</w:t>
      </w:r>
    </w:p>
    <w:p w:rsidR="0068753E" w:rsidRPr="00555A1F" w:rsidRDefault="0068753E" w:rsidP="00CC12E4">
      <w:pPr>
        <w:pStyle w:val="EndNoteBibliography"/>
        <w:spacing w:after="0"/>
      </w:pPr>
      <w:r w:rsidRPr="00555A1F">
        <w:t>5.</w:t>
      </w:r>
      <w:r w:rsidRPr="00555A1F">
        <w:tab/>
        <w:t>Vallejo-Torres L, Garcia-Lorenzo B, Serrano-Aguilar P. Estimating a cost-effectiveness threshold for the Spanish NHS. Health Econ. 2017.</w:t>
      </w:r>
    </w:p>
    <w:p w:rsidR="0068753E" w:rsidRPr="00555A1F" w:rsidRDefault="0068753E" w:rsidP="00CC12E4">
      <w:pPr>
        <w:pStyle w:val="EndNoteBibliography"/>
        <w:spacing w:after="0"/>
      </w:pPr>
      <w:r w:rsidRPr="00555A1F">
        <w:t>6.</w:t>
      </w:r>
      <w:r w:rsidRPr="00555A1F">
        <w:tab/>
        <w:t>Karnon J, editor Estimating a Reference ICER for Australia. 12th International Health Economics Association (iHEA) World Congress,; 2017; Boston, USA.</w:t>
      </w:r>
    </w:p>
    <w:p w:rsidR="0068753E" w:rsidRPr="00555A1F" w:rsidRDefault="0068753E" w:rsidP="00CC12E4">
      <w:pPr>
        <w:pStyle w:val="EndNoteBibliography"/>
        <w:spacing w:after="0"/>
      </w:pPr>
      <w:r w:rsidRPr="00555A1F">
        <w:t>7.</w:t>
      </w:r>
      <w:r w:rsidRPr="00555A1F">
        <w:tab/>
        <w:t>Stadhouders N, editor Estimating marginal benefits of healthcare spending in the Netherlands. 12th International Health Economics Association (iHEA) World Congress; 2017; Boston, USA.</w:t>
      </w:r>
    </w:p>
    <w:p w:rsidR="0068753E" w:rsidRPr="00555A1F" w:rsidRDefault="0068753E" w:rsidP="00CC12E4">
      <w:pPr>
        <w:pStyle w:val="EndNoteBibliography"/>
        <w:spacing w:after="0"/>
      </w:pPr>
      <w:r w:rsidRPr="00555A1F">
        <w:t>8.</w:t>
      </w:r>
      <w:r w:rsidRPr="00555A1F">
        <w:tab/>
        <w:t>Edoka I, editor Estimating Marginal Returns to Healthcare Spending in South Africa: An Instrumental Variable Approach. 12th International Health Economics Association (iHEA) World Congress; 2017; Boston, USA.</w:t>
      </w:r>
    </w:p>
    <w:p w:rsidR="0068753E" w:rsidRPr="00555A1F" w:rsidRDefault="0068753E" w:rsidP="00CC12E4">
      <w:pPr>
        <w:pStyle w:val="EndNoteBibliography"/>
        <w:spacing w:after="0"/>
      </w:pPr>
      <w:r w:rsidRPr="00555A1F">
        <w:t>9.</w:t>
      </w:r>
      <w:r w:rsidRPr="00555A1F">
        <w:tab/>
        <w:t>Claxton K, Martin S, Soares M, Rice N, Spackman E, Hinde S, et al. Methods for the estimation of the National Institute for Health and Care Excellence cost-effectiveness threshold. Health Technol Assess. 2015;19(14):1-503, v-vi.</w:t>
      </w:r>
    </w:p>
    <w:p w:rsidR="0068753E" w:rsidRPr="00555A1F" w:rsidRDefault="0068753E" w:rsidP="00CC12E4">
      <w:pPr>
        <w:pStyle w:val="EndNoteBibliography"/>
        <w:spacing w:after="0"/>
      </w:pPr>
      <w:r w:rsidRPr="00555A1F">
        <w:t>10.</w:t>
      </w:r>
      <w:r w:rsidRPr="00555A1F">
        <w:tab/>
        <w:t>Martin S, Rice N, Smith PC. Does health care spending improve health outcomes? Evidence from English programme budgeting data. J Health Econ. 2008;27(4):826-42.</w:t>
      </w:r>
    </w:p>
    <w:p w:rsidR="0068753E" w:rsidRPr="00555A1F" w:rsidRDefault="0068753E" w:rsidP="00CC12E4">
      <w:pPr>
        <w:pStyle w:val="EndNoteBibliography"/>
        <w:spacing w:after="0"/>
      </w:pPr>
      <w:r w:rsidRPr="00555A1F">
        <w:t>11.</w:t>
      </w:r>
      <w:r w:rsidRPr="00555A1F">
        <w:tab/>
        <w:t>Martin S, Rice N, Smith PC. Comparing costs and outcomes across programmes of health care. Health Econ. 2012;21(3):316-37.</w:t>
      </w:r>
    </w:p>
    <w:p w:rsidR="0068753E" w:rsidRPr="00555A1F" w:rsidRDefault="0068753E" w:rsidP="00CC12E4">
      <w:pPr>
        <w:pStyle w:val="EndNoteBibliography"/>
        <w:spacing w:after="0"/>
      </w:pPr>
      <w:r w:rsidRPr="00555A1F">
        <w:lastRenderedPageBreak/>
        <w:t>12.</w:t>
      </w:r>
      <w:r w:rsidRPr="00555A1F">
        <w:tab/>
        <w:t>O'Hagan A. Uncertain judgements : eliciting experts' probabilities. Chichester: Wiley; 2006.</w:t>
      </w:r>
    </w:p>
    <w:p w:rsidR="0068753E" w:rsidRPr="00555A1F" w:rsidRDefault="0068753E" w:rsidP="00CC12E4">
      <w:pPr>
        <w:pStyle w:val="EndNoteBibliography"/>
        <w:spacing w:after="0"/>
      </w:pPr>
      <w:r w:rsidRPr="00555A1F">
        <w:t>13.</w:t>
      </w:r>
      <w:r w:rsidRPr="00555A1F">
        <w:tab/>
        <w:t>Cooke R. Experts in uncertainty : opinion and subjective probability in science: Oxford University Press; 1991.</w:t>
      </w:r>
    </w:p>
    <w:p w:rsidR="0068753E" w:rsidRPr="00555A1F" w:rsidRDefault="0068753E" w:rsidP="00CC12E4">
      <w:pPr>
        <w:pStyle w:val="EndNoteBibliography"/>
        <w:spacing w:after="0"/>
      </w:pPr>
      <w:r w:rsidRPr="00555A1F">
        <w:t>14.</w:t>
      </w:r>
      <w:r w:rsidRPr="00555A1F">
        <w:tab/>
        <w:t>Soares MO, Sharples L, Morton A, Claxton K, Bojke L. Experiences of Structured Elicitation for Model-Based Cost-Effectiveness Analyses. Value Health. 2018;21(6):715-23.</w:t>
      </w:r>
    </w:p>
    <w:p w:rsidR="0068753E" w:rsidRPr="00555A1F" w:rsidRDefault="0068753E" w:rsidP="00CC12E4">
      <w:pPr>
        <w:pStyle w:val="EndNoteBibliography"/>
        <w:spacing w:after="0"/>
      </w:pPr>
      <w:r w:rsidRPr="00555A1F">
        <w:t>15.</w:t>
      </w:r>
      <w:r w:rsidRPr="00555A1F">
        <w:tab/>
        <w:t>Authority EFS. Guidance on Expert Knowledge Elicitation in Food and Feed Safety Risk Assessment. 2014;12(6):3734.</w:t>
      </w:r>
    </w:p>
    <w:p w:rsidR="0068753E" w:rsidRPr="00555A1F" w:rsidRDefault="0068753E" w:rsidP="00CC12E4">
      <w:pPr>
        <w:pStyle w:val="EndNoteBibliography"/>
        <w:spacing w:after="0"/>
      </w:pPr>
      <w:r w:rsidRPr="00555A1F">
        <w:t>16.</w:t>
      </w:r>
      <w:r w:rsidRPr="00555A1F">
        <w:tab/>
        <w:t>Elicitation: The Science and Art of Structuring Judgement. Dias LC, Morton A, J Q, editors: Springer; 2018.</w:t>
      </w:r>
    </w:p>
    <w:p w:rsidR="0068753E" w:rsidRPr="00555A1F" w:rsidRDefault="0068753E" w:rsidP="00CC12E4">
      <w:pPr>
        <w:pStyle w:val="EndNoteBibliography"/>
        <w:spacing w:after="0"/>
      </w:pPr>
      <w:r w:rsidRPr="00555A1F">
        <w:t>17.</w:t>
      </w:r>
      <w:r w:rsidRPr="00555A1F">
        <w:tab/>
        <w:t>Hora SC. Aleatory and epistemic uncertainty in probability elicitation with an example from hazardous waste management. Reliab Eng Syst Safe. 1996;54(2-3):217-23.</w:t>
      </w:r>
    </w:p>
    <w:p w:rsidR="0068753E" w:rsidRPr="00555A1F" w:rsidRDefault="0068753E" w:rsidP="00CC12E4">
      <w:pPr>
        <w:pStyle w:val="EndNoteBibliography"/>
        <w:spacing w:after="0"/>
      </w:pPr>
      <w:r w:rsidRPr="00555A1F">
        <w:t>18.</w:t>
      </w:r>
      <w:r w:rsidRPr="00555A1F">
        <w:tab/>
        <w:t>Griffin SC, Claxton KP, Palmer SJ, Sculpher MJ. Dangerous omissions: the consequences of ignoring decision uncertainty. Health Econ. 2011;20(2):212-24.</w:t>
      </w:r>
    </w:p>
    <w:p w:rsidR="0068753E" w:rsidRPr="00555A1F" w:rsidRDefault="0068753E" w:rsidP="00CC12E4">
      <w:pPr>
        <w:pStyle w:val="EndNoteBibliography"/>
        <w:spacing w:after="0"/>
      </w:pPr>
      <w:r w:rsidRPr="00555A1F">
        <w:t>19.</w:t>
      </w:r>
      <w:r w:rsidRPr="00555A1F">
        <w:tab/>
        <w:t>Montibeller G, von Winterfeldt D. Cognitive and Motivational Biases in Decision and Risk Analysis. Risk Anal. 2015;35(7):1230-51.</w:t>
      </w:r>
    </w:p>
    <w:p w:rsidR="0068753E" w:rsidRPr="00555A1F" w:rsidRDefault="0068753E" w:rsidP="00CC12E4">
      <w:pPr>
        <w:pStyle w:val="EndNoteBibliography"/>
        <w:spacing w:after="0"/>
      </w:pPr>
      <w:r w:rsidRPr="00555A1F">
        <w:t>20.</w:t>
      </w:r>
      <w:r w:rsidRPr="00555A1F">
        <w:tab/>
        <w:t>Kynn M. The 'heuristics and biases' bias in expert elicitation. J Roy Stat Soc a Sta. 2008;171:239-64.</w:t>
      </w:r>
    </w:p>
    <w:p w:rsidR="0068753E" w:rsidRPr="00555A1F" w:rsidRDefault="0068753E" w:rsidP="00CC12E4">
      <w:pPr>
        <w:pStyle w:val="EndNoteBibliography"/>
        <w:spacing w:after="0"/>
      </w:pPr>
      <w:r w:rsidRPr="00555A1F">
        <w:t>21.</w:t>
      </w:r>
      <w:r w:rsidRPr="00555A1F">
        <w:tab/>
        <w:t>Tversky A, Kahneman D. Judgment under Uncertainty: Heuristics and Biases. Science. 1974;185(4157):1124-31.</w:t>
      </w:r>
    </w:p>
    <w:p w:rsidR="0068753E" w:rsidRPr="00555A1F" w:rsidRDefault="0068753E" w:rsidP="00CC12E4">
      <w:pPr>
        <w:pStyle w:val="EndNoteBibliography"/>
        <w:spacing w:after="0"/>
      </w:pPr>
      <w:r w:rsidRPr="00555A1F">
        <w:t>22.</w:t>
      </w:r>
      <w:r w:rsidRPr="00555A1F">
        <w:tab/>
        <w:t>Clemen RT, Winkler RL. Combining probability distributions from experts in risk analysis. Risk Anal. 1999;19(2):187-203.</w:t>
      </w:r>
    </w:p>
    <w:p w:rsidR="0068753E" w:rsidRPr="00555A1F" w:rsidRDefault="0068753E" w:rsidP="00CC12E4">
      <w:pPr>
        <w:pStyle w:val="EndNoteBibliography"/>
        <w:spacing w:after="0"/>
      </w:pPr>
      <w:r w:rsidRPr="00555A1F">
        <w:t>23.</w:t>
      </w:r>
      <w:r w:rsidRPr="00555A1F">
        <w:tab/>
        <w:t xml:space="preserve">(EEPRU)" PRUiEEoHaHCI. Allocative Efficiency 2017 [Available from: </w:t>
      </w:r>
      <w:r w:rsidRPr="0068753E">
        <w:t>http://scharr.dept.shef.ac.uk/eepru_wordpress/allocative-efficiency/</w:t>
      </w:r>
      <w:r w:rsidRPr="00555A1F">
        <w:t>.</w:t>
      </w:r>
    </w:p>
    <w:p w:rsidR="0068753E" w:rsidRPr="00555A1F" w:rsidRDefault="0068753E" w:rsidP="00CC12E4">
      <w:pPr>
        <w:pStyle w:val="EndNoteBibliography"/>
        <w:spacing w:after="0"/>
      </w:pPr>
      <w:r w:rsidRPr="00555A1F">
        <w:t>24.</w:t>
      </w:r>
      <w:r w:rsidRPr="00555A1F">
        <w:tab/>
        <w:t>Bolger F. The selection of experts for (probabilistic) expert knowledge elicitation. 2018. p. 393-443.</w:t>
      </w:r>
    </w:p>
    <w:p w:rsidR="0068753E" w:rsidRPr="00555A1F" w:rsidRDefault="0068753E" w:rsidP="00CC12E4">
      <w:pPr>
        <w:pStyle w:val="EndNoteBibliography"/>
        <w:spacing w:after="0"/>
      </w:pPr>
      <w:r w:rsidRPr="00555A1F">
        <w:t>25.</w:t>
      </w:r>
      <w:r w:rsidRPr="00555A1F">
        <w:tab/>
        <w:t>Peterson C, Miller A. Mode Median + Mean as Optimal Strategies. J Exp Psychol. 1964;68(4):363-&amp;.</w:t>
      </w:r>
    </w:p>
    <w:p w:rsidR="0068753E" w:rsidRPr="00555A1F" w:rsidRDefault="0068753E" w:rsidP="00CC12E4">
      <w:pPr>
        <w:pStyle w:val="EndNoteBibliography"/>
        <w:spacing w:after="0"/>
      </w:pPr>
      <w:r w:rsidRPr="00555A1F">
        <w:t>26.</w:t>
      </w:r>
      <w:r w:rsidRPr="00555A1F">
        <w:tab/>
        <w:t>Garthwaite PH, Kadane JB, O'Hagan A. Statistical methods for eliciting probability distributions. J Am Stat Assoc. 2005;100(470):680-700.</w:t>
      </w:r>
    </w:p>
    <w:p w:rsidR="0068753E" w:rsidRPr="00555A1F" w:rsidRDefault="0068753E" w:rsidP="00CC12E4">
      <w:pPr>
        <w:pStyle w:val="EndNoteBibliography"/>
        <w:spacing w:after="0"/>
      </w:pPr>
      <w:r w:rsidRPr="00555A1F">
        <w:t>27.</w:t>
      </w:r>
      <w:r w:rsidRPr="00555A1F">
        <w:tab/>
        <w:t>Kadane JB, Wolfson LJ. Experiences in elicitation. J Roy Stat Soc D-Sta. 1998;47(1):3-19.</w:t>
      </w:r>
    </w:p>
    <w:p w:rsidR="0068753E" w:rsidRPr="00555A1F" w:rsidRDefault="0068753E" w:rsidP="00CC12E4">
      <w:pPr>
        <w:pStyle w:val="EndNoteBibliography"/>
        <w:spacing w:after="0"/>
      </w:pPr>
      <w:r w:rsidRPr="00555A1F">
        <w:t>28.</w:t>
      </w:r>
      <w:r w:rsidRPr="00555A1F">
        <w:tab/>
        <w:t>Teigen KH, Jorgensen M. When 90% confidence intervals are 50% certain: On the credibility of credible intervals. Appl Cognitive Psych. 2005;19(4):455-75.</w:t>
      </w:r>
    </w:p>
    <w:p w:rsidR="0068753E" w:rsidRPr="00555A1F" w:rsidRDefault="0068753E" w:rsidP="00CC12E4">
      <w:pPr>
        <w:pStyle w:val="EndNoteBibliography"/>
        <w:spacing w:after="0"/>
      </w:pPr>
      <w:r w:rsidRPr="00555A1F">
        <w:t>29.</w:t>
      </w:r>
      <w:r w:rsidRPr="00555A1F">
        <w:tab/>
        <w:t>Speirs-Bridge A, Fidler F, McBride M, Flander L, Cumming G, Burgman M. Reducing Overconfidence in the Interval Judgments of Experts. Risk Anal. 2010;30(3):512-23.</w:t>
      </w:r>
    </w:p>
    <w:p w:rsidR="0068753E" w:rsidRPr="00555A1F" w:rsidRDefault="0068753E" w:rsidP="00CC12E4">
      <w:pPr>
        <w:pStyle w:val="EndNoteBibliography"/>
        <w:spacing w:after="0"/>
      </w:pPr>
      <w:r w:rsidRPr="00555A1F">
        <w:t>30.</w:t>
      </w:r>
      <w:r w:rsidRPr="00555A1F">
        <w:tab/>
        <w:t xml:space="preserve">Gosling J. Methods for eliciting expert opinion to inform health technology assessment 2014 [Available from: </w:t>
      </w:r>
      <w:r w:rsidRPr="0068753E">
        <w:t>https://pdfs.semanticscholar.org/38eb/a762cdaf5d6dae2fee2063bf776d5facec5b.pdf</w:t>
      </w:r>
      <w:r w:rsidRPr="00555A1F">
        <w:t>.</w:t>
      </w:r>
    </w:p>
    <w:p w:rsidR="0068753E" w:rsidRPr="00555A1F" w:rsidRDefault="0068753E" w:rsidP="00CC12E4">
      <w:pPr>
        <w:pStyle w:val="EndNoteBibliography"/>
        <w:spacing w:after="0"/>
      </w:pPr>
      <w:r w:rsidRPr="00555A1F">
        <w:t>31.</w:t>
      </w:r>
      <w:r w:rsidRPr="00555A1F">
        <w:tab/>
        <w:t>Arkes HR. Costs and Benefits of Judgment Errors - Implications for Debiasing. Psychol Bull. 1991;110(3):486-98.</w:t>
      </w:r>
    </w:p>
    <w:p w:rsidR="0068753E" w:rsidRPr="00555A1F" w:rsidRDefault="0068753E" w:rsidP="00CC12E4">
      <w:pPr>
        <w:pStyle w:val="EndNoteBibliography"/>
        <w:spacing w:after="0"/>
      </w:pPr>
      <w:r w:rsidRPr="00555A1F">
        <w:t>32.</w:t>
      </w:r>
      <w:r w:rsidRPr="00555A1F">
        <w:tab/>
        <w:t>Sellier AL, Scopelliti I, Morewedge CK. Debiasing Training Improves Decision Making in the Field. Psychol Sci. 2019;30(9):1371-9.</w:t>
      </w:r>
    </w:p>
    <w:p w:rsidR="0068753E" w:rsidRPr="00555A1F" w:rsidRDefault="0068753E" w:rsidP="00CC12E4">
      <w:pPr>
        <w:pStyle w:val="EndNoteBibliography"/>
        <w:spacing w:after="0"/>
      </w:pPr>
      <w:r w:rsidRPr="00555A1F">
        <w:t>33.</w:t>
      </w:r>
      <w:r w:rsidRPr="00555A1F">
        <w:tab/>
        <w:t>Winman A, Hansson P, Juslin P. Subjective probability intervals: How to reduce overconfidence by interval evaluation. J Exp Psychol Learn. 2004;30(6):1167-75.</w:t>
      </w:r>
    </w:p>
    <w:p w:rsidR="0068753E" w:rsidRPr="00555A1F" w:rsidRDefault="0068753E" w:rsidP="00CC12E4">
      <w:pPr>
        <w:pStyle w:val="EndNoteBibliography"/>
        <w:spacing w:after="0"/>
      </w:pPr>
      <w:r w:rsidRPr="00555A1F">
        <w:t>34.</w:t>
      </w:r>
      <w:r w:rsidRPr="00555A1F">
        <w:tab/>
        <w:t>Microsoft. Microsoft Office Excel. 2010.</w:t>
      </w:r>
    </w:p>
    <w:p w:rsidR="0068753E" w:rsidRPr="00555A1F" w:rsidRDefault="0068753E" w:rsidP="00CC12E4">
      <w:pPr>
        <w:pStyle w:val="EndNoteBibliography"/>
        <w:spacing w:after="0"/>
      </w:pPr>
      <w:r w:rsidRPr="00555A1F">
        <w:t>35.</w:t>
      </w:r>
      <w:r w:rsidRPr="00555A1F">
        <w:tab/>
        <w:t>Winkler RL. Assessment of Prior Distributions in Bayesian Analysis. J Am Stat Assoc. 1967;62(319):776-&amp;.</w:t>
      </w:r>
    </w:p>
    <w:p w:rsidR="0068753E" w:rsidRPr="00555A1F" w:rsidRDefault="0068753E" w:rsidP="00CC12E4">
      <w:pPr>
        <w:pStyle w:val="EndNoteBibliography"/>
      </w:pPr>
      <w:r w:rsidRPr="00555A1F">
        <w:t>36.</w:t>
      </w:r>
      <w:r w:rsidRPr="00555A1F">
        <w:tab/>
        <w:t xml:space="preserve">Dietrich F, List C. Probabilistic Opinion Pooling 2014 [Available from: </w:t>
      </w:r>
      <w:r w:rsidRPr="0068753E">
        <w:t>http://personal.lse.ac.uk/list/PDF-files/OpinionPoolingReview.pdf</w:t>
      </w:r>
      <w:r w:rsidRPr="00555A1F">
        <w:t>.</w:t>
      </w:r>
    </w:p>
    <w:p w:rsidR="0068753E" w:rsidRPr="006C5D03" w:rsidRDefault="0068753E" w:rsidP="0028035E">
      <w:pPr>
        <w:spacing w:before="200" w:after="120"/>
        <w:ind w:left="567" w:hanging="567"/>
        <w:rPr>
          <w:rFonts w:cs="Arial"/>
        </w:rPr>
      </w:pPr>
    </w:p>
    <w:p w:rsidR="0068753E" w:rsidRDefault="0068753E">
      <w:r>
        <w:br w:type="page"/>
      </w:r>
    </w:p>
    <w:p w:rsidR="0068753E" w:rsidRPr="001842B4" w:rsidRDefault="0068753E" w:rsidP="00CC12E4">
      <w:pPr>
        <w:spacing w:after="0" w:line="360" w:lineRule="auto"/>
        <w:rPr>
          <w:rFonts w:ascii="Arial" w:hAnsi="Arial" w:cs="Arial"/>
          <w:sz w:val="20"/>
          <w:szCs w:val="20"/>
        </w:rPr>
      </w:pPr>
      <w:r>
        <w:rPr>
          <w:rFonts w:ascii="Arial" w:hAnsi="Arial" w:cs="Arial"/>
          <w:b/>
          <w:caps/>
          <w:szCs w:val="24"/>
        </w:rPr>
        <w:lastRenderedPageBreak/>
        <w:t>TABLE LEGENDS:</w:t>
      </w:r>
    </w:p>
    <w:p w:rsidR="0068753E" w:rsidRDefault="0068753E" w:rsidP="00CC12E4">
      <w:pPr>
        <w:spacing w:after="0" w:line="240" w:lineRule="auto"/>
        <w:rPr>
          <w:rFonts w:ascii="Arial" w:hAnsi="Arial" w:cs="Arial"/>
          <w:sz w:val="16"/>
          <w:szCs w:val="16"/>
        </w:rPr>
      </w:pPr>
    </w:p>
    <w:p w:rsidR="0068753E" w:rsidRDefault="0068753E" w:rsidP="00CC12E4">
      <w:pPr>
        <w:pStyle w:val="Caption"/>
        <w:spacing w:before="240" w:after="0"/>
        <w:rPr>
          <w:rFonts w:ascii="Arial" w:hAnsi="Arial" w:cs="Arial"/>
          <w:b w:val="0"/>
          <w:color w:val="auto"/>
          <w:sz w:val="16"/>
          <w:szCs w:val="16"/>
        </w:rPr>
      </w:pPr>
      <w:r w:rsidRPr="00BB4387">
        <w:rPr>
          <w:rFonts w:ascii="Arial" w:hAnsi="Arial" w:cs="Arial"/>
          <w:b w:val="0"/>
          <w:color w:val="auto"/>
          <w:sz w:val="16"/>
          <w:szCs w:val="16"/>
        </w:rPr>
        <w:t>Table 1: Key uncertainties and assumptions made in the original work by Claxton et al (9)</w:t>
      </w:r>
    </w:p>
    <w:p w:rsidR="0068753E" w:rsidRDefault="0068753E" w:rsidP="00CC12E4">
      <w:pPr>
        <w:pStyle w:val="Caption"/>
        <w:spacing w:before="240" w:after="0"/>
        <w:rPr>
          <w:rFonts w:ascii="Arial" w:hAnsi="Arial" w:cs="Arial"/>
          <w:b w:val="0"/>
          <w:color w:val="auto"/>
          <w:sz w:val="16"/>
          <w:szCs w:val="16"/>
        </w:rPr>
      </w:pPr>
      <w:r w:rsidRPr="00226F8C">
        <w:rPr>
          <w:rFonts w:ascii="Arial" w:hAnsi="Arial" w:cs="Arial"/>
          <w:b w:val="0"/>
          <w:color w:val="auto"/>
          <w:sz w:val="16"/>
          <w:szCs w:val="16"/>
        </w:rPr>
        <w:t>Table 2: Summary of quantities elicited with diagrammatic representation.</w:t>
      </w:r>
    </w:p>
    <w:p w:rsidR="0068753E" w:rsidRPr="00226F8C" w:rsidRDefault="0068753E" w:rsidP="00CC12E4">
      <w:pPr>
        <w:pStyle w:val="Caption"/>
        <w:spacing w:before="240" w:after="0"/>
        <w:rPr>
          <w:rFonts w:ascii="Arial" w:hAnsi="Arial" w:cs="Arial"/>
          <w:b w:val="0"/>
          <w:color w:val="auto"/>
          <w:sz w:val="16"/>
          <w:szCs w:val="16"/>
        </w:rPr>
      </w:pPr>
      <w:r w:rsidRPr="00226F8C">
        <w:rPr>
          <w:rFonts w:ascii="Arial" w:hAnsi="Arial" w:cs="Arial"/>
          <w:b w:val="0"/>
          <w:color w:val="auto"/>
          <w:sz w:val="16"/>
          <w:szCs w:val="16"/>
        </w:rPr>
        <w:t>Table 3: Duration of effects, surrogacy and extrapolation -- all clinical experts pooled.</w:t>
      </w:r>
    </w:p>
    <w:p w:rsidR="0068753E" w:rsidRPr="00226F8C" w:rsidRDefault="0068753E" w:rsidP="00CC12E4">
      <w:pPr>
        <w:pStyle w:val="Caption"/>
        <w:spacing w:before="240" w:after="0"/>
        <w:rPr>
          <w:rFonts w:ascii="Arial" w:hAnsi="Arial" w:cs="Arial"/>
          <w:b w:val="0"/>
          <w:color w:val="auto"/>
          <w:sz w:val="16"/>
          <w:szCs w:val="16"/>
        </w:rPr>
      </w:pPr>
      <w:r w:rsidRPr="00226F8C">
        <w:rPr>
          <w:rFonts w:ascii="Arial" w:hAnsi="Arial" w:cs="Arial"/>
          <w:b w:val="0"/>
          <w:color w:val="auto"/>
          <w:sz w:val="16"/>
          <w:szCs w:val="16"/>
        </w:rPr>
        <w:t xml:space="preserve">Table 4: Duration of effects, surrogacy and extrapolation -- all policy experts pooled. </w:t>
      </w:r>
    </w:p>
    <w:p w:rsidR="0068753E" w:rsidRPr="00226F8C" w:rsidRDefault="0068753E" w:rsidP="00CC12E4">
      <w:pPr>
        <w:pStyle w:val="Caption"/>
        <w:spacing w:before="240" w:after="0"/>
        <w:rPr>
          <w:rFonts w:ascii="Arial" w:hAnsi="Arial" w:cs="Arial"/>
          <w:b w:val="0"/>
          <w:color w:val="auto"/>
          <w:sz w:val="16"/>
          <w:szCs w:val="16"/>
        </w:rPr>
      </w:pPr>
    </w:p>
    <w:p w:rsidR="0068753E" w:rsidRPr="00226F8C" w:rsidRDefault="0068753E" w:rsidP="00CC12E4">
      <w:pPr>
        <w:pStyle w:val="Caption"/>
        <w:spacing w:before="240" w:after="0"/>
        <w:rPr>
          <w:rFonts w:ascii="Arial" w:hAnsi="Arial" w:cs="Arial"/>
          <w:b w:val="0"/>
          <w:color w:val="auto"/>
          <w:sz w:val="16"/>
          <w:szCs w:val="16"/>
        </w:rPr>
      </w:pPr>
    </w:p>
    <w:p w:rsidR="0068753E" w:rsidRDefault="0068753E" w:rsidP="00CC12E4">
      <w:pPr>
        <w:spacing w:after="120"/>
      </w:pPr>
    </w:p>
    <w:p w:rsidR="0068753E" w:rsidRDefault="0068753E" w:rsidP="00CC12E4">
      <w:pPr>
        <w:spacing w:after="0" w:line="360" w:lineRule="auto"/>
        <w:rPr>
          <w:rFonts w:ascii="Arial" w:hAnsi="Arial" w:cs="Arial"/>
          <w:b/>
          <w:szCs w:val="20"/>
        </w:rPr>
      </w:pPr>
      <w:r>
        <w:rPr>
          <w:rFonts w:ascii="Arial" w:hAnsi="Arial" w:cs="Arial"/>
          <w:b/>
          <w:szCs w:val="20"/>
        </w:rPr>
        <w:t>FIGURE LEGENDS:</w:t>
      </w:r>
    </w:p>
    <w:p w:rsidR="0068753E" w:rsidRDefault="0068753E" w:rsidP="00CC12E4">
      <w:pPr>
        <w:spacing w:after="120"/>
      </w:pPr>
    </w:p>
    <w:p w:rsidR="0068753E" w:rsidRPr="00226F8C" w:rsidRDefault="0068753E" w:rsidP="00CC12E4">
      <w:pPr>
        <w:pStyle w:val="Caption"/>
        <w:spacing w:before="240" w:after="0"/>
        <w:rPr>
          <w:rFonts w:ascii="Arial" w:hAnsi="Arial" w:cs="Arial"/>
          <w:b w:val="0"/>
          <w:color w:val="auto"/>
          <w:sz w:val="16"/>
          <w:szCs w:val="16"/>
        </w:rPr>
      </w:pPr>
      <w:r w:rsidRPr="00226F8C">
        <w:rPr>
          <w:rFonts w:ascii="Arial" w:hAnsi="Arial" w:cs="Arial"/>
          <w:b w:val="0"/>
          <w:color w:val="auto"/>
          <w:sz w:val="16"/>
          <w:szCs w:val="16"/>
        </w:rPr>
        <w:t xml:space="preserve">Figure 1: Illustration of individual experts’ fitted distributions (grey) and the pooled distribution (black) –clinical experts </w:t>
      </w:r>
    </w:p>
    <w:p w:rsidR="0068753E" w:rsidRPr="00226F8C" w:rsidRDefault="0068753E" w:rsidP="00CC12E4">
      <w:pPr>
        <w:pStyle w:val="Caption"/>
        <w:spacing w:before="240" w:after="0"/>
        <w:rPr>
          <w:rFonts w:ascii="Arial" w:hAnsi="Arial" w:cs="Arial"/>
          <w:b w:val="0"/>
          <w:color w:val="auto"/>
          <w:sz w:val="16"/>
          <w:szCs w:val="16"/>
        </w:rPr>
      </w:pPr>
      <w:r w:rsidRPr="00226F8C">
        <w:rPr>
          <w:rFonts w:ascii="Arial" w:hAnsi="Arial" w:cs="Arial"/>
          <w:b w:val="0"/>
          <w:color w:val="auto"/>
          <w:sz w:val="16"/>
          <w:szCs w:val="16"/>
        </w:rPr>
        <w:t>Figure 2: Illustration of individual experts’ fitted distributions and the jointly pooled distribution – policy experts, circulatory</w:t>
      </w:r>
    </w:p>
    <w:p w:rsidR="0068753E" w:rsidRPr="00AF0450" w:rsidRDefault="0068753E" w:rsidP="00CC12E4">
      <w:pPr>
        <w:spacing w:after="0"/>
        <w:rPr>
          <w:rFonts w:ascii="Arial" w:hAnsi="Arial" w:cs="Arial"/>
          <w:sz w:val="16"/>
          <w:szCs w:val="16"/>
        </w:rPr>
      </w:pPr>
    </w:p>
    <w:p w:rsidR="0068753E" w:rsidRDefault="0068753E" w:rsidP="00CC12E4">
      <w:pPr>
        <w:spacing w:after="0"/>
        <w:rPr>
          <w:rFonts w:ascii="Arial" w:hAnsi="Arial" w:cs="Arial"/>
          <w:sz w:val="16"/>
          <w:szCs w:val="16"/>
        </w:rPr>
      </w:pPr>
    </w:p>
    <w:p w:rsidR="0068753E" w:rsidRDefault="0068753E">
      <w:pPr>
        <w:rPr>
          <w:b/>
          <w:sz w:val="24"/>
        </w:rPr>
      </w:pPr>
    </w:p>
    <w:p w:rsidR="0068753E" w:rsidRDefault="0068753E">
      <w:pPr>
        <w:rPr>
          <w:b/>
          <w:sz w:val="24"/>
        </w:rPr>
      </w:pPr>
      <w:r>
        <w:rPr>
          <w:b/>
          <w:sz w:val="24"/>
        </w:rPr>
        <w:br w:type="page"/>
      </w:r>
    </w:p>
    <w:p w:rsidR="0068753E" w:rsidRDefault="0068753E" w:rsidP="00CC12E4">
      <w:pPr>
        <w:spacing w:after="0" w:line="360" w:lineRule="auto"/>
        <w:rPr>
          <w:rFonts w:ascii="Arial" w:hAnsi="Arial" w:cs="Arial"/>
          <w:b/>
          <w:caps/>
          <w:szCs w:val="24"/>
        </w:rPr>
      </w:pPr>
      <w:r>
        <w:rPr>
          <w:rFonts w:ascii="Arial" w:hAnsi="Arial" w:cs="Arial"/>
          <w:b/>
          <w:caps/>
          <w:szCs w:val="24"/>
        </w:rPr>
        <w:lastRenderedPageBreak/>
        <w:t>TABLES:</w:t>
      </w:r>
    </w:p>
    <w:p w:rsidR="0068753E" w:rsidRDefault="0068753E" w:rsidP="00CC12E4">
      <w:pPr>
        <w:spacing w:after="0" w:line="360" w:lineRule="auto"/>
        <w:rPr>
          <w:rFonts w:ascii="Arial" w:hAnsi="Arial" w:cs="Arial"/>
          <w:b/>
          <w:caps/>
          <w:szCs w:val="24"/>
        </w:rPr>
      </w:pPr>
    </w:p>
    <w:p w:rsidR="0068753E" w:rsidRPr="004A3C19" w:rsidRDefault="0068753E" w:rsidP="00CC12E4">
      <w:pPr>
        <w:pStyle w:val="Caption"/>
        <w:spacing w:before="240" w:after="0"/>
        <w:rPr>
          <w:b w:val="0"/>
          <w:color w:val="000000" w:themeColor="text1"/>
        </w:rPr>
      </w:pPr>
      <w:r w:rsidRPr="004A3C19">
        <w:rPr>
          <w:b w:val="0"/>
          <w:color w:val="000000" w:themeColor="text1"/>
        </w:rPr>
        <w:t xml:space="preserve">Table </w:t>
      </w:r>
      <w:r w:rsidRPr="004A3C19">
        <w:rPr>
          <w:b w:val="0"/>
          <w:color w:val="000000" w:themeColor="text1"/>
        </w:rPr>
        <w:fldChar w:fldCharType="begin"/>
      </w:r>
      <w:r w:rsidRPr="004A3C19">
        <w:rPr>
          <w:b w:val="0"/>
          <w:color w:val="000000" w:themeColor="text1"/>
        </w:rPr>
        <w:instrText xml:space="preserve"> SEQ Table \* ARABIC </w:instrText>
      </w:r>
      <w:r w:rsidRPr="004A3C19">
        <w:rPr>
          <w:b w:val="0"/>
          <w:color w:val="000000" w:themeColor="text1"/>
        </w:rPr>
        <w:fldChar w:fldCharType="separate"/>
      </w:r>
      <w:r>
        <w:rPr>
          <w:b w:val="0"/>
          <w:noProof/>
          <w:color w:val="000000" w:themeColor="text1"/>
        </w:rPr>
        <w:t>1</w:t>
      </w:r>
      <w:r w:rsidRPr="004A3C19">
        <w:rPr>
          <w:b w:val="0"/>
          <w:color w:val="000000" w:themeColor="text1"/>
        </w:rPr>
        <w:fldChar w:fldCharType="end"/>
      </w:r>
      <w:r w:rsidRPr="004A3C19">
        <w:rPr>
          <w:b w:val="0"/>
          <w:color w:val="000000" w:themeColor="text1"/>
        </w:rPr>
        <w:t xml:space="preserve">: </w:t>
      </w:r>
      <w:r>
        <w:rPr>
          <w:b w:val="0"/>
          <w:color w:val="000000" w:themeColor="text1"/>
        </w:rPr>
        <w:t xml:space="preserve">Key uncertainties and assumptions made in the original work by Claxton et al </w:t>
      </w:r>
      <w:r>
        <w:rPr>
          <w:b w:val="0"/>
          <w:noProof/>
          <w:color w:val="000000" w:themeColor="text1"/>
        </w:rPr>
        <w:t>(9)</w:t>
      </w:r>
    </w:p>
    <w:tbl>
      <w:tblPr>
        <w:tblStyle w:val="TableGrid"/>
        <w:tblW w:w="9322" w:type="dxa"/>
        <w:tblLayout w:type="fixed"/>
        <w:tblLook w:val="04A0" w:firstRow="1" w:lastRow="0" w:firstColumn="1" w:lastColumn="0" w:noHBand="0" w:noVBand="1"/>
      </w:tblPr>
      <w:tblGrid>
        <w:gridCol w:w="250"/>
        <w:gridCol w:w="1418"/>
        <w:gridCol w:w="3402"/>
        <w:gridCol w:w="4252"/>
      </w:tblGrid>
      <w:tr w:rsidR="0068753E" w:rsidRPr="00EA2940" w:rsidTr="00CC12E4">
        <w:tc>
          <w:tcPr>
            <w:tcW w:w="1668" w:type="dxa"/>
            <w:gridSpan w:val="2"/>
            <w:tcBorders>
              <w:bottom w:val="single" w:sz="4" w:space="0" w:color="auto"/>
            </w:tcBorders>
          </w:tcPr>
          <w:p w:rsidR="0068753E" w:rsidRPr="00EA2940" w:rsidRDefault="0068753E" w:rsidP="00CC12E4">
            <w:pPr>
              <w:rPr>
                <w:b/>
                <w:sz w:val="18"/>
                <w:szCs w:val="18"/>
              </w:rPr>
            </w:pPr>
            <w:r>
              <w:rPr>
                <w:b/>
                <w:sz w:val="18"/>
                <w:szCs w:val="18"/>
              </w:rPr>
              <w:t>K</w:t>
            </w:r>
            <w:r w:rsidRPr="00EA2940">
              <w:rPr>
                <w:b/>
                <w:sz w:val="18"/>
                <w:szCs w:val="18"/>
              </w:rPr>
              <w:t xml:space="preserve">ey uncertainty </w:t>
            </w:r>
          </w:p>
        </w:tc>
        <w:tc>
          <w:tcPr>
            <w:tcW w:w="3402" w:type="dxa"/>
          </w:tcPr>
          <w:p w:rsidR="0068753E" w:rsidRPr="00EA2940" w:rsidRDefault="0068753E" w:rsidP="00CC12E4">
            <w:pPr>
              <w:rPr>
                <w:b/>
                <w:sz w:val="18"/>
                <w:szCs w:val="18"/>
              </w:rPr>
            </w:pPr>
            <w:r w:rsidRPr="00EA2940">
              <w:rPr>
                <w:b/>
                <w:sz w:val="18"/>
                <w:szCs w:val="18"/>
              </w:rPr>
              <w:t>Description</w:t>
            </w:r>
          </w:p>
        </w:tc>
        <w:tc>
          <w:tcPr>
            <w:tcW w:w="4252" w:type="dxa"/>
          </w:tcPr>
          <w:p w:rsidR="0068753E" w:rsidRPr="00EA2940" w:rsidRDefault="0068753E" w:rsidP="00CC12E4">
            <w:pPr>
              <w:rPr>
                <w:b/>
                <w:sz w:val="18"/>
                <w:szCs w:val="18"/>
              </w:rPr>
            </w:pPr>
            <w:r>
              <w:rPr>
                <w:b/>
                <w:sz w:val="18"/>
                <w:szCs w:val="18"/>
              </w:rPr>
              <w:t xml:space="preserve">Assumptions on key uncertainty in </w:t>
            </w:r>
            <w:r>
              <w:rPr>
                <w:b/>
                <w:noProof/>
                <w:sz w:val="18"/>
                <w:szCs w:val="18"/>
              </w:rPr>
              <w:t>(9)</w:t>
            </w:r>
          </w:p>
        </w:tc>
      </w:tr>
      <w:tr w:rsidR="0068753E" w:rsidRPr="00EA2940" w:rsidTr="00CC12E4">
        <w:tc>
          <w:tcPr>
            <w:tcW w:w="250" w:type="dxa"/>
            <w:tcBorders>
              <w:right w:val="nil"/>
            </w:tcBorders>
          </w:tcPr>
          <w:p w:rsidR="0068753E" w:rsidRPr="00EA2940" w:rsidRDefault="0068753E" w:rsidP="00CC12E4">
            <w:pPr>
              <w:rPr>
                <w:sz w:val="18"/>
                <w:szCs w:val="18"/>
              </w:rPr>
            </w:pPr>
            <w:r w:rsidRPr="00EA2940">
              <w:rPr>
                <w:sz w:val="18"/>
                <w:szCs w:val="18"/>
              </w:rPr>
              <w:t>A</w:t>
            </w:r>
          </w:p>
        </w:tc>
        <w:tc>
          <w:tcPr>
            <w:tcW w:w="1418" w:type="dxa"/>
            <w:tcBorders>
              <w:left w:val="nil"/>
            </w:tcBorders>
          </w:tcPr>
          <w:p w:rsidR="0068753E" w:rsidRPr="00EA2940" w:rsidRDefault="0068753E" w:rsidP="00CC12E4">
            <w:pPr>
              <w:rPr>
                <w:sz w:val="18"/>
                <w:szCs w:val="18"/>
              </w:rPr>
            </w:pPr>
            <w:r w:rsidRPr="00EA2940">
              <w:rPr>
                <w:sz w:val="18"/>
                <w:szCs w:val="18"/>
              </w:rPr>
              <w:t>Duration of effects</w:t>
            </w:r>
          </w:p>
        </w:tc>
        <w:tc>
          <w:tcPr>
            <w:tcW w:w="3402" w:type="dxa"/>
          </w:tcPr>
          <w:p w:rsidR="0068753E" w:rsidRPr="00EA2940" w:rsidRDefault="0068753E" w:rsidP="00CC12E4">
            <w:pPr>
              <w:rPr>
                <w:sz w:val="18"/>
                <w:szCs w:val="18"/>
              </w:rPr>
            </w:pPr>
            <w:r>
              <w:rPr>
                <w:sz w:val="18"/>
                <w:szCs w:val="18"/>
              </w:rPr>
              <w:t>C</w:t>
            </w:r>
            <w:r w:rsidRPr="00EA2940">
              <w:rPr>
                <w:sz w:val="18"/>
                <w:szCs w:val="18"/>
              </w:rPr>
              <w:t xml:space="preserve">hanges in expenditure may have an effect </w:t>
            </w:r>
            <w:r>
              <w:rPr>
                <w:sz w:val="18"/>
                <w:szCs w:val="18"/>
              </w:rPr>
              <w:t xml:space="preserve">on mortality </w:t>
            </w:r>
            <w:r w:rsidRPr="00EA2940">
              <w:rPr>
                <w:sz w:val="18"/>
                <w:szCs w:val="18"/>
              </w:rPr>
              <w:t xml:space="preserve">beyond the year of expenditure </w:t>
            </w:r>
          </w:p>
        </w:tc>
        <w:tc>
          <w:tcPr>
            <w:tcW w:w="4252" w:type="dxa"/>
          </w:tcPr>
          <w:p w:rsidR="0068753E" w:rsidRPr="00EA2940" w:rsidRDefault="0068753E" w:rsidP="00CC12E4">
            <w:pPr>
              <w:rPr>
                <w:sz w:val="18"/>
                <w:szCs w:val="18"/>
              </w:rPr>
            </w:pPr>
            <w:r w:rsidRPr="00EA2940">
              <w:rPr>
                <w:sz w:val="18"/>
                <w:szCs w:val="18"/>
              </w:rPr>
              <w:t>Effects restricted to th</w:t>
            </w:r>
            <w:r>
              <w:rPr>
                <w:sz w:val="18"/>
                <w:szCs w:val="18"/>
              </w:rPr>
              <w:t>e year of expenditure change</w:t>
            </w:r>
          </w:p>
        </w:tc>
      </w:tr>
      <w:tr w:rsidR="0068753E" w:rsidRPr="00EA2940" w:rsidTr="00CC12E4">
        <w:tc>
          <w:tcPr>
            <w:tcW w:w="250" w:type="dxa"/>
            <w:tcBorders>
              <w:right w:val="nil"/>
            </w:tcBorders>
          </w:tcPr>
          <w:p w:rsidR="0068753E" w:rsidRPr="00EA2940" w:rsidRDefault="0068753E" w:rsidP="00CC12E4">
            <w:pPr>
              <w:rPr>
                <w:sz w:val="18"/>
                <w:szCs w:val="18"/>
              </w:rPr>
            </w:pPr>
            <w:r w:rsidRPr="00EA2940">
              <w:rPr>
                <w:sz w:val="18"/>
                <w:szCs w:val="18"/>
              </w:rPr>
              <w:t>B</w:t>
            </w:r>
          </w:p>
        </w:tc>
        <w:tc>
          <w:tcPr>
            <w:tcW w:w="1418" w:type="dxa"/>
            <w:tcBorders>
              <w:left w:val="nil"/>
            </w:tcBorders>
          </w:tcPr>
          <w:p w:rsidR="0068753E" w:rsidRPr="00EA2940" w:rsidRDefault="0068753E" w:rsidP="00CC12E4">
            <w:pPr>
              <w:rPr>
                <w:sz w:val="18"/>
                <w:szCs w:val="18"/>
              </w:rPr>
            </w:pPr>
            <w:r>
              <w:rPr>
                <w:sz w:val="18"/>
                <w:szCs w:val="18"/>
              </w:rPr>
              <w:t>S</w:t>
            </w:r>
            <w:r w:rsidRPr="00EA2940">
              <w:rPr>
                <w:sz w:val="18"/>
                <w:szCs w:val="18"/>
              </w:rPr>
              <w:t>urrogacy</w:t>
            </w:r>
          </w:p>
        </w:tc>
        <w:tc>
          <w:tcPr>
            <w:tcW w:w="3402" w:type="dxa"/>
          </w:tcPr>
          <w:p w:rsidR="0068753E" w:rsidRPr="00EA2940" w:rsidRDefault="0068753E" w:rsidP="00CC12E4">
            <w:pPr>
              <w:rPr>
                <w:sz w:val="18"/>
                <w:szCs w:val="18"/>
              </w:rPr>
            </w:pPr>
            <w:r>
              <w:rPr>
                <w:sz w:val="18"/>
                <w:szCs w:val="18"/>
              </w:rPr>
              <w:t>H</w:t>
            </w:r>
            <w:r w:rsidRPr="00EA2940">
              <w:rPr>
                <w:sz w:val="18"/>
                <w:szCs w:val="18"/>
              </w:rPr>
              <w:t xml:space="preserve">ow the effects of changes in expenditure on mortality relate to effects on a broader measure of health that incorporates both duration and </w:t>
            </w:r>
            <w:r>
              <w:rPr>
                <w:sz w:val="18"/>
                <w:szCs w:val="18"/>
              </w:rPr>
              <w:t xml:space="preserve">health-related </w:t>
            </w:r>
            <w:r w:rsidRPr="00EA2940">
              <w:rPr>
                <w:sz w:val="18"/>
                <w:szCs w:val="18"/>
              </w:rPr>
              <w:t>quality of life impacts (quality adjusted life</w:t>
            </w:r>
            <w:r>
              <w:rPr>
                <w:sz w:val="18"/>
                <w:szCs w:val="18"/>
              </w:rPr>
              <w:t>-</w:t>
            </w:r>
            <w:r w:rsidRPr="00EA2940">
              <w:rPr>
                <w:sz w:val="18"/>
                <w:szCs w:val="18"/>
              </w:rPr>
              <w:t xml:space="preserve">years) </w:t>
            </w:r>
          </w:p>
        </w:tc>
        <w:tc>
          <w:tcPr>
            <w:tcW w:w="4252" w:type="dxa"/>
          </w:tcPr>
          <w:p w:rsidR="0068753E" w:rsidRPr="00EA2940" w:rsidRDefault="0068753E" w:rsidP="00CC12E4">
            <w:pPr>
              <w:rPr>
                <w:sz w:val="18"/>
                <w:szCs w:val="18"/>
              </w:rPr>
            </w:pPr>
            <w:r w:rsidRPr="00EA2940">
              <w:rPr>
                <w:sz w:val="18"/>
                <w:szCs w:val="18"/>
              </w:rPr>
              <w:t xml:space="preserve">Assumed to be </w:t>
            </w:r>
            <w:r>
              <w:rPr>
                <w:sz w:val="18"/>
                <w:szCs w:val="18"/>
              </w:rPr>
              <w:t>proportionate, i.e. the effects of changes in expenditure on mortality that were empirically estimated were used as the best estimate of the effects of expenditure on quality adjusted life-years.</w:t>
            </w:r>
          </w:p>
        </w:tc>
      </w:tr>
      <w:tr w:rsidR="0068753E" w:rsidRPr="00EA2940" w:rsidTr="00CC12E4">
        <w:tc>
          <w:tcPr>
            <w:tcW w:w="250" w:type="dxa"/>
            <w:tcBorders>
              <w:right w:val="nil"/>
            </w:tcBorders>
          </w:tcPr>
          <w:p w:rsidR="0068753E" w:rsidRPr="00EA2940" w:rsidRDefault="0068753E" w:rsidP="00CC12E4">
            <w:pPr>
              <w:rPr>
                <w:sz w:val="18"/>
                <w:szCs w:val="18"/>
              </w:rPr>
            </w:pPr>
            <w:r w:rsidRPr="00EA2940">
              <w:rPr>
                <w:sz w:val="18"/>
                <w:szCs w:val="18"/>
              </w:rPr>
              <w:t>C</w:t>
            </w:r>
          </w:p>
        </w:tc>
        <w:tc>
          <w:tcPr>
            <w:tcW w:w="1418" w:type="dxa"/>
            <w:tcBorders>
              <w:left w:val="nil"/>
            </w:tcBorders>
          </w:tcPr>
          <w:p w:rsidR="0068753E" w:rsidRPr="00EA2940" w:rsidRDefault="0068753E" w:rsidP="00CC12E4">
            <w:pPr>
              <w:rPr>
                <w:sz w:val="18"/>
                <w:szCs w:val="18"/>
              </w:rPr>
            </w:pPr>
            <w:r>
              <w:rPr>
                <w:sz w:val="18"/>
                <w:szCs w:val="18"/>
              </w:rPr>
              <w:t>E</w:t>
            </w:r>
            <w:r w:rsidRPr="00EA2940">
              <w:rPr>
                <w:sz w:val="18"/>
                <w:szCs w:val="18"/>
              </w:rPr>
              <w:t>xtrapolation</w:t>
            </w:r>
          </w:p>
        </w:tc>
        <w:tc>
          <w:tcPr>
            <w:tcW w:w="3402" w:type="dxa"/>
          </w:tcPr>
          <w:p w:rsidR="0068753E" w:rsidRPr="00EA2940" w:rsidRDefault="0068753E" w:rsidP="00CC12E4">
            <w:pPr>
              <w:rPr>
                <w:sz w:val="18"/>
                <w:szCs w:val="18"/>
              </w:rPr>
            </w:pPr>
            <w:r>
              <w:rPr>
                <w:sz w:val="18"/>
                <w:szCs w:val="18"/>
              </w:rPr>
              <w:t>H</w:t>
            </w:r>
            <w:r w:rsidRPr="00EA2940">
              <w:rPr>
                <w:sz w:val="18"/>
                <w:szCs w:val="18"/>
              </w:rPr>
              <w:t xml:space="preserve">ow changes in expenditure affect health in disease areas for which previous work could not measure a mortality effect </w:t>
            </w:r>
          </w:p>
        </w:tc>
        <w:tc>
          <w:tcPr>
            <w:tcW w:w="4252" w:type="dxa"/>
          </w:tcPr>
          <w:p w:rsidR="0068753E" w:rsidRPr="00EA2940" w:rsidRDefault="0068753E" w:rsidP="00CC12E4">
            <w:pPr>
              <w:rPr>
                <w:sz w:val="18"/>
                <w:szCs w:val="18"/>
              </w:rPr>
            </w:pPr>
            <w:r w:rsidRPr="00EA2940">
              <w:rPr>
                <w:sz w:val="18"/>
                <w:szCs w:val="18"/>
              </w:rPr>
              <w:t xml:space="preserve">Assumed </w:t>
            </w:r>
            <w:r>
              <w:rPr>
                <w:sz w:val="18"/>
                <w:szCs w:val="18"/>
              </w:rPr>
              <w:t xml:space="preserve">to be </w:t>
            </w:r>
            <w:r w:rsidRPr="00EA2940">
              <w:rPr>
                <w:sz w:val="18"/>
                <w:szCs w:val="18"/>
              </w:rPr>
              <w:t>proportionate</w:t>
            </w:r>
            <w:r>
              <w:rPr>
                <w:sz w:val="18"/>
                <w:szCs w:val="18"/>
              </w:rPr>
              <w:t xml:space="preserve">, i.e. the effects of changes in expenditure on health (quality adjusted life-years) for disease areas </w:t>
            </w:r>
            <w:r w:rsidRPr="00EA2940">
              <w:rPr>
                <w:sz w:val="18"/>
                <w:szCs w:val="18"/>
              </w:rPr>
              <w:t>which previous work could measure a mortality effect</w:t>
            </w:r>
            <w:r>
              <w:rPr>
                <w:sz w:val="18"/>
                <w:szCs w:val="18"/>
              </w:rPr>
              <w:t xml:space="preserve"> were used as best estimate of the effect of expenditure on health for disease areas for </w:t>
            </w:r>
            <w:r w:rsidRPr="00EA2940">
              <w:rPr>
                <w:sz w:val="18"/>
                <w:szCs w:val="18"/>
              </w:rPr>
              <w:t xml:space="preserve">which previous work could </w:t>
            </w:r>
            <w:r>
              <w:rPr>
                <w:sz w:val="18"/>
                <w:szCs w:val="18"/>
              </w:rPr>
              <w:t xml:space="preserve">not </w:t>
            </w:r>
            <w:r w:rsidRPr="00EA2940">
              <w:rPr>
                <w:sz w:val="18"/>
                <w:szCs w:val="18"/>
              </w:rPr>
              <w:t>measure a mortality effect</w:t>
            </w:r>
            <w:r>
              <w:rPr>
                <w:sz w:val="18"/>
                <w:szCs w:val="18"/>
              </w:rPr>
              <w:t>.</w:t>
            </w:r>
          </w:p>
        </w:tc>
      </w:tr>
    </w:tbl>
    <w:p w:rsidR="0068753E" w:rsidRPr="00EA2940" w:rsidRDefault="0068753E" w:rsidP="00CC12E4">
      <w:pPr>
        <w:spacing w:after="120"/>
        <w:rPr>
          <w:sz w:val="18"/>
          <w:szCs w:val="18"/>
        </w:rPr>
      </w:pPr>
    </w:p>
    <w:p w:rsidR="0068753E" w:rsidRDefault="0068753E">
      <w:pPr>
        <w:rPr>
          <w:rFonts w:ascii="Arial" w:hAnsi="Arial" w:cs="Arial"/>
          <w:b/>
          <w:caps/>
          <w:szCs w:val="24"/>
        </w:rPr>
      </w:pPr>
    </w:p>
    <w:p w:rsidR="0068753E" w:rsidRDefault="0068753E" w:rsidP="00CC12E4">
      <w:pPr>
        <w:spacing w:after="120"/>
        <w:sectPr w:rsidR="0068753E" w:rsidSect="008B469B">
          <w:footerReference w:type="default" r:id="rId7"/>
          <w:pgSz w:w="11906" w:h="16838"/>
          <w:pgMar w:top="1440" w:right="1440" w:bottom="1440" w:left="1440" w:header="708" w:footer="708" w:gutter="0"/>
          <w:cols w:space="708"/>
          <w:docGrid w:linePitch="360"/>
        </w:sectPr>
      </w:pPr>
    </w:p>
    <w:p w:rsidR="0068753E" w:rsidRPr="004A3C19" w:rsidRDefault="0068753E" w:rsidP="00CC12E4">
      <w:pPr>
        <w:pStyle w:val="Caption"/>
        <w:spacing w:before="240" w:after="0"/>
        <w:rPr>
          <w:b w:val="0"/>
          <w:color w:val="000000" w:themeColor="text1"/>
        </w:rPr>
      </w:pPr>
      <w:r w:rsidRPr="004A3C19">
        <w:rPr>
          <w:b w:val="0"/>
          <w:color w:val="000000" w:themeColor="text1"/>
        </w:rPr>
        <w:lastRenderedPageBreak/>
        <w:t xml:space="preserve">Table </w:t>
      </w:r>
      <w:r w:rsidRPr="004A3C19">
        <w:rPr>
          <w:b w:val="0"/>
          <w:color w:val="000000" w:themeColor="text1"/>
        </w:rPr>
        <w:fldChar w:fldCharType="begin"/>
      </w:r>
      <w:r w:rsidRPr="004A3C19">
        <w:rPr>
          <w:b w:val="0"/>
          <w:color w:val="000000" w:themeColor="text1"/>
        </w:rPr>
        <w:instrText xml:space="preserve"> SEQ Table \* ARABIC </w:instrText>
      </w:r>
      <w:r w:rsidRPr="004A3C19">
        <w:rPr>
          <w:b w:val="0"/>
          <w:color w:val="000000" w:themeColor="text1"/>
        </w:rPr>
        <w:fldChar w:fldCharType="separate"/>
      </w:r>
      <w:r>
        <w:rPr>
          <w:b w:val="0"/>
          <w:noProof/>
          <w:color w:val="000000" w:themeColor="text1"/>
        </w:rPr>
        <w:t>2</w:t>
      </w:r>
      <w:r w:rsidRPr="004A3C19">
        <w:rPr>
          <w:b w:val="0"/>
          <w:color w:val="000000" w:themeColor="text1"/>
        </w:rPr>
        <w:fldChar w:fldCharType="end"/>
      </w:r>
      <w:r w:rsidRPr="004A3C19">
        <w:rPr>
          <w:b w:val="0"/>
          <w:color w:val="000000" w:themeColor="text1"/>
        </w:rPr>
        <w:t>:</w:t>
      </w:r>
      <w:r>
        <w:rPr>
          <w:b w:val="0"/>
          <w:color w:val="000000" w:themeColor="text1"/>
        </w:rPr>
        <w:t xml:space="preserve"> Summary of quantities elicited with diagrammatic representation.</w:t>
      </w:r>
    </w:p>
    <w:tbl>
      <w:tblPr>
        <w:tblStyle w:val="TableGrid"/>
        <w:tblW w:w="14142" w:type="dxa"/>
        <w:tblLayout w:type="fixed"/>
        <w:tblLook w:val="04A0" w:firstRow="1" w:lastRow="0" w:firstColumn="1" w:lastColumn="0" w:noHBand="0" w:noVBand="1"/>
      </w:tblPr>
      <w:tblGrid>
        <w:gridCol w:w="9039"/>
        <w:gridCol w:w="5103"/>
      </w:tblGrid>
      <w:tr w:rsidR="0068753E" w:rsidRPr="004A3C19" w:rsidTr="00CC12E4">
        <w:tc>
          <w:tcPr>
            <w:tcW w:w="9039" w:type="dxa"/>
          </w:tcPr>
          <w:p w:rsidR="0068753E" w:rsidRPr="004A3C19" w:rsidRDefault="0068753E" w:rsidP="00CC12E4">
            <w:pPr>
              <w:spacing w:after="120"/>
              <w:rPr>
                <w:b/>
                <w:sz w:val="20"/>
              </w:rPr>
            </w:pPr>
            <w:r w:rsidRPr="004A3C19">
              <w:rPr>
                <w:b/>
                <w:sz w:val="20"/>
              </w:rPr>
              <w:t>Questions</w:t>
            </w:r>
          </w:p>
        </w:tc>
        <w:tc>
          <w:tcPr>
            <w:tcW w:w="5103" w:type="dxa"/>
          </w:tcPr>
          <w:p w:rsidR="0068753E" w:rsidRPr="004A3C19" w:rsidRDefault="0068753E" w:rsidP="00CC12E4">
            <w:pPr>
              <w:spacing w:after="120"/>
              <w:rPr>
                <w:b/>
                <w:noProof/>
                <w:sz w:val="20"/>
                <w:lang w:eastAsia="en-GB"/>
              </w:rPr>
            </w:pPr>
            <w:r w:rsidRPr="004A3C19">
              <w:rPr>
                <w:b/>
                <w:noProof/>
                <w:sz w:val="20"/>
                <w:lang w:eastAsia="en-GB"/>
              </w:rPr>
              <w:t>Diagramatic representation</w:t>
            </w:r>
          </w:p>
        </w:tc>
      </w:tr>
      <w:tr w:rsidR="0068753E" w:rsidRPr="004A3C19" w:rsidTr="00CC12E4">
        <w:tc>
          <w:tcPr>
            <w:tcW w:w="9039" w:type="dxa"/>
          </w:tcPr>
          <w:p w:rsidR="0068753E" w:rsidRPr="004A3C19" w:rsidRDefault="0068753E" w:rsidP="00CC12E4">
            <w:pPr>
              <w:spacing w:after="120"/>
              <w:rPr>
                <w:sz w:val="20"/>
                <w:u w:val="single"/>
              </w:rPr>
            </w:pPr>
            <w:r w:rsidRPr="004A3C19">
              <w:rPr>
                <w:sz w:val="20"/>
                <w:u w:val="single"/>
              </w:rPr>
              <w:t>Section A</w:t>
            </w:r>
          </w:p>
          <w:p w:rsidR="0068753E" w:rsidRPr="004A3C19" w:rsidRDefault="0068753E" w:rsidP="00CC12E4">
            <w:pPr>
              <w:spacing w:after="120"/>
              <w:rPr>
                <w:sz w:val="20"/>
              </w:rPr>
            </w:pPr>
            <w:r w:rsidRPr="004A3C19">
              <w:rPr>
                <w:i/>
                <w:sz w:val="20"/>
              </w:rPr>
              <w:t>Question.</w:t>
            </w:r>
            <w:r w:rsidRPr="004A3C19">
              <w:rPr>
                <w:sz w:val="20"/>
              </w:rPr>
              <w:t xml:space="preserve"> For how many more years (beyond the year of increased expenditure) would </w:t>
            </w:r>
            <w:r>
              <w:rPr>
                <w:sz w:val="20"/>
              </w:rPr>
              <w:t>you</w:t>
            </w:r>
            <w:r w:rsidRPr="004A3C19">
              <w:rPr>
                <w:sz w:val="20"/>
              </w:rPr>
              <w:t xml:space="preserve"> expect disease-specific mortality rates to be reduced</w:t>
            </w:r>
            <w:r>
              <w:rPr>
                <w:sz w:val="20"/>
              </w:rPr>
              <w:t>?</w:t>
            </w:r>
          </w:p>
          <w:p w:rsidR="0068753E" w:rsidRPr="004A3C19" w:rsidRDefault="0068753E" w:rsidP="00CC12E4">
            <w:pPr>
              <w:spacing w:after="120"/>
              <w:rPr>
                <w:sz w:val="20"/>
              </w:rPr>
            </w:pPr>
            <w:r w:rsidRPr="004A3C19">
              <w:rPr>
                <w:i/>
                <w:sz w:val="20"/>
              </w:rPr>
              <w:t>Question.</w:t>
            </w:r>
            <w:r w:rsidRPr="004A3C19">
              <w:rPr>
                <w:sz w:val="20"/>
              </w:rPr>
              <w:t xml:space="preserve"> From an increase in expenditure in a particular year, how do reductions in mortality rates in subsequent years compare (in proportionate terms) to the reduction observed in the first year? This was elicited separately for the 2nd, 3rd and 4th years. Refers to quantities A2, A3 and A4, respectively, in the diagram.</w:t>
            </w:r>
          </w:p>
        </w:tc>
        <w:tc>
          <w:tcPr>
            <w:tcW w:w="5103" w:type="dxa"/>
            <w:vMerge w:val="restart"/>
            <w:vAlign w:val="center"/>
          </w:tcPr>
          <w:p w:rsidR="0068753E" w:rsidRPr="004A3C19" w:rsidRDefault="0068753E" w:rsidP="00CC12E4">
            <w:pPr>
              <w:spacing w:after="120"/>
              <w:ind w:left="-249" w:right="-250"/>
              <w:rPr>
                <w:noProof/>
                <w:sz w:val="20"/>
                <w:lang w:eastAsia="en-GB"/>
              </w:rPr>
            </w:pPr>
            <w:r>
              <w:rPr>
                <w:noProof/>
                <w:sz w:val="20"/>
                <w:lang w:eastAsia="en-GB"/>
              </w:rPr>
              <w:drawing>
                <wp:inline distT="0" distB="0" distL="0" distR="0" wp14:anchorId="03B2C911" wp14:editId="5396023E">
                  <wp:extent cx="3066040" cy="2165068"/>
                  <wp:effectExtent l="0" t="0" r="127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0709" cy="2168365"/>
                          </a:xfrm>
                          <a:prstGeom prst="rect">
                            <a:avLst/>
                          </a:prstGeom>
                          <a:noFill/>
                        </pic:spPr>
                      </pic:pic>
                    </a:graphicData>
                  </a:graphic>
                </wp:inline>
              </w:drawing>
            </w:r>
          </w:p>
          <w:p w:rsidR="0068753E" w:rsidRPr="004A3C19" w:rsidRDefault="0068753E" w:rsidP="00CC12E4">
            <w:pPr>
              <w:spacing w:after="120"/>
              <w:ind w:left="-249" w:right="-250"/>
              <w:jc w:val="center"/>
              <w:rPr>
                <w:noProof/>
                <w:sz w:val="20"/>
                <w:lang w:eastAsia="en-GB"/>
              </w:rPr>
            </w:pPr>
          </w:p>
          <w:p w:rsidR="0068753E" w:rsidRPr="004A3C19" w:rsidRDefault="0068753E" w:rsidP="00CC12E4">
            <w:pPr>
              <w:spacing w:after="120"/>
              <w:ind w:left="-249" w:right="-250"/>
              <w:jc w:val="center"/>
              <w:rPr>
                <w:sz w:val="20"/>
              </w:rPr>
            </w:pPr>
            <w:r w:rsidRPr="004A3C19">
              <w:rPr>
                <w:noProof/>
                <w:sz w:val="20"/>
                <w:lang w:eastAsia="en-GB"/>
              </w:rPr>
              <w:drawing>
                <wp:inline distT="0" distB="0" distL="0" distR="0" wp14:anchorId="77E5E20B" wp14:editId="491DB1A9">
                  <wp:extent cx="1254642" cy="7585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4617" cy="758529"/>
                          </a:xfrm>
                          <a:prstGeom prst="rect">
                            <a:avLst/>
                          </a:prstGeom>
                          <a:noFill/>
                        </pic:spPr>
                      </pic:pic>
                    </a:graphicData>
                  </a:graphic>
                </wp:inline>
              </w:drawing>
            </w:r>
            <w:r w:rsidRPr="004A3C19">
              <w:rPr>
                <w:noProof/>
                <w:sz w:val="20"/>
                <w:lang w:eastAsia="en-GB"/>
              </w:rPr>
              <w:drawing>
                <wp:inline distT="0" distB="0" distL="0" distR="0" wp14:anchorId="13358F5E" wp14:editId="08C9BD01">
                  <wp:extent cx="1209125" cy="75491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1805" cy="756585"/>
                          </a:xfrm>
                          <a:prstGeom prst="rect">
                            <a:avLst/>
                          </a:prstGeom>
                          <a:noFill/>
                        </pic:spPr>
                      </pic:pic>
                    </a:graphicData>
                  </a:graphic>
                </wp:inline>
              </w:drawing>
            </w:r>
          </w:p>
          <w:p w:rsidR="0068753E" w:rsidRPr="004A3C19" w:rsidRDefault="0068753E" w:rsidP="00CC12E4">
            <w:pPr>
              <w:spacing w:after="120"/>
              <w:ind w:left="-249" w:right="-250"/>
              <w:rPr>
                <w:sz w:val="20"/>
              </w:rPr>
            </w:pPr>
          </w:p>
        </w:tc>
      </w:tr>
      <w:tr w:rsidR="0068753E" w:rsidRPr="004A3C19" w:rsidTr="00CC12E4">
        <w:tc>
          <w:tcPr>
            <w:tcW w:w="9039" w:type="dxa"/>
          </w:tcPr>
          <w:p w:rsidR="0068753E" w:rsidRPr="004A3C19" w:rsidRDefault="0068753E" w:rsidP="00CC12E4">
            <w:pPr>
              <w:spacing w:after="120"/>
              <w:rPr>
                <w:sz w:val="20"/>
                <w:u w:val="single"/>
              </w:rPr>
            </w:pPr>
            <w:r w:rsidRPr="004A3C19">
              <w:rPr>
                <w:sz w:val="20"/>
                <w:u w:val="single"/>
              </w:rPr>
              <w:t>Section B</w:t>
            </w:r>
          </w:p>
          <w:p w:rsidR="0068753E" w:rsidRPr="004A3C19" w:rsidRDefault="0068753E" w:rsidP="00CC12E4">
            <w:pPr>
              <w:spacing w:after="120"/>
              <w:rPr>
                <w:sz w:val="20"/>
              </w:rPr>
            </w:pPr>
            <w:r w:rsidRPr="004A3C19">
              <w:rPr>
                <w:i/>
                <w:sz w:val="20"/>
              </w:rPr>
              <w:t>Question</w:t>
            </w:r>
            <w:r w:rsidRPr="004A3C19">
              <w:rPr>
                <w:sz w:val="20"/>
              </w:rPr>
              <w:t>. If expenditure is increased in a particular year, how many times bigger (or smaller) are proportionate reductions on quality-adjusted life year burden when compared to proportionate reductions on mortality burden? We elicited for the year of increased expenditure (1st year) and also for any later effects of expenditure on the 2nd, 3rd and 4th years subsequent to increased expenditure. Refers to quantities B1, B2, B3 and B4, respectively, in the diagram.</w:t>
            </w:r>
          </w:p>
        </w:tc>
        <w:tc>
          <w:tcPr>
            <w:tcW w:w="5103" w:type="dxa"/>
            <w:vMerge/>
            <w:vAlign w:val="center"/>
          </w:tcPr>
          <w:p w:rsidR="0068753E" w:rsidRPr="004A3C19" w:rsidRDefault="0068753E" w:rsidP="00CC12E4">
            <w:pPr>
              <w:spacing w:after="120"/>
              <w:jc w:val="center"/>
              <w:rPr>
                <w:sz w:val="20"/>
              </w:rPr>
            </w:pPr>
          </w:p>
        </w:tc>
      </w:tr>
      <w:tr w:rsidR="0068753E" w:rsidRPr="004A3C19" w:rsidTr="00CC12E4">
        <w:trPr>
          <w:trHeight w:val="1266"/>
        </w:trPr>
        <w:tc>
          <w:tcPr>
            <w:tcW w:w="9039" w:type="dxa"/>
          </w:tcPr>
          <w:p w:rsidR="0068753E" w:rsidRPr="004A3C19" w:rsidRDefault="0068753E" w:rsidP="00CC12E4">
            <w:pPr>
              <w:spacing w:after="120"/>
              <w:rPr>
                <w:sz w:val="20"/>
                <w:u w:val="single"/>
              </w:rPr>
            </w:pPr>
            <w:r w:rsidRPr="004A3C19">
              <w:rPr>
                <w:sz w:val="20"/>
                <w:u w:val="single"/>
              </w:rPr>
              <w:t>Section C</w:t>
            </w:r>
          </w:p>
          <w:p w:rsidR="0068753E" w:rsidRPr="004A3C19" w:rsidRDefault="0068753E" w:rsidP="00CC12E4">
            <w:pPr>
              <w:spacing w:after="120"/>
              <w:rPr>
                <w:sz w:val="20"/>
              </w:rPr>
            </w:pPr>
            <w:r w:rsidRPr="004A3C19">
              <w:rPr>
                <w:i/>
                <w:sz w:val="20"/>
              </w:rPr>
              <w:t>Question</w:t>
            </w:r>
            <w:r w:rsidRPr="004A3C19">
              <w:rPr>
                <w:sz w:val="20"/>
              </w:rPr>
              <w:t>. How much bigger (or smaller) are reductions in health burden (quality-adjusted life-years) when expenditure is increased, for example, in ‘mental health disorders’ instead of disease areas with a measured effect of increased expenditure on mortality (average effect across all disease areas in this group). This was elicited for the year of expenditure (1st year) and also for any later effects of expenditure on subsequent years (2nd, 3rd and 4th). Refers to quantities C1, C2, C3 and C4, respectively, in the diagram.</w:t>
            </w:r>
          </w:p>
        </w:tc>
        <w:tc>
          <w:tcPr>
            <w:tcW w:w="5103" w:type="dxa"/>
            <w:vMerge/>
            <w:vAlign w:val="center"/>
          </w:tcPr>
          <w:p w:rsidR="0068753E" w:rsidRPr="004A3C19" w:rsidRDefault="0068753E" w:rsidP="00CC12E4">
            <w:pPr>
              <w:spacing w:after="120"/>
              <w:jc w:val="center"/>
              <w:rPr>
                <w:sz w:val="20"/>
              </w:rPr>
            </w:pPr>
          </w:p>
        </w:tc>
      </w:tr>
    </w:tbl>
    <w:p w:rsidR="0068753E" w:rsidRDefault="0068753E" w:rsidP="00CC12E4">
      <w:pPr>
        <w:spacing w:after="120"/>
        <w:sectPr w:rsidR="0068753E" w:rsidSect="00CC12E4">
          <w:pgSz w:w="16838" w:h="11906" w:orient="landscape"/>
          <w:pgMar w:top="1276" w:right="1560" w:bottom="1135" w:left="1440" w:header="708" w:footer="708" w:gutter="0"/>
          <w:cols w:space="708"/>
          <w:docGrid w:linePitch="360"/>
        </w:sectPr>
      </w:pPr>
    </w:p>
    <w:p w:rsidR="0068753E" w:rsidRDefault="0068753E" w:rsidP="00CC12E4">
      <w:pPr>
        <w:pStyle w:val="ListParagraph"/>
        <w:spacing w:after="120"/>
        <w:ind w:left="426"/>
        <w:contextualSpacing w:val="0"/>
      </w:pPr>
    </w:p>
    <w:p w:rsidR="0068753E" w:rsidRPr="00673CB1" w:rsidRDefault="0068753E" w:rsidP="00CC12E4">
      <w:pPr>
        <w:pStyle w:val="Caption"/>
        <w:spacing w:after="0"/>
        <w:rPr>
          <w:rFonts w:cs="Arial"/>
          <w:b w:val="0"/>
          <w:color w:val="FF0000"/>
        </w:rPr>
      </w:pPr>
      <w:bookmarkStart w:id="15" w:name="_Ref486934310"/>
      <w:r w:rsidRPr="00447B59">
        <w:rPr>
          <w:rFonts w:cs="Arial"/>
          <w:b w:val="0"/>
          <w:color w:val="000000" w:themeColor="text1"/>
        </w:rPr>
        <w:t xml:space="preserve">Table </w:t>
      </w:r>
      <w:bookmarkEnd w:id="15"/>
      <w:r>
        <w:rPr>
          <w:rFonts w:cs="Arial"/>
          <w:b w:val="0"/>
          <w:color w:val="000000" w:themeColor="text1"/>
        </w:rPr>
        <w:t>3</w:t>
      </w:r>
      <w:r w:rsidRPr="00447B59">
        <w:rPr>
          <w:rFonts w:cs="Arial"/>
          <w:b w:val="0"/>
          <w:color w:val="000000" w:themeColor="text1"/>
        </w:rPr>
        <w:t xml:space="preserve">: Duration of effects, surrogacy and extrapolation -- all clinical experts pooled. </w:t>
      </w:r>
    </w:p>
    <w:tbl>
      <w:tblPr>
        <w:tblW w:w="9214" w:type="dxa"/>
        <w:tblInd w:w="108" w:type="dxa"/>
        <w:tblLook w:val="04A0" w:firstRow="1" w:lastRow="0" w:firstColumn="1" w:lastColumn="0" w:noHBand="0" w:noVBand="1"/>
      </w:tblPr>
      <w:tblGrid>
        <w:gridCol w:w="1497"/>
        <w:gridCol w:w="1622"/>
        <w:gridCol w:w="1209"/>
        <w:gridCol w:w="1153"/>
        <w:gridCol w:w="1209"/>
        <w:gridCol w:w="1116"/>
        <w:gridCol w:w="1408"/>
      </w:tblGrid>
      <w:tr w:rsidR="0068753E" w:rsidRPr="00447B59" w:rsidTr="00CC12E4">
        <w:trPr>
          <w:trHeight w:val="469"/>
        </w:trPr>
        <w:tc>
          <w:tcPr>
            <w:tcW w:w="1497" w:type="dxa"/>
            <w:tcBorders>
              <w:top w:val="single" w:sz="4" w:space="0" w:color="auto"/>
              <w:left w:val="single" w:sz="4" w:space="0" w:color="auto"/>
              <w:right w:val="nil"/>
            </w:tcBorders>
            <w:shd w:val="clear" w:color="auto" w:fill="auto"/>
            <w:noWrap/>
            <w:vAlign w:val="bottom"/>
            <w:hideMark/>
          </w:tcPr>
          <w:p w:rsidR="0068753E" w:rsidRPr="00447B59" w:rsidRDefault="0068753E" w:rsidP="00CC12E4">
            <w:pPr>
              <w:spacing w:after="0" w:line="240" w:lineRule="auto"/>
              <w:rPr>
                <w:rFonts w:cs="Arial"/>
                <w:sz w:val="18"/>
                <w:szCs w:val="18"/>
              </w:rPr>
            </w:pPr>
          </w:p>
        </w:tc>
        <w:tc>
          <w:tcPr>
            <w:tcW w:w="1622" w:type="dxa"/>
            <w:tcBorders>
              <w:top w:val="single" w:sz="4" w:space="0" w:color="auto"/>
              <w:left w:val="nil"/>
              <w:right w:val="nil"/>
            </w:tcBorders>
            <w:shd w:val="clear" w:color="auto" w:fill="auto"/>
            <w:noWrap/>
            <w:vAlign w:val="bottom"/>
            <w:hideMark/>
          </w:tcPr>
          <w:p w:rsidR="0068753E" w:rsidRPr="00447B59" w:rsidRDefault="0068753E" w:rsidP="00CC12E4">
            <w:pPr>
              <w:spacing w:after="0" w:line="240" w:lineRule="auto"/>
              <w:rPr>
                <w:rFonts w:cs="Arial"/>
                <w:sz w:val="18"/>
                <w:szCs w:val="18"/>
              </w:rPr>
            </w:pPr>
          </w:p>
        </w:tc>
        <w:tc>
          <w:tcPr>
            <w:tcW w:w="1209" w:type="dxa"/>
            <w:tcBorders>
              <w:top w:val="single" w:sz="4" w:space="0" w:color="auto"/>
              <w:left w:val="nil"/>
              <w:right w:val="nil"/>
            </w:tcBorders>
            <w:shd w:val="clear" w:color="auto" w:fill="auto"/>
            <w:noWrap/>
            <w:vAlign w:val="bottom"/>
            <w:hideMark/>
          </w:tcPr>
          <w:p w:rsidR="0068753E" w:rsidRPr="00447B59" w:rsidRDefault="0068753E" w:rsidP="00CC12E4">
            <w:pPr>
              <w:spacing w:after="0" w:line="240" w:lineRule="auto"/>
              <w:jc w:val="center"/>
              <w:rPr>
                <w:rFonts w:cs="Arial"/>
                <w:sz w:val="18"/>
                <w:szCs w:val="18"/>
              </w:rPr>
            </w:pPr>
            <w:r w:rsidRPr="00447B59">
              <w:rPr>
                <w:rFonts w:cs="Arial"/>
                <w:sz w:val="18"/>
                <w:szCs w:val="18"/>
              </w:rPr>
              <w:t>year 1</w:t>
            </w:r>
          </w:p>
        </w:tc>
        <w:tc>
          <w:tcPr>
            <w:tcW w:w="1153" w:type="dxa"/>
            <w:tcBorders>
              <w:top w:val="single" w:sz="4" w:space="0" w:color="auto"/>
              <w:left w:val="nil"/>
              <w:right w:val="nil"/>
            </w:tcBorders>
            <w:shd w:val="clear" w:color="auto" w:fill="auto"/>
            <w:noWrap/>
            <w:vAlign w:val="bottom"/>
            <w:hideMark/>
          </w:tcPr>
          <w:p w:rsidR="0068753E" w:rsidRPr="00447B59" w:rsidRDefault="0068753E" w:rsidP="00CC12E4">
            <w:pPr>
              <w:spacing w:after="0" w:line="240" w:lineRule="auto"/>
              <w:jc w:val="center"/>
              <w:rPr>
                <w:rFonts w:cs="Arial"/>
                <w:sz w:val="18"/>
                <w:szCs w:val="18"/>
              </w:rPr>
            </w:pPr>
            <w:r w:rsidRPr="00447B59">
              <w:rPr>
                <w:rFonts w:cs="Arial"/>
                <w:sz w:val="18"/>
                <w:szCs w:val="18"/>
              </w:rPr>
              <w:t>year 2</w:t>
            </w:r>
          </w:p>
        </w:tc>
        <w:tc>
          <w:tcPr>
            <w:tcW w:w="1209" w:type="dxa"/>
            <w:tcBorders>
              <w:top w:val="single" w:sz="4" w:space="0" w:color="auto"/>
              <w:left w:val="nil"/>
              <w:right w:val="nil"/>
            </w:tcBorders>
            <w:shd w:val="clear" w:color="auto" w:fill="auto"/>
            <w:noWrap/>
            <w:vAlign w:val="bottom"/>
            <w:hideMark/>
          </w:tcPr>
          <w:p w:rsidR="0068753E" w:rsidRPr="00447B59" w:rsidRDefault="0068753E" w:rsidP="00CC12E4">
            <w:pPr>
              <w:spacing w:after="0" w:line="240" w:lineRule="auto"/>
              <w:jc w:val="center"/>
              <w:rPr>
                <w:rFonts w:cs="Arial"/>
                <w:sz w:val="18"/>
                <w:szCs w:val="18"/>
              </w:rPr>
            </w:pPr>
            <w:r w:rsidRPr="00447B59">
              <w:rPr>
                <w:rFonts w:cs="Arial"/>
                <w:sz w:val="18"/>
                <w:szCs w:val="18"/>
              </w:rPr>
              <w:t>year 3</w:t>
            </w:r>
          </w:p>
        </w:tc>
        <w:tc>
          <w:tcPr>
            <w:tcW w:w="1116" w:type="dxa"/>
            <w:tcBorders>
              <w:top w:val="single" w:sz="4" w:space="0" w:color="auto"/>
              <w:left w:val="nil"/>
              <w:right w:val="nil"/>
            </w:tcBorders>
            <w:shd w:val="clear" w:color="auto" w:fill="auto"/>
            <w:noWrap/>
            <w:vAlign w:val="bottom"/>
            <w:hideMark/>
          </w:tcPr>
          <w:p w:rsidR="0068753E" w:rsidRPr="00447B59" w:rsidRDefault="0068753E" w:rsidP="00CC12E4">
            <w:pPr>
              <w:spacing w:after="0" w:line="240" w:lineRule="auto"/>
              <w:jc w:val="center"/>
              <w:rPr>
                <w:rFonts w:cs="Arial"/>
                <w:sz w:val="18"/>
                <w:szCs w:val="18"/>
              </w:rPr>
            </w:pPr>
            <w:r w:rsidRPr="00447B59">
              <w:rPr>
                <w:rFonts w:cs="Arial"/>
                <w:sz w:val="18"/>
                <w:szCs w:val="18"/>
              </w:rPr>
              <w:t>year 4</w:t>
            </w:r>
          </w:p>
        </w:tc>
        <w:tc>
          <w:tcPr>
            <w:tcW w:w="1408" w:type="dxa"/>
            <w:tcBorders>
              <w:top w:val="single" w:sz="4" w:space="0" w:color="auto"/>
              <w:left w:val="nil"/>
              <w:right w:val="single" w:sz="4" w:space="0" w:color="auto"/>
            </w:tcBorders>
            <w:shd w:val="clear" w:color="auto" w:fill="auto"/>
            <w:noWrap/>
            <w:vAlign w:val="bottom"/>
            <w:hideMark/>
          </w:tcPr>
          <w:p w:rsidR="0068753E" w:rsidRPr="00447B59" w:rsidRDefault="0068753E" w:rsidP="00CC12E4">
            <w:pPr>
              <w:spacing w:after="0" w:line="240" w:lineRule="auto"/>
              <w:jc w:val="center"/>
              <w:rPr>
                <w:rFonts w:cs="Arial"/>
                <w:sz w:val="18"/>
                <w:szCs w:val="18"/>
              </w:rPr>
            </w:pPr>
            <w:r w:rsidRPr="00447B59">
              <w:rPr>
                <w:rFonts w:cs="Arial"/>
                <w:sz w:val="18"/>
                <w:szCs w:val="18"/>
              </w:rPr>
              <w:t>Total additional duration (yrs)*</w:t>
            </w:r>
          </w:p>
        </w:tc>
      </w:tr>
      <w:tr w:rsidR="0068753E" w:rsidRPr="00447B59" w:rsidTr="00CC12E4">
        <w:tc>
          <w:tcPr>
            <w:tcW w:w="1497" w:type="dxa"/>
            <w:tcBorders>
              <w:left w:val="single" w:sz="4" w:space="0" w:color="auto"/>
              <w:bottom w:val="single" w:sz="4" w:space="0" w:color="auto"/>
              <w:right w:val="nil"/>
            </w:tcBorders>
            <w:shd w:val="clear" w:color="auto" w:fill="auto"/>
            <w:noWrap/>
            <w:vAlign w:val="bottom"/>
          </w:tcPr>
          <w:p w:rsidR="0068753E" w:rsidRPr="00447B59" w:rsidRDefault="0068753E" w:rsidP="00CC12E4">
            <w:pPr>
              <w:spacing w:after="0" w:line="240" w:lineRule="auto"/>
              <w:rPr>
                <w:rFonts w:cs="Arial"/>
                <w:sz w:val="18"/>
                <w:szCs w:val="18"/>
              </w:rPr>
            </w:pPr>
          </w:p>
        </w:tc>
        <w:tc>
          <w:tcPr>
            <w:tcW w:w="1622" w:type="dxa"/>
            <w:tcBorders>
              <w:left w:val="nil"/>
              <w:bottom w:val="single" w:sz="4" w:space="0" w:color="auto"/>
              <w:right w:val="nil"/>
            </w:tcBorders>
            <w:shd w:val="clear" w:color="auto" w:fill="auto"/>
            <w:noWrap/>
            <w:vAlign w:val="bottom"/>
          </w:tcPr>
          <w:p w:rsidR="0068753E" w:rsidRPr="00447B59" w:rsidRDefault="0068753E" w:rsidP="00CC12E4">
            <w:pPr>
              <w:spacing w:after="0" w:line="240" w:lineRule="auto"/>
              <w:rPr>
                <w:rFonts w:cs="Arial"/>
                <w:sz w:val="18"/>
                <w:szCs w:val="18"/>
              </w:rPr>
            </w:pPr>
          </w:p>
        </w:tc>
        <w:tc>
          <w:tcPr>
            <w:tcW w:w="6095" w:type="dxa"/>
            <w:gridSpan w:val="5"/>
            <w:tcBorders>
              <w:left w:val="nil"/>
              <w:bottom w:val="single" w:sz="4" w:space="0" w:color="auto"/>
              <w:right w:val="single" w:sz="4" w:space="0" w:color="auto"/>
            </w:tcBorders>
            <w:shd w:val="clear" w:color="auto" w:fill="auto"/>
            <w:noWrap/>
            <w:vAlign w:val="bottom"/>
          </w:tcPr>
          <w:p w:rsidR="0068753E" w:rsidRPr="00447B59" w:rsidRDefault="0068753E" w:rsidP="00CC12E4">
            <w:pPr>
              <w:pStyle w:val="Caption"/>
              <w:spacing w:after="0"/>
              <w:jc w:val="center"/>
              <w:rPr>
                <w:rFonts w:cs="Arial"/>
                <w:b w:val="0"/>
                <w:color w:val="000000" w:themeColor="text1"/>
              </w:rPr>
            </w:pPr>
            <w:r w:rsidRPr="00447B59">
              <w:rPr>
                <w:rFonts w:cs="Arial"/>
                <w:b w:val="0"/>
                <w:bCs w:val="0"/>
                <w:color w:val="auto"/>
              </w:rPr>
              <w:t>Mode [Mean] (lower, upper bounds of the 80% credible interval)</w:t>
            </w:r>
          </w:p>
        </w:tc>
      </w:tr>
      <w:tr w:rsidR="0068753E" w:rsidRPr="00447B59" w:rsidTr="00CC12E4">
        <w:tc>
          <w:tcPr>
            <w:tcW w:w="1497" w:type="dxa"/>
            <w:vMerge w:val="restart"/>
            <w:tcBorders>
              <w:top w:val="single" w:sz="4" w:space="0" w:color="auto"/>
              <w:left w:val="single" w:sz="4" w:space="0" w:color="auto"/>
              <w:right w:val="nil"/>
            </w:tcBorders>
            <w:shd w:val="clear" w:color="auto" w:fill="auto"/>
            <w:noWrap/>
            <w:vAlign w:val="center"/>
            <w:hideMark/>
          </w:tcPr>
          <w:p w:rsidR="0068753E" w:rsidRPr="00447B59" w:rsidRDefault="0068753E" w:rsidP="00CC12E4">
            <w:pPr>
              <w:spacing w:after="0" w:line="240" w:lineRule="auto"/>
              <w:rPr>
                <w:rFonts w:cs="Arial"/>
                <w:sz w:val="18"/>
                <w:szCs w:val="18"/>
              </w:rPr>
            </w:pPr>
            <w:r w:rsidRPr="00447B59">
              <w:rPr>
                <w:rFonts w:cs="Arial"/>
                <w:sz w:val="18"/>
                <w:szCs w:val="18"/>
              </w:rPr>
              <w:t>Circulatory</w:t>
            </w:r>
          </w:p>
        </w:tc>
        <w:tc>
          <w:tcPr>
            <w:tcW w:w="1622" w:type="dxa"/>
            <w:tcBorders>
              <w:top w:val="single" w:sz="4" w:space="0" w:color="auto"/>
              <w:left w:val="nil"/>
              <w:bottom w:val="nil"/>
              <w:right w:val="nil"/>
            </w:tcBorders>
            <w:shd w:val="clear" w:color="auto" w:fill="auto"/>
            <w:noWrap/>
            <w:vAlign w:val="center"/>
            <w:hideMark/>
          </w:tcPr>
          <w:p w:rsidR="0068753E" w:rsidRPr="00447B59" w:rsidRDefault="0068753E" w:rsidP="00CC12E4">
            <w:pPr>
              <w:spacing w:after="0" w:line="240" w:lineRule="auto"/>
              <w:rPr>
                <w:rFonts w:cs="Arial"/>
                <w:sz w:val="18"/>
                <w:szCs w:val="18"/>
              </w:rPr>
            </w:pPr>
            <w:r w:rsidRPr="00447B59">
              <w:rPr>
                <w:rFonts w:cs="Arial"/>
                <w:sz w:val="18"/>
                <w:szCs w:val="18"/>
              </w:rPr>
              <w:t>mortality effects (vs. year 1)</w:t>
            </w:r>
          </w:p>
        </w:tc>
        <w:tc>
          <w:tcPr>
            <w:tcW w:w="1209" w:type="dxa"/>
            <w:tcBorders>
              <w:top w:val="single" w:sz="4" w:space="0" w:color="auto"/>
              <w:left w:val="nil"/>
              <w:bottom w:val="nil"/>
              <w:right w:val="nil"/>
            </w:tcBorders>
            <w:shd w:val="clear" w:color="auto" w:fill="BFBFBF" w:themeFill="background1" w:themeFillShade="BF"/>
            <w:noWrap/>
            <w:vAlign w:val="center"/>
            <w:hideMark/>
          </w:tcPr>
          <w:p w:rsidR="0068753E" w:rsidRPr="003C6432" w:rsidRDefault="0068753E" w:rsidP="00CC12E4">
            <w:pPr>
              <w:spacing w:after="0" w:line="240" w:lineRule="auto"/>
              <w:jc w:val="center"/>
              <w:rPr>
                <w:rFonts w:cs="Arial"/>
                <w:sz w:val="18"/>
                <w:szCs w:val="18"/>
              </w:rPr>
            </w:pPr>
            <w:r w:rsidRPr="003C6432">
              <w:rPr>
                <w:rFonts w:cs="Arial"/>
                <w:sz w:val="18"/>
                <w:szCs w:val="18"/>
              </w:rPr>
              <w:t>estimable</w:t>
            </w:r>
            <w:r>
              <w:rPr>
                <w:rFonts w:cs="Arial"/>
                <w:sz w:val="18"/>
                <w:szCs w:val="18"/>
              </w:rPr>
              <w:t xml:space="preserve"> from data</w:t>
            </w:r>
          </w:p>
        </w:tc>
        <w:tc>
          <w:tcPr>
            <w:tcW w:w="1153" w:type="dxa"/>
            <w:tcBorders>
              <w:top w:val="single" w:sz="4" w:space="0" w:color="auto"/>
              <w:left w:val="nil"/>
              <w:bottom w:val="nil"/>
              <w:right w:val="nil"/>
            </w:tcBorders>
            <w:shd w:val="clear" w:color="auto" w:fill="auto"/>
            <w:noWrap/>
            <w:vAlign w:val="bottom"/>
            <w:hideMark/>
          </w:tcPr>
          <w:p w:rsidR="0068753E" w:rsidRDefault="0068753E" w:rsidP="00CC12E4">
            <w:pPr>
              <w:spacing w:after="0" w:line="240" w:lineRule="auto"/>
              <w:jc w:val="center"/>
              <w:rPr>
                <w:rFonts w:cs="Arial"/>
                <w:sz w:val="18"/>
                <w:szCs w:val="18"/>
              </w:rPr>
            </w:pPr>
            <w:r w:rsidRPr="003C6432">
              <w:rPr>
                <w:rFonts w:cs="Arial"/>
                <w:sz w:val="18"/>
                <w:szCs w:val="18"/>
              </w:rPr>
              <w:t>0.2 [1.5</w:t>
            </w:r>
            <w:r>
              <w:rPr>
                <w:rFonts w:cs="Arial"/>
                <w:sz w:val="18"/>
                <w:szCs w:val="18"/>
              </w:rPr>
              <w:t>]</w:t>
            </w:r>
          </w:p>
          <w:p w:rsidR="0068753E" w:rsidRPr="003C6432" w:rsidRDefault="0068753E" w:rsidP="00CC12E4">
            <w:pPr>
              <w:spacing w:after="0" w:line="240" w:lineRule="auto"/>
              <w:jc w:val="center"/>
              <w:rPr>
                <w:rFonts w:cs="Arial"/>
                <w:sz w:val="18"/>
                <w:szCs w:val="18"/>
              </w:rPr>
            </w:pPr>
            <w:r>
              <w:rPr>
                <w:rFonts w:cs="Arial"/>
                <w:sz w:val="18"/>
                <w:szCs w:val="18"/>
              </w:rPr>
              <w:t xml:space="preserve"> </w:t>
            </w:r>
            <w:r w:rsidRPr="003C6432">
              <w:rPr>
                <w:rFonts w:cs="Arial"/>
                <w:sz w:val="18"/>
                <w:szCs w:val="18"/>
              </w:rPr>
              <w:t>(0.2,3.4)</w:t>
            </w:r>
          </w:p>
        </w:tc>
        <w:tc>
          <w:tcPr>
            <w:tcW w:w="1209" w:type="dxa"/>
            <w:tcBorders>
              <w:top w:val="single" w:sz="4" w:space="0" w:color="auto"/>
              <w:left w:val="nil"/>
              <w:bottom w:val="nil"/>
              <w:right w:val="nil"/>
            </w:tcBorders>
            <w:shd w:val="clear" w:color="auto" w:fill="auto"/>
            <w:noWrap/>
            <w:vAlign w:val="bottom"/>
            <w:hideMark/>
          </w:tcPr>
          <w:p w:rsidR="0068753E" w:rsidRDefault="0068753E" w:rsidP="00CC12E4">
            <w:pPr>
              <w:spacing w:after="0" w:line="240" w:lineRule="auto"/>
              <w:jc w:val="center"/>
              <w:rPr>
                <w:rFonts w:cs="Arial"/>
                <w:sz w:val="18"/>
                <w:szCs w:val="18"/>
              </w:rPr>
            </w:pPr>
            <w:r w:rsidRPr="003C6432">
              <w:rPr>
                <w:rFonts w:cs="Arial"/>
                <w:sz w:val="18"/>
                <w:szCs w:val="18"/>
              </w:rPr>
              <w:t>0.1 [1.2</w:t>
            </w:r>
            <w:r>
              <w:rPr>
                <w:rFonts w:cs="Arial"/>
                <w:sz w:val="18"/>
                <w:szCs w:val="18"/>
              </w:rPr>
              <w:t>]</w:t>
            </w:r>
          </w:p>
          <w:p w:rsidR="0068753E" w:rsidRPr="003C6432" w:rsidRDefault="0068753E" w:rsidP="00CC12E4">
            <w:pPr>
              <w:spacing w:after="0" w:line="240" w:lineRule="auto"/>
              <w:jc w:val="center"/>
              <w:rPr>
                <w:rFonts w:cs="Arial"/>
                <w:sz w:val="18"/>
                <w:szCs w:val="18"/>
              </w:rPr>
            </w:pPr>
            <w:r>
              <w:rPr>
                <w:rFonts w:cs="Arial"/>
                <w:sz w:val="18"/>
                <w:szCs w:val="18"/>
              </w:rPr>
              <w:t xml:space="preserve"> </w:t>
            </w:r>
            <w:r w:rsidRPr="003C6432">
              <w:rPr>
                <w:rFonts w:cs="Arial"/>
                <w:sz w:val="18"/>
                <w:szCs w:val="18"/>
              </w:rPr>
              <w:t>(0.1,2.6)</w:t>
            </w:r>
          </w:p>
        </w:tc>
        <w:tc>
          <w:tcPr>
            <w:tcW w:w="1116" w:type="dxa"/>
            <w:tcBorders>
              <w:top w:val="single" w:sz="4" w:space="0" w:color="auto"/>
              <w:left w:val="nil"/>
              <w:bottom w:val="nil"/>
              <w:right w:val="nil"/>
            </w:tcBorders>
            <w:shd w:val="clear" w:color="auto" w:fill="auto"/>
            <w:noWrap/>
            <w:vAlign w:val="bottom"/>
            <w:hideMark/>
          </w:tcPr>
          <w:p w:rsidR="0068753E" w:rsidRDefault="0068753E" w:rsidP="00CC12E4">
            <w:pPr>
              <w:spacing w:after="0" w:line="240" w:lineRule="auto"/>
              <w:jc w:val="center"/>
              <w:rPr>
                <w:rFonts w:cs="Arial"/>
                <w:sz w:val="18"/>
                <w:szCs w:val="18"/>
              </w:rPr>
            </w:pPr>
            <w:r w:rsidRPr="003C6432">
              <w:rPr>
                <w:rFonts w:cs="Arial"/>
                <w:sz w:val="18"/>
                <w:szCs w:val="18"/>
              </w:rPr>
              <w:t>0 [0.9</w:t>
            </w:r>
            <w:r>
              <w:rPr>
                <w:rFonts w:cs="Arial"/>
                <w:sz w:val="18"/>
                <w:szCs w:val="18"/>
              </w:rPr>
              <w:t>]</w:t>
            </w:r>
          </w:p>
          <w:p w:rsidR="0068753E" w:rsidRPr="003C6432" w:rsidRDefault="0068753E" w:rsidP="00CC12E4">
            <w:pPr>
              <w:spacing w:after="0" w:line="240" w:lineRule="auto"/>
              <w:jc w:val="center"/>
              <w:rPr>
                <w:rFonts w:cs="Arial"/>
                <w:sz w:val="18"/>
                <w:szCs w:val="18"/>
              </w:rPr>
            </w:pPr>
            <w:r>
              <w:rPr>
                <w:rFonts w:cs="Arial"/>
                <w:sz w:val="18"/>
                <w:szCs w:val="18"/>
              </w:rPr>
              <w:t xml:space="preserve"> </w:t>
            </w:r>
            <w:r w:rsidRPr="003C6432">
              <w:rPr>
                <w:rFonts w:cs="Arial"/>
                <w:sz w:val="18"/>
                <w:szCs w:val="18"/>
              </w:rPr>
              <w:t>(0.1,2.1)</w:t>
            </w:r>
          </w:p>
        </w:tc>
        <w:tc>
          <w:tcPr>
            <w:tcW w:w="1408" w:type="dxa"/>
            <w:tcBorders>
              <w:top w:val="single" w:sz="4" w:space="0" w:color="auto"/>
              <w:left w:val="nil"/>
              <w:bottom w:val="nil"/>
              <w:right w:val="single" w:sz="4" w:space="0" w:color="auto"/>
            </w:tcBorders>
            <w:shd w:val="clear" w:color="auto" w:fill="auto"/>
            <w:noWrap/>
            <w:vAlign w:val="bottom"/>
            <w:hideMark/>
          </w:tcPr>
          <w:p w:rsidR="0068753E" w:rsidRDefault="0068753E" w:rsidP="00CC12E4">
            <w:pPr>
              <w:spacing w:after="0" w:line="240" w:lineRule="auto"/>
              <w:jc w:val="center"/>
              <w:rPr>
                <w:rFonts w:cs="Arial"/>
                <w:sz w:val="18"/>
                <w:szCs w:val="18"/>
              </w:rPr>
            </w:pPr>
            <w:r w:rsidRPr="003C6432">
              <w:rPr>
                <w:rFonts w:cs="Arial"/>
                <w:sz w:val="18"/>
                <w:szCs w:val="18"/>
              </w:rPr>
              <w:t>3.4 [11.2</w:t>
            </w:r>
            <w:r>
              <w:rPr>
                <w:rFonts w:cs="Arial"/>
                <w:sz w:val="18"/>
                <w:szCs w:val="18"/>
              </w:rPr>
              <w:t>]</w:t>
            </w:r>
          </w:p>
          <w:p w:rsidR="0068753E" w:rsidRPr="003C6432" w:rsidRDefault="0068753E" w:rsidP="00CC12E4">
            <w:pPr>
              <w:spacing w:after="0" w:line="240" w:lineRule="auto"/>
              <w:jc w:val="center"/>
              <w:rPr>
                <w:rFonts w:cs="Arial"/>
                <w:sz w:val="18"/>
                <w:szCs w:val="18"/>
              </w:rPr>
            </w:pPr>
            <w:r>
              <w:rPr>
                <w:rFonts w:cs="Arial"/>
                <w:sz w:val="18"/>
                <w:szCs w:val="18"/>
              </w:rPr>
              <w:t xml:space="preserve"> </w:t>
            </w:r>
            <w:r w:rsidRPr="003C6432">
              <w:rPr>
                <w:rFonts w:cs="Arial"/>
                <w:sz w:val="18"/>
                <w:szCs w:val="18"/>
              </w:rPr>
              <w:t>(2.4,23.7)</w:t>
            </w:r>
          </w:p>
        </w:tc>
      </w:tr>
      <w:tr w:rsidR="0068753E" w:rsidRPr="00447B59" w:rsidTr="00CC12E4">
        <w:tc>
          <w:tcPr>
            <w:tcW w:w="1497" w:type="dxa"/>
            <w:vMerge/>
            <w:tcBorders>
              <w:left w:val="single" w:sz="4" w:space="0" w:color="auto"/>
              <w:bottom w:val="single" w:sz="4" w:space="0" w:color="auto"/>
              <w:right w:val="nil"/>
            </w:tcBorders>
            <w:shd w:val="clear" w:color="auto" w:fill="auto"/>
            <w:noWrap/>
            <w:vAlign w:val="center"/>
            <w:hideMark/>
          </w:tcPr>
          <w:p w:rsidR="0068753E" w:rsidRPr="00447B59" w:rsidRDefault="0068753E" w:rsidP="00CC12E4">
            <w:pPr>
              <w:spacing w:after="0" w:line="240" w:lineRule="auto"/>
              <w:rPr>
                <w:rFonts w:cs="Arial"/>
                <w:sz w:val="18"/>
                <w:szCs w:val="18"/>
              </w:rPr>
            </w:pPr>
          </w:p>
        </w:tc>
        <w:tc>
          <w:tcPr>
            <w:tcW w:w="1622" w:type="dxa"/>
            <w:tcBorders>
              <w:top w:val="nil"/>
              <w:left w:val="nil"/>
              <w:bottom w:val="single" w:sz="4" w:space="0" w:color="auto"/>
              <w:right w:val="nil"/>
            </w:tcBorders>
            <w:shd w:val="clear" w:color="auto" w:fill="auto"/>
            <w:noWrap/>
            <w:vAlign w:val="center"/>
            <w:hideMark/>
          </w:tcPr>
          <w:p w:rsidR="0068753E" w:rsidRPr="00447B59" w:rsidRDefault="0068753E" w:rsidP="00CC12E4">
            <w:pPr>
              <w:spacing w:after="0" w:line="240" w:lineRule="auto"/>
              <w:rPr>
                <w:rFonts w:cs="Arial"/>
                <w:sz w:val="18"/>
                <w:szCs w:val="18"/>
              </w:rPr>
            </w:pPr>
            <w:r w:rsidRPr="00447B59">
              <w:rPr>
                <w:rFonts w:cs="Arial"/>
                <w:sz w:val="18"/>
                <w:szCs w:val="18"/>
              </w:rPr>
              <w:t>surrogacy</w:t>
            </w:r>
          </w:p>
          <w:p w:rsidR="0068753E" w:rsidRPr="00447B59" w:rsidRDefault="0068753E" w:rsidP="00CC12E4">
            <w:pPr>
              <w:spacing w:after="0" w:line="240" w:lineRule="auto"/>
              <w:rPr>
                <w:rFonts w:cs="Arial"/>
                <w:sz w:val="18"/>
                <w:szCs w:val="18"/>
              </w:rPr>
            </w:pPr>
            <w:r w:rsidRPr="00447B59">
              <w:rPr>
                <w:rFonts w:cs="Arial"/>
                <w:sz w:val="18"/>
                <w:szCs w:val="18"/>
              </w:rPr>
              <w:t>(vs. same year)</w:t>
            </w:r>
          </w:p>
        </w:tc>
        <w:tc>
          <w:tcPr>
            <w:tcW w:w="1209" w:type="dxa"/>
            <w:tcBorders>
              <w:top w:val="nil"/>
              <w:left w:val="nil"/>
              <w:bottom w:val="single" w:sz="4" w:space="0" w:color="auto"/>
              <w:right w:val="nil"/>
            </w:tcBorders>
            <w:shd w:val="clear" w:color="auto" w:fill="auto"/>
            <w:noWrap/>
            <w:vAlign w:val="bottom"/>
            <w:hideMark/>
          </w:tcPr>
          <w:p w:rsidR="0068753E" w:rsidRDefault="0068753E" w:rsidP="00CC12E4">
            <w:pPr>
              <w:spacing w:after="0" w:line="240" w:lineRule="auto"/>
              <w:jc w:val="center"/>
              <w:rPr>
                <w:rFonts w:cs="Arial"/>
                <w:sz w:val="18"/>
                <w:szCs w:val="18"/>
              </w:rPr>
            </w:pPr>
            <w:r w:rsidRPr="003C6432">
              <w:rPr>
                <w:rFonts w:cs="Arial"/>
                <w:sz w:val="18"/>
                <w:szCs w:val="18"/>
              </w:rPr>
              <w:t>0.3 [2.9</w:t>
            </w:r>
            <w:r>
              <w:rPr>
                <w:rFonts w:cs="Arial"/>
                <w:sz w:val="18"/>
                <w:szCs w:val="18"/>
              </w:rPr>
              <w:t>]</w:t>
            </w:r>
          </w:p>
          <w:p w:rsidR="0068753E" w:rsidRPr="003C6432" w:rsidRDefault="0068753E" w:rsidP="00CC12E4">
            <w:pPr>
              <w:spacing w:after="0" w:line="240" w:lineRule="auto"/>
              <w:jc w:val="center"/>
              <w:rPr>
                <w:rFonts w:cs="Arial"/>
                <w:sz w:val="18"/>
                <w:szCs w:val="18"/>
              </w:rPr>
            </w:pPr>
            <w:r>
              <w:rPr>
                <w:rFonts w:cs="Arial"/>
                <w:sz w:val="18"/>
                <w:szCs w:val="18"/>
              </w:rPr>
              <w:t xml:space="preserve"> </w:t>
            </w:r>
            <w:r w:rsidRPr="003C6432">
              <w:rPr>
                <w:rFonts w:cs="Arial"/>
                <w:sz w:val="18"/>
                <w:szCs w:val="18"/>
              </w:rPr>
              <w:t>(0.3,6.6)</w:t>
            </w:r>
          </w:p>
        </w:tc>
        <w:tc>
          <w:tcPr>
            <w:tcW w:w="1153" w:type="dxa"/>
            <w:tcBorders>
              <w:top w:val="nil"/>
              <w:left w:val="nil"/>
              <w:bottom w:val="single" w:sz="4" w:space="0" w:color="auto"/>
              <w:right w:val="nil"/>
            </w:tcBorders>
            <w:shd w:val="clear" w:color="auto" w:fill="auto"/>
            <w:noWrap/>
            <w:vAlign w:val="bottom"/>
            <w:hideMark/>
          </w:tcPr>
          <w:p w:rsidR="0068753E" w:rsidRDefault="0068753E" w:rsidP="00CC12E4">
            <w:pPr>
              <w:spacing w:after="0" w:line="240" w:lineRule="auto"/>
              <w:jc w:val="center"/>
              <w:rPr>
                <w:rFonts w:cs="Arial"/>
                <w:sz w:val="18"/>
                <w:szCs w:val="18"/>
              </w:rPr>
            </w:pPr>
            <w:r w:rsidRPr="003C6432">
              <w:rPr>
                <w:rFonts w:cs="Arial"/>
                <w:sz w:val="18"/>
                <w:szCs w:val="18"/>
              </w:rPr>
              <w:t>0.4 [2.9</w:t>
            </w:r>
            <w:r>
              <w:rPr>
                <w:rFonts w:cs="Arial"/>
                <w:sz w:val="18"/>
                <w:szCs w:val="18"/>
              </w:rPr>
              <w:t>]</w:t>
            </w:r>
          </w:p>
          <w:p w:rsidR="0068753E" w:rsidRPr="003C6432" w:rsidRDefault="0068753E" w:rsidP="00CC12E4">
            <w:pPr>
              <w:spacing w:after="0" w:line="240" w:lineRule="auto"/>
              <w:jc w:val="center"/>
              <w:rPr>
                <w:rFonts w:cs="Arial"/>
                <w:sz w:val="18"/>
                <w:szCs w:val="18"/>
              </w:rPr>
            </w:pPr>
            <w:r>
              <w:rPr>
                <w:rFonts w:cs="Arial"/>
                <w:sz w:val="18"/>
                <w:szCs w:val="18"/>
              </w:rPr>
              <w:t xml:space="preserve"> </w:t>
            </w:r>
            <w:r w:rsidRPr="003C6432">
              <w:rPr>
                <w:rFonts w:cs="Arial"/>
                <w:sz w:val="18"/>
                <w:szCs w:val="18"/>
              </w:rPr>
              <w:t>(0.4,6.6)</w:t>
            </w:r>
          </w:p>
        </w:tc>
        <w:tc>
          <w:tcPr>
            <w:tcW w:w="1209" w:type="dxa"/>
            <w:tcBorders>
              <w:top w:val="nil"/>
              <w:left w:val="nil"/>
              <w:bottom w:val="single" w:sz="4" w:space="0" w:color="auto"/>
              <w:right w:val="nil"/>
            </w:tcBorders>
            <w:shd w:val="clear" w:color="auto" w:fill="auto"/>
            <w:noWrap/>
            <w:vAlign w:val="bottom"/>
            <w:hideMark/>
          </w:tcPr>
          <w:p w:rsidR="0068753E" w:rsidRDefault="0068753E" w:rsidP="00CC12E4">
            <w:pPr>
              <w:spacing w:after="0" w:line="240" w:lineRule="auto"/>
              <w:jc w:val="center"/>
              <w:rPr>
                <w:rFonts w:cs="Arial"/>
                <w:sz w:val="18"/>
                <w:szCs w:val="18"/>
              </w:rPr>
            </w:pPr>
            <w:r w:rsidRPr="003C6432">
              <w:rPr>
                <w:rFonts w:cs="Arial"/>
                <w:sz w:val="18"/>
                <w:szCs w:val="18"/>
              </w:rPr>
              <w:t>0.3 [2.9</w:t>
            </w:r>
            <w:r>
              <w:rPr>
                <w:rFonts w:cs="Arial"/>
                <w:sz w:val="18"/>
                <w:szCs w:val="18"/>
              </w:rPr>
              <w:t>]</w:t>
            </w:r>
          </w:p>
          <w:p w:rsidR="0068753E" w:rsidRPr="003C6432" w:rsidRDefault="0068753E" w:rsidP="00CC12E4">
            <w:pPr>
              <w:spacing w:after="0" w:line="240" w:lineRule="auto"/>
              <w:jc w:val="center"/>
              <w:rPr>
                <w:rFonts w:cs="Arial"/>
                <w:sz w:val="18"/>
                <w:szCs w:val="18"/>
              </w:rPr>
            </w:pPr>
            <w:r>
              <w:rPr>
                <w:rFonts w:cs="Arial"/>
                <w:sz w:val="18"/>
                <w:szCs w:val="18"/>
              </w:rPr>
              <w:t xml:space="preserve"> </w:t>
            </w:r>
            <w:r w:rsidRPr="003C6432">
              <w:rPr>
                <w:rFonts w:cs="Arial"/>
                <w:sz w:val="18"/>
                <w:szCs w:val="18"/>
              </w:rPr>
              <w:t>(0.3,6.5)</w:t>
            </w:r>
          </w:p>
        </w:tc>
        <w:tc>
          <w:tcPr>
            <w:tcW w:w="1116" w:type="dxa"/>
            <w:tcBorders>
              <w:top w:val="nil"/>
              <w:left w:val="nil"/>
              <w:bottom w:val="single" w:sz="4" w:space="0" w:color="auto"/>
              <w:right w:val="nil"/>
            </w:tcBorders>
            <w:shd w:val="clear" w:color="auto" w:fill="auto"/>
            <w:noWrap/>
            <w:vAlign w:val="bottom"/>
            <w:hideMark/>
          </w:tcPr>
          <w:p w:rsidR="0068753E" w:rsidRDefault="0068753E" w:rsidP="00CC12E4">
            <w:pPr>
              <w:spacing w:after="0" w:line="240" w:lineRule="auto"/>
              <w:jc w:val="center"/>
              <w:rPr>
                <w:rFonts w:cs="Arial"/>
                <w:sz w:val="18"/>
                <w:szCs w:val="18"/>
              </w:rPr>
            </w:pPr>
            <w:r w:rsidRPr="003C6432">
              <w:rPr>
                <w:rFonts w:cs="Arial"/>
                <w:sz w:val="18"/>
                <w:szCs w:val="18"/>
              </w:rPr>
              <w:t>0.2 [2.9</w:t>
            </w:r>
            <w:r>
              <w:rPr>
                <w:rFonts w:cs="Arial"/>
                <w:sz w:val="18"/>
                <w:szCs w:val="18"/>
              </w:rPr>
              <w:t>]</w:t>
            </w:r>
          </w:p>
          <w:p w:rsidR="0068753E" w:rsidRPr="003C6432" w:rsidRDefault="0068753E" w:rsidP="00CC12E4">
            <w:pPr>
              <w:spacing w:after="0" w:line="240" w:lineRule="auto"/>
              <w:jc w:val="center"/>
              <w:rPr>
                <w:rFonts w:cs="Arial"/>
                <w:sz w:val="18"/>
                <w:szCs w:val="18"/>
              </w:rPr>
            </w:pPr>
            <w:r>
              <w:rPr>
                <w:rFonts w:cs="Arial"/>
                <w:sz w:val="18"/>
                <w:szCs w:val="18"/>
              </w:rPr>
              <w:t xml:space="preserve"> </w:t>
            </w:r>
            <w:r w:rsidRPr="003C6432">
              <w:rPr>
                <w:rFonts w:cs="Arial"/>
                <w:sz w:val="18"/>
                <w:szCs w:val="18"/>
              </w:rPr>
              <w:t>(0.2,6.6)</w:t>
            </w:r>
          </w:p>
        </w:tc>
        <w:tc>
          <w:tcPr>
            <w:tcW w:w="1408" w:type="dxa"/>
            <w:tcBorders>
              <w:top w:val="nil"/>
              <w:left w:val="nil"/>
              <w:bottom w:val="single" w:sz="4" w:space="0" w:color="auto"/>
              <w:right w:val="single" w:sz="4" w:space="0" w:color="auto"/>
            </w:tcBorders>
            <w:shd w:val="clear" w:color="auto" w:fill="auto"/>
            <w:noWrap/>
            <w:vAlign w:val="center"/>
            <w:hideMark/>
          </w:tcPr>
          <w:p w:rsidR="0068753E" w:rsidRPr="003C6432" w:rsidRDefault="0068753E" w:rsidP="00CC12E4">
            <w:pPr>
              <w:spacing w:after="0" w:line="240" w:lineRule="auto"/>
              <w:jc w:val="center"/>
              <w:rPr>
                <w:rFonts w:cs="Arial"/>
                <w:sz w:val="18"/>
                <w:szCs w:val="18"/>
              </w:rPr>
            </w:pPr>
            <w:r w:rsidRPr="003C6432">
              <w:rPr>
                <w:rFonts w:cs="Arial"/>
                <w:sz w:val="18"/>
                <w:szCs w:val="18"/>
              </w:rPr>
              <w:t>--</w:t>
            </w:r>
          </w:p>
        </w:tc>
      </w:tr>
      <w:tr w:rsidR="0068753E" w:rsidRPr="00447B59" w:rsidTr="00CC12E4">
        <w:tc>
          <w:tcPr>
            <w:tcW w:w="1497" w:type="dxa"/>
            <w:vMerge w:val="restart"/>
            <w:tcBorders>
              <w:top w:val="single" w:sz="4" w:space="0" w:color="auto"/>
              <w:left w:val="single" w:sz="4" w:space="0" w:color="auto"/>
              <w:right w:val="nil"/>
            </w:tcBorders>
            <w:shd w:val="clear" w:color="auto" w:fill="auto"/>
            <w:noWrap/>
            <w:vAlign w:val="center"/>
            <w:hideMark/>
          </w:tcPr>
          <w:p w:rsidR="0068753E" w:rsidRPr="00447B59" w:rsidRDefault="0068753E" w:rsidP="00CC12E4">
            <w:pPr>
              <w:spacing w:after="0" w:line="240" w:lineRule="auto"/>
              <w:rPr>
                <w:rFonts w:cs="Arial"/>
                <w:sz w:val="18"/>
                <w:szCs w:val="18"/>
              </w:rPr>
            </w:pPr>
            <w:r w:rsidRPr="00447B59">
              <w:rPr>
                <w:rFonts w:cs="Arial"/>
                <w:sz w:val="18"/>
                <w:szCs w:val="18"/>
              </w:rPr>
              <w:t>Respiratory</w:t>
            </w:r>
          </w:p>
          <w:p w:rsidR="0068753E" w:rsidRPr="00447B59" w:rsidRDefault="0068753E" w:rsidP="00CC12E4">
            <w:pPr>
              <w:spacing w:after="0" w:line="240" w:lineRule="auto"/>
              <w:rPr>
                <w:rFonts w:cs="Arial"/>
                <w:sz w:val="18"/>
                <w:szCs w:val="18"/>
              </w:rPr>
            </w:pPr>
          </w:p>
        </w:tc>
        <w:tc>
          <w:tcPr>
            <w:tcW w:w="1622" w:type="dxa"/>
            <w:tcBorders>
              <w:top w:val="single" w:sz="4" w:space="0" w:color="auto"/>
              <w:left w:val="nil"/>
              <w:bottom w:val="nil"/>
              <w:right w:val="nil"/>
            </w:tcBorders>
            <w:shd w:val="clear" w:color="auto" w:fill="auto"/>
            <w:noWrap/>
            <w:vAlign w:val="center"/>
            <w:hideMark/>
          </w:tcPr>
          <w:p w:rsidR="0068753E" w:rsidRPr="00447B59" w:rsidRDefault="0068753E" w:rsidP="00CC12E4">
            <w:pPr>
              <w:spacing w:after="0" w:line="240" w:lineRule="auto"/>
              <w:rPr>
                <w:rFonts w:cs="Arial"/>
                <w:sz w:val="18"/>
                <w:szCs w:val="18"/>
              </w:rPr>
            </w:pPr>
            <w:r w:rsidRPr="00447B59">
              <w:rPr>
                <w:rFonts w:cs="Arial"/>
                <w:sz w:val="18"/>
                <w:szCs w:val="18"/>
              </w:rPr>
              <w:t>mortality effects (vs. year 1)</w:t>
            </w:r>
          </w:p>
        </w:tc>
        <w:tc>
          <w:tcPr>
            <w:tcW w:w="1209" w:type="dxa"/>
            <w:tcBorders>
              <w:top w:val="single" w:sz="4" w:space="0" w:color="auto"/>
              <w:left w:val="nil"/>
              <w:bottom w:val="nil"/>
              <w:right w:val="nil"/>
            </w:tcBorders>
            <w:shd w:val="clear" w:color="auto" w:fill="BFBFBF" w:themeFill="background1" w:themeFillShade="BF"/>
            <w:noWrap/>
            <w:vAlign w:val="center"/>
            <w:hideMark/>
          </w:tcPr>
          <w:p w:rsidR="0068753E" w:rsidRPr="003C6432" w:rsidRDefault="0068753E" w:rsidP="00CC12E4">
            <w:pPr>
              <w:spacing w:after="0" w:line="240" w:lineRule="auto"/>
              <w:jc w:val="center"/>
              <w:rPr>
                <w:rFonts w:cs="Arial"/>
                <w:sz w:val="18"/>
                <w:szCs w:val="18"/>
              </w:rPr>
            </w:pPr>
            <w:r w:rsidRPr="003C6432">
              <w:rPr>
                <w:rFonts w:cs="Arial"/>
                <w:sz w:val="18"/>
                <w:szCs w:val="18"/>
              </w:rPr>
              <w:t>estimable</w:t>
            </w:r>
            <w:r>
              <w:rPr>
                <w:rFonts w:cs="Arial"/>
                <w:sz w:val="18"/>
                <w:szCs w:val="18"/>
              </w:rPr>
              <w:t xml:space="preserve"> from data</w:t>
            </w:r>
          </w:p>
        </w:tc>
        <w:tc>
          <w:tcPr>
            <w:tcW w:w="1153" w:type="dxa"/>
            <w:tcBorders>
              <w:top w:val="single" w:sz="4" w:space="0" w:color="auto"/>
              <w:left w:val="nil"/>
              <w:bottom w:val="nil"/>
              <w:right w:val="nil"/>
            </w:tcBorders>
            <w:shd w:val="clear" w:color="auto" w:fill="auto"/>
            <w:noWrap/>
            <w:vAlign w:val="bottom"/>
            <w:hideMark/>
          </w:tcPr>
          <w:p w:rsidR="0068753E" w:rsidRDefault="0068753E" w:rsidP="00CC12E4">
            <w:pPr>
              <w:spacing w:after="0" w:line="240" w:lineRule="auto"/>
              <w:jc w:val="center"/>
              <w:rPr>
                <w:rFonts w:cs="Arial"/>
                <w:sz w:val="18"/>
                <w:szCs w:val="18"/>
              </w:rPr>
            </w:pPr>
            <w:r w:rsidRPr="003C6432">
              <w:rPr>
                <w:rFonts w:cs="Arial"/>
                <w:sz w:val="18"/>
                <w:szCs w:val="18"/>
              </w:rPr>
              <w:t>0.1 [1.5</w:t>
            </w:r>
            <w:r>
              <w:rPr>
                <w:rFonts w:cs="Arial"/>
                <w:sz w:val="18"/>
                <w:szCs w:val="18"/>
              </w:rPr>
              <w:t>]</w:t>
            </w:r>
          </w:p>
          <w:p w:rsidR="0068753E" w:rsidRPr="003C6432" w:rsidRDefault="0068753E" w:rsidP="00CC12E4">
            <w:pPr>
              <w:spacing w:after="0" w:line="240" w:lineRule="auto"/>
              <w:jc w:val="center"/>
              <w:rPr>
                <w:rFonts w:cs="Arial"/>
                <w:sz w:val="18"/>
                <w:szCs w:val="18"/>
              </w:rPr>
            </w:pPr>
            <w:r>
              <w:rPr>
                <w:rFonts w:cs="Arial"/>
                <w:sz w:val="18"/>
                <w:szCs w:val="18"/>
              </w:rPr>
              <w:t xml:space="preserve"> </w:t>
            </w:r>
            <w:r w:rsidRPr="003C6432">
              <w:rPr>
                <w:rFonts w:cs="Arial"/>
                <w:sz w:val="18"/>
                <w:szCs w:val="18"/>
              </w:rPr>
              <w:t>(0.1,3.4)</w:t>
            </w:r>
          </w:p>
        </w:tc>
        <w:tc>
          <w:tcPr>
            <w:tcW w:w="1209" w:type="dxa"/>
            <w:tcBorders>
              <w:top w:val="single" w:sz="4" w:space="0" w:color="auto"/>
              <w:left w:val="nil"/>
              <w:bottom w:val="nil"/>
              <w:right w:val="nil"/>
            </w:tcBorders>
            <w:shd w:val="clear" w:color="auto" w:fill="auto"/>
            <w:noWrap/>
            <w:vAlign w:val="bottom"/>
            <w:hideMark/>
          </w:tcPr>
          <w:p w:rsidR="0068753E" w:rsidRDefault="0068753E" w:rsidP="00CC12E4">
            <w:pPr>
              <w:spacing w:after="0" w:line="240" w:lineRule="auto"/>
              <w:jc w:val="center"/>
              <w:rPr>
                <w:rFonts w:cs="Arial"/>
                <w:sz w:val="18"/>
                <w:szCs w:val="18"/>
              </w:rPr>
            </w:pPr>
            <w:r w:rsidRPr="003C6432">
              <w:rPr>
                <w:rFonts w:cs="Arial"/>
                <w:sz w:val="18"/>
                <w:szCs w:val="18"/>
              </w:rPr>
              <w:t>0.1 [0.7</w:t>
            </w:r>
            <w:r>
              <w:rPr>
                <w:rFonts w:cs="Arial"/>
                <w:sz w:val="18"/>
                <w:szCs w:val="18"/>
              </w:rPr>
              <w:t>]</w:t>
            </w:r>
          </w:p>
          <w:p w:rsidR="0068753E" w:rsidRPr="003C6432" w:rsidRDefault="0068753E" w:rsidP="00CC12E4">
            <w:pPr>
              <w:spacing w:after="0" w:line="240" w:lineRule="auto"/>
              <w:jc w:val="center"/>
              <w:rPr>
                <w:rFonts w:cs="Arial"/>
                <w:sz w:val="18"/>
                <w:szCs w:val="18"/>
              </w:rPr>
            </w:pPr>
            <w:r>
              <w:rPr>
                <w:rFonts w:cs="Arial"/>
                <w:sz w:val="18"/>
                <w:szCs w:val="18"/>
              </w:rPr>
              <w:t xml:space="preserve"> </w:t>
            </w:r>
            <w:r w:rsidRPr="003C6432">
              <w:rPr>
                <w:rFonts w:cs="Arial"/>
                <w:sz w:val="18"/>
                <w:szCs w:val="18"/>
              </w:rPr>
              <w:t>(0.1,1.6)</w:t>
            </w:r>
          </w:p>
        </w:tc>
        <w:tc>
          <w:tcPr>
            <w:tcW w:w="1116" w:type="dxa"/>
            <w:tcBorders>
              <w:top w:val="single" w:sz="4" w:space="0" w:color="auto"/>
              <w:left w:val="nil"/>
              <w:bottom w:val="nil"/>
              <w:right w:val="nil"/>
            </w:tcBorders>
            <w:shd w:val="clear" w:color="auto" w:fill="auto"/>
            <w:noWrap/>
            <w:vAlign w:val="bottom"/>
            <w:hideMark/>
          </w:tcPr>
          <w:p w:rsidR="0068753E" w:rsidRDefault="0068753E" w:rsidP="00CC12E4">
            <w:pPr>
              <w:spacing w:after="0" w:line="240" w:lineRule="auto"/>
              <w:jc w:val="center"/>
              <w:rPr>
                <w:rFonts w:cs="Arial"/>
                <w:sz w:val="18"/>
                <w:szCs w:val="18"/>
              </w:rPr>
            </w:pPr>
            <w:r w:rsidRPr="003C6432">
              <w:rPr>
                <w:rFonts w:cs="Arial"/>
                <w:sz w:val="18"/>
                <w:szCs w:val="18"/>
              </w:rPr>
              <w:t>0 [0.6</w:t>
            </w:r>
            <w:r>
              <w:rPr>
                <w:rFonts w:cs="Arial"/>
                <w:sz w:val="18"/>
                <w:szCs w:val="18"/>
              </w:rPr>
              <w:t>]</w:t>
            </w:r>
          </w:p>
          <w:p w:rsidR="0068753E" w:rsidRPr="003C6432" w:rsidRDefault="0068753E" w:rsidP="00CC12E4">
            <w:pPr>
              <w:spacing w:after="0" w:line="240" w:lineRule="auto"/>
              <w:jc w:val="center"/>
              <w:rPr>
                <w:rFonts w:cs="Arial"/>
                <w:sz w:val="18"/>
                <w:szCs w:val="18"/>
              </w:rPr>
            </w:pPr>
            <w:r>
              <w:rPr>
                <w:rFonts w:cs="Arial"/>
                <w:sz w:val="18"/>
                <w:szCs w:val="18"/>
              </w:rPr>
              <w:t xml:space="preserve"> </w:t>
            </w:r>
            <w:r w:rsidRPr="003C6432">
              <w:rPr>
                <w:rFonts w:cs="Arial"/>
                <w:sz w:val="18"/>
                <w:szCs w:val="18"/>
              </w:rPr>
              <w:t>(0,1.5)</w:t>
            </w:r>
          </w:p>
        </w:tc>
        <w:tc>
          <w:tcPr>
            <w:tcW w:w="1408" w:type="dxa"/>
            <w:tcBorders>
              <w:top w:val="single" w:sz="4" w:space="0" w:color="auto"/>
              <w:left w:val="nil"/>
              <w:bottom w:val="nil"/>
              <w:right w:val="single" w:sz="4" w:space="0" w:color="auto"/>
            </w:tcBorders>
            <w:shd w:val="clear" w:color="auto" w:fill="auto"/>
            <w:noWrap/>
            <w:vAlign w:val="bottom"/>
            <w:hideMark/>
          </w:tcPr>
          <w:p w:rsidR="0068753E" w:rsidRDefault="0068753E" w:rsidP="00CC12E4">
            <w:pPr>
              <w:spacing w:after="0" w:line="240" w:lineRule="auto"/>
              <w:jc w:val="center"/>
              <w:rPr>
                <w:rFonts w:cs="Arial"/>
                <w:sz w:val="18"/>
                <w:szCs w:val="18"/>
              </w:rPr>
            </w:pPr>
            <w:r w:rsidRPr="003C6432">
              <w:rPr>
                <w:rFonts w:cs="Arial"/>
                <w:sz w:val="18"/>
                <w:szCs w:val="18"/>
              </w:rPr>
              <w:t>1.3 [8.9</w:t>
            </w:r>
            <w:r>
              <w:rPr>
                <w:rFonts w:cs="Arial"/>
                <w:sz w:val="18"/>
                <w:szCs w:val="18"/>
              </w:rPr>
              <w:t>]</w:t>
            </w:r>
          </w:p>
          <w:p w:rsidR="0068753E" w:rsidRPr="003C6432" w:rsidRDefault="0068753E" w:rsidP="00CC12E4">
            <w:pPr>
              <w:spacing w:after="0" w:line="240" w:lineRule="auto"/>
              <w:jc w:val="center"/>
              <w:rPr>
                <w:rFonts w:cs="Arial"/>
                <w:sz w:val="18"/>
                <w:szCs w:val="18"/>
              </w:rPr>
            </w:pPr>
            <w:r>
              <w:rPr>
                <w:rFonts w:cs="Arial"/>
                <w:sz w:val="18"/>
                <w:szCs w:val="18"/>
              </w:rPr>
              <w:t xml:space="preserve"> </w:t>
            </w:r>
            <w:r w:rsidRPr="003C6432">
              <w:rPr>
                <w:rFonts w:cs="Arial"/>
                <w:sz w:val="18"/>
                <w:szCs w:val="18"/>
              </w:rPr>
              <w:t>(1.1,20.1)</w:t>
            </w:r>
          </w:p>
        </w:tc>
      </w:tr>
      <w:tr w:rsidR="0068753E" w:rsidRPr="00447B59" w:rsidTr="00CC12E4">
        <w:tc>
          <w:tcPr>
            <w:tcW w:w="1497" w:type="dxa"/>
            <w:vMerge/>
            <w:tcBorders>
              <w:left w:val="single" w:sz="4" w:space="0" w:color="auto"/>
              <w:bottom w:val="single" w:sz="4" w:space="0" w:color="auto"/>
              <w:right w:val="nil"/>
            </w:tcBorders>
            <w:shd w:val="clear" w:color="auto" w:fill="auto"/>
            <w:noWrap/>
            <w:vAlign w:val="center"/>
          </w:tcPr>
          <w:p w:rsidR="0068753E" w:rsidRPr="00447B59" w:rsidRDefault="0068753E" w:rsidP="00CC12E4">
            <w:pPr>
              <w:spacing w:after="0" w:line="240" w:lineRule="auto"/>
              <w:rPr>
                <w:rFonts w:cs="Arial"/>
                <w:sz w:val="18"/>
                <w:szCs w:val="18"/>
              </w:rPr>
            </w:pPr>
          </w:p>
        </w:tc>
        <w:tc>
          <w:tcPr>
            <w:tcW w:w="1622" w:type="dxa"/>
            <w:tcBorders>
              <w:top w:val="nil"/>
              <w:left w:val="nil"/>
              <w:bottom w:val="single" w:sz="4" w:space="0" w:color="auto"/>
              <w:right w:val="nil"/>
            </w:tcBorders>
            <w:shd w:val="clear" w:color="auto" w:fill="auto"/>
            <w:noWrap/>
            <w:vAlign w:val="center"/>
            <w:hideMark/>
          </w:tcPr>
          <w:p w:rsidR="0068753E" w:rsidRPr="00447B59" w:rsidRDefault="0068753E" w:rsidP="00CC12E4">
            <w:pPr>
              <w:spacing w:after="0" w:line="240" w:lineRule="auto"/>
              <w:rPr>
                <w:rFonts w:cs="Arial"/>
                <w:sz w:val="18"/>
                <w:szCs w:val="18"/>
              </w:rPr>
            </w:pPr>
            <w:r w:rsidRPr="00447B59">
              <w:rPr>
                <w:rFonts w:cs="Arial"/>
                <w:sz w:val="18"/>
                <w:szCs w:val="18"/>
              </w:rPr>
              <w:t>surrogacy</w:t>
            </w:r>
          </w:p>
          <w:p w:rsidR="0068753E" w:rsidRPr="00447B59" w:rsidRDefault="0068753E" w:rsidP="00CC12E4">
            <w:pPr>
              <w:spacing w:after="0" w:line="240" w:lineRule="auto"/>
              <w:rPr>
                <w:rFonts w:cs="Arial"/>
                <w:sz w:val="18"/>
                <w:szCs w:val="18"/>
              </w:rPr>
            </w:pPr>
            <w:r w:rsidRPr="00447B59">
              <w:rPr>
                <w:rFonts w:cs="Arial"/>
                <w:sz w:val="18"/>
                <w:szCs w:val="18"/>
              </w:rPr>
              <w:t>(vs. same year)</w:t>
            </w:r>
          </w:p>
        </w:tc>
        <w:tc>
          <w:tcPr>
            <w:tcW w:w="1209" w:type="dxa"/>
            <w:tcBorders>
              <w:top w:val="nil"/>
              <w:left w:val="nil"/>
              <w:bottom w:val="single" w:sz="4" w:space="0" w:color="auto"/>
              <w:right w:val="nil"/>
            </w:tcBorders>
            <w:shd w:val="clear" w:color="auto" w:fill="auto"/>
            <w:noWrap/>
            <w:vAlign w:val="bottom"/>
            <w:hideMark/>
          </w:tcPr>
          <w:p w:rsidR="0068753E" w:rsidRDefault="0068753E" w:rsidP="00CC12E4">
            <w:pPr>
              <w:spacing w:after="0" w:line="240" w:lineRule="auto"/>
              <w:jc w:val="center"/>
              <w:rPr>
                <w:rFonts w:cs="Arial"/>
                <w:sz w:val="18"/>
                <w:szCs w:val="18"/>
              </w:rPr>
            </w:pPr>
            <w:r w:rsidRPr="003C6432">
              <w:rPr>
                <w:rFonts w:cs="Arial"/>
                <w:sz w:val="18"/>
                <w:szCs w:val="18"/>
              </w:rPr>
              <w:t>0.3 [3.8</w:t>
            </w:r>
            <w:r>
              <w:rPr>
                <w:rFonts w:cs="Arial"/>
                <w:sz w:val="18"/>
                <w:szCs w:val="18"/>
              </w:rPr>
              <w:t>]</w:t>
            </w:r>
          </w:p>
          <w:p w:rsidR="0068753E" w:rsidRPr="003C6432" w:rsidRDefault="0068753E" w:rsidP="00CC12E4">
            <w:pPr>
              <w:spacing w:after="0" w:line="240" w:lineRule="auto"/>
              <w:jc w:val="center"/>
              <w:rPr>
                <w:rFonts w:cs="Arial"/>
                <w:sz w:val="18"/>
                <w:szCs w:val="18"/>
              </w:rPr>
            </w:pPr>
            <w:r>
              <w:rPr>
                <w:rFonts w:cs="Arial"/>
                <w:sz w:val="18"/>
                <w:szCs w:val="18"/>
              </w:rPr>
              <w:t xml:space="preserve"> </w:t>
            </w:r>
            <w:r w:rsidRPr="003C6432">
              <w:rPr>
                <w:rFonts w:cs="Arial"/>
                <w:sz w:val="18"/>
                <w:szCs w:val="18"/>
              </w:rPr>
              <w:t>(0.3,8.7)</w:t>
            </w:r>
          </w:p>
        </w:tc>
        <w:tc>
          <w:tcPr>
            <w:tcW w:w="1153" w:type="dxa"/>
            <w:tcBorders>
              <w:top w:val="nil"/>
              <w:left w:val="nil"/>
              <w:bottom w:val="single" w:sz="4" w:space="0" w:color="auto"/>
              <w:right w:val="nil"/>
            </w:tcBorders>
            <w:shd w:val="clear" w:color="auto" w:fill="auto"/>
            <w:noWrap/>
            <w:vAlign w:val="bottom"/>
            <w:hideMark/>
          </w:tcPr>
          <w:p w:rsidR="0068753E" w:rsidRDefault="0068753E" w:rsidP="00CC12E4">
            <w:pPr>
              <w:spacing w:after="0" w:line="240" w:lineRule="auto"/>
              <w:jc w:val="center"/>
              <w:rPr>
                <w:rFonts w:cs="Arial"/>
                <w:sz w:val="18"/>
                <w:szCs w:val="18"/>
              </w:rPr>
            </w:pPr>
            <w:r w:rsidRPr="003C6432">
              <w:rPr>
                <w:rFonts w:cs="Arial"/>
                <w:sz w:val="18"/>
                <w:szCs w:val="18"/>
              </w:rPr>
              <w:t>0.2 [3.9</w:t>
            </w:r>
            <w:r>
              <w:rPr>
                <w:rFonts w:cs="Arial"/>
                <w:sz w:val="18"/>
                <w:szCs w:val="18"/>
              </w:rPr>
              <w:t>]</w:t>
            </w:r>
          </w:p>
          <w:p w:rsidR="0068753E" w:rsidRPr="003C6432" w:rsidRDefault="0068753E" w:rsidP="00CC12E4">
            <w:pPr>
              <w:spacing w:after="0" w:line="240" w:lineRule="auto"/>
              <w:jc w:val="center"/>
              <w:rPr>
                <w:rFonts w:cs="Arial"/>
                <w:sz w:val="18"/>
                <w:szCs w:val="18"/>
              </w:rPr>
            </w:pPr>
            <w:r>
              <w:rPr>
                <w:rFonts w:cs="Arial"/>
                <w:sz w:val="18"/>
                <w:szCs w:val="18"/>
              </w:rPr>
              <w:t xml:space="preserve"> </w:t>
            </w:r>
            <w:r w:rsidRPr="003C6432">
              <w:rPr>
                <w:rFonts w:cs="Arial"/>
                <w:sz w:val="18"/>
                <w:szCs w:val="18"/>
              </w:rPr>
              <w:t>(0.3,8.8)</w:t>
            </w:r>
          </w:p>
        </w:tc>
        <w:tc>
          <w:tcPr>
            <w:tcW w:w="1209" w:type="dxa"/>
            <w:tcBorders>
              <w:top w:val="nil"/>
              <w:left w:val="nil"/>
              <w:bottom w:val="single" w:sz="4" w:space="0" w:color="auto"/>
              <w:right w:val="nil"/>
            </w:tcBorders>
            <w:shd w:val="clear" w:color="auto" w:fill="auto"/>
            <w:noWrap/>
            <w:vAlign w:val="bottom"/>
            <w:hideMark/>
          </w:tcPr>
          <w:p w:rsidR="0068753E" w:rsidRDefault="0068753E" w:rsidP="00CC12E4">
            <w:pPr>
              <w:spacing w:after="0" w:line="240" w:lineRule="auto"/>
              <w:jc w:val="center"/>
              <w:rPr>
                <w:rFonts w:cs="Arial"/>
                <w:sz w:val="18"/>
                <w:szCs w:val="18"/>
              </w:rPr>
            </w:pPr>
            <w:r w:rsidRPr="003C6432">
              <w:rPr>
                <w:rFonts w:cs="Arial"/>
                <w:sz w:val="18"/>
                <w:szCs w:val="18"/>
              </w:rPr>
              <w:t>0.1 [3.4</w:t>
            </w:r>
            <w:r>
              <w:rPr>
                <w:rFonts w:cs="Arial"/>
                <w:sz w:val="18"/>
                <w:szCs w:val="18"/>
              </w:rPr>
              <w:t>]</w:t>
            </w:r>
          </w:p>
          <w:p w:rsidR="0068753E" w:rsidRPr="003C6432" w:rsidRDefault="0068753E" w:rsidP="00CC12E4">
            <w:pPr>
              <w:spacing w:after="0" w:line="240" w:lineRule="auto"/>
              <w:jc w:val="center"/>
              <w:rPr>
                <w:rFonts w:cs="Arial"/>
                <w:sz w:val="18"/>
                <w:szCs w:val="18"/>
              </w:rPr>
            </w:pPr>
            <w:r>
              <w:rPr>
                <w:rFonts w:cs="Arial"/>
                <w:sz w:val="18"/>
                <w:szCs w:val="18"/>
              </w:rPr>
              <w:t xml:space="preserve"> </w:t>
            </w:r>
            <w:r w:rsidRPr="003C6432">
              <w:rPr>
                <w:rFonts w:cs="Arial"/>
                <w:sz w:val="18"/>
                <w:szCs w:val="18"/>
              </w:rPr>
              <w:t>(0.2,7.5)</w:t>
            </w:r>
          </w:p>
        </w:tc>
        <w:tc>
          <w:tcPr>
            <w:tcW w:w="1116" w:type="dxa"/>
            <w:tcBorders>
              <w:top w:val="nil"/>
              <w:left w:val="nil"/>
              <w:bottom w:val="single" w:sz="4" w:space="0" w:color="auto"/>
              <w:right w:val="nil"/>
            </w:tcBorders>
            <w:shd w:val="clear" w:color="auto" w:fill="auto"/>
            <w:noWrap/>
            <w:vAlign w:val="bottom"/>
            <w:hideMark/>
          </w:tcPr>
          <w:p w:rsidR="0068753E" w:rsidRDefault="0068753E" w:rsidP="00CC12E4">
            <w:pPr>
              <w:spacing w:after="0" w:line="240" w:lineRule="auto"/>
              <w:jc w:val="center"/>
              <w:rPr>
                <w:rFonts w:cs="Arial"/>
                <w:sz w:val="18"/>
                <w:szCs w:val="18"/>
              </w:rPr>
            </w:pPr>
            <w:r w:rsidRPr="003C6432">
              <w:rPr>
                <w:rFonts w:cs="Arial"/>
                <w:sz w:val="18"/>
                <w:szCs w:val="18"/>
              </w:rPr>
              <w:t>0.1 [3.4</w:t>
            </w:r>
            <w:r>
              <w:rPr>
                <w:rFonts w:cs="Arial"/>
                <w:sz w:val="18"/>
                <w:szCs w:val="18"/>
              </w:rPr>
              <w:t>]</w:t>
            </w:r>
          </w:p>
          <w:p w:rsidR="0068753E" w:rsidRPr="003C6432" w:rsidRDefault="0068753E" w:rsidP="00CC12E4">
            <w:pPr>
              <w:spacing w:after="0" w:line="240" w:lineRule="auto"/>
              <w:jc w:val="center"/>
              <w:rPr>
                <w:rFonts w:cs="Arial"/>
                <w:sz w:val="18"/>
                <w:szCs w:val="18"/>
              </w:rPr>
            </w:pPr>
            <w:r>
              <w:rPr>
                <w:rFonts w:cs="Arial"/>
                <w:sz w:val="18"/>
                <w:szCs w:val="18"/>
              </w:rPr>
              <w:t xml:space="preserve"> </w:t>
            </w:r>
            <w:r w:rsidRPr="003C6432">
              <w:rPr>
                <w:rFonts w:cs="Arial"/>
                <w:sz w:val="18"/>
                <w:szCs w:val="18"/>
              </w:rPr>
              <w:t>(0.1,7.4)</w:t>
            </w:r>
          </w:p>
        </w:tc>
        <w:tc>
          <w:tcPr>
            <w:tcW w:w="1408" w:type="dxa"/>
            <w:tcBorders>
              <w:top w:val="nil"/>
              <w:left w:val="nil"/>
              <w:bottom w:val="single" w:sz="4" w:space="0" w:color="auto"/>
              <w:right w:val="single" w:sz="4" w:space="0" w:color="auto"/>
            </w:tcBorders>
            <w:shd w:val="clear" w:color="auto" w:fill="auto"/>
            <w:noWrap/>
            <w:vAlign w:val="center"/>
            <w:hideMark/>
          </w:tcPr>
          <w:p w:rsidR="0068753E" w:rsidRPr="003C6432" w:rsidRDefault="0068753E" w:rsidP="00CC12E4">
            <w:pPr>
              <w:spacing w:after="0" w:line="240" w:lineRule="auto"/>
              <w:jc w:val="center"/>
              <w:rPr>
                <w:rFonts w:cs="Arial"/>
                <w:sz w:val="18"/>
                <w:szCs w:val="18"/>
              </w:rPr>
            </w:pPr>
            <w:r w:rsidRPr="003C6432">
              <w:rPr>
                <w:rFonts w:cs="Arial"/>
                <w:sz w:val="18"/>
                <w:szCs w:val="18"/>
              </w:rPr>
              <w:t>--</w:t>
            </w:r>
          </w:p>
        </w:tc>
      </w:tr>
      <w:tr w:rsidR="0068753E" w:rsidRPr="00447B59" w:rsidTr="00CC12E4">
        <w:tc>
          <w:tcPr>
            <w:tcW w:w="1497" w:type="dxa"/>
            <w:vMerge w:val="restart"/>
            <w:tcBorders>
              <w:top w:val="single" w:sz="4" w:space="0" w:color="auto"/>
              <w:left w:val="single" w:sz="4" w:space="0" w:color="auto"/>
              <w:right w:val="nil"/>
            </w:tcBorders>
            <w:shd w:val="clear" w:color="auto" w:fill="auto"/>
            <w:noWrap/>
            <w:vAlign w:val="center"/>
          </w:tcPr>
          <w:p w:rsidR="0068753E" w:rsidRPr="00447B59" w:rsidRDefault="0068753E" w:rsidP="00CC12E4">
            <w:pPr>
              <w:spacing w:after="0" w:line="240" w:lineRule="auto"/>
              <w:rPr>
                <w:rFonts w:cs="Arial"/>
                <w:sz w:val="18"/>
                <w:szCs w:val="18"/>
              </w:rPr>
            </w:pPr>
            <w:r w:rsidRPr="00447B59">
              <w:rPr>
                <w:rFonts w:cs="Arial"/>
                <w:sz w:val="18"/>
                <w:szCs w:val="18"/>
              </w:rPr>
              <w:t>Gastrointestinal</w:t>
            </w:r>
          </w:p>
        </w:tc>
        <w:tc>
          <w:tcPr>
            <w:tcW w:w="1622" w:type="dxa"/>
            <w:tcBorders>
              <w:top w:val="single" w:sz="4" w:space="0" w:color="auto"/>
              <w:left w:val="nil"/>
              <w:bottom w:val="nil"/>
              <w:right w:val="nil"/>
            </w:tcBorders>
            <w:shd w:val="clear" w:color="auto" w:fill="auto"/>
            <w:noWrap/>
            <w:vAlign w:val="center"/>
            <w:hideMark/>
          </w:tcPr>
          <w:p w:rsidR="0068753E" w:rsidRPr="00447B59" w:rsidRDefault="0068753E" w:rsidP="00CC12E4">
            <w:pPr>
              <w:spacing w:after="0" w:line="240" w:lineRule="auto"/>
              <w:rPr>
                <w:rFonts w:cs="Arial"/>
                <w:sz w:val="18"/>
                <w:szCs w:val="18"/>
              </w:rPr>
            </w:pPr>
            <w:r w:rsidRPr="00447B59">
              <w:rPr>
                <w:rFonts w:cs="Arial"/>
                <w:sz w:val="18"/>
                <w:szCs w:val="18"/>
              </w:rPr>
              <w:t>mortality effects (vs. year 1)</w:t>
            </w:r>
          </w:p>
        </w:tc>
        <w:tc>
          <w:tcPr>
            <w:tcW w:w="1209" w:type="dxa"/>
            <w:tcBorders>
              <w:top w:val="single" w:sz="4" w:space="0" w:color="auto"/>
              <w:left w:val="nil"/>
              <w:bottom w:val="nil"/>
              <w:right w:val="nil"/>
            </w:tcBorders>
            <w:shd w:val="clear" w:color="auto" w:fill="BFBFBF" w:themeFill="background1" w:themeFillShade="BF"/>
            <w:noWrap/>
            <w:vAlign w:val="center"/>
            <w:hideMark/>
          </w:tcPr>
          <w:p w:rsidR="0068753E" w:rsidRPr="003C6432" w:rsidRDefault="0068753E" w:rsidP="00CC12E4">
            <w:pPr>
              <w:spacing w:after="0" w:line="240" w:lineRule="auto"/>
              <w:jc w:val="center"/>
              <w:rPr>
                <w:rFonts w:cs="Arial"/>
                <w:sz w:val="18"/>
                <w:szCs w:val="18"/>
              </w:rPr>
            </w:pPr>
            <w:r w:rsidRPr="003C6432">
              <w:rPr>
                <w:rFonts w:cs="Arial"/>
                <w:sz w:val="18"/>
                <w:szCs w:val="18"/>
              </w:rPr>
              <w:t>estimable</w:t>
            </w:r>
            <w:r>
              <w:rPr>
                <w:rFonts w:cs="Arial"/>
                <w:sz w:val="18"/>
                <w:szCs w:val="18"/>
              </w:rPr>
              <w:t xml:space="preserve"> from data</w:t>
            </w:r>
          </w:p>
        </w:tc>
        <w:tc>
          <w:tcPr>
            <w:tcW w:w="1153" w:type="dxa"/>
            <w:tcBorders>
              <w:top w:val="single" w:sz="4" w:space="0" w:color="auto"/>
              <w:left w:val="nil"/>
              <w:bottom w:val="nil"/>
              <w:right w:val="nil"/>
            </w:tcBorders>
            <w:shd w:val="clear" w:color="auto" w:fill="auto"/>
            <w:noWrap/>
            <w:vAlign w:val="bottom"/>
            <w:hideMark/>
          </w:tcPr>
          <w:p w:rsidR="0068753E" w:rsidRDefault="0068753E" w:rsidP="00CC12E4">
            <w:pPr>
              <w:spacing w:after="0" w:line="240" w:lineRule="auto"/>
              <w:jc w:val="center"/>
              <w:rPr>
                <w:rFonts w:cs="Arial"/>
                <w:sz w:val="18"/>
                <w:szCs w:val="18"/>
              </w:rPr>
            </w:pPr>
            <w:r w:rsidRPr="003C6432">
              <w:rPr>
                <w:rFonts w:cs="Arial"/>
                <w:sz w:val="18"/>
                <w:szCs w:val="18"/>
              </w:rPr>
              <w:t>0.1 [1.7</w:t>
            </w:r>
            <w:r>
              <w:rPr>
                <w:rFonts w:cs="Arial"/>
                <w:sz w:val="18"/>
                <w:szCs w:val="18"/>
              </w:rPr>
              <w:t>]</w:t>
            </w:r>
          </w:p>
          <w:p w:rsidR="0068753E" w:rsidRPr="003C6432" w:rsidRDefault="0068753E" w:rsidP="00CC12E4">
            <w:pPr>
              <w:spacing w:after="0" w:line="240" w:lineRule="auto"/>
              <w:jc w:val="center"/>
              <w:rPr>
                <w:rFonts w:cs="Arial"/>
                <w:sz w:val="18"/>
                <w:szCs w:val="18"/>
              </w:rPr>
            </w:pPr>
            <w:r>
              <w:rPr>
                <w:rFonts w:cs="Arial"/>
                <w:sz w:val="18"/>
                <w:szCs w:val="18"/>
              </w:rPr>
              <w:t xml:space="preserve"> </w:t>
            </w:r>
            <w:r w:rsidRPr="003C6432">
              <w:rPr>
                <w:rFonts w:cs="Arial"/>
                <w:sz w:val="18"/>
                <w:szCs w:val="18"/>
              </w:rPr>
              <w:t>(0.1,3.8)</w:t>
            </w:r>
          </w:p>
        </w:tc>
        <w:tc>
          <w:tcPr>
            <w:tcW w:w="1209" w:type="dxa"/>
            <w:tcBorders>
              <w:top w:val="single" w:sz="4" w:space="0" w:color="auto"/>
              <w:left w:val="nil"/>
              <w:bottom w:val="nil"/>
              <w:right w:val="nil"/>
            </w:tcBorders>
            <w:shd w:val="clear" w:color="auto" w:fill="auto"/>
            <w:noWrap/>
            <w:vAlign w:val="bottom"/>
            <w:hideMark/>
          </w:tcPr>
          <w:p w:rsidR="0068753E" w:rsidRDefault="0068753E" w:rsidP="00CC12E4">
            <w:pPr>
              <w:spacing w:after="0" w:line="240" w:lineRule="auto"/>
              <w:jc w:val="center"/>
              <w:rPr>
                <w:rFonts w:cs="Arial"/>
                <w:sz w:val="18"/>
                <w:szCs w:val="18"/>
              </w:rPr>
            </w:pPr>
            <w:r w:rsidRPr="003C6432">
              <w:rPr>
                <w:rFonts w:cs="Arial"/>
                <w:sz w:val="18"/>
                <w:szCs w:val="18"/>
              </w:rPr>
              <w:t>0 [1.1</w:t>
            </w:r>
            <w:r>
              <w:rPr>
                <w:rFonts w:cs="Arial"/>
                <w:sz w:val="18"/>
                <w:szCs w:val="18"/>
              </w:rPr>
              <w:t>]</w:t>
            </w:r>
          </w:p>
          <w:p w:rsidR="0068753E" w:rsidRPr="003C6432" w:rsidRDefault="0068753E" w:rsidP="00CC12E4">
            <w:pPr>
              <w:spacing w:after="0" w:line="240" w:lineRule="auto"/>
              <w:jc w:val="center"/>
              <w:rPr>
                <w:rFonts w:cs="Arial"/>
                <w:sz w:val="18"/>
                <w:szCs w:val="18"/>
              </w:rPr>
            </w:pPr>
            <w:r>
              <w:rPr>
                <w:rFonts w:cs="Arial"/>
                <w:sz w:val="18"/>
                <w:szCs w:val="18"/>
              </w:rPr>
              <w:t xml:space="preserve"> </w:t>
            </w:r>
            <w:r w:rsidRPr="003C6432">
              <w:rPr>
                <w:rFonts w:cs="Arial"/>
                <w:sz w:val="18"/>
                <w:szCs w:val="18"/>
              </w:rPr>
              <w:t>(0,2.4)</w:t>
            </w:r>
          </w:p>
        </w:tc>
        <w:tc>
          <w:tcPr>
            <w:tcW w:w="1116" w:type="dxa"/>
            <w:tcBorders>
              <w:top w:val="single" w:sz="4" w:space="0" w:color="auto"/>
              <w:left w:val="nil"/>
              <w:bottom w:val="nil"/>
              <w:right w:val="nil"/>
            </w:tcBorders>
            <w:shd w:val="clear" w:color="auto" w:fill="auto"/>
            <w:noWrap/>
            <w:vAlign w:val="bottom"/>
            <w:hideMark/>
          </w:tcPr>
          <w:p w:rsidR="0068753E" w:rsidRDefault="0068753E" w:rsidP="00CC12E4">
            <w:pPr>
              <w:spacing w:after="0" w:line="240" w:lineRule="auto"/>
              <w:jc w:val="center"/>
              <w:rPr>
                <w:rFonts w:cs="Arial"/>
                <w:sz w:val="18"/>
                <w:szCs w:val="18"/>
              </w:rPr>
            </w:pPr>
            <w:r w:rsidRPr="003C6432">
              <w:rPr>
                <w:rFonts w:cs="Arial"/>
                <w:sz w:val="18"/>
                <w:szCs w:val="18"/>
              </w:rPr>
              <w:t>0 [0.9</w:t>
            </w:r>
            <w:r>
              <w:rPr>
                <w:rFonts w:cs="Arial"/>
                <w:sz w:val="18"/>
                <w:szCs w:val="18"/>
              </w:rPr>
              <w:t>]</w:t>
            </w:r>
          </w:p>
          <w:p w:rsidR="0068753E" w:rsidRPr="003C6432" w:rsidRDefault="0068753E" w:rsidP="00CC12E4">
            <w:pPr>
              <w:spacing w:after="0" w:line="240" w:lineRule="auto"/>
              <w:jc w:val="center"/>
              <w:rPr>
                <w:rFonts w:cs="Arial"/>
                <w:sz w:val="18"/>
                <w:szCs w:val="18"/>
              </w:rPr>
            </w:pPr>
            <w:r>
              <w:rPr>
                <w:rFonts w:cs="Arial"/>
                <w:sz w:val="18"/>
                <w:szCs w:val="18"/>
              </w:rPr>
              <w:t xml:space="preserve"> </w:t>
            </w:r>
            <w:r w:rsidRPr="003C6432">
              <w:rPr>
                <w:rFonts w:cs="Arial"/>
                <w:sz w:val="18"/>
                <w:szCs w:val="18"/>
              </w:rPr>
              <w:t>(0,1.9)</w:t>
            </w:r>
          </w:p>
        </w:tc>
        <w:tc>
          <w:tcPr>
            <w:tcW w:w="1408" w:type="dxa"/>
            <w:tcBorders>
              <w:top w:val="single" w:sz="4" w:space="0" w:color="auto"/>
              <w:left w:val="nil"/>
              <w:bottom w:val="nil"/>
              <w:right w:val="single" w:sz="4" w:space="0" w:color="auto"/>
            </w:tcBorders>
            <w:shd w:val="clear" w:color="auto" w:fill="auto"/>
            <w:noWrap/>
            <w:vAlign w:val="bottom"/>
            <w:hideMark/>
          </w:tcPr>
          <w:p w:rsidR="0068753E" w:rsidRDefault="0068753E" w:rsidP="00CC12E4">
            <w:pPr>
              <w:spacing w:after="0" w:line="240" w:lineRule="auto"/>
              <w:jc w:val="center"/>
              <w:rPr>
                <w:rFonts w:cs="Arial"/>
                <w:sz w:val="18"/>
                <w:szCs w:val="18"/>
              </w:rPr>
            </w:pPr>
            <w:r w:rsidRPr="003C6432">
              <w:rPr>
                <w:rFonts w:cs="Arial"/>
                <w:sz w:val="18"/>
                <w:szCs w:val="18"/>
              </w:rPr>
              <w:t>0.7 [11.4</w:t>
            </w:r>
            <w:r>
              <w:rPr>
                <w:rFonts w:cs="Arial"/>
                <w:sz w:val="18"/>
                <w:szCs w:val="18"/>
              </w:rPr>
              <w:t>]</w:t>
            </w:r>
          </w:p>
          <w:p w:rsidR="0068753E" w:rsidRPr="003C6432" w:rsidRDefault="0068753E" w:rsidP="00CC12E4">
            <w:pPr>
              <w:spacing w:after="0" w:line="240" w:lineRule="auto"/>
              <w:jc w:val="center"/>
              <w:rPr>
                <w:rFonts w:cs="Arial"/>
                <w:sz w:val="18"/>
                <w:szCs w:val="18"/>
              </w:rPr>
            </w:pPr>
            <w:r>
              <w:rPr>
                <w:rFonts w:cs="Arial"/>
                <w:sz w:val="18"/>
                <w:szCs w:val="18"/>
              </w:rPr>
              <w:t xml:space="preserve"> </w:t>
            </w:r>
            <w:r w:rsidRPr="003C6432">
              <w:rPr>
                <w:rFonts w:cs="Arial"/>
                <w:sz w:val="18"/>
                <w:szCs w:val="18"/>
              </w:rPr>
              <w:t>(0.8,26)</w:t>
            </w:r>
          </w:p>
        </w:tc>
      </w:tr>
      <w:tr w:rsidR="0068753E" w:rsidRPr="00447B59" w:rsidTr="00CC12E4">
        <w:tc>
          <w:tcPr>
            <w:tcW w:w="1497" w:type="dxa"/>
            <w:vMerge/>
            <w:tcBorders>
              <w:left w:val="single" w:sz="4" w:space="0" w:color="auto"/>
              <w:bottom w:val="single" w:sz="4" w:space="0" w:color="auto"/>
              <w:right w:val="nil"/>
            </w:tcBorders>
            <w:shd w:val="clear" w:color="auto" w:fill="auto"/>
            <w:noWrap/>
            <w:vAlign w:val="center"/>
          </w:tcPr>
          <w:p w:rsidR="0068753E" w:rsidRPr="00447B59" w:rsidRDefault="0068753E" w:rsidP="00CC12E4">
            <w:pPr>
              <w:spacing w:after="0" w:line="240" w:lineRule="auto"/>
              <w:rPr>
                <w:rFonts w:cs="Arial"/>
                <w:sz w:val="18"/>
                <w:szCs w:val="18"/>
              </w:rPr>
            </w:pPr>
          </w:p>
        </w:tc>
        <w:tc>
          <w:tcPr>
            <w:tcW w:w="1622" w:type="dxa"/>
            <w:tcBorders>
              <w:top w:val="nil"/>
              <w:left w:val="nil"/>
              <w:bottom w:val="single" w:sz="4" w:space="0" w:color="auto"/>
              <w:right w:val="nil"/>
            </w:tcBorders>
            <w:shd w:val="clear" w:color="auto" w:fill="auto"/>
            <w:noWrap/>
            <w:vAlign w:val="center"/>
            <w:hideMark/>
          </w:tcPr>
          <w:p w:rsidR="0068753E" w:rsidRPr="00447B59" w:rsidRDefault="0068753E" w:rsidP="00CC12E4">
            <w:pPr>
              <w:spacing w:after="0" w:line="240" w:lineRule="auto"/>
              <w:rPr>
                <w:rFonts w:cs="Arial"/>
                <w:sz w:val="18"/>
                <w:szCs w:val="18"/>
              </w:rPr>
            </w:pPr>
            <w:r w:rsidRPr="00447B59">
              <w:rPr>
                <w:rFonts w:cs="Arial"/>
                <w:sz w:val="18"/>
                <w:szCs w:val="18"/>
              </w:rPr>
              <w:t>surrogacy</w:t>
            </w:r>
          </w:p>
          <w:p w:rsidR="0068753E" w:rsidRPr="00447B59" w:rsidRDefault="0068753E" w:rsidP="00CC12E4">
            <w:pPr>
              <w:spacing w:after="0" w:line="240" w:lineRule="auto"/>
              <w:rPr>
                <w:rFonts w:cs="Arial"/>
                <w:sz w:val="18"/>
                <w:szCs w:val="18"/>
              </w:rPr>
            </w:pPr>
            <w:r w:rsidRPr="00447B59">
              <w:rPr>
                <w:rFonts w:cs="Arial"/>
                <w:sz w:val="18"/>
                <w:szCs w:val="18"/>
              </w:rPr>
              <w:t>(vs. same year)</w:t>
            </w:r>
          </w:p>
        </w:tc>
        <w:tc>
          <w:tcPr>
            <w:tcW w:w="1209" w:type="dxa"/>
            <w:tcBorders>
              <w:top w:val="nil"/>
              <w:left w:val="nil"/>
              <w:bottom w:val="single" w:sz="4" w:space="0" w:color="auto"/>
              <w:right w:val="nil"/>
            </w:tcBorders>
            <w:shd w:val="clear" w:color="auto" w:fill="auto"/>
            <w:noWrap/>
            <w:vAlign w:val="bottom"/>
            <w:hideMark/>
          </w:tcPr>
          <w:p w:rsidR="0068753E" w:rsidRDefault="0068753E" w:rsidP="00CC12E4">
            <w:pPr>
              <w:spacing w:after="0" w:line="240" w:lineRule="auto"/>
              <w:jc w:val="center"/>
              <w:rPr>
                <w:rFonts w:cs="Arial"/>
                <w:sz w:val="18"/>
                <w:szCs w:val="18"/>
              </w:rPr>
            </w:pPr>
            <w:r w:rsidRPr="003C6432">
              <w:rPr>
                <w:rFonts w:cs="Arial"/>
                <w:sz w:val="18"/>
                <w:szCs w:val="18"/>
              </w:rPr>
              <w:t>0.4 [3.6</w:t>
            </w:r>
            <w:r>
              <w:rPr>
                <w:rFonts w:cs="Arial"/>
                <w:sz w:val="18"/>
                <w:szCs w:val="18"/>
              </w:rPr>
              <w:t>]</w:t>
            </w:r>
          </w:p>
          <w:p w:rsidR="0068753E" w:rsidRPr="003C6432" w:rsidRDefault="0068753E" w:rsidP="00CC12E4">
            <w:pPr>
              <w:spacing w:after="0" w:line="240" w:lineRule="auto"/>
              <w:jc w:val="center"/>
              <w:rPr>
                <w:rFonts w:cs="Arial"/>
                <w:sz w:val="18"/>
                <w:szCs w:val="18"/>
              </w:rPr>
            </w:pPr>
            <w:r>
              <w:rPr>
                <w:rFonts w:cs="Arial"/>
                <w:sz w:val="18"/>
                <w:szCs w:val="18"/>
              </w:rPr>
              <w:t xml:space="preserve"> </w:t>
            </w:r>
            <w:r w:rsidRPr="003C6432">
              <w:rPr>
                <w:rFonts w:cs="Arial"/>
                <w:sz w:val="18"/>
                <w:szCs w:val="18"/>
              </w:rPr>
              <w:t>(0.4,8.2)</w:t>
            </w:r>
          </w:p>
        </w:tc>
        <w:tc>
          <w:tcPr>
            <w:tcW w:w="1153" w:type="dxa"/>
            <w:tcBorders>
              <w:top w:val="nil"/>
              <w:left w:val="nil"/>
              <w:bottom w:val="single" w:sz="4" w:space="0" w:color="auto"/>
              <w:right w:val="nil"/>
            </w:tcBorders>
            <w:shd w:val="clear" w:color="auto" w:fill="auto"/>
            <w:noWrap/>
            <w:vAlign w:val="bottom"/>
            <w:hideMark/>
          </w:tcPr>
          <w:p w:rsidR="0068753E" w:rsidRDefault="0068753E" w:rsidP="00CC12E4">
            <w:pPr>
              <w:spacing w:after="0" w:line="240" w:lineRule="auto"/>
              <w:jc w:val="center"/>
              <w:rPr>
                <w:rFonts w:cs="Arial"/>
                <w:sz w:val="18"/>
                <w:szCs w:val="18"/>
              </w:rPr>
            </w:pPr>
            <w:r w:rsidRPr="003C6432">
              <w:rPr>
                <w:rFonts w:cs="Arial"/>
                <w:sz w:val="18"/>
                <w:szCs w:val="18"/>
              </w:rPr>
              <w:t>0.1 [4.5</w:t>
            </w:r>
            <w:r>
              <w:rPr>
                <w:rFonts w:cs="Arial"/>
                <w:sz w:val="18"/>
                <w:szCs w:val="18"/>
              </w:rPr>
              <w:t>]</w:t>
            </w:r>
          </w:p>
          <w:p w:rsidR="0068753E" w:rsidRPr="003C6432" w:rsidRDefault="0068753E" w:rsidP="00CC12E4">
            <w:pPr>
              <w:spacing w:after="0" w:line="240" w:lineRule="auto"/>
              <w:jc w:val="center"/>
              <w:rPr>
                <w:rFonts w:cs="Arial"/>
                <w:sz w:val="18"/>
                <w:szCs w:val="18"/>
              </w:rPr>
            </w:pPr>
            <w:r>
              <w:rPr>
                <w:rFonts w:cs="Arial"/>
                <w:sz w:val="18"/>
                <w:szCs w:val="18"/>
              </w:rPr>
              <w:t xml:space="preserve"> </w:t>
            </w:r>
            <w:r w:rsidRPr="003C6432">
              <w:rPr>
                <w:rFonts w:cs="Arial"/>
                <w:sz w:val="18"/>
                <w:szCs w:val="18"/>
              </w:rPr>
              <w:t>(0.2,9.9)</w:t>
            </w:r>
          </w:p>
        </w:tc>
        <w:tc>
          <w:tcPr>
            <w:tcW w:w="1209" w:type="dxa"/>
            <w:tcBorders>
              <w:top w:val="nil"/>
              <w:left w:val="nil"/>
              <w:bottom w:val="single" w:sz="4" w:space="0" w:color="auto"/>
              <w:right w:val="nil"/>
            </w:tcBorders>
            <w:shd w:val="clear" w:color="auto" w:fill="auto"/>
            <w:noWrap/>
            <w:vAlign w:val="bottom"/>
            <w:hideMark/>
          </w:tcPr>
          <w:p w:rsidR="0068753E" w:rsidRDefault="0068753E" w:rsidP="00CC12E4">
            <w:pPr>
              <w:spacing w:after="0" w:line="240" w:lineRule="auto"/>
              <w:jc w:val="center"/>
              <w:rPr>
                <w:rFonts w:cs="Arial"/>
                <w:sz w:val="18"/>
                <w:szCs w:val="18"/>
              </w:rPr>
            </w:pPr>
            <w:r w:rsidRPr="003C6432">
              <w:rPr>
                <w:rFonts w:cs="Arial"/>
                <w:sz w:val="18"/>
                <w:szCs w:val="18"/>
              </w:rPr>
              <w:t>0.2 [4.3</w:t>
            </w:r>
            <w:r>
              <w:rPr>
                <w:rFonts w:cs="Arial"/>
                <w:sz w:val="18"/>
                <w:szCs w:val="18"/>
              </w:rPr>
              <w:t>]</w:t>
            </w:r>
          </w:p>
          <w:p w:rsidR="0068753E" w:rsidRPr="003C6432" w:rsidRDefault="0068753E" w:rsidP="00CC12E4">
            <w:pPr>
              <w:spacing w:after="0" w:line="240" w:lineRule="auto"/>
              <w:jc w:val="center"/>
              <w:rPr>
                <w:rFonts w:cs="Arial"/>
                <w:sz w:val="18"/>
                <w:szCs w:val="18"/>
              </w:rPr>
            </w:pPr>
            <w:r>
              <w:rPr>
                <w:rFonts w:cs="Arial"/>
                <w:sz w:val="18"/>
                <w:szCs w:val="18"/>
              </w:rPr>
              <w:t xml:space="preserve"> </w:t>
            </w:r>
            <w:r w:rsidRPr="003C6432">
              <w:rPr>
                <w:rFonts w:cs="Arial"/>
                <w:sz w:val="18"/>
                <w:szCs w:val="18"/>
              </w:rPr>
              <w:t>(0.2,9.6)</w:t>
            </w:r>
          </w:p>
        </w:tc>
        <w:tc>
          <w:tcPr>
            <w:tcW w:w="1116" w:type="dxa"/>
            <w:tcBorders>
              <w:top w:val="nil"/>
              <w:left w:val="nil"/>
              <w:bottom w:val="single" w:sz="4" w:space="0" w:color="auto"/>
              <w:right w:val="nil"/>
            </w:tcBorders>
            <w:shd w:val="clear" w:color="auto" w:fill="auto"/>
            <w:noWrap/>
            <w:vAlign w:val="bottom"/>
            <w:hideMark/>
          </w:tcPr>
          <w:p w:rsidR="0068753E" w:rsidRDefault="0068753E" w:rsidP="00CC12E4">
            <w:pPr>
              <w:spacing w:after="0" w:line="240" w:lineRule="auto"/>
              <w:jc w:val="center"/>
              <w:rPr>
                <w:rFonts w:cs="Arial"/>
                <w:sz w:val="18"/>
                <w:szCs w:val="18"/>
              </w:rPr>
            </w:pPr>
            <w:r w:rsidRPr="003C6432">
              <w:rPr>
                <w:rFonts w:cs="Arial"/>
                <w:sz w:val="18"/>
                <w:szCs w:val="18"/>
              </w:rPr>
              <w:t>0.2 [4.2</w:t>
            </w:r>
            <w:r>
              <w:rPr>
                <w:rFonts w:cs="Arial"/>
                <w:sz w:val="18"/>
                <w:szCs w:val="18"/>
              </w:rPr>
              <w:t>]</w:t>
            </w:r>
          </w:p>
          <w:p w:rsidR="0068753E" w:rsidRPr="003C6432" w:rsidRDefault="0068753E" w:rsidP="00CC12E4">
            <w:pPr>
              <w:spacing w:after="0" w:line="240" w:lineRule="auto"/>
              <w:jc w:val="center"/>
              <w:rPr>
                <w:rFonts w:cs="Arial"/>
                <w:sz w:val="18"/>
                <w:szCs w:val="18"/>
              </w:rPr>
            </w:pPr>
            <w:r>
              <w:rPr>
                <w:rFonts w:cs="Arial"/>
                <w:sz w:val="18"/>
                <w:szCs w:val="18"/>
              </w:rPr>
              <w:t xml:space="preserve"> </w:t>
            </w:r>
            <w:r w:rsidRPr="003C6432">
              <w:rPr>
                <w:rFonts w:cs="Arial"/>
                <w:sz w:val="18"/>
                <w:szCs w:val="18"/>
              </w:rPr>
              <w:t>(0.2,9.4)</w:t>
            </w:r>
          </w:p>
        </w:tc>
        <w:tc>
          <w:tcPr>
            <w:tcW w:w="1408" w:type="dxa"/>
            <w:tcBorders>
              <w:top w:val="nil"/>
              <w:left w:val="nil"/>
              <w:bottom w:val="single" w:sz="4" w:space="0" w:color="auto"/>
              <w:right w:val="single" w:sz="4" w:space="0" w:color="auto"/>
            </w:tcBorders>
            <w:shd w:val="clear" w:color="auto" w:fill="auto"/>
            <w:noWrap/>
            <w:vAlign w:val="center"/>
            <w:hideMark/>
          </w:tcPr>
          <w:p w:rsidR="0068753E" w:rsidRPr="003C6432" w:rsidRDefault="0068753E" w:rsidP="00CC12E4">
            <w:pPr>
              <w:spacing w:after="0" w:line="240" w:lineRule="auto"/>
              <w:jc w:val="center"/>
              <w:rPr>
                <w:rFonts w:cs="Arial"/>
                <w:sz w:val="18"/>
                <w:szCs w:val="18"/>
              </w:rPr>
            </w:pPr>
            <w:r w:rsidRPr="003C6432">
              <w:rPr>
                <w:rFonts w:cs="Arial"/>
                <w:sz w:val="18"/>
                <w:szCs w:val="18"/>
              </w:rPr>
              <w:t>--</w:t>
            </w:r>
          </w:p>
        </w:tc>
      </w:tr>
      <w:tr w:rsidR="0068753E" w:rsidRPr="00447B59" w:rsidTr="00CC12E4">
        <w:tc>
          <w:tcPr>
            <w:tcW w:w="1497" w:type="dxa"/>
            <w:vMerge w:val="restart"/>
            <w:tcBorders>
              <w:top w:val="single" w:sz="4" w:space="0" w:color="auto"/>
              <w:left w:val="single" w:sz="4" w:space="0" w:color="auto"/>
              <w:right w:val="nil"/>
            </w:tcBorders>
            <w:shd w:val="clear" w:color="auto" w:fill="auto"/>
            <w:noWrap/>
            <w:vAlign w:val="center"/>
          </w:tcPr>
          <w:p w:rsidR="0068753E" w:rsidRPr="00447B59" w:rsidRDefault="0068753E" w:rsidP="00CC12E4">
            <w:pPr>
              <w:spacing w:after="0" w:line="240" w:lineRule="auto"/>
              <w:rPr>
                <w:rFonts w:cs="Arial"/>
                <w:sz w:val="18"/>
                <w:szCs w:val="18"/>
              </w:rPr>
            </w:pPr>
            <w:r w:rsidRPr="00447B59">
              <w:rPr>
                <w:rFonts w:cs="Arial"/>
                <w:sz w:val="18"/>
                <w:szCs w:val="18"/>
              </w:rPr>
              <w:t>Neurological</w:t>
            </w:r>
          </w:p>
        </w:tc>
        <w:tc>
          <w:tcPr>
            <w:tcW w:w="1622" w:type="dxa"/>
            <w:tcBorders>
              <w:top w:val="single" w:sz="4" w:space="0" w:color="auto"/>
              <w:left w:val="nil"/>
              <w:bottom w:val="nil"/>
              <w:right w:val="nil"/>
            </w:tcBorders>
            <w:shd w:val="clear" w:color="auto" w:fill="auto"/>
            <w:noWrap/>
            <w:vAlign w:val="center"/>
            <w:hideMark/>
          </w:tcPr>
          <w:p w:rsidR="0068753E" w:rsidRPr="00447B59" w:rsidRDefault="0068753E" w:rsidP="00CC12E4">
            <w:pPr>
              <w:spacing w:after="0" w:line="240" w:lineRule="auto"/>
              <w:rPr>
                <w:rFonts w:cs="Arial"/>
                <w:sz w:val="18"/>
                <w:szCs w:val="18"/>
              </w:rPr>
            </w:pPr>
            <w:r w:rsidRPr="00447B59">
              <w:rPr>
                <w:rFonts w:cs="Arial"/>
                <w:sz w:val="18"/>
                <w:szCs w:val="18"/>
              </w:rPr>
              <w:t>mortality effects (vs. year 1)</w:t>
            </w:r>
          </w:p>
        </w:tc>
        <w:tc>
          <w:tcPr>
            <w:tcW w:w="1209" w:type="dxa"/>
            <w:tcBorders>
              <w:top w:val="single" w:sz="4" w:space="0" w:color="auto"/>
              <w:left w:val="nil"/>
              <w:bottom w:val="nil"/>
              <w:right w:val="nil"/>
            </w:tcBorders>
            <w:shd w:val="clear" w:color="auto" w:fill="BFBFBF" w:themeFill="background1" w:themeFillShade="BF"/>
            <w:noWrap/>
            <w:vAlign w:val="center"/>
            <w:hideMark/>
          </w:tcPr>
          <w:p w:rsidR="0068753E" w:rsidRPr="003C6432" w:rsidRDefault="0068753E" w:rsidP="00CC12E4">
            <w:pPr>
              <w:spacing w:after="0" w:line="240" w:lineRule="auto"/>
              <w:jc w:val="center"/>
              <w:rPr>
                <w:rFonts w:cs="Arial"/>
                <w:sz w:val="18"/>
                <w:szCs w:val="18"/>
              </w:rPr>
            </w:pPr>
            <w:r w:rsidRPr="003C6432">
              <w:rPr>
                <w:rFonts w:cs="Arial"/>
                <w:sz w:val="18"/>
                <w:szCs w:val="18"/>
              </w:rPr>
              <w:t>estimable</w:t>
            </w:r>
            <w:r>
              <w:rPr>
                <w:rFonts w:cs="Arial"/>
                <w:sz w:val="18"/>
                <w:szCs w:val="18"/>
              </w:rPr>
              <w:t xml:space="preserve"> from data</w:t>
            </w:r>
          </w:p>
        </w:tc>
        <w:tc>
          <w:tcPr>
            <w:tcW w:w="1153" w:type="dxa"/>
            <w:tcBorders>
              <w:top w:val="single" w:sz="4" w:space="0" w:color="auto"/>
              <w:left w:val="nil"/>
              <w:bottom w:val="nil"/>
              <w:right w:val="nil"/>
            </w:tcBorders>
            <w:shd w:val="clear" w:color="auto" w:fill="auto"/>
            <w:noWrap/>
            <w:vAlign w:val="bottom"/>
            <w:hideMark/>
          </w:tcPr>
          <w:p w:rsidR="0068753E" w:rsidRDefault="0068753E" w:rsidP="00CC12E4">
            <w:pPr>
              <w:spacing w:after="0" w:line="240" w:lineRule="auto"/>
              <w:jc w:val="center"/>
              <w:rPr>
                <w:rFonts w:cs="Arial"/>
                <w:sz w:val="18"/>
                <w:szCs w:val="18"/>
              </w:rPr>
            </w:pPr>
            <w:r w:rsidRPr="003C6432">
              <w:rPr>
                <w:rFonts w:cs="Arial"/>
                <w:sz w:val="18"/>
                <w:szCs w:val="18"/>
              </w:rPr>
              <w:t>0 [1.3</w:t>
            </w:r>
            <w:r>
              <w:rPr>
                <w:rFonts w:cs="Arial"/>
                <w:sz w:val="18"/>
                <w:szCs w:val="18"/>
              </w:rPr>
              <w:t>]</w:t>
            </w:r>
          </w:p>
          <w:p w:rsidR="0068753E" w:rsidRPr="003C6432" w:rsidRDefault="0068753E" w:rsidP="00CC12E4">
            <w:pPr>
              <w:spacing w:after="0" w:line="240" w:lineRule="auto"/>
              <w:jc w:val="center"/>
              <w:rPr>
                <w:rFonts w:cs="Arial"/>
                <w:sz w:val="18"/>
                <w:szCs w:val="18"/>
              </w:rPr>
            </w:pPr>
            <w:r>
              <w:rPr>
                <w:rFonts w:cs="Arial"/>
                <w:sz w:val="18"/>
                <w:szCs w:val="18"/>
              </w:rPr>
              <w:t xml:space="preserve"> </w:t>
            </w:r>
            <w:r w:rsidRPr="003C6432">
              <w:rPr>
                <w:rFonts w:cs="Arial"/>
                <w:sz w:val="18"/>
                <w:szCs w:val="18"/>
              </w:rPr>
              <w:t>(0,2.8)</w:t>
            </w:r>
          </w:p>
        </w:tc>
        <w:tc>
          <w:tcPr>
            <w:tcW w:w="1209" w:type="dxa"/>
            <w:tcBorders>
              <w:top w:val="single" w:sz="4" w:space="0" w:color="auto"/>
              <w:left w:val="nil"/>
              <w:bottom w:val="nil"/>
              <w:right w:val="nil"/>
            </w:tcBorders>
            <w:shd w:val="clear" w:color="auto" w:fill="auto"/>
            <w:noWrap/>
            <w:vAlign w:val="bottom"/>
            <w:hideMark/>
          </w:tcPr>
          <w:p w:rsidR="0068753E" w:rsidRDefault="0068753E" w:rsidP="00CC12E4">
            <w:pPr>
              <w:spacing w:after="0" w:line="240" w:lineRule="auto"/>
              <w:jc w:val="center"/>
              <w:rPr>
                <w:rFonts w:cs="Arial"/>
                <w:sz w:val="18"/>
                <w:szCs w:val="18"/>
              </w:rPr>
            </w:pPr>
            <w:r w:rsidRPr="003C6432">
              <w:rPr>
                <w:rFonts w:cs="Arial"/>
                <w:sz w:val="18"/>
                <w:szCs w:val="18"/>
              </w:rPr>
              <w:t>0 [0.9</w:t>
            </w:r>
            <w:r>
              <w:rPr>
                <w:rFonts w:cs="Arial"/>
                <w:sz w:val="18"/>
                <w:szCs w:val="18"/>
              </w:rPr>
              <w:t>]</w:t>
            </w:r>
          </w:p>
          <w:p w:rsidR="0068753E" w:rsidRPr="003C6432" w:rsidRDefault="0068753E" w:rsidP="00CC12E4">
            <w:pPr>
              <w:spacing w:after="0" w:line="240" w:lineRule="auto"/>
              <w:jc w:val="center"/>
              <w:rPr>
                <w:rFonts w:cs="Arial"/>
                <w:sz w:val="18"/>
                <w:szCs w:val="18"/>
              </w:rPr>
            </w:pPr>
            <w:r>
              <w:rPr>
                <w:rFonts w:cs="Arial"/>
                <w:sz w:val="18"/>
                <w:szCs w:val="18"/>
              </w:rPr>
              <w:t xml:space="preserve"> </w:t>
            </w:r>
            <w:r w:rsidRPr="003C6432">
              <w:rPr>
                <w:rFonts w:cs="Arial"/>
                <w:sz w:val="18"/>
                <w:szCs w:val="18"/>
              </w:rPr>
              <w:t>(0,1.9)</w:t>
            </w:r>
          </w:p>
        </w:tc>
        <w:tc>
          <w:tcPr>
            <w:tcW w:w="1116" w:type="dxa"/>
            <w:tcBorders>
              <w:top w:val="single" w:sz="4" w:space="0" w:color="auto"/>
              <w:left w:val="nil"/>
              <w:bottom w:val="nil"/>
              <w:right w:val="nil"/>
            </w:tcBorders>
            <w:shd w:val="clear" w:color="auto" w:fill="auto"/>
            <w:noWrap/>
            <w:vAlign w:val="bottom"/>
            <w:hideMark/>
          </w:tcPr>
          <w:p w:rsidR="0068753E" w:rsidRDefault="0068753E" w:rsidP="00CC12E4">
            <w:pPr>
              <w:spacing w:after="0" w:line="240" w:lineRule="auto"/>
              <w:jc w:val="center"/>
              <w:rPr>
                <w:rFonts w:cs="Arial"/>
                <w:sz w:val="18"/>
                <w:szCs w:val="18"/>
              </w:rPr>
            </w:pPr>
            <w:r w:rsidRPr="003C6432">
              <w:rPr>
                <w:rFonts w:cs="Arial"/>
                <w:sz w:val="18"/>
                <w:szCs w:val="18"/>
              </w:rPr>
              <w:t>0 [1</w:t>
            </w:r>
            <w:r>
              <w:rPr>
                <w:rFonts w:cs="Arial"/>
                <w:sz w:val="18"/>
                <w:szCs w:val="18"/>
              </w:rPr>
              <w:t>]</w:t>
            </w:r>
          </w:p>
          <w:p w:rsidR="0068753E" w:rsidRPr="003C6432" w:rsidRDefault="0068753E" w:rsidP="00CC12E4">
            <w:pPr>
              <w:spacing w:after="0" w:line="240" w:lineRule="auto"/>
              <w:jc w:val="center"/>
              <w:rPr>
                <w:rFonts w:cs="Arial"/>
                <w:sz w:val="18"/>
                <w:szCs w:val="18"/>
              </w:rPr>
            </w:pPr>
            <w:r>
              <w:rPr>
                <w:rFonts w:cs="Arial"/>
                <w:sz w:val="18"/>
                <w:szCs w:val="18"/>
              </w:rPr>
              <w:t xml:space="preserve"> </w:t>
            </w:r>
            <w:r w:rsidRPr="003C6432">
              <w:rPr>
                <w:rFonts w:cs="Arial"/>
                <w:sz w:val="18"/>
                <w:szCs w:val="18"/>
              </w:rPr>
              <w:t>(0,1.9)</w:t>
            </w:r>
          </w:p>
        </w:tc>
        <w:tc>
          <w:tcPr>
            <w:tcW w:w="1408" w:type="dxa"/>
            <w:tcBorders>
              <w:top w:val="single" w:sz="4" w:space="0" w:color="auto"/>
              <w:left w:val="nil"/>
              <w:bottom w:val="nil"/>
              <w:right w:val="single" w:sz="4" w:space="0" w:color="auto"/>
            </w:tcBorders>
            <w:shd w:val="clear" w:color="auto" w:fill="auto"/>
            <w:noWrap/>
            <w:vAlign w:val="bottom"/>
            <w:hideMark/>
          </w:tcPr>
          <w:p w:rsidR="0068753E" w:rsidRDefault="0068753E" w:rsidP="00CC12E4">
            <w:pPr>
              <w:spacing w:after="0" w:line="240" w:lineRule="auto"/>
              <w:jc w:val="center"/>
              <w:rPr>
                <w:rFonts w:cs="Arial"/>
                <w:sz w:val="18"/>
                <w:szCs w:val="18"/>
              </w:rPr>
            </w:pPr>
            <w:r w:rsidRPr="003C6432">
              <w:rPr>
                <w:rFonts w:cs="Arial"/>
                <w:sz w:val="18"/>
                <w:szCs w:val="18"/>
              </w:rPr>
              <w:t>0.7 [5.9</w:t>
            </w:r>
            <w:r>
              <w:rPr>
                <w:rFonts w:cs="Arial"/>
                <w:sz w:val="18"/>
                <w:szCs w:val="18"/>
              </w:rPr>
              <w:t>]</w:t>
            </w:r>
          </w:p>
          <w:p w:rsidR="0068753E" w:rsidRPr="003C6432" w:rsidRDefault="0068753E" w:rsidP="00CC12E4">
            <w:pPr>
              <w:spacing w:after="0" w:line="240" w:lineRule="auto"/>
              <w:jc w:val="center"/>
              <w:rPr>
                <w:rFonts w:cs="Arial"/>
                <w:sz w:val="18"/>
                <w:szCs w:val="18"/>
              </w:rPr>
            </w:pPr>
            <w:r>
              <w:rPr>
                <w:rFonts w:cs="Arial"/>
                <w:sz w:val="18"/>
                <w:szCs w:val="18"/>
              </w:rPr>
              <w:t xml:space="preserve"> </w:t>
            </w:r>
            <w:r w:rsidRPr="003C6432">
              <w:rPr>
                <w:rFonts w:cs="Arial"/>
                <w:sz w:val="18"/>
                <w:szCs w:val="18"/>
              </w:rPr>
              <w:t>(0.7,13.2)</w:t>
            </w:r>
          </w:p>
        </w:tc>
      </w:tr>
      <w:tr w:rsidR="0068753E" w:rsidRPr="00447B59" w:rsidTr="00CC12E4">
        <w:tc>
          <w:tcPr>
            <w:tcW w:w="1497" w:type="dxa"/>
            <w:vMerge/>
            <w:tcBorders>
              <w:left w:val="single" w:sz="4" w:space="0" w:color="auto"/>
              <w:bottom w:val="single" w:sz="4" w:space="0" w:color="auto"/>
              <w:right w:val="nil"/>
            </w:tcBorders>
            <w:shd w:val="clear" w:color="auto" w:fill="auto"/>
            <w:noWrap/>
            <w:vAlign w:val="center"/>
          </w:tcPr>
          <w:p w:rsidR="0068753E" w:rsidRPr="00447B59" w:rsidRDefault="0068753E" w:rsidP="00CC12E4">
            <w:pPr>
              <w:spacing w:after="0" w:line="240" w:lineRule="auto"/>
              <w:rPr>
                <w:rFonts w:cs="Arial"/>
                <w:sz w:val="18"/>
                <w:szCs w:val="18"/>
              </w:rPr>
            </w:pPr>
          </w:p>
        </w:tc>
        <w:tc>
          <w:tcPr>
            <w:tcW w:w="1622" w:type="dxa"/>
            <w:tcBorders>
              <w:top w:val="nil"/>
              <w:left w:val="nil"/>
              <w:bottom w:val="single" w:sz="4" w:space="0" w:color="auto"/>
              <w:right w:val="nil"/>
            </w:tcBorders>
            <w:shd w:val="clear" w:color="auto" w:fill="auto"/>
            <w:noWrap/>
            <w:vAlign w:val="center"/>
            <w:hideMark/>
          </w:tcPr>
          <w:p w:rsidR="0068753E" w:rsidRPr="00447B59" w:rsidRDefault="0068753E" w:rsidP="00CC12E4">
            <w:pPr>
              <w:spacing w:after="0" w:line="240" w:lineRule="auto"/>
              <w:rPr>
                <w:rFonts w:cs="Arial"/>
                <w:sz w:val="18"/>
                <w:szCs w:val="18"/>
              </w:rPr>
            </w:pPr>
            <w:r w:rsidRPr="00447B59">
              <w:rPr>
                <w:rFonts w:cs="Arial"/>
                <w:sz w:val="18"/>
                <w:szCs w:val="18"/>
              </w:rPr>
              <w:t>surrogacy</w:t>
            </w:r>
          </w:p>
          <w:p w:rsidR="0068753E" w:rsidRPr="00447B59" w:rsidRDefault="0068753E" w:rsidP="00CC12E4">
            <w:pPr>
              <w:spacing w:after="0" w:line="240" w:lineRule="auto"/>
              <w:rPr>
                <w:rFonts w:cs="Arial"/>
                <w:sz w:val="18"/>
                <w:szCs w:val="18"/>
              </w:rPr>
            </w:pPr>
            <w:r w:rsidRPr="00447B59">
              <w:rPr>
                <w:rFonts w:cs="Arial"/>
                <w:sz w:val="18"/>
                <w:szCs w:val="18"/>
              </w:rPr>
              <w:t>(vs. same year)</w:t>
            </w:r>
          </w:p>
        </w:tc>
        <w:tc>
          <w:tcPr>
            <w:tcW w:w="1209" w:type="dxa"/>
            <w:tcBorders>
              <w:top w:val="nil"/>
              <w:left w:val="nil"/>
              <w:bottom w:val="single" w:sz="4" w:space="0" w:color="auto"/>
              <w:right w:val="nil"/>
            </w:tcBorders>
            <w:shd w:val="clear" w:color="auto" w:fill="auto"/>
            <w:noWrap/>
            <w:vAlign w:val="bottom"/>
            <w:hideMark/>
          </w:tcPr>
          <w:p w:rsidR="0068753E" w:rsidRDefault="0068753E" w:rsidP="00CC12E4">
            <w:pPr>
              <w:spacing w:after="0" w:line="240" w:lineRule="auto"/>
              <w:jc w:val="center"/>
              <w:rPr>
                <w:rFonts w:cs="Arial"/>
                <w:sz w:val="18"/>
                <w:szCs w:val="18"/>
              </w:rPr>
            </w:pPr>
            <w:r w:rsidRPr="003C6432">
              <w:rPr>
                <w:rFonts w:cs="Arial"/>
                <w:sz w:val="18"/>
                <w:szCs w:val="18"/>
              </w:rPr>
              <w:t>0.4 [4.3</w:t>
            </w:r>
            <w:r>
              <w:rPr>
                <w:rFonts w:cs="Arial"/>
                <w:sz w:val="18"/>
                <w:szCs w:val="18"/>
              </w:rPr>
              <w:t>]</w:t>
            </w:r>
          </w:p>
          <w:p w:rsidR="0068753E" w:rsidRPr="003C6432" w:rsidRDefault="0068753E" w:rsidP="00CC12E4">
            <w:pPr>
              <w:spacing w:after="0" w:line="240" w:lineRule="auto"/>
              <w:jc w:val="center"/>
              <w:rPr>
                <w:rFonts w:cs="Arial"/>
                <w:sz w:val="18"/>
                <w:szCs w:val="18"/>
              </w:rPr>
            </w:pPr>
            <w:r>
              <w:rPr>
                <w:rFonts w:cs="Arial"/>
                <w:sz w:val="18"/>
                <w:szCs w:val="18"/>
              </w:rPr>
              <w:t xml:space="preserve"> </w:t>
            </w:r>
            <w:r w:rsidRPr="003C6432">
              <w:rPr>
                <w:rFonts w:cs="Arial"/>
                <w:sz w:val="18"/>
                <w:szCs w:val="18"/>
              </w:rPr>
              <w:t>(0.4,9.7)</w:t>
            </w:r>
          </w:p>
        </w:tc>
        <w:tc>
          <w:tcPr>
            <w:tcW w:w="1153" w:type="dxa"/>
            <w:tcBorders>
              <w:top w:val="nil"/>
              <w:left w:val="nil"/>
              <w:bottom w:val="single" w:sz="4" w:space="0" w:color="auto"/>
              <w:right w:val="nil"/>
            </w:tcBorders>
            <w:shd w:val="clear" w:color="auto" w:fill="auto"/>
            <w:noWrap/>
            <w:vAlign w:val="bottom"/>
            <w:hideMark/>
          </w:tcPr>
          <w:p w:rsidR="0068753E" w:rsidRDefault="0068753E" w:rsidP="00CC12E4">
            <w:pPr>
              <w:spacing w:after="0" w:line="240" w:lineRule="auto"/>
              <w:jc w:val="center"/>
              <w:rPr>
                <w:rFonts w:cs="Arial"/>
                <w:sz w:val="18"/>
                <w:szCs w:val="18"/>
              </w:rPr>
            </w:pPr>
            <w:r w:rsidRPr="003C6432">
              <w:rPr>
                <w:rFonts w:cs="Arial"/>
                <w:sz w:val="18"/>
                <w:szCs w:val="18"/>
              </w:rPr>
              <w:t>0.7 [3.3</w:t>
            </w:r>
            <w:r>
              <w:rPr>
                <w:rFonts w:cs="Arial"/>
                <w:sz w:val="18"/>
                <w:szCs w:val="18"/>
              </w:rPr>
              <w:t>]</w:t>
            </w:r>
          </w:p>
          <w:p w:rsidR="0068753E" w:rsidRPr="003C6432" w:rsidRDefault="0068753E" w:rsidP="00CC12E4">
            <w:pPr>
              <w:spacing w:after="0" w:line="240" w:lineRule="auto"/>
              <w:jc w:val="center"/>
              <w:rPr>
                <w:rFonts w:cs="Arial"/>
                <w:sz w:val="18"/>
                <w:szCs w:val="18"/>
              </w:rPr>
            </w:pPr>
            <w:r>
              <w:rPr>
                <w:rFonts w:cs="Arial"/>
                <w:sz w:val="18"/>
                <w:szCs w:val="18"/>
              </w:rPr>
              <w:t xml:space="preserve"> </w:t>
            </w:r>
            <w:r w:rsidRPr="003C6432">
              <w:rPr>
                <w:rFonts w:cs="Arial"/>
                <w:sz w:val="18"/>
                <w:szCs w:val="18"/>
              </w:rPr>
              <w:t>(0.5,7.3)</w:t>
            </w:r>
          </w:p>
        </w:tc>
        <w:tc>
          <w:tcPr>
            <w:tcW w:w="1209" w:type="dxa"/>
            <w:tcBorders>
              <w:top w:val="nil"/>
              <w:left w:val="nil"/>
              <w:bottom w:val="single" w:sz="4" w:space="0" w:color="auto"/>
              <w:right w:val="nil"/>
            </w:tcBorders>
            <w:shd w:val="clear" w:color="auto" w:fill="auto"/>
            <w:noWrap/>
            <w:vAlign w:val="bottom"/>
            <w:hideMark/>
          </w:tcPr>
          <w:p w:rsidR="0068753E" w:rsidRDefault="0068753E" w:rsidP="00CC12E4">
            <w:pPr>
              <w:spacing w:after="0" w:line="240" w:lineRule="auto"/>
              <w:jc w:val="center"/>
              <w:rPr>
                <w:rFonts w:cs="Arial"/>
                <w:sz w:val="18"/>
                <w:szCs w:val="18"/>
              </w:rPr>
            </w:pPr>
            <w:r w:rsidRPr="003C6432">
              <w:rPr>
                <w:rFonts w:cs="Arial"/>
                <w:sz w:val="18"/>
                <w:szCs w:val="18"/>
              </w:rPr>
              <w:t>0.7 [2.9</w:t>
            </w:r>
            <w:r>
              <w:rPr>
                <w:rFonts w:cs="Arial"/>
                <w:sz w:val="18"/>
                <w:szCs w:val="18"/>
              </w:rPr>
              <w:t>]</w:t>
            </w:r>
          </w:p>
          <w:p w:rsidR="0068753E" w:rsidRPr="003C6432" w:rsidRDefault="0068753E" w:rsidP="00CC12E4">
            <w:pPr>
              <w:spacing w:after="0" w:line="240" w:lineRule="auto"/>
              <w:jc w:val="center"/>
              <w:rPr>
                <w:rFonts w:cs="Arial"/>
                <w:sz w:val="18"/>
                <w:szCs w:val="18"/>
              </w:rPr>
            </w:pPr>
            <w:r>
              <w:rPr>
                <w:rFonts w:cs="Arial"/>
                <w:sz w:val="18"/>
                <w:szCs w:val="18"/>
              </w:rPr>
              <w:t xml:space="preserve"> </w:t>
            </w:r>
            <w:r w:rsidRPr="003C6432">
              <w:rPr>
                <w:rFonts w:cs="Arial"/>
                <w:sz w:val="18"/>
                <w:szCs w:val="18"/>
              </w:rPr>
              <w:t>(0.5,6.4)</w:t>
            </w:r>
          </w:p>
        </w:tc>
        <w:tc>
          <w:tcPr>
            <w:tcW w:w="1116" w:type="dxa"/>
            <w:tcBorders>
              <w:top w:val="nil"/>
              <w:left w:val="nil"/>
              <w:bottom w:val="single" w:sz="4" w:space="0" w:color="auto"/>
              <w:right w:val="nil"/>
            </w:tcBorders>
            <w:shd w:val="clear" w:color="auto" w:fill="auto"/>
            <w:noWrap/>
            <w:vAlign w:val="bottom"/>
            <w:hideMark/>
          </w:tcPr>
          <w:p w:rsidR="0068753E" w:rsidRDefault="0068753E" w:rsidP="00CC12E4">
            <w:pPr>
              <w:spacing w:after="0" w:line="240" w:lineRule="auto"/>
              <w:jc w:val="center"/>
              <w:rPr>
                <w:rFonts w:cs="Arial"/>
                <w:sz w:val="18"/>
                <w:szCs w:val="18"/>
              </w:rPr>
            </w:pPr>
            <w:r w:rsidRPr="003C6432">
              <w:rPr>
                <w:rFonts w:cs="Arial"/>
                <w:sz w:val="18"/>
                <w:szCs w:val="18"/>
              </w:rPr>
              <w:t>0.3 [3.2</w:t>
            </w:r>
            <w:r>
              <w:rPr>
                <w:rFonts w:cs="Arial"/>
                <w:sz w:val="18"/>
                <w:szCs w:val="18"/>
              </w:rPr>
              <w:t>]</w:t>
            </w:r>
          </w:p>
          <w:p w:rsidR="0068753E" w:rsidRPr="003C6432" w:rsidRDefault="0068753E" w:rsidP="00CC12E4">
            <w:pPr>
              <w:spacing w:after="0" w:line="240" w:lineRule="auto"/>
              <w:jc w:val="center"/>
              <w:rPr>
                <w:rFonts w:cs="Arial"/>
                <w:sz w:val="18"/>
                <w:szCs w:val="18"/>
              </w:rPr>
            </w:pPr>
            <w:r>
              <w:rPr>
                <w:rFonts w:cs="Arial"/>
                <w:sz w:val="18"/>
                <w:szCs w:val="18"/>
              </w:rPr>
              <w:t xml:space="preserve"> </w:t>
            </w:r>
            <w:r w:rsidRPr="003C6432">
              <w:rPr>
                <w:rFonts w:cs="Arial"/>
                <w:sz w:val="18"/>
                <w:szCs w:val="18"/>
              </w:rPr>
              <w:t>(0.3,7.4)</w:t>
            </w:r>
          </w:p>
        </w:tc>
        <w:tc>
          <w:tcPr>
            <w:tcW w:w="1408" w:type="dxa"/>
            <w:tcBorders>
              <w:top w:val="nil"/>
              <w:left w:val="nil"/>
              <w:bottom w:val="single" w:sz="4" w:space="0" w:color="auto"/>
              <w:right w:val="single" w:sz="4" w:space="0" w:color="auto"/>
            </w:tcBorders>
            <w:shd w:val="clear" w:color="auto" w:fill="auto"/>
            <w:noWrap/>
            <w:vAlign w:val="center"/>
            <w:hideMark/>
          </w:tcPr>
          <w:p w:rsidR="0068753E" w:rsidRPr="003C6432" w:rsidRDefault="0068753E" w:rsidP="00CC12E4">
            <w:pPr>
              <w:spacing w:after="0" w:line="240" w:lineRule="auto"/>
              <w:jc w:val="center"/>
              <w:rPr>
                <w:rFonts w:cs="Arial"/>
                <w:sz w:val="18"/>
                <w:szCs w:val="18"/>
              </w:rPr>
            </w:pPr>
            <w:r w:rsidRPr="003C6432">
              <w:rPr>
                <w:rFonts w:cs="Arial"/>
                <w:sz w:val="18"/>
                <w:szCs w:val="18"/>
              </w:rPr>
              <w:t>--</w:t>
            </w:r>
          </w:p>
        </w:tc>
      </w:tr>
      <w:tr w:rsidR="0068753E" w:rsidRPr="00447B59" w:rsidTr="00CC12E4">
        <w:tc>
          <w:tcPr>
            <w:tcW w:w="1497" w:type="dxa"/>
            <w:vMerge w:val="restart"/>
            <w:tcBorders>
              <w:top w:val="single" w:sz="4" w:space="0" w:color="auto"/>
              <w:left w:val="single" w:sz="4" w:space="0" w:color="auto"/>
              <w:right w:val="nil"/>
            </w:tcBorders>
            <w:shd w:val="clear" w:color="auto" w:fill="auto"/>
            <w:noWrap/>
            <w:vAlign w:val="center"/>
            <w:hideMark/>
          </w:tcPr>
          <w:p w:rsidR="0068753E" w:rsidRPr="00447B59" w:rsidRDefault="0068753E" w:rsidP="00CC12E4">
            <w:pPr>
              <w:spacing w:after="0" w:line="240" w:lineRule="auto"/>
              <w:rPr>
                <w:rFonts w:cs="Arial"/>
                <w:sz w:val="18"/>
                <w:szCs w:val="18"/>
              </w:rPr>
            </w:pPr>
            <w:r w:rsidRPr="00447B59">
              <w:rPr>
                <w:rFonts w:cs="Arial"/>
                <w:sz w:val="18"/>
                <w:szCs w:val="18"/>
              </w:rPr>
              <w:t>Endocrinology</w:t>
            </w:r>
          </w:p>
        </w:tc>
        <w:tc>
          <w:tcPr>
            <w:tcW w:w="1622" w:type="dxa"/>
            <w:tcBorders>
              <w:top w:val="single" w:sz="4" w:space="0" w:color="auto"/>
              <w:left w:val="nil"/>
              <w:bottom w:val="nil"/>
              <w:right w:val="nil"/>
            </w:tcBorders>
            <w:shd w:val="clear" w:color="auto" w:fill="auto"/>
            <w:noWrap/>
            <w:vAlign w:val="center"/>
            <w:hideMark/>
          </w:tcPr>
          <w:p w:rsidR="0068753E" w:rsidRPr="00447B59" w:rsidRDefault="0068753E" w:rsidP="00CC12E4">
            <w:pPr>
              <w:spacing w:after="0" w:line="240" w:lineRule="auto"/>
              <w:rPr>
                <w:rFonts w:cs="Arial"/>
                <w:sz w:val="18"/>
                <w:szCs w:val="18"/>
              </w:rPr>
            </w:pPr>
            <w:r w:rsidRPr="00447B59">
              <w:rPr>
                <w:rFonts w:cs="Arial"/>
                <w:sz w:val="18"/>
                <w:szCs w:val="18"/>
              </w:rPr>
              <w:t>mortality effects (vs. year 1)</w:t>
            </w:r>
          </w:p>
        </w:tc>
        <w:tc>
          <w:tcPr>
            <w:tcW w:w="1209" w:type="dxa"/>
            <w:tcBorders>
              <w:top w:val="single" w:sz="4" w:space="0" w:color="auto"/>
              <w:left w:val="nil"/>
              <w:bottom w:val="nil"/>
              <w:right w:val="nil"/>
            </w:tcBorders>
            <w:shd w:val="clear" w:color="auto" w:fill="BFBFBF" w:themeFill="background1" w:themeFillShade="BF"/>
            <w:noWrap/>
            <w:vAlign w:val="center"/>
            <w:hideMark/>
          </w:tcPr>
          <w:p w:rsidR="0068753E" w:rsidRPr="003C6432" w:rsidRDefault="0068753E" w:rsidP="00CC12E4">
            <w:pPr>
              <w:spacing w:after="0" w:line="240" w:lineRule="auto"/>
              <w:jc w:val="center"/>
              <w:rPr>
                <w:rFonts w:cs="Arial"/>
                <w:sz w:val="18"/>
                <w:szCs w:val="18"/>
              </w:rPr>
            </w:pPr>
            <w:r w:rsidRPr="003C6432">
              <w:rPr>
                <w:rFonts w:cs="Arial"/>
                <w:sz w:val="18"/>
                <w:szCs w:val="18"/>
              </w:rPr>
              <w:t>estimable</w:t>
            </w:r>
            <w:r>
              <w:rPr>
                <w:rFonts w:cs="Arial"/>
                <w:sz w:val="18"/>
                <w:szCs w:val="18"/>
              </w:rPr>
              <w:t xml:space="preserve"> from data</w:t>
            </w:r>
          </w:p>
        </w:tc>
        <w:tc>
          <w:tcPr>
            <w:tcW w:w="1153" w:type="dxa"/>
            <w:tcBorders>
              <w:top w:val="single" w:sz="4" w:space="0" w:color="auto"/>
              <w:left w:val="nil"/>
              <w:bottom w:val="nil"/>
              <w:right w:val="nil"/>
            </w:tcBorders>
            <w:shd w:val="clear" w:color="auto" w:fill="auto"/>
            <w:noWrap/>
            <w:vAlign w:val="bottom"/>
            <w:hideMark/>
          </w:tcPr>
          <w:p w:rsidR="0068753E" w:rsidRDefault="0068753E" w:rsidP="00CC12E4">
            <w:pPr>
              <w:spacing w:after="0" w:line="240" w:lineRule="auto"/>
              <w:jc w:val="center"/>
              <w:rPr>
                <w:rFonts w:cs="Arial"/>
                <w:sz w:val="18"/>
                <w:szCs w:val="18"/>
              </w:rPr>
            </w:pPr>
            <w:r w:rsidRPr="003C6432">
              <w:rPr>
                <w:rFonts w:cs="Arial"/>
                <w:sz w:val="18"/>
                <w:szCs w:val="18"/>
              </w:rPr>
              <w:t>0.1 [1.4</w:t>
            </w:r>
            <w:r>
              <w:rPr>
                <w:rFonts w:cs="Arial"/>
                <w:sz w:val="18"/>
                <w:szCs w:val="18"/>
              </w:rPr>
              <w:t>]</w:t>
            </w:r>
          </w:p>
          <w:p w:rsidR="0068753E" w:rsidRPr="003C6432" w:rsidRDefault="0068753E" w:rsidP="00CC12E4">
            <w:pPr>
              <w:spacing w:after="0" w:line="240" w:lineRule="auto"/>
              <w:jc w:val="center"/>
              <w:rPr>
                <w:rFonts w:cs="Arial"/>
                <w:sz w:val="18"/>
                <w:szCs w:val="18"/>
              </w:rPr>
            </w:pPr>
            <w:r>
              <w:rPr>
                <w:rFonts w:cs="Arial"/>
                <w:sz w:val="18"/>
                <w:szCs w:val="18"/>
              </w:rPr>
              <w:t xml:space="preserve"> </w:t>
            </w:r>
            <w:r w:rsidRPr="003C6432">
              <w:rPr>
                <w:rFonts w:cs="Arial"/>
                <w:sz w:val="18"/>
                <w:szCs w:val="18"/>
              </w:rPr>
              <w:t>(0.1,3.1)</w:t>
            </w:r>
          </w:p>
        </w:tc>
        <w:tc>
          <w:tcPr>
            <w:tcW w:w="1209" w:type="dxa"/>
            <w:tcBorders>
              <w:top w:val="single" w:sz="4" w:space="0" w:color="auto"/>
              <w:left w:val="nil"/>
              <w:bottom w:val="nil"/>
              <w:right w:val="nil"/>
            </w:tcBorders>
            <w:shd w:val="clear" w:color="auto" w:fill="auto"/>
            <w:noWrap/>
            <w:vAlign w:val="bottom"/>
            <w:hideMark/>
          </w:tcPr>
          <w:p w:rsidR="0068753E" w:rsidRDefault="0068753E" w:rsidP="00CC12E4">
            <w:pPr>
              <w:spacing w:after="0" w:line="240" w:lineRule="auto"/>
              <w:jc w:val="center"/>
              <w:rPr>
                <w:rFonts w:cs="Arial"/>
                <w:sz w:val="18"/>
                <w:szCs w:val="18"/>
              </w:rPr>
            </w:pPr>
            <w:r w:rsidRPr="003C6432">
              <w:rPr>
                <w:rFonts w:cs="Arial"/>
                <w:sz w:val="18"/>
                <w:szCs w:val="18"/>
              </w:rPr>
              <w:t>0 [1</w:t>
            </w:r>
            <w:r>
              <w:rPr>
                <w:rFonts w:cs="Arial"/>
                <w:sz w:val="18"/>
                <w:szCs w:val="18"/>
              </w:rPr>
              <w:t>]</w:t>
            </w:r>
          </w:p>
          <w:p w:rsidR="0068753E" w:rsidRPr="003C6432" w:rsidRDefault="0068753E" w:rsidP="00CC12E4">
            <w:pPr>
              <w:spacing w:after="0" w:line="240" w:lineRule="auto"/>
              <w:jc w:val="center"/>
              <w:rPr>
                <w:rFonts w:cs="Arial"/>
                <w:sz w:val="18"/>
                <w:szCs w:val="18"/>
              </w:rPr>
            </w:pPr>
            <w:r>
              <w:rPr>
                <w:rFonts w:cs="Arial"/>
                <w:sz w:val="18"/>
                <w:szCs w:val="18"/>
              </w:rPr>
              <w:t xml:space="preserve"> </w:t>
            </w:r>
            <w:r w:rsidRPr="003C6432">
              <w:rPr>
                <w:rFonts w:cs="Arial"/>
                <w:sz w:val="18"/>
                <w:szCs w:val="18"/>
              </w:rPr>
              <w:t>(0.1,2.3)</w:t>
            </w:r>
          </w:p>
        </w:tc>
        <w:tc>
          <w:tcPr>
            <w:tcW w:w="1116" w:type="dxa"/>
            <w:tcBorders>
              <w:top w:val="single" w:sz="4" w:space="0" w:color="auto"/>
              <w:left w:val="nil"/>
              <w:bottom w:val="nil"/>
              <w:right w:val="nil"/>
            </w:tcBorders>
            <w:shd w:val="clear" w:color="auto" w:fill="auto"/>
            <w:noWrap/>
            <w:vAlign w:val="bottom"/>
            <w:hideMark/>
          </w:tcPr>
          <w:p w:rsidR="0068753E" w:rsidRDefault="0068753E" w:rsidP="00CC12E4">
            <w:pPr>
              <w:spacing w:after="0" w:line="240" w:lineRule="auto"/>
              <w:jc w:val="center"/>
              <w:rPr>
                <w:rFonts w:cs="Arial"/>
                <w:sz w:val="18"/>
                <w:szCs w:val="18"/>
              </w:rPr>
            </w:pPr>
            <w:r w:rsidRPr="003C6432">
              <w:rPr>
                <w:rFonts w:cs="Arial"/>
                <w:sz w:val="18"/>
                <w:szCs w:val="18"/>
              </w:rPr>
              <w:t>0 [0.6</w:t>
            </w:r>
            <w:r>
              <w:rPr>
                <w:rFonts w:cs="Arial"/>
                <w:sz w:val="18"/>
                <w:szCs w:val="18"/>
              </w:rPr>
              <w:t>]</w:t>
            </w:r>
          </w:p>
          <w:p w:rsidR="0068753E" w:rsidRPr="003C6432" w:rsidRDefault="0068753E" w:rsidP="00CC12E4">
            <w:pPr>
              <w:spacing w:after="0" w:line="240" w:lineRule="auto"/>
              <w:jc w:val="center"/>
              <w:rPr>
                <w:rFonts w:cs="Arial"/>
                <w:sz w:val="18"/>
                <w:szCs w:val="18"/>
              </w:rPr>
            </w:pPr>
            <w:r>
              <w:rPr>
                <w:rFonts w:cs="Arial"/>
                <w:sz w:val="18"/>
                <w:szCs w:val="18"/>
              </w:rPr>
              <w:t xml:space="preserve"> </w:t>
            </w:r>
            <w:r w:rsidRPr="003C6432">
              <w:rPr>
                <w:rFonts w:cs="Arial"/>
                <w:sz w:val="18"/>
                <w:szCs w:val="18"/>
              </w:rPr>
              <w:t>(0,1.4)</w:t>
            </w:r>
          </w:p>
        </w:tc>
        <w:tc>
          <w:tcPr>
            <w:tcW w:w="1408" w:type="dxa"/>
            <w:tcBorders>
              <w:top w:val="single" w:sz="4" w:space="0" w:color="auto"/>
              <w:left w:val="nil"/>
              <w:bottom w:val="nil"/>
              <w:right w:val="single" w:sz="4" w:space="0" w:color="auto"/>
            </w:tcBorders>
            <w:shd w:val="clear" w:color="auto" w:fill="auto"/>
            <w:noWrap/>
            <w:vAlign w:val="bottom"/>
            <w:hideMark/>
          </w:tcPr>
          <w:p w:rsidR="0068753E" w:rsidRDefault="0068753E" w:rsidP="00CC12E4">
            <w:pPr>
              <w:spacing w:after="0" w:line="240" w:lineRule="auto"/>
              <w:jc w:val="center"/>
              <w:rPr>
                <w:rFonts w:cs="Arial"/>
                <w:sz w:val="18"/>
                <w:szCs w:val="18"/>
              </w:rPr>
            </w:pPr>
            <w:r w:rsidRPr="003C6432">
              <w:rPr>
                <w:rFonts w:cs="Arial"/>
                <w:sz w:val="18"/>
                <w:szCs w:val="18"/>
              </w:rPr>
              <w:t>2 [9</w:t>
            </w:r>
            <w:r>
              <w:rPr>
                <w:rFonts w:cs="Arial"/>
                <w:sz w:val="18"/>
                <w:szCs w:val="18"/>
              </w:rPr>
              <w:t>]</w:t>
            </w:r>
          </w:p>
          <w:p w:rsidR="0068753E" w:rsidRPr="003C6432" w:rsidRDefault="0068753E" w:rsidP="00CC12E4">
            <w:pPr>
              <w:spacing w:after="0" w:line="240" w:lineRule="auto"/>
              <w:jc w:val="center"/>
              <w:rPr>
                <w:rFonts w:cs="Arial"/>
                <w:sz w:val="18"/>
                <w:szCs w:val="18"/>
              </w:rPr>
            </w:pPr>
            <w:r>
              <w:rPr>
                <w:rFonts w:cs="Arial"/>
                <w:sz w:val="18"/>
                <w:szCs w:val="18"/>
              </w:rPr>
              <w:t xml:space="preserve"> </w:t>
            </w:r>
            <w:r w:rsidRPr="003C6432">
              <w:rPr>
                <w:rFonts w:cs="Arial"/>
                <w:sz w:val="18"/>
                <w:szCs w:val="18"/>
              </w:rPr>
              <w:t>(1.5,19.7)</w:t>
            </w:r>
          </w:p>
        </w:tc>
      </w:tr>
      <w:tr w:rsidR="0068753E" w:rsidRPr="00447B59" w:rsidTr="00CC12E4">
        <w:tc>
          <w:tcPr>
            <w:tcW w:w="1497" w:type="dxa"/>
            <w:vMerge/>
            <w:tcBorders>
              <w:left w:val="single" w:sz="4" w:space="0" w:color="auto"/>
              <w:bottom w:val="single" w:sz="4" w:space="0" w:color="auto"/>
              <w:right w:val="nil"/>
            </w:tcBorders>
            <w:shd w:val="clear" w:color="auto" w:fill="auto"/>
            <w:noWrap/>
            <w:vAlign w:val="center"/>
            <w:hideMark/>
          </w:tcPr>
          <w:p w:rsidR="0068753E" w:rsidRPr="00447B59" w:rsidRDefault="0068753E" w:rsidP="00CC12E4">
            <w:pPr>
              <w:spacing w:after="0" w:line="240" w:lineRule="auto"/>
              <w:rPr>
                <w:rFonts w:cs="Arial"/>
                <w:sz w:val="18"/>
                <w:szCs w:val="18"/>
              </w:rPr>
            </w:pPr>
          </w:p>
        </w:tc>
        <w:tc>
          <w:tcPr>
            <w:tcW w:w="1622" w:type="dxa"/>
            <w:tcBorders>
              <w:top w:val="nil"/>
              <w:left w:val="nil"/>
              <w:bottom w:val="single" w:sz="4" w:space="0" w:color="auto"/>
              <w:right w:val="nil"/>
            </w:tcBorders>
            <w:shd w:val="clear" w:color="auto" w:fill="auto"/>
            <w:noWrap/>
            <w:vAlign w:val="center"/>
            <w:hideMark/>
          </w:tcPr>
          <w:p w:rsidR="0068753E" w:rsidRPr="00447B59" w:rsidRDefault="0068753E" w:rsidP="00CC12E4">
            <w:pPr>
              <w:spacing w:after="0" w:line="240" w:lineRule="auto"/>
              <w:rPr>
                <w:rFonts w:cs="Arial"/>
                <w:sz w:val="18"/>
                <w:szCs w:val="18"/>
              </w:rPr>
            </w:pPr>
            <w:r w:rsidRPr="00447B59">
              <w:rPr>
                <w:rFonts w:cs="Arial"/>
                <w:sz w:val="18"/>
                <w:szCs w:val="18"/>
              </w:rPr>
              <w:t>surrogacy</w:t>
            </w:r>
          </w:p>
          <w:p w:rsidR="0068753E" w:rsidRPr="00447B59" w:rsidRDefault="0068753E" w:rsidP="00CC12E4">
            <w:pPr>
              <w:spacing w:after="0" w:line="240" w:lineRule="auto"/>
              <w:rPr>
                <w:rFonts w:cs="Arial"/>
                <w:sz w:val="18"/>
                <w:szCs w:val="18"/>
              </w:rPr>
            </w:pPr>
            <w:r w:rsidRPr="00447B59">
              <w:rPr>
                <w:rFonts w:cs="Arial"/>
                <w:sz w:val="18"/>
                <w:szCs w:val="18"/>
              </w:rPr>
              <w:t>(vs. same year)</w:t>
            </w:r>
          </w:p>
        </w:tc>
        <w:tc>
          <w:tcPr>
            <w:tcW w:w="1209" w:type="dxa"/>
            <w:tcBorders>
              <w:top w:val="nil"/>
              <w:left w:val="nil"/>
              <w:bottom w:val="single" w:sz="4" w:space="0" w:color="auto"/>
              <w:right w:val="nil"/>
            </w:tcBorders>
            <w:shd w:val="clear" w:color="auto" w:fill="auto"/>
            <w:noWrap/>
            <w:vAlign w:val="bottom"/>
            <w:hideMark/>
          </w:tcPr>
          <w:p w:rsidR="0068753E" w:rsidRDefault="0068753E" w:rsidP="00CC12E4">
            <w:pPr>
              <w:spacing w:after="0" w:line="240" w:lineRule="auto"/>
              <w:jc w:val="center"/>
              <w:rPr>
                <w:rFonts w:cs="Arial"/>
                <w:sz w:val="18"/>
                <w:szCs w:val="18"/>
              </w:rPr>
            </w:pPr>
            <w:r w:rsidRPr="003C6432">
              <w:rPr>
                <w:rFonts w:cs="Arial"/>
                <w:sz w:val="18"/>
                <w:szCs w:val="18"/>
              </w:rPr>
              <w:t>0.1 [4.7</w:t>
            </w:r>
            <w:r>
              <w:rPr>
                <w:rFonts w:cs="Arial"/>
                <w:sz w:val="18"/>
                <w:szCs w:val="18"/>
              </w:rPr>
              <w:t>]</w:t>
            </w:r>
          </w:p>
          <w:p w:rsidR="0068753E" w:rsidRPr="003C6432" w:rsidRDefault="0068753E" w:rsidP="00CC12E4">
            <w:pPr>
              <w:spacing w:after="0" w:line="240" w:lineRule="auto"/>
              <w:jc w:val="center"/>
              <w:rPr>
                <w:rFonts w:cs="Arial"/>
                <w:sz w:val="18"/>
                <w:szCs w:val="18"/>
              </w:rPr>
            </w:pPr>
            <w:r>
              <w:rPr>
                <w:rFonts w:cs="Arial"/>
                <w:sz w:val="18"/>
                <w:szCs w:val="18"/>
              </w:rPr>
              <w:t xml:space="preserve"> </w:t>
            </w:r>
            <w:r w:rsidRPr="003C6432">
              <w:rPr>
                <w:rFonts w:cs="Arial"/>
                <w:sz w:val="18"/>
                <w:szCs w:val="18"/>
              </w:rPr>
              <w:t>(0.1,10)</w:t>
            </w:r>
          </w:p>
        </w:tc>
        <w:tc>
          <w:tcPr>
            <w:tcW w:w="1153" w:type="dxa"/>
            <w:tcBorders>
              <w:top w:val="nil"/>
              <w:left w:val="nil"/>
              <w:bottom w:val="single" w:sz="4" w:space="0" w:color="auto"/>
              <w:right w:val="nil"/>
            </w:tcBorders>
            <w:shd w:val="clear" w:color="auto" w:fill="auto"/>
            <w:noWrap/>
            <w:vAlign w:val="bottom"/>
            <w:hideMark/>
          </w:tcPr>
          <w:p w:rsidR="0068753E" w:rsidRDefault="0068753E" w:rsidP="00CC12E4">
            <w:pPr>
              <w:spacing w:after="0" w:line="240" w:lineRule="auto"/>
              <w:jc w:val="center"/>
              <w:rPr>
                <w:rFonts w:cs="Arial"/>
                <w:sz w:val="18"/>
                <w:szCs w:val="18"/>
              </w:rPr>
            </w:pPr>
            <w:r w:rsidRPr="003C6432">
              <w:rPr>
                <w:rFonts w:cs="Arial"/>
                <w:sz w:val="18"/>
                <w:szCs w:val="18"/>
              </w:rPr>
              <w:t>0.1 [6.2</w:t>
            </w:r>
            <w:r>
              <w:rPr>
                <w:rFonts w:cs="Arial"/>
                <w:sz w:val="18"/>
                <w:szCs w:val="18"/>
              </w:rPr>
              <w:t>]</w:t>
            </w:r>
          </w:p>
          <w:p w:rsidR="0068753E" w:rsidRPr="003C6432" w:rsidRDefault="0068753E" w:rsidP="00CC12E4">
            <w:pPr>
              <w:spacing w:after="0" w:line="240" w:lineRule="auto"/>
              <w:jc w:val="center"/>
              <w:rPr>
                <w:rFonts w:cs="Arial"/>
                <w:sz w:val="18"/>
                <w:szCs w:val="18"/>
              </w:rPr>
            </w:pPr>
            <w:r>
              <w:rPr>
                <w:rFonts w:cs="Arial"/>
                <w:sz w:val="18"/>
                <w:szCs w:val="18"/>
              </w:rPr>
              <w:t xml:space="preserve"> </w:t>
            </w:r>
            <w:r w:rsidRPr="003C6432">
              <w:rPr>
                <w:rFonts w:cs="Arial"/>
                <w:sz w:val="18"/>
                <w:szCs w:val="18"/>
              </w:rPr>
              <w:t>(0.2,13.2)</w:t>
            </w:r>
          </w:p>
        </w:tc>
        <w:tc>
          <w:tcPr>
            <w:tcW w:w="1209" w:type="dxa"/>
            <w:tcBorders>
              <w:top w:val="nil"/>
              <w:left w:val="nil"/>
              <w:bottom w:val="single" w:sz="4" w:space="0" w:color="auto"/>
              <w:right w:val="nil"/>
            </w:tcBorders>
            <w:shd w:val="clear" w:color="auto" w:fill="auto"/>
            <w:noWrap/>
            <w:vAlign w:val="bottom"/>
            <w:hideMark/>
          </w:tcPr>
          <w:p w:rsidR="0068753E" w:rsidRDefault="0068753E" w:rsidP="00CC12E4">
            <w:pPr>
              <w:spacing w:after="0" w:line="240" w:lineRule="auto"/>
              <w:jc w:val="center"/>
              <w:rPr>
                <w:rFonts w:cs="Arial"/>
                <w:sz w:val="18"/>
                <w:szCs w:val="18"/>
              </w:rPr>
            </w:pPr>
            <w:r w:rsidRPr="003C6432">
              <w:rPr>
                <w:rFonts w:cs="Arial"/>
                <w:sz w:val="18"/>
                <w:szCs w:val="18"/>
              </w:rPr>
              <w:t>0.1 [5.2</w:t>
            </w:r>
            <w:r>
              <w:rPr>
                <w:rFonts w:cs="Arial"/>
                <w:sz w:val="18"/>
                <w:szCs w:val="18"/>
              </w:rPr>
              <w:t>]</w:t>
            </w:r>
          </w:p>
          <w:p w:rsidR="0068753E" w:rsidRPr="003C6432" w:rsidRDefault="0068753E" w:rsidP="00CC12E4">
            <w:pPr>
              <w:spacing w:after="0" w:line="240" w:lineRule="auto"/>
              <w:jc w:val="center"/>
              <w:rPr>
                <w:rFonts w:cs="Arial"/>
                <w:sz w:val="18"/>
                <w:szCs w:val="18"/>
              </w:rPr>
            </w:pPr>
            <w:r>
              <w:rPr>
                <w:rFonts w:cs="Arial"/>
                <w:sz w:val="18"/>
                <w:szCs w:val="18"/>
              </w:rPr>
              <w:t xml:space="preserve"> </w:t>
            </w:r>
            <w:r w:rsidRPr="003C6432">
              <w:rPr>
                <w:rFonts w:cs="Arial"/>
                <w:sz w:val="18"/>
                <w:szCs w:val="18"/>
              </w:rPr>
              <w:t>(0.1,10.6)</w:t>
            </w:r>
          </w:p>
        </w:tc>
        <w:tc>
          <w:tcPr>
            <w:tcW w:w="1116" w:type="dxa"/>
            <w:tcBorders>
              <w:top w:val="nil"/>
              <w:left w:val="nil"/>
              <w:bottom w:val="single" w:sz="4" w:space="0" w:color="auto"/>
              <w:right w:val="nil"/>
            </w:tcBorders>
            <w:shd w:val="clear" w:color="auto" w:fill="auto"/>
            <w:noWrap/>
            <w:vAlign w:val="bottom"/>
            <w:hideMark/>
          </w:tcPr>
          <w:p w:rsidR="0068753E" w:rsidRDefault="0068753E" w:rsidP="00CC12E4">
            <w:pPr>
              <w:spacing w:after="0" w:line="240" w:lineRule="auto"/>
              <w:jc w:val="center"/>
              <w:rPr>
                <w:rFonts w:cs="Arial"/>
                <w:sz w:val="18"/>
                <w:szCs w:val="18"/>
              </w:rPr>
            </w:pPr>
            <w:r w:rsidRPr="003C6432">
              <w:rPr>
                <w:rFonts w:cs="Arial"/>
                <w:sz w:val="18"/>
                <w:szCs w:val="18"/>
              </w:rPr>
              <w:t>0 [5.5</w:t>
            </w:r>
            <w:r>
              <w:rPr>
                <w:rFonts w:cs="Arial"/>
                <w:sz w:val="18"/>
                <w:szCs w:val="18"/>
              </w:rPr>
              <w:t>]</w:t>
            </w:r>
          </w:p>
          <w:p w:rsidR="0068753E" w:rsidRPr="003C6432" w:rsidRDefault="0068753E" w:rsidP="00CC12E4">
            <w:pPr>
              <w:spacing w:after="0" w:line="240" w:lineRule="auto"/>
              <w:jc w:val="center"/>
              <w:rPr>
                <w:rFonts w:cs="Arial"/>
                <w:sz w:val="18"/>
                <w:szCs w:val="18"/>
              </w:rPr>
            </w:pPr>
            <w:r>
              <w:rPr>
                <w:rFonts w:cs="Arial"/>
                <w:sz w:val="18"/>
                <w:szCs w:val="18"/>
              </w:rPr>
              <w:t xml:space="preserve"> </w:t>
            </w:r>
            <w:r w:rsidRPr="003C6432">
              <w:rPr>
                <w:rFonts w:cs="Arial"/>
                <w:sz w:val="18"/>
                <w:szCs w:val="18"/>
              </w:rPr>
              <w:t>(0.1,11.1)</w:t>
            </w:r>
          </w:p>
        </w:tc>
        <w:tc>
          <w:tcPr>
            <w:tcW w:w="1408" w:type="dxa"/>
            <w:tcBorders>
              <w:top w:val="nil"/>
              <w:left w:val="nil"/>
              <w:bottom w:val="single" w:sz="4" w:space="0" w:color="auto"/>
              <w:right w:val="single" w:sz="4" w:space="0" w:color="auto"/>
            </w:tcBorders>
            <w:shd w:val="clear" w:color="auto" w:fill="auto"/>
            <w:noWrap/>
            <w:vAlign w:val="center"/>
            <w:hideMark/>
          </w:tcPr>
          <w:p w:rsidR="0068753E" w:rsidRPr="003C6432" w:rsidRDefault="0068753E" w:rsidP="00CC12E4">
            <w:pPr>
              <w:spacing w:after="0" w:line="240" w:lineRule="auto"/>
              <w:jc w:val="center"/>
              <w:rPr>
                <w:rFonts w:cs="Arial"/>
                <w:sz w:val="18"/>
                <w:szCs w:val="18"/>
              </w:rPr>
            </w:pPr>
            <w:r w:rsidRPr="003C6432">
              <w:rPr>
                <w:rFonts w:cs="Arial"/>
                <w:sz w:val="18"/>
                <w:szCs w:val="18"/>
              </w:rPr>
              <w:t>--</w:t>
            </w:r>
          </w:p>
        </w:tc>
      </w:tr>
      <w:tr w:rsidR="0068753E" w:rsidRPr="00447B59" w:rsidTr="00CC12E4">
        <w:tc>
          <w:tcPr>
            <w:tcW w:w="1497" w:type="dxa"/>
            <w:vMerge w:val="restart"/>
            <w:tcBorders>
              <w:top w:val="single" w:sz="4" w:space="0" w:color="auto"/>
              <w:left w:val="single" w:sz="4" w:space="0" w:color="auto"/>
              <w:right w:val="nil"/>
            </w:tcBorders>
            <w:shd w:val="clear" w:color="auto" w:fill="auto"/>
            <w:noWrap/>
            <w:vAlign w:val="center"/>
            <w:hideMark/>
          </w:tcPr>
          <w:p w:rsidR="0068753E" w:rsidRPr="00447B59" w:rsidRDefault="0068753E" w:rsidP="00CC12E4">
            <w:pPr>
              <w:spacing w:after="0" w:line="240" w:lineRule="auto"/>
              <w:rPr>
                <w:rFonts w:cs="Arial"/>
                <w:sz w:val="18"/>
                <w:szCs w:val="18"/>
              </w:rPr>
            </w:pPr>
            <w:r w:rsidRPr="00447B59">
              <w:rPr>
                <w:rFonts w:cs="Arial"/>
                <w:sz w:val="18"/>
                <w:szCs w:val="18"/>
              </w:rPr>
              <w:t>Others with mortality</w:t>
            </w:r>
          </w:p>
        </w:tc>
        <w:tc>
          <w:tcPr>
            <w:tcW w:w="1622" w:type="dxa"/>
            <w:tcBorders>
              <w:top w:val="single" w:sz="4" w:space="0" w:color="auto"/>
              <w:left w:val="nil"/>
              <w:bottom w:val="nil"/>
              <w:right w:val="nil"/>
            </w:tcBorders>
            <w:shd w:val="clear" w:color="auto" w:fill="auto"/>
            <w:noWrap/>
            <w:vAlign w:val="center"/>
            <w:hideMark/>
          </w:tcPr>
          <w:p w:rsidR="0068753E" w:rsidRPr="00447B59" w:rsidRDefault="0068753E" w:rsidP="00CC12E4">
            <w:pPr>
              <w:spacing w:after="0" w:line="240" w:lineRule="auto"/>
              <w:rPr>
                <w:rFonts w:cs="Arial"/>
                <w:sz w:val="18"/>
                <w:szCs w:val="18"/>
              </w:rPr>
            </w:pPr>
            <w:r w:rsidRPr="00447B59">
              <w:rPr>
                <w:rFonts w:cs="Arial"/>
                <w:sz w:val="18"/>
                <w:szCs w:val="18"/>
              </w:rPr>
              <w:t>mortality effects (vs. year 1)</w:t>
            </w:r>
          </w:p>
        </w:tc>
        <w:tc>
          <w:tcPr>
            <w:tcW w:w="1209" w:type="dxa"/>
            <w:tcBorders>
              <w:top w:val="single" w:sz="4" w:space="0" w:color="auto"/>
              <w:left w:val="nil"/>
              <w:bottom w:val="nil"/>
              <w:right w:val="nil"/>
            </w:tcBorders>
            <w:shd w:val="clear" w:color="auto" w:fill="BFBFBF" w:themeFill="background1" w:themeFillShade="BF"/>
            <w:noWrap/>
            <w:vAlign w:val="center"/>
            <w:hideMark/>
          </w:tcPr>
          <w:p w:rsidR="0068753E" w:rsidRPr="003C6432" w:rsidRDefault="0068753E" w:rsidP="00CC12E4">
            <w:pPr>
              <w:spacing w:after="0" w:line="240" w:lineRule="auto"/>
              <w:jc w:val="center"/>
              <w:rPr>
                <w:rFonts w:cs="Arial"/>
                <w:sz w:val="18"/>
                <w:szCs w:val="18"/>
              </w:rPr>
            </w:pPr>
            <w:r w:rsidRPr="003C6432">
              <w:rPr>
                <w:rFonts w:cs="Arial"/>
                <w:sz w:val="18"/>
                <w:szCs w:val="18"/>
              </w:rPr>
              <w:t>estimable</w:t>
            </w:r>
            <w:r>
              <w:rPr>
                <w:rFonts w:cs="Arial"/>
                <w:sz w:val="18"/>
                <w:szCs w:val="18"/>
              </w:rPr>
              <w:t xml:space="preserve"> from data</w:t>
            </w:r>
          </w:p>
        </w:tc>
        <w:tc>
          <w:tcPr>
            <w:tcW w:w="1153" w:type="dxa"/>
            <w:tcBorders>
              <w:top w:val="single" w:sz="4" w:space="0" w:color="auto"/>
              <w:left w:val="nil"/>
              <w:bottom w:val="nil"/>
              <w:right w:val="nil"/>
            </w:tcBorders>
            <w:shd w:val="clear" w:color="auto" w:fill="auto"/>
            <w:noWrap/>
            <w:vAlign w:val="bottom"/>
            <w:hideMark/>
          </w:tcPr>
          <w:p w:rsidR="0068753E" w:rsidRDefault="0068753E" w:rsidP="00CC12E4">
            <w:pPr>
              <w:spacing w:after="0" w:line="240" w:lineRule="auto"/>
              <w:jc w:val="center"/>
              <w:rPr>
                <w:rFonts w:cs="Arial"/>
                <w:sz w:val="18"/>
                <w:szCs w:val="18"/>
              </w:rPr>
            </w:pPr>
            <w:r w:rsidRPr="003C6432">
              <w:rPr>
                <w:rFonts w:cs="Arial"/>
                <w:sz w:val="18"/>
                <w:szCs w:val="18"/>
              </w:rPr>
              <w:t>0.1 [1.8</w:t>
            </w:r>
            <w:r>
              <w:rPr>
                <w:rFonts w:cs="Arial"/>
                <w:sz w:val="18"/>
                <w:szCs w:val="18"/>
              </w:rPr>
              <w:t>]</w:t>
            </w:r>
          </w:p>
          <w:p w:rsidR="0068753E" w:rsidRPr="003C6432" w:rsidRDefault="0068753E" w:rsidP="00CC12E4">
            <w:pPr>
              <w:spacing w:after="0" w:line="240" w:lineRule="auto"/>
              <w:jc w:val="center"/>
              <w:rPr>
                <w:rFonts w:cs="Arial"/>
                <w:sz w:val="18"/>
                <w:szCs w:val="18"/>
              </w:rPr>
            </w:pPr>
            <w:r>
              <w:rPr>
                <w:rFonts w:cs="Arial"/>
                <w:sz w:val="18"/>
                <w:szCs w:val="18"/>
              </w:rPr>
              <w:t xml:space="preserve"> </w:t>
            </w:r>
            <w:r w:rsidRPr="003C6432">
              <w:rPr>
                <w:rFonts w:cs="Arial"/>
                <w:sz w:val="18"/>
                <w:szCs w:val="18"/>
              </w:rPr>
              <w:t>(0.1,4)</w:t>
            </w:r>
          </w:p>
        </w:tc>
        <w:tc>
          <w:tcPr>
            <w:tcW w:w="1209" w:type="dxa"/>
            <w:tcBorders>
              <w:top w:val="single" w:sz="4" w:space="0" w:color="auto"/>
              <w:left w:val="nil"/>
              <w:bottom w:val="nil"/>
              <w:right w:val="nil"/>
            </w:tcBorders>
            <w:shd w:val="clear" w:color="auto" w:fill="auto"/>
            <w:noWrap/>
            <w:vAlign w:val="bottom"/>
            <w:hideMark/>
          </w:tcPr>
          <w:p w:rsidR="0068753E" w:rsidRDefault="0068753E" w:rsidP="00CC12E4">
            <w:pPr>
              <w:spacing w:after="0" w:line="240" w:lineRule="auto"/>
              <w:jc w:val="center"/>
              <w:rPr>
                <w:rFonts w:cs="Arial"/>
                <w:sz w:val="18"/>
                <w:szCs w:val="18"/>
              </w:rPr>
            </w:pPr>
            <w:r w:rsidRPr="003C6432">
              <w:rPr>
                <w:rFonts w:cs="Arial"/>
                <w:sz w:val="18"/>
                <w:szCs w:val="18"/>
              </w:rPr>
              <w:t>0 [1.1</w:t>
            </w:r>
            <w:r>
              <w:rPr>
                <w:rFonts w:cs="Arial"/>
                <w:sz w:val="18"/>
                <w:szCs w:val="18"/>
              </w:rPr>
              <w:t>]</w:t>
            </w:r>
          </w:p>
          <w:p w:rsidR="0068753E" w:rsidRPr="003C6432" w:rsidRDefault="0068753E" w:rsidP="00CC12E4">
            <w:pPr>
              <w:spacing w:after="0" w:line="240" w:lineRule="auto"/>
              <w:jc w:val="center"/>
              <w:rPr>
                <w:rFonts w:cs="Arial"/>
                <w:sz w:val="18"/>
                <w:szCs w:val="18"/>
              </w:rPr>
            </w:pPr>
            <w:r>
              <w:rPr>
                <w:rFonts w:cs="Arial"/>
                <w:sz w:val="18"/>
                <w:szCs w:val="18"/>
              </w:rPr>
              <w:t xml:space="preserve"> </w:t>
            </w:r>
            <w:r w:rsidRPr="003C6432">
              <w:rPr>
                <w:rFonts w:cs="Arial"/>
                <w:sz w:val="18"/>
                <w:szCs w:val="18"/>
              </w:rPr>
              <w:t>(0,2.4)</w:t>
            </w:r>
          </w:p>
        </w:tc>
        <w:tc>
          <w:tcPr>
            <w:tcW w:w="1116" w:type="dxa"/>
            <w:tcBorders>
              <w:top w:val="single" w:sz="4" w:space="0" w:color="auto"/>
              <w:left w:val="nil"/>
              <w:bottom w:val="nil"/>
              <w:right w:val="nil"/>
            </w:tcBorders>
            <w:shd w:val="clear" w:color="auto" w:fill="auto"/>
            <w:noWrap/>
            <w:vAlign w:val="bottom"/>
            <w:hideMark/>
          </w:tcPr>
          <w:p w:rsidR="0068753E" w:rsidRDefault="0068753E" w:rsidP="00CC12E4">
            <w:pPr>
              <w:spacing w:after="0" w:line="240" w:lineRule="auto"/>
              <w:jc w:val="center"/>
              <w:rPr>
                <w:rFonts w:cs="Arial"/>
                <w:sz w:val="18"/>
                <w:szCs w:val="18"/>
              </w:rPr>
            </w:pPr>
            <w:r w:rsidRPr="003C6432">
              <w:rPr>
                <w:rFonts w:cs="Arial"/>
                <w:sz w:val="18"/>
                <w:szCs w:val="18"/>
              </w:rPr>
              <w:t>0 [0.9</w:t>
            </w:r>
            <w:r>
              <w:rPr>
                <w:rFonts w:cs="Arial"/>
                <w:sz w:val="18"/>
                <w:szCs w:val="18"/>
              </w:rPr>
              <w:t>]</w:t>
            </w:r>
          </w:p>
          <w:p w:rsidR="0068753E" w:rsidRPr="003C6432" w:rsidRDefault="0068753E" w:rsidP="00CC12E4">
            <w:pPr>
              <w:spacing w:after="0" w:line="240" w:lineRule="auto"/>
              <w:jc w:val="center"/>
              <w:rPr>
                <w:rFonts w:cs="Arial"/>
                <w:sz w:val="18"/>
                <w:szCs w:val="18"/>
              </w:rPr>
            </w:pPr>
            <w:r>
              <w:rPr>
                <w:rFonts w:cs="Arial"/>
                <w:sz w:val="18"/>
                <w:szCs w:val="18"/>
              </w:rPr>
              <w:t xml:space="preserve"> </w:t>
            </w:r>
            <w:r w:rsidRPr="003C6432">
              <w:rPr>
                <w:rFonts w:cs="Arial"/>
                <w:sz w:val="18"/>
                <w:szCs w:val="18"/>
              </w:rPr>
              <w:t>(0,1.8)</w:t>
            </w:r>
          </w:p>
        </w:tc>
        <w:tc>
          <w:tcPr>
            <w:tcW w:w="1408" w:type="dxa"/>
            <w:tcBorders>
              <w:top w:val="single" w:sz="4" w:space="0" w:color="auto"/>
              <w:left w:val="nil"/>
              <w:bottom w:val="nil"/>
              <w:right w:val="single" w:sz="4" w:space="0" w:color="auto"/>
            </w:tcBorders>
            <w:shd w:val="clear" w:color="auto" w:fill="auto"/>
            <w:noWrap/>
            <w:vAlign w:val="bottom"/>
            <w:hideMark/>
          </w:tcPr>
          <w:p w:rsidR="0068753E" w:rsidRDefault="0068753E" w:rsidP="00CC12E4">
            <w:pPr>
              <w:spacing w:after="0" w:line="240" w:lineRule="auto"/>
              <w:jc w:val="center"/>
              <w:rPr>
                <w:rFonts w:cs="Arial"/>
                <w:sz w:val="18"/>
                <w:szCs w:val="18"/>
              </w:rPr>
            </w:pPr>
            <w:r w:rsidRPr="003C6432">
              <w:rPr>
                <w:rFonts w:cs="Arial"/>
                <w:sz w:val="18"/>
                <w:szCs w:val="18"/>
              </w:rPr>
              <w:t>2.1 [9.5</w:t>
            </w:r>
            <w:r>
              <w:rPr>
                <w:rFonts w:cs="Arial"/>
                <w:sz w:val="18"/>
                <w:szCs w:val="18"/>
              </w:rPr>
              <w:t>]</w:t>
            </w:r>
          </w:p>
          <w:p w:rsidR="0068753E" w:rsidRPr="003C6432" w:rsidRDefault="0068753E" w:rsidP="00CC12E4">
            <w:pPr>
              <w:spacing w:after="0" w:line="240" w:lineRule="auto"/>
              <w:jc w:val="center"/>
              <w:rPr>
                <w:rFonts w:cs="Arial"/>
                <w:sz w:val="18"/>
                <w:szCs w:val="18"/>
              </w:rPr>
            </w:pPr>
            <w:r>
              <w:rPr>
                <w:rFonts w:cs="Arial"/>
                <w:sz w:val="18"/>
                <w:szCs w:val="18"/>
              </w:rPr>
              <w:t xml:space="preserve"> </w:t>
            </w:r>
            <w:r w:rsidRPr="003C6432">
              <w:rPr>
                <w:rFonts w:cs="Arial"/>
                <w:sz w:val="18"/>
                <w:szCs w:val="18"/>
              </w:rPr>
              <w:t>(1.6,20.8)</w:t>
            </w:r>
          </w:p>
        </w:tc>
      </w:tr>
      <w:tr w:rsidR="0068753E" w:rsidRPr="00447B59" w:rsidTr="00CC12E4">
        <w:tc>
          <w:tcPr>
            <w:tcW w:w="1497" w:type="dxa"/>
            <w:vMerge/>
            <w:tcBorders>
              <w:left w:val="single" w:sz="4" w:space="0" w:color="auto"/>
              <w:bottom w:val="single" w:sz="12" w:space="0" w:color="auto"/>
              <w:right w:val="nil"/>
            </w:tcBorders>
            <w:shd w:val="clear" w:color="auto" w:fill="auto"/>
            <w:noWrap/>
            <w:vAlign w:val="center"/>
            <w:hideMark/>
          </w:tcPr>
          <w:p w:rsidR="0068753E" w:rsidRPr="00447B59" w:rsidRDefault="0068753E" w:rsidP="00CC12E4">
            <w:pPr>
              <w:spacing w:after="0" w:line="240" w:lineRule="auto"/>
              <w:jc w:val="center"/>
              <w:rPr>
                <w:rFonts w:cs="Arial"/>
                <w:sz w:val="18"/>
                <w:szCs w:val="18"/>
              </w:rPr>
            </w:pPr>
          </w:p>
        </w:tc>
        <w:tc>
          <w:tcPr>
            <w:tcW w:w="1622" w:type="dxa"/>
            <w:tcBorders>
              <w:top w:val="nil"/>
              <w:left w:val="nil"/>
              <w:bottom w:val="single" w:sz="12" w:space="0" w:color="auto"/>
              <w:right w:val="nil"/>
            </w:tcBorders>
            <w:shd w:val="clear" w:color="auto" w:fill="auto"/>
            <w:noWrap/>
            <w:vAlign w:val="center"/>
            <w:hideMark/>
          </w:tcPr>
          <w:p w:rsidR="0068753E" w:rsidRPr="00447B59" w:rsidRDefault="0068753E" w:rsidP="00CC12E4">
            <w:pPr>
              <w:spacing w:after="0" w:line="240" w:lineRule="auto"/>
              <w:rPr>
                <w:rFonts w:cs="Arial"/>
                <w:sz w:val="18"/>
                <w:szCs w:val="18"/>
              </w:rPr>
            </w:pPr>
            <w:r w:rsidRPr="00447B59">
              <w:rPr>
                <w:rFonts w:cs="Arial"/>
                <w:sz w:val="18"/>
                <w:szCs w:val="18"/>
              </w:rPr>
              <w:t>surrogacy</w:t>
            </w:r>
          </w:p>
          <w:p w:rsidR="0068753E" w:rsidRPr="00447B59" w:rsidRDefault="0068753E" w:rsidP="00CC12E4">
            <w:pPr>
              <w:spacing w:after="0" w:line="240" w:lineRule="auto"/>
              <w:rPr>
                <w:rFonts w:cs="Arial"/>
                <w:sz w:val="18"/>
                <w:szCs w:val="18"/>
              </w:rPr>
            </w:pPr>
            <w:r w:rsidRPr="00447B59">
              <w:rPr>
                <w:rFonts w:cs="Arial"/>
                <w:sz w:val="18"/>
                <w:szCs w:val="18"/>
              </w:rPr>
              <w:t>(vs. same year)</w:t>
            </w:r>
          </w:p>
        </w:tc>
        <w:tc>
          <w:tcPr>
            <w:tcW w:w="1209" w:type="dxa"/>
            <w:tcBorders>
              <w:top w:val="nil"/>
              <w:left w:val="nil"/>
              <w:bottom w:val="single" w:sz="12" w:space="0" w:color="auto"/>
              <w:right w:val="nil"/>
            </w:tcBorders>
            <w:shd w:val="clear" w:color="auto" w:fill="auto"/>
            <w:noWrap/>
            <w:vAlign w:val="bottom"/>
            <w:hideMark/>
          </w:tcPr>
          <w:p w:rsidR="0068753E" w:rsidRDefault="0068753E" w:rsidP="00CC12E4">
            <w:pPr>
              <w:spacing w:after="0" w:line="240" w:lineRule="auto"/>
              <w:jc w:val="center"/>
              <w:rPr>
                <w:rFonts w:cs="Arial"/>
                <w:sz w:val="18"/>
                <w:szCs w:val="18"/>
              </w:rPr>
            </w:pPr>
            <w:r w:rsidRPr="003C6432">
              <w:rPr>
                <w:rFonts w:cs="Arial"/>
                <w:sz w:val="18"/>
                <w:szCs w:val="18"/>
              </w:rPr>
              <w:t>0.1 [4.7</w:t>
            </w:r>
            <w:r>
              <w:rPr>
                <w:rFonts w:cs="Arial"/>
                <w:sz w:val="18"/>
                <w:szCs w:val="18"/>
              </w:rPr>
              <w:t>]</w:t>
            </w:r>
          </w:p>
          <w:p w:rsidR="0068753E" w:rsidRPr="003C6432" w:rsidRDefault="0068753E" w:rsidP="00CC12E4">
            <w:pPr>
              <w:spacing w:after="0" w:line="240" w:lineRule="auto"/>
              <w:jc w:val="center"/>
              <w:rPr>
                <w:rFonts w:cs="Arial"/>
                <w:sz w:val="18"/>
                <w:szCs w:val="18"/>
              </w:rPr>
            </w:pPr>
            <w:r>
              <w:rPr>
                <w:rFonts w:cs="Arial"/>
                <w:sz w:val="18"/>
                <w:szCs w:val="18"/>
              </w:rPr>
              <w:t xml:space="preserve"> </w:t>
            </w:r>
            <w:r w:rsidRPr="003C6432">
              <w:rPr>
                <w:rFonts w:cs="Arial"/>
                <w:sz w:val="18"/>
                <w:szCs w:val="18"/>
              </w:rPr>
              <w:t>(0.2,10.3)</w:t>
            </w:r>
          </w:p>
        </w:tc>
        <w:tc>
          <w:tcPr>
            <w:tcW w:w="1153" w:type="dxa"/>
            <w:tcBorders>
              <w:top w:val="nil"/>
              <w:left w:val="nil"/>
              <w:bottom w:val="single" w:sz="12" w:space="0" w:color="auto"/>
              <w:right w:val="nil"/>
            </w:tcBorders>
            <w:shd w:val="clear" w:color="auto" w:fill="auto"/>
            <w:noWrap/>
            <w:vAlign w:val="bottom"/>
            <w:hideMark/>
          </w:tcPr>
          <w:p w:rsidR="0068753E" w:rsidRDefault="0068753E" w:rsidP="00CC12E4">
            <w:pPr>
              <w:spacing w:after="0" w:line="240" w:lineRule="auto"/>
              <w:jc w:val="center"/>
              <w:rPr>
                <w:rFonts w:cs="Arial"/>
                <w:sz w:val="18"/>
                <w:szCs w:val="18"/>
              </w:rPr>
            </w:pPr>
            <w:r w:rsidRPr="003C6432">
              <w:rPr>
                <w:rFonts w:cs="Arial"/>
                <w:sz w:val="18"/>
                <w:szCs w:val="18"/>
              </w:rPr>
              <w:t>0.3 [5.4</w:t>
            </w:r>
            <w:r>
              <w:rPr>
                <w:rFonts w:cs="Arial"/>
                <w:sz w:val="18"/>
                <w:szCs w:val="18"/>
              </w:rPr>
              <w:t>]</w:t>
            </w:r>
          </w:p>
          <w:p w:rsidR="0068753E" w:rsidRPr="003C6432" w:rsidRDefault="0068753E" w:rsidP="00CC12E4">
            <w:pPr>
              <w:spacing w:after="0" w:line="240" w:lineRule="auto"/>
              <w:jc w:val="center"/>
              <w:rPr>
                <w:rFonts w:cs="Arial"/>
                <w:sz w:val="18"/>
                <w:szCs w:val="18"/>
              </w:rPr>
            </w:pPr>
            <w:r>
              <w:rPr>
                <w:rFonts w:cs="Arial"/>
                <w:sz w:val="18"/>
                <w:szCs w:val="18"/>
              </w:rPr>
              <w:t xml:space="preserve"> </w:t>
            </w:r>
            <w:r w:rsidRPr="003C6432">
              <w:rPr>
                <w:rFonts w:cs="Arial"/>
                <w:sz w:val="18"/>
                <w:szCs w:val="18"/>
              </w:rPr>
              <w:t>(0.3,12.2)</w:t>
            </w:r>
          </w:p>
        </w:tc>
        <w:tc>
          <w:tcPr>
            <w:tcW w:w="1209" w:type="dxa"/>
            <w:tcBorders>
              <w:top w:val="nil"/>
              <w:left w:val="nil"/>
              <w:bottom w:val="single" w:sz="12" w:space="0" w:color="auto"/>
              <w:right w:val="nil"/>
            </w:tcBorders>
            <w:shd w:val="clear" w:color="auto" w:fill="auto"/>
            <w:noWrap/>
            <w:vAlign w:val="bottom"/>
            <w:hideMark/>
          </w:tcPr>
          <w:p w:rsidR="0068753E" w:rsidRDefault="0068753E" w:rsidP="00CC12E4">
            <w:pPr>
              <w:spacing w:after="0" w:line="240" w:lineRule="auto"/>
              <w:jc w:val="center"/>
              <w:rPr>
                <w:rFonts w:cs="Arial"/>
                <w:sz w:val="18"/>
                <w:szCs w:val="18"/>
              </w:rPr>
            </w:pPr>
            <w:r w:rsidRPr="003C6432">
              <w:rPr>
                <w:rFonts w:cs="Arial"/>
                <w:sz w:val="18"/>
                <w:szCs w:val="18"/>
              </w:rPr>
              <w:t>0.3 [6.4</w:t>
            </w:r>
            <w:r>
              <w:rPr>
                <w:rFonts w:cs="Arial"/>
                <w:sz w:val="18"/>
                <w:szCs w:val="18"/>
              </w:rPr>
              <w:t>]</w:t>
            </w:r>
          </w:p>
          <w:p w:rsidR="0068753E" w:rsidRPr="003C6432" w:rsidRDefault="0068753E" w:rsidP="00CC12E4">
            <w:pPr>
              <w:spacing w:after="0" w:line="240" w:lineRule="auto"/>
              <w:jc w:val="center"/>
              <w:rPr>
                <w:rFonts w:cs="Arial"/>
                <w:sz w:val="18"/>
                <w:szCs w:val="18"/>
              </w:rPr>
            </w:pPr>
            <w:r>
              <w:rPr>
                <w:rFonts w:cs="Arial"/>
                <w:sz w:val="18"/>
                <w:szCs w:val="18"/>
              </w:rPr>
              <w:t xml:space="preserve"> </w:t>
            </w:r>
            <w:r w:rsidRPr="003C6432">
              <w:rPr>
                <w:rFonts w:cs="Arial"/>
                <w:sz w:val="18"/>
                <w:szCs w:val="18"/>
              </w:rPr>
              <w:t>(0.3,14.3)</w:t>
            </w:r>
          </w:p>
        </w:tc>
        <w:tc>
          <w:tcPr>
            <w:tcW w:w="1116" w:type="dxa"/>
            <w:tcBorders>
              <w:top w:val="nil"/>
              <w:left w:val="nil"/>
              <w:bottom w:val="single" w:sz="12" w:space="0" w:color="auto"/>
              <w:right w:val="nil"/>
            </w:tcBorders>
            <w:shd w:val="clear" w:color="auto" w:fill="auto"/>
            <w:noWrap/>
            <w:vAlign w:val="bottom"/>
            <w:hideMark/>
          </w:tcPr>
          <w:p w:rsidR="0068753E" w:rsidRDefault="0068753E" w:rsidP="00CC12E4">
            <w:pPr>
              <w:spacing w:after="0" w:line="240" w:lineRule="auto"/>
              <w:jc w:val="center"/>
              <w:rPr>
                <w:rFonts w:cs="Arial"/>
                <w:sz w:val="18"/>
                <w:szCs w:val="18"/>
              </w:rPr>
            </w:pPr>
            <w:r w:rsidRPr="003C6432">
              <w:rPr>
                <w:rFonts w:cs="Arial"/>
                <w:sz w:val="18"/>
                <w:szCs w:val="18"/>
              </w:rPr>
              <w:t>0.2 [8.8</w:t>
            </w:r>
            <w:r>
              <w:rPr>
                <w:rFonts w:cs="Arial"/>
                <w:sz w:val="18"/>
                <w:szCs w:val="18"/>
              </w:rPr>
              <w:t>]</w:t>
            </w:r>
          </w:p>
          <w:p w:rsidR="0068753E" w:rsidRPr="003C6432" w:rsidRDefault="0068753E" w:rsidP="00CC12E4">
            <w:pPr>
              <w:spacing w:after="0" w:line="240" w:lineRule="auto"/>
              <w:jc w:val="center"/>
              <w:rPr>
                <w:rFonts w:cs="Arial"/>
                <w:sz w:val="18"/>
                <w:szCs w:val="18"/>
              </w:rPr>
            </w:pPr>
            <w:r>
              <w:rPr>
                <w:rFonts w:cs="Arial"/>
                <w:sz w:val="18"/>
                <w:szCs w:val="18"/>
              </w:rPr>
              <w:t xml:space="preserve"> </w:t>
            </w:r>
            <w:r w:rsidRPr="003C6432">
              <w:rPr>
                <w:rFonts w:cs="Arial"/>
                <w:sz w:val="18"/>
                <w:szCs w:val="18"/>
              </w:rPr>
              <w:t>(0.3,19.2)</w:t>
            </w:r>
          </w:p>
        </w:tc>
        <w:tc>
          <w:tcPr>
            <w:tcW w:w="1408" w:type="dxa"/>
            <w:tcBorders>
              <w:top w:val="nil"/>
              <w:left w:val="nil"/>
              <w:bottom w:val="single" w:sz="12" w:space="0" w:color="auto"/>
              <w:right w:val="single" w:sz="4" w:space="0" w:color="auto"/>
            </w:tcBorders>
            <w:shd w:val="clear" w:color="auto" w:fill="auto"/>
            <w:noWrap/>
            <w:vAlign w:val="center"/>
            <w:hideMark/>
          </w:tcPr>
          <w:p w:rsidR="0068753E" w:rsidRPr="003C6432" w:rsidRDefault="0068753E" w:rsidP="00CC12E4">
            <w:pPr>
              <w:spacing w:after="0" w:line="240" w:lineRule="auto"/>
              <w:jc w:val="center"/>
              <w:rPr>
                <w:rFonts w:cs="Arial"/>
                <w:sz w:val="18"/>
                <w:szCs w:val="18"/>
              </w:rPr>
            </w:pPr>
            <w:r w:rsidRPr="003C6432">
              <w:rPr>
                <w:rFonts w:cs="Arial"/>
                <w:sz w:val="18"/>
                <w:szCs w:val="18"/>
              </w:rPr>
              <w:t>--</w:t>
            </w:r>
          </w:p>
        </w:tc>
      </w:tr>
      <w:tr w:rsidR="0068753E" w:rsidRPr="00447B59" w:rsidTr="00CC12E4">
        <w:tc>
          <w:tcPr>
            <w:tcW w:w="1497" w:type="dxa"/>
            <w:tcBorders>
              <w:top w:val="single" w:sz="12" w:space="0" w:color="auto"/>
              <w:left w:val="single" w:sz="4" w:space="0" w:color="auto"/>
              <w:right w:val="nil"/>
            </w:tcBorders>
            <w:shd w:val="clear" w:color="auto" w:fill="auto"/>
            <w:noWrap/>
            <w:vAlign w:val="center"/>
          </w:tcPr>
          <w:p w:rsidR="0068753E" w:rsidRPr="00447B59" w:rsidRDefault="0068753E" w:rsidP="00CC12E4">
            <w:pPr>
              <w:spacing w:after="0" w:line="240" w:lineRule="auto"/>
              <w:rPr>
                <w:rFonts w:cs="Arial"/>
                <w:sz w:val="18"/>
                <w:szCs w:val="18"/>
              </w:rPr>
            </w:pPr>
            <w:r w:rsidRPr="00447B59">
              <w:rPr>
                <w:rFonts w:cs="Arial"/>
                <w:sz w:val="18"/>
                <w:szCs w:val="18"/>
              </w:rPr>
              <w:t>Mental Health</w:t>
            </w:r>
          </w:p>
        </w:tc>
        <w:tc>
          <w:tcPr>
            <w:tcW w:w="1622" w:type="dxa"/>
            <w:vMerge w:val="restart"/>
            <w:tcBorders>
              <w:top w:val="single" w:sz="12" w:space="0" w:color="auto"/>
              <w:left w:val="nil"/>
              <w:right w:val="nil"/>
            </w:tcBorders>
            <w:shd w:val="clear" w:color="auto" w:fill="auto"/>
            <w:noWrap/>
            <w:vAlign w:val="center"/>
          </w:tcPr>
          <w:p w:rsidR="0068753E" w:rsidRPr="00447B59" w:rsidRDefault="0068753E" w:rsidP="00CC12E4">
            <w:pPr>
              <w:spacing w:after="0" w:line="240" w:lineRule="auto"/>
              <w:rPr>
                <w:rFonts w:cs="Arial"/>
                <w:sz w:val="18"/>
                <w:szCs w:val="18"/>
              </w:rPr>
            </w:pPr>
            <w:r w:rsidRPr="00447B59">
              <w:rPr>
                <w:rFonts w:cs="Arial"/>
                <w:sz w:val="18"/>
                <w:szCs w:val="18"/>
              </w:rPr>
              <w:t>Extrapolation (vs. same year)</w:t>
            </w:r>
          </w:p>
        </w:tc>
        <w:tc>
          <w:tcPr>
            <w:tcW w:w="1209" w:type="dxa"/>
            <w:tcBorders>
              <w:top w:val="single" w:sz="12" w:space="0" w:color="auto"/>
              <w:left w:val="nil"/>
              <w:bottom w:val="nil"/>
              <w:right w:val="nil"/>
            </w:tcBorders>
            <w:shd w:val="clear" w:color="auto" w:fill="auto"/>
            <w:noWrap/>
            <w:vAlign w:val="bottom"/>
          </w:tcPr>
          <w:p w:rsidR="0068753E" w:rsidRPr="000C5177" w:rsidRDefault="0068753E" w:rsidP="00CC12E4">
            <w:pPr>
              <w:spacing w:after="0" w:line="240" w:lineRule="auto"/>
              <w:jc w:val="center"/>
              <w:rPr>
                <w:rFonts w:cs="Arial"/>
                <w:sz w:val="18"/>
                <w:szCs w:val="18"/>
              </w:rPr>
            </w:pPr>
            <w:r w:rsidRPr="000C5177">
              <w:rPr>
                <w:rFonts w:cs="Arial"/>
                <w:sz w:val="18"/>
                <w:szCs w:val="18"/>
              </w:rPr>
              <w:t>0.7 [4] (0.6,8.8)</w:t>
            </w:r>
          </w:p>
        </w:tc>
        <w:tc>
          <w:tcPr>
            <w:tcW w:w="1153" w:type="dxa"/>
            <w:tcBorders>
              <w:top w:val="single" w:sz="12" w:space="0" w:color="auto"/>
              <w:left w:val="nil"/>
              <w:bottom w:val="nil"/>
              <w:right w:val="nil"/>
            </w:tcBorders>
            <w:shd w:val="clear" w:color="auto" w:fill="auto"/>
            <w:noWrap/>
            <w:vAlign w:val="bottom"/>
          </w:tcPr>
          <w:p w:rsidR="0068753E" w:rsidRPr="000C5177" w:rsidRDefault="0068753E" w:rsidP="00CC12E4">
            <w:pPr>
              <w:spacing w:after="0" w:line="240" w:lineRule="auto"/>
              <w:jc w:val="center"/>
              <w:rPr>
                <w:rFonts w:cs="Arial"/>
                <w:sz w:val="18"/>
                <w:szCs w:val="18"/>
              </w:rPr>
            </w:pPr>
            <w:r w:rsidRPr="000C5177">
              <w:rPr>
                <w:rFonts w:cs="Arial"/>
                <w:sz w:val="18"/>
                <w:szCs w:val="18"/>
              </w:rPr>
              <w:t>0.6 [3.8] (0.5,8.5)</w:t>
            </w:r>
          </w:p>
        </w:tc>
        <w:tc>
          <w:tcPr>
            <w:tcW w:w="1209" w:type="dxa"/>
            <w:tcBorders>
              <w:top w:val="single" w:sz="12" w:space="0" w:color="auto"/>
              <w:left w:val="nil"/>
              <w:bottom w:val="nil"/>
              <w:right w:val="nil"/>
            </w:tcBorders>
            <w:shd w:val="clear" w:color="auto" w:fill="auto"/>
            <w:noWrap/>
            <w:vAlign w:val="bottom"/>
          </w:tcPr>
          <w:p w:rsidR="0068753E" w:rsidRPr="000C5177" w:rsidRDefault="0068753E" w:rsidP="00CC12E4">
            <w:pPr>
              <w:spacing w:after="0" w:line="240" w:lineRule="auto"/>
              <w:jc w:val="center"/>
              <w:rPr>
                <w:rFonts w:cs="Arial"/>
                <w:sz w:val="18"/>
                <w:szCs w:val="18"/>
              </w:rPr>
            </w:pPr>
            <w:r w:rsidRPr="000C5177">
              <w:rPr>
                <w:rFonts w:cs="Arial"/>
                <w:sz w:val="18"/>
                <w:szCs w:val="18"/>
              </w:rPr>
              <w:t>0.6 [3.6] (0.5,7.9)</w:t>
            </w:r>
          </w:p>
        </w:tc>
        <w:tc>
          <w:tcPr>
            <w:tcW w:w="1116" w:type="dxa"/>
            <w:tcBorders>
              <w:top w:val="single" w:sz="12" w:space="0" w:color="auto"/>
              <w:left w:val="nil"/>
              <w:bottom w:val="nil"/>
              <w:right w:val="nil"/>
            </w:tcBorders>
            <w:shd w:val="clear" w:color="auto" w:fill="auto"/>
            <w:noWrap/>
            <w:vAlign w:val="bottom"/>
          </w:tcPr>
          <w:p w:rsidR="0068753E" w:rsidRPr="000C5177" w:rsidRDefault="0068753E" w:rsidP="00CC12E4">
            <w:pPr>
              <w:spacing w:after="0" w:line="240" w:lineRule="auto"/>
              <w:jc w:val="center"/>
              <w:rPr>
                <w:rFonts w:cs="Arial"/>
                <w:sz w:val="18"/>
                <w:szCs w:val="18"/>
              </w:rPr>
            </w:pPr>
            <w:r w:rsidRPr="000C5177">
              <w:rPr>
                <w:rFonts w:cs="Arial"/>
                <w:sz w:val="18"/>
                <w:szCs w:val="18"/>
              </w:rPr>
              <w:t>0.6 [3.3] (0.5,7.3)</w:t>
            </w:r>
          </w:p>
        </w:tc>
        <w:tc>
          <w:tcPr>
            <w:tcW w:w="1408" w:type="dxa"/>
            <w:tcBorders>
              <w:top w:val="single" w:sz="12" w:space="0" w:color="auto"/>
              <w:left w:val="nil"/>
              <w:bottom w:val="nil"/>
              <w:right w:val="single" w:sz="4" w:space="0" w:color="auto"/>
            </w:tcBorders>
            <w:shd w:val="clear" w:color="auto" w:fill="auto"/>
            <w:noWrap/>
            <w:vAlign w:val="bottom"/>
          </w:tcPr>
          <w:p w:rsidR="0068753E" w:rsidRPr="003C6432" w:rsidRDefault="0068753E" w:rsidP="00CC12E4">
            <w:pPr>
              <w:spacing w:after="0" w:line="240" w:lineRule="auto"/>
              <w:jc w:val="center"/>
              <w:rPr>
                <w:rFonts w:cs="Arial"/>
                <w:sz w:val="18"/>
                <w:szCs w:val="18"/>
              </w:rPr>
            </w:pPr>
          </w:p>
        </w:tc>
      </w:tr>
      <w:tr w:rsidR="0068753E" w:rsidRPr="00447B59" w:rsidTr="00CC12E4">
        <w:tc>
          <w:tcPr>
            <w:tcW w:w="1497" w:type="dxa"/>
            <w:tcBorders>
              <w:left w:val="single" w:sz="4" w:space="0" w:color="auto"/>
              <w:right w:val="nil"/>
            </w:tcBorders>
            <w:shd w:val="clear" w:color="auto" w:fill="auto"/>
            <w:noWrap/>
            <w:vAlign w:val="center"/>
          </w:tcPr>
          <w:p w:rsidR="0068753E" w:rsidRPr="00447B59" w:rsidRDefault="0068753E" w:rsidP="00CC12E4">
            <w:pPr>
              <w:spacing w:after="0" w:line="240" w:lineRule="auto"/>
              <w:rPr>
                <w:rFonts w:cs="Arial"/>
                <w:sz w:val="18"/>
                <w:szCs w:val="18"/>
              </w:rPr>
            </w:pPr>
            <w:r w:rsidRPr="00447B59">
              <w:rPr>
                <w:rFonts w:cs="Arial"/>
                <w:sz w:val="18"/>
                <w:szCs w:val="18"/>
              </w:rPr>
              <w:t>Musculoskeletal</w:t>
            </w:r>
          </w:p>
        </w:tc>
        <w:tc>
          <w:tcPr>
            <w:tcW w:w="1622" w:type="dxa"/>
            <w:vMerge/>
            <w:tcBorders>
              <w:left w:val="nil"/>
              <w:right w:val="nil"/>
            </w:tcBorders>
            <w:shd w:val="clear" w:color="auto" w:fill="auto"/>
            <w:noWrap/>
            <w:vAlign w:val="center"/>
          </w:tcPr>
          <w:p w:rsidR="0068753E" w:rsidRPr="00447B59" w:rsidRDefault="0068753E" w:rsidP="00CC12E4">
            <w:pPr>
              <w:spacing w:after="0" w:line="240" w:lineRule="auto"/>
              <w:rPr>
                <w:rFonts w:cs="Arial"/>
                <w:sz w:val="18"/>
                <w:szCs w:val="18"/>
              </w:rPr>
            </w:pPr>
          </w:p>
        </w:tc>
        <w:tc>
          <w:tcPr>
            <w:tcW w:w="1209" w:type="dxa"/>
            <w:tcBorders>
              <w:top w:val="nil"/>
              <w:left w:val="nil"/>
              <w:right w:val="nil"/>
            </w:tcBorders>
            <w:shd w:val="clear" w:color="auto" w:fill="auto"/>
            <w:noWrap/>
            <w:vAlign w:val="bottom"/>
          </w:tcPr>
          <w:p w:rsidR="0068753E" w:rsidRPr="000C5177" w:rsidRDefault="0068753E" w:rsidP="00CC12E4">
            <w:pPr>
              <w:spacing w:after="0" w:line="240" w:lineRule="auto"/>
              <w:jc w:val="center"/>
              <w:rPr>
                <w:rFonts w:cs="Arial"/>
                <w:sz w:val="18"/>
                <w:szCs w:val="18"/>
              </w:rPr>
            </w:pPr>
            <w:r w:rsidRPr="000C5177">
              <w:rPr>
                <w:rFonts w:cs="Arial"/>
                <w:sz w:val="18"/>
                <w:szCs w:val="18"/>
              </w:rPr>
              <w:t>0.5 [4.7] (0.5,10.7)</w:t>
            </w:r>
          </w:p>
        </w:tc>
        <w:tc>
          <w:tcPr>
            <w:tcW w:w="1153" w:type="dxa"/>
            <w:tcBorders>
              <w:top w:val="nil"/>
              <w:left w:val="nil"/>
              <w:right w:val="nil"/>
            </w:tcBorders>
            <w:shd w:val="clear" w:color="auto" w:fill="auto"/>
            <w:noWrap/>
            <w:vAlign w:val="bottom"/>
          </w:tcPr>
          <w:p w:rsidR="0068753E" w:rsidRPr="000C5177" w:rsidRDefault="0068753E" w:rsidP="00CC12E4">
            <w:pPr>
              <w:spacing w:after="0" w:line="240" w:lineRule="auto"/>
              <w:jc w:val="center"/>
              <w:rPr>
                <w:rFonts w:cs="Arial"/>
                <w:sz w:val="18"/>
                <w:szCs w:val="18"/>
              </w:rPr>
            </w:pPr>
            <w:r w:rsidRPr="000C5177">
              <w:rPr>
                <w:rFonts w:cs="Arial"/>
                <w:sz w:val="18"/>
                <w:szCs w:val="18"/>
              </w:rPr>
              <w:t>0.5 [4.1] (0.4,9.3)</w:t>
            </w:r>
          </w:p>
        </w:tc>
        <w:tc>
          <w:tcPr>
            <w:tcW w:w="1209" w:type="dxa"/>
            <w:tcBorders>
              <w:top w:val="nil"/>
              <w:left w:val="nil"/>
              <w:right w:val="nil"/>
            </w:tcBorders>
            <w:shd w:val="clear" w:color="auto" w:fill="auto"/>
            <w:noWrap/>
            <w:vAlign w:val="bottom"/>
          </w:tcPr>
          <w:p w:rsidR="0068753E" w:rsidRPr="000C5177" w:rsidRDefault="0068753E" w:rsidP="00CC12E4">
            <w:pPr>
              <w:spacing w:after="0" w:line="240" w:lineRule="auto"/>
              <w:jc w:val="center"/>
              <w:rPr>
                <w:rFonts w:cs="Arial"/>
                <w:sz w:val="18"/>
                <w:szCs w:val="18"/>
              </w:rPr>
            </w:pPr>
            <w:r w:rsidRPr="000C5177">
              <w:rPr>
                <w:rFonts w:cs="Arial"/>
                <w:sz w:val="18"/>
                <w:szCs w:val="18"/>
              </w:rPr>
              <w:t>0.6 [3.4] (0.5,7.5)</w:t>
            </w:r>
          </w:p>
        </w:tc>
        <w:tc>
          <w:tcPr>
            <w:tcW w:w="1116" w:type="dxa"/>
            <w:tcBorders>
              <w:top w:val="nil"/>
              <w:left w:val="nil"/>
              <w:right w:val="nil"/>
            </w:tcBorders>
            <w:shd w:val="clear" w:color="auto" w:fill="auto"/>
            <w:noWrap/>
            <w:vAlign w:val="bottom"/>
          </w:tcPr>
          <w:p w:rsidR="0068753E" w:rsidRPr="000C5177" w:rsidRDefault="0068753E" w:rsidP="00CC12E4">
            <w:pPr>
              <w:spacing w:after="0" w:line="240" w:lineRule="auto"/>
              <w:jc w:val="center"/>
              <w:rPr>
                <w:rFonts w:cs="Arial"/>
                <w:sz w:val="18"/>
                <w:szCs w:val="18"/>
              </w:rPr>
            </w:pPr>
            <w:r w:rsidRPr="000C5177">
              <w:rPr>
                <w:rFonts w:cs="Arial"/>
                <w:sz w:val="18"/>
                <w:szCs w:val="18"/>
              </w:rPr>
              <w:t>0.6 [3.1] (0.5,7)</w:t>
            </w:r>
          </w:p>
        </w:tc>
        <w:tc>
          <w:tcPr>
            <w:tcW w:w="1408" w:type="dxa"/>
            <w:tcBorders>
              <w:top w:val="nil"/>
              <w:left w:val="nil"/>
              <w:right w:val="single" w:sz="4" w:space="0" w:color="auto"/>
            </w:tcBorders>
            <w:shd w:val="clear" w:color="auto" w:fill="auto"/>
            <w:noWrap/>
            <w:vAlign w:val="bottom"/>
          </w:tcPr>
          <w:p w:rsidR="0068753E" w:rsidRPr="003C6432" w:rsidRDefault="0068753E" w:rsidP="00CC12E4">
            <w:pPr>
              <w:spacing w:after="0" w:line="240" w:lineRule="auto"/>
              <w:jc w:val="center"/>
              <w:rPr>
                <w:rFonts w:cs="Arial"/>
                <w:sz w:val="18"/>
                <w:szCs w:val="18"/>
              </w:rPr>
            </w:pPr>
          </w:p>
        </w:tc>
      </w:tr>
      <w:tr w:rsidR="0068753E" w:rsidRPr="00447B59" w:rsidTr="00CC12E4">
        <w:tc>
          <w:tcPr>
            <w:tcW w:w="1497" w:type="dxa"/>
            <w:tcBorders>
              <w:left w:val="single" w:sz="4" w:space="0" w:color="auto"/>
              <w:bottom w:val="single" w:sz="4" w:space="0" w:color="auto"/>
              <w:right w:val="nil"/>
            </w:tcBorders>
            <w:shd w:val="clear" w:color="auto" w:fill="auto"/>
            <w:noWrap/>
            <w:vAlign w:val="center"/>
          </w:tcPr>
          <w:p w:rsidR="0068753E" w:rsidRPr="00447B59" w:rsidRDefault="0068753E" w:rsidP="00CC12E4">
            <w:pPr>
              <w:spacing w:after="0" w:line="240" w:lineRule="auto"/>
              <w:rPr>
                <w:rFonts w:cs="Arial"/>
                <w:sz w:val="18"/>
                <w:szCs w:val="18"/>
              </w:rPr>
            </w:pPr>
            <w:r w:rsidRPr="00447B59">
              <w:rPr>
                <w:rFonts w:cs="Arial"/>
                <w:sz w:val="18"/>
                <w:szCs w:val="18"/>
              </w:rPr>
              <w:t>Others without mortality</w:t>
            </w:r>
          </w:p>
        </w:tc>
        <w:tc>
          <w:tcPr>
            <w:tcW w:w="1622" w:type="dxa"/>
            <w:vMerge/>
            <w:tcBorders>
              <w:left w:val="nil"/>
              <w:bottom w:val="single" w:sz="4" w:space="0" w:color="auto"/>
              <w:right w:val="nil"/>
            </w:tcBorders>
            <w:shd w:val="clear" w:color="auto" w:fill="auto"/>
            <w:noWrap/>
            <w:vAlign w:val="center"/>
          </w:tcPr>
          <w:p w:rsidR="0068753E" w:rsidRPr="00447B59" w:rsidRDefault="0068753E" w:rsidP="00CC12E4">
            <w:pPr>
              <w:spacing w:after="0" w:line="240" w:lineRule="auto"/>
              <w:rPr>
                <w:rFonts w:cs="Arial"/>
                <w:sz w:val="18"/>
                <w:szCs w:val="18"/>
              </w:rPr>
            </w:pPr>
          </w:p>
        </w:tc>
        <w:tc>
          <w:tcPr>
            <w:tcW w:w="1209" w:type="dxa"/>
            <w:tcBorders>
              <w:top w:val="nil"/>
              <w:left w:val="nil"/>
              <w:bottom w:val="single" w:sz="4" w:space="0" w:color="auto"/>
              <w:right w:val="nil"/>
            </w:tcBorders>
            <w:shd w:val="clear" w:color="auto" w:fill="auto"/>
            <w:noWrap/>
            <w:vAlign w:val="bottom"/>
          </w:tcPr>
          <w:p w:rsidR="0068753E" w:rsidRPr="000C5177" w:rsidRDefault="0068753E" w:rsidP="00CC12E4">
            <w:pPr>
              <w:spacing w:after="0" w:line="240" w:lineRule="auto"/>
              <w:jc w:val="center"/>
              <w:rPr>
                <w:rFonts w:cs="Arial"/>
                <w:sz w:val="18"/>
                <w:szCs w:val="18"/>
              </w:rPr>
            </w:pPr>
            <w:r w:rsidRPr="000C5177">
              <w:rPr>
                <w:rFonts w:cs="Arial"/>
                <w:sz w:val="18"/>
                <w:szCs w:val="18"/>
              </w:rPr>
              <w:t>0.6 [3.4] (0.5,7.5)</w:t>
            </w:r>
          </w:p>
        </w:tc>
        <w:tc>
          <w:tcPr>
            <w:tcW w:w="1153" w:type="dxa"/>
            <w:tcBorders>
              <w:top w:val="nil"/>
              <w:left w:val="nil"/>
              <w:bottom w:val="single" w:sz="4" w:space="0" w:color="auto"/>
              <w:right w:val="nil"/>
            </w:tcBorders>
            <w:shd w:val="clear" w:color="auto" w:fill="auto"/>
            <w:noWrap/>
            <w:vAlign w:val="bottom"/>
          </w:tcPr>
          <w:p w:rsidR="0068753E" w:rsidRPr="000C5177" w:rsidRDefault="0068753E" w:rsidP="00CC12E4">
            <w:pPr>
              <w:spacing w:after="0" w:line="240" w:lineRule="auto"/>
              <w:jc w:val="center"/>
              <w:rPr>
                <w:rFonts w:cs="Arial"/>
                <w:sz w:val="18"/>
                <w:szCs w:val="18"/>
              </w:rPr>
            </w:pPr>
            <w:r w:rsidRPr="000C5177">
              <w:rPr>
                <w:rFonts w:cs="Arial"/>
                <w:sz w:val="18"/>
                <w:szCs w:val="18"/>
              </w:rPr>
              <w:t>0.4 [3.2] (0.4,7.1)</w:t>
            </w:r>
          </w:p>
        </w:tc>
        <w:tc>
          <w:tcPr>
            <w:tcW w:w="1209" w:type="dxa"/>
            <w:tcBorders>
              <w:top w:val="nil"/>
              <w:left w:val="nil"/>
              <w:bottom w:val="single" w:sz="4" w:space="0" w:color="auto"/>
              <w:right w:val="nil"/>
            </w:tcBorders>
            <w:shd w:val="clear" w:color="auto" w:fill="auto"/>
            <w:noWrap/>
            <w:vAlign w:val="bottom"/>
          </w:tcPr>
          <w:p w:rsidR="0068753E" w:rsidRPr="000C5177" w:rsidRDefault="0068753E" w:rsidP="00CC12E4">
            <w:pPr>
              <w:spacing w:after="0" w:line="240" w:lineRule="auto"/>
              <w:jc w:val="center"/>
              <w:rPr>
                <w:rFonts w:cs="Arial"/>
                <w:sz w:val="18"/>
                <w:szCs w:val="18"/>
              </w:rPr>
            </w:pPr>
            <w:r w:rsidRPr="000C5177">
              <w:rPr>
                <w:rFonts w:cs="Arial"/>
                <w:sz w:val="18"/>
                <w:szCs w:val="18"/>
              </w:rPr>
              <w:t>0.7 [2.5] (0.5,5.3)</w:t>
            </w:r>
          </w:p>
        </w:tc>
        <w:tc>
          <w:tcPr>
            <w:tcW w:w="1116" w:type="dxa"/>
            <w:tcBorders>
              <w:top w:val="nil"/>
              <w:left w:val="nil"/>
              <w:bottom w:val="single" w:sz="4" w:space="0" w:color="auto"/>
              <w:right w:val="nil"/>
            </w:tcBorders>
            <w:shd w:val="clear" w:color="auto" w:fill="auto"/>
            <w:noWrap/>
            <w:vAlign w:val="bottom"/>
          </w:tcPr>
          <w:p w:rsidR="0068753E" w:rsidRPr="000C5177" w:rsidRDefault="0068753E" w:rsidP="00CC12E4">
            <w:pPr>
              <w:spacing w:after="0" w:line="240" w:lineRule="auto"/>
              <w:jc w:val="center"/>
              <w:rPr>
                <w:rFonts w:cs="Arial"/>
                <w:sz w:val="18"/>
                <w:szCs w:val="18"/>
              </w:rPr>
            </w:pPr>
            <w:r w:rsidRPr="000C5177">
              <w:rPr>
                <w:rFonts w:cs="Arial"/>
                <w:sz w:val="18"/>
                <w:szCs w:val="18"/>
              </w:rPr>
              <w:t>0.6 [2.6] (0.4,5.8)</w:t>
            </w:r>
          </w:p>
        </w:tc>
        <w:tc>
          <w:tcPr>
            <w:tcW w:w="1408" w:type="dxa"/>
            <w:tcBorders>
              <w:top w:val="nil"/>
              <w:left w:val="nil"/>
              <w:bottom w:val="single" w:sz="4" w:space="0" w:color="auto"/>
              <w:right w:val="single" w:sz="4" w:space="0" w:color="auto"/>
            </w:tcBorders>
            <w:shd w:val="clear" w:color="auto" w:fill="auto"/>
            <w:noWrap/>
            <w:vAlign w:val="bottom"/>
          </w:tcPr>
          <w:p w:rsidR="0068753E" w:rsidRPr="003C6432" w:rsidRDefault="0068753E" w:rsidP="00CC12E4">
            <w:pPr>
              <w:spacing w:after="0" w:line="240" w:lineRule="auto"/>
              <w:jc w:val="center"/>
              <w:rPr>
                <w:rFonts w:cs="Arial"/>
                <w:sz w:val="18"/>
                <w:szCs w:val="18"/>
              </w:rPr>
            </w:pPr>
          </w:p>
        </w:tc>
      </w:tr>
    </w:tbl>
    <w:p w:rsidR="0068753E" w:rsidRPr="00447B59" w:rsidRDefault="0068753E" w:rsidP="00CC12E4">
      <w:pPr>
        <w:spacing w:after="0"/>
        <w:rPr>
          <w:rFonts w:cs="Arial"/>
          <w:sz w:val="18"/>
          <w:szCs w:val="18"/>
        </w:rPr>
      </w:pPr>
      <w:r w:rsidRPr="00447B59">
        <w:rPr>
          <w:rFonts w:cs="Arial"/>
          <w:sz w:val="18"/>
          <w:szCs w:val="18"/>
        </w:rPr>
        <w:t>* beyond the year of increased expenditure</w:t>
      </w:r>
    </w:p>
    <w:p w:rsidR="0068753E" w:rsidRDefault="0068753E">
      <w:r>
        <w:br w:type="page"/>
      </w:r>
    </w:p>
    <w:p w:rsidR="0068753E" w:rsidRPr="00776935" w:rsidRDefault="0068753E" w:rsidP="00CC12E4">
      <w:pPr>
        <w:pStyle w:val="Caption"/>
        <w:spacing w:after="0"/>
        <w:rPr>
          <w:rFonts w:cs="Arial"/>
          <w:b w:val="0"/>
          <w:color w:val="000000" w:themeColor="text1"/>
        </w:rPr>
      </w:pPr>
      <w:bookmarkStart w:id="16" w:name="_Ref492383767"/>
      <w:r w:rsidRPr="00A350D3">
        <w:rPr>
          <w:rFonts w:cs="Arial"/>
          <w:b w:val="0"/>
          <w:color w:val="000000" w:themeColor="text1"/>
        </w:rPr>
        <w:lastRenderedPageBreak/>
        <w:t xml:space="preserve">Table </w:t>
      </w:r>
      <w:bookmarkEnd w:id="16"/>
      <w:r>
        <w:rPr>
          <w:rFonts w:cs="Arial"/>
          <w:b w:val="0"/>
          <w:color w:val="000000" w:themeColor="text1"/>
        </w:rPr>
        <w:t>4</w:t>
      </w:r>
      <w:r w:rsidRPr="00A350D3">
        <w:rPr>
          <w:rFonts w:cs="Arial"/>
          <w:b w:val="0"/>
          <w:color w:val="000000" w:themeColor="text1"/>
        </w:rPr>
        <w:t>: Duration of effects, surrogacy and extrapolation -- all policy experts pooled.</w:t>
      </w:r>
      <w:r w:rsidRPr="00776935">
        <w:rPr>
          <w:rFonts w:cs="Arial"/>
          <w:b w:val="0"/>
          <w:color w:val="000000" w:themeColor="text1"/>
        </w:rPr>
        <w:t xml:space="preserve"> </w:t>
      </w:r>
    </w:p>
    <w:tbl>
      <w:tblPr>
        <w:tblW w:w="9214" w:type="dxa"/>
        <w:tblInd w:w="108" w:type="dxa"/>
        <w:tblLook w:val="04A0" w:firstRow="1" w:lastRow="0" w:firstColumn="1" w:lastColumn="0" w:noHBand="0" w:noVBand="1"/>
      </w:tblPr>
      <w:tblGrid>
        <w:gridCol w:w="1497"/>
        <w:gridCol w:w="1622"/>
        <w:gridCol w:w="1209"/>
        <w:gridCol w:w="1153"/>
        <w:gridCol w:w="1209"/>
        <w:gridCol w:w="1116"/>
        <w:gridCol w:w="1408"/>
      </w:tblGrid>
      <w:tr w:rsidR="0068753E" w:rsidRPr="00776935" w:rsidTr="00CC12E4">
        <w:tc>
          <w:tcPr>
            <w:tcW w:w="1497" w:type="dxa"/>
            <w:tcBorders>
              <w:top w:val="single" w:sz="4" w:space="0" w:color="auto"/>
              <w:left w:val="single" w:sz="4" w:space="0" w:color="auto"/>
              <w:right w:val="nil"/>
            </w:tcBorders>
            <w:shd w:val="clear" w:color="auto" w:fill="auto"/>
            <w:noWrap/>
            <w:vAlign w:val="bottom"/>
            <w:hideMark/>
          </w:tcPr>
          <w:p w:rsidR="0068753E" w:rsidRPr="00776935" w:rsidRDefault="0068753E" w:rsidP="00CC12E4">
            <w:pPr>
              <w:spacing w:after="0" w:line="240" w:lineRule="auto"/>
              <w:rPr>
                <w:rFonts w:cs="Arial"/>
                <w:sz w:val="18"/>
              </w:rPr>
            </w:pPr>
          </w:p>
        </w:tc>
        <w:tc>
          <w:tcPr>
            <w:tcW w:w="1622" w:type="dxa"/>
            <w:tcBorders>
              <w:top w:val="single" w:sz="4" w:space="0" w:color="auto"/>
              <w:left w:val="nil"/>
              <w:right w:val="nil"/>
            </w:tcBorders>
            <w:shd w:val="clear" w:color="auto" w:fill="auto"/>
            <w:noWrap/>
            <w:vAlign w:val="bottom"/>
            <w:hideMark/>
          </w:tcPr>
          <w:p w:rsidR="0068753E" w:rsidRPr="00776935" w:rsidRDefault="0068753E" w:rsidP="00CC12E4">
            <w:pPr>
              <w:spacing w:after="0" w:line="240" w:lineRule="auto"/>
              <w:rPr>
                <w:rFonts w:cs="Arial"/>
                <w:sz w:val="18"/>
              </w:rPr>
            </w:pPr>
          </w:p>
        </w:tc>
        <w:tc>
          <w:tcPr>
            <w:tcW w:w="1209" w:type="dxa"/>
            <w:tcBorders>
              <w:top w:val="single" w:sz="4" w:space="0" w:color="auto"/>
              <w:left w:val="nil"/>
              <w:right w:val="nil"/>
            </w:tcBorders>
            <w:shd w:val="clear" w:color="auto" w:fill="auto"/>
            <w:noWrap/>
            <w:vAlign w:val="bottom"/>
            <w:hideMark/>
          </w:tcPr>
          <w:p w:rsidR="0068753E" w:rsidRPr="00776935" w:rsidRDefault="0068753E" w:rsidP="00CC12E4">
            <w:pPr>
              <w:spacing w:after="0" w:line="240" w:lineRule="auto"/>
              <w:jc w:val="center"/>
              <w:rPr>
                <w:rFonts w:cs="Arial"/>
                <w:sz w:val="18"/>
              </w:rPr>
            </w:pPr>
            <w:r w:rsidRPr="00776935">
              <w:rPr>
                <w:rFonts w:cs="Arial"/>
                <w:sz w:val="18"/>
              </w:rPr>
              <w:t>year 1</w:t>
            </w:r>
          </w:p>
        </w:tc>
        <w:tc>
          <w:tcPr>
            <w:tcW w:w="1153" w:type="dxa"/>
            <w:tcBorders>
              <w:top w:val="single" w:sz="4" w:space="0" w:color="auto"/>
              <w:left w:val="nil"/>
              <w:right w:val="nil"/>
            </w:tcBorders>
            <w:shd w:val="clear" w:color="auto" w:fill="auto"/>
            <w:noWrap/>
            <w:vAlign w:val="bottom"/>
            <w:hideMark/>
          </w:tcPr>
          <w:p w:rsidR="0068753E" w:rsidRPr="00776935" w:rsidRDefault="0068753E" w:rsidP="00CC12E4">
            <w:pPr>
              <w:spacing w:after="0" w:line="240" w:lineRule="auto"/>
              <w:jc w:val="center"/>
              <w:rPr>
                <w:rFonts w:cs="Arial"/>
                <w:sz w:val="18"/>
              </w:rPr>
            </w:pPr>
            <w:r w:rsidRPr="00776935">
              <w:rPr>
                <w:rFonts w:cs="Arial"/>
                <w:sz w:val="18"/>
              </w:rPr>
              <w:t>year 2</w:t>
            </w:r>
          </w:p>
        </w:tc>
        <w:tc>
          <w:tcPr>
            <w:tcW w:w="1209" w:type="dxa"/>
            <w:tcBorders>
              <w:top w:val="single" w:sz="4" w:space="0" w:color="auto"/>
              <w:left w:val="nil"/>
              <w:right w:val="nil"/>
            </w:tcBorders>
            <w:shd w:val="clear" w:color="auto" w:fill="auto"/>
            <w:noWrap/>
            <w:vAlign w:val="bottom"/>
            <w:hideMark/>
          </w:tcPr>
          <w:p w:rsidR="0068753E" w:rsidRPr="00776935" w:rsidRDefault="0068753E" w:rsidP="00CC12E4">
            <w:pPr>
              <w:spacing w:after="0" w:line="240" w:lineRule="auto"/>
              <w:jc w:val="center"/>
              <w:rPr>
                <w:rFonts w:cs="Arial"/>
                <w:sz w:val="18"/>
              </w:rPr>
            </w:pPr>
            <w:r w:rsidRPr="00776935">
              <w:rPr>
                <w:rFonts w:cs="Arial"/>
                <w:sz w:val="18"/>
              </w:rPr>
              <w:t>year 3</w:t>
            </w:r>
          </w:p>
        </w:tc>
        <w:tc>
          <w:tcPr>
            <w:tcW w:w="1116" w:type="dxa"/>
            <w:tcBorders>
              <w:top w:val="single" w:sz="4" w:space="0" w:color="auto"/>
              <w:left w:val="nil"/>
              <w:right w:val="nil"/>
            </w:tcBorders>
            <w:shd w:val="clear" w:color="auto" w:fill="auto"/>
            <w:noWrap/>
            <w:vAlign w:val="bottom"/>
            <w:hideMark/>
          </w:tcPr>
          <w:p w:rsidR="0068753E" w:rsidRPr="00776935" w:rsidRDefault="0068753E" w:rsidP="00CC12E4">
            <w:pPr>
              <w:spacing w:after="0" w:line="240" w:lineRule="auto"/>
              <w:jc w:val="center"/>
              <w:rPr>
                <w:rFonts w:cs="Arial"/>
                <w:sz w:val="18"/>
              </w:rPr>
            </w:pPr>
            <w:r w:rsidRPr="00776935">
              <w:rPr>
                <w:rFonts w:cs="Arial"/>
                <w:sz w:val="18"/>
              </w:rPr>
              <w:t>year 4</w:t>
            </w:r>
          </w:p>
        </w:tc>
        <w:tc>
          <w:tcPr>
            <w:tcW w:w="1408" w:type="dxa"/>
            <w:tcBorders>
              <w:top w:val="single" w:sz="4" w:space="0" w:color="auto"/>
              <w:left w:val="nil"/>
              <w:right w:val="single" w:sz="4" w:space="0" w:color="auto"/>
            </w:tcBorders>
            <w:shd w:val="clear" w:color="auto" w:fill="auto"/>
            <w:noWrap/>
            <w:vAlign w:val="bottom"/>
            <w:hideMark/>
          </w:tcPr>
          <w:p w:rsidR="0068753E" w:rsidRPr="00776935" w:rsidRDefault="0068753E" w:rsidP="00CC12E4">
            <w:pPr>
              <w:spacing w:after="0" w:line="240" w:lineRule="auto"/>
              <w:jc w:val="center"/>
              <w:rPr>
                <w:rFonts w:cs="Arial"/>
                <w:sz w:val="18"/>
              </w:rPr>
            </w:pPr>
            <w:r w:rsidRPr="00776935">
              <w:rPr>
                <w:rFonts w:cs="Arial"/>
                <w:sz w:val="18"/>
              </w:rPr>
              <w:t>Total additional duration (yrs)*</w:t>
            </w:r>
          </w:p>
        </w:tc>
      </w:tr>
      <w:tr w:rsidR="0068753E" w:rsidRPr="00776935" w:rsidTr="00CC12E4">
        <w:tc>
          <w:tcPr>
            <w:tcW w:w="1497" w:type="dxa"/>
            <w:tcBorders>
              <w:left w:val="single" w:sz="4" w:space="0" w:color="auto"/>
              <w:bottom w:val="single" w:sz="4" w:space="0" w:color="auto"/>
              <w:right w:val="nil"/>
            </w:tcBorders>
            <w:shd w:val="clear" w:color="auto" w:fill="auto"/>
            <w:noWrap/>
            <w:vAlign w:val="bottom"/>
          </w:tcPr>
          <w:p w:rsidR="0068753E" w:rsidRPr="00776935" w:rsidRDefault="0068753E" w:rsidP="00CC12E4">
            <w:pPr>
              <w:spacing w:after="0" w:line="240" w:lineRule="auto"/>
              <w:rPr>
                <w:rFonts w:cs="Arial"/>
                <w:sz w:val="18"/>
              </w:rPr>
            </w:pPr>
          </w:p>
        </w:tc>
        <w:tc>
          <w:tcPr>
            <w:tcW w:w="1622" w:type="dxa"/>
            <w:tcBorders>
              <w:left w:val="nil"/>
              <w:bottom w:val="single" w:sz="4" w:space="0" w:color="auto"/>
              <w:right w:val="nil"/>
            </w:tcBorders>
            <w:shd w:val="clear" w:color="auto" w:fill="auto"/>
            <w:noWrap/>
            <w:vAlign w:val="bottom"/>
          </w:tcPr>
          <w:p w:rsidR="0068753E" w:rsidRPr="00776935" w:rsidRDefault="0068753E" w:rsidP="00CC12E4">
            <w:pPr>
              <w:spacing w:after="0" w:line="240" w:lineRule="auto"/>
              <w:rPr>
                <w:rFonts w:cs="Arial"/>
                <w:sz w:val="18"/>
              </w:rPr>
            </w:pPr>
          </w:p>
        </w:tc>
        <w:tc>
          <w:tcPr>
            <w:tcW w:w="6095" w:type="dxa"/>
            <w:gridSpan w:val="5"/>
            <w:tcBorders>
              <w:left w:val="nil"/>
              <w:bottom w:val="single" w:sz="4" w:space="0" w:color="auto"/>
              <w:right w:val="single" w:sz="4" w:space="0" w:color="auto"/>
            </w:tcBorders>
            <w:shd w:val="clear" w:color="auto" w:fill="auto"/>
            <w:noWrap/>
            <w:vAlign w:val="bottom"/>
          </w:tcPr>
          <w:p w:rsidR="0068753E" w:rsidRPr="00776935" w:rsidRDefault="0068753E" w:rsidP="00CC12E4">
            <w:pPr>
              <w:spacing w:after="0" w:line="240" w:lineRule="auto"/>
              <w:jc w:val="center"/>
              <w:rPr>
                <w:rFonts w:cs="Arial"/>
                <w:sz w:val="18"/>
              </w:rPr>
            </w:pPr>
            <w:r w:rsidRPr="00776935">
              <w:rPr>
                <w:rFonts w:cs="Arial"/>
                <w:sz w:val="16"/>
              </w:rPr>
              <w:t>Mode [Mean] (lower, upper bounds of the 80% credible interval)</w:t>
            </w:r>
          </w:p>
        </w:tc>
      </w:tr>
      <w:tr w:rsidR="0068753E" w:rsidRPr="00776935" w:rsidTr="00CC12E4">
        <w:tc>
          <w:tcPr>
            <w:tcW w:w="1497" w:type="dxa"/>
            <w:vMerge w:val="restart"/>
            <w:tcBorders>
              <w:top w:val="single" w:sz="4" w:space="0" w:color="auto"/>
              <w:left w:val="single" w:sz="4" w:space="0" w:color="auto"/>
              <w:right w:val="nil"/>
            </w:tcBorders>
            <w:shd w:val="clear" w:color="auto" w:fill="auto"/>
            <w:noWrap/>
            <w:vAlign w:val="center"/>
            <w:hideMark/>
          </w:tcPr>
          <w:p w:rsidR="0068753E" w:rsidRPr="00776935" w:rsidRDefault="0068753E" w:rsidP="00CC12E4">
            <w:pPr>
              <w:spacing w:after="0" w:line="240" w:lineRule="auto"/>
              <w:rPr>
                <w:rFonts w:cs="Arial"/>
                <w:sz w:val="18"/>
              </w:rPr>
            </w:pPr>
            <w:r w:rsidRPr="00776935">
              <w:rPr>
                <w:rFonts w:cs="Arial"/>
                <w:sz w:val="18"/>
              </w:rPr>
              <w:t>Circulatory</w:t>
            </w:r>
          </w:p>
        </w:tc>
        <w:tc>
          <w:tcPr>
            <w:tcW w:w="1622" w:type="dxa"/>
            <w:tcBorders>
              <w:top w:val="single" w:sz="4" w:space="0" w:color="auto"/>
              <w:left w:val="nil"/>
              <w:bottom w:val="nil"/>
              <w:right w:val="nil"/>
            </w:tcBorders>
            <w:shd w:val="clear" w:color="auto" w:fill="auto"/>
            <w:noWrap/>
            <w:vAlign w:val="center"/>
            <w:hideMark/>
          </w:tcPr>
          <w:p w:rsidR="0068753E" w:rsidRPr="00776935" w:rsidRDefault="0068753E" w:rsidP="00CC12E4">
            <w:pPr>
              <w:spacing w:after="0" w:line="240" w:lineRule="auto"/>
              <w:rPr>
                <w:rFonts w:cs="Arial"/>
                <w:sz w:val="18"/>
              </w:rPr>
            </w:pPr>
            <w:r w:rsidRPr="00776935">
              <w:rPr>
                <w:rFonts w:cs="Arial"/>
                <w:sz w:val="18"/>
              </w:rPr>
              <w:t>mortality effects (vs. year 1)</w:t>
            </w:r>
          </w:p>
        </w:tc>
        <w:tc>
          <w:tcPr>
            <w:tcW w:w="1209" w:type="dxa"/>
            <w:tcBorders>
              <w:top w:val="single" w:sz="4" w:space="0" w:color="auto"/>
              <w:left w:val="nil"/>
              <w:bottom w:val="nil"/>
              <w:right w:val="nil"/>
            </w:tcBorders>
            <w:shd w:val="clear" w:color="auto" w:fill="BFBFBF" w:themeFill="background1" w:themeFillShade="BF"/>
            <w:noWrap/>
            <w:vAlign w:val="center"/>
            <w:hideMark/>
          </w:tcPr>
          <w:p w:rsidR="0068753E" w:rsidRPr="00A350D3" w:rsidRDefault="0068753E" w:rsidP="00CC12E4">
            <w:pPr>
              <w:spacing w:after="0" w:line="240" w:lineRule="auto"/>
              <w:jc w:val="center"/>
              <w:rPr>
                <w:rFonts w:cs="Arial"/>
                <w:sz w:val="18"/>
              </w:rPr>
            </w:pPr>
            <w:r w:rsidRPr="00A350D3">
              <w:rPr>
                <w:rFonts w:cs="Arial"/>
                <w:sz w:val="18"/>
              </w:rPr>
              <w:t>estimable</w:t>
            </w:r>
          </w:p>
        </w:tc>
        <w:tc>
          <w:tcPr>
            <w:tcW w:w="1153" w:type="dxa"/>
            <w:tcBorders>
              <w:top w:val="single" w:sz="4" w:space="0" w:color="auto"/>
              <w:left w:val="nil"/>
              <w:bottom w:val="nil"/>
              <w:right w:val="nil"/>
            </w:tcBorders>
            <w:shd w:val="clear" w:color="auto" w:fill="auto"/>
            <w:noWrap/>
            <w:vAlign w:val="center"/>
            <w:hideMark/>
          </w:tcPr>
          <w:p w:rsidR="0068753E" w:rsidRPr="00A350D3" w:rsidRDefault="0068753E" w:rsidP="00CC12E4">
            <w:pPr>
              <w:spacing w:after="0" w:line="240" w:lineRule="auto"/>
              <w:jc w:val="center"/>
              <w:rPr>
                <w:rFonts w:cs="Arial"/>
                <w:sz w:val="18"/>
              </w:rPr>
            </w:pPr>
            <w:r w:rsidRPr="00A350D3">
              <w:rPr>
                <w:rFonts w:cs="Arial"/>
                <w:sz w:val="18"/>
              </w:rPr>
              <w:t>0.2 [1.4] (0.2,3.1)</w:t>
            </w:r>
          </w:p>
        </w:tc>
        <w:tc>
          <w:tcPr>
            <w:tcW w:w="1209" w:type="dxa"/>
            <w:tcBorders>
              <w:top w:val="single" w:sz="4" w:space="0" w:color="auto"/>
              <w:left w:val="nil"/>
              <w:bottom w:val="nil"/>
              <w:right w:val="nil"/>
            </w:tcBorders>
            <w:shd w:val="clear" w:color="auto" w:fill="auto"/>
            <w:noWrap/>
            <w:vAlign w:val="center"/>
            <w:hideMark/>
          </w:tcPr>
          <w:p w:rsidR="0068753E" w:rsidRDefault="0068753E" w:rsidP="00CC12E4">
            <w:pPr>
              <w:spacing w:after="0" w:line="240" w:lineRule="auto"/>
              <w:jc w:val="center"/>
              <w:rPr>
                <w:rFonts w:cs="Arial"/>
                <w:sz w:val="18"/>
              </w:rPr>
            </w:pPr>
            <w:r w:rsidRPr="00A350D3">
              <w:rPr>
                <w:rFonts w:cs="Arial"/>
                <w:sz w:val="18"/>
              </w:rPr>
              <w:t>0.3 [1]</w:t>
            </w:r>
          </w:p>
          <w:p w:rsidR="0068753E" w:rsidRPr="00A350D3" w:rsidRDefault="0068753E" w:rsidP="00CC12E4">
            <w:pPr>
              <w:spacing w:after="0" w:line="240" w:lineRule="auto"/>
              <w:jc w:val="center"/>
              <w:rPr>
                <w:rFonts w:cs="Arial"/>
                <w:sz w:val="18"/>
              </w:rPr>
            </w:pPr>
            <w:r w:rsidRPr="00A350D3">
              <w:rPr>
                <w:rFonts w:cs="Arial"/>
                <w:sz w:val="18"/>
              </w:rPr>
              <w:t>(0.2,2)</w:t>
            </w:r>
          </w:p>
        </w:tc>
        <w:tc>
          <w:tcPr>
            <w:tcW w:w="1116" w:type="dxa"/>
            <w:tcBorders>
              <w:top w:val="single" w:sz="4" w:space="0" w:color="auto"/>
              <w:left w:val="nil"/>
              <w:bottom w:val="nil"/>
              <w:right w:val="nil"/>
            </w:tcBorders>
            <w:shd w:val="clear" w:color="auto" w:fill="auto"/>
            <w:noWrap/>
            <w:vAlign w:val="center"/>
            <w:hideMark/>
          </w:tcPr>
          <w:p w:rsidR="0068753E" w:rsidRPr="00A350D3" w:rsidRDefault="0068753E" w:rsidP="00CC12E4">
            <w:pPr>
              <w:spacing w:after="0" w:line="240" w:lineRule="auto"/>
              <w:jc w:val="center"/>
              <w:rPr>
                <w:rFonts w:cs="Arial"/>
                <w:sz w:val="18"/>
              </w:rPr>
            </w:pPr>
            <w:r w:rsidRPr="00A350D3">
              <w:rPr>
                <w:rFonts w:cs="Arial"/>
                <w:sz w:val="18"/>
              </w:rPr>
              <w:t>0.2 [0.8] (0.1,1.7)</w:t>
            </w:r>
          </w:p>
        </w:tc>
        <w:tc>
          <w:tcPr>
            <w:tcW w:w="1408" w:type="dxa"/>
            <w:tcBorders>
              <w:top w:val="single" w:sz="4" w:space="0" w:color="auto"/>
              <w:left w:val="nil"/>
              <w:bottom w:val="nil"/>
              <w:right w:val="single" w:sz="4" w:space="0" w:color="auto"/>
            </w:tcBorders>
            <w:shd w:val="clear" w:color="auto" w:fill="auto"/>
            <w:noWrap/>
            <w:vAlign w:val="center"/>
            <w:hideMark/>
          </w:tcPr>
          <w:p w:rsidR="0068753E" w:rsidRPr="00A350D3" w:rsidRDefault="0068753E" w:rsidP="00CC12E4">
            <w:pPr>
              <w:spacing w:after="0" w:line="240" w:lineRule="auto"/>
              <w:jc w:val="center"/>
              <w:rPr>
                <w:rFonts w:cs="Arial"/>
                <w:sz w:val="18"/>
              </w:rPr>
            </w:pPr>
            <w:r w:rsidRPr="00A350D3">
              <w:rPr>
                <w:rFonts w:cs="Arial"/>
                <w:sz w:val="18"/>
              </w:rPr>
              <w:t>1.2 [15.1] (1.2,34.3)</w:t>
            </w:r>
          </w:p>
        </w:tc>
      </w:tr>
      <w:tr w:rsidR="0068753E" w:rsidRPr="00776935" w:rsidTr="00CC12E4">
        <w:tc>
          <w:tcPr>
            <w:tcW w:w="1497" w:type="dxa"/>
            <w:vMerge/>
            <w:tcBorders>
              <w:left w:val="single" w:sz="4" w:space="0" w:color="auto"/>
              <w:bottom w:val="single" w:sz="4" w:space="0" w:color="auto"/>
              <w:right w:val="nil"/>
            </w:tcBorders>
            <w:shd w:val="clear" w:color="auto" w:fill="auto"/>
            <w:noWrap/>
            <w:vAlign w:val="center"/>
            <w:hideMark/>
          </w:tcPr>
          <w:p w:rsidR="0068753E" w:rsidRPr="00776935" w:rsidRDefault="0068753E" w:rsidP="00CC12E4">
            <w:pPr>
              <w:spacing w:after="0" w:line="240" w:lineRule="auto"/>
              <w:rPr>
                <w:rFonts w:cs="Arial"/>
                <w:sz w:val="18"/>
              </w:rPr>
            </w:pPr>
          </w:p>
        </w:tc>
        <w:tc>
          <w:tcPr>
            <w:tcW w:w="1622" w:type="dxa"/>
            <w:tcBorders>
              <w:top w:val="nil"/>
              <w:left w:val="nil"/>
              <w:bottom w:val="single" w:sz="4" w:space="0" w:color="auto"/>
              <w:right w:val="nil"/>
            </w:tcBorders>
            <w:shd w:val="clear" w:color="auto" w:fill="auto"/>
            <w:noWrap/>
            <w:vAlign w:val="center"/>
            <w:hideMark/>
          </w:tcPr>
          <w:p w:rsidR="0068753E" w:rsidRPr="00776935" w:rsidRDefault="0068753E" w:rsidP="00CC12E4">
            <w:pPr>
              <w:spacing w:after="0" w:line="240" w:lineRule="auto"/>
              <w:rPr>
                <w:rFonts w:cs="Arial"/>
                <w:sz w:val="18"/>
              </w:rPr>
            </w:pPr>
            <w:r w:rsidRPr="00776935">
              <w:rPr>
                <w:rFonts w:cs="Arial"/>
                <w:sz w:val="18"/>
              </w:rPr>
              <w:t>surrogacy</w:t>
            </w:r>
          </w:p>
          <w:p w:rsidR="0068753E" w:rsidRPr="00776935" w:rsidRDefault="0068753E" w:rsidP="00CC12E4">
            <w:pPr>
              <w:spacing w:after="0" w:line="240" w:lineRule="auto"/>
              <w:rPr>
                <w:rFonts w:cs="Arial"/>
                <w:sz w:val="18"/>
              </w:rPr>
            </w:pPr>
            <w:r w:rsidRPr="00776935">
              <w:rPr>
                <w:rFonts w:cs="Arial"/>
                <w:sz w:val="18"/>
              </w:rPr>
              <w:t>(vs. same year)</w:t>
            </w:r>
          </w:p>
        </w:tc>
        <w:tc>
          <w:tcPr>
            <w:tcW w:w="1209" w:type="dxa"/>
            <w:tcBorders>
              <w:top w:val="nil"/>
              <w:left w:val="nil"/>
              <w:bottom w:val="single" w:sz="4" w:space="0" w:color="auto"/>
              <w:right w:val="nil"/>
            </w:tcBorders>
            <w:shd w:val="clear" w:color="auto" w:fill="auto"/>
            <w:noWrap/>
            <w:vAlign w:val="center"/>
            <w:hideMark/>
          </w:tcPr>
          <w:p w:rsidR="0068753E" w:rsidRPr="00A350D3" w:rsidRDefault="0068753E" w:rsidP="00CC12E4">
            <w:pPr>
              <w:spacing w:after="0" w:line="240" w:lineRule="auto"/>
              <w:jc w:val="center"/>
              <w:rPr>
                <w:rFonts w:cs="Arial"/>
                <w:sz w:val="18"/>
              </w:rPr>
            </w:pPr>
            <w:r w:rsidRPr="00A350D3">
              <w:rPr>
                <w:rFonts w:cs="Arial"/>
                <w:sz w:val="18"/>
              </w:rPr>
              <w:t>0.2 [2.8] (0.2,6.3)</w:t>
            </w:r>
          </w:p>
        </w:tc>
        <w:tc>
          <w:tcPr>
            <w:tcW w:w="1153" w:type="dxa"/>
            <w:tcBorders>
              <w:top w:val="nil"/>
              <w:left w:val="nil"/>
              <w:bottom w:val="single" w:sz="4" w:space="0" w:color="auto"/>
              <w:right w:val="nil"/>
            </w:tcBorders>
            <w:shd w:val="clear" w:color="auto" w:fill="auto"/>
            <w:noWrap/>
            <w:vAlign w:val="center"/>
            <w:hideMark/>
          </w:tcPr>
          <w:p w:rsidR="0068753E" w:rsidRPr="00A350D3" w:rsidRDefault="0068753E" w:rsidP="00CC12E4">
            <w:pPr>
              <w:spacing w:after="0" w:line="240" w:lineRule="auto"/>
              <w:jc w:val="center"/>
              <w:rPr>
                <w:rFonts w:cs="Arial"/>
                <w:sz w:val="18"/>
              </w:rPr>
            </w:pPr>
            <w:r w:rsidRPr="00A350D3">
              <w:rPr>
                <w:rFonts w:cs="Arial"/>
                <w:sz w:val="18"/>
              </w:rPr>
              <w:t>0.3 [2.3] (0.2,5.1)</w:t>
            </w:r>
          </w:p>
        </w:tc>
        <w:tc>
          <w:tcPr>
            <w:tcW w:w="1209" w:type="dxa"/>
            <w:tcBorders>
              <w:top w:val="nil"/>
              <w:left w:val="nil"/>
              <w:bottom w:val="single" w:sz="4" w:space="0" w:color="auto"/>
              <w:right w:val="nil"/>
            </w:tcBorders>
            <w:shd w:val="clear" w:color="auto" w:fill="auto"/>
            <w:noWrap/>
            <w:vAlign w:val="center"/>
            <w:hideMark/>
          </w:tcPr>
          <w:p w:rsidR="0068753E" w:rsidRPr="00A350D3" w:rsidRDefault="0068753E" w:rsidP="00CC12E4">
            <w:pPr>
              <w:spacing w:after="0" w:line="240" w:lineRule="auto"/>
              <w:jc w:val="center"/>
              <w:rPr>
                <w:rFonts w:cs="Arial"/>
                <w:sz w:val="18"/>
              </w:rPr>
            </w:pPr>
            <w:r w:rsidRPr="00A350D3">
              <w:rPr>
                <w:rFonts w:cs="Arial"/>
                <w:sz w:val="18"/>
              </w:rPr>
              <w:t>0.3 [2.3] (0.3,5.2)</w:t>
            </w:r>
          </w:p>
        </w:tc>
        <w:tc>
          <w:tcPr>
            <w:tcW w:w="1116" w:type="dxa"/>
            <w:tcBorders>
              <w:top w:val="nil"/>
              <w:left w:val="nil"/>
              <w:bottom w:val="single" w:sz="4" w:space="0" w:color="auto"/>
              <w:right w:val="nil"/>
            </w:tcBorders>
            <w:shd w:val="clear" w:color="auto" w:fill="auto"/>
            <w:noWrap/>
            <w:vAlign w:val="center"/>
            <w:hideMark/>
          </w:tcPr>
          <w:p w:rsidR="0068753E" w:rsidRPr="00A350D3" w:rsidRDefault="0068753E" w:rsidP="00CC12E4">
            <w:pPr>
              <w:spacing w:after="0" w:line="240" w:lineRule="auto"/>
              <w:jc w:val="center"/>
              <w:rPr>
                <w:rFonts w:cs="Arial"/>
                <w:sz w:val="18"/>
              </w:rPr>
            </w:pPr>
            <w:r w:rsidRPr="00A350D3">
              <w:rPr>
                <w:rFonts w:cs="Arial"/>
                <w:sz w:val="18"/>
              </w:rPr>
              <w:t>0.3 [2.4] (0.3,5.4)</w:t>
            </w:r>
          </w:p>
        </w:tc>
        <w:tc>
          <w:tcPr>
            <w:tcW w:w="1408" w:type="dxa"/>
            <w:tcBorders>
              <w:top w:val="nil"/>
              <w:left w:val="nil"/>
              <w:bottom w:val="single" w:sz="4" w:space="0" w:color="auto"/>
              <w:right w:val="single" w:sz="4" w:space="0" w:color="auto"/>
            </w:tcBorders>
            <w:shd w:val="clear" w:color="auto" w:fill="auto"/>
            <w:noWrap/>
            <w:vAlign w:val="center"/>
            <w:hideMark/>
          </w:tcPr>
          <w:p w:rsidR="0068753E" w:rsidRPr="00A350D3" w:rsidRDefault="0068753E" w:rsidP="00CC12E4">
            <w:pPr>
              <w:spacing w:after="0" w:line="240" w:lineRule="auto"/>
              <w:jc w:val="center"/>
              <w:rPr>
                <w:rFonts w:cs="Arial"/>
                <w:sz w:val="18"/>
              </w:rPr>
            </w:pPr>
            <w:r w:rsidRPr="00A350D3">
              <w:rPr>
                <w:rFonts w:cs="Arial"/>
                <w:sz w:val="18"/>
              </w:rPr>
              <w:t>--</w:t>
            </w:r>
          </w:p>
        </w:tc>
      </w:tr>
      <w:tr w:rsidR="0068753E" w:rsidRPr="00776935" w:rsidTr="00CC12E4">
        <w:tc>
          <w:tcPr>
            <w:tcW w:w="1497" w:type="dxa"/>
            <w:vMerge w:val="restart"/>
            <w:tcBorders>
              <w:top w:val="single" w:sz="4" w:space="0" w:color="auto"/>
              <w:left w:val="single" w:sz="4" w:space="0" w:color="auto"/>
              <w:right w:val="nil"/>
            </w:tcBorders>
            <w:shd w:val="clear" w:color="auto" w:fill="auto"/>
            <w:noWrap/>
            <w:vAlign w:val="center"/>
            <w:hideMark/>
          </w:tcPr>
          <w:p w:rsidR="0068753E" w:rsidRPr="00776935" w:rsidRDefault="0068753E" w:rsidP="00CC12E4">
            <w:pPr>
              <w:spacing w:after="0" w:line="240" w:lineRule="auto"/>
              <w:rPr>
                <w:rFonts w:cs="Arial"/>
                <w:sz w:val="18"/>
              </w:rPr>
            </w:pPr>
            <w:r w:rsidRPr="00776935">
              <w:rPr>
                <w:rFonts w:cs="Arial"/>
                <w:sz w:val="18"/>
              </w:rPr>
              <w:t>Respiratory</w:t>
            </w:r>
          </w:p>
          <w:p w:rsidR="0068753E" w:rsidRPr="00776935" w:rsidRDefault="0068753E" w:rsidP="00CC12E4">
            <w:pPr>
              <w:spacing w:after="0" w:line="240" w:lineRule="auto"/>
              <w:rPr>
                <w:rFonts w:cs="Arial"/>
                <w:sz w:val="18"/>
              </w:rPr>
            </w:pPr>
          </w:p>
        </w:tc>
        <w:tc>
          <w:tcPr>
            <w:tcW w:w="1622" w:type="dxa"/>
            <w:tcBorders>
              <w:top w:val="single" w:sz="4" w:space="0" w:color="auto"/>
              <w:left w:val="nil"/>
              <w:bottom w:val="nil"/>
              <w:right w:val="nil"/>
            </w:tcBorders>
            <w:shd w:val="clear" w:color="auto" w:fill="auto"/>
            <w:noWrap/>
            <w:vAlign w:val="center"/>
            <w:hideMark/>
          </w:tcPr>
          <w:p w:rsidR="0068753E" w:rsidRPr="00776935" w:rsidRDefault="0068753E" w:rsidP="00CC12E4">
            <w:pPr>
              <w:spacing w:after="0" w:line="240" w:lineRule="auto"/>
              <w:rPr>
                <w:rFonts w:cs="Arial"/>
                <w:sz w:val="18"/>
              </w:rPr>
            </w:pPr>
            <w:r w:rsidRPr="00776935">
              <w:rPr>
                <w:rFonts w:cs="Arial"/>
                <w:sz w:val="18"/>
              </w:rPr>
              <w:t>mortality effects (vs. year 1)</w:t>
            </w:r>
          </w:p>
        </w:tc>
        <w:tc>
          <w:tcPr>
            <w:tcW w:w="1209" w:type="dxa"/>
            <w:tcBorders>
              <w:top w:val="single" w:sz="4" w:space="0" w:color="auto"/>
              <w:left w:val="nil"/>
              <w:bottom w:val="nil"/>
              <w:right w:val="nil"/>
            </w:tcBorders>
            <w:shd w:val="clear" w:color="auto" w:fill="BFBFBF" w:themeFill="background1" w:themeFillShade="BF"/>
            <w:noWrap/>
            <w:vAlign w:val="center"/>
            <w:hideMark/>
          </w:tcPr>
          <w:p w:rsidR="0068753E" w:rsidRPr="00A350D3" w:rsidRDefault="0068753E" w:rsidP="00CC12E4">
            <w:pPr>
              <w:spacing w:after="0" w:line="240" w:lineRule="auto"/>
              <w:jc w:val="center"/>
              <w:rPr>
                <w:rFonts w:cs="Arial"/>
                <w:sz w:val="18"/>
              </w:rPr>
            </w:pPr>
            <w:r w:rsidRPr="00A350D3">
              <w:rPr>
                <w:rFonts w:cs="Arial"/>
                <w:sz w:val="18"/>
              </w:rPr>
              <w:t>estimable</w:t>
            </w:r>
          </w:p>
        </w:tc>
        <w:tc>
          <w:tcPr>
            <w:tcW w:w="1153" w:type="dxa"/>
            <w:tcBorders>
              <w:top w:val="single" w:sz="4" w:space="0" w:color="auto"/>
              <w:left w:val="nil"/>
              <w:bottom w:val="nil"/>
              <w:right w:val="nil"/>
            </w:tcBorders>
            <w:shd w:val="clear" w:color="auto" w:fill="auto"/>
            <w:noWrap/>
            <w:vAlign w:val="center"/>
            <w:hideMark/>
          </w:tcPr>
          <w:p w:rsidR="0068753E" w:rsidRPr="00A350D3" w:rsidRDefault="0068753E" w:rsidP="00CC12E4">
            <w:pPr>
              <w:spacing w:after="0" w:line="240" w:lineRule="auto"/>
              <w:jc w:val="center"/>
              <w:rPr>
                <w:rFonts w:cs="Arial"/>
                <w:sz w:val="18"/>
              </w:rPr>
            </w:pPr>
            <w:r w:rsidRPr="00A350D3">
              <w:rPr>
                <w:rFonts w:cs="Arial"/>
                <w:sz w:val="18"/>
              </w:rPr>
              <w:t>0.3 [1.1] (0.2,2.3)</w:t>
            </w:r>
          </w:p>
        </w:tc>
        <w:tc>
          <w:tcPr>
            <w:tcW w:w="1209" w:type="dxa"/>
            <w:tcBorders>
              <w:top w:val="single" w:sz="4" w:space="0" w:color="auto"/>
              <w:left w:val="nil"/>
              <w:bottom w:val="nil"/>
              <w:right w:val="nil"/>
            </w:tcBorders>
            <w:shd w:val="clear" w:color="auto" w:fill="auto"/>
            <w:noWrap/>
            <w:vAlign w:val="center"/>
            <w:hideMark/>
          </w:tcPr>
          <w:p w:rsidR="0068753E" w:rsidRPr="00A350D3" w:rsidRDefault="0068753E" w:rsidP="00CC12E4">
            <w:pPr>
              <w:spacing w:after="0" w:line="240" w:lineRule="auto"/>
              <w:jc w:val="center"/>
              <w:rPr>
                <w:rFonts w:cs="Arial"/>
                <w:sz w:val="18"/>
              </w:rPr>
            </w:pPr>
            <w:r w:rsidRPr="00A350D3">
              <w:rPr>
                <w:rFonts w:cs="Arial"/>
                <w:sz w:val="18"/>
              </w:rPr>
              <w:t>0.2 [0.6] (0.1,1.4)</w:t>
            </w:r>
          </w:p>
        </w:tc>
        <w:tc>
          <w:tcPr>
            <w:tcW w:w="1116" w:type="dxa"/>
            <w:tcBorders>
              <w:top w:val="single" w:sz="4" w:space="0" w:color="auto"/>
              <w:left w:val="nil"/>
              <w:bottom w:val="nil"/>
              <w:right w:val="nil"/>
            </w:tcBorders>
            <w:shd w:val="clear" w:color="auto" w:fill="auto"/>
            <w:noWrap/>
            <w:vAlign w:val="center"/>
            <w:hideMark/>
          </w:tcPr>
          <w:p w:rsidR="0068753E" w:rsidRPr="00A350D3" w:rsidRDefault="0068753E" w:rsidP="00CC12E4">
            <w:pPr>
              <w:spacing w:after="0" w:line="240" w:lineRule="auto"/>
              <w:jc w:val="center"/>
              <w:rPr>
                <w:rFonts w:cs="Arial"/>
                <w:sz w:val="18"/>
              </w:rPr>
            </w:pPr>
            <w:r w:rsidRPr="00A350D3">
              <w:rPr>
                <w:rFonts w:cs="Arial"/>
                <w:sz w:val="18"/>
              </w:rPr>
              <w:t>0 [0.6] (0,1.4)</w:t>
            </w:r>
          </w:p>
        </w:tc>
        <w:tc>
          <w:tcPr>
            <w:tcW w:w="1408" w:type="dxa"/>
            <w:tcBorders>
              <w:top w:val="single" w:sz="4" w:space="0" w:color="auto"/>
              <w:left w:val="nil"/>
              <w:bottom w:val="nil"/>
              <w:right w:val="single" w:sz="4" w:space="0" w:color="auto"/>
            </w:tcBorders>
            <w:shd w:val="clear" w:color="auto" w:fill="auto"/>
            <w:noWrap/>
            <w:vAlign w:val="center"/>
            <w:hideMark/>
          </w:tcPr>
          <w:p w:rsidR="0068753E" w:rsidRPr="00A350D3" w:rsidRDefault="0068753E" w:rsidP="00CC12E4">
            <w:pPr>
              <w:spacing w:after="0" w:line="240" w:lineRule="auto"/>
              <w:jc w:val="center"/>
              <w:rPr>
                <w:rFonts w:cs="Arial"/>
                <w:sz w:val="18"/>
              </w:rPr>
            </w:pPr>
            <w:r w:rsidRPr="00A350D3">
              <w:rPr>
                <w:rFonts w:cs="Arial"/>
                <w:sz w:val="18"/>
              </w:rPr>
              <w:t>0.4 [11.3] (0.5,25)</w:t>
            </w:r>
          </w:p>
        </w:tc>
      </w:tr>
      <w:tr w:rsidR="0068753E" w:rsidRPr="00776935" w:rsidTr="00CC12E4">
        <w:tc>
          <w:tcPr>
            <w:tcW w:w="1497" w:type="dxa"/>
            <w:vMerge/>
            <w:tcBorders>
              <w:left w:val="single" w:sz="4" w:space="0" w:color="auto"/>
              <w:bottom w:val="single" w:sz="4" w:space="0" w:color="auto"/>
              <w:right w:val="nil"/>
            </w:tcBorders>
            <w:shd w:val="clear" w:color="auto" w:fill="auto"/>
            <w:noWrap/>
            <w:vAlign w:val="center"/>
          </w:tcPr>
          <w:p w:rsidR="0068753E" w:rsidRPr="00776935" w:rsidRDefault="0068753E" w:rsidP="00CC12E4">
            <w:pPr>
              <w:spacing w:after="0" w:line="240" w:lineRule="auto"/>
              <w:rPr>
                <w:rFonts w:cs="Arial"/>
                <w:sz w:val="18"/>
              </w:rPr>
            </w:pPr>
          </w:p>
        </w:tc>
        <w:tc>
          <w:tcPr>
            <w:tcW w:w="1622" w:type="dxa"/>
            <w:tcBorders>
              <w:top w:val="nil"/>
              <w:left w:val="nil"/>
              <w:bottom w:val="single" w:sz="4" w:space="0" w:color="auto"/>
              <w:right w:val="nil"/>
            </w:tcBorders>
            <w:shd w:val="clear" w:color="auto" w:fill="auto"/>
            <w:noWrap/>
            <w:vAlign w:val="center"/>
            <w:hideMark/>
          </w:tcPr>
          <w:p w:rsidR="0068753E" w:rsidRPr="00776935" w:rsidRDefault="0068753E" w:rsidP="00CC12E4">
            <w:pPr>
              <w:spacing w:after="0" w:line="240" w:lineRule="auto"/>
              <w:rPr>
                <w:rFonts w:cs="Arial"/>
                <w:sz w:val="18"/>
              </w:rPr>
            </w:pPr>
            <w:r w:rsidRPr="00776935">
              <w:rPr>
                <w:rFonts w:cs="Arial"/>
                <w:sz w:val="18"/>
              </w:rPr>
              <w:t>surrogacy</w:t>
            </w:r>
          </w:p>
          <w:p w:rsidR="0068753E" w:rsidRPr="00776935" w:rsidRDefault="0068753E" w:rsidP="00CC12E4">
            <w:pPr>
              <w:spacing w:after="0" w:line="240" w:lineRule="auto"/>
              <w:rPr>
                <w:rFonts w:cs="Arial"/>
                <w:sz w:val="18"/>
              </w:rPr>
            </w:pPr>
            <w:r w:rsidRPr="00776935">
              <w:rPr>
                <w:rFonts w:cs="Arial"/>
                <w:sz w:val="18"/>
              </w:rPr>
              <w:t>(vs. same year)</w:t>
            </w:r>
          </w:p>
        </w:tc>
        <w:tc>
          <w:tcPr>
            <w:tcW w:w="1209" w:type="dxa"/>
            <w:tcBorders>
              <w:top w:val="nil"/>
              <w:left w:val="nil"/>
              <w:bottom w:val="single" w:sz="4" w:space="0" w:color="auto"/>
              <w:right w:val="nil"/>
            </w:tcBorders>
            <w:shd w:val="clear" w:color="auto" w:fill="auto"/>
            <w:noWrap/>
            <w:vAlign w:val="center"/>
            <w:hideMark/>
          </w:tcPr>
          <w:p w:rsidR="0068753E" w:rsidRPr="00A350D3" w:rsidRDefault="0068753E" w:rsidP="00CC12E4">
            <w:pPr>
              <w:spacing w:after="0" w:line="240" w:lineRule="auto"/>
              <w:jc w:val="center"/>
              <w:rPr>
                <w:rFonts w:cs="Arial"/>
                <w:sz w:val="18"/>
              </w:rPr>
            </w:pPr>
            <w:r w:rsidRPr="00A350D3">
              <w:rPr>
                <w:rFonts w:cs="Arial"/>
                <w:sz w:val="18"/>
              </w:rPr>
              <w:t>0.6 [2.4] (0.4,5.2)</w:t>
            </w:r>
          </w:p>
        </w:tc>
        <w:tc>
          <w:tcPr>
            <w:tcW w:w="1153" w:type="dxa"/>
            <w:tcBorders>
              <w:top w:val="nil"/>
              <w:left w:val="nil"/>
              <w:bottom w:val="single" w:sz="4" w:space="0" w:color="auto"/>
              <w:right w:val="nil"/>
            </w:tcBorders>
            <w:shd w:val="clear" w:color="auto" w:fill="auto"/>
            <w:noWrap/>
            <w:vAlign w:val="center"/>
            <w:hideMark/>
          </w:tcPr>
          <w:p w:rsidR="0068753E" w:rsidRPr="00A350D3" w:rsidRDefault="0068753E" w:rsidP="00CC12E4">
            <w:pPr>
              <w:spacing w:after="0" w:line="240" w:lineRule="auto"/>
              <w:jc w:val="center"/>
              <w:rPr>
                <w:rFonts w:cs="Arial"/>
                <w:sz w:val="18"/>
              </w:rPr>
            </w:pPr>
            <w:r w:rsidRPr="00A350D3">
              <w:rPr>
                <w:rFonts w:cs="Arial"/>
                <w:sz w:val="18"/>
              </w:rPr>
              <w:t>0.5 [2.7] (0.4,6.1)</w:t>
            </w:r>
          </w:p>
        </w:tc>
        <w:tc>
          <w:tcPr>
            <w:tcW w:w="1209" w:type="dxa"/>
            <w:tcBorders>
              <w:top w:val="nil"/>
              <w:left w:val="nil"/>
              <w:bottom w:val="single" w:sz="4" w:space="0" w:color="auto"/>
              <w:right w:val="nil"/>
            </w:tcBorders>
            <w:shd w:val="clear" w:color="auto" w:fill="auto"/>
            <w:noWrap/>
            <w:vAlign w:val="center"/>
            <w:hideMark/>
          </w:tcPr>
          <w:p w:rsidR="0068753E" w:rsidRPr="00A350D3" w:rsidRDefault="0068753E" w:rsidP="00CC12E4">
            <w:pPr>
              <w:spacing w:after="0" w:line="240" w:lineRule="auto"/>
              <w:jc w:val="center"/>
              <w:rPr>
                <w:rFonts w:cs="Arial"/>
                <w:sz w:val="18"/>
              </w:rPr>
            </w:pPr>
            <w:r w:rsidRPr="00A350D3">
              <w:rPr>
                <w:rFonts w:cs="Arial"/>
                <w:sz w:val="18"/>
              </w:rPr>
              <w:t>0.3 [2.6] (0.3,5.9)</w:t>
            </w:r>
          </w:p>
        </w:tc>
        <w:tc>
          <w:tcPr>
            <w:tcW w:w="1116" w:type="dxa"/>
            <w:tcBorders>
              <w:top w:val="nil"/>
              <w:left w:val="nil"/>
              <w:bottom w:val="single" w:sz="4" w:space="0" w:color="auto"/>
              <w:right w:val="nil"/>
            </w:tcBorders>
            <w:shd w:val="clear" w:color="auto" w:fill="auto"/>
            <w:noWrap/>
            <w:vAlign w:val="center"/>
            <w:hideMark/>
          </w:tcPr>
          <w:p w:rsidR="0068753E" w:rsidRPr="00A350D3" w:rsidRDefault="0068753E" w:rsidP="00CC12E4">
            <w:pPr>
              <w:spacing w:after="0" w:line="240" w:lineRule="auto"/>
              <w:jc w:val="center"/>
              <w:rPr>
                <w:rFonts w:cs="Arial"/>
                <w:sz w:val="18"/>
              </w:rPr>
            </w:pPr>
            <w:r w:rsidRPr="00A350D3">
              <w:rPr>
                <w:rFonts w:cs="Arial"/>
                <w:sz w:val="18"/>
              </w:rPr>
              <w:t>0.3 [2.9] (0.3,6.5)</w:t>
            </w:r>
          </w:p>
        </w:tc>
        <w:tc>
          <w:tcPr>
            <w:tcW w:w="1408" w:type="dxa"/>
            <w:tcBorders>
              <w:top w:val="nil"/>
              <w:left w:val="nil"/>
              <w:bottom w:val="single" w:sz="4" w:space="0" w:color="auto"/>
              <w:right w:val="single" w:sz="4" w:space="0" w:color="auto"/>
            </w:tcBorders>
            <w:shd w:val="clear" w:color="auto" w:fill="auto"/>
            <w:noWrap/>
            <w:vAlign w:val="center"/>
            <w:hideMark/>
          </w:tcPr>
          <w:p w:rsidR="0068753E" w:rsidRPr="00A350D3" w:rsidRDefault="0068753E" w:rsidP="00CC12E4">
            <w:pPr>
              <w:spacing w:after="0" w:line="240" w:lineRule="auto"/>
              <w:jc w:val="center"/>
              <w:rPr>
                <w:rFonts w:cs="Arial"/>
                <w:sz w:val="18"/>
              </w:rPr>
            </w:pPr>
            <w:r w:rsidRPr="00A350D3">
              <w:rPr>
                <w:rFonts w:cs="Arial"/>
                <w:sz w:val="18"/>
              </w:rPr>
              <w:t>--</w:t>
            </w:r>
          </w:p>
        </w:tc>
      </w:tr>
      <w:tr w:rsidR="0068753E" w:rsidRPr="00776935" w:rsidTr="00CC12E4">
        <w:tc>
          <w:tcPr>
            <w:tcW w:w="1497" w:type="dxa"/>
            <w:vMerge w:val="restart"/>
            <w:tcBorders>
              <w:top w:val="single" w:sz="4" w:space="0" w:color="auto"/>
              <w:left w:val="single" w:sz="4" w:space="0" w:color="auto"/>
              <w:right w:val="nil"/>
            </w:tcBorders>
            <w:shd w:val="clear" w:color="auto" w:fill="auto"/>
            <w:noWrap/>
            <w:vAlign w:val="center"/>
          </w:tcPr>
          <w:p w:rsidR="0068753E" w:rsidRPr="00776935" w:rsidRDefault="0068753E" w:rsidP="00CC12E4">
            <w:pPr>
              <w:spacing w:after="0" w:line="240" w:lineRule="auto"/>
              <w:rPr>
                <w:rFonts w:cs="Arial"/>
                <w:sz w:val="18"/>
              </w:rPr>
            </w:pPr>
            <w:r w:rsidRPr="00776935">
              <w:rPr>
                <w:rFonts w:cs="Arial"/>
                <w:sz w:val="18"/>
              </w:rPr>
              <w:t>Gastrointestinal</w:t>
            </w:r>
          </w:p>
        </w:tc>
        <w:tc>
          <w:tcPr>
            <w:tcW w:w="1622" w:type="dxa"/>
            <w:tcBorders>
              <w:top w:val="single" w:sz="4" w:space="0" w:color="auto"/>
              <w:left w:val="nil"/>
              <w:bottom w:val="nil"/>
              <w:right w:val="nil"/>
            </w:tcBorders>
            <w:shd w:val="clear" w:color="auto" w:fill="auto"/>
            <w:noWrap/>
            <w:vAlign w:val="center"/>
            <w:hideMark/>
          </w:tcPr>
          <w:p w:rsidR="0068753E" w:rsidRPr="00776935" w:rsidRDefault="0068753E" w:rsidP="00CC12E4">
            <w:pPr>
              <w:spacing w:after="0" w:line="240" w:lineRule="auto"/>
              <w:rPr>
                <w:rFonts w:cs="Arial"/>
                <w:sz w:val="18"/>
              </w:rPr>
            </w:pPr>
            <w:r w:rsidRPr="00776935">
              <w:rPr>
                <w:rFonts w:cs="Arial"/>
                <w:sz w:val="18"/>
              </w:rPr>
              <w:t>mortality effects (vs. year 1)</w:t>
            </w:r>
          </w:p>
        </w:tc>
        <w:tc>
          <w:tcPr>
            <w:tcW w:w="1209" w:type="dxa"/>
            <w:tcBorders>
              <w:top w:val="single" w:sz="4" w:space="0" w:color="auto"/>
              <w:left w:val="nil"/>
              <w:bottom w:val="nil"/>
              <w:right w:val="nil"/>
            </w:tcBorders>
            <w:shd w:val="clear" w:color="auto" w:fill="BFBFBF" w:themeFill="background1" w:themeFillShade="BF"/>
            <w:noWrap/>
            <w:vAlign w:val="center"/>
            <w:hideMark/>
          </w:tcPr>
          <w:p w:rsidR="0068753E" w:rsidRPr="00A350D3" w:rsidRDefault="0068753E" w:rsidP="00CC12E4">
            <w:pPr>
              <w:spacing w:after="0" w:line="240" w:lineRule="auto"/>
              <w:jc w:val="center"/>
              <w:rPr>
                <w:rFonts w:cs="Arial"/>
                <w:sz w:val="18"/>
              </w:rPr>
            </w:pPr>
            <w:r w:rsidRPr="00A350D3">
              <w:rPr>
                <w:rFonts w:cs="Arial"/>
                <w:sz w:val="18"/>
              </w:rPr>
              <w:t>estimable</w:t>
            </w:r>
          </w:p>
        </w:tc>
        <w:tc>
          <w:tcPr>
            <w:tcW w:w="1153" w:type="dxa"/>
            <w:tcBorders>
              <w:top w:val="single" w:sz="4" w:space="0" w:color="auto"/>
              <w:left w:val="nil"/>
              <w:bottom w:val="nil"/>
              <w:right w:val="nil"/>
            </w:tcBorders>
            <w:shd w:val="clear" w:color="auto" w:fill="auto"/>
            <w:noWrap/>
            <w:vAlign w:val="center"/>
            <w:hideMark/>
          </w:tcPr>
          <w:p w:rsidR="0068753E" w:rsidRPr="00A350D3" w:rsidRDefault="0068753E" w:rsidP="00CC12E4">
            <w:pPr>
              <w:spacing w:after="0" w:line="240" w:lineRule="auto"/>
              <w:jc w:val="center"/>
              <w:rPr>
                <w:rFonts w:cs="Arial"/>
                <w:sz w:val="18"/>
              </w:rPr>
            </w:pPr>
            <w:r w:rsidRPr="00A350D3">
              <w:rPr>
                <w:rFonts w:cs="Arial"/>
                <w:sz w:val="18"/>
              </w:rPr>
              <w:t>0.1 [2] (0.1,4.6)</w:t>
            </w:r>
          </w:p>
        </w:tc>
        <w:tc>
          <w:tcPr>
            <w:tcW w:w="1209" w:type="dxa"/>
            <w:tcBorders>
              <w:top w:val="single" w:sz="4" w:space="0" w:color="auto"/>
              <w:left w:val="nil"/>
              <w:bottom w:val="nil"/>
              <w:right w:val="nil"/>
            </w:tcBorders>
            <w:shd w:val="clear" w:color="auto" w:fill="auto"/>
            <w:noWrap/>
            <w:vAlign w:val="center"/>
            <w:hideMark/>
          </w:tcPr>
          <w:p w:rsidR="0068753E" w:rsidRPr="00A350D3" w:rsidRDefault="0068753E" w:rsidP="00CC12E4">
            <w:pPr>
              <w:spacing w:after="0" w:line="240" w:lineRule="auto"/>
              <w:jc w:val="center"/>
              <w:rPr>
                <w:rFonts w:cs="Arial"/>
                <w:sz w:val="18"/>
              </w:rPr>
            </w:pPr>
            <w:r w:rsidRPr="00A350D3">
              <w:rPr>
                <w:rFonts w:cs="Arial"/>
                <w:sz w:val="18"/>
              </w:rPr>
              <w:t>0.1 [1.6] (0.1,3.6)</w:t>
            </w:r>
          </w:p>
        </w:tc>
        <w:tc>
          <w:tcPr>
            <w:tcW w:w="1116" w:type="dxa"/>
            <w:tcBorders>
              <w:top w:val="single" w:sz="4" w:space="0" w:color="auto"/>
              <w:left w:val="nil"/>
              <w:bottom w:val="nil"/>
              <w:right w:val="nil"/>
            </w:tcBorders>
            <w:shd w:val="clear" w:color="auto" w:fill="auto"/>
            <w:noWrap/>
            <w:vAlign w:val="center"/>
            <w:hideMark/>
          </w:tcPr>
          <w:p w:rsidR="0068753E" w:rsidRPr="00A350D3" w:rsidRDefault="0068753E" w:rsidP="00CC12E4">
            <w:pPr>
              <w:spacing w:after="0" w:line="240" w:lineRule="auto"/>
              <w:jc w:val="center"/>
              <w:rPr>
                <w:rFonts w:cs="Arial"/>
                <w:sz w:val="18"/>
              </w:rPr>
            </w:pPr>
            <w:r w:rsidRPr="00A350D3">
              <w:rPr>
                <w:rFonts w:cs="Arial"/>
                <w:sz w:val="18"/>
              </w:rPr>
              <w:t>0 [1.9] (0.1,4.1)</w:t>
            </w:r>
          </w:p>
        </w:tc>
        <w:tc>
          <w:tcPr>
            <w:tcW w:w="1408" w:type="dxa"/>
            <w:tcBorders>
              <w:top w:val="single" w:sz="4" w:space="0" w:color="auto"/>
              <w:left w:val="nil"/>
              <w:bottom w:val="nil"/>
              <w:right w:val="single" w:sz="4" w:space="0" w:color="auto"/>
            </w:tcBorders>
            <w:shd w:val="clear" w:color="auto" w:fill="auto"/>
            <w:noWrap/>
            <w:vAlign w:val="center"/>
            <w:hideMark/>
          </w:tcPr>
          <w:p w:rsidR="0068753E" w:rsidRPr="00A350D3" w:rsidRDefault="0068753E" w:rsidP="00CC12E4">
            <w:pPr>
              <w:spacing w:after="0" w:line="240" w:lineRule="auto"/>
              <w:jc w:val="center"/>
              <w:rPr>
                <w:rFonts w:cs="Arial"/>
                <w:sz w:val="18"/>
              </w:rPr>
            </w:pPr>
            <w:r w:rsidRPr="00A350D3">
              <w:rPr>
                <w:rFonts w:cs="Arial"/>
                <w:sz w:val="18"/>
              </w:rPr>
              <w:t>1.2 [16.9] (1.3,38.4)</w:t>
            </w:r>
          </w:p>
        </w:tc>
      </w:tr>
      <w:tr w:rsidR="0068753E" w:rsidRPr="00776935" w:rsidTr="00CC12E4">
        <w:tc>
          <w:tcPr>
            <w:tcW w:w="1497" w:type="dxa"/>
            <w:vMerge/>
            <w:tcBorders>
              <w:left w:val="single" w:sz="4" w:space="0" w:color="auto"/>
              <w:bottom w:val="single" w:sz="4" w:space="0" w:color="auto"/>
              <w:right w:val="nil"/>
            </w:tcBorders>
            <w:shd w:val="clear" w:color="auto" w:fill="auto"/>
            <w:noWrap/>
            <w:vAlign w:val="center"/>
          </w:tcPr>
          <w:p w:rsidR="0068753E" w:rsidRPr="00776935" w:rsidRDefault="0068753E" w:rsidP="00CC12E4">
            <w:pPr>
              <w:spacing w:after="0" w:line="240" w:lineRule="auto"/>
              <w:rPr>
                <w:rFonts w:cs="Arial"/>
                <w:sz w:val="18"/>
              </w:rPr>
            </w:pPr>
          </w:p>
        </w:tc>
        <w:tc>
          <w:tcPr>
            <w:tcW w:w="1622" w:type="dxa"/>
            <w:tcBorders>
              <w:top w:val="nil"/>
              <w:left w:val="nil"/>
              <w:bottom w:val="single" w:sz="4" w:space="0" w:color="auto"/>
              <w:right w:val="nil"/>
            </w:tcBorders>
            <w:shd w:val="clear" w:color="auto" w:fill="auto"/>
            <w:noWrap/>
            <w:vAlign w:val="center"/>
            <w:hideMark/>
          </w:tcPr>
          <w:p w:rsidR="0068753E" w:rsidRPr="00776935" w:rsidRDefault="0068753E" w:rsidP="00CC12E4">
            <w:pPr>
              <w:spacing w:after="0" w:line="240" w:lineRule="auto"/>
              <w:rPr>
                <w:rFonts w:cs="Arial"/>
                <w:sz w:val="18"/>
              </w:rPr>
            </w:pPr>
            <w:r w:rsidRPr="00776935">
              <w:rPr>
                <w:rFonts w:cs="Arial"/>
                <w:sz w:val="18"/>
              </w:rPr>
              <w:t>surrogacy</w:t>
            </w:r>
          </w:p>
          <w:p w:rsidR="0068753E" w:rsidRPr="00776935" w:rsidRDefault="0068753E" w:rsidP="00CC12E4">
            <w:pPr>
              <w:spacing w:after="0" w:line="240" w:lineRule="auto"/>
              <w:rPr>
                <w:rFonts w:cs="Arial"/>
                <w:sz w:val="18"/>
              </w:rPr>
            </w:pPr>
            <w:r w:rsidRPr="00776935">
              <w:rPr>
                <w:rFonts w:cs="Arial"/>
                <w:sz w:val="18"/>
              </w:rPr>
              <w:t>(vs. same year)</w:t>
            </w:r>
          </w:p>
        </w:tc>
        <w:tc>
          <w:tcPr>
            <w:tcW w:w="1209" w:type="dxa"/>
            <w:tcBorders>
              <w:top w:val="nil"/>
              <w:left w:val="nil"/>
              <w:bottom w:val="single" w:sz="4" w:space="0" w:color="auto"/>
              <w:right w:val="nil"/>
            </w:tcBorders>
            <w:shd w:val="clear" w:color="auto" w:fill="auto"/>
            <w:noWrap/>
            <w:vAlign w:val="center"/>
            <w:hideMark/>
          </w:tcPr>
          <w:p w:rsidR="0068753E" w:rsidRPr="00A350D3" w:rsidRDefault="0068753E" w:rsidP="00CC12E4">
            <w:pPr>
              <w:spacing w:after="0" w:line="240" w:lineRule="auto"/>
              <w:jc w:val="center"/>
              <w:rPr>
                <w:rFonts w:cs="Arial"/>
                <w:sz w:val="18"/>
              </w:rPr>
            </w:pPr>
            <w:r w:rsidRPr="00A350D3">
              <w:rPr>
                <w:rFonts w:cs="Arial"/>
                <w:sz w:val="18"/>
              </w:rPr>
              <w:t>0.4 [2.8] (0.3,6.3)</w:t>
            </w:r>
          </w:p>
        </w:tc>
        <w:tc>
          <w:tcPr>
            <w:tcW w:w="1153" w:type="dxa"/>
            <w:tcBorders>
              <w:top w:val="nil"/>
              <w:left w:val="nil"/>
              <w:bottom w:val="single" w:sz="4" w:space="0" w:color="auto"/>
              <w:right w:val="nil"/>
            </w:tcBorders>
            <w:shd w:val="clear" w:color="auto" w:fill="auto"/>
            <w:noWrap/>
            <w:vAlign w:val="center"/>
            <w:hideMark/>
          </w:tcPr>
          <w:p w:rsidR="0068753E" w:rsidRPr="00A350D3" w:rsidRDefault="0068753E" w:rsidP="00CC12E4">
            <w:pPr>
              <w:spacing w:after="0" w:line="240" w:lineRule="auto"/>
              <w:jc w:val="center"/>
              <w:rPr>
                <w:rFonts w:cs="Arial"/>
                <w:sz w:val="18"/>
              </w:rPr>
            </w:pPr>
            <w:r w:rsidRPr="00A350D3">
              <w:rPr>
                <w:rFonts w:cs="Arial"/>
                <w:sz w:val="18"/>
              </w:rPr>
              <w:t>0.4 [2.9] (0.3,6.5)</w:t>
            </w:r>
          </w:p>
        </w:tc>
        <w:tc>
          <w:tcPr>
            <w:tcW w:w="1209" w:type="dxa"/>
            <w:tcBorders>
              <w:top w:val="nil"/>
              <w:left w:val="nil"/>
              <w:bottom w:val="single" w:sz="4" w:space="0" w:color="auto"/>
              <w:right w:val="nil"/>
            </w:tcBorders>
            <w:shd w:val="clear" w:color="auto" w:fill="auto"/>
            <w:noWrap/>
            <w:vAlign w:val="center"/>
            <w:hideMark/>
          </w:tcPr>
          <w:p w:rsidR="0068753E" w:rsidRPr="00A350D3" w:rsidRDefault="0068753E" w:rsidP="00CC12E4">
            <w:pPr>
              <w:spacing w:after="0" w:line="240" w:lineRule="auto"/>
              <w:jc w:val="center"/>
              <w:rPr>
                <w:rFonts w:cs="Arial"/>
                <w:sz w:val="18"/>
              </w:rPr>
            </w:pPr>
            <w:r w:rsidRPr="00A350D3">
              <w:rPr>
                <w:rFonts w:cs="Arial"/>
                <w:sz w:val="18"/>
              </w:rPr>
              <w:t>0.4 [3.1] (0.3,6.9)</w:t>
            </w:r>
          </w:p>
        </w:tc>
        <w:tc>
          <w:tcPr>
            <w:tcW w:w="1116" w:type="dxa"/>
            <w:tcBorders>
              <w:top w:val="nil"/>
              <w:left w:val="nil"/>
              <w:bottom w:val="single" w:sz="4" w:space="0" w:color="auto"/>
              <w:right w:val="nil"/>
            </w:tcBorders>
            <w:shd w:val="clear" w:color="auto" w:fill="auto"/>
            <w:noWrap/>
            <w:vAlign w:val="center"/>
            <w:hideMark/>
          </w:tcPr>
          <w:p w:rsidR="0068753E" w:rsidRPr="00A350D3" w:rsidRDefault="0068753E" w:rsidP="00CC12E4">
            <w:pPr>
              <w:spacing w:after="0" w:line="240" w:lineRule="auto"/>
              <w:jc w:val="center"/>
              <w:rPr>
                <w:rFonts w:cs="Arial"/>
                <w:sz w:val="18"/>
              </w:rPr>
            </w:pPr>
            <w:r w:rsidRPr="00A350D3">
              <w:rPr>
                <w:rFonts w:cs="Arial"/>
                <w:sz w:val="18"/>
              </w:rPr>
              <w:t>0.5 [2.7] (0.4,5.9)</w:t>
            </w:r>
          </w:p>
        </w:tc>
        <w:tc>
          <w:tcPr>
            <w:tcW w:w="1408" w:type="dxa"/>
            <w:tcBorders>
              <w:top w:val="nil"/>
              <w:left w:val="nil"/>
              <w:bottom w:val="single" w:sz="4" w:space="0" w:color="auto"/>
              <w:right w:val="single" w:sz="4" w:space="0" w:color="auto"/>
            </w:tcBorders>
            <w:shd w:val="clear" w:color="auto" w:fill="auto"/>
            <w:noWrap/>
            <w:vAlign w:val="center"/>
            <w:hideMark/>
          </w:tcPr>
          <w:p w:rsidR="0068753E" w:rsidRPr="00A350D3" w:rsidRDefault="0068753E" w:rsidP="00CC12E4">
            <w:pPr>
              <w:spacing w:after="0" w:line="240" w:lineRule="auto"/>
              <w:jc w:val="center"/>
              <w:rPr>
                <w:rFonts w:cs="Arial"/>
                <w:sz w:val="18"/>
              </w:rPr>
            </w:pPr>
            <w:r w:rsidRPr="00A350D3">
              <w:rPr>
                <w:rFonts w:cs="Arial"/>
                <w:sz w:val="18"/>
              </w:rPr>
              <w:t>--</w:t>
            </w:r>
          </w:p>
        </w:tc>
      </w:tr>
      <w:tr w:rsidR="0068753E" w:rsidRPr="00776935" w:rsidTr="00CC12E4">
        <w:tc>
          <w:tcPr>
            <w:tcW w:w="1497" w:type="dxa"/>
            <w:vMerge w:val="restart"/>
            <w:tcBorders>
              <w:top w:val="single" w:sz="4" w:space="0" w:color="auto"/>
              <w:left w:val="single" w:sz="4" w:space="0" w:color="auto"/>
              <w:right w:val="nil"/>
            </w:tcBorders>
            <w:shd w:val="clear" w:color="auto" w:fill="auto"/>
            <w:noWrap/>
            <w:vAlign w:val="center"/>
          </w:tcPr>
          <w:p w:rsidR="0068753E" w:rsidRPr="00776935" w:rsidRDefault="0068753E" w:rsidP="00CC12E4">
            <w:pPr>
              <w:spacing w:after="0" w:line="240" w:lineRule="auto"/>
              <w:rPr>
                <w:rFonts w:cs="Arial"/>
                <w:sz w:val="18"/>
              </w:rPr>
            </w:pPr>
            <w:r w:rsidRPr="00776935">
              <w:rPr>
                <w:rFonts w:cs="Arial"/>
                <w:sz w:val="18"/>
              </w:rPr>
              <w:t>Neurological</w:t>
            </w:r>
          </w:p>
        </w:tc>
        <w:tc>
          <w:tcPr>
            <w:tcW w:w="1622" w:type="dxa"/>
            <w:tcBorders>
              <w:top w:val="single" w:sz="4" w:space="0" w:color="auto"/>
              <w:left w:val="nil"/>
              <w:bottom w:val="nil"/>
              <w:right w:val="nil"/>
            </w:tcBorders>
            <w:shd w:val="clear" w:color="auto" w:fill="auto"/>
            <w:noWrap/>
            <w:vAlign w:val="center"/>
            <w:hideMark/>
          </w:tcPr>
          <w:p w:rsidR="0068753E" w:rsidRPr="00776935" w:rsidRDefault="0068753E" w:rsidP="00CC12E4">
            <w:pPr>
              <w:spacing w:after="0" w:line="240" w:lineRule="auto"/>
              <w:rPr>
                <w:rFonts w:cs="Arial"/>
                <w:sz w:val="18"/>
              </w:rPr>
            </w:pPr>
            <w:r w:rsidRPr="00776935">
              <w:rPr>
                <w:rFonts w:cs="Arial"/>
                <w:sz w:val="18"/>
              </w:rPr>
              <w:t>mortality effects (vs. year 1)</w:t>
            </w:r>
          </w:p>
        </w:tc>
        <w:tc>
          <w:tcPr>
            <w:tcW w:w="1209" w:type="dxa"/>
            <w:tcBorders>
              <w:top w:val="single" w:sz="4" w:space="0" w:color="auto"/>
              <w:left w:val="nil"/>
              <w:bottom w:val="nil"/>
              <w:right w:val="nil"/>
            </w:tcBorders>
            <w:shd w:val="clear" w:color="auto" w:fill="BFBFBF" w:themeFill="background1" w:themeFillShade="BF"/>
            <w:noWrap/>
            <w:vAlign w:val="center"/>
            <w:hideMark/>
          </w:tcPr>
          <w:p w:rsidR="0068753E" w:rsidRPr="00A350D3" w:rsidRDefault="0068753E" w:rsidP="00CC12E4">
            <w:pPr>
              <w:spacing w:after="0" w:line="240" w:lineRule="auto"/>
              <w:jc w:val="center"/>
              <w:rPr>
                <w:rFonts w:cs="Arial"/>
                <w:sz w:val="18"/>
              </w:rPr>
            </w:pPr>
            <w:r w:rsidRPr="00A350D3">
              <w:rPr>
                <w:rFonts w:cs="Arial"/>
                <w:sz w:val="18"/>
              </w:rPr>
              <w:t>estimable</w:t>
            </w:r>
          </w:p>
        </w:tc>
        <w:tc>
          <w:tcPr>
            <w:tcW w:w="1153" w:type="dxa"/>
            <w:tcBorders>
              <w:top w:val="single" w:sz="4" w:space="0" w:color="auto"/>
              <w:left w:val="nil"/>
              <w:bottom w:val="nil"/>
              <w:right w:val="nil"/>
            </w:tcBorders>
            <w:shd w:val="clear" w:color="auto" w:fill="auto"/>
            <w:noWrap/>
            <w:vAlign w:val="center"/>
            <w:hideMark/>
          </w:tcPr>
          <w:p w:rsidR="0068753E" w:rsidRPr="00A350D3" w:rsidRDefault="0068753E" w:rsidP="00CC12E4">
            <w:pPr>
              <w:spacing w:after="0" w:line="240" w:lineRule="auto"/>
              <w:jc w:val="center"/>
              <w:rPr>
                <w:rFonts w:cs="Arial"/>
                <w:sz w:val="18"/>
              </w:rPr>
            </w:pPr>
            <w:r w:rsidRPr="00A350D3">
              <w:rPr>
                <w:rFonts w:cs="Arial"/>
                <w:sz w:val="18"/>
              </w:rPr>
              <w:t>0.3 [1.3] (0.2,2.9)</w:t>
            </w:r>
          </w:p>
        </w:tc>
        <w:tc>
          <w:tcPr>
            <w:tcW w:w="1209" w:type="dxa"/>
            <w:tcBorders>
              <w:top w:val="single" w:sz="4" w:space="0" w:color="auto"/>
              <w:left w:val="nil"/>
              <w:bottom w:val="nil"/>
              <w:right w:val="nil"/>
            </w:tcBorders>
            <w:shd w:val="clear" w:color="auto" w:fill="auto"/>
            <w:noWrap/>
            <w:vAlign w:val="center"/>
            <w:hideMark/>
          </w:tcPr>
          <w:p w:rsidR="0068753E" w:rsidRPr="00A350D3" w:rsidRDefault="0068753E" w:rsidP="00CC12E4">
            <w:pPr>
              <w:spacing w:after="0" w:line="240" w:lineRule="auto"/>
              <w:jc w:val="center"/>
              <w:rPr>
                <w:rFonts w:cs="Arial"/>
                <w:sz w:val="18"/>
              </w:rPr>
            </w:pPr>
            <w:r w:rsidRPr="00A350D3">
              <w:rPr>
                <w:rFonts w:cs="Arial"/>
                <w:sz w:val="18"/>
              </w:rPr>
              <w:t>0.2 [1.2] (0.1,2.6)</w:t>
            </w:r>
          </w:p>
        </w:tc>
        <w:tc>
          <w:tcPr>
            <w:tcW w:w="1116" w:type="dxa"/>
            <w:tcBorders>
              <w:top w:val="single" w:sz="4" w:space="0" w:color="auto"/>
              <w:left w:val="nil"/>
              <w:bottom w:val="nil"/>
              <w:right w:val="nil"/>
            </w:tcBorders>
            <w:shd w:val="clear" w:color="auto" w:fill="auto"/>
            <w:noWrap/>
            <w:vAlign w:val="center"/>
            <w:hideMark/>
          </w:tcPr>
          <w:p w:rsidR="0068753E" w:rsidRPr="00A350D3" w:rsidRDefault="0068753E" w:rsidP="00CC12E4">
            <w:pPr>
              <w:spacing w:after="0" w:line="240" w:lineRule="auto"/>
              <w:jc w:val="center"/>
              <w:rPr>
                <w:rFonts w:cs="Arial"/>
                <w:sz w:val="18"/>
              </w:rPr>
            </w:pPr>
            <w:r w:rsidRPr="00A350D3">
              <w:rPr>
                <w:rFonts w:cs="Arial"/>
                <w:sz w:val="18"/>
              </w:rPr>
              <w:t>0.1 [1.2] (0.1,2.8)</w:t>
            </w:r>
          </w:p>
        </w:tc>
        <w:tc>
          <w:tcPr>
            <w:tcW w:w="1408" w:type="dxa"/>
            <w:tcBorders>
              <w:top w:val="single" w:sz="4" w:space="0" w:color="auto"/>
              <w:left w:val="nil"/>
              <w:bottom w:val="nil"/>
              <w:right w:val="single" w:sz="4" w:space="0" w:color="auto"/>
            </w:tcBorders>
            <w:shd w:val="clear" w:color="auto" w:fill="auto"/>
            <w:noWrap/>
            <w:vAlign w:val="center"/>
            <w:hideMark/>
          </w:tcPr>
          <w:p w:rsidR="0068753E" w:rsidRPr="00A350D3" w:rsidRDefault="0068753E" w:rsidP="00CC12E4">
            <w:pPr>
              <w:spacing w:after="0" w:line="240" w:lineRule="auto"/>
              <w:jc w:val="center"/>
              <w:rPr>
                <w:rFonts w:cs="Arial"/>
                <w:sz w:val="18"/>
              </w:rPr>
            </w:pPr>
            <w:r w:rsidRPr="00A350D3">
              <w:rPr>
                <w:rFonts w:cs="Arial"/>
                <w:sz w:val="18"/>
              </w:rPr>
              <w:t>1 [17.8] (1.2,40.2)</w:t>
            </w:r>
          </w:p>
        </w:tc>
      </w:tr>
      <w:tr w:rsidR="0068753E" w:rsidRPr="00776935" w:rsidTr="00CC12E4">
        <w:tc>
          <w:tcPr>
            <w:tcW w:w="1497" w:type="dxa"/>
            <w:vMerge/>
            <w:tcBorders>
              <w:left w:val="single" w:sz="4" w:space="0" w:color="auto"/>
              <w:bottom w:val="single" w:sz="4" w:space="0" w:color="auto"/>
              <w:right w:val="nil"/>
            </w:tcBorders>
            <w:shd w:val="clear" w:color="auto" w:fill="auto"/>
            <w:noWrap/>
            <w:vAlign w:val="center"/>
          </w:tcPr>
          <w:p w:rsidR="0068753E" w:rsidRPr="00776935" w:rsidRDefault="0068753E" w:rsidP="00CC12E4">
            <w:pPr>
              <w:spacing w:after="0" w:line="240" w:lineRule="auto"/>
              <w:rPr>
                <w:rFonts w:cs="Arial"/>
                <w:sz w:val="18"/>
              </w:rPr>
            </w:pPr>
          </w:p>
        </w:tc>
        <w:tc>
          <w:tcPr>
            <w:tcW w:w="1622" w:type="dxa"/>
            <w:tcBorders>
              <w:top w:val="nil"/>
              <w:left w:val="nil"/>
              <w:bottom w:val="single" w:sz="4" w:space="0" w:color="auto"/>
              <w:right w:val="nil"/>
            </w:tcBorders>
            <w:shd w:val="clear" w:color="auto" w:fill="auto"/>
            <w:noWrap/>
            <w:vAlign w:val="center"/>
            <w:hideMark/>
          </w:tcPr>
          <w:p w:rsidR="0068753E" w:rsidRPr="00776935" w:rsidRDefault="0068753E" w:rsidP="00CC12E4">
            <w:pPr>
              <w:spacing w:after="0" w:line="240" w:lineRule="auto"/>
              <w:rPr>
                <w:rFonts w:cs="Arial"/>
                <w:sz w:val="18"/>
              </w:rPr>
            </w:pPr>
            <w:r w:rsidRPr="00776935">
              <w:rPr>
                <w:rFonts w:cs="Arial"/>
                <w:sz w:val="18"/>
              </w:rPr>
              <w:t>surrogacy</w:t>
            </w:r>
          </w:p>
          <w:p w:rsidR="0068753E" w:rsidRPr="00776935" w:rsidRDefault="0068753E" w:rsidP="00CC12E4">
            <w:pPr>
              <w:spacing w:after="0" w:line="240" w:lineRule="auto"/>
              <w:rPr>
                <w:rFonts w:cs="Arial"/>
                <w:sz w:val="18"/>
              </w:rPr>
            </w:pPr>
            <w:r w:rsidRPr="00776935">
              <w:rPr>
                <w:rFonts w:cs="Arial"/>
                <w:sz w:val="18"/>
              </w:rPr>
              <w:t>(vs. same year)</w:t>
            </w:r>
          </w:p>
        </w:tc>
        <w:tc>
          <w:tcPr>
            <w:tcW w:w="1209" w:type="dxa"/>
            <w:tcBorders>
              <w:top w:val="nil"/>
              <w:left w:val="nil"/>
              <w:bottom w:val="single" w:sz="4" w:space="0" w:color="auto"/>
              <w:right w:val="nil"/>
            </w:tcBorders>
            <w:shd w:val="clear" w:color="auto" w:fill="auto"/>
            <w:noWrap/>
            <w:vAlign w:val="center"/>
            <w:hideMark/>
          </w:tcPr>
          <w:p w:rsidR="0068753E" w:rsidRPr="00A350D3" w:rsidRDefault="0068753E" w:rsidP="00CC12E4">
            <w:pPr>
              <w:spacing w:after="0" w:line="240" w:lineRule="auto"/>
              <w:jc w:val="center"/>
              <w:rPr>
                <w:rFonts w:cs="Arial"/>
                <w:sz w:val="18"/>
              </w:rPr>
            </w:pPr>
            <w:r w:rsidRPr="00A350D3">
              <w:rPr>
                <w:rFonts w:cs="Arial"/>
                <w:sz w:val="18"/>
              </w:rPr>
              <w:t>1.2 [2.9] (0.8,5.8)</w:t>
            </w:r>
          </w:p>
        </w:tc>
        <w:tc>
          <w:tcPr>
            <w:tcW w:w="1153" w:type="dxa"/>
            <w:tcBorders>
              <w:top w:val="nil"/>
              <w:left w:val="nil"/>
              <w:bottom w:val="single" w:sz="4" w:space="0" w:color="auto"/>
              <w:right w:val="nil"/>
            </w:tcBorders>
            <w:shd w:val="clear" w:color="auto" w:fill="auto"/>
            <w:noWrap/>
            <w:vAlign w:val="center"/>
            <w:hideMark/>
          </w:tcPr>
          <w:p w:rsidR="0068753E" w:rsidRPr="00A350D3" w:rsidRDefault="0068753E" w:rsidP="00CC12E4">
            <w:pPr>
              <w:spacing w:after="0" w:line="240" w:lineRule="auto"/>
              <w:jc w:val="center"/>
              <w:rPr>
                <w:rFonts w:cs="Arial"/>
                <w:sz w:val="18"/>
              </w:rPr>
            </w:pPr>
            <w:r w:rsidRPr="00A350D3">
              <w:rPr>
                <w:rFonts w:cs="Arial"/>
                <w:sz w:val="18"/>
              </w:rPr>
              <w:t>1 [2.7] (0.7,5.6)</w:t>
            </w:r>
          </w:p>
        </w:tc>
        <w:tc>
          <w:tcPr>
            <w:tcW w:w="1209" w:type="dxa"/>
            <w:tcBorders>
              <w:top w:val="nil"/>
              <w:left w:val="nil"/>
              <w:bottom w:val="single" w:sz="4" w:space="0" w:color="auto"/>
              <w:right w:val="nil"/>
            </w:tcBorders>
            <w:shd w:val="clear" w:color="auto" w:fill="auto"/>
            <w:noWrap/>
            <w:vAlign w:val="center"/>
            <w:hideMark/>
          </w:tcPr>
          <w:p w:rsidR="0068753E" w:rsidRPr="00A350D3" w:rsidRDefault="0068753E" w:rsidP="00CC12E4">
            <w:pPr>
              <w:spacing w:after="0" w:line="240" w:lineRule="auto"/>
              <w:jc w:val="center"/>
              <w:rPr>
                <w:rFonts w:cs="Arial"/>
                <w:sz w:val="18"/>
              </w:rPr>
            </w:pPr>
            <w:r w:rsidRPr="00A350D3">
              <w:rPr>
                <w:rFonts w:cs="Arial"/>
                <w:sz w:val="18"/>
              </w:rPr>
              <w:t>0.7 [2.5] (0.5,5.3)</w:t>
            </w:r>
          </w:p>
        </w:tc>
        <w:tc>
          <w:tcPr>
            <w:tcW w:w="1116" w:type="dxa"/>
            <w:tcBorders>
              <w:top w:val="nil"/>
              <w:left w:val="nil"/>
              <w:bottom w:val="single" w:sz="4" w:space="0" w:color="auto"/>
              <w:right w:val="nil"/>
            </w:tcBorders>
            <w:shd w:val="clear" w:color="auto" w:fill="auto"/>
            <w:noWrap/>
            <w:vAlign w:val="center"/>
            <w:hideMark/>
          </w:tcPr>
          <w:p w:rsidR="0068753E" w:rsidRPr="00A350D3" w:rsidRDefault="0068753E" w:rsidP="00CC12E4">
            <w:pPr>
              <w:spacing w:after="0" w:line="240" w:lineRule="auto"/>
              <w:jc w:val="center"/>
              <w:rPr>
                <w:rFonts w:cs="Arial"/>
                <w:sz w:val="18"/>
              </w:rPr>
            </w:pPr>
            <w:r w:rsidRPr="00A350D3">
              <w:rPr>
                <w:rFonts w:cs="Arial"/>
                <w:sz w:val="18"/>
              </w:rPr>
              <w:t>0.7 [2.3] (0.5,4.9)</w:t>
            </w:r>
          </w:p>
        </w:tc>
        <w:tc>
          <w:tcPr>
            <w:tcW w:w="1408" w:type="dxa"/>
            <w:tcBorders>
              <w:top w:val="nil"/>
              <w:left w:val="nil"/>
              <w:bottom w:val="single" w:sz="4" w:space="0" w:color="auto"/>
              <w:right w:val="single" w:sz="4" w:space="0" w:color="auto"/>
            </w:tcBorders>
            <w:shd w:val="clear" w:color="auto" w:fill="auto"/>
            <w:noWrap/>
            <w:vAlign w:val="center"/>
            <w:hideMark/>
          </w:tcPr>
          <w:p w:rsidR="0068753E" w:rsidRPr="00A350D3" w:rsidRDefault="0068753E" w:rsidP="00CC12E4">
            <w:pPr>
              <w:spacing w:after="0" w:line="240" w:lineRule="auto"/>
              <w:jc w:val="center"/>
              <w:rPr>
                <w:rFonts w:cs="Arial"/>
                <w:sz w:val="18"/>
              </w:rPr>
            </w:pPr>
            <w:r w:rsidRPr="00A350D3">
              <w:rPr>
                <w:rFonts w:cs="Arial"/>
                <w:sz w:val="18"/>
              </w:rPr>
              <w:t>--</w:t>
            </w:r>
          </w:p>
        </w:tc>
      </w:tr>
      <w:tr w:rsidR="0068753E" w:rsidRPr="00776935" w:rsidTr="00CC12E4">
        <w:tc>
          <w:tcPr>
            <w:tcW w:w="1497" w:type="dxa"/>
            <w:vMerge w:val="restart"/>
            <w:tcBorders>
              <w:top w:val="single" w:sz="4" w:space="0" w:color="auto"/>
              <w:left w:val="single" w:sz="4" w:space="0" w:color="auto"/>
              <w:right w:val="nil"/>
            </w:tcBorders>
            <w:shd w:val="clear" w:color="auto" w:fill="auto"/>
            <w:noWrap/>
            <w:vAlign w:val="center"/>
            <w:hideMark/>
          </w:tcPr>
          <w:p w:rsidR="0068753E" w:rsidRPr="00776935" w:rsidRDefault="0068753E" w:rsidP="00CC12E4">
            <w:pPr>
              <w:spacing w:after="0" w:line="240" w:lineRule="auto"/>
              <w:rPr>
                <w:rFonts w:cs="Arial"/>
                <w:sz w:val="18"/>
              </w:rPr>
            </w:pPr>
            <w:r w:rsidRPr="00776935">
              <w:rPr>
                <w:rFonts w:cs="Arial"/>
                <w:sz w:val="18"/>
              </w:rPr>
              <w:t>Endocrinology</w:t>
            </w:r>
          </w:p>
        </w:tc>
        <w:tc>
          <w:tcPr>
            <w:tcW w:w="1622" w:type="dxa"/>
            <w:tcBorders>
              <w:top w:val="single" w:sz="4" w:space="0" w:color="auto"/>
              <w:left w:val="nil"/>
              <w:bottom w:val="nil"/>
              <w:right w:val="nil"/>
            </w:tcBorders>
            <w:shd w:val="clear" w:color="auto" w:fill="auto"/>
            <w:noWrap/>
            <w:vAlign w:val="center"/>
            <w:hideMark/>
          </w:tcPr>
          <w:p w:rsidR="0068753E" w:rsidRPr="00776935" w:rsidRDefault="0068753E" w:rsidP="00CC12E4">
            <w:pPr>
              <w:spacing w:after="0" w:line="240" w:lineRule="auto"/>
              <w:rPr>
                <w:rFonts w:cs="Arial"/>
                <w:sz w:val="18"/>
              </w:rPr>
            </w:pPr>
            <w:r w:rsidRPr="00776935">
              <w:rPr>
                <w:rFonts w:cs="Arial"/>
                <w:sz w:val="18"/>
              </w:rPr>
              <w:t>mortality effects (vs. year 1)</w:t>
            </w:r>
          </w:p>
        </w:tc>
        <w:tc>
          <w:tcPr>
            <w:tcW w:w="1209" w:type="dxa"/>
            <w:tcBorders>
              <w:top w:val="single" w:sz="4" w:space="0" w:color="auto"/>
              <w:left w:val="nil"/>
              <w:bottom w:val="nil"/>
              <w:right w:val="nil"/>
            </w:tcBorders>
            <w:shd w:val="clear" w:color="auto" w:fill="BFBFBF" w:themeFill="background1" w:themeFillShade="BF"/>
            <w:noWrap/>
            <w:vAlign w:val="center"/>
            <w:hideMark/>
          </w:tcPr>
          <w:p w:rsidR="0068753E" w:rsidRPr="00A350D3" w:rsidRDefault="0068753E" w:rsidP="00CC12E4">
            <w:pPr>
              <w:spacing w:after="0" w:line="240" w:lineRule="auto"/>
              <w:jc w:val="center"/>
              <w:rPr>
                <w:rFonts w:cs="Arial"/>
                <w:sz w:val="18"/>
              </w:rPr>
            </w:pPr>
            <w:r w:rsidRPr="00A350D3">
              <w:rPr>
                <w:rFonts w:cs="Arial"/>
                <w:sz w:val="18"/>
              </w:rPr>
              <w:t>estimable</w:t>
            </w:r>
          </w:p>
        </w:tc>
        <w:tc>
          <w:tcPr>
            <w:tcW w:w="1153" w:type="dxa"/>
            <w:tcBorders>
              <w:top w:val="single" w:sz="4" w:space="0" w:color="auto"/>
              <w:left w:val="nil"/>
              <w:bottom w:val="nil"/>
              <w:right w:val="nil"/>
            </w:tcBorders>
            <w:shd w:val="clear" w:color="auto" w:fill="auto"/>
            <w:noWrap/>
            <w:vAlign w:val="center"/>
            <w:hideMark/>
          </w:tcPr>
          <w:p w:rsidR="0068753E" w:rsidRPr="00A350D3" w:rsidRDefault="0068753E" w:rsidP="00CC12E4">
            <w:pPr>
              <w:spacing w:after="0" w:line="240" w:lineRule="auto"/>
              <w:jc w:val="center"/>
              <w:rPr>
                <w:rFonts w:cs="Arial"/>
                <w:sz w:val="18"/>
              </w:rPr>
            </w:pPr>
            <w:r w:rsidRPr="00A350D3">
              <w:rPr>
                <w:rFonts w:cs="Arial"/>
                <w:sz w:val="18"/>
              </w:rPr>
              <w:t>0.1 [1.9] (0.1,4.3)</w:t>
            </w:r>
          </w:p>
        </w:tc>
        <w:tc>
          <w:tcPr>
            <w:tcW w:w="1209" w:type="dxa"/>
            <w:tcBorders>
              <w:top w:val="single" w:sz="4" w:space="0" w:color="auto"/>
              <w:left w:val="nil"/>
              <w:bottom w:val="nil"/>
              <w:right w:val="nil"/>
            </w:tcBorders>
            <w:shd w:val="clear" w:color="auto" w:fill="auto"/>
            <w:noWrap/>
            <w:vAlign w:val="center"/>
            <w:hideMark/>
          </w:tcPr>
          <w:p w:rsidR="0068753E" w:rsidRPr="00A350D3" w:rsidRDefault="0068753E" w:rsidP="00CC12E4">
            <w:pPr>
              <w:spacing w:after="0" w:line="240" w:lineRule="auto"/>
              <w:jc w:val="center"/>
              <w:rPr>
                <w:rFonts w:cs="Arial"/>
                <w:sz w:val="18"/>
              </w:rPr>
            </w:pPr>
            <w:r w:rsidRPr="00A350D3">
              <w:rPr>
                <w:rFonts w:cs="Arial"/>
                <w:sz w:val="18"/>
              </w:rPr>
              <w:t>0.1 [1.3] (0.1,2.8)</w:t>
            </w:r>
          </w:p>
        </w:tc>
        <w:tc>
          <w:tcPr>
            <w:tcW w:w="1116" w:type="dxa"/>
            <w:tcBorders>
              <w:top w:val="single" w:sz="4" w:space="0" w:color="auto"/>
              <w:left w:val="nil"/>
              <w:bottom w:val="nil"/>
              <w:right w:val="nil"/>
            </w:tcBorders>
            <w:shd w:val="clear" w:color="auto" w:fill="auto"/>
            <w:noWrap/>
            <w:vAlign w:val="center"/>
            <w:hideMark/>
          </w:tcPr>
          <w:p w:rsidR="0068753E" w:rsidRPr="00A350D3" w:rsidRDefault="0068753E" w:rsidP="00CC12E4">
            <w:pPr>
              <w:spacing w:after="0" w:line="240" w:lineRule="auto"/>
              <w:jc w:val="center"/>
              <w:rPr>
                <w:rFonts w:cs="Arial"/>
                <w:sz w:val="18"/>
              </w:rPr>
            </w:pPr>
            <w:r w:rsidRPr="00A350D3">
              <w:rPr>
                <w:rFonts w:cs="Arial"/>
                <w:sz w:val="18"/>
              </w:rPr>
              <w:t>0.1 [1.1] (0.1,2.4)</w:t>
            </w:r>
          </w:p>
        </w:tc>
        <w:tc>
          <w:tcPr>
            <w:tcW w:w="1408" w:type="dxa"/>
            <w:tcBorders>
              <w:top w:val="single" w:sz="4" w:space="0" w:color="auto"/>
              <w:left w:val="nil"/>
              <w:bottom w:val="nil"/>
              <w:right w:val="single" w:sz="4" w:space="0" w:color="auto"/>
            </w:tcBorders>
            <w:shd w:val="clear" w:color="auto" w:fill="auto"/>
            <w:noWrap/>
            <w:vAlign w:val="center"/>
            <w:hideMark/>
          </w:tcPr>
          <w:p w:rsidR="0068753E" w:rsidRPr="00A350D3" w:rsidRDefault="0068753E" w:rsidP="00CC12E4">
            <w:pPr>
              <w:spacing w:after="0" w:line="240" w:lineRule="auto"/>
              <w:jc w:val="center"/>
              <w:rPr>
                <w:rFonts w:cs="Arial"/>
                <w:sz w:val="18"/>
              </w:rPr>
            </w:pPr>
            <w:r w:rsidRPr="00A350D3">
              <w:rPr>
                <w:rFonts w:cs="Arial"/>
                <w:sz w:val="18"/>
              </w:rPr>
              <w:t>0.6 [12.6] (0.7,28.3)</w:t>
            </w:r>
          </w:p>
        </w:tc>
      </w:tr>
      <w:tr w:rsidR="0068753E" w:rsidRPr="00776935" w:rsidTr="00CC12E4">
        <w:tc>
          <w:tcPr>
            <w:tcW w:w="1497" w:type="dxa"/>
            <w:vMerge/>
            <w:tcBorders>
              <w:left w:val="single" w:sz="4" w:space="0" w:color="auto"/>
              <w:bottom w:val="single" w:sz="4" w:space="0" w:color="auto"/>
              <w:right w:val="nil"/>
            </w:tcBorders>
            <w:shd w:val="clear" w:color="auto" w:fill="auto"/>
            <w:noWrap/>
            <w:vAlign w:val="center"/>
            <w:hideMark/>
          </w:tcPr>
          <w:p w:rsidR="0068753E" w:rsidRPr="00776935" w:rsidRDefault="0068753E" w:rsidP="00CC12E4">
            <w:pPr>
              <w:spacing w:after="0" w:line="240" w:lineRule="auto"/>
              <w:rPr>
                <w:rFonts w:cs="Arial"/>
                <w:sz w:val="18"/>
              </w:rPr>
            </w:pPr>
          </w:p>
        </w:tc>
        <w:tc>
          <w:tcPr>
            <w:tcW w:w="1622" w:type="dxa"/>
            <w:tcBorders>
              <w:top w:val="nil"/>
              <w:left w:val="nil"/>
              <w:bottom w:val="single" w:sz="4" w:space="0" w:color="auto"/>
              <w:right w:val="nil"/>
            </w:tcBorders>
            <w:shd w:val="clear" w:color="auto" w:fill="auto"/>
            <w:noWrap/>
            <w:vAlign w:val="center"/>
            <w:hideMark/>
          </w:tcPr>
          <w:p w:rsidR="0068753E" w:rsidRPr="00776935" w:rsidRDefault="0068753E" w:rsidP="00CC12E4">
            <w:pPr>
              <w:spacing w:after="0" w:line="240" w:lineRule="auto"/>
              <w:rPr>
                <w:rFonts w:cs="Arial"/>
                <w:sz w:val="18"/>
              </w:rPr>
            </w:pPr>
            <w:r w:rsidRPr="00776935">
              <w:rPr>
                <w:rFonts w:cs="Arial"/>
                <w:sz w:val="18"/>
              </w:rPr>
              <w:t>surrogacy</w:t>
            </w:r>
          </w:p>
          <w:p w:rsidR="0068753E" w:rsidRPr="00776935" w:rsidRDefault="0068753E" w:rsidP="00CC12E4">
            <w:pPr>
              <w:spacing w:after="0" w:line="240" w:lineRule="auto"/>
              <w:rPr>
                <w:rFonts w:cs="Arial"/>
                <w:sz w:val="18"/>
              </w:rPr>
            </w:pPr>
            <w:r w:rsidRPr="00776935">
              <w:rPr>
                <w:rFonts w:cs="Arial"/>
                <w:sz w:val="18"/>
              </w:rPr>
              <w:t>(vs. same year)</w:t>
            </w:r>
          </w:p>
        </w:tc>
        <w:tc>
          <w:tcPr>
            <w:tcW w:w="1209" w:type="dxa"/>
            <w:tcBorders>
              <w:top w:val="nil"/>
              <w:left w:val="nil"/>
              <w:bottom w:val="single" w:sz="4" w:space="0" w:color="auto"/>
              <w:right w:val="nil"/>
            </w:tcBorders>
            <w:shd w:val="clear" w:color="auto" w:fill="auto"/>
            <w:noWrap/>
            <w:vAlign w:val="center"/>
            <w:hideMark/>
          </w:tcPr>
          <w:p w:rsidR="0068753E" w:rsidRPr="00A350D3" w:rsidRDefault="0068753E" w:rsidP="00CC12E4">
            <w:pPr>
              <w:spacing w:after="0" w:line="240" w:lineRule="auto"/>
              <w:jc w:val="center"/>
              <w:rPr>
                <w:rFonts w:cs="Arial"/>
                <w:sz w:val="18"/>
              </w:rPr>
            </w:pPr>
            <w:r w:rsidRPr="00A350D3">
              <w:rPr>
                <w:rFonts w:cs="Arial"/>
                <w:sz w:val="18"/>
              </w:rPr>
              <w:t>0.8 [2.4] (0.5,5)</w:t>
            </w:r>
          </w:p>
        </w:tc>
        <w:tc>
          <w:tcPr>
            <w:tcW w:w="1153" w:type="dxa"/>
            <w:tcBorders>
              <w:top w:val="nil"/>
              <w:left w:val="nil"/>
              <w:bottom w:val="single" w:sz="4" w:space="0" w:color="auto"/>
              <w:right w:val="nil"/>
            </w:tcBorders>
            <w:shd w:val="clear" w:color="auto" w:fill="auto"/>
            <w:noWrap/>
            <w:vAlign w:val="center"/>
            <w:hideMark/>
          </w:tcPr>
          <w:p w:rsidR="0068753E" w:rsidRPr="00A350D3" w:rsidRDefault="0068753E" w:rsidP="00CC12E4">
            <w:pPr>
              <w:spacing w:after="0" w:line="240" w:lineRule="auto"/>
              <w:jc w:val="center"/>
              <w:rPr>
                <w:rFonts w:cs="Arial"/>
                <w:sz w:val="18"/>
              </w:rPr>
            </w:pPr>
            <w:r w:rsidRPr="00A350D3">
              <w:rPr>
                <w:rFonts w:cs="Arial"/>
                <w:sz w:val="18"/>
              </w:rPr>
              <w:t>0.7 [2.6] (0.5,5.5)</w:t>
            </w:r>
          </w:p>
        </w:tc>
        <w:tc>
          <w:tcPr>
            <w:tcW w:w="1209" w:type="dxa"/>
            <w:tcBorders>
              <w:top w:val="nil"/>
              <w:left w:val="nil"/>
              <w:bottom w:val="single" w:sz="4" w:space="0" w:color="auto"/>
              <w:right w:val="nil"/>
            </w:tcBorders>
            <w:shd w:val="clear" w:color="auto" w:fill="auto"/>
            <w:noWrap/>
            <w:vAlign w:val="center"/>
            <w:hideMark/>
          </w:tcPr>
          <w:p w:rsidR="0068753E" w:rsidRPr="00A350D3" w:rsidRDefault="0068753E" w:rsidP="00CC12E4">
            <w:pPr>
              <w:spacing w:after="0" w:line="240" w:lineRule="auto"/>
              <w:jc w:val="center"/>
              <w:rPr>
                <w:rFonts w:cs="Arial"/>
                <w:sz w:val="18"/>
              </w:rPr>
            </w:pPr>
            <w:r w:rsidRPr="00A350D3">
              <w:rPr>
                <w:rFonts w:cs="Arial"/>
                <w:sz w:val="18"/>
              </w:rPr>
              <w:t>0.7 [2.6] (0.5,5.6)</w:t>
            </w:r>
          </w:p>
        </w:tc>
        <w:tc>
          <w:tcPr>
            <w:tcW w:w="1116" w:type="dxa"/>
            <w:tcBorders>
              <w:top w:val="nil"/>
              <w:left w:val="nil"/>
              <w:bottom w:val="single" w:sz="4" w:space="0" w:color="auto"/>
              <w:right w:val="nil"/>
            </w:tcBorders>
            <w:shd w:val="clear" w:color="auto" w:fill="auto"/>
            <w:noWrap/>
            <w:vAlign w:val="center"/>
            <w:hideMark/>
          </w:tcPr>
          <w:p w:rsidR="0068753E" w:rsidRPr="00A350D3" w:rsidRDefault="0068753E" w:rsidP="00CC12E4">
            <w:pPr>
              <w:spacing w:after="0" w:line="240" w:lineRule="auto"/>
              <w:jc w:val="center"/>
              <w:rPr>
                <w:rFonts w:cs="Arial"/>
                <w:sz w:val="18"/>
              </w:rPr>
            </w:pPr>
            <w:r w:rsidRPr="00A350D3">
              <w:rPr>
                <w:rFonts w:cs="Arial"/>
                <w:sz w:val="18"/>
              </w:rPr>
              <w:t>0.7 [2.8] (0.5,6.2)</w:t>
            </w:r>
          </w:p>
        </w:tc>
        <w:tc>
          <w:tcPr>
            <w:tcW w:w="1408" w:type="dxa"/>
            <w:tcBorders>
              <w:top w:val="nil"/>
              <w:left w:val="nil"/>
              <w:bottom w:val="single" w:sz="4" w:space="0" w:color="auto"/>
              <w:right w:val="single" w:sz="4" w:space="0" w:color="auto"/>
            </w:tcBorders>
            <w:shd w:val="clear" w:color="auto" w:fill="auto"/>
            <w:noWrap/>
            <w:vAlign w:val="center"/>
            <w:hideMark/>
          </w:tcPr>
          <w:p w:rsidR="0068753E" w:rsidRPr="00A350D3" w:rsidRDefault="0068753E" w:rsidP="00CC12E4">
            <w:pPr>
              <w:spacing w:after="0" w:line="240" w:lineRule="auto"/>
              <w:jc w:val="center"/>
              <w:rPr>
                <w:rFonts w:cs="Arial"/>
                <w:sz w:val="18"/>
              </w:rPr>
            </w:pPr>
            <w:r w:rsidRPr="00A350D3">
              <w:rPr>
                <w:rFonts w:cs="Arial"/>
                <w:sz w:val="18"/>
              </w:rPr>
              <w:t>--</w:t>
            </w:r>
          </w:p>
        </w:tc>
      </w:tr>
      <w:tr w:rsidR="0068753E" w:rsidRPr="00776935" w:rsidTr="00CC12E4">
        <w:tc>
          <w:tcPr>
            <w:tcW w:w="1497" w:type="dxa"/>
            <w:vMerge w:val="restart"/>
            <w:tcBorders>
              <w:top w:val="single" w:sz="4" w:space="0" w:color="auto"/>
              <w:left w:val="single" w:sz="4" w:space="0" w:color="auto"/>
              <w:right w:val="nil"/>
            </w:tcBorders>
            <w:shd w:val="clear" w:color="auto" w:fill="auto"/>
            <w:noWrap/>
            <w:vAlign w:val="center"/>
            <w:hideMark/>
          </w:tcPr>
          <w:p w:rsidR="0068753E" w:rsidRPr="00776935" w:rsidRDefault="0068753E" w:rsidP="00CC12E4">
            <w:pPr>
              <w:spacing w:after="0" w:line="240" w:lineRule="auto"/>
              <w:rPr>
                <w:rFonts w:cs="Arial"/>
                <w:sz w:val="18"/>
              </w:rPr>
            </w:pPr>
            <w:r w:rsidRPr="00776935">
              <w:rPr>
                <w:rFonts w:cs="Arial"/>
                <w:sz w:val="18"/>
              </w:rPr>
              <w:t>Others with mortality</w:t>
            </w:r>
          </w:p>
        </w:tc>
        <w:tc>
          <w:tcPr>
            <w:tcW w:w="1622" w:type="dxa"/>
            <w:tcBorders>
              <w:top w:val="single" w:sz="4" w:space="0" w:color="auto"/>
              <w:left w:val="nil"/>
              <w:bottom w:val="nil"/>
              <w:right w:val="nil"/>
            </w:tcBorders>
            <w:shd w:val="clear" w:color="auto" w:fill="auto"/>
            <w:noWrap/>
            <w:vAlign w:val="center"/>
            <w:hideMark/>
          </w:tcPr>
          <w:p w:rsidR="0068753E" w:rsidRPr="00776935" w:rsidRDefault="0068753E" w:rsidP="00CC12E4">
            <w:pPr>
              <w:spacing w:after="0" w:line="240" w:lineRule="auto"/>
              <w:rPr>
                <w:rFonts w:cs="Arial"/>
                <w:sz w:val="18"/>
              </w:rPr>
            </w:pPr>
            <w:r w:rsidRPr="00776935">
              <w:rPr>
                <w:rFonts w:cs="Arial"/>
                <w:sz w:val="18"/>
              </w:rPr>
              <w:t>mortality effects (vs. year 1)</w:t>
            </w:r>
          </w:p>
        </w:tc>
        <w:tc>
          <w:tcPr>
            <w:tcW w:w="1209" w:type="dxa"/>
            <w:tcBorders>
              <w:top w:val="single" w:sz="4" w:space="0" w:color="auto"/>
              <w:left w:val="nil"/>
              <w:bottom w:val="nil"/>
              <w:right w:val="nil"/>
            </w:tcBorders>
            <w:shd w:val="clear" w:color="auto" w:fill="BFBFBF" w:themeFill="background1" w:themeFillShade="BF"/>
            <w:noWrap/>
            <w:vAlign w:val="center"/>
            <w:hideMark/>
          </w:tcPr>
          <w:p w:rsidR="0068753E" w:rsidRPr="00A350D3" w:rsidRDefault="0068753E" w:rsidP="00CC12E4">
            <w:pPr>
              <w:spacing w:after="0" w:line="240" w:lineRule="auto"/>
              <w:jc w:val="center"/>
              <w:rPr>
                <w:rFonts w:cs="Arial"/>
                <w:sz w:val="18"/>
              </w:rPr>
            </w:pPr>
            <w:r w:rsidRPr="00A350D3">
              <w:rPr>
                <w:rFonts w:cs="Arial"/>
                <w:sz w:val="18"/>
              </w:rPr>
              <w:t>estimable</w:t>
            </w:r>
          </w:p>
        </w:tc>
        <w:tc>
          <w:tcPr>
            <w:tcW w:w="1153" w:type="dxa"/>
            <w:tcBorders>
              <w:top w:val="single" w:sz="4" w:space="0" w:color="auto"/>
              <w:left w:val="nil"/>
              <w:bottom w:val="nil"/>
              <w:right w:val="nil"/>
            </w:tcBorders>
            <w:shd w:val="clear" w:color="auto" w:fill="auto"/>
            <w:noWrap/>
            <w:vAlign w:val="center"/>
            <w:hideMark/>
          </w:tcPr>
          <w:p w:rsidR="0068753E" w:rsidRPr="00A350D3" w:rsidRDefault="0068753E" w:rsidP="00CC12E4">
            <w:pPr>
              <w:spacing w:after="0" w:line="240" w:lineRule="auto"/>
              <w:jc w:val="center"/>
              <w:rPr>
                <w:rFonts w:cs="Arial"/>
                <w:sz w:val="18"/>
              </w:rPr>
            </w:pPr>
            <w:r w:rsidRPr="00A350D3">
              <w:rPr>
                <w:rFonts w:cs="Arial"/>
                <w:sz w:val="18"/>
              </w:rPr>
              <w:t>0.1 [1.3] (0.1,3)</w:t>
            </w:r>
          </w:p>
        </w:tc>
        <w:tc>
          <w:tcPr>
            <w:tcW w:w="1209" w:type="dxa"/>
            <w:tcBorders>
              <w:top w:val="single" w:sz="4" w:space="0" w:color="auto"/>
              <w:left w:val="nil"/>
              <w:bottom w:val="nil"/>
              <w:right w:val="nil"/>
            </w:tcBorders>
            <w:shd w:val="clear" w:color="auto" w:fill="auto"/>
            <w:noWrap/>
            <w:vAlign w:val="center"/>
            <w:hideMark/>
          </w:tcPr>
          <w:p w:rsidR="0068753E" w:rsidRPr="00A350D3" w:rsidRDefault="0068753E" w:rsidP="00CC12E4">
            <w:pPr>
              <w:spacing w:after="0" w:line="240" w:lineRule="auto"/>
              <w:jc w:val="center"/>
              <w:rPr>
                <w:rFonts w:cs="Arial"/>
                <w:sz w:val="18"/>
              </w:rPr>
            </w:pPr>
            <w:r w:rsidRPr="00A350D3">
              <w:rPr>
                <w:rFonts w:cs="Arial"/>
                <w:sz w:val="18"/>
              </w:rPr>
              <w:t>0.3 [0.9] (0.2,1.8)</w:t>
            </w:r>
          </w:p>
        </w:tc>
        <w:tc>
          <w:tcPr>
            <w:tcW w:w="1116" w:type="dxa"/>
            <w:tcBorders>
              <w:top w:val="single" w:sz="4" w:space="0" w:color="auto"/>
              <w:left w:val="nil"/>
              <w:bottom w:val="nil"/>
              <w:right w:val="nil"/>
            </w:tcBorders>
            <w:shd w:val="clear" w:color="auto" w:fill="auto"/>
            <w:noWrap/>
            <w:vAlign w:val="center"/>
            <w:hideMark/>
          </w:tcPr>
          <w:p w:rsidR="0068753E" w:rsidRPr="00A350D3" w:rsidRDefault="0068753E" w:rsidP="00CC12E4">
            <w:pPr>
              <w:spacing w:after="0" w:line="240" w:lineRule="auto"/>
              <w:jc w:val="center"/>
              <w:rPr>
                <w:rFonts w:cs="Arial"/>
                <w:sz w:val="18"/>
              </w:rPr>
            </w:pPr>
            <w:r w:rsidRPr="00A350D3">
              <w:rPr>
                <w:rFonts w:cs="Arial"/>
                <w:sz w:val="18"/>
              </w:rPr>
              <w:t>0.2 [0.9] (0.1,1.9)</w:t>
            </w:r>
          </w:p>
        </w:tc>
        <w:tc>
          <w:tcPr>
            <w:tcW w:w="1408" w:type="dxa"/>
            <w:tcBorders>
              <w:top w:val="single" w:sz="4" w:space="0" w:color="auto"/>
              <w:left w:val="nil"/>
              <w:bottom w:val="nil"/>
              <w:right w:val="single" w:sz="4" w:space="0" w:color="auto"/>
            </w:tcBorders>
            <w:shd w:val="clear" w:color="auto" w:fill="auto"/>
            <w:noWrap/>
            <w:vAlign w:val="center"/>
            <w:hideMark/>
          </w:tcPr>
          <w:p w:rsidR="0068753E" w:rsidRPr="00A350D3" w:rsidRDefault="0068753E" w:rsidP="00CC12E4">
            <w:pPr>
              <w:spacing w:after="0" w:line="240" w:lineRule="auto"/>
              <w:jc w:val="center"/>
              <w:rPr>
                <w:rFonts w:cs="Arial"/>
                <w:sz w:val="18"/>
              </w:rPr>
            </w:pPr>
            <w:r w:rsidRPr="00A350D3">
              <w:rPr>
                <w:rFonts w:cs="Arial"/>
                <w:sz w:val="18"/>
              </w:rPr>
              <w:t>0.7 [13.5] (0.8,30.4)</w:t>
            </w:r>
          </w:p>
        </w:tc>
      </w:tr>
      <w:tr w:rsidR="0068753E" w:rsidRPr="00776935" w:rsidTr="00CC12E4">
        <w:tc>
          <w:tcPr>
            <w:tcW w:w="1497" w:type="dxa"/>
            <w:vMerge/>
            <w:tcBorders>
              <w:left w:val="single" w:sz="4" w:space="0" w:color="auto"/>
              <w:bottom w:val="single" w:sz="12" w:space="0" w:color="auto"/>
              <w:right w:val="nil"/>
            </w:tcBorders>
            <w:shd w:val="clear" w:color="auto" w:fill="auto"/>
            <w:noWrap/>
            <w:vAlign w:val="center"/>
            <w:hideMark/>
          </w:tcPr>
          <w:p w:rsidR="0068753E" w:rsidRPr="00776935" w:rsidRDefault="0068753E" w:rsidP="00CC12E4">
            <w:pPr>
              <w:spacing w:after="0" w:line="240" w:lineRule="auto"/>
              <w:jc w:val="center"/>
              <w:rPr>
                <w:rFonts w:cs="Arial"/>
                <w:sz w:val="18"/>
              </w:rPr>
            </w:pPr>
          </w:p>
        </w:tc>
        <w:tc>
          <w:tcPr>
            <w:tcW w:w="1622" w:type="dxa"/>
            <w:tcBorders>
              <w:top w:val="nil"/>
              <w:left w:val="nil"/>
              <w:bottom w:val="single" w:sz="12" w:space="0" w:color="auto"/>
              <w:right w:val="nil"/>
            </w:tcBorders>
            <w:shd w:val="clear" w:color="auto" w:fill="auto"/>
            <w:noWrap/>
            <w:vAlign w:val="center"/>
            <w:hideMark/>
          </w:tcPr>
          <w:p w:rsidR="0068753E" w:rsidRPr="00776935" w:rsidRDefault="0068753E" w:rsidP="00CC12E4">
            <w:pPr>
              <w:spacing w:after="0" w:line="240" w:lineRule="auto"/>
              <w:rPr>
                <w:rFonts w:cs="Arial"/>
                <w:sz w:val="18"/>
              </w:rPr>
            </w:pPr>
            <w:r w:rsidRPr="00776935">
              <w:rPr>
                <w:rFonts w:cs="Arial"/>
                <w:sz w:val="18"/>
              </w:rPr>
              <w:t>surrogacy</w:t>
            </w:r>
          </w:p>
          <w:p w:rsidR="0068753E" w:rsidRPr="00776935" w:rsidRDefault="0068753E" w:rsidP="00CC12E4">
            <w:pPr>
              <w:spacing w:after="0" w:line="240" w:lineRule="auto"/>
              <w:rPr>
                <w:rFonts w:cs="Arial"/>
                <w:sz w:val="18"/>
              </w:rPr>
            </w:pPr>
            <w:r w:rsidRPr="00776935">
              <w:rPr>
                <w:rFonts w:cs="Arial"/>
                <w:sz w:val="18"/>
              </w:rPr>
              <w:t>(vs. same year)</w:t>
            </w:r>
          </w:p>
        </w:tc>
        <w:tc>
          <w:tcPr>
            <w:tcW w:w="1209" w:type="dxa"/>
            <w:tcBorders>
              <w:top w:val="nil"/>
              <w:left w:val="nil"/>
              <w:bottom w:val="single" w:sz="12" w:space="0" w:color="auto"/>
              <w:right w:val="nil"/>
            </w:tcBorders>
            <w:shd w:val="clear" w:color="auto" w:fill="auto"/>
            <w:noWrap/>
            <w:vAlign w:val="center"/>
            <w:hideMark/>
          </w:tcPr>
          <w:p w:rsidR="0068753E" w:rsidRPr="00A350D3" w:rsidRDefault="0068753E" w:rsidP="00CC12E4">
            <w:pPr>
              <w:spacing w:after="0" w:line="240" w:lineRule="auto"/>
              <w:jc w:val="center"/>
              <w:rPr>
                <w:rFonts w:cs="Arial"/>
                <w:sz w:val="18"/>
              </w:rPr>
            </w:pPr>
            <w:r w:rsidRPr="00A350D3">
              <w:rPr>
                <w:rFonts w:cs="Arial"/>
                <w:sz w:val="18"/>
              </w:rPr>
              <w:t>0.3 [2] (0.3,4.5)</w:t>
            </w:r>
          </w:p>
        </w:tc>
        <w:tc>
          <w:tcPr>
            <w:tcW w:w="1153" w:type="dxa"/>
            <w:tcBorders>
              <w:top w:val="nil"/>
              <w:left w:val="nil"/>
              <w:bottom w:val="single" w:sz="12" w:space="0" w:color="auto"/>
              <w:right w:val="nil"/>
            </w:tcBorders>
            <w:shd w:val="clear" w:color="auto" w:fill="auto"/>
            <w:noWrap/>
            <w:vAlign w:val="center"/>
            <w:hideMark/>
          </w:tcPr>
          <w:p w:rsidR="0068753E" w:rsidRPr="00A350D3" w:rsidRDefault="0068753E" w:rsidP="00CC12E4">
            <w:pPr>
              <w:spacing w:after="0" w:line="240" w:lineRule="auto"/>
              <w:jc w:val="center"/>
              <w:rPr>
                <w:rFonts w:cs="Arial"/>
                <w:sz w:val="18"/>
              </w:rPr>
            </w:pPr>
            <w:r w:rsidRPr="00A350D3">
              <w:rPr>
                <w:rFonts w:cs="Arial"/>
                <w:sz w:val="18"/>
              </w:rPr>
              <w:t>0.3 [2.4] (0.3,5.3)</w:t>
            </w:r>
          </w:p>
        </w:tc>
        <w:tc>
          <w:tcPr>
            <w:tcW w:w="1209" w:type="dxa"/>
            <w:tcBorders>
              <w:top w:val="nil"/>
              <w:left w:val="nil"/>
              <w:bottom w:val="single" w:sz="12" w:space="0" w:color="auto"/>
              <w:right w:val="nil"/>
            </w:tcBorders>
            <w:shd w:val="clear" w:color="auto" w:fill="auto"/>
            <w:noWrap/>
            <w:vAlign w:val="center"/>
            <w:hideMark/>
          </w:tcPr>
          <w:p w:rsidR="0068753E" w:rsidRPr="00A350D3" w:rsidRDefault="0068753E" w:rsidP="00CC12E4">
            <w:pPr>
              <w:spacing w:after="0" w:line="240" w:lineRule="auto"/>
              <w:jc w:val="center"/>
              <w:rPr>
                <w:rFonts w:cs="Arial"/>
                <w:sz w:val="18"/>
              </w:rPr>
            </w:pPr>
            <w:r w:rsidRPr="00A350D3">
              <w:rPr>
                <w:rFonts w:cs="Arial"/>
                <w:sz w:val="18"/>
              </w:rPr>
              <w:t>0.5 [2.1] (0.3,4.6)</w:t>
            </w:r>
          </w:p>
        </w:tc>
        <w:tc>
          <w:tcPr>
            <w:tcW w:w="1116" w:type="dxa"/>
            <w:tcBorders>
              <w:top w:val="nil"/>
              <w:left w:val="nil"/>
              <w:bottom w:val="single" w:sz="12" w:space="0" w:color="auto"/>
              <w:right w:val="nil"/>
            </w:tcBorders>
            <w:shd w:val="clear" w:color="auto" w:fill="auto"/>
            <w:noWrap/>
            <w:vAlign w:val="center"/>
            <w:hideMark/>
          </w:tcPr>
          <w:p w:rsidR="0068753E" w:rsidRPr="00A350D3" w:rsidRDefault="0068753E" w:rsidP="00CC12E4">
            <w:pPr>
              <w:spacing w:after="0" w:line="240" w:lineRule="auto"/>
              <w:jc w:val="center"/>
              <w:rPr>
                <w:rFonts w:cs="Arial"/>
                <w:sz w:val="18"/>
              </w:rPr>
            </w:pPr>
            <w:r w:rsidRPr="00A350D3">
              <w:rPr>
                <w:rFonts w:cs="Arial"/>
                <w:sz w:val="18"/>
              </w:rPr>
              <w:t>0.2 [2.2] (0.2,5.1)</w:t>
            </w:r>
          </w:p>
        </w:tc>
        <w:tc>
          <w:tcPr>
            <w:tcW w:w="1408" w:type="dxa"/>
            <w:tcBorders>
              <w:top w:val="nil"/>
              <w:left w:val="nil"/>
              <w:bottom w:val="single" w:sz="12" w:space="0" w:color="auto"/>
              <w:right w:val="single" w:sz="4" w:space="0" w:color="auto"/>
            </w:tcBorders>
            <w:shd w:val="clear" w:color="auto" w:fill="auto"/>
            <w:noWrap/>
            <w:vAlign w:val="center"/>
            <w:hideMark/>
          </w:tcPr>
          <w:p w:rsidR="0068753E" w:rsidRPr="00A350D3" w:rsidRDefault="0068753E" w:rsidP="00CC12E4">
            <w:pPr>
              <w:spacing w:after="0" w:line="240" w:lineRule="auto"/>
              <w:jc w:val="center"/>
              <w:rPr>
                <w:rFonts w:cs="Arial"/>
                <w:sz w:val="18"/>
              </w:rPr>
            </w:pPr>
            <w:r w:rsidRPr="00A350D3">
              <w:rPr>
                <w:rFonts w:cs="Arial"/>
                <w:sz w:val="18"/>
              </w:rPr>
              <w:t>--</w:t>
            </w:r>
          </w:p>
        </w:tc>
      </w:tr>
      <w:tr w:rsidR="0068753E" w:rsidRPr="00776935" w:rsidTr="00CC12E4">
        <w:tc>
          <w:tcPr>
            <w:tcW w:w="1497" w:type="dxa"/>
            <w:tcBorders>
              <w:top w:val="single" w:sz="12" w:space="0" w:color="auto"/>
              <w:left w:val="single" w:sz="4" w:space="0" w:color="auto"/>
              <w:right w:val="nil"/>
            </w:tcBorders>
            <w:shd w:val="clear" w:color="auto" w:fill="auto"/>
            <w:noWrap/>
            <w:vAlign w:val="center"/>
          </w:tcPr>
          <w:p w:rsidR="0068753E" w:rsidRPr="00776935" w:rsidRDefault="0068753E" w:rsidP="00CC12E4">
            <w:pPr>
              <w:spacing w:after="0" w:line="240" w:lineRule="auto"/>
              <w:rPr>
                <w:rFonts w:cs="Arial"/>
                <w:sz w:val="18"/>
              </w:rPr>
            </w:pPr>
            <w:r w:rsidRPr="00776935">
              <w:rPr>
                <w:rFonts w:cs="Arial"/>
                <w:sz w:val="18"/>
              </w:rPr>
              <w:t>Mental Health</w:t>
            </w:r>
          </w:p>
        </w:tc>
        <w:tc>
          <w:tcPr>
            <w:tcW w:w="1622" w:type="dxa"/>
            <w:vMerge w:val="restart"/>
            <w:tcBorders>
              <w:top w:val="single" w:sz="12" w:space="0" w:color="auto"/>
              <w:left w:val="nil"/>
              <w:right w:val="nil"/>
            </w:tcBorders>
            <w:shd w:val="clear" w:color="auto" w:fill="auto"/>
            <w:noWrap/>
            <w:vAlign w:val="center"/>
          </w:tcPr>
          <w:p w:rsidR="0068753E" w:rsidRPr="00776935" w:rsidRDefault="0068753E" w:rsidP="00CC12E4">
            <w:pPr>
              <w:spacing w:after="0" w:line="240" w:lineRule="auto"/>
              <w:rPr>
                <w:rFonts w:cs="Arial"/>
                <w:sz w:val="18"/>
              </w:rPr>
            </w:pPr>
            <w:r w:rsidRPr="00776935">
              <w:rPr>
                <w:rFonts w:cs="Arial"/>
                <w:sz w:val="18"/>
              </w:rPr>
              <w:t>Extrapolation (vs. same year)</w:t>
            </w:r>
          </w:p>
        </w:tc>
        <w:tc>
          <w:tcPr>
            <w:tcW w:w="1209" w:type="dxa"/>
            <w:tcBorders>
              <w:top w:val="single" w:sz="12" w:space="0" w:color="auto"/>
              <w:left w:val="nil"/>
              <w:bottom w:val="nil"/>
              <w:right w:val="nil"/>
            </w:tcBorders>
            <w:shd w:val="clear" w:color="auto" w:fill="auto"/>
            <w:noWrap/>
            <w:vAlign w:val="center"/>
          </w:tcPr>
          <w:p w:rsidR="0068753E" w:rsidRPr="00A350D3" w:rsidRDefault="0068753E" w:rsidP="00CC12E4">
            <w:pPr>
              <w:spacing w:after="0" w:line="240" w:lineRule="auto"/>
              <w:jc w:val="center"/>
              <w:rPr>
                <w:rFonts w:cs="Arial"/>
                <w:sz w:val="18"/>
              </w:rPr>
            </w:pPr>
            <w:r w:rsidRPr="00A350D3">
              <w:rPr>
                <w:rFonts w:cs="Arial"/>
                <w:sz w:val="18"/>
              </w:rPr>
              <w:t>1 [3.9] (0.7,8.4)</w:t>
            </w:r>
          </w:p>
        </w:tc>
        <w:tc>
          <w:tcPr>
            <w:tcW w:w="1153" w:type="dxa"/>
            <w:tcBorders>
              <w:top w:val="single" w:sz="12" w:space="0" w:color="auto"/>
              <w:left w:val="nil"/>
              <w:bottom w:val="nil"/>
              <w:right w:val="nil"/>
            </w:tcBorders>
            <w:shd w:val="clear" w:color="auto" w:fill="auto"/>
            <w:noWrap/>
            <w:vAlign w:val="center"/>
          </w:tcPr>
          <w:p w:rsidR="0068753E" w:rsidRPr="00A350D3" w:rsidRDefault="0068753E" w:rsidP="00CC12E4">
            <w:pPr>
              <w:spacing w:after="0" w:line="240" w:lineRule="auto"/>
              <w:jc w:val="center"/>
              <w:rPr>
                <w:rFonts w:cs="Arial"/>
                <w:sz w:val="18"/>
              </w:rPr>
            </w:pPr>
            <w:r w:rsidRPr="00A350D3">
              <w:rPr>
                <w:rFonts w:cs="Arial"/>
                <w:sz w:val="18"/>
              </w:rPr>
              <w:t>1 [3.4] (0.7,7.3)</w:t>
            </w:r>
          </w:p>
        </w:tc>
        <w:tc>
          <w:tcPr>
            <w:tcW w:w="1209" w:type="dxa"/>
            <w:tcBorders>
              <w:top w:val="single" w:sz="12" w:space="0" w:color="auto"/>
              <w:left w:val="nil"/>
              <w:bottom w:val="nil"/>
              <w:right w:val="nil"/>
            </w:tcBorders>
            <w:shd w:val="clear" w:color="auto" w:fill="auto"/>
            <w:noWrap/>
            <w:vAlign w:val="center"/>
          </w:tcPr>
          <w:p w:rsidR="0068753E" w:rsidRPr="00A350D3" w:rsidRDefault="0068753E" w:rsidP="00CC12E4">
            <w:pPr>
              <w:spacing w:after="0" w:line="240" w:lineRule="auto"/>
              <w:jc w:val="center"/>
              <w:rPr>
                <w:rFonts w:cs="Arial"/>
                <w:sz w:val="18"/>
              </w:rPr>
            </w:pPr>
            <w:r w:rsidRPr="00A350D3">
              <w:rPr>
                <w:rFonts w:cs="Arial"/>
                <w:sz w:val="18"/>
              </w:rPr>
              <w:t>0.8 [3] (0.6,6.4)</w:t>
            </w:r>
          </w:p>
        </w:tc>
        <w:tc>
          <w:tcPr>
            <w:tcW w:w="1116" w:type="dxa"/>
            <w:tcBorders>
              <w:top w:val="single" w:sz="12" w:space="0" w:color="auto"/>
              <w:left w:val="nil"/>
              <w:bottom w:val="nil"/>
              <w:right w:val="nil"/>
            </w:tcBorders>
            <w:shd w:val="clear" w:color="auto" w:fill="auto"/>
            <w:noWrap/>
            <w:vAlign w:val="center"/>
          </w:tcPr>
          <w:p w:rsidR="0068753E" w:rsidRPr="00A350D3" w:rsidRDefault="0068753E" w:rsidP="00CC12E4">
            <w:pPr>
              <w:spacing w:after="0" w:line="240" w:lineRule="auto"/>
              <w:jc w:val="center"/>
              <w:rPr>
                <w:rFonts w:cs="Arial"/>
                <w:sz w:val="18"/>
              </w:rPr>
            </w:pPr>
            <w:r w:rsidRPr="00A350D3">
              <w:rPr>
                <w:rFonts w:cs="Arial"/>
                <w:sz w:val="18"/>
              </w:rPr>
              <w:t>0.7 [2.9] (0.5,6.2)</w:t>
            </w:r>
          </w:p>
        </w:tc>
        <w:tc>
          <w:tcPr>
            <w:tcW w:w="1408" w:type="dxa"/>
            <w:tcBorders>
              <w:top w:val="single" w:sz="12" w:space="0" w:color="auto"/>
              <w:left w:val="nil"/>
              <w:bottom w:val="nil"/>
              <w:right w:val="single" w:sz="4" w:space="0" w:color="auto"/>
            </w:tcBorders>
            <w:shd w:val="clear" w:color="auto" w:fill="auto"/>
            <w:noWrap/>
            <w:vAlign w:val="center"/>
          </w:tcPr>
          <w:p w:rsidR="0068753E" w:rsidRPr="00776935" w:rsidRDefault="0068753E" w:rsidP="00CC12E4">
            <w:pPr>
              <w:spacing w:after="0" w:line="240" w:lineRule="auto"/>
              <w:jc w:val="center"/>
              <w:rPr>
                <w:rFonts w:cs="Arial"/>
                <w:sz w:val="18"/>
              </w:rPr>
            </w:pPr>
            <w:r w:rsidRPr="00776935">
              <w:rPr>
                <w:rFonts w:cs="Arial"/>
                <w:sz w:val="18"/>
              </w:rPr>
              <w:t>--</w:t>
            </w:r>
          </w:p>
        </w:tc>
      </w:tr>
      <w:tr w:rsidR="0068753E" w:rsidRPr="00776935" w:rsidTr="00CC12E4">
        <w:tc>
          <w:tcPr>
            <w:tcW w:w="1497" w:type="dxa"/>
            <w:tcBorders>
              <w:left w:val="single" w:sz="4" w:space="0" w:color="auto"/>
              <w:right w:val="nil"/>
            </w:tcBorders>
            <w:shd w:val="clear" w:color="auto" w:fill="auto"/>
            <w:noWrap/>
            <w:vAlign w:val="center"/>
          </w:tcPr>
          <w:p w:rsidR="0068753E" w:rsidRPr="00776935" w:rsidRDefault="0068753E" w:rsidP="00CC12E4">
            <w:pPr>
              <w:spacing w:after="0" w:line="240" w:lineRule="auto"/>
              <w:rPr>
                <w:rFonts w:cs="Arial"/>
                <w:sz w:val="18"/>
              </w:rPr>
            </w:pPr>
            <w:r w:rsidRPr="00776935">
              <w:rPr>
                <w:rFonts w:cs="Arial"/>
                <w:sz w:val="18"/>
              </w:rPr>
              <w:t>Musculoskeletal</w:t>
            </w:r>
          </w:p>
        </w:tc>
        <w:tc>
          <w:tcPr>
            <w:tcW w:w="1622" w:type="dxa"/>
            <w:vMerge/>
            <w:tcBorders>
              <w:left w:val="nil"/>
              <w:right w:val="nil"/>
            </w:tcBorders>
            <w:shd w:val="clear" w:color="auto" w:fill="auto"/>
            <w:noWrap/>
            <w:vAlign w:val="center"/>
          </w:tcPr>
          <w:p w:rsidR="0068753E" w:rsidRPr="00776935" w:rsidRDefault="0068753E" w:rsidP="00CC12E4">
            <w:pPr>
              <w:spacing w:after="0" w:line="240" w:lineRule="auto"/>
              <w:rPr>
                <w:rFonts w:cs="Arial"/>
                <w:sz w:val="18"/>
              </w:rPr>
            </w:pPr>
          </w:p>
        </w:tc>
        <w:tc>
          <w:tcPr>
            <w:tcW w:w="1209" w:type="dxa"/>
            <w:tcBorders>
              <w:top w:val="nil"/>
              <w:left w:val="nil"/>
              <w:right w:val="nil"/>
            </w:tcBorders>
            <w:shd w:val="clear" w:color="auto" w:fill="auto"/>
            <w:noWrap/>
            <w:vAlign w:val="center"/>
          </w:tcPr>
          <w:p w:rsidR="0068753E" w:rsidRPr="00A350D3" w:rsidRDefault="0068753E" w:rsidP="00CC12E4">
            <w:pPr>
              <w:spacing w:after="0" w:line="240" w:lineRule="auto"/>
              <w:jc w:val="center"/>
              <w:rPr>
                <w:rFonts w:cs="Arial"/>
                <w:sz w:val="18"/>
              </w:rPr>
            </w:pPr>
            <w:r w:rsidRPr="00A350D3">
              <w:rPr>
                <w:rFonts w:cs="Arial"/>
                <w:sz w:val="18"/>
              </w:rPr>
              <w:t>0.6 [5] (0.5,11.2)</w:t>
            </w:r>
          </w:p>
        </w:tc>
        <w:tc>
          <w:tcPr>
            <w:tcW w:w="1153" w:type="dxa"/>
            <w:tcBorders>
              <w:top w:val="nil"/>
              <w:left w:val="nil"/>
              <w:right w:val="nil"/>
            </w:tcBorders>
            <w:shd w:val="clear" w:color="auto" w:fill="auto"/>
            <w:noWrap/>
            <w:vAlign w:val="center"/>
          </w:tcPr>
          <w:p w:rsidR="0068753E" w:rsidRPr="00A350D3" w:rsidRDefault="0068753E" w:rsidP="00CC12E4">
            <w:pPr>
              <w:spacing w:after="0" w:line="240" w:lineRule="auto"/>
              <w:jc w:val="center"/>
              <w:rPr>
                <w:rFonts w:cs="Arial"/>
                <w:sz w:val="18"/>
              </w:rPr>
            </w:pPr>
            <w:r w:rsidRPr="00A350D3">
              <w:rPr>
                <w:rFonts w:cs="Arial"/>
                <w:sz w:val="18"/>
              </w:rPr>
              <w:t>1.2 [3.1] (0.8,6.4)</w:t>
            </w:r>
          </w:p>
        </w:tc>
        <w:tc>
          <w:tcPr>
            <w:tcW w:w="1209" w:type="dxa"/>
            <w:tcBorders>
              <w:top w:val="nil"/>
              <w:left w:val="nil"/>
              <w:right w:val="nil"/>
            </w:tcBorders>
            <w:shd w:val="clear" w:color="auto" w:fill="auto"/>
            <w:noWrap/>
            <w:vAlign w:val="center"/>
          </w:tcPr>
          <w:p w:rsidR="0068753E" w:rsidRPr="00A350D3" w:rsidRDefault="0068753E" w:rsidP="00CC12E4">
            <w:pPr>
              <w:spacing w:after="0" w:line="240" w:lineRule="auto"/>
              <w:jc w:val="center"/>
              <w:rPr>
                <w:rFonts w:cs="Arial"/>
                <w:sz w:val="18"/>
              </w:rPr>
            </w:pPr>
            <w:r w:rsidRPr="00A350D3">
              <w:rPr>
                <w:rFonts w:cs="Arial"/>
                <w:sz w:val="18"/>
              </w:rPr>
              <w:t>0.9 [2.7] (0.7,5.7)</w:t>
            </w:r>
          </w:p>
        </w:tc>
        <w:tc>
          <w:tcPr>
            <w:tcW w:w="1116" w:type="dxa"/>
            <w:tcBorders>
              <w:top w:val="nil"/>
              <w:left w:val="nil"/>
              <w:right w:val="nil"/>
            </w:tcBorders>
            <w:shd w:val="clear" w:color="auto" w:fill="auto"/>
            <w:noWrap/>
            <w:vAlign w:val="center"/>
          </w:tcPr>
          <w:p w:rsidR="0068753E" w:rsidRPr="00A350D3" w:rsidRDefault="0068753E" w:rsidP="00CC12E4">
            <w:pPr>
              <w:spacing w:after="0" w:line="240" w:lineRule="auto"/>
              <w:jc w:val="center"/>
              <w:rPr>
                <w:rFonts w:cs="Arial"/>
                <w:sz w:val="18"/>
              </w:rPr>
            </w:pPr>
            <w:r w:rsidRPr="00A350D3">
              <w:rPr>
                <w:rFonts w:cs="Arial"/>
                <w:sz w:val="18"/>
              </w:rPr>
              <w:t>0.7 [2.5] (0.5,5.3)</w:t>
            </w:r>
          </w:p>
        </w:tc>
        <w:tc>
          <w:tcPr>
            <w:tcW w:w="1408" w:type="dxa"/>
            <w:tcBorders>
              <w:top w:val="nil"/>
              <w:left w:val="nil"/>
              <w:right w:val="single" w:sz="4" w:space="0" w:color="auto"/>
            </w:tcBorders>
            <w:shd w:val="clear" w:color="auto" w:fill="auto"/>
            <w:noWrap/>
            <w:vAlign w:val="center"/>
          </w:tcPr>
          <w:p w:rsidR="0068753E" w:rsidRPr="00776935" w:rsidRDefault="0068753E" w:rsidP="00CC12E4">
            <w:pPr>
              <w:spacing w:after="0" w:line="240" w:lineRule="auto"/>
              <w:jc w:val="center"/>
              <w:rPr>
                <w:rFonts w:cs="Arial"/>
                <w:sz w:val="18"/>
              </w:rPr>
            </w:pPr>
            <w:r w:rsidRPr="00776935">
              <w:rPr>
                <w:rFonts w:cs="Arial"/>
                <w:sz w:val="18"/>
              </w:rPr>
              <w:t>--</w:t>
            </w:r>
          </w:p>
        </w:tc>
      </w:tr>
      <w:tr w:rsidR="0068753E" w:rsidRPr="00776935" w:rsidTr="00CC12E4">
        <w:tc>
          <w:tcPr>
            <w:tcW w:w="1497" w:type="dxa"/>
            <w:tcBorders>
              <w:left w:val="single" w:sz="4" w:space="0" w:color="auto"/>
              <w:bottom w:val="single" w:sz="4" w:space="0" w:color="auto"/>
              <w:right w:val="nil"/>
            </w:tcBorders>
            <w:shd w:val="clear" w:color="auto" w:fill="auto"/>
            <w:noWrap/>
            <w:vAlign w:val="center"/>
          </w:tcPr>
          <w:p w:rsidR="0068753E" w:rsidRPr="00776935" w:rsidRDefault="0068753E" w:rsidP="00CC12E4">
            <w:pPr>
              <w:spacing w:after="0" w:line="240" w:lineRule="auto"/>
              <w:rPr>
                <w:rFonts w:cs="Arial"/>
                <w:sz w:val="18"/>
              </w:rPr>
            </w:pPr>
            <w:r w:rsidRPr="00776935">
              <w:rPr>
                <w:rFonts w:cs="Arial"/>
                <w:sz w:val="18"/>
              </w:rPr>
              <w:t>Others without mortality</w:t>
            </w:r>
          </w:p>
        </w:tc>
        <w:tc>
          <w:tcPr>
            <w:tcW w:w="1622" w:type="dxa"/>
            <w:vMerge/>
            <w:tcBorders>
              <w:left w:val="nil"/>
              <w:bottom w:val="single" w:sz="4" w:space="0" w:color="auto"/>
              <w:right w:val="nil"/>
            </w:tcBorders>
            <w:shd w:val="clear" w:color="auto" w:fill="auto"/>
            <w:noWrap/>
            <w:vAlign w:val="center"/>
          </w:tcPr>
          <w:p w:rsidR="0068753E" w:rsidRPr="00776935" w:rsidRDefault="0068753E" w:rsidP="00CC12E4">
            <w:pPr>
              <w:spacing w:after="0" w:line="240" w:lineRule="auto"/>
              <w:rPr>
                <w:rFonts w:cs="Arial"/>
                <w:sz w:val="18"/>
              </w:rPr>
            </w:pPr>
          </w:p>
        </w:tc>
        <w:tc>
          <w:tcPr>
            <w:tcW w:w="1209" w:type="dxa"/>
            <w:tcBorders>
              <w:top w:val="nil"/>
              <w:left w:val="nil"/>
              <w:bottom w:val="single" w:sz="4" w:space="0" w:color="auto"/>
              <w:right w:val="nil"/>
            </w:tcBorders>
            <w:shd w:val="clear" w:color="auto" w:fill="auto"/>
            <w:noWrap/>
            <w:vAlign w:val="center"/>
          </w:tcPr>
          <w:p w:rsidR="0068753E" w:rsidRPr="00A350D3" w:rsidRDefault="0068753E" w:rsidP="00CC12E4">
            <w:pPr>
              <w:spacing w:after="0" w:line="240" w:lineRule="auto"/>
              <w:jc w:val="center"/>
              <w:rPr>
                <w:rFonts w:cs="Arial"/>
                <w:sz w:val="18"/>
              </w:rPr>
            </w:pPr>
            <w:r w:rsidRPr="00A350D3">
              <w:rPr>
                <w:rFonts w:cs="Arial"/>
                <w:sz w:val="18"/>
              </w:rPr>
              <w:t>0.3 [4.2] (0.3,9.6)</w:t>
            </w:r>
          </w:p>
        </w:tc>
        <w:tc>
          <w:tcPr>
            <w:tcW w:w="1153" w:type="dxa"/>
            <w:tcBorders>
              <w:top w:val="nil"/>
              <w:left w:val="nil"/>
              <w:bottom w:val="single" w:sz="4" w:space="0" w:color="auto"/>
              <w:right w:val="nil"/>
            </w:tcBorders>
            <w:shd w:val="clear" w:color="auto" w:fill="auto"/>
            <w:noWrap/>
            <w:vAlign w:val="center"/>
          </w:tcPr>
          <w:p w:rsidR="0068753E" w:rsidRPr="00A350D3" w:rsidRDefault="0068753E" w:rsidP="00CC12E4">
            <w:pPr>
              <w:spacing w:after="0" w:line="240" w:lineRule="auto"/>
              <w:jc w:val="center"/>
              <w:rPr>
                <w:rFonts w:cs="Arial"/>
                <w:sz w:val="18"/>
              </w:rPr>
            </w:pPr>
            <w:r w:rsidRPr="00A350D3">
              <w:rPr>
                <w:rFonts w:cs="Arial"/>
                <w:sz w:val="18"/>
              </w:rPr>
              <w:t>0.3 [3] (0.3,6.9)</w:t>
            </w:r>
          </w:p>
        </w:tc>
        <w:tc>
          <w:tcPr>
            <w:tcW w:w="1209" w:type="dxa"/>
            <w:tcBorders>
              <w:top w:val="nil"/>
              <w:left w:val="nil"/>
              <w:bottom w:val="single" w:sz="4" w:space="0" w:color="auto"/>
              <w:right w:val="nil"/>
            </w:tcBorders>
            <w:shd w:val="clear" w:color="auto" w:fill="auto"/>
            <w:noWrap/>
            <w:vAlign w:val="center"/>
          </w:tcPr>
          <w:p w:rsidR="0068753E" w:rsidRPr="00A350D3" w:rsidRDefault="0068753E" w:rsidP="00CC12E4">
            <w:pPr>
              <w:spacing w:after="0" w:line="240" w:lineRule="auto"/>
              <w:jc w:val="center"/>
              <w:rPr>
                <w:rFonts w:cs="Arial"/>
                <w:sz w:val="18"/>
              </w:rPr>
            </w:pPr>
            <w:r w:rsidRPr="00A350D3">
              <w:rPr>
                <w:rFonts w:cs="Arial"/>
                <w:sz w:val="18"/>
              </w:rPr>
              <w:t>0.6 [2.5] (0.4,5.4)</w:t>
            </w:r>
          </w:p>
        </w:tc>
        <w:tc>
          <w:tcPr>
            <w:tcW w:w="1116" w:type="dxa"/>
            <w:tcBorders>
              <w:top w:val="nil"/>
              <w:left w:val="nil"/>
              <w:bottom w:val="single" w:sz="4" w:space="0" w:color="auto"/>
              <w:right w:val="nil"/>
            </w:tcBorders>
            <w:shd w:val="clear" w:color="auto" w:fill="auto"/>
            <w:noWrap/>
            <w:vAlign w:val="center"/>
          </w:tcPr>
          <w:p w:rsidR="0068753E" w:rsidRPr="00A350D3" w:rsidRDefault="0068753E" w:rsidP="00CC12E4">
            <w:pPr>
              <w:spacing w:after="0" w:line="240" w:lineRule="auto"/>
              <w:jc w:val="center"/>
              <w:rPr>
                <w:rFonts w:cs="Arial"/>
                <w:sz w:val="18"/>
              </w:rPr>
            </w:pPr>
            <w:r w:rsidRPr="00A350D3">
              <w:rPr>
                <w:rFonts w:cs="Arial"/>
                <w:sz w:val="18"/>
              </w:rPr>
              <w:t>0.5 [2.3] (0.4,4.9)</w:t>
            </w:r>
          </w:p>
        </w:tc>
        <w:tc>
          <w:tcPr>
            <w:tcW w:w="1408" w:type="dxa"/>
            <w:tcBorders>
              <w:top w:val="nil"/>
              <w:left w:val="nil"/>
              <w:bottom w:val="single" w:sz="4" w:space="0" w:color="auto"/>
              <w:right w:val="single" w:sz="4" w:space="0" w:color="auto"/>
            </w:tcBorders>
            <w:shd w:val="clear" w:color="auto" w:fill="auto"/>
            <w:noWrap/>
            <w:vAlign w:val="center"/>
          </w:tcPr>
          <w:p w:rsidR="0068753E" w:rsidRPr="00776935" w:rsidRDefault="0068753E" w:rsidP="00CC12E4">
            <w:pPr>
              <w:spacing w:after="0" w:line="240" w:lineRule="auto"/>
              <w:jc w:val="center"/>
              <w:rPr>
                <w:rFonts w:cs="Arial"/>
                <w:sz w:val="18"/>
              </w:rPr>
            </w:pPr>
            <w:r w:rsidRPr="00776935">
              <w:rPr>
                <w:rFonts w:cs="Arial"/>
                <w:sz w:val="18"/>
              </w:rPr>
              <w:t>--</w:t>
            </w:r>
          </w:p>
        </w:tc>
      </w:tr>
    </w:tbl>
    <w:p w:rsidR="0068753E" w:rsidRPr="00776935" w:rsidRDefault="0068753E" w:rsidP="00CC12E4">
      <w:pPr>
        <w:spacing w:after="0"/>
        <w:rPr>
          <w:rFonts w:cs="Arial"/>
          <w:sz w:val="16"/>
          <w:szCs w:val="16"/>
        </w:rPr>
      </w:pPr>
      <w:r w:rsidRPr="00776935">
        <w:rPr>
          <w:rFonts w:cs="Arial"/>
          <w:sz w:val="16"/>
          <w:szCs w:val="16"/>
        </w:rPr>
        <w:t>* beyond the year of increased expenditure</w:t>
      </w:r>
    </w:p>
    <w:p w:rsidR="0068753E" w:rsidRPr="00776935" w:rsidRDefault="0068753E" w:rsidP="00CC12E4">
      <w:pPr>
        <w:spacing w:after="120"/>
        <w:rPr>
          <w:rFonts w:cs="Arial"/>
          <w:b/>
          <w:sz w:val="24"/>
        </w:rPr>
      </w:pPr>
    </w:p>
    <w:p w:rsidR="0068753E" w:rsidRDefault="0068753E" w:rsidP="00CC12E4">
      <w:pPr>
        <w:spacing w:after="120"/>
      </w:pPr>
    </w:p>
    <w:p w:rsidR="0068753E" w:rsidRDefault="0068753E">
      <w:pPr>
        <w:rPr>
          <w:rFonts w:ascii="Arial" w:hAnsi="Arial" w:cs="Arial"/>
          <w:b/>
          <w:caps/>
          <w:szCs w:val="24"/>
        </w:rPr>
      </w:pPr>
      <w:r>
        <w:rPr>
          <w:rFonts w:ascii="Arial" w:hAnsi="Arial" w:cs="Arial"/>
          <w:b/>
          <w:caps/>
          <w:szCs w:val="24"/>
        </w:rPr>
        <w:br w:type="page"/>
      </w:r>
    </w:p>
    <w:p w:rsidR="0068753E" w:rsidRPr="001842B4" w:rsidRDefault="0068753E" w:rsidP="00CC12E4">
      <w:pPr>
        <w:spacing w:after="0" w:line="360" w:lineRule="auto"/>
        <w:rPr>
          <w:rFonts w:ascii="Arial" w:hAnsi="Arial" w:cs="Arial"/>
          <w:sz w:val="20"/>
          <w:szCs w:val="20"/>
        </w:rPr>
      </w:pPr>
      <w:r>
        <w:rPr>
          <w:rFonts w:ascii="Arial" w:hAnsi="Arial" w:cs="Arial"/>
          <w:b/>
          <w:caps/>
          <w:szCs w:val="24"/>
        </w:rPr>
        <w:lastRenderedPageBreak/>
        <w:t>figures:</w:t>
      </w:r>
    </w:p>
    <w:p w:rsidR="0068753E" w:rsidRDefault="0068753E" w:rsidP="00CC12E4">
      <w:pPr>
        <w:spacing w:after="0" w:line="360" w:lineRule="auto"/>
        <w:rPr>
          <w:rFonts w:ascii="Arial" w:hAnsi="Arial" w:cs="Arial"/>
          <w:sz w:val="20"/>
          <w:szCs w:val="20"/>
        </w:rPr>
      </w:pPr>
    </w:p>
    <w:p w:rsidR="0068753E" w:rsidRPr="00A64A5A" w:rsidRDefault="0068753E" w:rsidP="00CC12E4">
      <w:pPr>
        <w:pStyle w:val="Caption"/>
        <w:rPr>
          <w:rFonts w:cs="Arial"/>
          <w:b w:val="0"/>
          <w:color w:val="000000" w:themeColor="text1"/>
        </w:rPr>
      </w:pPr>
      <w:r w:rsidRPr="00122784">
        <w:rPr>
          <w:rFonts w:cs="Arial"/>
          <w:b w:val="0"/>
          <w:color w:val="000000" w:themeColor="text1"/>
        </w:rPr>
        <w:t xml:space="preserve">Figure </w:t>
      </w:r>
      <w:r>
        <w:rPr>
          <w:rFonts w:cs="Arial"/>
          <w:b w:val="0"/>
          <w:color w:val="000000" w:themeColor="text1"/>
        </w:rPr>
        <w:t>1</w:t>
      </w:r>
      <w:r w:rsidRPr="00BD1D83">
        <w:rPr>
          <w:rFonts w:cs="Arial"/>
          <w:b w:val="0"/>
          <w:color w:val="000000" w:themeColor="text1"/>
        </w:rPr>
        <w:t xml:space="preserve">: Illustration of individual experts’ fitted distributions </w:t>
      </w:r>
      <w:r>
        <w:rPr>
          <w:rFonts w:cs="Arial"/>
          <w:b w:val="0"/>
          <w:color w:val="000000" w:themeColor="text1"/>
        </w:rPr>
        <w:t xml:space="preserve">(grey) </w:t>
      </w:r>
      <w:r w:rsidRPr="00BD1D83">
        <w:rPr>
          <w:rFonts w:cs="Arial"/>
          <w:b w:val="0"/>
          <w:color w:val="000000" w:themeColor="text1"/>
        </w:rPr>
        <w:t>and the pooled distribution</w:t>
      </w:r>
      <w:r>
        <w:rPr>
          <w:rFonts w:cs="Arial"/>
          <w:b w:val="0"/>
          <w:color w:val="000000" w:themeColor="text1"/>
        </w:rPr>
        <w:t xml:space="preserve"> (black) </w:t>
      </w:r>
      <w:r w:rsidRPr="00BD1D83">
        <w:rPr>
          <w:rFonts w:cs="Arial"/>
          <w:b w:val="0"/>
          <w:color w:val="000000" w:themeColor="text1"/>
        </w:rPr>
        <w:t>–clinical experts</w:t>
      </w:r>
      <w:r>
        <w:rPr>
          <w:rFonts w:cs="Arial"/>
          <w:b w:val="0"/>
          <w:color w:val="000000" w:themeColor="text1"/>
        </w:rPr>
        <w:t xml:space="preserve"> </w:t>
      </w:r>
    </w:p>
    <w:p w:rsidR="0068753E" w:rsidRPr="00BD1D83" w:rsidRDefault="0068753E" w:rsidP="00CC12E4">
      <w:pPr>
        <w:spacing w:after="120"/>
        <w:rPr>
          <w:rFonts w:cs="Arial"/>
          <w:sz w:val="18"/>
          <w:szCs w:val="18"/>
        </w:rPr>
      </w:pPr>
      <w:r w:rsidRPr="00BD1D83">
        <w:rPr>
          <w:rFonts w:cs="Arial"/>
          <w:noProof/>
          <w:sz w:val="18"/>
          <w:szCs w:val="18"/>
          <w:lang w:eastAsia="en-GB"/>
        </w:rPr>
        <mc:AlternateContent>
          <mc:Choice Requires="wps">
            <w:drawing>
              <wp:anchor distT="0" distB="0" distL="114300" distR="114300" simplePos="0" relativeHeight="251659264" behindDoc="0" locked="0" layoutInCell="1" allowOverlap="1" wp14:anchorId="43F9DD19" wp14:editId="63A3E5F7">
                <wp:simplePos x="0" y="0"/>
                <wp:positionH relativeFrom="column">
                  <wp:posOffset>2526030</wp:posOffset>
                </wp:positionH>
                <wp:positionV relativeFrom="paragraph">
                  <wp:posOffset>13706</wp:posOffset>
                </wp:positionV>
                <wp:extent cx="2292350" cy="387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387985"/>
                        </a:xfrm>
                        <a:prstGeom prst="rect">
                          <a:avLst/>
                        </a:prstGeom>
                        <a:noFill/>
                        <a:ln w="9525">
                          <a:noFill/>
                          <a:miter lim="800000"/>
                          <a:headEnd/>
                          <a:tailEnd/>
                        </a:ln>
                      </wps:spPr>
                      <wps:txbx>
                        <w:txbxContent>
                          <w:p w:rsidR="00CC12E4" w:rsidRDefault="00CC12E4" w:rsidP="00CC12E4">
                            <w:pPr>
                              <w:jc w:val="right"/>
                            </w:pPr>
                            <w:r w:rsidRPr="009B49AB">
                              <w:rPr>
                                <w:sz w:val="18"/>
                              </w:rPr>
                              <w:t>A1</w:t>
                            </w:r>
                            <w:r>
                              <w:rPr>
                                <w:sz w:val="18"/>
                              </w:rPr>
                              <w:t xml:space="preserve"> (duration of effects):</w:t>
                            </w:r>
                            <w:r w:rsidRPr="009B49AB">
                              <w:rPr>
                                <w:sz w:val="18"/>
                              </w:rPr>
                              <w:t xml:space="preserve"> circulatory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3F9DD19" id="_x0000_t202" coordsize="21600,21600" o:spt="202" path="m,l,21600r21600,l21600,xe">
                <v:stroke joinstyle="miter"/>
                <v:path gradientshapeok="t" o:connecttype="rect"/>
              </v:shapetype>
              <v:shape id="Text Box 2" o:spid="_x0000_s1026" type="#_x0000_t202" style="position:absolute;margin-left:198.9pt;margin-top:1.1pt;width:180.5pt;height:3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" filled="f" stroked="f">
                <v:textbox style="mso-fit-shape-to-text:t">
                  <w:txbxContent>
                    <w:p w:rsidR="00CC12E4" w:rsidRDefault="00CC12E4" w:rsidP="00CC12E4">
                      <w:pPr>
                        <w:jc w:val="right"/>
                      </w:pPr>
                      <w:r w:rsidRPr="009B49AB">
                        <w:rPr>
                          <w:sz w:val="18"/>
                        </w:rPr>
                        <w:t>A1</w:t>
                      </w:r>
                      <w:r>
                        <w:rPr>
                          <w:sz w:val="18"/>
                        </w:rPr>
                        <w:t xml:space="preserve"> (duration of effects):</w:t>
                      </w:r>
                      <w:r w:rsidRPr="009B49AB">
                        <w:rPr>
                          <w:sz w:val="18"/>
                        </w:rPr>
                        <w:t xml:space="preserve"> circulatory</w:t>
                      </w:r>
                    </w:p>
                  </w:txbxContent>
                </v:textbox>
              </v:shape>
            </w:pict>
          </mc:Fallback>
        </mc:AlternateContent>
      </w:r>
      <w:r>
        <w:rPr>
          <w:rFonts w:cs="Arial"/>
          <w:noProof/>
          <w:sz w:val="18"/>
          <w:szCs w:val="18"/>
          <w:lang w:eastAsia="en-GB"/>
        </w:rPr>
        <w:drawing>
          <wp:inline distT="0" distB="0" distL="0" distR="0" wp14:anchorId="21BA256D" wp14:editId="7D3A8143">
            <wp:extent cx="4880344" cy="19693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82799" cy="1970316"/>
                    </a:xfrm>
                    <a:prstGeom prst="rect">
                      <a:avLst/>
                    </a:prstGeom>
                    <a:noFill/>
                  </pic:spPr>
                </pic:pic>
              </a:graphicData>
            </a:graphic>
          </wp:inline>
        </w:drawing>
      </w:r>
    </w:p>
    <w:p w:rsidR="0068753E" w:rsidRPr="00BD1D83" w:rsidRDefault="0068753E" w:rsidP="00CC12E4">
      <w:pPr>
        <w:spacing w:after="120"/>
        <w:rPr>
          <w:rFonts w:cs="Arial"/>
          <w:b/>
          <w:sz w:val="18"/>
          <w:szCs w:val="18"/>
        </w:rPr>
      </w:pPr>
      <w:r w:rsidRPr="00BD1D83">
        <w:rPr>
          <w:rFonts w:cs="Arial"/>
          <w:noProof/>
          <w:sz w:val="18"/>
          <w:szCs w:val="18"/>
          <w:lang w:eastAsia="en-GB"/>
        </w:rPr>
        <mc:AlternateContent>
          <mc:Choice Requires="wps">
            <w:drawing>
              <wp:anchor distT="0" distB="0" distL="114300" distR="114300" simplePos="0" relativeHeight="251660288" behindDoc="0" locked="0" layoutInCell="1" allowOverlap="1" wp14:anchorId="487DF029" wp14:editId="2273224C">
                <wp:simplePos x="0" y="0"/>
                <wp:positionH relativeFrom="column">
                  <wp:posOffset>2548255</wp:posOffset>
                </wp:positionH>
                <wp:positionV relativeFrom="paragraph">
                  <wp:posOffset>-635</wp:posOffset>
                </wp:positionV>
                <wp:extent cx="2292350" cy="38798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387985"/>
                        </a:xfrm>
                        <a:prstGeom prst="rect">
                          <a:avLst/>
                        </a:prstGeom>
                        <a:noFill/>
                        <a:ln w="9525">
                          <a:noFill/>
                          <a:miter lim="800000"/>
                          <a:headEnd/>
                          <a:tailEnd/>
                        </a:ln>
                      </wps:spPr>
                      <wps:txbx>
                        <w:txbxContent>
                          <w:p w:rsidR="00CC12E4" w:rsidRDefault="00CC12E4" w:rsidP="00CC12E4">
                            <w:pPr>
                              <w:jc w:val="right"/>
                            </w:pPr>
                            <w:r>
                              <w:rPr>
                                <w:sz w:val="18"/>
                              </w:rPr>
                              <w:t>B1 (surrogacy), year 1:</w:t>
                            </w:r>
                            <w:r w:rsidRPr="009B49AB">
                              <w:rPr>
                                <w:sz w:val="18"/>
                              </w:rPr>
                              <w:t xml:space="preserve"> circulatory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87DF029" id="_x0000_s1027" type="#_x0000_t202" style="position:absolute;margin-left:200.65pt;margin-top:-.05pt;width:180.5pt;height:30.5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" filled="f" stroked="f">
                <v:textbox style="mso-fit-shape-to-text:t">
                  <w:txbxContent>
                    <w:p w:rsidR="00CC12E4" w:rsidRDefault="00CC12E4" w:rsidP="00CC12E4">
                      <w:pPr>
                        <w:jc w:val="right"/>
                      </w:pPr>
                      <w:r>
                        <w:rPr>
                          <w:sz w:val="18"/>
                        </w:rPr>
                        <w:t>B1 (surrogacy), year 1:</w:t>
                      </w:r>
                      <w:r w:rsidRPr="009B49AB">
                        <w:rPr>
                          <w:sz w:val="18"/>
                        </w:rPr>
                        <w:t xml:space="preserve"> circulatory</w:t>
                      </w:r>
                    </w:p>
                  </w:txbxContent>
                </v:textbox>
              </v:shape>
            </w:pict>
          </mc:Fallback>
        </mc:AlternateContent>
      </w:r>
      <w:r>
        <w:rPr>
          <w:rFonts w:cs="Arial"/>
          <w:b/>
          <w:noProof/>
          <w:sz w:val="18"/>
          <w:szCs w:val="18"/>
          <w:lang w:eastAsia="en-GB"/>
        </w:rPr>
        <w:drawing>
          <wp:inline distT="0" distB="0" distL="0" distR="0" wp14:anchorId="35F78970" wp14:editId="746060A1">
            <wp:extent cx="4874637" cy="1967023"/>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78827" cy="1968714"/>
                    </a:xfrm>
                    <a:prstGeom prst="rect">
                      <a:avLst/>
                    </a:prstGeom>
                    <a:noFill/>
                  </pic:spPr>
                </pic:pic>
              </a:graphicData>
            </a:graphic>
          </wp:inline>
        </w:drawing>
      </w:r>
    </w:p>
    <w:p w:rsidR="0068753E" w:rsidRDefault="0068753E">
      <w:pPr>
        <w:rPr>
          <w:rFonts w:ascii="Arial" w:hAnsi="Arial" w:cs="Arial"/>
          <w:sz w:val="20"/>
          <w:szCs w:val="20"/>
        </w:rPr>
      </w:pPr>
    </w:p>
    <w:p w:rsidR="0068753E" w:rsidRDefault="0068753E">
      <w:pPr>
        <w:rPr>
          <w:rFonts w:ascii="Arial" w:hAnsi="Arial" w:cs="Arial"/>
          <w:sz w:val="20"/>
          <w:szCs w:val="20"/>
        </w:rPr>
      </w:pPr>
      <w:r>
        <w:rPr>
          <w:rFonts w:ascii="Arial" w:hAnsi="Arial" w:cs="Arial"/>
          <w:sz w:val="20"/>
          <w:szCs w:val="20"/>
        </w:rPr>
        <w:br w:type="page"/>
      </w:r>
    </w:p>
    <w:p w:rsidR="0068753E" w:rsidRDefault="0068753E" w:rsidP="00CC12E4">
      <w:pPr>
        <w:spacing w:after="120"/>
        <w:rPr>
          <w:rFonts w:cs="Arial"/>
          <w:color w:val="000000" w:themeColor="text1"/>
        </w:rPr>
      </w:pPr>
    </w:p>
    <w:p w:rsidR="0068753E" w:rsidRPr="00776935" w:rsidRDefault="0068753E" w:rsidP="00CC12E4">
      <w:pPr>
        <w:pStyle w:val="Caption"/>
        <w:spacing w:after="0"/>
        <w:rPr>
          <w:rFonts w:cs="Arial"/>
          <w:b w:val="0"/>
          <w:color w:val="000000" w:themeColor="text1"/>
        </w:rPr>
      </w:pPr>
      <w:r w:rsidRPr="002C195E">
        <w:rPr>
          <w:rFonts w:cs="Arial"/>
          <w:b w:val="0"/>
          <w:color w:val="000000" w:themeColor="text1"/>
        </w:rPr>
        <w:t xml:space="preserve">Figure </w:t>
      </w:r>
      <w:r>
        <w:rPr>
          <w:rFonts w:cs="Arial"/>
          <w:b w:val="0"/>
          <w:color w:val="000000" w:themeColor="text1"/>
        </w:rPr>
        <w:t>2</w:t>
      </w:r>
      <w:r w:rsidRPr="002C195E">
        <w:rPr>
          <w:rFonts w:cs="Arial"/>
          <w:b w:val="0"/>
          <w:color w:val="000000" w:themeColor="text1"/>
        </w:rPr>
        <w:t>: Illustration of individual experts’ fitted distributions and the jointly pooled distribution – policy experts, circulatory</w:t>
      </w:r>
    </w:p>
    <w:p w:rsidR="0068753E" w:rsidRPr="00776935" w:rsidRDefault="0068753E" w:rsidP="00CC12E4">
      <w:pPr>
        <w:spacing w:after="120"/>
        <w:rPr>
          <w:rFonts w:cs="Arial"/>
          <w:sz w:val="20"/>
        </w:rPr>
      </w:pPr>
      <w:r w:rsidRPr="00776935">
        <w:rPr>
          <w:rFonts w:cs="Arial"/>
          <w:noProof/>
          <w:sz w:val="20"/>
          <w:lang w:eastAsia="en-GB"/>
        </w:rPr>
        <mc:AlternateContent>
          <mc:Choice Requires="wps">
            <w:drawing>
              <wp:anchor distT="0" distB="0" distL="114300" distR="114300" simplePos="0" relativeHeight="251661312" behindDoc="0" locked="0" layoutInCell="1" allowOverlap="1" wp14:anchorId="7AF53DBC" wp14:editId="2D4E4AF0">
                <wp:simplePos x="0" y="0"/>
                <wp:positionH relativeFrom="column">
                  <wp:posOffset>2526030</wp:posOffset>
                </wp:positionH>
                <wp:positionV relativeFrom="paragraph">
                  <wp:posOffset>23495</wp:posOffset>
                </wp:positionV>
                <wp:extent cx="2292350" cy="38798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387985"/>
                        </a:xfrm>
                        <a:prstGeom prst="rect">
                          <a:avLst/>
                        </a:prstGeom>
                        <a:noFill/>
                        <a:ln w="9525">
                          <a:noFill/>
                          <a:miter lim="800000"/>
                          <a:headEnd/>
                          <a:tailEnd/>
                        </a:ln>
                      </wps:spPr>
                      <wps:txbx>
                        <w:txbxContent>
                          <w:p w:rsidR="00CC12E4" w:rsidRDefault="00CC12E4" w:rsidP="00CC12E4">
                            <w:pPr>
                              <w:jc w:val="right"/>
                            </w:pPr>
                            <w:r w:rsidRPr="009B49AB">
                              <w:rPr>
                                <w:sz w:val="18"/>
                              </w:rPr>
                              <w:t>A1</w:t>
                            </w:r>
                            <w:r>
                              <w:rPr>
                                <w:sz w:val="18"/>
                              </w:rPr>
                              <w:t xml:space="preserve"> (duration of effects):</w:t>
                            </w:r>
                            <w:r w:rsidRPr="009B49AB">
                              <w:rPr>
                                <w:sz w:val="18"/>
                              </w:rPr>
                              <w:t xml:space="preserve"> circulatory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AF53DBC" id="_x0000_s1028" type="#_x0000_t202" style="position:absolute;margin-left:198.9pt;margin-top:1.85pt;width:180.5pt;height:3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" filled="f" stroked="f">
                <v:textbox style="mso-fit-shape-to-text:t">
                  <w:txbxContent>
                    <w:p w:rsidR="00CC12E4" w:rsidRDefault="00CC12E4" w:rsidP="00CC12E4">
                      <w:pPr>
                        <w:jc w:val="right"/>
                      </w:pPr>
                      <w:r w:rsidRPr="009B49AB">
                        <w:rPr>
                          <w:sz w:val="18"/>
                        </w:rPr>
                        <w:t>A1</w:t>
                      </w:r>
                      <w:r>
                        <w:rPr>
                          <w:sz w:val="18"/>
                        </w:rPr>
                        <w:t xml:space="preserve"> (duration of effects):</w:t>
                      </w:r>
                      <w:r w:rsidRPr="009B49AB">
                        <w:rPr>
                          <w:sz w:val="18"/>
                        </w:rPr>
                        <w:t xml:space="preserve"> circulatory</w:t>
                      </w:r>
                    </w:p>
                  </w:txbxContent>
                </v:textbox>
              </v:shape>
            </w:pict>
          </mc:Fallback>
        </mc:AlternateContent>
      </w:r>
      <w:r>
        <w:rPr>
          <w:rFonts w:cs="Arial"/>
          <w:noProof/>
          <w:sz w:val="20"/>
          <w:lang w:eastAsia="en-GB"/>
        </w:rPr>
        <w:drawing>
          <wp:inline distT="0" distB="0" distL="0" distR="0" wp14:anchorId="2F9D9368" wp14:editId="574BE644">
            <wp:extent cx="4925683" cy="1914054"/>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40584" cy="1919844"/>
                    </a:xfrm>
                    <a:prstGeom prst="rect">
                      <a:avLst/>
                    </a:prstGeom>
                    <a:noFill/>
                  </pic:spPr>
                </pic:pic>
              </a:graphicData>
            </a:graphic>
          </wp:inline>
        </w:drawing>
      </w:r>
    </w:p>
    <w:p w:rsidR="0068753E" w:rsidRPr="00776935" w:rsidRDefault="0068753E" w:rsidP="00CC12E4">
      <w:pPr>
        <w:spacing w:after="120"/>
        <w:rPr>
          <w:rFonts w:cs="Arial"/>
          <w:b/>
          <w:sz w:val="24"/>
        </w:rPr>
      </w:pPr>
      <w:r w:rsidRPr="00776935">
        <w:rPr>
          <w:rFonts w:cs="Arial"/>
          <w:noProof/>
          <w:sz w:val="20"/>
          <w:lang w:eastAsia="en-GB"/>
        </w:rPr>
        <mc:AlternateContent>
          <mc:Choice Requires="wps">
            <w:drawing>
              <wp:anchor distT="0" distB="0" distL="114300" distR="114300" simplePos="0" relativeHeight="251662336" behindDoc="0" locked="0" layoutInCell="1" allowOverlap="1" wp14:anchorId="12F8BA83" wp14:editId="6B17FD2B">
                <wp:simplePos x="0" y="0"/>
                <wp:positionH relativeFrom="column">
                  <wp:posOffset>2548255</wp:posOffset>
                </wp:positionH>
                <wp:positionV relativeFrom="paragraph">
                  <wp:posOffset>-635</wp:posOffset>
                </wp:positionV>
                <wp:extent cx="2292350" cy="387985"/>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387985"/>
                        </a:xfrm>
                        <a:prstGeom prst="rect">
                          <a:avLst/>
                        </a:prstGeom>
                        <a:noFill/>
                        <a:ln w="9525">
                          <a:noFill/>
                          <a:miter lim="800000"/>
                          <a:headEnd/>
                          <a:tailEnd/>
                        </a:ln>
                      </wps:spPr>
                      <wps:txbx>
                        <w:txbxContent>
                          <w:p w:rsidR="00CC12E4" w:rsidRDefault="00CC12E4" w:rsidP="00CC12E4">
                            <w:pPr>
                              <w:jc w:val="right"/>
                            </w:pPr>
                            <w:r>
                              <w:rPr>
                                <w:sz w:val="18"/>
                              </w:rPr>
                              <w:t>B1 (surrogacy), year 1:</w:t>
                            </w:r>
                            <w:r w:rsidRPr="009B49AB">
                              <w:rPr>
                                <w:sz w:val="18"/>
                              </w:rPr>
                              <w:t xml:space="preserve"> circulatory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2F8BA83" id="_x0000_s1029" type="#_x0000_t202" style="position:absolute;margin-left:200.65pt;margin-top:-.05pt;width:180.5pt;height:30.5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" filled="f" stroked="f">
                <v:textbox style="mso-fit-shape-to-text:t">
                  <w:txbxContent>
                    <w:p w:rsidR="00CC12E4" w:rsidRDefault="00CC12E4" w:rsidP="00CC12E4">
                      <w:pPr>
                        <w:jc w:val="right"/>
                      </w:pPr>
                      <w:r>
                        <w:rPr>
                          <w:sz w:val="18"/>
                        </w:rPr>
                        <w:t>B1 (surrogacy), year 1:</w:t>
                      </w:r>
                      <w:r w:rsidRPr="009B49AB">
                        <w:rPr>
                          <w:sz w:val="18"/>
                        </w:rPr>
                        <w:t xml:space="preserve"> circulatory</w:t>
                      </w:r>
                    </w:p>
                  </w:txbxContent>
                </v:textbox>
              </v:shape>
            </w:pict>
          </mc:Fallback>
        </mc:AlternateContent>
      </w:r>
      <w:r>
        <w:rPr>
          <w:rFonts w:cs="Arial"/>
          <w:b/>
          <w:noProof/>
          <w:sz w:val="24"/>
          <w:lang w:eastAsia="en-GB"/>
        </w:rPr>
        <w:drawing>
          <wp:inline distT="0" distB="0" distL="0" distR="0" wp14:anchorId="125842B3" wp14:editId="5F038C0A">
            <wp:extent cx="4925683" cy="1983529"/>
            <wp:effectExtent l="0" t="0" r="889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26818" cy="1983986"/>
                    </a:xfrm>
                    <a:prstGeom prst="rect">
                      <a:avLst/>
                    </a:prstGeom>
                    <a:noFill/>
                  </pic:spPr>
                </pic:pic>
              </a:graphicData>
            </a:graphic>
          </wp:inline>
        </w:drawing>
      </w:r>
    </w:p>
    <w:p w:rsidR="0068753E" w:rsidRDefault="0068753E" w:rsidP="00CC12E4">
      <w:pPr>
        <w:spacing w:after="120"/>
        <w:rPr>
          <w:rFonts w:cs="Arial"/>
          <w:color w:val="000000" w:themeColor="text1"/>
        </w:rPr>
      </w:pPr>
    </w:p>
    <w:p w:rsidR="0068753E" w:rsidRDefault="0068753E" w:rsidP="00CC12E4">
      <w:pPr>
        <w:spacing w:after="120"/>
        <w:rPr>
          <w:rFonts w:cs="Arial"/>
          <w:color w:val="000000" w:themeColor="text1"/>
        </w:rPr>
      </w:pPr>
    </w:p>
    <w:p w:rsidR="0068753E" w:rsidRDefault="0068753E" w:rsidP="00CC12E4">
      <w:pPr>
        <w:spacing w:after="120"/>
        <w:rPr>
          <w:rFonts w:cs="Arial"/>
          <w:color w:val="000000" w:themeColor="text1"/>
        </w:rPr>
      </w:pPr>
    </w:p>
    <w:p w:rsidR="0068753E" w:rsidRDefault="0068753E" w:rsidP="00CC12E4">
      <w:pPr>
        <w:spacing w:after="120"/>
        <w:rPr>
          <w:rFonts w:cs="Arial"/>
          <w:color w:val="000000" w:themeColor="text1"/>
        </w:rPr>
      </w:pPr>
    </w:p>
    <w:p w:rsidR="0068753E" w:rsidRDefault="0068753E" w:rsidP="00CC12E4">
      <w:pPr>
        <w:spacing w:after="120"/>
        <w:rPr>
          <w:rFonts w:cs="Arial"/>
          <w:color w:val="000000" w:themeColor="text1"/>
        </w:rPr>
      </w:pPr>
    </w:p>
    <w:p w:rsidR="0068753E" w:rsidRDefault="0068753E"/>
    <w:p w:rsidR="0068753E" w:rsidRDefault="0068753E"/>
    <w:p w:rsidR="0068753E" w:rsidRDefault="0068753E"/>
    <w:bookmarkEnd w:id="0"/>
    <w:p w:rsidR="00CC12E4" w:rsidRDefault="00CC12E4"/>
    <w:sectPr w:rsidR="00CC12E4" w:rsidSect="00CC12E4">
      <w:footerReference w:type="default" r:id="rId15"/>
      <w:pgSz w:w="11906" w:h="16838"/>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2E4" w:rsidRDefault="00CC12E4" w:rsidP="0068753E">
      <w:pPr>
        <w:spacing w:after="0" w:line="240" w:lineRule="auto"/>
      </w:pPr>
      <w:r>
        <w:separator/>
      </w:r>
    </w:p>
  </w:endnote>
  <w:endnote w:type="continuationSeparator" w:id="0">
    <w:p w:rsidR="00CC12E4" w:rsidRDefault="00CC12E4" w:rsidP="00687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163594"/>
      <w:docPartObj>
        <w:docPartGallery w:val="Page Numbers (Bottom of Page)"/>
        <w:docPartUnique/>
      </w:docPartObj>
    </w:sdtPr>
    <w:sdtEndPr>
      <w:rPr>
        <w:noProof/>
        <w:sz w:val="16"/>
      </w:rPr>
    </w:sdtEndPr>
    <w:sdtContent>
      <w:p w:rsidR="00CC12E4" w:rsidRPr="0034247E" w:rsidRDefault="00CC12E4">
        <w:pPr>
          <w:pStyle w:val="Footer"/>
          <w:jc w:val="right"/>
          <w:rPr>
            <w:sz w:val="16"/>
          </w:rPr>
        </w:pPr>
        <w:r w:rsidRPr="0034247E">
          <w:rPr>
            <w:sz w:val="16"/>
          </w:rPr>
          <w:fldChar w:fldCharType="begin"/>
        </w:r>
        <w:r w:rsidRPr="0034247E">
          <w:rPr>
            <w:sz w:val="16"/>
          </w:rPr>
          <w:instrText xml:space="preserve"> PAGE   \* MERGEFORMAT </w:instrText>
        </w:r>
        <w:r w:rsidRPr="0034247E">
          <w:rPr>
            <w:sz w:val="16"/>
          </w:rPr>
          <w:fldChar w:fldCharType="separate"/>
        </w:r>
        <w:r w:rsidR="00234DB9">
          <w:rPr>
            <w:noProof/>
            <w:sz w:val="16"/>
          </w:rPr>
          <w:t>17</w:t>
        </w:r>
        <w:r w:rsidRPr="0034247E">
          <w:rPr>
            <w:noProof/>
            <w:sz w:val="16"/>
          </w:rPr>
          <w:fldChar w:fldCharType="end"/>
        </w:r>
        <w:r>
          <w:rPr>
            <w:noProof/>
            <w:sz w:val="16"/>
          </w:rPr>
          <w:t>/</w:t>
        </w:r>
        <w:r>
          <w:rPr>
            <w:noProof/>
            <w:sz w:val="16"/>
          </w:rPr>
          <w:fldChar w:fldCharType="begin"/>
        </w:r>
        <w:r>
          <w:rPr>
            <w:noProof/>
            <w:sz w:val="16"/>
          </w:rPr>
          <w:instrText xml:space="preserve"> NUMPAGES   \* MERGEFORMAT </w:instrText>
        </w:r>
        <w:r>
          <w:rPr>
            <w:noProof/>
            <w:sz w:val="16"/>
          </w:rPr>
          <w:fldChar w:fldCharType="separate"/>
        </w:r>
        <w:r w:rsidR="00234DB9">
          <w:rPr>
            <w:noProof/>
            <w:sz w:val="16"/>
          </w:rPr>
          <w:t>21</w:t>
        </w:r>
        <w:r>
          <w:rPr>
            <w:noProof/>
            <w:sz w:val="16"/>
          </w:rPr>
          <w:fldChar w:fldCharType="end"/>
        </w:r>
      </w:p>
    </w:sdtContent>
  </w:sdt>
  <w:p w:rsidR="00CC12E4" w:rsidRDefault="00CC12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8994086"/>
      <w:docPartObj>
        <w:docPartGallery w:val="Page Numbers (Bottom of Page)"/>
        <w:docPartUnique/>
      </w:docPartObj>
    </w:sdtPr>
    <w:sdtEndPr>
      <w:rPr>
        <w:noProof/>
        <w:sz w:val="16"/>
      </w:rPr>
    </w:sdtEndPr>
    <w:sdtContent>
      <w:p w:rsidR="00CC12E4" w:rsidRPr="0034247E" w:rsidRDefault="00CC12E4">
        <w:pPr>
          <w:pStyle w:val="Footer"/>
          <w:jc w:val="right"/>
          <w:rPr>
            <w:sz w:val="16"/>
          </w:rPr>
        </w:pPr>
        <w:r w:rsidRPr="0034247E">
          <w:rPr>
            <w:sz w:val="16"/>
          </w:rPr>
          <w:fldChar w:fldCharType="begin"/>
        </w:r>
        <w:r w:rsidRPr="0034247E">
          <w:rPr>
            <w:sz w:val="16"/>
          </w:rPr>
          <w:instrText xml:space="preserve"> PAGE   \* MERGEFORMAT </w:instrText>
        </w:r>
        <w:r w:rsidRPr="0034247E">
          <w:rPr>
            <w:sz w:val="16"/>
          </w:rPr>
          <w:fldChar w:fldCharType="separate"/>
        </w:r>
        <w:r w:rsidR="00234DB9">
          <w:rPr>
            <w:noProof/>
            <w:sz w:val="16"/>
          </w:rPr>
          <w:t>21</w:t>
        </w:r>
        <w:r w:rsidRPr="0034247E">
          <w:rPr>
            <w:noProof/>
            <w:sz w:val="16"/>
          </w:rPr>
          <w:fldChar w:fldCharType="end"/>
        </w:r>
        <w:r>
          <w:rPr>
            <w:noProof/>
            <w:sz w:val="16"/>
          </w:rPr>
          <w:t>/</w:t>
        </w:r>
        <w:r>
          <w:rPr>
            <w:noProof/>
            <w:sz w:val="16"/>
          </w:rPr>
          <w:fldChar w:fldCharType="begin"/>
        </w:r>
        <w:r>
          <w:rPr>
            <w:noProof/>
            <w:sz w:val="16"/>
          </w:rPr>
          <w:instrText xml:space="preserve"> NUMPAGES   \* MERGEFORMAT </w:instrText>
        </w:r>
        <w:r>
          <w:rPr>
            <w:noProof/>
            <w:sz w:val="16"/>
          </w:rPr>
          <w:fldChar w:fldCharType="separate"/>
        </w:r>
        <w:r w:rsidR="00234DB9">
          <w:rPr>
            <w:noProof/>
            <w:sz w:val="16"/>
          </w:rPr>
          <w:t>21</w:t>
        </w:r>
        <w:r>
          <w:rPr>
            <w:noProof/>
            <w:sz w:val="16"/>
          </w:rPr>
          <w:fldChar w:fldCharType="end"/>
        </w:r>
      </w:p>
    </w:sdtContent>
  </w:sdt>
  <w:p w:rsidR="00CC12E4" w:rsidRDefault="00CC12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2E4" w:rsidRDefault="00CC12E4" w:rsidP="0068753E">
      <w:pPr>
        <w:spacing w:after="0" w:line="240" w:lineRule="auto"/>
      </w:pPr>
      <w:r>
        <w:separator/>
      </w:r>
    </w:p>
  </w:footnote>
  <w:footnote w:type="continuationSeparator" w:id="0">
    <w:p w:rsidR="00CC12E4" w:rsidRDefault="00CC12E4" w:rsidP="0068753E">
      <w:pPr>
        <w:spacing w:after="0" w:line="240" w:lineRule="auto"/>
      </w:pPr>
      <w:r>
        <w:continuationSeparator/>
      </w:r>
    </w:p>
  </w:footnote>
  <w:footnote w:id="1">
    <w:p w:rsidR="00CC12E4" w:rsidRDefault="00CC12E4" w:rsidP="00CC12E4">
      <w:pPr>
        <w:pStyle w:val="FootnoteText"/>
      </w:pPr>
      <w:r>
        <w:rPr>
          <w:rStyle w:val="FootnoteReference"/>
        </w:rPr>
        <w:footnoteRef/>
      </w:r>
      <w:r>
        <w:t xml:space="preserve"> D</w:t>
      </w:r>
      <w:r w:rsidRPr="00D70421">
        <w:t>ecision makers may</w:t>
      </w:r>
      <w:r>
        <w:t xml:space="preserve"> also compare the proposed investment</w:t>
      </w:r>
      <w:r w:rsidRPr="00D70421">
        <w:t xml:space="preserve"> </w:t>
      </w:r>
      <w:r>
        <w:t xml:space="preserve">to </w:t>
      </w:r>
      <w:r w:rsidRPr="00D70421">
        <w:t>other specific disinvestments or alternativ</w:t>
      </w:r>
      <w:r>
        <w:t xml:space="preserve">e investments.  However, they still need to consider how these compare to what the health care system would be expected to deliver, i.e., an estimate of marginal productivity is still relevant.  If the decision maker had full information about all interventions that are or could be provided for all indications and subgroups of the population and was also tasked with the wholesale redesign of the health care system, well established mathematical programming solutions would be possible and appropriate.  The marginal productivity would be the outcome of this optimisation (i.e., the shadow price of the expenditure constraint from solving the dual problem). </w:t>
      </w:r>
    </w:p>
  </w:footnote>
  <w:footnote w:id="2">
    <w:p w:rsidR="00CC12E4" w:rsidRDefault="00CC12E4" w:rsidP="00CC12E4">
      <w:pPr>
        <w:pStyle w:val="FootnoteText"/>
      </w:pPr>
      <w:r>
        <w:rPr>
          <w:rStyle w:val="FootnoteReference"/>
        </w:rPr>
        <w:footnoteRef/>
      </w:r>
      <w:r>
        <w:t xml:space="preserve"> </w:t>
      </w:r>
      <w:r w:rsidRPr="00726BA9">
        <w:t xml:space="preserve">Primary care was added to the list for the broad expertise these individuals have of all clinical areas (and for this reason these would be overrepresented in relation to others). </w:t>
      </w:r>
      <w:r>
        <w:t>C</w:t>
      </w:r>
      <w:r w:rsidRPr="00726BA9">
        <w:t xml:space="preserve">linical experts were identified through involvement with decision making </w:t>
      </w:r>
      <w:r>
        <w:t xml:space="preserve">bodies </w:t>
      </w:r>
      <w:r w:rsidRPr="00726BA9">
        <w:t>(e.g. NICE guidelines and appraisal committees), involvement with research or by recommendation from colleagues.</w:t>
      </w:r>
    </w:p>
  </w:footnote>
  <w:footnote w:id="3">
    <w:p w:rsidR="00CC12E4" w:rsidRDefault="00CC12E4">
      <w:pPr>
        <w:pStyle w:val="FootnoteText"/>
      </w:pPr>
      <w:r>
        <w:rPr>
          <w:rStyle w:val="FootnoteReference"/>
        </w:rPr>
        <w:footnoteRef/>
      </w:r>
      <w:r>
        <w:t xml:space="preserve"> Department of Health, NHS England (NHSE), Public Health England (PHE), National Institute for Health and Care Excellence (NICE), Joint Committee on Vaccination and Immunisation (JCVI), NHS Clinical Commissioners (NHSCC), Association of the British Pharmaceutical Industry (ABPI), Patients’ organisations</w:t>
      </w:r>
    </w:p>
  </w:footnote>
  <w:footnote w:id="4">
    <w:p w:rsidR="00CC12E4" w:rsidRDefault="00CC12E4">
      <w:pPr>
        <w:pStyle w:val="FootnoteText"/>
      </w:pPr>
      <w:r>
        <w:rPr>
          <w:rStyle w:val="FootnoteReference"/>
        </w:rPr>
        <w:footnoteRef/>
      </w:r>
      <w:r>
        <w:t xml:space="preserve"> </w:t>
      </w:r>
      <w:r w:rsidRPr="00243E7F">
        <w:t xml:space="preserve">This </w:t>
      </w:r>
      <w:r>
        <w:t>is</w:t>
      </w:r>
      <w:r w:rsidRPr="00243E7F">
        <w:t xml:space="preserve"> a variable interval method (where the expert identifies </w:t>
      </w:r>
      <w:r>
        <w:t>values for the quantity</w:t>
      </w:r>
      <w:r w:rsidRPr="00243E7F">
        <w:t xml:space="preserve"> that correspond to specified percentiles of his or her subjective distribution).</w:t>
      </w:r>
    </w:p>
  </w:footnote>
  <w:footnote w:id="5">
    <w:p w:rsidR="00CC12E4" w:rsidRPr="00871955" w:rsidRDefault="00CC12E4" w:rsidP="00CC12E4">
      <w:pPr>
        <w:pStyle w:val="FootnoteText"/>
      </w:pPr>
      <w:r>
        <w:rPr>
          <w:rStyle w:val="FootnoteReference"/>
        </w:rPr>
        <w:footnoteRef/>
      </w:r>
      <w:r>
        <w:t xml:space="preserve"> The lognormal distribution was chosen for positive quantities because a closed-form solution to the percentiles and the mode was available. When using two summaries from experts, the parameters of the Log-normal distribution could be directly evaluated, in closed form, and not requiring simulation. However, in some cases where a Log-Normal was fitted to a lower bound and mode from experts, there was no solution. In this case, minimum square errors were used to find the distribution parameters that provided the closest solution. This was implemented using the Solver Add-in of Excel, a simulation based procedure. </w:t>
      </w:r>
    </w:p>
  </w:footnote>
  <w:footnote w:id="6">
    <w:p w:rsidR="00CC12E4" w:rsidRDefault="00CC12E4" w:rsidP="00CC12E4">
      <w:pPr>
        <w:pStyle w:val="FootnoteText"/>
      </w:pPr>
      <w:r>
        <w:rPr>
          <w:rStyle w:val="FootnoteReference"/>
        </w:rPr>
        <w:footnoteRef/>
      </w:r>
      <w:r>
        <w:t xml:space="preserve"> Linear pooling takes the two (or more) distributions as two groups of the same population. Hence, the means and variances can be pooled directly using the following relations:</w:t>
      </w:r>
    </w:p>
    <w:p w:rsidR="00CC12E4" w:rsidRPr="00C73C4B" w:rsidRDefault="00234DB9" w:rsidP="00CC12E4">
      <w:pPr>
        <w:pStyle w:val="FootnoteText"/>
        <w:rPr>
          <w:rFonts w:eastAsiaTheme="minorEastAsia"/>
        </w:rPr>
      </w:pPr>
      <m:oMathPara>
        <m:oMath>
          <m:sSub>
            <m:sSubPr>
              <m:ctrlPr>
                <w:rPr>
                  <w:rFonts w:ascii="Cambria Math" w:hAnsi="Cambria Math"/>
                  <w:i/>
                </w:rPr>
              </m:ctrlPr>
            </m:sSubPr>
            <m:e>
              <m:r>
                <w:rPr>
                  <w:rFonts w:ascii="Cambria Math" w:hAnsi="Cambria Math"/>
                </w:rPr>
                <m:t>μ</m:t>
              </m:r>
            </m:e>
            <m:sub>
              <m:r>
                <w:rPr>
                  <w:rFonts w:ascii="Cambria Math" w:hAnsi="Cambria Math"/>
                </w:rPr>
                <m:t>pooled</m:t>
              </m:r>
            </m:sub>
          </m:sSub>
          <m:r>
            <w:rPr>
              <w:rFonts w:ascii="Cambria Math" w:hAnsi="Cambria Math"/>
            </w:rPr>
            <m:t>=</m:t>
          </m:r>
          <m:f>
            <m:fPr>
              <m:type m:val="lin"/>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2</m:t>
                  </m:r>
                </m:sub>
              </m:sSub>
              <m:r>
                <w:rPr>
                  <w:rFonts w:ascii="Cambria Math" w:hAnsi="Cambria Math"/>
                </w:rPr>
                <m:t>)</m:t>
              </m:r>
            </m:num>
            <m:den>
              <m:r>
                <w:rPr>
                  <w:rFonts w:ascii="Cambria Math" w:hAnsi="Cambria Math"/>
                </w:rPr>
                <m:t>2</m:t>
              </m:r>
            </m:den>
          </m:f>
        </m:oMath>
      </m:oMathPara>
    </w:p>
    <w:p w:rsidR="00CC12E4" w:rsidRPr="00C73C4B" w:rsidRDefault="00234DB9" w:rsidP="00CC12E4">
      <w:pPr>
        <w:pStyle w:val="FootnoteText"/>
        <w:rPr>
          <w:rFonts w:eastAsiaTheme="minorEastAsia"/>
        </w:rPr>
      </w:pPr>
      <m:oMathPara>
        <m:oMath>
          <m:sSub>
            <m:sSubPr>
              <m:ctrlPr>
                <w:rPr>
                  <w:rFonts w:ascii="Cambria Math" w:hAnsi="Cambria Math"/>
                  <w:i/>
                </w:rPr>
              </m:ctrlPr>
            </m:sSubPr>
            <m:e>
              <m:sSup>
                <m:sSupPr>
                  <m:ctrlPr>
                    <w:rPr>
                      <w:rFonts w:ascii="Cambria Math" w:hAnsi="Cambria Math"/>
                      <w:i/>
                    </w:rPr>
                  </m:ctrlPr>
                </m:sSupPr>
                <m:e>
                  <m:r>
                    <w:rPr>
                      <w:rFonts w:ascii="Cambria Math" w:hAnsi="Cambria Math"/>
                    </w:rPr>
                    <m:t>σ</m:t>
                  </m:r>
                </m:e>
                <m:sup>
                  <m:r>
                    <w:rPr>
                      <w:rFonts w:ascii="Cambria Math" w:hAnsi="Cambria Math"/>
                    </w:rPr>
                    <m:t>2</m:t>
                  </m:r>
                </m:sup>
              </m:sSup>
            </m:e>
            <m:sub>
              <m:r>
                <w:rPr>
                  <w:rFonts w:ascii="Cambria Math" w:hAnsi="Cambria Math"/>
                </w:rPr>
                <m:t>pooled</m:t>
              </m:r>
            </m:sub>
          </m:sSub>
          <m:r>
            <w:rPr>
              <w:rFonts w:ascii="Cambria Math" w:hAnsi="Cambria Math"/>
            </w:rPr>
            <m:t>=</m:t>
          </m:r>
          <m:f>
            <m:fPr>
              <m:type m:val="lin"/>
              <m:ctrlPr>
                <w:rPr>
                  <w:rFonts w:ascii="Cambria Math" w:hAnsi="Cambria Math"/>
                  <w:i/>
                </w:rPr>
              </m:ctrlPr>
            </m:fPr>
            <m:num>
              <m:r>
                <w:rPr>
                  <w:rFonts w:ascii="Cambria Math" w:hAnsi="Cambria Math"/>
                </w:rPr>
                <m:t>(</m:t>
              </m:r>
              <m:sSubSup>
                <m:sSubSupPr>
                  <m:ctrlPr>
                    <w:rPr>
                      <w:rFonts w:ascii="Cambria Math" w:hAnsi="Cambria Math"/>
                      <w:i/>
                    </w:rPr>
                  </m:ctrlPr>
                </m:sSubSupPr>
                <m:e>
                  <m:r>
                    <w:rPr>
                      <w:rFonts w:ascii="Cambria Math" w:hAnsi="Cambria Math"/>
                    </w:rPr>
                    <m:t>σ</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μ</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σ</m:t>
                  </m:r>
                </m:e>
                <m:sub>
                  <m:r>
                    <w:rPr>
                      <w:rFonts w:ascii="Cambria Math" w:hAnsi="Cambria Math"/>
                    </w:rPr>
                    <m:t>2</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μ</m:t>
                  </m:r>
                </m:e>
                <m:sub>
                  <m:r>
                    <w:rPr>
                      <w:rFonts w:ascii="Cambria Math" w:hAnsi="Cambria Math"/>
                    </w:rPr>
                    <m:t>2</m:t>
                  </m:r>
                </m:sub>
                <m:sup>
                  <m:r>
                    <w:rPr>
                      <w:rFonts w:ascii="Cambria Math" w:hAnsi="Cambria Math"/>
                    </w:rPr>
                    <m:t>2</m:t>
                  </m:r>
                </m:sup>
              </m:sSubSup>
              <m:r>
                <w:rPr>
                  <w:rFonts w:ascii="Cambria Math" w:hAnsi="Cambria Math"/>
                </w:rPr>
                <m:t>)</m:t>
              </m:r>
            </m:num>
            <m:den>
              <m:r>
                <w:rPr>
                  <w:rFonts w:ascii="Cambria Math" w:hAnsi="Cambria Math"/>
                </w:rPr>
                <m:t>2-</m:t>
              </m:r>
            </m:den>
          </m:f>
          <m:sSubSup>
            <m:sSubSupPr>
              <m:ctrlPr>
                <w:rPr>
                  <w:rFonts w:ascii="Cambria Math" w:hAnsi="Cambria Math"/>
                  <w:i/>
                </w:rPr>
              </m:ctrlPr>
            </m:sSubSupPr>
            <m:e>
              <m:r>
                <w:rPr>
                  <w:rFonts w:ascii="Cambria Math" w:hAnsi="Cambria Math"/>
                </w:rPr>
                <m:t>μ</m:t>
              </m:r>
            </m:e>
            <m:sub>
              <m:r>
                <w:rPr>
                  <w:rFonts w:ascii="Cambria Math" w:hAnsi="Cambria Math"/>
                </w:rPr>
                <m:t>pooled</m:t>
              </m:r>
            </m:sub>
            <m:sup>
              <m:r>
                <w:rPr>
                  <w:rFonts w:ascii="Cambria Math" w:hAnsi="Cambria Math"/>
                </w:rPr>
                <m:t>2</m:t>
              </m:r>
            </m:sup>
          </m:sSubSup>
        </m:oMath>
      </m:oMathPara>
    </w:p>
    <w:p w:rsidR="00CC12E4" w:rsidRDefault="00CC12E4" w:rsidP="00CC12E4">
      <w:pPr>
        <w:pStyle w:val="FootnoteText"/>
        <w:rPr>
          <w:rFonts w:eastAsiaTheme="minorEastAsia"/>
        </w:rPr>
      </w:pPr>
      <w:r>
        <w:t xml:space="preserve">where </w:t>
      </w:r>
      <m:oMath>
        <m:sSub>
          <m:sSubPr>
            <m:ctrlPr>
              <w:rPr>
                <w:rFonts w:ascii="Cambria Math" w:hAnsi="Cambria Math"/>
                <w:i/>
              </w:rPr>
            </m:ctrlPr>
          </m:sSubPr>
          <m:e>
            <m:r>
              <w:rPr>
                <w:rFonts w:ascii="Cambria Math" w:hAnsi="Cambria Math"/>
              </w:rPr>
              <m:t>μ</m:t>
            </m:r>
          </m:e>
          <m:sub>
            <m:r>
              <w:rPr>
                <w:rFonts w:ascii="Cambria Math" w:hAnsi="Cambria Math"/>
              </w:rPr>
              <m:t>1</m:t>
            </m:r>
          </m:sub>
        </m:sSub>
      </m:oMath>
      <w:r>
        <w:rPr>
          <w:rFonts w:eastAsiaTheme="minorEastAsia"/>
        </w:rPr>
        <w:t xml:space="preserve"> and </w:t>
      </w:r>
      <m:oMath>
        <m:sSubSup>
          <m:sSubSupPr>
            <m:ctrlPr>
              <w:rPr>
                <w:rFonts w:ascii="Cambria Math" w:hAnsi="Cambria Math"/>
                <w:i/>
              </w:rPr>
            </m:ctrlPr>
          </m:sSubSupPr>
          <m:e>
            <m:r>
              <w:rPr>
                <w:rFonts w:ascii="Cambria Math" w:hAnsi="Cambria Math"/>
              </w:rPr>
              <m:t>σ</m:t>
            </m:r>
          </m:e>
          <m:sub>
            <m:r>
              <w:rPr>
                <w:rFonts w:ascii="Cambria Math" w:hAnsi="Cambria Math"/>
              </w:rPr>
              <m:t>1</m:t>
            </m:r>
          </m:sub>
          <m:sup>
            <m:r>
              <w:rPr>
                <w:rFonts w:ascii="Cambria Math" w:hAnsi="Cambria Math"/>
              </w:rPr>
              <m:t>2</m:t>
            </m:r>
          </m:sup>
        </m:sSubSup>
      </m:oMath>
      <w:r>
        <w:rPr>
          <w:rFonts w:eastAsiaTheme="minorEastAsia"/>
        </w:rPr>
        <w:t xml:space="preserve">  are the mean and variance, respectively, of the first distribution, and </w:t>
      </w:r>
      <m:oMath>
        <m:sSub>
          <m:sSubPr>
            <m:ctrlPr>
              <w:rPr>
                <w:rFonts w:ascii="Cambria Math" w:hAnsi="Cambria Math"/>
                <w:i/>
              </w:rPr>
            </m:ctrlPr>
          </m:sSubPr>
          <m:e>
            <m:r>
              <w:rPr>
                <w:rFonts w:ascii="Cambria Math" w:hAnsi="Cambria Math"/>
              </w:rPr>
              <m:t>μ</m:t>
            </m:r>
          </m:e>
          <m:sub>
            <m:r>
              <w:rPr>
                <w:rFonts w:ascii="Cambria Math" w:hAnsi="Cambria Math"/>
              </w:rPr>
              <m:t>2</m:t>
            </m:r>
          </m:sub>
        </m:sSub>
      </m:oMath>
      <w:r>
        <w:rPr>
          <w:rFonts w:eastAsiaTheme="minorEastAsia"/>
        </w:rPr>
        <w:t xml:space="preserve"> and </w:t>
      </w:r>
      <m:oMath>
        <m:sSubSup>
          <m:sSubSupPr>
            <m:ctrlPr>
              <w:rPr>
                <w:rFonts w:ascii="Cambria Math" w:hAnsi="Cambria Math"/>
                <w:i/>
              </w:rPr>
            </m:ctrlPr>
          </m:sSubSupPr>
          <m:e>
            <m:r>
              <w:rPr>
                <w:rFonts w:ascii="Cambria Math" w:hAnsi="Cambria Math"/>
              </w:rPr>
              <m:t>σ</m:t>
            </m:r>
          </m:e>
          <m:sub>
            <m:r>
              <w:rPr>
                <w:rFonts w:ascii="Cambria Math" w:hAnsi="Cambria Math"/>
              </w:rPr>
              <m:t>2</m:t>
            </m:r>
          </m:sub>
          <m:sup>
            <m:r>
              <w:rPr>
                <w:rFonts w:ascii="Cambria Math" w:hAnsi="Cambria Math"/>
              </w:rPr>
              <m:t>2</m:t>
            </m:r>
          </m:sup>
        </m:sSubSup>
      </m:oMath>
      <w:r>
        <w:rPr>
          <w:rFonts w:eastAsiaTheme="minorEastAsia"/>
        </w:rPr>
        <w:t xml:space="preserve">  the mean and variance of the second distribution. Note that these two groups are equally weighted which, in this case, means the sample size of each is assumed equal and thus does not appear in the equations.</w:t>
      </w:r>
    </w:p>
    <w:p w:rsidR="00CC12E4" w:rsidRPr="001701B2" w:rsidRDefault="00CC12E4" w:rsidP="00CC12E4">
      <w:pPr>
        <w:pStyle w:val="FootnoteText"/>
        <w:rPr>
          <w:sz w:val="10"/>
        </w:rPr>
      </w:pPr>
    </w:p>
  </w:footnote>
  <w:footnote w:id="7">
    <w:p w:rsidR="00CC12E4" w:rsidRPr="00447B59" w:rsidRDefault="00CC12E4" w:rsidP="00CC12E4">
      <w:pPr>
        <w:pStyle w:val="Caption"/>
        <w:spacing w:after="0"/>
      </w:pPr>
      <w:r w:rsidRPr="00F46B0E">
        <w:rPr>
          <w:b w:val="0"/>
          <w:color w:val="000000" w:themeColor="text1"/>
        </w:rPr>
        <w:footnoteRef/>
      </w:r>
      <w:r w:rsidRPr="00F46B0E">
        <w:rPr>
          <w:b w:val="0"/>
          <w:color w:val="000000" w:themeColor="text1"/>
        </w:rPr>
        <w:t xml:space="preserve"> </w:t>
      </w:r>
      <w:r>
        <w:rPr>
          <w:b w:val="0"/>
          <w:color w:val="000000" w:themeColor="text1"/>
        </w:rPr>
        <w:t>Of</w:t>
      </w:r>
      <w:r w:rsidRPr="00F46B0E">
        <w:rPr>
          <w:b w:val="0"/>
          <w:color w:val="000000" w:themeColor="text1"/>
        </w:rPr>
        <w:t xml:space="preserve"> the 28 experts recruited</w:t>
      </w:r>
      <w:r>
        <w:rPr>
          <w:b w:val="0"/>
          <w:color w:val="000000" w:themeColor="text1"/>
        </w:rPr>
        <w:t>, 5 indicated c</w:t>
      </w:r>
      <w:r w:rsidRPr="00F46B0E">
        <w:rPr>
          <w:b w:val="0"/>
          <w:color w:val="000000" w:themeColor="text1"/>
        </w:rPr>
        <w:t>irculatory</w:t>
      </w:r>
      <w:r>
        <w:rPr>
          <w:b w:val="0"/>
          <w:color w:val="000000" w:themeColor="text1"/>
        </w:rPr>
        <w:t xml:space="preserve"> expertise, 2 respiratory, 3 gastrointestinal, 2 n</w:t>
      </w:r>
      <w:r w:rsidRPr="00F46B0E">
        <w:rPr>
          <w:b w:val="0"/>
          <w:color w:val="000000" w:themeColor="text1"/>
        </w:rPr>
        <w:t>eurological</w:t>
      </w:r>
      <w:r>
        <w:rPr>
          <w:b w:val="0"/>
          <w:color w:val="000000" w:themeColor="text1"/>
        </w:rPr>
        <w:t>, 3 e</w:t>
      </w:r>
      <w:r w:rsidRPr="00F46B0E">
        <w:rPr>
          <w:b w:val="0"/>
          <w:color w:val="000000" w:themeColor="text1"/>
        </w:rPr>
        <w:t>ndocrinology</w:t>
      </w:r>
      <w:r>
        <w:rPr>
          <w:b w:val="0"/>
          <w:color w:val="000000" w:themeColor="text1"/>
        </w:rPr>
        <w:t>, 3 m</w:t>
      </w:r>
      <w:r w:rsidRPr="00F46B0E">
        <w:rPr>
          <w:b w:val="0"/>
          <w:color w:val="000000" w:themeColor="text1"/>
        </w:rPr>
        <w:t>ental health</w:t>
      </w:r>
      <w:r>
        <w:rPr>
          <w:b w:val="0"/>
          <w:color w:val="000000" w:themeColor="text1"/>
        </w:rPr>
        <w:t>, 1 m</w:t>
      </w:r>
      <w:r w:rsidRPr="00F46B0E">
        <w:rPr>
          <w:b w:val="0"/>
          <w:color w:val="000000" w:themeColor="text1"/>
        </w:rPr>
        <w:t>usculoskeletal</w:t>
      </w:r>
      <w:r>
        <w:rPr>
          <w:b w:val="0"/>
          <w:color w:val="000000" w:themeColor="text1"/>
        </w:rPr>
        <w:t xml:space="preserve">, 3 primary </w:t>
      </w:r>
      <w:r w:rsidRPr="00F46B0E">
        <w:rPr>
          <w:b w:val="0"/>
          <w:color w:val="000000" w:themeColor="text1"/>
        </w:rPr>
        <w:t>care</w:t>
      </w:r>
      <w:r>
        <w:rPr>
          <w:b w:val="0"/>
          <w:color w:val="000000" w:themeColor="text1"/>
        </w:rPr>
        <w:t>, 5 indicated o</w:t>
      </w:r>
      <w:r w:rsidRPr="00F46B0E">
        <w:rPr>
          <w:b w:val="0"/>
          <w:color w:val="000000" w:themeColor="text1"/>
        </w:rPr>
        <w:t>ther</w:t>
      </w:r>
      <w:r>
        <w:rPr>
          <w:b w:val="0"/>
          <w:color w:val="000000" w:themeColor="text1"/>
        </w:rPr>
        <w:t xml:space="preserve"> and 3 indicated no clinical expertise. All except two individuals indicated only one area of expertise. Of these two, </w:t>
      </w:r>
      <w:r w:rsidRPr="0097219D">
        <w:rPr>
          <w:b w:val="0"/>
          <w:color w:val="000000" w:themeColor="text1"/>
        </w:rPr>
        <w:t>one indicated circulatory, neurological, musculoskeletal</w:t>
      </w:r>
      <w:r>
        <w:rPr>
          <w:b w:val="0"/>
          <w:color w:val="000000" w:themeColor="text1"/>
        </w:rPr>
        <w:t xml:space="preserve"> and </w:t>
      </w:r>
      <w:r w:rsidRPr="0097219D">
        <w:rPr>
          <w:b w:val="0"/>
          <w:color w:val="000000" w:themeColor="text1"/>
        </w:rPr>
        <w:t>other</w:t>
      </w:r>
      <w:r>
        <w:rPr>
          <w:b w:val="0"/>
          <w:color w:val="000000" w:themeColor="text1"/>
        </w:rPr>
        <w:t xml:space="preserve"> (</w:t>
      </w:r>
      <w:r w:rsidRPr="0097219D">
        <w:rPr>
          <w:b w:val="0"/>
          <w:color w:val="000000" w:themeColor="text1"/>
        </w:rPr>
        <w:t>rehabilitation</w:t>
      </w:r>
      <w:r>
        <w:rPr>
          <w:b w:val="0"/>
          <w:color w:val="000000" w:themeColor="text1"/>
        </w:rPr>
        <w:t>) and a</w:t>
      </w:r>
      <w:r w:rsidRPr="0097219D">
        <w:rPr>
          <w:b w:val="0"/>
          <w:color w:val="000000" w:themeColor="text1"/>
        </w:rPr>
        <w:t xml:space="preserve">nother indicated </w:t>
      </w:r>
      <w:r>
        <w:rPr>
          <w:b w:val="0"/>
          <w:color w:val="000000" w:themeColor="text1"/>
        </w:rPr>
        <w:t>r</w:t>
      </w:r>
      <w:r w:rsidRPr="0097219D">
        <w:rPr>
          <w:b w:val="0"/>
          <w:color w:val="000000" w:themeColor="text1"/>
        </w:rPr>
        <w:t>espiratory</w:t>
      </w:r>
      <w:r>
        <w:rPr>
          <w:b w:val="0"/>
          <w:color w:val="000000" w:themeColor="text1"/>
        </w:rPr>
        <w:t xml:space="preserve"> and</w:t>
      </w:r>
      <w:r w:rsidRPr="0097219D">
        <w:rPr>
          <w:b w:val="0"/>
          <w:color w:val="000000" w:themeColor="text1"/>
        </w:rPr>
        <w:t xml:space="preserve"> primary care</w:t>
      </w:r>
      <w:r>
        <w:rPr>
          <w:b w:val="0"/>
          <w:color w:val="000000" w:themeColor="text1"/>
        </w:rPr>
        <w:t>.</w:t>
      </w:r>
      <w:r w:rsidRPr="00422B22">
        <w:t xml:space="preserve">    </w:t>
      </w:r>
    </w:p>
    <w:p w:rsidR="00CC12E4" w:rsidRPr="00447B59" w:rsidRDefault="00CC12E4" w:rsidP="00CC12E4">
      <w:pPr>
        <w:spacing w:after="120"/>
        <w:rPr>
          <w:sz w:val="18"/>
          <w:szCs w:val="18"/>
        </w:rPr>
      </w:pPr>
    </w:p>
    <w:p w:rsidR="00CC12E4" w:rsidRDefault="00CC12E4">
      <w:pPr>
        <w:pStyle w:val="FootnoteText"/>
      </w:pPr>
    </w:p>
  </w:footnote>
  <w:footnote w:id="8">
    <w:p w:rsidR="00CC12E4" w:rsidRPr="001F1C87" w:rsidRDefault="00CC12E4" w:rsidP="00CC12E4">
      <w:pPr>
        <w:spacing w:after="0" w:line="240" w:lineRule="auto"/>
        <w:rPr>
          <w:rFonts w:cs="Arial"/>
          <w:sz w:val="18"/>
        </w:rPr>
      </w:pPr>
      <w:r w:rsidRPr="00830B21">
        <w:rPr>
          <w:rFonts w:cs="Arial"/>
          <w:sz w:val="18"/>
        </w:rPr>
        <w:footnoteRef/>
      </w:r>
      <w:r w:rsidRPr="00830B21">
        <w:rPr>
          <w:rFonts w:cs="Arial"/>
          <w:sz w:val="18"/>
        </w:rPr>
        <w:t xml:space="preserve"> </w:t>
      </w:r>
      <w:r>
        <w:rPr>
          <w:rFonts w:cs="Arial"/>
          <w:sz w:val="18"/>
        </w:rPr>
        <w:t xml:space="preserve">Affiliation: 15 of the individuals recruited belonged to </w:t>
      </w:r>
      <w:r w:rsidRPr="00830B21">
        <w:rPr>
          <w:rFonts w:cs="Arial"/>
          <w:sz w:val="18"/>
        </w:rPr>
        <w:t xml:space="preserve">Governmental Bodies </w:t>
      </w:r>
      <w:r>
        <w:rPr>
          <w:rFonts w:cs="Arial"/>
          <w:sz w:val="18"/>
        </w:rPr>
        <w:t xml:space="preserve">[such as </w:t>
      </w:r>
      <w:r w:rsidRPr="00E02804">
        <w:rPr>
          <w:rFonts w:cs="Arial"/>
          <w:sz w:val="18"/>
        </w:rPr>
        <w:t>Department of Health</w:t>
      </w:r>
      <w:r>
        <w:rPr>
          <w:rFonts w:cs="Arial"/>
          <w:sz w:val="18"/>
        </w:rPr>
        <w:t xml:space="preserve"> (DH), NHS England (NHSE), </w:t>
      </w:r>
      <w:r w:rsidRPr="00E02804">
        <w:rPr>
          <w:rFonts w:cs="Arial"/>
          <w:sz w:val="18"/>
        </w:rPr>
        <w:t>Public Health England (PHE)</w:t>
      </w:r>
      <w:r>
        <w:rPr>
          <w:rFonts w:cs="Arial"/>
          <w:sz w:val="18"/>
        </w:rPr>
        <w:t xml:space="preserve">], 5 to </w:t>
      </w:r>
      <w:r w:rsidRPr="00830B21">
        <w:rPr>
          <w:rFonts w:cs="Arial"/>
          <w:sz w:val="18"/>
        </w:rPr>
        <w:t xml:space="preserve">Non Departmental Public Bodies and Independent Departmental Expert Committees </w:t>
      </w:r>
      <w:r>
        <w:rPr>
          <w:rFonts w:cs="Arial"/>
          <w:sz w:val="18"/>
        </w:rPr>
        <w:t xml:space="preserve">[such as the </w:t>
      </w:r>
      <w:r w:rsidRPr="00E02804">
        <w:rPr>
          <w:rFonts w:cs="Arial"/>
          <w:sz w:val="18"/>
        </w:rPr>
        <w:t>National Institute for Health and Care Excellence (NICE)</w:t>
      </w:r>
      <w:r>
        <w:rPr>
          <w:rFonts w:cs="Arial"/>
          <w:sz w:val="18"/>
        </w:rPr>
        <w:t xml:space="preserve"> or the </w:t>
      </w:r>
      <w:r w:rsidRPr="00E02804">
        <w:rPr>
          <w:rFonts w:cs="Arial"/>
          <w:sz w:val="18"/>
        </w:rPr>
        <w:t>Joint Committee on Vacc</w:t>
      </w:r>
      <w:r>
        <w:rPr>
          <w:rFonts w:cs="Arial"/>
          <w:sz w:val="18"/>
        </w:rPr>
        <w:t xml:space="preserve">ination and Immunisation (JCVI)], 2 to </w:t>
      </w:r>
      <w:r w:rsidRPr="00830B21">
        <w:rPr>
          <w:rFonts w:cs="Arial"/>
          <w:sz w:val="18"/>
        </w:rPr>
        <w:t xml:space="preserve">Industry-related bodies </w:t>
      </w:r>
      <w:r>
        <w:rPr>
          <w:rFonts w:cs="Arial"/>
          <w:sz w:val="18"/>
        </w:rPr>
        <w:t>[</w:t>
      </w:r>
      <w:r w:rsidRPr="00E02804">
        <w:rPr>
          <w:rFonts w:cs="Arial"/>
          <w:sz w:val="18"/>
        </w:rPr>
        <w:t>Association of the British Pharmaceutical</w:t>
      </w:r>
      <w:r>
        <w:rPr>
          <w:rFonts w:cs="Arial"/>
          <w:sz w:val="18"/>
        </w:rPr>
        <w:t xml:space="preserve"> Industry (ABPI)], </w:t>
      </w:r>
      <w:r w:rsidRPr="00830B21">
        <w:rPr>
          <w:rFonts w:cs="Arial"/>
          <w:sz w:val="18"/>
        </w:rPr>
        <w:t>2</w:t>
      </w:r>
      <w:r>
        <w:rPr>
          <w:rFonts w:cs="Arial"/>
          <w:sz w:val="18"/>
        </w:rPr>
        <w:t xml:space="preserve"> to </w:t>
      </w:r>
      <w:r w:rsidRPr="00830B21">
        <w:rPr>
          <w:rFonts w:cs="Arial"/>
          <w:sz w:val="18"/>
        </w:rPr>
        <w:t>Patient representative organisations</w:t>
      </w:r>
      <w:r>
        <w:rPr>
          <w:rFonts w:cs="Arial"/>
          <w:sz w:val="18"/>
        </w:rPr>
        <w:t xml:space="preserve"> and 2 indicated Other. Of these o</w:t>
      </w:r>
      <w:r w:rsidRPr="00776935">
        <w:rPr>
          <w:rFonts w:cs="Arial"/>
          <w:sz w:val="18"/>
        </w:rPr>
        <w:t>ne individual indicated as the sole policy organisation an NHS Clinical Commissioning Group</w:t>
      </w:r>
      <w:r>
        <w:rPr>
          <w:rFonts w:cs="Arial"/>
          <w:sz w:val="18"/>
        </w:rPr>
        <w:t xml:space="preserve"> (NHSCC)</w:t>
      </w:r>
      <w:r w:rsidRPr="00776935">
        <w:rPr>
          <w:rFonts w:cs="Arial"/>
          <w:sz w:val="18"/>
        </w:rPr>
        <w:t>. Another individual used the ‘other’ field to be more specific about being a lay member in an independent expert committee.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75219"/>
    <w:multiLevelType w:val="hybridMultilevel"/>
    <w:tmpl w:val="8FA2AF48"/>
    <w:lvl w:ilvl="0" w:tplc="08090001">
      <w:start w:val="1"/>
      <w:numFmt w:val="bullet"/>
      <w:lvlText w:val=""/>
      <w:lvlJc w:val="left"/>
      <w:pPr>
        <w:ind w:left="814" w:hanging="360"/>
      </w:pPr>
      <w:rPr>
        <w:rFonts w:ascii="Symbol" w:hAnsi="Symbol" w:hint="default"/>
      </w:rPr>
    </w:lvl>
    <w:lvl w:ilvl="1" w:tplc="08090003">
      <w:start w:val="1"/>
      <w:numFmt w:val="bullet"/>
      <w:lvlText w:val="o"/>
      <w:lvlJc w:val="left"/>
      <w:pPr>
        <w:ind w:left="1534" w:hanging="360"/>
      </w:pPr>
      <w:rPr>
        <w:rFonts w:ascii="Courier New" w:hAnsi="Courier New" w:cs="Courier New" w:hint="default"/>
      </w:rPr>
    </w:lvl>
    <w:lvl w:ilvl="2" w:tplc="08090005">
      <w:start w:val="1"/>
      <w:numFmt w:val="bullet"/>
      <w:lvlText w:val=""/>
      <w:lvlJc w:val="left"/>
      <w:pPr>
        <w:ind w:left="2254" w:hanging="360"/>
      </w:pPr>
      <w:rPr>
        <w:rFonts w:ascii="Wingdings" w:hAnsi="Wingdings" w:hint="default"/>
      </w:rPr>
    </w:lvl>
    <w:lvl w:ilvl="3" w:tplc="08090001">
      <w:start w:val="1"/>
      <w:numFmt w:val="bullet"/>
      <w:lvlText w:val=""/>
      <w:lvlJc w:val="left"/>
      <w:pPr>
        <w:ind w:left="2974" w:hanging="360"/>
      </w:pPr>
      <w:rPr>
        <w:rFonts w:ascii="Symbol" w:hAnsi="Symbol" w:hint="default"/>
      </w:rPr>
    </w:lvl>
    <w:lvl w:ilvl="4" w:tplc="08090003">
      <w:start w:val="1"/>
      <w:numFmt w:val="bullet"/>
      <w:lvlText w:val="o"/>
      <w:lvlJc w:val="left"/>
      <w:pPr>
        <w:ind w:left="3694" w:hanging="360"/>
      </w:pPr>
      <w:rPr>
        <w:rFonts w:ascii="Courier New" w:hAnsi="Courier New" w:cs="Courier New" w:hint="default"/>
      </w:rPr>
    </w:lvl>
    <w:lvl w:ilvl="5" w:tplc="08090005">
      <w:start w:val="1"/>
      <w:numFmt w:val="bullet"/>
      <w:lvlText w:val=""/>
      <w:lvlJc w:val="left"/>
      <w:pPr>
        <w:ind w:left="4414" w:hanging="360"/>
      </w:pPr>
      <w:rPr>
        <w:rFonts w:ascii="Wingdings" w:hAnsi="Wingdings" w:hint="default"/>
      </w:rPr>
    </w:lvl>
    <w:lvl w:ilvl="6" w:tplc="08090001">
      <w:start w:val="1"/>
      <w:numFmt w:val="bullet"/>
      <w:lvlText w:val=""/>
      <w:lvlJc w:val="left"/>
      <w:pPr>
        <w:ind w:left="5134" w:hanging="360"/>
      </w:pPr>
      <w:rPr>
        <w:rFonts w:ascii="Symbol" w:hAnsi="Symbol" w:hint="default"/>
      </w:rPr>
    </w:lvl>
    <w:lvl w:ilvl="7" w:tplc="08090003">
      <w:start w:val="1"/>
      <w:numFmt w:val="bullet"/>
      <w:lvlText w:val="o"/>
      <w:lvlJc w:val="left"/>
      <w:pPr>
        <w:ind w:left="5854" w:hanging="360"/>
      </w:pPr>
      <w:rPr>
        <w:rFonts w:ascii="Courier New" w:hAnsi="Courier New" w:cs="Courier New" w:hint="default"/>
      </w:rPr>
    </w:lvl>
    <w:lvl w:ilvl="8" w:tplc="08090005">
      <w:start w:val="1"/>
      <w:numFmt w:val="bullet"/>
      <w:lvlText w:val=""/>
      <w:lvlJc w:val="left"/>
      <w:pPr>
        <w:ind w:left="6574" w:hanging="360"/>
      </w:pPr>
      <w:rPr>
        <w:rFonts w:ascii="Wingdings" w:hAnsi="Wingdings" w:hint="default"/>
      </w:rPr>
    </w:lvl>
  </w:abstractNum>
  <w:abstractNum w:abstractNumId="1" w15:restartNumberingAfterBreak="0">
    <w:nsid w:val="0693719D"/>
    <w:multiLevelType w:val="multilevel"/>
    <w:tmpl w:val="2B302214"/>
    <w:lvl w:ilvl="0">
      <w:start w:val="1"/>
      <w:numFmt w:val="decimal"/>
      <w:lvlText w:val="%1."/>
      <w:lvlJc w:val="left"/>
      <w:pPr>
        <w:ind w:left="720" w:hanging="360"/>
      </w:pPr>
      <w:rPr>
        <w:rFonts w:hint="default"/>
      </w:rPr>
    </w:lvl>
    <w:lvl w:ilvl="1">
      <w:start w:val="1"/>
      <w:numFmt w:val="upperRoman"/>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8584958"/>
    <w:multiLevelType w:val="hybridMultilevel"/>
    <w:tmpl w:val="A33CD0A6"/>
    <w:lvl w:ilvl="0" w:tplc="F4C2592E">
      <w:start w:val="1"/>
      <w:numFmt w:val="upperRoman"/>
      <w:lvlText w:val="%1."/>
      <w:lvlJc w:val="left"/>
      <w:pPr>
        <w:ind w:left="1080" w:hanging="72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1A686E"/>
    <w:multiLevelType w:val="hybridMultilevel"/>
    <w:tmpl w:val="79CE6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8199F"/>
    <w:multiLevelType w:val="multilevel"/>
    <w:tmpl w:val="5E5669FE"/>
    <w:lvl w:ilvl="0">
      <w:start w:val="1"/>
      <w:numFmt w:val="decimal"/>
      <w:lvlText w:val="%1."/>
      <w:lvlJc w:val="left"/>
      <w:pPr>
        <w:ind w:left="720" w:hanging="360"/>
      </w:pPr>
      <w:rPr>
        <w:rFonts w:hint="default"/>
      </w:rPr>
    </w:lvl>
    <w:lvl w:ilvl="1">
      <w:start w:val="1"/>
      <w:numFmt w:val="lowerRoman"/>
      <w:lvlText w:val="%2."/>
      <w:lvlJc w:val="righ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0EB20797"/>
    <w:multiLevelType w:val="hybridMultilevel"/>
    <w:tmpl w:val="0B609FAA"/>
    <w:lvl w:ilvl="0" w:tplc="F31AF7E8">
      <w:start w:val="2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32BAD"/>
    <w:multiLevelType w:val="hybridMultilevel"/>
    <w:tmpl w:val="8B0CE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501514"/>
    <w:multiLevelType w:val="hybridMultilevel"/>
    <w:tmpl w:val="96607708"/>
    <w:lvl w:ilvl="0" w:tplc="7C78A8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9B48D8"/>
    <w:multiLevelType w:val="hybridMultilevel"/>
    <w:tmpl w:val="744270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FF59EC"/>
    <w:multiLevelType w:val="hybridMultilevel"/>
    <w:tmpl w:val="D408D208"/>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2E0B86"/>
    <w:multiLevelType w:val="hybridMultilevel"/>
    <w:tmpl w:val="744270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FE3819"/>
    <w:multiLevelType w:val="multilevel"/>
    <w:tmpl w:val="9D3C938C"/>
    <w:lvl w:ilvl="0">
      <w:start w:val="1"/>
      <w:numFmt w:val="decimal"/>
      <w:lvlText w:val="%1."/>
      <w:lvlJc w:val="left"/>
      <w:pPr>
        <w:ind w:left="720" w:hanging="360"/>
      </w:pPr>
      <w:rPr>
        <w:rFonts w:hint="default"/>
      </w:rPr>
    </w:lvl>
    <w:lvl w:ilvl="1">
      <w:start w:val="1"/>
      <w:numFmt w:val="upperRoman"/>
      <w:lvlText w:val="%2."/>
      <w:lvlJc w:val="righ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296F37D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B35DD6"/>
    <w:multiLevelType w:val="hybridMultilevel"/>
    <w:tmpl w:val="49022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DB0F24"/>
    <w:multiLevelType w:val="multilevel"/>
    <w:tmpl w:val="1B7E2F90"/>
    <w:lvl w:ilvl="0">
      <w:start w:val="1"/>
      <w:numFmt w:val="decimal"/>
      <w:lvlText w:val="%1."/>
      <w:lvlJc w:val="left"/>
      <w:pPr>
        <w:ind w:left="720" w:hanging="360"/>
      </w:pPr>
      <w:rPr>
        <w:rFonts w:hint="default"/>
      </w:rPr>
    </w:lvl>
    <w:lvl w:ilvl="1">
      <w:start w:val="1"/>
      <w:numFmt w:val="upperRoman"/>
      <w:lvlText w:val="%2."/>
      <w:lvlJc w:val="righ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 w15:restartNumberingAfterBreak="0">
    <w:nsid w:val="2E0C3660"/>
    <w:multiLevelType w:val="hybridMultilevel"/>
    <w:tmpl w:val="744270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F92B74"/>
    <w:multiLevelType w:val="multilevel"/>
    <w:tmpl w:val="C8F27750"/>
    <w:lvl w:ilvl="0">
      <w:start w:val="1"/>
      <w:numFmt w:val="decimal"/>
      <w:lvlText w:val="A%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1967B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1CF1C18"/>
    <w:multiLevelType w:val="hybridMultilevel"/>
    <w:tmpl w:val="EAB83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D53EEB"/>
    <w:multiLevelType w:val="multilevel"/>
    <w:tmpl w:val="2B302214"/>
    <w:lvl w:ilvl="0">
      <w:start w:val="1"/>
      <w:numFmt w:val="decimal"/>
      <w:lvlText w:val="%1."/>
      <w:lvlJc w:val="left"/>
      <w:pPr>
        <w:ind w:left="720" w:hanging="360"/>
      </w:pPr>
      <w:rPr>
        <w:rFonts w:hint="default"/>
      </w:rPr>
    </w:lvl>
    <w:lvl w:ilvl="1">
      <w:start w:val="1"/>
      <w:numFmt w:val="upperRoman"/>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15:restartNumberingAfterBreak="0">
    <w:nsid w:val="411F7C8B"/>
    <w:multiLevelType w:val="hybridMultilevel"/>
    <w:tmpl w:val="49CC6D6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44E53D3B"/>
    <w:multiLevelType w:val="hybridMultilevel"/>
    <w:tmpl w:val="9572D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236C1B"/>
    <w:multiLevelType w:val="hybridMultilevel"/>
    <w:tmpl w:val="AAE826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361BDD"/>
    <w:multiLevelType w:val="multilevel"/>
    <w:tmpl w:val="0EF2C6D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53121A70"/>
    <w:multiLevelType w:val="hybridMultilevel"/>
    <w:tmpl w:val="FD52C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410D3B"/>
    <w:multiLevelType w:val="hybridMultilevel"/>
    <w:tmpl w:val="F9C82F8C"/>
    <w:lvl w:ilvl="0" w:tplc="8D101DA0">
      <w:start w:val="1"/>
      <w:numFmt w:val="upperLetter"/>
      <w:lvlText w:val="(%1)"/>
      <w:lvlJc w:val="left"/>
      <w:pPr>
        <w:ind w:left="1755" w:hanging="103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8F02F00"/>
    <w:multiLevelType w:val="hybridMultilevel"/>
    <w:tmpl w:val="9F76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B44F56"/>
    <w:multiLevelType w:val="multilevel"/>
    <w:tmpl w:val="AE5476FE"/>
    <w:lvl w:ilvl="0">
      <w:start w:val="1"/>
      <w:numFmt w:val="decimal"/>
      <w:lvlText w:val="%1."/>
      <w:lvlJc w:val="left"/>
      <w:pPr>
        <w:ind w:left="720" w:hanging="360"/>
      </w:pPr>
      <w:rPr>
        <w:rFonts w:hint="default"/>
      </w:rPr>
    </w:lvl>
    <w:lvl w:ilvl="1">
      <w:start w:val="1"/>
      <w:numFmt w:val="upperRoman"/>
      <w:lvlText w:val="%2."/>
      <w:lvlJc w:val="righ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15:restartNumberingAfterBreak="0">
    <w:nsid w:val="5FDF28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02837C2"/>
    <w:multiLevelType w:val="hybridMultilevel"/>
    <w:tmpl w:val="9E580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6136D7"/>
    <w:multiLevelType w:val="hybridMultilevel"/>
    <w:tmpl w:val="2D04380C"/>
    <w:lvl w:ilvl="0" w:tplc="04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61F53C77"/>
    <w:multiLevelType w:val="hybridMultilevel"/>
    <w:tmpl w:val="C2F24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C449A8"/>
    <w:multiLevelType w:val="hybridMultilevel"/>
    <w:tmpl w:val="EE140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DE4D91"/>
    <w:multiLevelType w:val="hybridMultilevel"/>
    <w:tmpl w:val="151E98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FC18F9"/>
    <w:multiLevelType w:val="hybridMultilevel"/>
    <w:tmpl w:val="8168F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6B0209"/>
    <w:multiLevelType w:val="hybridMultilevel"/>
    <w:tmpl w:val="98686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7920E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D937D22"/>
    <w:multiLevelType w:val="multilevel"/>
    <w:tmpl w:val="2B302214"/>
    <w:lvl w:ilvl="0">
      <w:start w:val="1"/>
      <w:numFmt w:val="decimal"/>
      <w:lvlText w:val="%1."/>
      <w:lvlJc w:val="left"/>
      <w:pPr>
        <w:ind w:left="720" w:hanging="360"/>
      </w:pPr>
      <w:rPr>
        <w:rFonts w:hint="default"/>
      </w:rPr>
    </w:lvl>
    <w:lvl w:ilvl="1">
      <w:start w:val="1"/>
      <w:numFmt w:val="upperRoman"/>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8" w15:restartNumberingAfterBreak="0">
    <w:nsid w:val="6F0143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4787F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7D86FCE"/>
    <w:multiLevelType w:val="hybridMultilevel"/>
    <w:tmpl w:val="16DC3CA6"/>
    <w:lvl w:ilvl="0" w:tplc="01987F4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C820B4"/>
    <w:multiLevelType w:val="hybridMultilevel"/>
    <w:tmpl w:val="C180F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B22FD6"/>
    <w:multiLevelType w:val="hybridMultilevel"/>
    <w:tmpl w:val="C1765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41"/>
  </w:num>
  <w:num w:numId="3">
    <w:abstractNumId w:val="9"/>
  </w:num>
  <w:num w:numId="4">
    <w:abstractNumId w:val="4"/>
  </w:num>
  <w:num w:numId="5">
    <w:abstractNumId w:val="27"/>
  </w:num>
  <w:num w:numId="6">
    <w:abstractNumId w:val="11"/>
  </w:num>
  <w:num w:numId="7">
    <w:abstractNumId w:val="14"/>
  </w:num>
  <w:num w:numId="8">
    <w:abstractNumId w:val="19"/>
  </w:num>
  <w:num w:numId="9">
    <w:abstractNumId w:val="21"/>
  </w:num>
  <w:num w:numId="10">
    <w:abstractNumId w:val="37"/>
  </w:num>
  <w:num w:numId="11">
    <w:abstractNumId w:val="1"/>
  </w:num>
  <w:num w:numId="12">
    <w:abstractNumId w:val="20"/>
  </w:num>
  <w:num w:numId="13">
    <w:abstractNumId w:val="22"/>
  </w:num>
  <w:num w:numId="14">
    <w:abstractNumId w:val="2"/>
  </w:num>
  <w:num w:numId="15">
    <w:abstractNumId w:val="13"/>
  </w:num>
  <w:num w:numId="16">
    <w:abstractNumId w:val="33"/>
  </w:num>
  <w:num w:numId="17">
    <w:abstractNumId w:val="38"/>
  </w:num>
  <w:num w:numId="18">
    <w:abstractNumId w:val="3"/>
  </w:num>
  <w:num w:numId="19">
    <w:abstractNumId w:val="6"/>
  </w:num>
  <w:num w:numId="20">
    <w:abstractNumId w:val="36"/>
  </w:num>
  <w:num w:numId="21">
    <w:abstractNumId w:val="12"/>
  </w:num>
  <w:num w:numId="22">
    <w:abstractNumId w:val="16"/>
  </w:num>
  <w:num w:numId="23">
    <w:abstractNumId w:val="26"/>
  </w:num>
  <w:num w:numId="24">
    <w:abstractNumId w:val="35"/>
  </w:num>
  <w:num w:numId="25">
    <w:abstractNumId w:val="30"/>
  </w:num>
  <w:num w:numId="26">
    <w:abstractNumId w:val="25"/>
  </w:num>
  <w:num w:numId="27">
    <w:abstractNumId w:val="31"/>
  </w:num>
  <w:num w:numId="28">
    <w:abstractNumId w:val="40"/>
  </w:num>
  <w:num w:numId="29">
    <w:abstractNumId w:val="7"/>
  </w:num>
  <w:num w:numId="30">
    <w:abstractNumId w:val="24"/>
  </w:num>
  <w:num w:numId="31">
    <w:abstractNumId w:val="28"/>
  </w:num>
  <w:num w:numId="32">
    <w:abstractNumId w:val="17"/>
  </w:num>
  <w:num w:numId="33">
    <w:abstractNumId w:val="39"/>
  </w:num>
  <w:num w:numId="34">
    <w:abstractNumId w:val="0"/>
  </w:num>
  <w:num w:numId="35">
    <w:abstractNumId w:val="42"/>
  </w:num>
  <w:num w:numId="36">
    <w:abstractNumId w:val="10"/>
  </w:num>
  <w:num w:numId="37">
    <w:abstractNumId w:val="15"/>
  </w:num>
  <w:num w:numId="38">
    <w:abstractNumId w:val="8"/>
  </w:num>
  <w:num w:numId="39">
    <w:abstractNumId w:val="18"/>
  </w:num>
  <w:num w:numId="40">
    <w:abstractNumId w:val="29"/>
  </w:num>
  <w:num w:numId="41">
    <w:abstractNumId w:val="34"/>
  </w:num>
  <w:num w:numId="42">
    <w:abstractNumId w:val="32"/>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68753E"/>
    <w:rsid w:val="00105585"/>
    <w:rsid w:val="001C5F2C"/>
    <w:rsid w:val="001D38DB"/>
    <w:rsid w:val="00234DB9"/>
    <w:rsid w:val="0028035E"/>
    <w:rsid w:val="002835CA"/>
    <w:rsid w:val="0037055D"/>
    <w:rsid w:val="0037248F"/>
    <w:rsid w:val="003C415D"/>
    <w:rsid w:val="00400599"/>
    <w:rsid w:val="00484C46"/>
    <w:rsid w:val="004A68E9"/>
    <w:rsid w:val="005E25D7"/>
    <w:rsid w:val="0068753E"/>
    <w:rsid w:val="00705D13"/>
    <w:rsid w:val="00744EC8"/>
    <w:rsid w:val="007D43DD"/>
    <w:rsid w:val="007E51C2"/>
    <w:rsid w:val="008B469B"/>
    <w:rsid w:val="008E605A"/>
    <w:rsid w:val="00937EA9"/>
    <w:rsid w:val="00944932"/>
    <w:rsid w:val="009F41BE"/>
    <w:rsid w:val="00A26A35"/>
    <w:rsid w:val="00CC12E4"/>
    <w:rsid w:val="00CE7B4C"/>
    <w:rsid w:val="00D60C15"/>
    <w:rsid w:val="00D642C5"/>
    <w:rsid w:val="00D930DE"/>
    <w:rsid w:val="00DA562E"/>
    <w:rsid w:val="00DB0674"/>
    <w:rsid w:val="00E23D2B"/>
    <w:rsid w:val="00F730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27DA8B-D755-4F46-ADA1-DB41788D9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53E"/>
    <w:pPr>
      <w:spacing w:after="200" w:line="276" w:lineRule="auto"/>
    </w:pPr>
  </w:style>
  <w:style w:type="paragraph" w:styleId="Heading1">
    <w:name w:val="heading 1"/>
    <w:basedOn w:val="Normal"/>
    <w:next w:val="Normal"/>
    <w:link w:val="Heading1Char"/>
    <w:uiPriority w:val="9"/>
    <w:qFormat/>
    <w:rsid w:val="0068753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53E"/>
    <w:rPr>
      <w:rFonts w:asciiTheme="majorHAnsi" w:eastAsiaTheme="majorEastAsia" w:hAnsiTheme="majorHAnsi" w:cstheme="majorBidi"/>
      <w:b/>
      <w:bCs/>
      <w:color w:val="2E74B5" w:themeColor="accent1" w:themeShade="BF"/>
      <w:sz w:val="28"/>
      <w:szCs w:val="28"/>
    </w:rPr>
  </w:style>
  <w:style w:type="table" w:styleId="TableGrid">
    <w:name w:val="Table Grid"/>
    <w:basedOn w:val="TableNormal"/>
    <w:uiPriority w:val="59"/>
    <w:rsid w:val="00687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753E"/>
    <w:pPr>
      <w:ind w:left="720"/>
      <w:contextualSpacing/>
    </w:pPr>
  </w:style>
  <w:style w:type="paragraph" w:styleId="Header">
    <w:name w:val="header"/>
    <w:basedOn w:val="Normal"/>
    <w:link w:val="HeaderChar"/>
    <w:uiPriority w:val="99"/>
    <w:unhideWhenUsed/>
    <w:rsid w:val="006875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53E"/>
  </w:style>
  <w:style w:type="paragraph" w:styleId="Footer">
    <w:name w:val="footer"/>
    <w:basedOn w:val="Normal"/>
    <w:link w:val="FooterChar"/>
    <w:uiPriority w:val="99"/>
    <w:unhideWhenUsed/>
    <w:rsid w:val="006875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53E"/>
  </w:style>
  <w:style w:type="paragraph" w:styleId="BalloonText">
    <w:name w:val="Balloon Text"/>
    <w:basedOn w:val="Normal"/>
    <w:link w:val="BalloonTextChar"/>
    <w:uiPriority w:val="99"/>
    <w:semiHidden/>
    <w:unhideWhenUsed/>
    <w:rsid w:val="00687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53E"/>
    <w:rPr>
      <w:rFonts w:ascii="Tahoma" w:hAnsi="Tahoma" w:cs="Tahoma"/>
      <w:sz w:val="16"/>
      <w:szCs w:val="16"/>
    </w:rPr>
  </w:style>
  <w:style w:type="character" w:styleId="CommentReference">
    <w:name w:val="annotation reference"/>
    <w:basedOn w:val="DefaultParagraphFont"/>
    <w:uiPriority w:val="99"/>
    <w:semiHidden/>
    <w:unhideWhenUsed/>
    <w:rsid w:val="0068753E"/>
    <w:rPr>
      <w:sz w:val="16"/>
      <w:szCs w:val="16"/>
    </w:rPr>
  </w:style>
  <w:style w:type="paragraph" w:styleId="CommentText">
    <w:name w:val="annotation text"/>
    <w:basedOn w:val="Normal"/>
    <w:link w:val="CommentTextChar"/>
    <w:uiPriority w:val="99"/>
    <w:semiHidden/>
    <w:unhideWhenUsed/>
    <w:rsid w:val="0068753E"/>
    <w:pPr>
      <w:spacing w:line="240" w:lineRule="auto"/>
    </w:pPr>
    <w:rPr>
      <w:sz w:val="20"/>
      <w:szCs w:val="20"/>
    </w:rPr>
  </w:style>
  <w:style w:type="character" w:customStyle="1" w:styleId="CommentTextChar">
    <w:name w:val="Comment Text Char"/>
    <w:basedOn w:val="DefaultParagraphFont"/>
    <w:link w:val="CommentText"/>
    <w:uiPriority w:val="99"/>
    <w:semiHidden/>
    <w:rsid w:val="0068753E"/>
    <w:rPr>
      <w:sz w:val="20"/>
      <w:szCs w:val="20"/>
    </w:rPr>
  </w:style>
  <w:style w:type="paragraph" w:styleId="CommentSubject">
    <w:name w:val="annotation subject"/>
    <w:basedOn w:val="CommentText"/>
    <w:next w:val="CommentText"/>
    <w:link w:val="CommentSubjectChar"/>
    <w:uiPriority w:val="99"/>
    <w:semiHidden/>
    <w:unhideWhenUsed/>
    <w:rsid w:val="0068753E"/>
    <w:rPr>
      <w:b/>
      <w:bCs/>
    </w:rPr>
  </w:style>
  <w:style w:type="character" w:customStyle="1" w:styleId="CommentSubjectChar">
    <w:name w:val="Comment Subject Char"/>
    <w:basedOn w:val="CommentTextChar"/>
    <w:link w:val="CommentSubject"/>
    <w:uiPriority w:val="99"/>
    <w:semiHidden/>
    <w:rsid w:val="0068753E"/>
    <w:rPr>
      <w:b/>
      <w:bCs/>
      <w:sz w:val="20"/>
      <w:szCs w:val="20"/>
    </w:rPr>
  </w:style>
  <w:style w:type="paragraph" w:styleId="Revision">
    <w:name w:val="Revision"/>
    <w:hidden/>
    <w:uiPriority w:val="99"/>
    <w:semiHidden/>
    <w:rsid w:val="0068753E"/>
    <w:pPr>
      <w:spacing w:after="0" w:line="240" w:lineRule="auto"/>
    </w:pPr>
  </w:style>
  <w:style w:type="character" w:styleId="PlaceholderText">
    <w:name w:val="Placeholder Text"/>
    <w:basedOn w:val="DefaultParagraphFont"/>
    <w:uiPriority w:val="99"/>
    <w:semiHidden/>
    <w:rsid w:val="0068753E"/>
    <w:rPr>
      <w:color w:val="808080"/>
    </w:rPr>
  </w:style>
  <w:style w:type="paragraph" w:styleId="FootnoteText">
    <w:name w:val="footnote text"/>
    <w:basedOn w:val="Normal"/>
    <w:link w:val="FootnoteTextChar"/>
    <w:uiPriority w:val="99"/>
    <w:unhideWhenUsed/>
    <w:rsid w:val="0068753E"/>
    <w:pPr>
      <w:spacing w:after="0" w:line="240" w:lineRule="auto"/>
    </w:pPr>
    <w:rPr>
      <w:sz w:val="20"/>
      <w:szCs w:val="20"/>
    </w:rPr>
  </w:style>
  <w:style w:type="character" w:customStyle="1" w:styleId="FootnoteTextChar">
    <w:name w:val="Footnote Text Char"/>
    <w:basedOn w:val="DefaultParagraphFont"/>
    <w:link w:val="FootnoteText"/>
    <w:uiPriority w:val="99"/>
    <w:rsid w:val="0068753E"/>
    <w:rPr>
      <w:sz w:val="20"/>
      <w:szCs w:val="20"/>
    </w:rPr>
  </w:style>
  <w:style w:type="character" w:styleId="FootnoteReference">
    <w:name w:val="footnote reference"/>
    <w:basedOn w:val="DefaultParagraphFont"/>
    <w:uiPriority w:val="99"/>
    <w:semiHidden/>
    <w:unhideWhenUsed/>
    <w:rsid w:val="0068753E"/>
    <w:rPr>
      <w:vertAlign w:val="superscript"/>
    </w:rPr>
  </w:style>
  <w:style w:type="paragraph" w:styleId="Caption">
    <w:name w:val="caption"/>
    <w:basedOn w:val="Normal"/>
    <w:next w:val="Normal"/>
    <w:uiPriority w:val="35"/>
    <w:unhideWhenUsed/>
    <w:qFormat/>
    <w:rsid w:val="0068753E"/>
    <w:pPr>
      <w:spacing w:line="240" w:lineRule="auto"/>
    </w:pPr>
    <w:rPr>
      <w:b/>
      <w:bCs/>
      <w:color w:val="5B9BD5" w:themeColor="accent1"/>
      <w:sz w:val="18"/>
      <w:szCs w:val="18"/>
    </w:rPr>
  </w:style>
  <w:style w:type="character" w:styleId="Hyperlink">
    <w:name w:val="Hyperlink"/>
    <w:basedOn w:val="DefaultParagraphFont"/>
    <w:uiPriority w:val="99"/>
    <w:unhideWhenUsed/>
    <w:rsid w:val="0068753E"/>
    <w:rPr>
      <w:color w:val="0563C1" w:themeColor="hyperlink"/>
      <w:u w:val="single"/>
    </w:rPr>
  </w:style>
  <w:style w:type="paragraph" w:customStyle="1" w:styleId="Default">
    <w:name w:val="Default"/>
    <w:rsid w:val="0068753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ndNoteBibliographyTitle">
    <w:name w:val="EndNote Bibliography Title"/>
    <w:basedOn w:val="Normal"/>
    <w:link w:val="EndNoteBibliographyTitleChar"/>
    <w:rsid w:val="0068753E"/>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68753E"/>
    <w:rPr>
      <w:rFonts w:ascii="Calibri" w:hAnsi="Calibri" w:cs="Calibri"/>
      <w:noProof/>
      <w:lang w:val="en-US"/>
    </w:rPr>
  </w:style>
  <w:style w:type="paragraph" w:customStyle="1" w:styleId="EndNoteBibliography">
    <w:name w:val="EndNote Bibliography"/>
    <w:basedOn w:val="Normal"/>
    <w:link w:val="EndNoteBibliographyChar"/>
    <w:rsid w:val="0068753E"/>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68753E"/>
    <w:rPr>
      <w:rFonts w:ascii="Calibri" w:hAnsi="Calibri" w:cs="Calibri"/>
      <w:noProof/>
      <w:lang w:val="en-US"/>
    </w:rPr>
  </w:style>
  <w:style w:type="paragraph" w:customStyle="1" w:styleId="p1">
    <w:name w:val="p1"/>
    <w:basedOn w:val="Normal"/>
    <w:rsid w:val="0068753E"/>
    <w:pPr>
      <w:spacing w:after="0" w:line="240" w:lineRule="auto"/>
    </w:pPr>
    <w:rPr>
      <w:rFonts w:ascii="Times" w:hAnsi="Times" w:cs="Times New Roman"/>
      <w:sz w:val="15"/>
      <w:szCs w:val="15"/>
      <w:lang w:eastAsia="en-GB"/>
    </w:rPr>
  </w:style>
  <w:style w:type="character" w:customStyle="1" w:styleId="apple-converted-space">
    <w:name w:val="apple-converted-space"/>
    <w:basedOn w:val="DefaultParagraphFont"/>
    <w:rsid w:val="00687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7408</Words>
  <Characters>42232</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49541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Soares</dc:creator>
  <cp:lastModifiedBy>Marta Soares</cp:lastModifiedBy>
  <cp:revision>3</cp:revision>
  <dcterms:created xsi:type="dcterms:W3CDTF">2020-02-04T12:59:00Z</dcterms:created>
  <dcterms:modified xsi:type="dcterms:W3CDTF">2020-02-04T12:59:00Z</dcterms:modified>
</cp:coreProperties>
</file>