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397" w:rsidRDefault="002A5A49" w:rsidP="00CE4397">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98.05pt;margin-top:-4.45pt;width:141.75pt;height:35.95pt;z-index:251659264">
            <v:imagedata r:id="rId8" o:title=""/>
          </v:shape>
          <o:OLEObject Type="Embed" ProgID="MSPhotoEd.3" ShapeID="_x0000_s1027" DrawAspect="Content" ObjectID="_1640675324" r:id="rId9"/>
        </w:object>
      </w:r>
      <w:r w:rsidR="00CE4397">
        <w:rPr>
          <w:noProof/>
        </w:rPr>
        <w:drawing>
          <wp:anchor distT="0" distB="0" distL="0" distR="0" simplePos="0" relativeHeight="251658240" behindDoc="0" locked="0" layoutInCell="1" allowOverlap="1">
            <wp:simplePos x="0" y="0"/>
            <wp:positionH relativeFrom="margin">
              <wp:align>left</wp:align>
            </wp:positionH>
            <wp:positionV relativeFrom="margin">
              <wp:posOffset>5080</wp:posOffset>
            </wp:positionV>
            <wp:extent cx="2336800" cy="25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3647" r="-13647"/>
                    <a:stretch>
                      <a:fillRect/>
                    </a:stretch>
                  </pic:blipFill>
                  <pic:spPr bwMode="auto">
                    <a:xfrm>
                      <a:off x="0" y="0"/>
                      <a:ext cx="233680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397">
        <w:t xml:space="preserve">                                            </w:t>
      </w:r>
    </w:p>
    <w:p w:rsidR="00CE4397" w:rsidRDefault="00CE4397" w:rsidP="00CE4397"/>
    <w:p w:rsidR="00CE4397" w:rsidRDefault="00CE4397" w:rsidP="00CE4397">
      <w:r>
        <w:t xml:space="preserve">                                                                                                    Social Policy Research Unit</w:t>
      </w:r>
    </w:p>
    <w:p w:rsidR="00CE4397" w:rsidRDefault="00CE4397" w:rsidP="00CE4397"/>
    <w:p w:rsidR="00CE4397" w:rsidRDefault="00CE4397" w:rsidP="00CE4397">
      <w:pPr>
        <w:jc w:val="center"/>
        <w:rPr>
          <w:rFonts w:eastAsia="Times New Roman" w:cs="Times New Roman"/>
          <w:b/>
          <w:sz w:val="40"/>
          <w:szCs w:val="40"/>
          <w:lang w:eastAsia="en-GB"/>
        </w:rPr>
      </w:pPr>
    </w:p>
    <w:p w:rsidR="00CE4397" w:rsidRDefault="00CE4397" w:rsidP="00CE4397">
      <w:pPr>
        <w:jc w:val="center"/>
        <w:rPr>
          <w:rFonts w:eastAsia="Times New Roman" w:cs="Times New Roman"/>
          <w:b/>
          <w:sz w:val="40"/>
          <w:szCs w:val="40"/>
          <w:lang w:eastAsia="en-GB"/>
        </w:rPr>
      </w:pPr>
    </w:p>
    <w:p w:rsidR="00CE4397" w:rsidRDefault="00CE4397" w:rsidP="00CE4397">
      <w:pPr>
        <w:jc w:val="center"/>
        <w:rPr>
          <w:rFonts w:eastAsia="Times New Roman" w:cs="Times New Roman"/>
          <w:b/>
          <w:sz w:val="40"/>
          <w:szCs w:val="40"/>
          <w:lang w:eastAsia="en-GB"/>
        </w:rPr>
      </w:pPr>
    </w:p>
    <w:p w:rsidR="00CE4397" w:rsidRDefault="00CE4397" w:rsidP="00CE4397">
      <w:pPr>
        <w:jc w:val="center"/>
        <w:rPr>
          <w:rFonts w:eastAsia="Times New Roman" w:cs="Times New Roman"/>
          <w:b/>
          <w:sz w:val="40"/>
          <w:szCs w:val="40"/>
          <w:lang w:eastAsia="en-GB"/>
        </w:rPr>
      </w:pPr>
    </w:p>
    <w:p w:rsidR="00CE4397" w:rsidRDefault="00CE4397" w:rsidP="00CE4397">
      <w:pPr>
        <w:jc w:val="center"/>
        <w:rPr>
          <w:rFonts w:eastAsia="Times New Roman" w:cs="Times New Roman"/>
          <w:b/>
          <w:sz w:val="40"/>
          <w:szCs w:val="40"/>
          <w:lang w:eastAsia="en-GB"/>
        </w:rPr>
      </w:pPr>
    </w:p>
    <w:p w:rsidR="00CE4397" w:rsidRPr="00CE4397" w:rsidRDefault="00CE4397" w:rsidP="00CE4397">
      <w:pPr>
        <w:jc w:val="center"/>
        <w:rPr>
          <w:rFonts w:eastAsia="Times New Roman" w:cs="Times New Roman"/>
          <w:b/>
          <w:sz w:val="40"/>
          <w:szCs w:val="40"/>
          <w:lang w:eastAsia="en-GB"/>
        </w:rPr>
      </w:pPr>
      <w:r w:rsidRPr="00CE4397">
        <w:rPr>
          <w:rFonts w:eastAsia="Times New Roman" w:cs="Times New Roman"/>
          <w:b/>
          <w:sz w:val="40"/>
          <w:szCs w:val="40"/>
          <w:lang w:eastAsia="en-GB"/>
        </w:rPr>
        <w:t>CHILD POVERTY IN THE NORTH EAST REGION</w:t>
      </w:r>
    </w:p>
    <w:p w:rsidR="00CE4397" w:rsidRPr="00CE4397" w:rsidRDefault="00CE4397" w:rsidP="00CE4397">
      <w:pPr>
        <w:jc w:val="center"/>
        <w:rPr>
          <w:rFonts w:eastAsia="Times New Roman" w:cs="Times New Roman"/>
          <w:b/>
          <w:sz w:val="40"/>
          <w:szCs w:val="40"/>
          <w:lang w:eastAsia="en-GB"/>
        </w:rPr>
      </w:pPr>
    </w:p>
    <w:p w:rsidR="00CE4397" w:rsidRPr="00CE4397" w:rsidRDefault="00CE4397" w:rsidP="00CE4397">
      <w:pPr>
        <w:jc w:val="center"/>
        <w:rPr>
          <w:rFonts w:eastAsia="Times New Roman" w:cs="Times New Roman"/>
          <w:sz w:val="40"/>
          <w:szCs w:val="40"/>
          <w:lang w:eastAsia="en-GB"/>
        </w:rPr>
      </w:pPr>
    </w:p>
    <w:p w:rsidR="00CE4397" w:rsidRPr="00CE4397" w:rsidRDefault="00CE4397" w:rsidP="00CE4397">
      <w:pPr>
        <w:jc w:val="center"/>
        <w:rPr>
          <w:rFonts w:eastAsia="Times New Roman" w:cs="Times New Roman"/>
          <w:b/>
          <w:sz w:val="40"/>
          <w:szCs w:val="40"/>
          <w:lang w:eastAsia="en-GB"/>
        </w:rPr>
      </w:pPr>
      <w:r w:rsidRPr="00CE4397">
        <w:rPr>
          <w:rFonts w:eastAsia="Times New Roman" w:cs="Times New Roman"/>
          <w:b/>
          <w:sz w:val="40"/>
          <w:szCs w:val="40"/>
          <w:lang w:eastAsia="en-GB"/>
        </w:rPr>
        <w:t xml:space="preserve">A Report for the </w:t>
      </w:r>
      <w:r>
        <w:rPr>
          <w:rFonts w:eastAsia="Times New Roman" w:cs="Times New Roman"/>
          <w:b/>
          <w:sz w:val="40"/>
          <w:szCs w:val="40"/>
          <w:lang w:eastAsia="en-GB"/>
        </w:rPr>
        <w:t>Child Poverty Action Group</w:t>
      </w:r>
    </w:p>
    <w:p w:rsidR="00CE4397" w:rsidRPr="00CE4397" w:rsidRDefault="00CE4397" w:rsidP="00CE4397">
      <w:pPr>
        <w:jc w:val="center"/>
        <w:rPr>
          <w:rFonts w:eastAsia="Times New Roman" w:cs="Times New Roman"/>
          <w:sz w:val="40"/>
          <w:szCs w:val="40"/>
          <w:lang w:eastAsia="en-GB"/>
        </w:rPr>
      </w:pPr>
    </w:p>
    <w:p w:rsidR="00CE4397" w:rsidRPr="00CE4397" w:rsidRDefault="00CE4397" w:rsidP="00CE4397">
      <w:pPr>
        <w:jc w:val="center"/>
        <w:rPr>
          <w:rFonts w:eastAsia="Times New Roman" w:cs="Times New Roman"/>
          <w:sz w:val="40"/>
          <w:szCs w:val="40"/>
          <w:lang w:eastAsia="en-GB"/>
        </w:rPr>
      </w:pPr>
    </w:p>
    <w:p w:rsidR="00CE4397" w:rsidRPr="00CE4397" w:rsidRDefault="00CE4397" w:rsidP="00CE4397">
      <w:pPr>
        <w:jc w:val="center"/>
        <w:rPr>
          <w:rFonts w:eastAsia="Times New Roman" w:cs="Times New Roman"/>
          <w:sz w:val="40"/>
          <w:szCs w:val="40"/>
          <w:lang w:eastAsia="en-GB"/>
        </w:rPr>
      </w:pPr>
    </w:p>
    <w:p w:rsidR="00CE4397" w:rsidRPr="00CE4397" w:rsidRDefault="00CE4397" w:rsidP="00CE4397">
      <w:pPr>
        <w:jc w:val="center"/>
        <w:rPr>
          <w:rFonts w:eastAsia="Times New Roman" w:cs="Times New Roman"/>
          <w:b/>
          <w:sz w:val="32"/>
          <w:szCs w:val="32"/>
          <w:lang w:eastAsia="en-GB"/>
        </w:rPr>
      </w:pPr>
      <w:r w:rsidRPr="00CE4397">
        <w:rPr>
          <w:rFonts w:eastAsia="Times New Roman" w:cs="Times New Roman"/>
          <w:sz w:val="32"/>
          <w:szCs w:val="32"/>
          <w:lang w:eastAsia="en-GB"/>
        </w:rPr>
        <w:t xml:space="preserve">Jonathan Bradshaw </w:t>
      </w:r>
    </w:p>
    <w:p w:rsidR="00CE4397" w:rsidRPr="00CE4397" w:rsidRDefault="00CE4397" w:rsidP="00CE4397">
      <w:pPr>
        <w:jc w:val="center"/>
        <w:rPr>
          <w:rFonts w:eastAsia="Times New Roman" w:cs="Times New Roman"/>
          <w:b/>
          <w:szCs w:val="24"/>
          <w:lang w:eastAsia="en-GB"/>
        </w:rPr>
      </w:pPr>
    </w:p>
    <w:p w:rsidR="00CE4397" w:rsidRDefault="00CE4397" w:rsidP="00CE4397">
      <w:pPr>
        <w:jc w:val="center"/>
        <w:rPr>
          <w:rFonts w:eastAsia="Times New Roman" w:cs="Times New Roman"/>
          <w:szCs w:val="24"/>
          <w:lang w:eastAsia="en-GB"/>
        </w:rPr>
      </w:pPr>
      <w:r>
        <w:rPr>
          <w:rFonts w:eastAsia="Times New Roman" w:cs="Times New Roman"/>
          <w:szCs w:val="24"/>
          <w:lang w:eastAsia="en-GB"/>
        </w:rPr>
        <w:t>January 2020</w:t>
      </w: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jc w:val="center"/>
        <w:rPr>
          <w:rFonts w:eastAsia="Times New Roman" w:cs="Times New Roman"/>
          <w:szCs w:val="24"/>
          <w:lang w:eastAsia="en-GB"/>
        </w:rPr>
      </w:pPr>
    </w:p>
    <w:p w:rsidR="00CE4397" w:rsidRDefault="00CE4397" w:rsidP="00CE4397">
      <w:pPr>
        <w:rPr>
          <w:rFonts w:eastAsia="Times New Roman" w:cs="Times New Roman"/>
          <w:szCs w:val="24"/>
          <w:lang w:eastAsia="en-GB"/>
        </w:rPr>
      </w:pPr>
      <w:r w:rsidRPr="00CE4397">
        <w:rPr>
          <w:rFonts w:eastAsia="Times New Roman" w:cs="Times New Roman"/>
          <w:szCs w:val="24"/>
          <w:lang w:eastAsia="en-GB"/>
        </w:rPr>
        <w:t>SOCIAL POLICY RESEARCH UNIT, UNIVERSITY OF YORK, HESLINGTON, YORK, YO10 5DD, UK</w:t>
      </w:r>
      <w:r>
        <w:rPr>
          <w:rFonts w:eastAsia="Times New Roman" w:cs="Times New Roman"/>
          <w:szCs w:val="24"/>
          <w:lang w:eastAsia="en-GB"/>
        </w:rPr>
        <w:t xml:space="preserve"> </w:t>
      </w:r>
      <w:r w:rsidRPr="00CE4397">
        <w:rPr>
          <w:rFonts w:eastAsia="Times New Roman" w:cs="Times New Roman"/>
          <w:szCs w:val="24"/>
          <w:lang w:eastAsia="en-GB"/>
        </w:rPr>
        <w:t xml:space="preserve">Tel: ++44 1904 321239, email: </w:t>
      </w:r>
      <w:hyperlink r:id="rId11" w:history="1">
        <w:r w:rsidRPr="00462A19">
          <w:rPr>
            <w:rStyle w:val="Hyperlink"/>
            <w:rFonts w:eastAsia="Times New Roman" w:cs="Times New Roman"/>
            <w:szCs w:val="24"/>
            <w:lang w:eastAsia="en-GB"/>
          </w:rPr>
          <w:t>jonathan.bradshaw@york.ac.uk</w:t>
        </w:r>
      </w:hyperlink>
    </w:p>
    <w:p w:rsidR="00CE4397" w:rsidRDefault="00CE4397" w:rsidP="00CE4397">
      <w:pPr>
        <w:rPr>
          <w:rFonts w:eastAsia="Times New Roman" w:cs="Times New Roman"/>
          <w:szCs w:val="24"/>
          <w:lang w:eastAsia="en-GB"/>
        </w:rPr>
      </w:pPr>
    </w:p>
    <w:p w:rsidR="00CE4397" w:rsidRPr="00E21BCB" w:rsidRDefault="00CE4397" w:rsidP="00CE4397">
      <w:pPr>
        <w:rPr>
          <w:rFonts w:eastAsia="Times New Roman" w:cs="Times New Roman"/>
          <w:b/>
          <w:szCs w:val="24"/>
          <w:lang w:eastAsia="en-GB"/>
        </w:rPr>
      </w:pPr>
      <w:r w:rsidRPr="00E21BCB">
        <w:rPr>
          <w:rFonts w:eastAsia="Times New Roman" w:cs="Times New Roman"/>
          <w:b/>
          <w:szCs w:val="24"/>
          <w:lang w:eastAsia="en-GB"/>
        </w:rPr>
        <w:lastRenderedPageBreak/>
        <w:t>SUMMARY</w:t>
      </w:r>
    </w:p>
    <w:p w:rsidR="0059271F" w:rsidRDefault="0059271F" w:rsidP="00CE4397">
      <w:pPr>
        <w:rPr>
          <w:rFonts w:eastAsia="Times New Roman" w:cs="Times New Roman"/>
          <w:szCs w:val="24"/>
          <w:lang w:eastAsia="en-GB"/>
        </w:rPr>
      </w:pPr>
    </w:p>
    <w:p w:rsidR="0059271F" w:rsidRDefault="0059271F" w:rsidP="0059271F">
      <w:pPr>
        <w:pStyle w:val="ListParagraph"/>
        <w:numPr>
          <w:ilvl w:val="0"/>
          <w:numId w:val="1"/>
        </w:numPr>
        <w:rPr>
          <w:rFonts w:eastAsia="Times New Roman" w:cs="Times New Roman"/>
          <w:szCs w:val="24"/>
          <w:lang w:eastAsia="en-GB"/>
        </w:rPr>
      </w:pPr>
      <w:r>
        <w:rPr>
          <w:rFonts w:eastAsia="Times New Roman" w:cs="Times New Roman"/>
          <w:szCs w:val="24"/>
          <w:lang w:eastAsia="en-GB"/>
        </w:rPr>
        <w:t>The NE has the second highest low income and deprivation rate after inner London</w:t>
      </w:r>
      <w:r>
        <w:rPr>
          <w:rFonts w:eastAsia="Times New Roman" w:cs="Times New Roman"/>
          <w:szCs w:val="24"/>
          <w:lang w:eastAsia="en-GB"/>
        </w:rPr>
        <w:t>.</w:t>
      </w:r>
    </w:p>
    <w:p w:rsidR="0059271F" w:rsidRDefault="0059271F" w:rsidP="0059271F">
      <w:pPr>
        <w:pStyle w:val="ListParagraph"/>
        <w:numPr>
          <w:ilvl w:val="0"/>
          <w:numId w:val="1"/>
        </w:numPr>
        <w:rPr>
          <w:rFonts w:eastAsia="Times New Roman" w:cs="Times New Roman"/>
          <w:szCs w:val="24"/>
          <w:lang w:eastAsia="en-GB"/>
        </w:rPr>
      </w:pPr>
      <w:r>
        <w:rPr>
          <w:rFonts w:eastAsia="Times New Roman" w:cs="Times New Roman"/>
          <w:szCs w:val="24"/>
          <w:lang w:eastAsia="en-GB"/>
        </w:rPr>
        <w:t>The NE</w:t>
      </w:r>
      <w:r>
        <w:rPr>
          <w:rFonts w:eastAsia="Times New Roman" w:cs="Times New Roman"/>
          <w:szCs w:val="24"/>
          <w:lang w:eastAsia="en-GB"/>
        </w:rPr>
        <w:t xml:space="preserve"> </w:t>
      </w:r>
      <w:r w:rsidR="00E60B52">
        <w:rPr>
          <w:rFonts w:eastAsia="Times New Roman" w:cs="Times New Roman"/>
          <w:szCs w:val="24"/>
          <w:lang w:eastAsia="en-GB"/>
        </w:rPr>
        <w:t xml:space="preserve"> child </w:t>
      </w:r>
      <w:r>
        <w:rPr>
          <w:rFonts w:eastAsia="Times New Roman" w:cs="Times New Roman"/>
          <w:szCs w:val="24"/>
          <w:lang w:eastAsia="en-GB"/>
        </w:rPr>
        <w:t xml:space="preserve">income poverty rate (before housing costs) at the 50% threshold was the same as the average for England but at the 60% threshold the NE had the equal second highest rate after the West Midlands and at the 70% threshold the NE had the equal highest </w:t>
      </w:r>
      <w:r w:rsidR="00E60B52">
        <w:rPr>
          <w:rFonts w:eastAsia="Times New Roman" w:cs="Times New Roman"/>
          <w:szCs w:val="24"/>
          <w:lang w:eastAsia="en-GB"/>
        </w:rPr>
        <w:t xml:space="preserve">child income </w:t>
      </w:r>
      <w:r>
        <w:rPr>
          <w:rFonts w:eastAsia="Times New Roman" w:cs="Times New Roman"/>
          <w:szCs w:val="24"/>
          <w:lang w:eastAsia="en-GB"/>
        </w:rPr>
        <w:t>poverty rate with the West Midlands.</w:t>
      </w:r>
    </w:p>
    <w:p w:rsidR="00E60B52" w:rsidRPr="00E60B52" w:rsidRDefault="00E60B52" w:rsidP="00E60B52">
      <w:pPr>
        <w:pStyle w:val="ListParagraph"/>
        <w:numPr>
          <w:ilvl w:val="0"/>
          <w:numId w:val="1"/>
        </w:numPr>
        <w:rPr>
          <w:rFonts w:eastAsia="Times New Roman" w:cs="Times New Roman"/>
          <w:szCs w:val="24"/>
          <w:lang w:eastAsia="en-GB"/>
        </w:rPr>
      </w:pPr>
      <w:r w:rsidRPr="00E60B52">
        <w:rPr>
          <w:rFonts w:eastAsia="Times New Roman" w:cs="Times New Roman"/>
          <w:szCs w:val="24"/>
          <w:lang w:eastAsia="en-GB"/>
        </w:rPr>
        <w:t xml:space="preserve">After housing costs inner London has the highest child </w:t>
      </w:r>
      <w:r>
        <w:rPr>
          <w:rFonts w:eastAsia="Times New Roman" w:cs="Times New Roman"/>
          <w:szCs w:val="24"/>
          <w:lang w:eastAsia="en-GB"/>
        </w:rPr>
        <w:t xml:space="preserve">income </w:t>
      </w:r>
      <w:r w:rsidRPr="00E60B52">
        <w:rPr>
          <w:rFonts w:eastAsia="Times New Roman" w:cs="Times New Roman"/>
          <w:szCs w:val="24"/>
          <w:lang w:eastAsia="en-GB"/>
        </w:rPr>
        <w:t xml:space="preserve">poverty rate on all thresholds but the NE had the second highest child poverty rate at 60% and 70% </w:t>
      </w:r>
      <w:r w:rsidR="00F6345F">
        <w:rPr>
          <w:rFonts w:eastAsia="Times New Roman" w:cs="Times New Roman"/>
          <w:szCs w:val="24"/>
          <w:lang w:eastAsia="en-GB"/>
        </w:rPr>
        <w:t>thresholds</w:t>
      </w:r>
      <w:r w:rsidRPr="00E60B52">
        <w:rPr>
          <w:rFonts w:eastAsia="Times New Roman" w:cs="Times New Roman"/>
          <w:szCs w:val="24"/>
          <w:lang w:eastAsia="en-GB"/>
        </w:rPr>
        <w:t>.</w:t>
      </w:r>
    </w:p>
    <w:p w:rsidR="00E60B52" w:rsidRPr="00E60B52" w:rsidRDefault="00E60B52" w:rsidP="00E60B52">
      <w:pPr>
        <w:pStyle w:val="ListParagraph"/>
        <w:numPr>
          <w:ilvl w:val="0"/>
          <w:numId w:val="1"/>
        </w:numPr>
        <w:rPr>
          <w:rFonts w:eastAsia="Times New Roman" w:cs="Times New Roman"/>
          <w:szCs w:val="24"/>
          <w:lang w:eastAsia="en-GB"/>
        </w:rPr>
      </w:pPr>
      <w:r>
        <w:rPr>
          <w:rFonts w:eastAsia="Times New Roman" w:cs="Times New Roman"/>
          <w:szCs w:val="24"/>
          <w:lang w:eastAsia="en-GB"/>
        </w:rPr>
        <w:t>The NE is the region with the highest proportion of households with children lacking</w:t>
      </w:r>
      <w:r w:rsidR="00F6345F">
        <w:rPr>
          <w:rFonts w:eastAsia="Times New Roman" w:cs="Times New Roman"/>
          <w:szCs w:val="24"/>
          <w:lang w:eastAsia="en-GB"/>
        </w:rPr>
        <w:t xml:space="preserve"> on </w:t>
      </w:r>
      <w:r>
        <w:rPr>
          <w:rFonts w:eastAsia="Times New Roman" w:cs="Times New Roman"/>
          <w:szCs w:val="24"/>
          <w:lang w:eastAsia="en-GB"/>
        </w:rPr>
        <w:t xml:space="preserve"> </w:t>
      </w:r>
      <w:r w:rsidR="00896D41">
        <w:rPr>
          <w:rFonts w:eastAsia="Times New Roman" w:cs="Times New Roman"/>
          <w:szCs w:val="24"/>
          <w:lang w:eastAsia="en-GB"/>
        </w:rPr>
        <w:t>8</w:t>
      </w:r>
      <w:r>
        <w:rPr>
          <w:rFonts w:eastAsia="Times New Roman" w:cs="Times New Roman"/>
          <w:szCs w:val="24"/>
          <w:lang w:eastAsia="en-GB"/>
        </w:rPr>
        <w:t xml:space="preserve"> out of the 20 deprivation items.</w:t>
      </w:r>
    </w:p>
    <w:p w:rsidR="00E60B52" w:rsidRPr="00896D41" w:rsidRDefault="00E60B52" w:rsidP="0059271F">
      <w:pPr>
        <w:pStyle w:val="ListParagraph"/>
        <w:numPr>
          <w:ilvl w:val="0"/>
          <w:numId w:val="1"/>
        </w:numPr>
        <w:rPr>
          <w:rFonts w:eastAsia="Times New Roman" w:cs="Times New Roman"/>
          <w:szCs w:val="24"/>
          <w:lang w:eastAsia="en-GB"/>
        </w:rPr>
      </w:pPr>
      <w:r>
        <w:t xml:space="preserve">The material deprivation and low-income rate </w:t>
      </w:r>
      <w:r>
        <w:t>in the NE has risen and fallen since the mid</w:t>
      </w:r>
      <w:r w:rsidR="00E21BCB">
        <w:t>-</w:t>
      </w:r>
      <w:r>
        <w:t>2000s</w:t>
      </w:r>
      <w:r>
        <w:t>. But the NE had the highest rate in the most recent period.</w:t>
      </w:r>
    </w:p>
    <w:p w:rsidR="00896D41" w:rsidRDefault="00896D41" w:rsidP="00896D41">
      <w:pPr>
        <w:pStyle w:val="ListParagraph"/>
        <w:numPr>
          <w:ilvl w:val="0"/>
          <w:numId w:val="1"/>
        </w:numPr>
        <w:spacing w:after="160" w:line="259" w:lineRule="auto"/>
      </w:pPr>
      <w:r>
        <w:t xml:space="preserve">Child poverty both before and after housing costs fell in the NE </w:t>
      </w:r>
      <w:r>
        <w:t>after the mid</w:t>
      </w:r>
      <w:r w:rsidR="00E21BCB">
        <w:t>-</w:t>
      </w:r>
      <w:r>
        <w:t>2000s</w:t>
      </w:r>
      <w:r>
        <w:t xml:space="preserve"> but have been rising again since 2012/13-2014/15. In </w:t>
      </w:r>
      <w:r w:rsidR="00F6345F">
        <w:t xml:space="preserve">the </w:t>
      </w:r>
      <w:r>
        <w:t xml:space="preserve">period </w:t>
      </w:r>
      <w:r>
        <w:t xml:space="preserve">2005/6-2007/8 </w:t>
      </w:r>
      <w:r>
        <w:t>the NE had the highest child poverty rate BHC and second equal highest AHC after London. By the most recent period the NE had the equal second highest child income poverty rate BHC and the second highest AHC</w:t>
      </w:r>
      <w:r>
        <w:t xml:space="preserve"> at the 60% threshold.</w:t>
      </w:r>
    </w:p>
    <w:p w:rsidR="00896D41" w:rsidRPr="00896D41" w:rsidRDefault="00896D41" w:rsidP="0059271F">
      <w:pPr>
        <w:pStyle w:val="ListParagraph"/>
        <w:numPr>
          <w:ilvl w:val="0"/>
          <w:numId w:val="1"/>
        </w:numPr>
        <w:rPr>
          <w:rFonts w:eastAsia="Times New Roman" w:cs="Times New Roman"/>
          <w:szCs w:val="24"/>
          <w:lang w:eastAsia="en-GB"/>
        </w:rPr>
      </w:pPr>
      <w:r>
        <w:t xml:space="preserve">Newcastle central </w:t>
      </w:r>
      <w:r>
        <w:t xml:space="preserve">constituency </w:t>
      </w:r>
      <w:r>
        <w:t xml:space="preserve">has the highest child poverty rates </w:t>
      </w:r>
      <w:r w:rsidR="00F6345F">
        <w:t xml:space="preserve">in the NE </w:t>
      </w:r>
      <w:r>
        <w:t>both before and after housing costs. It is notable that a number of constituencies that changed from Labour to Conservative in the 2019 election have quite high rates</w:t>
      </w:r>
      <w:r>
        <w:t>.</w:t>
      </w:r>
    </w:p>
    <w:p w:rsidR="00896D41" w:rsidRDefault="00896D41" w:rsidP="00896D41">
      <w:pPr>
        <w:pStyle w:val="ListParagraph"/>
        <w:numPr>
          <w:ilvl w:val="0"/>
          <w:numId w:val="1"/>
        </w:numPr>
      </w:pPr>
      <w:r>
        <w:t xml:space="preserve">Middlesbrough </w:t>
      </w:r>
      <w:r>
        <w:t xml:space="preserve">local authority </w:t>
      </w:r>
      <w:r>
        <w:t xml:space="preserve">has the highest child poverty rate in the NE BHC and Middlesbrough and Newcastle-upon-Tyne have the highest child poverty rate AHC. </w:t>
      </w:r>
    </w:p>
    <w:p w:rsidR="00896D41" w:rsidRPr="00E21BCB" w:rsidRDefault="00896D41" w:rsidP="0059271F">
      <w:pPr>
        <w:pStyle w:val="ListParagraph"/>
        <w:numPr>
          <w:ilvl w:val="0"/>
          <w:numId w:val="1"/>
        </w:numPr>
        <w:rPr>
          <w:rFonts w:eastAsia="Times New Roman" w:cs="Times New Roman"/>
          <w:szCs w:val="24"/>
          <w:lang w:eastAsia="en-GB"/>
        </w:rPr>
      </w:pPr>
      <w:r>
        <w:rPr>
          <w:rFonts w:eastAsia="Times New Roman" w:cs="Times New Roman"/>
          <w:szCs w:val="24"/>
          <w:lang w:eastAsia="en-GB"/>
        </w:rPr>
        <w:t>Before housing costs four wards in Middlesbrough and four wards in Newcastle are in the top 20 wards in the NE.</w:t>
      </w:r>
      <w:r w:rsidRPr="00896D41">
        <w:t xml:space="preserve"> </w:t>
      </w:r>
      <w:r>
        <w:t>After housing costs Newcastle has the highest four wards and seven wards in the highest 20.</w:t>
      </w:r>
    </w:p>
    <w:p w:rsidR="00E21BCB" w:rsidRPr="00E21BCB" w:rsidRDefault="00E21BCB" w:rsidP="0059271F">
      <w:pPr>
        <w:pStyle w:val="ListParagraph"/>
        <w:numPr>
          <w:ilvl w:val="0"/>
          <w:numId w:val="1"/>
        </w:numPr>
        <w:rPr>
          <w:rFonts w:eastAsia="Times New Roman" w:cs="Times New Roman"/>
          <w:szCs w:val="24"/>
          <w:lang w:eastAsia="en-GB"/>
        </w:rPr>
      </w:pPr>
      <w:r>
        <w:t xml:space="preserve">22.7% </w:t>
      </w:r>
      <w:r>
        <w:t xml:space="preserve">of LSOAs </w:t>
      </w:r>
      <w:r>
        <w:t>in the NE are</w:t>
      </w:r>
      <w:r>
        <w:t xml:space="preserve"> in first decile of the national distribution of LSOAs with the highest levels of child poverty</w:t>
      </w:r>
      <w:r>
        <w:t>. In contrast only 6.8% of LSOAs in the NE fall into 10</w:t>
      </w:r>
      <w:r w:rsidRPr="00155108">
        <w:rPr>
          <w:vertAlign w:val="superscript"/>
        </w:rPr>
        <w:t>th</w:t>
      </w:r>
      <w:r>
        <w:t xml:space="preserve"> decile with the lowest child poverty rates. Indeed, two local authorities Hartlepool and Middlesbrough have no LSOAs in the 10</w:t>
      </w:r>
      <w:r w:rsidRPr="00155108">
        <w:rPr>
          <w:vertAlign w:val="superscript"/>
        </w:rPr>
        <w:t>th</w:t>
      </w:r>
      <w:r>
        <w:t xml:space="preserve"> decile and they both have more than half their LSOAs in the 1</w:t>
      </w:r>
      <w:r w:rsidRPr="00DD7389">
        <w:rPr>
          <w:vertAlign w:val="superscript"/>
        </w:rPr>
        <w:t>st</w:t>
      </w:r>
      <w:r>
        <w:t xml:space="preserve"> or 2</w:t>
      </w:r>
      <w:r w:rsidRPr="00DD7389">
        <w:rPr>
          <w:vertAlign w:val="superscript"/>
        </w:rPr>
        <w:t>nd</w:t>
      </w:r>
      <w:r>
        <w:t xml:space="preserve"> deciles. </w:t>
      </w:r>
    </w:p>
    <w:p w:rsidR="00E21BCB" w:rsidRPr="0059271F" w:rsidRDefault="00E21BCB" w:rsidP="0059271F">
      <w:pPr>
        <w:pStyle w:val="ListParagraph"/>
        <w:numPr>
          <w:ilvl w:val="0"/>
          <w:numId w:val="1"/>
        </w:numPr>
        <w:rPr>
          <w:rFonts w:eastAsia="Times New Roman" w:cs="Times New Roman"/>
          <w:szCs w:val="24"/>
          <w:lang w:eastAsia="en-GB"/>
        </w:rPr>
      </w:pPr>
      <w:r>
        <w:t xml:space="preserve">Newcastle has the highest levels of inequality in child poverty between its LSOAs. </w:t>
      </w:r>
    </w:p>
    <w:p w:rsidR="00CE4397" w:rsidRDefault="00CE4397">
      <w:pPr>
        <w:spacing w:after="160" w:line="259" w:lineRule="auto"/>
        <w:rPr>
          <w:rFonts w:eastAsia="Times New Roman" w:cs="Times New Roman"/>
          <w:szCs w:val="24"/>
          <w:lang w:eastAsia="en-GB"/>
        </w:rPr>
      </w:pPr>
      <w:r>
        <w:rPr>
          <w:rFonts w:eastAsia="Times New Roman" w:cs="Times New Roman"/>
          <w:szCs w:val="24"/>
          <w:lang w:eastAsia="en-GB"/>
        </w:rPr>
        <w:br w:type="page"/>
      </w:r>
    </w:p>
    <w:p w:rsidR="00CE4397" w:rsidRPr="00BF108F" w:rsidRDefault="00BF108F" w:rsidP="00CE4397">
      <w:pPr>
        <w:rPr>
          <w:rFonts w:eastAsia="Times New Roman" w:cs="Times New Roman"/>
          <w:b/>
          <w:szCs w:val="24"/>
          <w:lang w:eastAsia="en-GB"/>
        </w:rPr>
      </w:pPr>
      <w:r w:rsidRPr="00BF108F">
        <w:rPr>
          <w:rFonts w:eastAsia="Times New Roman" w:cs="Times New Roman"/>
          <w:b/>
          <w:szCs w:val="24"/>
          <w:lang w:eastAsia="en-GB"/>
        </w:rPr>
        <w:lastRenderedPageBreak/>
        <w:t>INTRODUCTION</w:t>
      </w:r>
    </w:p>
    <w:p w:rsidR="00BF108F" w:rsidRDefault="00BF108F" w:rsidP="00CE4397">
      <w:pPr>
        <w:rPr>
          <w:rFonts w:eastAsia="Times New Roman" w:cs="Times New Roman"/>
          <w:szCs w:val="24"/>
          <w:lang w:eastAsia="en-GB"/>
        </w:rPr>
      </w:pPr>
    </w:p>
    <w:p w:rsidR="00BF108F" w:rsidRPr="00BF108F" w:rsidRDefault="00BF108F" w:rsidP="00BF108F">
      <w:pPr>
        <w:rPr>
          <w:rFonts w:eastAsia="Times New Roman" w:cs="Times New Roman"/>
          <w:szCs w:val="24"/>
          <w:lang w:eastAsia="en-GB"/>
        </w:rPr>
      </w:pPr>
      <w:r>
        <w:rPr>
          <w:rFonts w:eastAsia="Times New Roman" w:cs="Times New Roman"/>
          <w:szCs w:val="24"/>
          <w:lang w:eastAsia="en-GB"/>
        </w:rPr>
        <w:t>This report is an update of two previous re</w:t>
      </w:r>
      <w:r w:rsidR="000C6F50">
        <w:rPr>
          <w:rFonts w:eastAsia="Times New Roman" w:cs="Times New Roman"/>
          <w:szCs w:val="24"/>
          <w:lang w:eastAsia="en-GB"/>
        </w:rPr>
        <w:t>p</w:t>
      </w:r>
      <w:r>
        <w:rPr>
          <w:rFonts w:eastAsia="Times New Roman" w:cs="Times New Roman"/>
          <w:szCs w:val="24"/>
          <w:lang w:eastAsia="en-GB"/>
        </w:rPr>
        <w:t xml:space="preserve">orts on child poverty in the North East (NE) Region produced </w:t>
      </w:r>
      <w:r w:rsidR="00136D90">
        <w:rPr>
          <w:rFonts w:eastAsia="Times New Roman" w:cs="Times New Roman"/>
          <w:szCs w:val="24"/>
          <w:lang w:eastAsia="en-GB"/>
        </w:rPr>
        <w:t xml:space="preserve">in </w:t>
      </w:r>
      <w:r>
        <w:rPr>
          <w:rFonts w:eastAsia="Times New Roman" w:cs="Times New Roman"/>
          <w:szCs w:val="24"/>
          <w:lang w:eastAsia="en-GB"/>
        </w:rPr>
        <w:t>2008 and 2015.</w:t>
      </w:r>
      <w:r>
        <w:rPr>
          <w:rStyle w:val="FootnoteReference"/>
          <w:rFonts w:eastAsia="Times New Roman" w:cs="Times New Roman"/>
          <w:szCs w:val="24"/>
          <w:lang w:eastAsia="en-GB"/>
        </w:rPr>
        <w:footnoteReference w:id="1"/>
      </w:r>
      <w:r w:rsidR="00F6345F">
        <w:rPr>
          <w:rFonts w:eastAsia="Times New Roman" w:cs="Times New Roman"/>
          <w:szCs w:val="24"/>
          <w:lang w:eastAsia="en-GB"/>
        </w:rPr>
        <w:t xml:space="preserve"> </w:t>
      </w:r>
      <w:r w:rsidRPr="00BF108F">
        <w:rPr>
          <w:rFonts w:eastAsia="Times New Roman" w:cs="Times New Roman"/>
          <w:szCs w:val="24"/>
          <w:lang w:eastAsia="en-GB"/>
        </w:rPr>
        <w:t>The report is in three parts:</w:t>
      </w:r>
    </w:p>
    <w:p w:rsidR="00BF108F" w:rsidRPr="00BF108F" w:rsidRDefault="00BF108F" w:rsidP="00BF108F">
      <w:pPr>
        <w:rPr>
          <w:rFonts w:eastAsia="Times New Roman" w:cs="Times New Roman"/>
          <w:szCs w:val="24"/>
          <w:lang w:eastAsia="en-GB"/>
        </w:rPr>
      </w:pPr>
    </w:p>
    <w:p w:rsidR="00BF108F" w:rsidRPr="00BF108F" w:rsidRDefault="00BF108F" w:rsidP="00BF108F">
      <w:pPr>
        <w:rPr>
          <w:rFonts w:eastAsia="Times New Roman" w:cs="Times New Roman"/>
          <w:szCs w:val="24"/>
          <w:lang w:eastAsia="en-GB"/>
        </w:rPr>
      </w:pPr>
      <w:r w:rsidRPr="00BF108F">
        <w:rPr>
          <w:rFonts w:eastAsia="Times New Roman" w:cs="Times New Roman"/>
          <w:szCs w:val="24"/>
          <w:lang w:eastAsia="en-GB"/>
        </w:rPr>
        <w:t>Part 1 is an analysis of the Family Resources Survey and compares the prevalence of child income poverty and deprivation in the North East with other regions. It also traces child income poverty and deprivation in the North East over time.</w:t>
      </w:r>
    </w:p>
    <w:p w:rsidR="00BF108F" w:rsidRPr="00BF108F" w:rsidRDefault="00BF108F" w:rsidP="00BF108F">
      <w:pPr>
        <w:rPr>
          <w:rFonts w:eastAsia="Times New Roman" w:cs="Times New Roman"/>
          <w:szCs w:val="24"/>
          <w:lang w:eastAsia="en-GB"/>
        </w:rPr>
      </w:pPr>
    </w:p>
    <w:p w:rsidR="00D15312" w:rsidRPr="00D15312" w:rsidRDefault="00BF108F" w:rsidP="00D15312">
      <w:pPr>
        <w:pStyle w:val="BodyTextIndent"/>
        <w:tabs>
          <w:tab w:val="left" w:pos="7938"/>
        </w:tabs>
        <w:ind w:left="0"/>
        <w:rPr>
          <w:rFonts w:eastAsia="Times New Roman" w:cs="Times New Roman"/>
          <w:szCs w:val="20"/>
        </w:rPr>
      </w:pPr>
      <w:r w:rsidRPr="00BF108F">
        <w:rPr>
          <w:rFonts w:eastAsia="Times New Roman" w:cs="Times New Roman"/>
          <w:szCs w:val="24"/>
          <w:lang w:eastAsia="en-GB"/>
        </w:rPr>
        <w:t>Part 2</w:t>
      </w:r>
      <w:r>
        <w:rPr>
          <w:rFonts w:eastAsia="Times New Roman" w:cs="Times New Roman"/>
          <w:szCs w:val="24"/>
          <w:lang w:eastAsia="en-GB"/>
        </w:rPr>
        <w:t xml:space="preserve"> presents the local authority and constituency level data on child poverty derived from the most recent End Child Poverty analysis of local area child poverty rates. </w:t>
      </w:r>
      <w:r w:rsidRPr="00BF108F">
        <w:rPr>
          <w:rFonts w:eastAsia="Times New Roman" w:cs="Times New Roman"/>
          <w:szCs w:val="24"/>
          <w:lang w:eastAsia="en-GB"/>
        </w:rPr>
        <w:t xml:space="preserve"> </w:t>
      </w:r>
      <w:r w:rsidR="0046214B">
        <w:rPr>
          <w:rFonts w:eastAsia="Times New Roman" w:cs="Times New Roman"/>
          <w:szCs w:val="24"/>
          <w:lang w:eastAsia="en-GB"/>
        </w:rPr>
        <w:t xml:space="preserve">These are based on </w:t>
      </w:r>
      <w:r w:rsidR="0046214B" w:rsidRPr="0046214B">
        <w:rPr>
          <w:rFonts w:eastAsia="Times New Roman" w:cs="Times New Roman"/>
          <w:szCs w:val="24"/>
          <w:lang w:eastAsia="en-GB"/>
        </w:rPr>
        <w:t xml:space="preserve">the Index of Deprivation </w:t>
      </w:r>
      <w:r w:rsidR="00F6345F">
        <w:rPr>
          <w:rFonts w:eastAsia="Times New Roman" w:cs="Times New Roman"/>
          <w:szCs w:val="24"/>
          <w:lang w:eastAsia="en-GB"/>
        </w:rPr>
        <w:t>a</w:t>
      </w:r>
      <w:r w:rsidR="0046214B" w:rsidRPr="0046214B">
        <w:rPr>
          <w:rFonts w:eastAsia="Times New Roman" w:cs="Times New Roman"/>
          <w:szCs w:val="24"/>
          <w:lang w:eastAsia="en-GB"/>
        </w:rPr>
        <w:t xml:space="preserve">ffecting children (IDACI) </w:t>
      </w:r>
      <w:r w:rsidR="00D15312">
        <w:rPr>
          <w:rFonts w:eastAsia="Times New Roman" w:cs="Times New Roman"/>
          <w:szCs w:val="24"/>
          <w:lang w:eastAsia="en-GB"/>
        </w:rPr>
        <w:t>(</w:t>
      </w:r>
      <w:r w:rsidR="0046214B" w:rsidRPr="0046214B">
        <w:rPr>
          <w:rFonts w:eastAsia="Times New Roman" w:cs="Times New Roman"/>
          <w:szCs w:val="24"/>
          <w:lang w:eastAsia="en-GB"/>
        </w:rPr>
        <w:t xml:space="preserve">which was </w:t>
      </w:r>
      <w:r w:rsidR="00D15312">
        <w:rPr>
          <w:rFonts w:eastAsia="Times New Roman" w:cs="Times New Roman"/>
          <w:szCs w:val="24"/>
          <w:lang w:eastAsia="en-GB"/>
        </w:rPr>
        <w:t xml:space="preserve">also </w:t>
      </w:r>
      <w:r w:rsidR="0046214B" w:rsidRPr="0046214B">
        <w:rPr>
          <w:rFonts w:eastAsia="Times New Roman" w:cs="Times New Roman"/>
          <w:szCs w:val="24"/>
          <w:lang w:eastAsia="en-GB"/>
        </w:rPr>
        <w:t>part of the index of child well-being</w:t>
      </w:r>
      <w:r w:rsidR="0046214B">
        <w:rPr>
          <w:rStyle w:val="FootnoteReference"/>
          <w:rFonts w:eastAsia="Times New Roman" w:cs="Times New Roman"/>
          <w:szCs w:val="24"/>
          <w:lang w:eastAsia="en-GB"/>
        </w:rPr>
        <w:footnoteReference w:id="2"/>
      </w:r>
      <w:r w:rsidR="00D15312">
        <w:rPr>
          <w:rFonts w:eastAsia="Times New Roman" w:cs="Times New Roman"/>
          <w:szCs w:val="24"/>
          <w:lang w:eastAsia="en-GB"/>
        </w:rPr>
        <w:t>)</w:t>
      </w:r>
      <w:r w:rsidR="0046214B" w:rsidRPr="0046214B">
        <w:rPr>
          <w:rFonts w:eastAsia="Times New Roman" w:cs="Times New Roman"/>
          <w:szCs w:val="24"/>
          <w:lang w:eastAsia="en-GB"/>
        </w:rPr>
        <w:t xml:space="preserve"> </w:t>
      </w:r>
      <w:r w:rsidR="0046214B">
        <w:rPr>
          <w:rFonts w:eastAsia="Times New Roman" w:cs="Times New Roman"/>
          <w:szCs w:val="24"/>
          <w:lang w:eastAsia="en-GB"/>
        </w:rPr>
        <w:t xml:space="preserve">updated by </w:t>
      </w:r>
      <w:r w:rsidR="0046214B" w:rsidRPr="0046214B">
        <w:rPr>
          <w:rFonts w:eastAsia="Times New Roman" w:cs="Times New Roman"/>
          <w:szCs w:val="24"/>
          <w:lang w:eastAsia="en-GB"/>
        </w:rPr>
        <w:t>Hirsch for End Child Poverty at local authority, constituency and ward level using Labour Force Survey data</w:t>
      </w:r>
      <w:r w:rsidR="00D15312">
        <w:rPr>
          <w:rFonts w:eastAsia="Times New Roman" w:cs="Times New Roman"/>
          <w:szCs w:val="24"/>
          <w:lang w:eastAsia="en-GB"/>
        </w:rPr>
        <w:t xml:space="preserve"> </w:t>
      </w:r>
      <w:r w:rsidR="00D15312" w:rsidRPr="00D15312">
        <w:rPr>
          <w:rFonts w:eastAsia="Times New Roman" w:cs="Times New Roman"/>
          <w:szCs w:val="20"/>
        </w:rPr>
        <w:t>on changes in the proportion of children in employed and non-employed families at local authority level. Hirsch and Valadez</w:t>
      </w:r>
      <w:r w:rsidR="00D15312" w:rsidRPr="00D15312">
        <w:rPr>
          <w:rFonts w:eastAsia="Times New Roman" w:cs="Times New Roman"/>
          <w:szCs w:val="20"/>
          <w:vertAlign w:val="superscript"/>
        </w:rPr>
        <w:footnoteReference w:id="3"/>
      </w:r>
      <w:r w:rsidR="00D15312" w:rsidRPr="00D15312">
        <w:rPr>
          <w:rFonts w:eastAsia="Times New Roman" w:cs="Times New Roman"/>
          <w:szCs w:val="20"/>
        </w:rPr>
        <w:t xml:space="preserve">  have </w:t>
      </w:r>
      <w:r w:rsidR="00D15312">
        <w:rPr>
          <w:rFonts w:eastAsia="Times New Roman" w:cs="Times New Roman"/>
          <w:szCs w:val="20"/>
        </w:rPr>
        <w:t xml:space="preserve">since </w:t>
      </w:r>
      <w:r w:rsidR="00D15312" w:rsidRPr="00D15312">
        <w:rPr>
          <w:rFonts w:eastAsia="Times New Roman" w:cs="Times New Roman"/>
          <w:szCs w:val="20"/>
        </w:rPr>
        <w:t>introduced further adjustments to their methods</w:t>
      </w:r>
      <w:r w:rsidR="00D15312">
        <w:rPr>
          <w:rFonts w:eastAsia="Times New Roman" w:cs="Times New Roman"/>
          <w:szCs w:val="20"/>
        </w:rPr>
        <w:t>.</w:t>
      </w:r>
    </w:p>
    <w:p w:rsidR="00BF108F" w:rsidRPr="00BF108F" w:rsidRDefault="00BF108F" w:rsidP="00BF108F">
      <w:pPr>
        <w:rPr>
          <w:rFonts w:eastAsia="Times New Roman" w:cs="Times New Roman"/>
          <w:szCs w:val="24"/>
          <w:lang w:eastAsia="en-GB"/>
        </w:rPr>
      </w:pPr>
    </w:p>
    <w:p w:rsidR="0046214B" w:rsidRDefault="0046214B" w:rsidP="00BF108F">
      <w:pPr>
        <w:rPr>
          <w:rFonts w:eastAsia="Times New Roman" w:cs="Times New Roman"/>
          <w:szCs w:val="24"/>
          <w:lang w:eastAsia="en-GB"/>
        </w:rPr>
      </w:pPr>
    </w:p>
    <w:p w:rsidR="0046214B" w:rsidRDefault="00BF108F" w:rsidP="00BF108F">
      <w:pPr>
        <w:rPr>
          <w:rFonts w:eastAsia="Times New Roman" w:cs="Times New Roman"/>
          <w:szCs w:val="24"/>
          <w:lang w:eastAsia="en-GB"/>
        </w:rPr>
      </w:pPr>
      <w:r w:rsidRPr="00BF108F">
        <w:rPr>
          <w:rFonts w:eastAsia="Times New Roman" w:cs="Times New Roman"/>
          <w:szCs w:val="24"/>
          <w:lang w:eastAsia="en-GB"/>
        </w:rPr>
        <w:t xml:space="preserve">Part 3 </w:t>
      </w:r>
      <w:r w:rsidR="0046214B">
        <w:rPr>
          <w:rFonts w:eastAsia="Times New Roman" w:cs="Times New Roman"/>
          <w:szCs w:val="24"/>
          <w:lang w:eastAsia="en-GB"/>
        </w:rPr>
        <w:t xml:space="preserve">presents the </w:t>
      </w:r>
      <w:r w:rsidR="00136D90">
        <w:rPr>
          <w:rFonts w:eastAsia="Times New Roman" w:cs="Times New Roman"/>
          <w:szCs w:val="24"/>
          <w:lang w:eastAsia="en-GB"/>
        </w:rPr>
        <w:t xml:space="preserve">IDACI </w:t>
      </w:r>
      <w:r w:rsidR="0046214B">
        <w:rPr>
          <w:rFonts w:eastAsia="Times New Roman" w:cs="Times New Roman"/>
          <w:szCs w:val="24"/>
          <w:lang w:eastAsia="en-GB"/>
        </w:rPr>
        <w:t xml:space="preserve">child poverty data at LSOA level in the North East derived from the latest Index of Deprivation 2019. </w:t>
      </w:r>
    </w:p>
    <w:p w:rsidR="0046214B" w:rsidRDefault="0046214B">
      <w:pPr>
        <w:spacing w:after="160" w:line="259" w:lineRule="auto"/>
        <w:rPr>
          <w:rFonts w:eastAsia="Times New Roman" w:cs="Times New Roman"/>
          <w:szCs w:val="24"/>
          <w:lang w:eastAsia="en-GB"/>
        </w:rPr>
      </w:pPr>
      <w:r>
        <w:rPr>
          <w:rFonts w:eastAsia="Times New Roman" w:cs="Times New Roman"/>
          <w:szCs w:val="24"/>
          <w:lang w:eastAsia="en-GB"/>
        </w:rPr>
        <w:br w:type="page"/>
      </w:r>
    </w:p>
    <w:p w:rsidR="00B53570" w:rsidRDefault="00B53570" w:rsidP="0046214B">
      <w:pPr>
        <w:rPr>
          <w:rFonts w:eastAsia="Times New Roman" w:cs="Times New Roman"/>
          <w:b/>
          <w:szCs w:val="24"/>
          <w:lang w:eastAsia="en-GB"/>
        </w:rPr>
        <w:sectPr w:rsidR="00B53570">
          <w:pgSz w:w="11906" w:h="16838"/>
          <w:pgMar w:top="1440" w:right="1440" w:bottom="1440" w:left="1440" w:header="708" w:footer="708" w:gutter="0"/>
          <w:cols w:space="708"/>
          <w:docGrid w:linePitch="360"/>
        </w:sectPr>
      </w:pPr>
    </w:p>
    <w:p w:rsidR="0046214B" w:rsidRPr="0046214B" w:rsidRDefault="0046214B" w:rsidP="0046214B">
      <w:pPr>
        <w:rPr>
          <w:rFonts w:eastAsia="Times New Roman" w:cs="Times New Roman"/>
          <w:b/>
          <w:szCs w:val="24"/>
          <w:lang w:eastAsia="en-GB"/>
        </w:rPr>
      </w:pPr>
      <w:r w:rsidRPr="0046214B">
        <w:rPr>
          <w:rFonts w:eastAsia="Times New Roman" w:cs="Times New Roman"/>
          <w:b/>
          <w:szCs w:val="24"/>
          <w:lang w:eastAsia="en-GB"/>
        </w:rPr>
        <w:lastRenderedPageBreak/>
        <w:t>PART 1: Analysis of the Family Resources Survey</w:t>
      </w:r>
    </w:p>
    <w:p w:rsidR="0046214B" w:rsidRPr="0046214B" w:rsidRDefault="0046214B" w:rsidP="0046214B">
      <w:pPr>
        <w:rPr>
          <w:rFonts w:eastAsia="Times New Roman" w:cs="Times New Roman"/>
          <w:szCs w:val="24"/>
          <w:lang w:eastAsia="en-GB"/>
        </w:rPr>
      </w:pPr>
    </w:p>
    <w:p w:rsidR="00B53570" w:rsidRDefault="0046214B" w:rsidP="0046214B">
      <w:pPr>
        <w:rPr>
          <w:rFonts w:eastAsia="Times New Roman" w:cs="Times New Roman"/>
          <w:szCs w:val="24"/>
          <w:lang w:eastAsia="en-GB"/>
        </w:rPr>
      </w:pPr>
      <w:r w:rsidRPr="0046214B">
        <w:rPr>
          <w:rFonts w:eastAsia="Times New Roman" w:cs="Times New Roman"/>
          <w:szCs w:val="24"/>
          <w:lang w:eastAsia="en-GB"/>
        </w:rPr>
        <w:t xml:space="preserve">The official data on child poverty is </w:t>
      </w:r>
      <w:r w:rsidRPr="0046214B">
        <w:rPr>
          <w:rFonts w:eastAsia="Times New Roman" w:cs="Times New Roman"/>
          <w:i/>
          <w:szCs w:val="24"/>
          <w:lang w:eastAsia="en-GB"/>
        </w:rPr>
        <w:t>Households below average income</w:t>
      </w:r>
      <w:r w:rsidRPr="0046214B">
        <w:rPr>
          <w:rFonts w:eastAsia="Times New Roman" w:cs="Times New Roman"/>
          <w:szCs w:val="24"/>
          <w:lang w:eastAsia="en-GB"/>
        </w:rPr>
        <w:t xml:space="preserve"> (HBAI), based on the Family Resources Survey (FRS)</w:t>
      </w:r>
      <w:r w:rsidRPr="0046214B">
        <w:rPr>
          <w:rFonts w:eastAsia="Times New Roman" w:cs="Times New Roman"/>
          <w:szCs w:val="24"/>
          <w:vertAlign w:val="superscript"/>
          <w:lang w:eastAsia="en-GB"/>
        </w:rPr>
        <w:footnoteReference w:id="4"/>
      </w:r>
      <w:r w:rsidRPr="0046214B">
        <w:rPr>
          <w:rFonts w:eastAsia="Times New Roman" w:cs="Times New Roman"/>
          <w:szCs w:val="24"/>
          <w:lang w:eastAsia="en-GB"/>
        </w:rPr>
        <w:t xml:space="preserve">. The published data on child poverty at regional level in HBAI is the average of three years, because there are too few cases for robust estimates in one year (children in the NE only represent </w:t>
      </w:r>
      <w:r w:rsidR="00B316FA">
        <w:rPr>
          <w:rFonts w:eastAsia="Times New Roman" w:cs="Times New Roman"/>
          <w:szCs w:val="24"/>
          <w:lang w:eastAsia="en-GB"/>
        </w:rPr>
        <w:t>4.3</w:t>
      </w:r>
      <w:r w:rsidRPr="0046214B">
        <w:rPr>
          <w:rFonts w:eastAsia="Times New Roman" w:cs="Times New Roman"/>
          <w:szCs w:val="24"/>
          <w:lang w:eastAsia="en-GB"/>
        </w:rPr>
        <w:t xml:space="preserve"> per cent of all children in </w:t>
      </w:r>
      <w:r w:rsidR="00B53570">
        <w:rPr>
          <w:rFonts w:eastAsia="Times New Roman" w:cs="Times New Roman"/>
          <w:szCs w:val="24"/>
          <w:lang w:eastAsia="en-GB"/>
        </w:rPr>
        <w:t>the UK</w:t>
      </w:r>
      <w:r w:rsidRPr="0046214B">
        <w:rPr>
          <w:rFonts w:eastAsia="Times New Roman" w:cs="Times New Roman"/>
          <w:szCs w:val="24"/>
          <w:lang w:eastAsia="en-GB"/>
        </w:rPr>
        <w:t xml:space="preserve">).  </w:t>
      </w:r>
    </w:p>
    <w:p w:rsidR="00442482" w:rsidRDefault="00442482" w:rsidP="0046214B">
      <w:pPr>
        <w:rPr>
          <w:rFonts w:eastAsia="Times New Roman" w:cs="Times New Roman"/>
          <w:szCs w:val="24"/>
          <w:lang w:eastAsia="en-GB"/>
        </w:rPr>
      </w:pPr>
    </w:p>
    <w:p w:rsidR="00442482" w:rsidRDefault="00442482" w:rsidP="0046214B">
      <w:pPr>
        <w:rPr>
          <w:rFonts w:eastAsia="Times New Roman" w:cs="Times New Roman"/>
          <w:szCs w:val="24"/>
          <w:lang w:eastAsia="en-GB"/>
        </w:rPr>
      </w:pPr>
      <w:r>
        <w:rPr>
          <w:rFonts w:eastAsia="Times New Roman" w:cs="Times New Roman"/>
          <w:szCs w:val="24"/>
          <w:lang w:eastAsia="en-GB"/>
        </w:rPr>
        <w:t xml:space="preserve">Table 1.1: Compares the latest main poverty and deprivation rates by region. </w:t>
      </w:r>
      <w:bookmarkStart w:id="0" w:name="_Hlk30058398"/>
      <w:r>
        <w:rPr>
          <w:rFonts w:eastAsia="Times New Roman" w:cs="Times New Roman"/>
          <w:szCs w:val="24"/>
          <w:lang w:eastAsia="en-GB"/>
        </w:rPr>
        <w:t>The NE has the second highest low income and deprivation rate</w:t>
      </w:r>
      <w:r w:rsidR="00B95A51" w:rsidRPr="00B95A51">
        <w:rPr>
          <w:rStyle w:val="FootnoteReference"/>
          <w:rFonts w:eastAsia="Times New Roman" w:cs="Times New Roman"/>
          <w:color w:val="000000"/>
          <w:sz w:val="32"/>
          <w:szCs w:val="32"/>
          <w:lang w:eastAsia="en-GB"/>
        </w:rPr>
        <w:footnoteReference w:id="5"/>
      </w:r>
      <w:r>
        <w:rPr>
          <w:rFonts w:eastAsia="Times New Roman" w:cs="Times New Roman"/>
          <w:szCs w:val="24"/>
          <w:lang w:eastAsia="en-GB"/>
        </w:rPr>
        <w:t xml:space="preserve"> after inner London</w:t>
      </w:r>
      <w:bookmarkEnd w:id="0"/>
      <w:r w:rsidR="00136D90">
        <w:rPr>
          <w:rFonts w:eastAsia="Times New Roman" w:cs="Times New Roman"/>
          <w:szCs w:val="24"/>
          <w:lang w:eastAsia="en-GB"/>
        </w:rPr>
        <w:t>,</w:t>
      </w:r>
      <w:r>
        <w:rPr>
          <w:rFonts w:eastAsia="Times New Roman" w:cs="Times New Roman"/>
          <w:szCs w:val="24"/>
          <w:lang w:eastAsia="en-GB"/>
        </w:rPr>
        <w:t xml:space="preserve"> but the NE’s seve</w:t>
      </w:r>
      <w:r w:rsidR="00136D90">
        <w:rPr>
          <w:rFonts w:eastAsia="Times New Roman" w:cs="Times New Roman"/>
          <w:szCs w:val="24"/>
          <w:lang w:eastAsia="en-GB"/>
        </w:rPr>
        <w:t>re</w:t>
      </w:r>
      <w:r>
        <w:rPr>
          <w:rFonts w:eastAsia="Times New Roman" w:cs="Times New Roman"/>
          <w:szCs w:val="24"/>
          <w:lang w:eastAsia="en-GB"/>
        </w:rPr>
        <w:t xml:space="preserve"> low income and deprivation rate</w:t>
      </w:r>
      <w:r w:rsidR="00B95A51" w:rsidRPr="00B95A51">
        <w:rPr>
          <w:rStyle w:val="FootnoteReference"/>
          <w:rFonts w:eastAsia="Times New Roman" w:cs="Times New Roman"/>
          <w:color w:val="000000"/>
          <w:sz w:val="28"/>
          <w:szCs w:val="28"/>
          <w:lang w:eastAsia="en-GB"/>
        </w:rPr>
        <w:footnoteReference w:id="6"/>
      </w:r>
      <w:r>
        <w:rPr>
          <w:rFonts w:eastAsia="Times New Roman" w:cs="Times New Roman"/>
          <w:szCs w:val="24"/>
          <w:lang w:eastAsia="en-GB"/>
        </w:rPr>
        <w:t xml:space="preserve"> is the same a</w:t>
      </w:r>
      <w:r w:rsidR="00136D90">
        <w:rPr>
          <w:rFonts w:eastAsia="Times New Roman" w:cs="Times New Roman"/>
          <w:szCs w:val="24"/>
          <w:lang w:eastAsia="en-GB"/>
        </w:rPr>
        <w:t>s</w:t>
      </w:r>
      <w:r>
        <w:rPr>
          <w:rFonts w:eastAsia="Times New Roman" w:cs="Times New Roman"/>
          <w:szCs w:val="24"/>
          <w:lang w:eastAsia="en-GB"/>
        </w:rPr>
        <w:t xml:space="preserve"> the average for England. </w:t>
      </w:r>
      <w:bookmarkStart w:id="1" w:name="_Hlk30058471"/>
      <w:r w:rsidR="0091327A">
        <w:rPr>
          <w:rFonts w:eastAsia="Times New Roman" w:cs="Times New Roman"/>
          <w:szCs w:val="24"/>
          <w:lang w:eastAsia="en-GB"/>
        </w:rPr>
        <w:t>Similarly</w:t>
      </w:r>
      <w:r w:rsidR="00136D90">
        <w:rPr>
          <w:rFonts w:eastAsia="Times New Roman" w:cs="Times New Roman"/>
          <w:szCs w:val="24"/>
          <w:lang w:eastAsia="en-GB"/>
        </w:rPr>
        <w:t>,</w:t>
      </w:r>
      <w:r w:rsidR="0091327A">
        <w:rPr>
          <w:rFonts w:eastAsia="Times New Roman" w:cs="Times New Roman"/>
          <w:szCs w:val="24"/>
          <w:lang w:eastAsia="en-GB"/>
        </w:rPr>
        <w:t xml:space="preserve"> the income poverty rate (all before housing costs) at the 50% thresholds was the same as the average for England but at the 60% threshold the NE had the equal second highest rate after the West Midlands and at the 70% threshold the NE had the equal highest poverty rate with the West Midlands.</w:t>
      </w:r>
      <w:bookmarkEnd w:id="1"/>
      <w:r w:rsidR="0091327A">
        <w:rPr>
          <w:rFonts w:eastAsia="Times New Roman" w:cs="Times New Roman"/>
          <w:szCs w:val="24"/>
          <w:lang w:eastAsia="en-GB"/>
        </w:rPr>
        <w:t xml:space="preserve">  </w:t>
      </w:r>
      <w:bookmarkStart w:id="2" w:name="_Hlk30058572"/>
      <w:r w:rsidR="0091327A">
        <w:rPr>
          <w:rFonts w:eastAsia="Times New Roman" w:cs="Times New Roman"/>
          <w:szCs w:val="24"/>
          <w:lang w:eastAsia="en-GB"/>
        </w:rPr>
        <w:t>After housing costs inner London has the highest child poverty rate on all thresholds but the NE</w:t>
      </w:r>
      <w:r w:rsidR="000D2FAF">
        <w:rPr>
          <w:rFonts w:eastAsia="Times New Roman" w:cs="Times New Roman"/>
          <w:szCs w:val="24"/>
          <w:lang w:eastAsia="en-GB"/>
        </w:rPr>
        <w:t xml:space="preserve"> had the second highest child poverty rate at 60% and 70% </w:t>
      </w:r>
      <w:r w:rsidR="00B95A51">
        <w:rPr>
          <w:rFonts w:eastAsia="Times New Roman" w:cs="Times New Roman"/>
          <w:szCs w:val="24"/>
          <w:lang w:eastAsia="en-GB"/>
        </w:rPr>
        <w:t>thresholds</w:t>
      </w:r>
      <w:r w:rsidR="000D2FAF">
        <w:rPr>
          <w:rFonts w:eastAsia="Times New Roman" w:cs="Times New Roman"/>
          <w:szCs w:val="24"/>
          <w:lang w:eastAsia="en-GB"/>
        </w:rPr>
        <w:t>.</w:t>
      </w:r>
    </w:p>
    <w:p w:rsidR="000D2FAF" w:rsidRDefault="000D2FAF" w:rsidP="0046214B">
      <w:pPr>
        <w:rPr>
          <w:rFonts w:eastAsia="Times New Roman" w:cs="Times New Roman"/>
          <w:szCs w:val="24"/>
          <w:lang w:eastAsia="en-GB"/>
        </w:rPr>
      </w:pPr>
    </w:p>
    <w:bookmarkEnd w:id="2"/>
    <w:p w:rsidR="00B53570" w:rsidRDefault="000D2FAF" w:rsidP="002969A2">
      <w:pPr>
        <w:rPr>
          <w:rFonts w:eastAsia="Times New Roman" w:cs="Times New Roman"/>
          <w:szCs w:val="24"/>
          <w:lang w:eastAsia="en-GB"/>
        </w:rPr>
      </w:pPr>
      <w:r>
        <w:rPr>
          <w:rFonts w:eastAsia="Times New Roman" w:cs="Times New Roman"/>
          <w:szCs w:val="24"/>
          <w:lang w:eastAsia="en-GB"/>
        </w:rPr>
        <w:t xml:space="preserve">The HBAI does not publish a breakdown of the </w:t>
      </w:r>
      <w:r w:rsidR="00B95A51">
        <w:rPr>
          <w:rFonts w:eastAsia="Times New Roman" w:cs="Times New Roman"/>
          <w:szCs w:val="24"/>
          <w:lang w:eastAsia="en-GB"/>
        </w:rPr>
        <w:t xml:space="preserve">20 </w:t>
      </w:r>
      <w:r>
        <w:rPr>
          <w:rFonts w:eastAsia="Times New Roman" w:cs="Times New Roman"/>
          <w:szCs w:val="24"/>
          <w:lang w:eastAsia="en-GB"/>
        </w:rPr>
        <w:t xml:space="preserve">individual deprivation items by </w:t>
      </w:r>
      <w:r w:rsidR="002969A2">
        <w:rPr>
          <w:rFonts w:eastAsia="Times New Roman" w:cs="Times New Roman"/>
          <w:szCs w:val="24"/>
          <w:lang w:eastAsia="en-GB"/>
        </w:rPr>
        <w:t>r</w:t>
      </w:r>
      <w:r>
        <w:rPr>
          <w:rFonts w:eastAsia="Times New Roman" w:cs="Times New Roman"/>
          <w:szCs w:val="24"/>
          <w:lang w:eastAsia="en-GB"/>
        </w:rPr>
        <w:t xml:space="preserve">egion but </w:t>
      </w:r>
      <w:r w:rsidR="002969A2">
        <w:rPr>
          <w:rFonts w:eastAsia="Times New Roman" w:cs="Times New Roman"/>
          <w:szCs w:val="24"/>
          <w:lang w:eastAsia="en-GB"/>
        </w:rPr>
        <w:t xml:space="preserve">in </w:t>
      </w:r>
      <w:r>
        <w:rPr>
          <w:rFonts w:eastAsia="Times New Roman" w:cs="Times New Roman"/>
          <w:szCs w:val="24"/>
          <w:lang w:eastAsia="en-GB"/>
        </w:rPr>
        <w:t xml:space="preserve">our own analysis of the FRS for 2017/18 we found that NE </w:t>
      </w:r>
      <w:r w:rsidR="00B95A51">
        <w:rPr>
          <w:rFonts w:eastAsia="Times New Roman" w:cs="Times New Roman"/>
          <w:szCs w:val="24"/>
          <w:lang w:eastAsia="en-GB"/>
        </w:rPr>
        <w:t xml:space="preserve">was the </w:t>
      </w:r>
      <w:r>
        <w:rPr>
          <w:rFonts w:eastAsia="Times New Roman" w:cs="Times New Roman"/>
          <w:szCs w:val="24"/>
          <w:lang w:eastAsia="en-GB"/>
        </w:rPr>
        <w:t xml:space="preserve">region </w:t>
      </w:r>
      <w:r w:rsidR="00B95A51">
        <w:rPr>
          <w:rFonts w:eastAsia="Times New Roman" w:cs="Times New Roman"/>
          <w:szCs w:val="24"/>
          <w:lang w:eastAsia="en-GB"/>
        </w:rPr>
        <w:t>with</w:t>
      </w:r>
      <w:r>
        <w:rPr>
          <w:rFonts w:eastAsia="Times New Roman" w:cs="Times New Roman"/>
          <w:szCs w:val="24"/>
          <w:lang w:eastAsia="en-GB"/>
        </w:rPr>
        <w:t xml:space="preserve"> the highest proportion of children </w:t>
      </w:r>
      <w:r w:rsidR="002969A2">
        <w:rPr>
          <w:rFonts w:eastAsia="Times New Roman" w:cs="Times New Roman"/>
          <w:szCs w:val="24"/>
          <w:lang w:eastAsia="en-GB"/>
        </w:rPr>
        <w:t xml:space="preserve">in households </w:t>
      </w:r>
      <w:r>
        <w:rPr>
          <w:rFonts w:eastAsia="Times New Roman" w:cs="Times New Roman"/>
          <w:szCs w:val="24"/>
          <w:lang w:eastAsia="en-GB"/>
        </w:rPr>
        <w:t xml:space="preserve">lacking: </w:t>
      </w:r>
      <w:r w:rsidR="002969A2">
        <w:rPr>
          <w:rFonts w:eastAsia="Times New Roman" w:cs="Times New Roman"/>
          <w:szCs w:val="24"/>
          <w:lang w:eastAsia="en-GB"/>
        </w:rPr>
        <w:t xml:space="preserve">the </w:t>
      </w:r>
      <w:r w:rsidRPr="000D2FAF">
        <w:rPr>
          <w:rFonts w:eastAsia="Times New Roman" w:cs="Times New Roman"/>
          <w:szCs w:val="24"/>
          <w:lang w:eastAsia="en-GB"/>
        </w:rPr>
        <w:t>ab</w:t>
      </w:r>
      <w:r w:rsidR="00ED39D0">
        <w:rPr>
          <w:rFonts w:eastAsia="Times New Roman" w:cs="Times New Roman"/>
          <w:szCs w:val="24"/>
          <w:lang w:eastAsia="en-GB"/>
        </w:rPr>
        <w:t>ility</w:t>
      </w:r>
      <w:r w:rsidRPr="000D2FAF">
        <w:rPr>
          <w:rFonts w:eastAsia="Times New Roman" w:cs="Times New Roman"/>
          <w:szCs w:val="24"/>
          <w:lang w:eastAsia="en-GB"/>
        </w:rPr>
        <w:t xml:space="preserve"> to keep th</w:t>
      </w:r>
      <w:r w:rsidR="00ED39D0">
        <w:rPr>
          <w:rFonts w:eastAsia="Times New Roman" w:cs="Times New Roman"/>
          <w:szCs w:val="24"/>
          <w:lang w:eastAsia="en-GB"/>
        </w:rPr>
        <w:t>e</w:t>
      </w:r>
      <w:r w:rsidRPr="000D2FAF">
        <w:rPr>
          <w:rFonts w:eastAsia="Times New Roman" w:cs="Times New Roman"/>
          <w:szCs w:val="24"/>
          <w:lang w:eastAsia="en-GB"/>
        </w:rPr>
        <w:t xml:space="preserve"> accommodation warm enough</w:t>
      </w:r>
      <w:r>
        <w:rPr>
          <w:rFonts w:eastAsia="Times New Roman" w:cs="Times New Roman"/>
          <w:szCs w:val="24"/>
          <w:lang w:eastAsia="en-GB"/>
        </w:rPr>
        <w:t xml:space="preserve"> (11.5%), </w:t>
      </w:r>
      <w:r w:rsidR="00ED39D0">
        <w:rPr>
          <w:rFonts w:eastAsia="Times New Roman" w:cs="Times New Roman"/>
          <w:szCs w:val="24"/>
          <w:lang w:eastAsia="en-GB"/>
        </w:rPr>
        <w:t>holiday</w:t>
      </w:r>
      <w:r w:rsidR="00ED39D0" w:rsidRPr="00ED39D0">
        <w:rPr>
          <w:rFonts w:eastAsia="Times New Roman" w:cs="Times New Roman"/>
          <w:szCs w:val="24"/>
          <w:lang w:eastAsia="en-GB"/>
        </w:rPr>
        <w:t>s away from home one week a year</w:t>
      </w:r>
      <w:r w:rsidR="00ED39D0">
        <w:rPr>
          <w:rFonts w:eastAsia="Times New Roman" w:cs="Times New Roman"/>
          <w:szCs w:val="24"/>
          <w:lang w:eastAsia="en-GB"/>
        </w:rPr>
        <w:t xml:space="preserve"> </w:t>
      </w:r>
      <w:r w:rsidR="00ED39D0" w:rsidRPr="00ED39D0">
        <w:rPr>
          <w:rFonts w:eastAsia="Times New Roman" w:cs="Times New Roman"/>
          <w:szCs w:val="24"/>
          <w:lang w:eastAsia="en-GB"/>
        </w:rPr>
        <w:t>not staying with rel</w:t>
      </w:r>
      <w:r w:rsidR="00ED39D0">
        <w:rPr>
          <w:rFonts w:eastAsia="Times New Roman" w:cs="Times New Roman"/>
          <w:szCs w:val="24"/>
          <w:lang w:eastAsia="en-GB"/>
        </w:rPr>
        <w:t>at</w:t>
      </w:r>
      <w:r w:rsidR="002969A2">
        <w:rPr>
          <w:rFonts w:eastAsia="Times New Roman" w:cs="Times New Roman"/>
          <w:szCs w:val="24"/>
          <w:lang w:eastAsia="en-GB"/>
        </w:rPr>
        <w:t>i</w:t>
      </w:r>
      <w:r w:rsidR="00ED39D0">
        <w:rPr>
          <w:rFonts w:eastAsia="Times New Roman" w:cs="Times New Roman"/>
          <w:szCs w:val="24"/>
          <w:lang w:eastAsia="en-GB"/>
        </w:rPr>
        <w:t xml:space="preserve">ves (46.2%), </w:t>
      </w:r>
      <w:r w:rsidR="002969A2">
        <w:rPr>
          <w:rFonts w:eastAsia="Times New Roman" w:cs="Times New Roman"/>
          <w:szCs w:val="24"/>
          <w:lang w:eastAsia="en-GB"/>
        </w:rPr>
        <w:t xml:space="preserve">an </w:t>
      </w:r>
      <w:r w:rsidR="00ED39D0">
        <w:rPr>
          <w:rFonts w:eastAsia="Times New Roman" w:cs="Times New Roman"/>
          <w:szCs w:val="24"/>
          <w:lang w:eastAsia="en-GB"/>
        </w:rPr>
        <w:t>ability to r</w:t>
      </w:r>
      <w:r w:rsidR="00ED39D0" w:rsidRPr="00ED39D0">
        <w:rPr>
          <w:rFonts w:eastAsia="Times New Roman" w:cs="Times New Roman"/>
          <w:szCs w:val="24"/>
          <w:lang w:eastAsia="en-GB"/>
        </w:rPr>
        <w:t>eplace any worn out furniture</w:t>
      </w:r>
      <w:r w:rsidR="00ED39D0">
        <w:rPr>
          <w:rFonts w:eastAsia="Times New Roman" w:cs="Times New Roman"/>
          <w:szCs w:val="24"/>
          <w:lang w:eastAsia="en-GB"/>
        </w:rPr>
        <w:t xml:space="preserve"> (35.8%), </w:t>
      </w:r>
      <w:r w:rsidR="002969A2">
        <w:rPr>
          <w:rFonts w:eastAsia="Times New Roman" w:cs="Times New Roman"/>
          <w:szCs w:val="24"/>
          <w:lang w:eastAsia="en-GB"/>
        </w:rPr>
        <w:t>ability to r</w:t>
      </w:r>
      <w:r w:rsidR="00ED39D0" w:rsidRPr="00ED39D0">
        <w:rPr>
          <w:rFonts w:eastAsia="Times New Roman" w:cs="Times New Roman"/>
          <w:szCs w:val="24"/>
          <w:lang w:eastAsia="en-GB"/>
        </w:rPr>
        <w:t>eplace or repair broken electrical goods</w:t>
      </w:r>
      <w:r w:rsidR="00ED39D0">
        <w:rPr>
          <w:rFonts w:eastAsia="Times New Roman" w:cs="Times New Roman"/>
          <w:szCs w:val="24"/>
          <w:lang w:eastAsia="en-GB"/>
        </w:rPr>
        <w:t xml:space="preserve"> (</w:t>
      </w:r>
      <w:r w:rsidR="0062126C">
        <w:rPr>
          <w:rFonts w:eastAsia="Times New Roman" w:cs="Times New Roman"/>
          <w:szCs w:val="24"/>
          <w:lang w:eastAsia="en-GB"/>
        </w:rPr>
        <w:t>29.6%)</w:t>
      </w:r>
      <w:r w:rsidR="002969A2">
        <w:rPr>
          <w:rFonts w:eastAsia="Times New Roman" w:cs="Times New Roman"/>
          <w:szCs w:val="24"/>
          <w:lang w:eastAsia="en-GB"/>
        </w:rPr>
        <w:t>, m</w:t>
      </w:r>
      <w:r w:rsidR="002969A2" w:rsidRPr="002969A2">
        <w:rPr>
          <w:rFonts w:eastAsia="Times New Roman" w:cs="Times New Roman"/>
          <w:szCs w:val="24"/>
          <w:lang w:eastAsia="en-GB"/>
        </w:rPr>
        <w:t>oney to spend each week on yourself, not on your family</w:t>
      </w:r>
      <w:r w:rsidR="002969A2">
        <w:rPr>
          <w:rFonts w:eastAsia="Times New Roman" w:cs="Times New Roman"/>
          <w:szCs w:val="24"/>
          <w:lang w:eastAsia="en-GB"/>
        </w:rPr>
        <w:t xml:space="preserve"> (39.7%), a</w:t>
      </w:r>
      <w:r w:rsidR="002969A2" w:rsidRPr="002969A2">
        <w:rPr>
          <w:rFonts w:eastAsia="Times New Roman" w:cs="Times New Roman"/>
          <w:szCs w:val="24"/>
          <w:lang w:eastAsia="en-GB"/>
        </w:rPr>
        <w:t xml:space="preserve"> holiday away from home at least 1 week a year with family</w:t>
      </w:r>
      <w:r w:rsidR="002969A2">
        <w:rPr>
          <w:rFonts w:eastAsia="Times New Roman" w:cs="Times New Roman"/>
          <w:szCs w:val="24"/>
          <w:lang w:eastAsia="en-GB"/>
        </w:rPr>
        <w:t xml:space="preserve"> (38.9%), a</w:t>
      </w:r>
      <w:r w:rsidR="002969A2" w:rsidRPr="002969A2">
        <w:rPr>
          <w:rFonts w:eastAsia="Times New Roman" w:cs="Times New Roman"/>
          <w:szCs w:val="24"/>
          <w:lang w:eastAsia="en-GB"/>
        </w:rPr>
        <w:t xml:space="preserve"> hobby or leisure activity</w:t>
      </w:r>
      <w:r w:rsidR="002969A2">
        <w:rPr>
          <w:rFonts w:eastAsia="Times New Roman" w:cs="Times New Roman"/>
          <w:szCs w:val="24"/>
          <w:lang w:eastAsia="en-GB"/>
        </w:rPr>
        <w:t xml:space="preserve"> (10.2%), and to g</w:t>
      </w:r>
      <w:r w:rsidR="002969A2" w:rsidRPr="002969A2">
        <w:rPr>
          <w:rFonts w:eastAsia="Times New Roman" w:cs="Times New Roman"/>
          <w:szCs w:val="24"/>
          <w:lang w:eastAsia="en-GB"/>
        </w:rPr>
        <w:t>o on a school trip at least once a term</w:t>
      </w:r>
      <w:r w:rsidR="002969A2">
        <w:rPr>
          <w:rFonts w:eastAsia="Times New Roman" w:cs="Times New Roman"/>
          <w:szCs w:val="24"/>
          <w:lang w:eastAsia="en-GB"/>
        </w:rPr>
        <w:t xml:space="preserve"> (6.3%).</w:t>
      </w:r>
    </w:p>
    <w:p w:rsidR="0046214B" w:rsidRDefault="0046214B" w:rsidP="0046214B">
      <w:pPr>
        <w:rPr>
          <w:rFonts w:eastAsia="Times New Roman" w:cs="Times New Roman"/>
          <w:szCs w:val="24"/>
          <w:lang w:eastAsia="en-GB"/>
        </w:rPr>
      </w:pPr>
    </w:p>
    <w:p w:rsidR="002969A2" w:rsidRDefault="002969A2">
      <w:pPr>
        <w:spacing w:after="160" w:line="259" w:lineRule="auto"/>
        <w:rPr>
          <w:rFonts w:eastAsia="Times New Roman" w:cs="Times New Roman"/>
          <w:b/>
          <w:szCs w:val="24"/>
          <w:lang w:eastAsia="en-GB"/>
        </w:rPr>
      </w:pPr>
      <w:r>
        <w:rPr>
          <w:rFonts w:eastAsia="Times New Roman" w:cs="Times New Roman"/>
          <w:b/>
          <w:szCs w:val="24"/>
          <w:lang w:eastAsia="en-GB"/>
        </w:rPr>
        <w:br w:type="page"/>
      </w:r>
    </w:p>
    <w:p w:rsidR="00B53570" w:rsidRPr="0091327A" w:rsidRDefault="0091327A" w:rsidP="0046214B">
      <w:pPr>
        <w:rPr>
          <w:rFonts w:eastAsia="Times New Roman" w:cs="Times New Roman"/>
          <w:b/>
          <w:szCs w:val="24"/>
          <w:lang w:eastAsia="en-GB"/>
        </w:rPr>
      </w:pPr>
      <w:r w:rsidRPr="0091327A">
        <w:rPr>
          <w:rFonts w:eastAsia="Times New Roman" w:cs="Times New Roman"/>
          <w:b/>
          <w:szCs w:val="24"/>
          <w:lang w:eastAsia="en-GB"/>
        </w:rPr>
        <w:lastRenderedPageBreak/>
        <w:t>Table 1.1: Main indicators of deprivation and poverty 2015/16-2017/18</w:t>
      </w:r>
    </w:p>
    <w:tbl>
      <w:tblPr>
        <w:tblStyle w:val="TableGrid"/>
        <w:tblW w:w="5000" w:type="pct"/>
        <w:tblLook w:val="04A0" w:firstRow="1" w:lastRow="0" w:firstColumn="1" w:lastColumn="0" w:noHBand="0" w:noVBand="1"/>
      </w:tblPr>
      <w:tblGrid>
        <w:gridCol w:w="1874"/>
        <w:gridCol w:w="849"/>
        <w:gridCol w:w="849"/>
        <w:gridCol w:w="787"/>
        <w:gridCol w:w="787"/>
        <w:gridCol w:w="787"/>
        <w:gridCol w:w="787"/>
        <w:gridCol w:w="787"/>
        <w:gridCol w:w="787"/>
        <w:gridCol w:w="722"/>
      </w:tblGrid>
      <w:tr w:rsidR="00B53570" w:rsidRPr="00136D90" w:rsidTr="00B53570">
        <w:trPr>
          <w:trHeight w:val="1200"/>
        </w:trPr>
        <w:tc>
          <w:tcPr>
            <w:tcW w:w="843" w:type="pct"/>
            <w:noWrap/>
            <w:hideMark/>
          </w:tcPr>
          <w:p w:rsidR="00B53570" w:rsidRPr="00136D90" w:rsidRDefault="00B53570" w:rsidP="00B53570">
            <w:pPr>
              <w:jc w:val="center"/>
              <w:rPr>
                <w:rFonts w:eastAsia="Times New Roman" w:cs="Times New Roman"/>
                <w:color w:val="000000"/>
                <w:sz w:val="16"/>
                <w:szCs w:val="16"/>
                <w:lang w:eastAsia="en-GB"/>
              </w:rPr>
            </w:pPr>
          </w:p>
        </w:tc>
        <w:tc>
          <w:tcPr>
            <w:tcW w:w="399" w:type="pct"/>
            <w:hideMark/>
          </w:tcPr>
          <w:p w:rsidR="00B53570" w:rsidRPr="00B95A51" w:rsidRDefault="00B53570" w:rsidP="00B53570">
            <w:pPr>
              <w:jc w:val="center"/>
              <w:rPr>
                <w:rFonts w:eastAsia="Times New Roman" w:cs="Times New Roman"/>
                <w:color w:val="000000"/>
                <w:sz w:val="16"/>
                <w:szCs w:val="16"/>
                <w:lang w:eastAsia="en-GB"/>
              </w:rPr>
            </w:pPr>
            <w:r w:rsidRPr="00B95A51">
              <w:rPr>
                <w:rFonts w:eastAsia="Times New Roman" w:cs="Times New Roman"/>
                <w:color w:val="000000"/>
                <w:sz w:val="16"/>
                <w:szCs w:val="16"/>
                <w:lang w:eastAsia="en-GB"/>
              </w:rPr>
              <w:t>Material deprivation and low income</w:t>
            </w:r>
          </w:p>
        </w:tc>
        <w:tc>
          <w:tcPr>
            <w:tcW w:w="399" w:type="pct"/>
            <w:hideMark/>
          </w:tcPr>
          <w:p w:rsidR="00B53570" w:rsidRPr="00B95A51" w:rsidRDefault="00B53570" w:rsidP="00B53570">
            <w:pPr>
              <w:jc w:val="center"/>
              <w:rPr>
                <w:rFonts w:eastAsia="Times New Roman" w:cs="Times New Roman"/>
                <w:color w:val="000000"/>
                <w:sz w:val="16"/>
                <w:szCs w:val="16"/>
                <w:lang w:eastAsia="en-GB"/>
              </w:rPr>
            </w:pPr>
            <w:r w:rsidRPr="00B95A51">
              <w:rPr>
                <w:rFonts w:eastAsia="Times New Roman" w:cs="Times New Roman"/>
                <w:color w:val="000000"/>
                <w:sz w:val="16"/>
                <w:szCs w:val="16"/>
                <w:lang w:eastAsia="en-GB"/>
              </w:rPr>
              <w:t>Material deprivation and severe low income</w:t>
            </w:r>
          </w:p>
        </w:tc>
        <w:tc>
          <w:tcPr>
            <w:tcW w:w="397" w:type="pct"/>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bCs/>
                <w:color w:val="000000"/>
                <w:sz w:val="16"/>
                <w:szCs w:val="16"/>
                <w:lang w:eastAsia="en-GB"/>
              </w:rPr>
              <w:t>Income thresholds - Below 50% median BHC</w:t>
            </w:r>
            <w:r w:rsidRPr="00136D90">
              <w:rPr>
                <w:rFonts w:eastAsia="Times New Roman" w:cs="Times New Roman"/>
                <w:iCs/>
                <w:color w:val="000000"/>
                <w:sz w:val="16"/>
                <w:szCs w:val="16"/>
                <w:lang w:eastAsia="en-GB"/>
              </w:rPr>
              <w:t xml:space="preserve"> </w:t>
            </w:r>
          </w:p>
        </w:tc>
        <w:tc>
          <w:tcPr>
            <w:tcW w:w="413" w:type="pct"/>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bCs/>
                <w:color w:val="000000"/>
                <w:sz w:val="16"/>
                <w:szCs w:val="16"/>
                <w:lang w:eastAsia="en-GB"/>
              </w:rPr>
              <w:t>Income thresholds - Below 60% median</w:t>
            </w:r>
            <w:r w:rsidRPr="00136D90">
              <w:rPr>
                <w:rFonts w:eastAsia="Times New Roman" w:cs="Times New Roman"/>
                <w:color w:val="000000"/>
                <w:sz w:val="16"/>
                <w:szCs w:val="16"/>
                <w:lang w:eastAsia="en-GB"/>
              </w:rPr>
              <w:t xml:space="preserve"> </w:t>
            </w:r>
          </w:p>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BHC</w:t>
            </w:r>
          </w:p>
        </w:tc>
        <w:tc>
          <w:tcPr>
            <w:tcW w:w="499" w:type="pct"/>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bCs/>
                <w:color w:val="000000"/>
                <w:sz w:val="16"/>
                <w:szCs w:val="16"/>
                <w:lang w:eastAsia="en-GB"/>
              </w:rPr>
              <w:t>Income thresholds - Below 70% median</w:t>
            </w:r>
            <w:r w:rsidRPr="00136D90">
              <w:rPr>
                <w:rFonts w:eastAsia="Times New Roman" w:cs="Times New Roman"/>
                <w:color w:val="000000"/>
                <w:sz w:val="16"/>
                <w:szCs w:val="16"/>
                <w:lang w:eastAsia="en-GB"/>
              </w:rPr>
              <w:t xml:space="preserve"> </w:t>
            </w:r>
          </w:p>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BHC</w:t>
            </w:r>
          </w:p>
        </w:tc>
        <w:tc>
          <w:tcPr>
            <w:tcW w:w="408" w:type="pct"/>
            <w:hideMark/>
          </w:tcPr>
          <w:p w:rsidR="00B53570" w:rsidRPr="00136D90" w:rsidRDefault="00B53570" w:rsidP="00B53570">
            <w:pPr>
              <w:jc w:val="center"/>
              <w:rPr>
                <w:rFonts w:eastAsia="Times New Roman" w:cs="Times New Roman"/>
                <w:bCs/>
                <w:color w:val="000000"/>
                <w:sz w:val="16"/>
                <w:szCs w:val="16"/>
                <w:lang w:eastAsia="en-GB"/>
              </w:rPr>
            </w:pPr>
            <w:r w:rsidRPr="00136D90">
              <w:rPr>
                <w:rFonts w:eastAsia="Times New Roman" w:cs="Times New Roman"/>
                <w:bCs/>
                <w:color w:val="000000"/>
                <w:sz w:val="16"/>
                <w:szCs w:val="16"/>
                <w:lang w:eastAsia="en-GB"/>
              </w:rPr>
              <w:t>Income thresholds - Below 50% median</w:t>
            </w:r>
          </w:p>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bCs/>
                <w:iCs/>
                <w:color w:val="000000"/>
                <w:sz w:val="16"/>
                <w:szCs w:val="16"/>
                <w:lang w:eastAsia="en-GB"/>
              </w:rPr>
              <w:t>AHC</w:t>
            </w:r>
            <w:r w:rsidRPr="00136D90">
              <w:rPr>
                <w:rFonts w:eastAsia="Times New Roman" w:cs="Times New Roman"/>
                <w:iCs/>
                <w:color w:val="000000"/>
                <w:sz w:val="16"/>
                <w:szCs w:val="16"/>
                <w:lang w:eastAsia="en-GB"/>
              </w:rPr>
              <w:t xml:space="preserve"> </w:t>
            </w:r>
          </w:p>
        </w:tc>
        <w:tc>
          <w:tcPr>
            <w:tcW w:w="544" w:type="pct"/>
            <w:hideMark/>
          </w:tcPr>
          <w:p w:rsidR="00B53570" w:rsidRPr="00136D90" w:rsidRDefault="00B53570" w:rsidP="00B53570">
            <w:pPr>
              <w:jc w:val="center"/>
              <w:rPr>
                <w:rFonts w:eastAsia="Times New Roman" w:cs="Times New Roman"/>
                <w:bCs/>
                <w:color w:val="000000"/>
                <w:sz w:val="16"/>
                <w:szCs w:val="16"/>
                <w:lang w:eastAsia="en-GB"/>
              </w:rPr>
            </w:pPr>
            <w:r w:rsidRPr="00136D90">
              <w:rPr>
                <w:rFonts w:eastAsia="Times New Roman" w:cs="Times New Roman"/>
                <w:bCs/>
                <w:color w:val="000000"/>
                <w:sz w:val="16"/>
                <w:szCs w:val="16"/>
                <w:lang w:eastAsia="en-GB"/>
              </w:rPr>
              <w:t>Income thresholds - Below 60% median</w:t>
            </w:r>
          </w:p>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bCs/>
                <w:color w:val="000000"/>
                <w:sz w:val="16"/>
                <w:szCs w:val="16"/>
                <w:lang w:eastAsia="en-GB"/>
              </w:rPr>
              <w:t>AHC</w:t>
            </w:r>
          </w:p>
        </w:tc>
        <w:tc>
          <w:tcPr>
            <w:tcW w:w="408" w:type="pct"/>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bCs/>
                <w:color w:val="000000"/>
                <w:sz w:val="16"/>
                <w:szCs w:val="16"/>
                <w:lang w:eastAsia="en-GB"/>
              </w:rPr>
              <w:t>Income thresholds - Below 70% median</w:t>
            </w:r>
            <w:r w:rsidRPr="00136D90">
              <w:rPr>
                <w:rFonts w:eastAsia="Times New Roman" w:cs="Times New Roman"/>
                <w:color w:val="000000"/>
                <w:sz w:val="16"/>
                <w:szCs w:val="16"/>
                <w:lang w:eastAsia="en-GB"/>
              </w:rPr>
              <w:t xml:space="preserve"> </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Millions </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England</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12</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11</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20</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32</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20</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31</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41</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11.6</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 xml:space="preserve">     North East</w:t>
            </w:r>
          </w:p>
        </w:tc>
        <w:tc>
          <w:tcPr>
            <w:tcW w:w="399" w:type="pct"/>
            <w:noWrap/>
            <w:hideMark/>
          </w:tcPr>
          <w:p w:rsidR="00B53570" w:rsidRPr="00136D90" w:rsidRDefault="00B53570" w:rsidP="00B53570">
            <w:pPr>
              <w:jc w:val="cente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17</w:t>
            </w:r>
          </w:p>
        </w:tc>
        <w:tc>
          <w:tcPr>
            <w:tcW w:w="399" w:type="pct"/>
            <w:noWrap/>
            <w:hideMark/>
          </w:tcPr>
          <w:p w:rsidR="00B53570" w:rsidRPr="00136D90" w:rsidRDefault="00B53570" w:rsidP="00B53570">
            <w:pPr>
              <w:jc w:val="cente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4</w:t>
            </w:r>
          </w:p>
        </w:tc>
        <w:tc>
          <w:tcPr>
            <w:tcW w:w="397" w:type="pct"/>
            <w:noWrap/>
            <w:hideMark/>
          </w:tcPr>
          <w:p w:rsidR="00B53570" w:rsidRPr="00136D90" w:rsidRDefault="00B53570" w:rsidP="00B53570">
            <w:pPr>
              <w:jc w:val="center"/>
              <w:rPr>
                <w:rFonts w:eastAsia="Times New Roman" w:cs="Times New Roman"/>
                <w:b/>
                <w:iCs/>
                <w:color w:val="FF0000"/>
                <w:sz w:val="16"/>
                <w:szCs w:val="16"/>
                <w:lang w:eastAsia="en-GB"/>
              </w:rPr>
            </w:pPr>
            <w:r w:rsidRPr="00136D90">
              <w:rPr>
                <w:rFonts w:eastAsia="Times New Roman" w:cs="Times New Roman"/>
                <w:b/>
                <w:iCs/>
                <w:color w:val="FF0000"/>
                <w:sz w:val="16"/>
                <w:szCs w:val="16"/>
                <w:lang w:eastAsia="en-GB"/>
              </w:rPr>
              <w:t>11</w:t>
            </w:r>
          </w:p>
        </w:tc>
        <w:tc>
          <w:tcPr>
            <w:tcW w:w="413" w:type="pct"/>
            <w:noWrap/>
            <w:hideMark/>
          </w:tcPr>
          <w:p w:rsidR="00B53570" w:rsidRPr="00136D90" w:rsidRDefault="00B53570" w:rsidP="00B53570">
            <w:pPr>
              <w:jc w:val="cente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25</w:t>
            </w:r>
          </w:p>
        </w:tc>
        <w:tc>
          <w:tcPr>
            <w:tcW w:w="499" w:type="pct"/>
            <w:noWrap/>
            <w:hideMark/>
          </w:tcPr>
          <w:p w:rsidR="00B53570" w:rsidRPr="00136D90" w:rsidRDefault="00B53570" w:rsidP="00B53570">
            <w:pPr>
              <w:jc w:val="cente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41</w:t>
            </w:r>
          </w:p>
        </w:tc>
        <w:tc>
          <w:tcPr>
            <w:tcW w:w="408" w:type="pct"/>
            <w:noWrap/>
            <w:hideMark/>
          </w:tcPr>
          <w:p w:rsidR="00B53570" w:rsidRPr="00136D90" w:rsidRDefault="00B53570" w:rsidP="00B53570">
            <w:pPr>
              <w:jc w:val="center"/>
              <w:rPr>
                <w:rFonts w:eastAsia="Times New Roman" w:cs="Times New Roman"/>
                <w:b/>
                <w:iCs/>
                <w:color w:val="FF0000"/>
                <w:sz w:val="16"/>
                <w:szCs w:val="16"/>
                <w:lang w:eastAsia="en-GB"/>
              </w:rPr>
            </w:pPr>
            <w:r w:rsidRPr="00136D90">
              <w:rPr>
                <w:rFonts w:eastAsia="Times New Roman" w:cs="Times New Roman"/>
                <w:b/>
                <w:iCs/>
                <w:color w:val="FF0000"/>
                <w:sz w:val="16"/>
                <w:szCs w:val="16"/>
                <w:lang w:eastAsia="en-GB"/>
              </w:rPr>
              <w:t>19</w:t>
            </w:r>
          </w:p>
        </w:tc>
        <w:tc>
          <w:tcPr>
            <w:tcW w:w="544" w:type="pct"/>
            <w:noWrap/>
            <w:hideMark/>
          </w:tcPr>
          <w:p w:rsidR="00B53570" w:rsidRPr="00136D90" w:rsidRDefault="00B53570" w:rsidP="00B53570">
            <w:pPr>
              <w:jc w:val="cente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35</w:t>
            </w:r>
          </w:p>
        </w:tc>
        <w:tc>
          <w:tcPr>
            <w:tcW w:w="408" w:type="pct"/>
            <w:noWrap/>
            <w:hideMark/>
          </w:tcPr>
          <w:p w:rsidR="00B53570" w:rsidRPr="00136D90" w:rsidRDefault="00B53570" w:rsidP="00B53570">
            <w:pPr>
              <w:jc w:val="cente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46</w:t>
            </w:r>
          </w:p>
        </w:tc>
        <w:tc>
          <w:tcPr>
            <w:tcW w:w="691" w:type="pct"/>
            <w:noWrap/>
            <w:hideMark/>
          </w:tcPr>
          <w:p w:rsidR="00B53570" w:rsidRPr="00136D90" w:rsidRDefault="00B53570" w:rsidP="00B53570">
            <w:pPr>
              <w:jc w:val="cente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0.5</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North West</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15</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6</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14</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25</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38</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20</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32</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44</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1.5</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Yorkshire and the Humber</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14</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6</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12</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24</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38</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20</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30</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42</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1.1</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East Midlands</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12</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12</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21</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34</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19</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28</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39</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1.0</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West Midlands</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13</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5</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12</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26</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41</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21</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34</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46</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1.3</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East</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8</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10</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17</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28</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18</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27</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35</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1.3</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London</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13</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6</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11</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19</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29</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27</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37</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47</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2.0</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Inner</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18</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9</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15</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23</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33</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33</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44</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52</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0.6</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Outer</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10</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9</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18</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26</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24</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34</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44</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1.3</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South East</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7</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9</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15</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23</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17</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25</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33</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1.9</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South West</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10</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7</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15</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27</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15</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25</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37</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1.1</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Wales</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12</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10</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20</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37</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19</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29</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41</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0.6</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Scotland</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11</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5</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11</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20</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31</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17</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24</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34</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1.0</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xml:space="preserve">  Northern Ireland</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8</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10</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21</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36</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13</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24</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35</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0.4</w:t>
            </w:r>
          </w:p>
        </w:tc>
      </w:tr>
      <w:tr w:rsidR="00B53570" w:rsidRPr="00136D90" w:rsidTr="00B53570">
        <w:trPr>
          <w:trHeight w:val="300"/>
        </w:trPr>
        <w:tc>
          <w:tcPr>
            <w:tcW w:w="843"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w:t>
            </w:r>
          </w:p>
        </w:tc>
        <w:tc>
          <w:tcPr>
            <w:tcW w:w="399"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w:t>
            </w:r>
          </w:p>
        </w:tc>
        <w:tc>
          <w:tcPr>
            <w:tcW w:w="399"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 </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 </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 </w:t>
            </w:r>
          </w:p>
        </w:tc>
        <w:tc>
          <w:tcPr>
            <w:tcW w:w="408" w:type="pct"/>
            <w:noWrap/>
            <w:hideMark/>
          </w:tcPr>
          <w:p w:rsidR="00B53570" w:rsidRPr="00136D90" w:rsidRDefault="00B53570" w:rsidP="00B53570">
            <w:pP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 </w:t>
            </w:r>
          </w:p>
        </w:tc>
        <w:tc>
          <w:tcPr>
            <w:tcW w:w="544"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w:t>
            </w:r>
          </w:p>
        </w:tc>
        <w:tc>
          <w:tcPr>
            <w:tcW w:w="408"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w:t>
            </w:r>
          </w:p>
        </w:tc>
        <w:tc>
          <w:tcPr>
            <w:tcW w:w="691" w:type="pct"/>
            <w:noWrap/>
            <w:hideMark/>
          </w:tcPr>
          <w:p w:rsidR="00B53570" w:rsidRPr="00136D90" w:rsidRDefault="00B53570" w:rsidP="00B53570">
            <w:pPr>
              <w:rPr>
                <w:rFonts w:eastAsia="Times New Roman" w:cs="Times New Roman"/>
                <w:color w:val="000000"/>
                <w:sz w:val="16"/>
                <w:szCs w:val="16"/>
                <w:lang w:eastAsia="en-GB"/>
              </w:rPr>
            </w:pPr>
            <w:r w:rsidRPr="00136D90">
              <w:rPr>
                <w:rFonts w:eastAsia="Times New Roman" w:cs="Times New Roman"/>
                <w:color w:val="000000"/>
                <w:sz w:val="16"/>
                <w:szCs w:val="16"/>
                <w:lang w:eastAsia="en-GB"/>
              </w:rPr>
              <w:t> </w:t>
            </w:r>
          </w:p>
        </w:tc>
      </w:tr>
      <w:tr w:rsidR="00B53570" w:rsidRPr="00136D90" w:rsidTr="00B53570">
        <w:trPr>
          <w:trHeight w:val="315"/>
        </w:trPr>
        <w:tc>
          <w:tcPr>
            <w:tcW w:w="843" w:type="pct"/>
            <w:noWrap/>
            <w:hideMark/>
          </w:tcPr>
          <w:p w:rsidR="00B53570" w:rsidRPr="00136D90" w:rsidRDefault="00B53570" w:rsidP="00B53570">
            <w:pPr>
              <w:rPr>
                <w:rFonts w:eastAsia="Times New Roman" w:cs="Times New Roman"/>
                <w:bCs/>
                <w:color w:val="000000"/>
                <w:sz w:val="16"/>
                <w:szCs w:val="16"/>
                <w:lang w:eastAsia="en-GB"/>
              </w:rPr>
            </w:pPr>
            <w:r w:rsidRPr="00136D90">
              <w:rPr>
                <w:rFonts w:eastAsia="Times New Roman" w:cs="Times New Roman"/>
                <w:bCs/>
                <w:color w:val="000000"/>
                <w:sz w:val="16"/>
                <w:szCs w:val="16"/>
                <w:lang w:eastAsia="en-GB"/>
              </w:rPr>
              <w:t>All children</w:t>
            </w:r>
            <w:r w:rsidRPr="00136D90">
              <w:rPr>
                <w:rFonts w:eastAsia="Times New Roman" w:cs="Times New Roman"/>
                <w:bCs/>
                <w:color w:val="000000"/>
                <w:sz w:val="16"/>
                <w:szCs w:val="16"/>
                <w:vertAlign w:val="superscript"/>
                <w:lang w:eastAsia="en-GB"/>
              </w:rPr>
              <w:t>6</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12</w:t>
            </w:r>
          </w:p>
        </w:tc>
        <w:tc>
          <w:tcPr>
            <w:tcW w:w="3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5</w:t>
            </w:r>
          </w:p>
        </w:tc>
        <w:tc>
          <w:tcPr>
            <w:tcW w:w="397"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12</w:t>
            </w:r>
          </w:p>
        </w:tc>
        <w:tc>
          <w:tcPr>
            <w:tcW w:w="413"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22</w:t>
            </w:r>
          </w:p>
        </w:tc>
        <w:tc>
          <w:tcPr>
            <w:tcW w:w="499"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33</w:t>
            </w:r>
          </w:p>
        </w:tc>
        <w:tc>
          <w:tcPr>
            <w:tcW w:w="408" w:type="pct"/>
            <w:noWrap/>
            <w:hideMark/>
          </w:tcPr>
          <w:p w:rsidR="00B53570" w:rsidRPr="00136D90" w:rsidRDefault="00B53570" w:rsidP="00B53570">
            <w:pPr>
              <w:jc w:val="center"/>
              <w:rPr>
                <w:rFonts w:eastAsia="Times New Roman" w:cs="Times New Roman"/>
                <w:iCs/>
                <w:color w:val="000000"/>
                <w:sz w:val="16"/>
                <w:szCs w:val="16"/>
                <w:lang w:eastAsia="en-GB"/>
              </w:rPr>
            </w:pPr>
            <w:r w:rsidRPr="00136D90">
              <w:rPr>
                <w:rFonts w:eastAsia="Times New Roman" w:cs="Times New Roman"/>
                <w:iCs/>
                <w:color w:val="000000"/>
                <w:sz w:val="16"/>
                <w:szCs w:val="16"/>
                <w:lang w:eastAsia="en-GB"/>
              </w:rPr>
              <w:t>20</w:t>
            </w:r>
          </w:p>
        </w:tc>
        <w:tc>
          <w:tcPr>
            <w:tcW w:w="544"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30</w:t>
            </w:r>
          </w:p>
        </w:tc>
        <w:tc>
          <w:tcPr>
            <w:tcW w:w="408"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40</w:t>
            </w:r>
          </w:p>
        </w:tc>
        <w:tc>
          <w:tcPr>
            <w:tcW w:w="691" w:type="pct"/>
            <w:noWrap/>
            <w:hideMark/>
          </w:tcPr>
          <w:p w:rsidR="00B53570" w:rsidRPr="00136D90" w:rsidRDefault="00B53570" w:rsidP="00B53570">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13.8</w:t>
            </w:r>
          </w:p>
        </w:tc>
      </w:tr>
    </w:tbl>
    <w:p w:rsidR="00BF108F" w:rsidRPr="00CE4397" w:rsidRDefault="0091327A" w:rsidP="00BF108F">
      <w:pPr>
        <w:rPr>
          <w:rFonts w:eastAsia="Times New Roman" w:cs="Times New Roman"/>
          <w:szCs w:val="24"/>
          <w:lang w:eastAsia="en-GB"/>
        </w:rPr>
      </w:pPr>
      <w:r>
        <w:rPr>
          <w:rFonts w:eastAsia="Times New Roman" w:cs="Times New Roman"/>
          <w:szCs w:val="24"/>
          <w:lang w:eastAsia="en-GB"/>
        </w:rPr>
        <w:t>Source: HBAI Table 4.6db</w:t>
      </w:r>
    </w:p>
    <w:p w:rsidR="00136D90" w:rsidRDefault="00136D90">
      <w:pPr>
        <w:spacing w:after="160" w:line="259" w:lineRule="auto"/>
      </w:pPr>
    </w:p>
    <w:p w:rsidR="002921C3" w:rsidRDefault="002969A2">
      <w:pPr>
        <w:spacing w:after="160" w:line="259" w:lineRule="auto"/>
      </w:pPr>
      <w:r>
        <w:t>Table 1.2 gives the changes in regional child income poverty rates</w:t>
      </w:r>
      <w:r w:rsidR="000105F4">
        <w:t xml:space="preserve"> </w:t>
      </w:r>
      <w:r>
        <w:t xml:space="preserve"> over</w:t>
      </w:r>
      <w:r w:rsidR="000105F4">
        <w:t xml:space="preserve"> </w:t>
      </w:r>
      <w:r w:rsidR="00136D90">
        <w:t xml:space="preserve">time </w:t>
      </w:r>
      <w:r w:rsidR="000105F4">
        <w:t>(at the 60% threshold)</w:t>
      </w:r>
      <w:r w:rsidR="00BD4C51">
        <w:t xml:space="preserve">. </w:t>
      </w:r>
      <w:bookmarkStart w:id="3" w:name="_Hlk30059184"/>
      <w:r w:rsidR="00BD4C51">
        <w:t xml:space="preserve">Child poverty both before and </w:t>
      </w:r>
      <w:r w:rsidR="000105F4">
        <w:t>a</w:t>
      </w:r>
      <w:r w:rsidR="00BD4C51">
        <w:t>fter hou</w:t>
      </w:r>
      <w:r w:rsidR="000105F4">
        <w:t>s</w:t>
      </w:r>
      <w:r w:rsidR="00BD4C51">
        <w:t xml:space="preserve">ing costs fell in the NE in the earlier periods but have been rising again since 2012/13-2014/15. In the first period the NE had the highest child poverty rate BHC and second equal highest AHC after London. </w:t>
      </w:r>
      <w:r w:rsidR="000105F4">
        <w:t>By the most recent period the NE had the equal second highest child income poverty rate BHC and the second highest AHC.</w:t>
      </w:r>
    </w:p>
    <w:bookmarkEnd w:id="3"/>
    <w:p w:rsidR="002921C3" w:rsidRDefault="002921C3">
      <w:pPr>
        <w:spacing w:after="160" w:line="259" w:lineRule="auto"/>
      </w:pPr>
    </w:p>
    <w:p w:rsidR="000105F4" w:rsidRDefault="000105F4">
      <w:pPr>
        <w:spacing w:after="160" w:line="259" w:lineRule="auto"/>
        <w:rPr>
          <w:b/>
        </w:rPr>
      </w:pPr>
    </w:p>
    <w:p w:rsidR="000105F4" w:rsidRDefault="000105F4">
      <w:pPr>
        <w:spacing w:after="160" w:line="259" w:lineRule="auto"/>
        <w:rPr>
          <w:b/>
        </w:rPr>
      </w:pPr>
    </w:p>
    <w:p w:rsidR="00136D90" w:rsidRDefault="00136D90">
      <w:pPr>
        <w:spacing w:after="160" w:line="259" w:lineRule="auto"/>
        <w:rPr>
          <w:b/>
        </w:rPr>
      </w:pPr>
    </w:p>
    <w:p w:rsidR="00136D90" w:rsidRDefault="00136D90">
      <w:pPr>
        <w:spacing w:after="160" w:line="259" w:lineRule="auto"/>
        <w:rPr>
          <w:b/>
        </w:rPr>
      </w:pPr>
    </w:p>
    <w:p w:rsidR="00136D90" w:rsidRDefault="00136D90">
      <w:pPr>
        <w:spacing w:after="160" w:line="259" w:lineRule="auto"/>
        <w:rPr>
          <w:b/>
        </w:rPr>
      </w:pPr>
    </w:p>
    <w:p w:rsidR="00B95A51" w:rsidRDefault="00B95A51">
      <w:pPr>
        <w:spacing w:after="160" w:line="259" w:lineRule="auto"/>
        <w:rPr>
          <w:b/>
        </w:rPr>
      </w:pPr>
    </w:p>
    <w:p w:rsidR="00B95A51" w:rsidRDefault="00B95A51">
      <w:pPr>
        <w:spacing w:after="160" w:line="259" w:lineRule="auto"/>
        <w:rPr>
          <w:b/>
        </w:rPr>
      </w:pPr>
    </w:p>
    <w:p w:rsidR="00B95A51" w:rsidRDefault="00B95A51">
      <w:pPr>
        <w:spacing w:after="160" w:line="259" w:lineRule="auto"/>
        <w:rPr>
          <w:b/>
        </w:rPr>
      </w:pPr>
    </w:p>
    <w:p w:rsidR="002921C3" w:rsidRPr="002969A2" w:rsidRDefault="002921C3">
      <w:pPr>
        <w:spacing w:after="160" w:line="259" w:lineRule="auto"/>
        <w:rPr>
          <w:b/>
        </w:rPr>
      </w:pPr>
      <w:r w:rsidRPr="002969A2">
        <w:rPr>
          <w:b/>
        </w:rPr>
        <w:lastRenderedPageBreak/>
        <w:t xml:space="preserve">Table </w:t>
      </w:r>
      <w:r w:rsidR="002969A2" w:rsidRPr="002969A2">
        <w:rPr>
          <w:b/>
        </w:rPr>
        <w:t>1.2</w:t>
      </w:r>
      <w:r w:rsidRPr="002969A2">
        <w:rPr>
          <w:b/>
        </w:rPr>
        <w:t>: Percentage of children living in households with less than 60 per cent of contemporary median household income, by region and country, United Kingdom</w:t>
      </w:r>
    </w:p>
    <w:tbl>
      <w:tblPr>
        <w:tblStyle w:val="TableGrid"/>
        <w:tblW w:w="4826" w:type="pct"/>
        <w:tblLook w:val="04A0" w:firstRow="1" w:lastRow="0" w:firstColumn="1" w:lastColumn="0" w:noHBand="0" w:noVBand="1"/>
      </w:tblPr>
      <w:tblGrid>
        <w:gridCol w:w="2331"/>
        <w:gridCol w:w="607"/>
        <w:gridCol w:w="607"/>
        <w:gridCol w:w="607"/>
        <w:gridCol w:w="608"/>
        <w:gridCol w:w="608"/>
        <w:gridCol w:w="608"/>
        <w:gridCol w:w="608"/>
        <w:gridCol w:w="608"/>
        <w:gridCol w:w="608"/>
        <w:gridCol w:w="608"/>
        <w:gridCol w:w="608"/>
      </w:tblGrid>
      <w:tr w:rsidR="002921C3" w:rsidRPr="002969A2" w:rsidTr="002921C3">
        <w:trPr>
          <w:trHeight w:val="720"/>
        </w:trPr>
        <w:tc>
          <w:tcPr>
            <w:tcW w:w="1228" w:type="pct"/>
            <w:hideMark/>
          </w:tcPr>
          <w:p w:rsidR="002921C3" w:rsidRPr="002969A2" w:rsidRDefault="002921C3" w:rsidP="002921C3">
            <w:pP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05/06-07/08</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06/07-08/09</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07/08-09/10</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08/09-10/11</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09/10-11/12</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10/11-12/13</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11/12-13/14</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12/13-14/15</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13/14-15/16</w:t>
            </w:r>
          </w:p>
        </w:tc>
        <w:tc>
          <w:tcPr>
            <w:tcW w:w="333"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14/15-16/17</w:t>
            </w:r>
          </w:p>
        </w:tc>
        <w:tc>
          <w:tcPr>
            <w:tcW w:w="440" w:type="pct"/>
            <w:hideMark/>
          </w:tcPr>
          <w:p w:rsidR="002921C3" w:rsidRPr="002969A2" w:rsidRDefault="002921C3" w:rsidP="002921C3">
            <w:pPr>
              <w:jc w:val="cente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15/16-17/18</w:t>
            </w:r>
          </w:p>
        </w:tc>
      </w:tr>
      <w:tr w:rsidR="002921C3" w:rsidRPr="002969A2" w:rsidTr="002921C3">
        <w:trPr>
          <w:trHeight w:val="384"/>
        </w:trPr>
        <w:tc>
          <w:tcPr>
            <w:tcW w:w="1228" w:type="pct"/>
            <w:hideMark/>
          </w:tcPr>
          <w:p w:rsidR="002921C3" w:rsidRPr="002969A2" w:rsidRDefault="002921C3" w:rsidP="002921C3">
            <w:pPr>
              <w:rPr>
                <w:rFonts w:eastAsia="Times New Roman" w:cs="Times New Roman"/>
                <w:bCs/>
                <w:color w:val="000000"/>
                <w:sz w:val="16"/>
                <w:szCs w:val="16"/>
                <w:lang w:eastAsia="en-GB"/>
              </w:rPr>
            </w:pPr>
            <w:r w:rsidRPr="002969A2">
              <w:rPr>
                <w:rFonts w:eastAsia="Times New Roman" w:cs="Times New Roman"/>
                <w:bCs/>
                <w:color w:val="000000"/>
                <w:sz w:val="16"/>
                <w:szCs w:val="16"/>
                <w:lang w:eastAsia="en-GB"/>
              </w:rPr>
              <w:t>Before Housing Costs</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440" w:type="pct"/>
            <w:hideMark/>
          </w:tcPr>
          <w:p w:rsidR="002921C3" w:rsidRPr="002969A2" w:rsidRDefault="002921C3" w:rsidP="002921C3">
            <w:pPr>
              <w:jc w:val="cente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r>
      <w:tr w:rsidR="002921C3" w:rsidRPr="002969A2" w:rsidTr="002921C3">
        <w:trPr>
          <w:trHeight w:val="469"/>
        </w:trPr>
        <w:tc>
          <w:tcPr>
            <w:tcW w:w="1228" w:type="pct"/>
            <w:noWrap/>
            <w:hideMark/>
          </w:tcPr>
          <w:p w:rsidR="002921C3" w:rsidRPr="002969A2" w:rsidRDefault="002921C3" w:rsidP="002921C3">
            <w:pP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Region/Country (3-year average)</w:t>
            </w:r>
          </w:p>
        </w:tc>
        <w:tc>
          <w:tcPr>
            <w:tcW w:w="333" w:type="pct"/>
            <w:hideMark/>
          </w:tcPr>
          <w:p w:rsidR="002921C3" w:rsidRPr="002969A2" w:rsidRDefault="002921C3" w:rsidP="002921C3">
            <w:pPr>
              <w:jc w:val="right"/>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440"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r>
      <w:tr w:rsidR="002921C3" w:rsidRPr="002969A2" w:rsidTr="002921C3">
        <w:trPr>
          <w:trHeight w:val="375"/>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England</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19</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 xml:space="preserve">     North East</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28</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29</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27</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25</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22</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21</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18</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19</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20</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24</w:t>
            </w:r>
          </w:p>
        </w:tc>
        <w:tc>
          <w:tcPr>
            <w:tcW w:w="440"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25</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North West</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Yorkshire and the Humber</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East Midlands</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West Midlands</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East</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London</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19</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South East</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South West</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15</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Wales</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19</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Scotland</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19</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Northern Ireland</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r>
      <w:tr w:rsidR="002921C3" w:rsidRPr="002969A2" w:rsidTr="002921C3">
        <w:trPr>
          <w:trHeight w:val="409"/>
        </w:trPr>
        <w:tc>
          <w:tcPr>
            <w:tcW w:w="1228" w:type="pct"/>
            <w:noWrap/>
            <w:hideMark/>
          </w:tcPr>
          <w:p w:rsidR="002921C3" w:rsidRPr="002969A2" w:rsidRDefault="002921C3" w:rsidP="002921C3">
            <w:pP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r>
      <w:tr w:rsidR="002921C3" w:rsidRPr="002969A2" w:rsidTr="002921C3">
        <w:trPr>
          <w:trHeight w:val="349"/>
        </w:trPr>
        <w:tc>
          <w:tcPr>
            <w:tcW w:w="1228" w:type="pct"/>
            <w:noWrap/>
            <w:hideMark/>
          </w:tcPr>
          <w:p w:rsidR="002921C3" w:rsidRPr="002969A2" w:rsidRDefault="002921C3" w:rsidP="002921C3">
            <w:pP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All children (per cent)</w:t>
            </w:r>
            <w:r w:rsidRPr="002969A2">
              <w:rPr>
                <w:rFonts w:eastAsia="Times New Roman" w:cs="Times New Roman"/>
                <w:b/>
                <w:bCs/>
                <w:color w:val="000000"/>
                <w:sz w:val="16"/>
                <w:szCs w:val="16"/>
                <w:vertAlign w:val="superscript"/>
                <w:lang w:eastAsia="en-GB"/>
              </w:rPr>
              <w:t>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19</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20</w:t>
            </w:r>
          </w:p>
        </w:tc>
      </w:tr>
      <w:tr w:rsidR="002921C3" w:rsidRPr="002969A2" w:rsidTr="002921C3">
        <w:trPr>
          <w:trHeight w:val="169"/>
        </w:trPr>
        <w:tc>
          <w:tcPr>
            <w:tcW w:w="1228" w:type="pct"/>
            <w:noWrap/>
            <w:hideMark/>
          </w:tcPr>
          <w:p w:rsidR="002921C3" w:rsidRPr="002969A2" w:rsidRDefault="002921C3" w:rsidP="002921C3">
            <w:pP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r>
      <w:tr w:rsidR="002921C3" w:rsidRPr="002969A2" w:rsidTr="002921C3">
        <w:trPr>
          <w:trHeight w:val="375"/>
        </w:trPr>
        <w:tc>
          <w:tcPr>
            <w:tcW w:w="1228" w:type="pct"/>
            <w:noWrap/>
            <w:hideMark/>
          </w:tcPr>
          <w:p w:rsidR="002921C3" w:rsidRPr="002969A2" w:rsidRDefault="002921C3" w:rsidP="002921C3">
            <w:pP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After Housing Costs</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r>
      <w:tr w:rsidR="002921C3" w:rsidRPr="002969A2" w:rsidTr="002921C3">
        <w:trPr>
          <w:trHeight w:val="518"/>
        </w:trPr>
        <w:tc>
          <w:tcPr>
            <w:tcW w:w="1228" w:type="pct"/>
            <w:noWrap/>
            <w:hideMark/>
          </w:tcPr>
          <w:p w:rsidR="002921C3" w:rsidRPr="002969A2" w:rsidRDefault="002921C3" w:rsidP="002921C3">
            <w:pP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Region/Country (3-year average)</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440"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England</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 xml:space="preserve">     North East</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33</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34</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33</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31</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28</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28</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26</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26</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28</w:t>
            </w:r>
          </w:p>
        </w:tc>
        <w:tc>
          <w:tcPr>
            <w:tcW w:w="333"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33</w:t>
            </w:r>
          </w:p>
        </w:tc>
        <w:tc>
          <w:tcPr>
            <w:tcW w:w="440" w:type="pct"/>
            <w:noWrap/>
            <w:hideMark/>
          </w:tcPr>
          <w:p w:rsidR="002921C3" w:rsidRPr="002969A2" w:rsidRDefault="002921C3" w:rsidP="002921C3">
            <w:pPr>
              <w:jc w:val="center"/>
              <w:rPr>
                <w:rFonts w:eastAsia="Times New Roman" w:cs="Times New Roman"/>
                <w:b/>
                <w:color w:val="FF0000"/>
                <w:sz w:val="16"/>
                <w:szCs w:val="16"/>
                <w:lang w:eastAsia="en-GB"/>
              </w:rPr>
            </w:pPr>
            <w:r w:rsidRPr="002969A2">
              <w:rPr>
                <w:rFonts w:eastAsia="Times New Roman" w:cs="Times New Roman"/>
                <w:b/>
                <w:color w:val="FF0000"/>
                <w:sz w:val="16"/>
                <w:szCs w:val="16"/>
                <w:lang w:eastAsia="en-GB"/>
              </w:rPr>
              <w:t>35</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North West</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32</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32</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Yorkshire and the Humber</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East Midlands</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West Midlands</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34</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34</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East</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27</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London</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40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40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37</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37</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South East</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South West</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Wales</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Scotland</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22</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xml:space="preserve">  Northern Ireland</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25</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26</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24</w:t>
            </w:r>
          </w:p>
        </w:tc>
      </w:tr>
      <w:tr w:rsidR="002921C3" w:rsidRPr="002969A2" w:rsidTr="002921C3">
        <w:trPr>
          <w:trHeight w:val="323"/>
        </w:trPr>
        <w:tc>
          <w:tcPr>
            <w:tcW w:w="1228" w:type="pct"/>
            <w:noWrap/>
            <w:hideMark/>
          </w:tcPr>
          <w:p w:rsidR="002921C3" w:rsidRPr="002969A2" w:rsidRDefault="002921C3" w:rsidP="002921C3">
            <w:pP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 </w:t>
            </w:r>
          </w:p>
        </w:tc>
      </w:tr>
      <w:tr w:rsidR="002921C3" w:rsidRPr="002969A2" w:rsidTr="002921C3">
        <w:trPr>
          <w:trHeight w:val="349"/>
        </w:trPr>
        <w:tc>
          <w:tcPr>
            <w:tcW w:w="1228" w:type="pct"/>
            <w:noWrap/>
            <w:hideMark/>
          </w:tcPr>
          <w:p w:rsidR="002921C3" w:rsidRPr="002969A2" w:rsidRDefault="002921C3" w:rsidP="002921C3">
            <w:pPr>
              <w:rPr>
                <w:rFonts w:eastAsia="Times New Roman" w:cs="Times New Roman"/>
                <w:b/>
                <w:bCs/>
                <w:color w:val="000000"/>
                <w:sz w:val="16"/>
                <w:szCs w:val="16"/>
                <w:lang w:eastAsia="en-GB"/>
              </w:rPr>
            </w:pPr>
            <w:r w:rsidRPr="002969A2">
              <w:rPr>
                <w:rFonts w:eastAsia="Times New Roman" w:cs="Times New Roman"/>
                <w:b/>
                <w:bCs/>
                <w:color w:val="000000"/>
                <w:sz w:val="16"/>
                <w:szCs w:val="16"/>
                <w:lang w:eastAsia="en-GB"/>
              </w:rPr>
              <w:t>All children (per cent)</w:t>
            </w:r>
            <w:r w:rsidRPr="002969A2">
              <w:rPr>
                <w:rFonts w:eastAsia="Times New Roman" w:cs="Times New Roman"/>
                <w:b/>
                <w:bCs/>
                <w:color w:val="000000"/>
                <w:sz w:val="16"/>
                <w:szCs w:val="16"/>
                <w:vertAlign w:val="superscript"/>
                <w:lang w:eastAsia="en-GB"/>
              </w:rPr>
              <w:t>3</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31</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27</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28</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29</w:t>
            </w:r>
          </w:p>
        </w:tc>
        <w:tc>
          <w:tcPr>
            <w:tcW w:w="333"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c>
          <w:tcPr>
            <w:tcW w:w="440" w:type="pct"/>
            <w:noWrap/>
            <w:hideMark/>
          </w:tcPr>
          <w:p w:rsidR="002921C3" w:rsidRPr="002969A2" w:rsidRDefault="002921C3" w:rsidP="002921C3">
            <w:pPr>
              <w:jc w:val="center"/>
              <w:rPr>
                <w:rFonts w:eastAsia="Times New Roman" w:cs="Times New Roman"/>
                <w:color w:val="000000"/>
                <w:sz w:val="16"/>
                <w:szCs w:val="16"/>
                <w:lang w:eastAsia="en-GB"/>
              </w:rPr>
            </w:pPr>
            <w:r w:rsidRPr="002969A2">
              <w:rPr>
                <w:rFonts w:eastAsia="Times New Roman" w:cs="Times New Roman"/>
                <w:color w:val="000000"/>
                <w:sz w:val="16"/>
                <w:szCs w:val="16"/>
                <w:lang w:eastAsia="en-GB"/>
              </w:rPr>
              <w:t>30</w:t>
            </w:r>
          </w:p>
        </w:tc>
      </w:tr>
    </w:tbl>
    <w:p w:rsidR="00FD6383" w:rsidRDefault="00F04C45" w:rsidP="00CE4397">
      <w:r>
        <w:t>Source: HBAI Table 4.16ts</w:t>
      </w:r>
    </w:p>
    <w:p w:rsidR="00837857" w:rsidRDefault="000105F4">
      <w:pPr>
        <w:spacing w:after="160" w:line="259" w:lineRule="auto"/>
      </w:pPr>
      <w:r>
        <w:lastRenderedPageBreak/>
        <w:t xml:space="preserve">The HBAI does not publish a time series for the low income and deprivation rates but in Table 1.3 we have extracted and compared data for three periods. </w:t>
      </w:r>
      <w:bookmarkStart w:id="4" w:name="_Hlk30058987"/>
      <w:r>
        <w:t xml:space="preserve">The material </w:t>
      </w:r>
      <w:r w:rsidR="00837857">
        <w:t xml:space="preserve">deprivation </w:t>
      </w:r>
      <w:r>
        <w:t>and low</w:t>
      </w:r>
      <w:r w:rsidR="00544FB7">
        <w:t>-</w:t>
      </w:r>
      <w:r>
        <w:t>income rate rose and then fell over the time periods</w:t>
      </w:r>
      <w:r w:rsidR="00544FB7">
        <w:t xml:space="preserve">. </w:t>
      </w:r>
      <w:r>
        <w:t>But the NE had the highest rate in the most recent period.</w:t>
      </w:r>
      <w:bookmarkEnd w:id="4"/>
      <w:r>
        <w:t xml:space="preserve"> The </w:t>
      </w:r>
      <w:r w:rsidR="00B95A51">
        <w:t xml:space="preserve">deprivation and severe </w:t>
      </w:r>
      <w:r>
        <w:t xml:space="preserve">rate </w:t>
      </w:r>
      <w:r w:rsidR="00837857">
        <w:t>fell</w:t>
      </w:r>
      <w:r w:rsidR="00544FB7">
        <w:rPr>
          <w:rStyle w:val="FootnoteReference"/>
        </w:rPr>
        <w:footnoteReference w:id="7"/>
      </w:r>
      <w:r w:rsidR="00837857">
        <w:t xml:space="preserve"> and the NE no longer has the highest rate.</w:t>
      </w:r>
    </w:p>
    <w:p w:rsidR="00FD6383" w:rsidRDefault="00837857">
      <w:pPr>
        <w:spacing w:after="160" w:line="259" w:lineRule="auto"/>
      </w:pPr>
      <w:r w:rsidRPr="00837857">
        <w:rPr>
          <w:b/>
        </w:rPr>
        <w:t>Table 1.3: Low income and deprivation over time</w:t>
      </w:r>
      <w:r>
        <w:t>.</w:t>
      </w:r>
    </w:p>
    <w:tbl>
      <w:tblPr>
        <w:tblStyle w:val="TableGrid"/>
        <w:tblW w:w="9259" w:type="dxa"/>
        <w:tblLook w:val="04A0" w:firstRow="1" w:lastRow="0" w:firstColumn="1" w:lastColumn="0" w:noHBand="0" w:noVBand="1"/>
      </w:tblPr>
      <w:tblGrid>
        <w:gridCol w:w="3165"/>
        <w:gridCol w:w="1127"/>
        <w:gridCol w:w="960"/>
        <w:gridCol w:w="960"/>
        <w:gridCol w:w="1127"/>
        <w:gridCol w:w="960"/>
        <w:gridCol w:w="960"/>
      </w:tblGrid>
      <w:tr w:rsidR="00FD6383" w:rsidRPr="00136D90" w:rsidTr="00FD6383">
        <w:trPr>
          <w:trHeight w:val="315"/>
        </w:trPr>
        <w:tc>
          <w:tcPr>
            <w:tcW w:w="3165" w:type="dxa"/>
            <w:noWrap/>
          </w:tcPr>
          <w:p w:rsidR="00FD6383" w:rsidRPr="00136D90" w:rsidRDefault="00FD6383" w:rsidP="00FD6383">
            <w:pPr>
              <w:rPr>
                <w:rFonts w:eastAsia="Times New Roman" w:cs="Times New Roman"/>
                <w:sz w:val="16"/>
                <w:szCs w:val="16"/>
                <w:lang w:eastAsia="en-GB"/>
              </w:rPr>
            </w:pPr>
          </w:p>
        </w:tc>
        <w:tc>
          <w:tcPr>
            <w:tcW w:w="1127" w:type="dxa"/>
            <w:noWrap/>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2006/07-2008/09</w:t>
            </w:r>
          </w:p>
        </w:tc>
        <w:tc>
          <w:tcPr>
            <w:tcW w:w="960" w:type="dxa"/>
            <w:noWrap/>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2008/09-2010/11</w:t>
            </w:r>
          </w:p>
        </w:tc>
        <w:tc>
          <w:tcPr>
            <w:tcW w:w="960" w:type="dxa"/>
            <w:noWrap/>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2015/16-2017/18</w:t>
            </w:r>
          </w:p>
        </w:tc>
        <w:tc>
          <w:tcPr>
            <w:tcW w:w="1127" w:type="dxa"/>
            <w:noWrap/>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2006/07-2008/09</w:t>
            </w:r>
          </w:p>
        </w:tc>
        <w:tc>
          <w:tcPr>
            <w:tcW w:w="960" w:type="dxa"/>
            <w:noWrap/>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2008/09-2010/11</w:t>
            </w:r>
          </w:p>
        </w:tc>
        <w:tc>
          <w:tcPr>
            <w:tcW w:w="960" w:type="dxa"/>
            <w:noWrap/>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2015/16-2017/18</w:t>
            </w:r>
          </w:p>
        </w:tc>
      </w:tr>
      <w:tr w:rsidR="00442482" w:rsidRPr="00136D90" w:rsidTr="00ED6A11">
        <w:trPr>
          <w:trHeight w:val="315"/>
        </w:trPr>
        <w:tc>
          <w:tcPr>
            <w:tcW w:w="3165" w:type="dxa"/>
            <w:noWrap/>
            <w:hideMark/>
          </w:tcPr>
          <w:p w:rsidR="00442482" w:rsidRPr="00136D90" w:rsidRDefault="00442482" w:rsidP="00FD6383">
            <w:pPr>
              <w:rPr>
                <w:rFonts w:eastAsia="Times New Roman" w:cs="Times New Roman"/>
                <w:sz w:val="16"/>
                <w:szCs w:val="16"/>
                <w:lang w:eastAsia="en-GB"/>
              </w:rPr>
            </w:pPr>
          </w:p>
        </w:tc>
        <w:tc>
          <w:tcPr>
            <w:tcW w:w="3047" w:type="dxa"/>
            <w:gridSpan w:val="3"/>
            <w:noWrap/>
            <w:hideMark/>
          </w:tcPr>
          <w:p w:rsidR="00442482" w:rsidRPr="00136D90" w:rsidRDefault="00442482" w:rsidP="00FD6383">
            <w:pPr>
              <w:rPr>
                <w:rFonts w:eastAsia="Times New Roman" w:cs="Times New Roman"/>
                <w:sz w:val="16"/>
                <w:szCs w:val="16"/>
                <w:lang w:eastAsia="en-GB"/>
              </w:rPr>
            </w:pPr>
            <w:r w:rsidRPr="00136D90">
              <w:rPr>
                <w:rFonts w:eastAsia="Times New Roman" w:cs="Times New Roman"/>
                <w:sz w:val="16"/>
                <w:szCs w:val="16"/>
                <w:lang w:eastAsia="en-GB"/>
              </w:rPr>
              <w:t>Material deprivation and low income</w:t>
            </w:r>
          </w:p>
        </w:tc>
        <w:tc>
          <w:tcPr>
            <w:tcW w:w="3047" w:type="dxa"/>
            <w:gridSpan w:val="3"/>
            <w:noWrap/>
            <w:hideMark/>
          </w:tcPr>
          <w:p w:rsidR="00442482" w:rsidRPr="00136D90" w:rsidRDefault="00442482" w:rsidP="00FD6383">
            <w:pPr>
              <w:rPr>
                <w:rFonts w:eastAsia="Times New Roman" w:cs="Times New Roman"/>
                <w:sz w:val="16"/>
                <w:szCs w:val="16"/>
                <w:lang w:eastAsia="en-GB"/>
              </w:rPr>
            </w:pPr>
            <w:r w:rsidRPr="00136D90">
              <w:rPr>
                <w:rFonts w:eastAsia="Times New Roman" w:cs="Times New Roman"/>
                <w:sz w:val="16"/>
                <w:szCs w:val="16"/>
                <w:lang w:eastAsia="en-GB"/>
              </w:rPr>
              <w:t>Material deprivation and sever low income</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England</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17</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16</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12</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5</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 xml:space="preserve">     North East</w:t>
            </w:r>
          </w:p>
        </w:tc>
        <w:tc>
          <w:tcPr>
            <w:tcW w:w="1127" w:type="dxa"/>
            <w:noWrap/>
            <w:hideMark/>
          </w:tcPr>
          <w:p w:rsidR="00FD6383" w:rsidRPr="00136D90" w:rsidRDefault="00FD6383" w:rsidP="00FD6383">
            <w:pPr>
              <w:jc w:val="right"/>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20</w:t>
            </w:r>
          </w:p>
        </w:tc>
        <w:tc>
          <w:tcPr>
            <w:tcW w:w="960" w:type="dxa"/>
            <w:noWrap/>
            <w:hideMark/>
          </w:tcPr>
          <w:p w:rsidR="00FD6383" w:rsidRPr="00136D90" w:rsidRDefault="00FD6383" w:rsidP="00FD6383">
            <w:pPr>
              <w:jc w:val="center"/>
              <w:rPr>
                <w:rFonts w:eastAsia="Times New Roman" w:cs="Times New Roman"/>
                <w:b/>
                <w:color w:val="FF0000"/>
                <w:sz w:val="16"/>
                <w:szCs w:val="16"/>
                <w:lang w:eastAsia="en-GB"/>
              </w:rPr>
            </w:pPr>
            <w:r w:rsidRPr="00136D90">
              <w:rPr>
                <w:rFonts w:eastAsia="Times New Roman" w:cs="Times New Roman"/>
                <w:b/>
                <w:color w:val="FF0000"/>
                <w:sz w:val="16"/>
                <w:szCs w:val="16"/>
                <w:lang w:eastAsia="en-GB"/>
              </w:rPr>
              <w:t>21</w:t>
            </w:r>
          </w:p>
        </w:tc>
        <w:tc>
          <w:tcPr>
            <w:tcW w:w="960" w:type="dxa"/>
            <w:noWrap/>
            <w:hideMark/>
          </w:tcPr>
          <w:p w:rsidR="00FD6383" w:rsidRPr="00136D90" w:rsidRDefault="00FD6383" w:rsidP="00FD6383">
            <w:pPr>
              <w:jc w:val="center"/>
              <w:rPr>
                <w:rFonts w:eastAsia="Times New Roman" w:cs="Times New Roman"/>
                <w:b/>
                <w:bCs/>
                <w:color w:val="FF0000"/>
                <w:sz w:val="16"/>
                <w:szCs w:val="16"/>
                <w:lang w:eastAsia="en-GB"/>
              </w:rPr>
            </w:pPr>
            <w:r w:rsidRPr="00136D90">
              <w:rPr>
                <w:rFonts w:eastAsia="Times New Roman" w:cs="Times New Roman"/>
                <w:b/>
                <w:bCs/>
                <w:color w:val="FF0000"/>
                <w:sz w:val="16"/>
                <w:szCs w:val="16"/>
                <w:lang w:eastAsia="en-GB"/>
              </w:rPr>
              <w:t>17</w:t>
            </w:r>
          </w:p>
        </w:tc>
        <w:tc>
          <w:tcPr>
            <w:tcW w:w="1127" w:type="dxa"/>
            <w:noWrap/>
            <w:hideMark/>
          </w:tcPr>
          <w:p w:rsidR="00FD6383" w:rsidRPr="00136D90" w:rsidRDefault="00FD6383" w:rsidP="00FD6383">
            <w:pPr>
              <w:jc w:val="center"/>
              <w:rPr>
                <w:rFonts w:eastAsia="Times New Roman" w:cs="Times New Roman"/>
                <w:b/>
                <w:bCs/>
                <w:color w:val="FF0000"/>
                <w:sz w:val="16"/>
                <w:szCs w:val="16"/>
                <w:lang w:eastAsia="en-GB"/>
              </w:rPr>
            </w:pPr>
          </w:p>
        </w:tc>
        <w:tc>
          <w:tcPr>
            <w:tcW w:w="960" w:type="dxa"/>
            <w:noWrap/>
            <w:hideMark/>
          </w:tcPr>
          <w:p w:rsidR="00FD6383" w:rsidRPr="00136D90" w:rsidRDefault="00FD6383" w:rsidP="00FD6383">
            <w:pPr>
              <w:jc w:val="center"/>
              <w:rPr>
                <w:rFonts w:eastAsia="Times New Roman" w:cs="Times New Roman"/>
                <w:b/>
                <w:i/>
                <w:iCs/>
                <w:color w:val="FF0000"/>
                <w:sz w:val="16"/>
                <w:szCs w:val="16"/>
                <w:lang w:eastAsia="en-GB"/>
              </w:rPr>
            </w:pPr>
            <w:r w:rsidRPr="00136D90">
              <w:rPr>
                <w:rFonts w:eastAsia="Times New Roman" w:cs="Times New Roman"/>
                <w:b/>
                <w:i/>
                <w:iCs/>
                <w:color w:val="FF0000"/>
                <w:sz w:val="16"/>
                <w:szCs w:val="16"/>
                <w:lang w:eastAsia="en-GB"/>
              </w:rPr>
              <w:t>6</w:t>
            </w:r>
          </w:p>
        </w:tc>
        <w:tc>
          <w:tcPr>
            <w:tcW w:w="960" w:type="dxa"/>
            <w:noWrap/>
            <w:hideMark/>
          </w:tcPr>
          <w:p w:rsidR="00FD6383" w:rsidRPr="00136D90" w:rsidRDefault="00FD6383" w:rsidP="00FD6383">
            <w:pPr>
              <w:jc w:val="center"/>
              <w:rPr>
                <w:rFonts w:eastAsia="Times New Roman" w:cs="Times New Roman"/>
                <w:b/>
                <w:bCs/>
                <w:color w:val="FF0000"/>
                <w:sz w:val="16"/>
                <w:szCs w:val="16"/>
                <w:lang w:eastAsia="en-GB"/>
              </w:rPr>
            </w:pPr>
            <w:r w:rsidRPr="00136D90">
              <w:rPr>
                <w:rFonts w:eastAsia="Times New Roman" w:cs="Times New Roman"/>
                <w:b/>
                <w:bCs/>
                <w:color w:val="FF0000"/>
                <w:sz w:val="16"/>
                <w:szCs w:val="16"/>
                <w:lang w:eastAsia="en-GB"/>
              </w:rPr>
              <w:t>4</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North West</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21</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20</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15</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6</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6</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Yorkshire and the Humber</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19</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21</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14</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6</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6</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East Midlands</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19</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16</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12</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5</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4</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West Midlands</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21</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21</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13</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7</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5</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East of England</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11</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11</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8</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4</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London</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19</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15</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13</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6</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6</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South East</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11</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9</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7</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3</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South West</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14</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13</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10</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4</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3</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Wales</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16</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20</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12</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6</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Scotland</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17</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15</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11</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5</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5</w:t>
            </w:r>
          </w:p>
        </w:tc>
      </w:tr>
      <w:tr w:rsidR="00442482" w:rsidRPr="00136D90" w:rsidTr="00FD6383">
        <w:trPr>
          <w:trHeight w:val="330"/>
        </w:trPr>
        <w:tc>
          <w:tcPr>
            <w:tcW w:w="3165" w:type="dxa"/>
            <w:noWrap/>
            <w:hideMark/>
          </w:tcPr>
          <w:p w:rsidR="00FD6383" w:rsidRPr="00136D90" w:rsidRDefault="00FD6383" w:rsidP="00FD6383">
            <w:pPr>
              <w:rPr>
                <w:rFonts w:eastAsia="Times New Roman" w:cs="Times New Roman"/>
                <w:sz w:val="16"/>
                <w:szCs w:val="16"/>
                <w:lang w:eastAsia="en-GB"/>
              </w:rPr>
            </w:pPr>
            <w:r w:rsidRPr="00136D90">
              <w:rPr>
                <w:rFonts w:eastAsia="Times New Roman" w:cs="Times New Roman"/>
                <w:sz w:val="16"/>
                <w:szCs w:val="16"/>
                <w:lang w:eastAsia="en-GB"/>
              </w:rPr>
              <w:t xml:space="preserve">  Northern Ireland</w:t>
            </w:r>
          </w:p>
        </w:tc>
        <w:tc>
          <w:tcPr>
            <w:tcW w:w="1127" w:type="dxa"/>
            <w:noWrap/>
            <w:hideMark/>
          </w:tcPr>
          <w:p w:rsidR="00FD6383" w:rsidRPr="00136D90" w:rsidRDefault="00FD6383" w:rsidP="00FD6383">
            <w:pPr>
              <w:jc w:val="right"/>
              <w:rPr>
                <w:rFonts w:eastAsia="Times New Roman" w:cs="Times New Roman"/>
                <w:color w:val="000000"/>
                <w:sz w:val="16"/>
                <w:szCs w:val="16"/>
                <w:lang w:eastAsia="en-GB"/>
              </w:rPr>
            </w:pPr>
            <w:r w:rsidRPr="00136D90">
              <w:rPr>
                <w:rFonts w:eastAsia="Times New Roman" w:cs="Times New Roman"/>
                <w:color w:val="000000"/>
                <w:sz w:val="16"/>
                <w:szCs w:val="16"/>
                <w:lang w:eastAsia="en-GB"/>
              </w:rPr>
              <w:t>14</w:t>
            </w:r>
          </w:p>
        </w:tc>
        <w:tc>
          <w:tcPr>
            <w:tcW w:w="960" w:type="dxa"/>
            <w:noWrap/>
            <w:hideMark/>
          </w:tcPr>
          <w:p w:rsidR="00FD6383" w:rsidRPr="00136D90" w:rsidRDefault="00FD6383" w:rsidP="00FD6383">
            <w:pPr>
              <w:jc w:val="center"/>
              <w:rPr>
                <w:rFonts w:eastAsia="Times New Roman" w:cs="Times New Roman"/>
                <w:sz w:val="16"/>
                <w:szCs w:val="16"/>
                <w:lang w:eastAsia="en-GB"/>
              </w:rPr>
            </w:pPr>
            <w:r w:rsidRPr="00136D90">
              <w:rPr>
                <w:rFonts w:eastAsia="Times New Roman" w:cs="Times New Roman"/>
                <w:sz w:val="16"/>
                <w:szCs w:val="16"/>
                <w:lang w:eastAsia="en-GB"/>
              </w:rPr>
              <w:t>16</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8</w:t>
            </w:r>
          </w:p>
        </w:tc>
        <w:tc>
          <w:tcPr>
            <w:tcW w:w="1127" w:type="dxa"/>
            <w:noWrap/>
            <w:hideMark/>
          </w:tcPr>
          <w:p w:rsidR="00FD6383" w:rsidRPr="00136D90" w:rsidRDefault="00FD6383" w:rsidP="00FD6383">
            <w:pPr>
              <w:jc w:val="center"/>
              <w:rPr>
                <w:rFonts w:eastAsia="Times New Roman" w:cs="Times New Roman"/>
                <w:color w:val="000000"/>
                <w:sz w:val="16"/>
                <w:szCs w:val="16"/>
                <w:lang w:eastAsia="en-GB"/>
              </w:rPr>
            </w:pPr>
          </w:p>
        </w:tc>
        <w:tc>
          <w:tcPr>
            <w:tcW w:w="960" w:type="dxa"/>
            <w:noWrap/>
            <w:hideMark/>
          </w:tcPr>
          <w:p w:rsidR="00FD6383" w:rsidRPr="00136D90" w:rsidRDefault="00FD6383" w:rsidP="00FD6383">
            <w:pPr>
              <w:jc w:val="center"/>
              <w:rPr>
                <w:rFonts w:eastAsia="Times New Roman" w:cs="Times New Roman"/>
                <w:i/>
                <w:iCs/>
                <w:sz w:val="16"/>
                <w:szCs w:val="16"/>
                <w:lang w:eastAsia="en-GB"/>
              </w:rPr>
            </w:pPr>
            <w:r w:rsidRPr="00136D90">
              <w:rPr>
                <w:rFonts w:eastAsia="Times New Roman" w:cs="Times New Roman"/>
                <w:i/>
                <w:iCs/>
                <w:sz w:val="16"/>
                <w:szCs w:val="16"/>
                <w:lang w:eastAsia="en-GB"/>
              </w:rPr>
              <w:t>6</w:t>
            </w:r>
          </w:p>
        </w:tc>
        <w:tc>
          <w:tcPr>
            <w:tcW w:w="960" w:type="dxa"/>
            <w:noWrap/>
            <w:hideMark/>
          </w:tcPr>
          <w:p w:rsidR="00FD6383" w:rsidRPr="00136D90" w:rsidRDefault="00FD6383" w:rsidP="00FD6383">
            <w:pPr>
              <w:jc w:val="center"/>
              <w:rPr>
                <w:rFonts w:eastAsia="Times New Roman" w:cs="Times New Roman"/>
                <w:color w:val="000000"/>
                <w:sz w:val="16"/>
                <w:szCs w:val="16"/>
                <w:lang w:eastAsia="en-GB"/>
              </w:rPr>
            </w:pPr>
            <w:r w:rsidRPr="00136D90">
              <w:rPr>
                <w:rFonts w:eastAsia="Times New Roman" w:cs="Times New Roman"/>
                <w:color w:val="000000"/>
                <w:sz w:val="16"/>
                <w:szCs w:val="16"/>
                <w:lang w:eastAsia="en-GB"/>
              </w:rPr>
              <w:t>2</w:t>
            </w:r>
          </w:p>
        </w:tc>
      </w:tr>
    </w:tbl>
    <w:p w:rsidR="00837857" w:rsidRDefault="00837857" w:rsidP="00CE4397">
      <w:r>
        <w:t>Source: Extracted from selected HBAI reports.</w:t>
      </w:r>
    </w:p>
    <w:p w:rsidR="00837857" w:rsidRDefault="00837857">
      <w:pPr>
        <w:spacing w:after="160" w:line="259" w:lineRule="auto"/>
      </w:pPr>
      <w:r>
        <w:br w:type="page"/>
      </w:r>
    </w:p>
    <w:p w:rsidR="00FD6383" w:rsidRPr="005E6CD8" w:rsidRDefault="00837857" w:rsidP="00CE4397">
      <w:pPr>
        <w:rPr>
          <w:b/>
        </w:rPr>
      </w:pPr>
      <w:r w:rsidRPr="005E6CD8">
        <w:rPr>
          <w:b/>
        </w:rPr>
        <w:lastRenderedPageBreak/>
        <w:t>PART 2: Child poverty in the NE at local authority and constituency level.</w:t>
      </w:r>
    </w:p>
    <w:p w:rsidR="00837857" w:rsidRDefault="00837857" w:rsidP="00CE4397"/>
    <w:p w:rsidR="00837857" w:rsidRDefault="00D63BB1" w:rsidP="00CE4397">
      <w:r>
        <w:t>Table 2.1 gives the child poverty rates in the NE constituencies before and after housing costs. Newcastle central has the highest child poverty rates both before and after housing costs. It is notable that a number of const</w:t>
      </w:r>
      <w:r w:rsidR="005E6CD8">
        <w:t>it</w:t>
      </w:r>
      <w:r>
        <w:t>uencies that changed from Labour to Conservative in the 2019 election have quite high rates Blyth Valley (32%), Bishop Au</w:t>
      </w:r>
      <w:r w:rsidR="0059271F">
        <w:t>c</w:t>
      </w:r>
      <w:r>
        <w:t xml:space="preserve">kland (39%), Sedgefield (36%), Redcar (33%), Durham North West (35%), Darlington (35%) </w:t>
      </w:r>
      <w:r w:rsidR="005E6CD8">
        <w:t xml:space="preserve">and </w:t>
      </w:r>
      <w:r>
        <w:t xml:space="preserve">Stockton South (30%) </w:t>
      </w:r>
      <w:r w:rsidR="005E6CD8">
        <w:t xml:space="preserve">- </w:t>
      </w:r>
      <w:r>
        <w:t>all after housing costs.</w:t>
      </w:r>
      <w:r w:rsidR="004421C0">
        <w:t xml:space="preserve"> There is also ward level data for each of these constituencies.</w:t>
      </w:r>
      <w:r w:rsidR="00CD4D9A">
        <w:rPr>
          <w:rStyle w:val="FootnoteReference"/>
        </w:rPr>
        <w:footnoteReference w:id="8"/>
      </w:r>
    </w:p>
    <w:p w:rsidR="00D63BB1" w:rsidRDefault="00D63BB1" w:rsidP="00CE4397"/>
    <w:p w:rsidR="00D63BB1" w:rsidRPr="004421C0" w:rsidRDefault="00D63BB1" w:rsidP="00CE4397">
      <w:pPr>
        <w:rPr>
          <w:b/>
        </w:rPr>
      </w:pPr>
      <w:r w:rsidRPr="004421C0">
        <w:rPr>
          <w:b/>
        </w:rPr>
        <w:t>Table 2.1: Child poverty rates 2017/18 by constituency</w:t>
      </w:r>
    </w:p>
    <w:tbl>
      <w:tblPr>
        <w:tblStyle w:val="TableGrid"/>
        <w:tblW w:w="7100" w:type="dxa"/>
        <w:tblLook w:val="04A0" w:firstRow="1" w:lastRow="0" w:firstColumn="1" w:lastColumn="0" w:noHBand="0" w:noVBand="1"/>
      </w:tblPr>
      <w:tblGrid>
        <w:gridCol w:w="3320"/>
        <w:gridCol w:w="1989"/>
        <w:gridCol w:w="1791"/>
      </w:tblGrid>
      <w:tr w:rsidR="00D63BB1" w:rsidRPr="00D63BB1" w:rsidTr="00D63BB1">
        <w:trPr>
          <w:trHeight w:val="300"/>
        </w:trPr>
        <w:tc>
          <w:tcPr>
            <w:tcW w:w="3320" w:type="dxa"/>
            <w:noWrap/>
            <w:hideMark/>
          </w:tcPr>
          <w:p w:rsidR="00D63BB1" w:rsidRPr="00D63BB1" w:rsidRDefault="00D63BB1" w:rsidP="00D63BB1">
            <w:pPr>
              <w:rPr>
                <w:rFonts w:eastAsia="Times New Roman" w:cs="Times New Roman"/>
                <w:sz w:val="20"/>
                <w:szCs w:val="24"/>
                <w:lang w:eastAsia="en-GB"/>
              </w:rPr>
            </w:pPr>
          </w:p>
        </w:tc>
        <w:tc>
          <w:tcPr>
            <w:tcW w:w="3780" w:type="dxa"/>
            <w:gridSpan w:val="2"/>
            <w:noWrap/>
            <w:hideMark/>
          </w:tcPr>
          <w:p w:rsidR="00D63BB1" w:rsidRPr="00D63BB1" w:rsidRDefault="00D63BB1" w:rsidP="00D63BB1">
            <w:pPr>
              <w:jc w:val="center"/>
              <w:rPr>
                <w:rFonts w:eastAsia="Times New Roman" w:cs="Times New Roman"/>
                <w:b/>
                <w:bCs/>
                <w:sz w:val="22"/>
                <w:lang w:eastAsia="en-GB"/>
              </w:rPr>
            </w:pPr>
            <w:r w:rsidRPr="00D63BB1">
              <w:rPr>
                <w:rFonts w:eastAsia="Times New Roman" w:cs="Times New Roman"/>
                <w:b/>
                <w:bCs/>
                <w:sz w:val="22"/>
                <w:lang w:eastAsia="en-GB"/>
              </w:rPr>
              <w:t>% of children living in poverty 2017/18</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b/>
                <w:bCs/>
                <w:sz w:val="22"/>
                <w:lang w:eastAsia="en-GB"/>
              </w:rPr>
            </w:pPr>
            <w:r w:rsidRPr="00D63BB1">
              <w:rPr>
                <w:rFonts w:eastAsia="Times New Roman" w:cs="Times New Roman"/>
                <w:b/>
                <w:bCs/>
                <w:sz w:val="22"/>
                <w:lang w:eastAsia="en-GB"/>
              </w:rPr>
              <w:t>Constituency</w:t>
            </w:r>
          </w:p>
        </w:tc>
        <w:tc>
          <w:tcPr>
            <w:tcW w:w="1989" w:type="dxa"/>
            <w:noWrap/>
            <w:hideMark/>
          </w:tcPr>
          <w:p w:rsidR="00D63BB1" w:rsidRPr="00D63BB1" w:rsidRDefault="00D63BB1" w:rsidP="00D63BB1">
            <w:pPr>
              <w:rPr>
                <w:rFonts w:eastAsia="Times New Roman" w:cs="Times New Roman"/>
                <w:b/>
                <w:bCs/>
                <w:sz w:val="22"/>
                <w:lang w:eastAsia="en-GB"/>
              </w:rPr>
            </w:pPr>
            <w:r w:rsidRPr="00D63BB1">
              <w:rPr>
                <w:rFonts w:eastAsia="Times New Roman" w:cs="Times New Roman"/>
                <w:b/>
                <w:bCs/>
                <w:sz w:val="22"/>
                <w:lang w:eastAsia="en-GB"/>
              </w:rPr>
              <w:t>Before Housing</w:t>
            </w:r>
          </w:p>
        </w:tc>
        <w:tc>
          <w:tcPr>
            <w:tcW w:w="1791" w:type="dxa"/>
            <w:noWrap/>
            <w:hideMark/>
          </w:tcPr>
          <w:p w:rsidR="00D63BB1" w:rsidRPr="00D63BB1" w:rsidRDefault="00D63BB1" w:rsidP="00D63BB1">
            <w:pPr>
              <w:rPr>
                <w:rFonts w:eastAsia="Times New Roman" w:cs="Times New Roman"/>
                <w:b/>
                <w:bCs/>
                <w:sz w:val="22"/>
                <w:lang w:eastAsia="en-GB"/>
              </w:rPr>
            </w:pPr>
            <w:r w:rsidRPr="00D63BB1">
              <w:rPr>
                <w:rFonts w:eastAsia="Times New Roman" w:cs="Times New Roman"/>
                <w:b/>
                <w:bCs/>
                <w:sz w:val="22"/>
                <w:lang w:eastAsia="en-GB"/>
              </w:rPr>
              <w:t>After Housing</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Berwick-upon-Tweed</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19%</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34%</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Bishop Auckland</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29%</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39%</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Blaydon</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19%</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31%</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Blyth Valley</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22%</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32%</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City of Durham</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22%</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31%</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Darlington</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26%</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37%</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Easington</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32%</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40%</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Gateshead</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30%</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42%</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Hartlepool</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29%</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36%</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Hexham</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14%</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25%</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Houghton and Sunderland South</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25%</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35%</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Jarrow</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22%</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32%</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Middlesbrough</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37%</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42%</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Middlesbrough South and East Cl</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22%</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33%</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Newcastle upon Tyne Central</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40%</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48%</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Newcastle upon Tyne East</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30%</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39%</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Newcastle upon Tyne North</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21%</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31%</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North Durham</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25%</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35%</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North Tyneside</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23%</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34%</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North West Durham</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23%</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35%</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Redcar</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23%</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33%</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Sedgefield</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25%</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36%</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South Shields</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28%</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36%</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Stockton North</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29%</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38%</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Stockton South</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19%</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30%</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Sunderland Central</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28%</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37%</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Tynemouth</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18%</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26%</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Wansbeck</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24%</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34%</w:t>
            </w:r>
          </w:p>
        </w:tc>
      </w:tr>
      <w:tr w:rsidR="00D63BB1" w:rsidRPr="00D63BB1" w:rsidTr="00D63BB1">
        <w:trPr>
          <w:trHeight w:val="300"/>
        </w:trPr>
        <w:tc>
          <w:tcPr>
            <w:tcW w:w="3320" w:type="dxa"/>
            <w:noWrap/>
            <w:hideMark/>
          </w:tcPr>
          <w:p w:rsidR="00D63BB1" w:rsidRPr="00D63BB1" w:rsidRDefault="00D63BB1" w:rsidP="00D63BB1">
            <w:pPr>
              <w:rPr>
                <w:rFonts w:eastAsia="Times New Roman" w:cs="Times New Roman"/>
                <w:color w:val="000000"/>
                <w:sz w:val="22"/>
                <w:lang w:eastAsia="en-GB"/>
              </w:rPr>
            </w:pPr>
            <w:r w:rsidRPr="00D63BB1">
              <w:rPr>
                <w:rFonts w:eastAsia="Times New Roman" w:cs="Times New Roman"/>
                <w:color w:val="000000"/>
                <w:sz w:val="22"/>
                <w:lang w:eastAsia="en-GB"/>
              </w:rPr>
              <w:t>Washington and Sunderland West</w:t>
            </w:r>
          </w:p>
        </w:tc>
        <w:tc>
          <w:tcPr>
            <w:tcW w:w="1989"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26%</w:t>
            </w:r>
          </w:p>
        </w:tc>
        <w:tc>
          <w:tcPr>
            <w:tcW w:w="1791" w:type="dxa"/>
            <w:noWrap/>
            <w:hideMark/>
          </w:tcPr>
          <w:p w:rsidR="00D63BB1" w:rsidRPr="00D63BB1" w:rsidRDefault="00D63BB1" w:rsidP="00D63BB1">
            <w:pPr>
              <w:jc w:val="right"/>
              <w:rPr>
                <w:rFonts w:eastAsia="Times New Roman" w:cs="Times New Roman"/>
                <w:sz w:val="22"/>
                <w:lang w:eastAsia="en-GB"/>
              </w:rPr>
            </w:pPr>
            <w:r w:rsidRPr="00D63BB1">
              <w:rPr>
                <w:rFonts w:eastAsia="Times New Roman" w:cs="Times New Roman"/>
                <w:sz w:val="22"/>
                <w:lang w:eastAsia="en-GB"/>
              </w:rPr>
              <w:t>39%</w:t>
            </w:r>
          </w:p>
        </w:tc>
      </w:tr>
    </w:tbl>
    <w:p w:rsidR="00D63BB1" w:rsidRDefault="00D63BB1" w:rsidP="00CE4397"/>
    <w:p w:rsidR="00CD4D9A" w:rsidRDefault="00CD4D9A" w:rsidP="00CE4397"/>
    <w:p w:rsidR="00CD4D9A" w:rsidRDefault="00CD4D9A" w:rsidP="00CE4397">
      <w:r>
        <w:lastRenderedPageBreak/>
        <w:t>Table 2.</w:t>
      </w:r>
      <w:r w:rsidR="005E6CD8">
        <w:t>2</w:t>
      </w:r>
      <w:r>
        <w:t xml:space="preserve"> gives the child poverty rates by upper tier local authority. </w:t>
      </w:r>
      <w:bookmarkStart w:id="5" w:name="_Hlk30059449"/>
      <w:r>
        <w:t xml:space="preserve">Middlesbrough has the highest child poverty rate in the NE BHC and Middlesbrough and Newcastle-upon-Tyne have the highest child poverty rate AHC. </w:t>
      </w:r>
    </w:p>
    <w:bookmarkEnd w:id="5"/>
    <w:p w:rsidR="00CD4D9A" w:rsidRDefault="00CD4D9A" w:rsidP="00CE4397"/>
    <w:p w:rsidR="00CD4D9A" w:rsidRPr="00CD4D9A" w:rsidRDefault="00CD4D9A" w:rsidP="00CE4397">
      <w:pPr>
        <w:rPr>
          <w:b/>
        </w:rPr>
      </w:pPr>
      <w:r w:rsidRPr="00CD4D9A">
        <w:rPr>
          <w:b/>
        </w:rPr>
        <w:t>Table 2.2: Child poverty in the NE by local authority</w:t>
      </w:r>
    </w:p>
    <w:tbl>
      <w:tblPr>
        <w:tblStyle w:val="TableGrid"/>
        <w:tblW w:w="5980" w:type="dxa"/>
        <w:tblLook w:val="04A0" w:firstRow="1" w:lastRow="0" w:firstColumn="1" w:lastColumn="0" w:noHBand="0" w:noVBand="1"/>
      </w:tblPr>
      <w:tblGrid>
        <w:gridCol w:w="2140"/>
        <w:gridCol w:w="2020"/>
        <w:gridCol w:w="1820"/>
      </w:tblGrid>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0"/>
                <w:szCs w:val="24"/>
                <w:lang w:eastAsia="en-GB"/>
              </w:rPr>
            </w:pPr>
          </w:p>
        </w:tc>
        <w:tc>
          <w:tcPr>
            <w:tcW w:w="3840" w:type="dxa"/>
            <w:gridSpan w:val="2"/>
            <w:noWrap/>
            <w:hideMark/>
          </w:tcPr>
          <w:p w:rsidR="00CD4D9A" w:rsidRPr="00CD4D9A" w:rsidRDefault="00CD4D9A" w:rsidP="00CD4D9A">
            <w:pPr>
              <w:rPr>
                <w:rFonts w:eastAsia="Times New Roman" w:cs="Times New Roman"/>
                <w:b/>
                <w:bCs/>
                <w:sz w:val="22"/>
                <w:lang w:eastAsia="en-GB"/>
              </w:rPr>
            </w:pPr>
            <w:r w:rsidRPr="00CD4D9A">
              <w:rPr>
                <w:rFonts w:eastAsia="Times New Roman" w:cs="Times New Roman"/>
                <w:b/>
                <w:bCs/>
                <w:sz w:val="22"/>
                <w:lang w:eastAsia="en-GB"/>
              </w:rPr>
              <w:t>% of children living in poverty 2017/18</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b/>
                <w:bCs/>
                <w:sz w:val="22"/>
                <w:lang w:eastAsia="en-GB"/>
              </w:rPr>
            </w:pPr>
            <w:r w:rsidRPr="00CD4D9A">
              <w:rPr>
                <w:rFonts w:eastAsia="Times New Roman" w:cs="Times New Roman"/>
                <w:b/>
                <w:bCs/>
                <w:sz w:val="22"/>
                <w:lang w:eastAsia="en-GB"/>
              </w:rPr>
              <w:t>Local Authority</w:t>
            </w:r>
          </w:p>
        </w:tc>
        <w:tc>
          <w:tcPr>
            <w:tcW w:w="2020" w:type="dxa"/>
            <w:noWrap/>
            <w:hideMark/>
          </w:tcPr>
          <w:p w:rsidR="00CD4D9A" w:rsidRPr="00CD4D9A" w:rsidRDefault="00CD4D9A" w:rsidP="00CD4D9A">
            <w:pPr>
              <w:rPr>
                <w:rFonts w:eastAsia="Times New Roman" w:cs="Times New Roman"/>
                <w:b/>
                <w:bCs/>
                <w:sz w:val="22"/>
                <w:lang w:eastAsia="en-GB"/>
              </w:rPr>
            </w:pPr>
            <w:r w:rsidRPr="00CD4D9A">
              <w:rPr>
                <w:rFonts w:eastAsia="Times New Roman" w:cs="Times New Roman"/>
                <w:b/>
                <w:bCs/>
                <w:sz w:val="22"/>
                <w:lang w:eastAsia="en-GB"/>
              </w:rPr>
              <w:t>Before Housing</w:t>
            </w:r>
          </w:p>
        </w:tc>
        <w:tc>
          <w:tcPr>
            <w:tcW w:w="1820" w:type="dxa"/>
            <w:noWrap/>
            <w:hideMark/>
          </w:tcPr>
          <w:p w:rsidR="00CD4D9A" w:rsidRPr="00CD4D9A" w:rsidRDefault="00CD4D9A" w:rsidP="00CD4D9A">
            <w:pPr>
              <w:rPr>
                <w:rFonts w:eastAsia="Times New Roman" w:cs="Times New Roman"/>
                <w:b/>
                <w:bCs/>
                <w:sz w:val="22"/>
                <w:lang w:eastAsia="en-GB"/>
              </w:rPr>
            </w:pPr>
            <w:r w:rsidRPr="00CD4D9A">
              <w:rPr>
                <w:rFonts w:eastAsia="Times New Roman" w:cs="Times New Roman"/>
                <w:b/>
                <w:bCs/>
                <w:sz w:val="22"/>
                <w:lang w:eastAsia="en-GB"/>
              </w:rPr>
              <w:t>After Housing</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County Durham</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26%</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36%</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Darlington</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24%</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35%</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Gateshead</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24%</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36%</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Hartlepool</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29%</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36%</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Middlesbrough</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32%</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39%</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Newcastle upon Tyne</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30%</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39%</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North Tyneside</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21%</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30%</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Northumberland</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20%</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31%</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Redcar and Cleveland</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23%</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34%</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South Tyneside</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25%</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34%</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Stockton-on-Tees</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24%</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34%</w:t>
            </w:r>
          </w:p>
        </w:tc>
      </w:tr>
      <w:tr w:rsidR="00CD4D9A" w:rsidRPr="00CD4D9A" w:rsidTr="00CD4D9A">
        <w:trPr>
          <w:trHeight w:val="300"/>
        </w:trPr>
        <w:tc>
          <w:tcPr>
            <w:tcW w:w="2140" w:type="dxa"/>
            <w:noWrap/>
            <w:hideMark/>
          </w:tcPr>
          <w:p w:rsidR="00CD4D9A" w:rsidRPr="00CD4D9A" w:rsidRDefault="00CD4D9A" w:rsidP="00CD4D9A">
            <w:pPr>
              <w:rPr>
                <w:rFonts w:eastAsia="Times New Roman" w:cs="Times New Roman"/>
                <w:sz w:val="22"/>
                <w:lang w:eastAsia="en-GB"/>
              </w:rPr>
            </w:pPr>
            <w:r w:rsidRPr="00CD4D9A">
              <w:rPr>
                <w:rFonts w:eastAsia="Times New Roman" w:cs="Times New Roman"/>
                <w:sz w:val="22"/>
                <w:lang w:eastAsia="en-GB"/>
              </w:rPr>
              <w:t>Sunderland</w:t>
            </w:r>
          </w:p>
        </w:tc>
        <w:tc>
          <w:tcPr>
            <w:tcW w:w="20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26%</w:t>
            </w:r>
          </w:p>
        </w:tc>
        <w:tc>
          <w:tcPr>
            <w:tcW w:w="1820" w:type="dxa"/>
            <w:noWrap/>
            <w:hideMark/>
          </w:tcPr>
          <w:p w:rsidR="00CD4D9A" w:rsidRPr="00CD4D9A" w:rsidRDefault="00CD4D9A" w:rsidP="00CD4D9A">
            <w:pPr>
              <w:jc w:val="right"/>
              <w:rPr>
                <w:rFonts w:eastAsia="Times New Roman" w:cs="Times New Roman"/>
                <w:sz w:val="22"/>
                <w:lang w:eastAsia="en-GB"/>
              </w:rPr>
            </w:pPr>
            <w:r w:rsidRPr="00CD4D9A">
              <w:rPr>
                <w:rFonts w:eastAsia="Times New Roman" w:cs="Times New Roman"/>
                <w:sz w:val="22"/>
                <w:lang w:eastAsia="en-GB"/>
              </w:rPr>
              <w:t>37%</w:t>
            </w:r>
          </w:p>
        </w:tc>
      </w:tr>
    </w:tbl>
    <w:p w:rsidR="005E6CD8" w:rsidRDefault="005E6CD8" w:rsidP="00CE4397"/>
    <w:p w:rsidR="00CD4D9A" w:rsidRDefault="00CB239F" w:rsidP="00CE4397">
      <w:r>
        <w:t>There is also ward level data available.</w:t>
      </w:r>
      <w:r>
        <w:rPr>
          <w:rStyle w:val="FootnoteReference"/>
        </w:rPr>
        <w:footnoteReference w:id="9"/>
      </w:r>
      <w:r>
        <w:t xml:space="preserve"> Table 2.3 gives the highest 20 wards by their child income poverty rates BHC. Mi</w:t>
      </w:r>
      <w:r w:rsidR="005E6CD8">
        <w:t>d</w:t>
      </w:r>
      <w:r>
        <w:t xml:space="preserve">dlesbrough </w:t>
      </w:r>
      <w:r w:rsidR="005E6CD8">
        <w:t xml:space="preserve">has </w:t>
      </w:r>
      <w:r>
        <w:t>four wards in this list as does Newcastle.</w:t>
      </w:r>
      <w:r w:rsidR="005E6CD8">
        <w:t xml:space="preserve"> </w:t>
      </w:r>
      <w:r>
        <w:t>Figure 2.1 shows the whole distribution of wards</w:t>
      </w:r>
      <w:r w:rsidR="00D106A6">
        <w:t>.</w:t>
      </w:r>
    </w:p>
    <w:p w:rsidR="005E6CD8" w:rsidRDefault="005E6CD8" w:rsidP="00CE4397"/>
    <w:p w:rsidR="00CB239F" w:rsidRDefault="00CB239F" w:rsidP="00CE4397">
      <w:r w:rsidRPr="005E6CD8">
        <w:rPr>
          <w:b/>
        </w:rPr>
        <w:t xml:space="preserve">Table 2.3: Highest 20 NE wards child income poverty rates BHC </w:t>
      </w:r>
      <w:r w:rsidR="00D106A6" w:rsidRPr="005E6CD8">
        <w:rPr>
          <w:b/>
        </w:rPr>
        <w:t>out of 353 wards</w:t>
      </w:r>
      <w:r w:rsidR="00D106A6">
        <w:t>.</w:t>
      </w:r>
    </w:p>
    <w:tbl>
      <w:tblPr>
        <w:tblStyle w:val="TableGrid"/>
        <w:tblW w:w="8500" w:type="dxa"/>
        <w:tblLook w:val="04A0" w:firstRow="1" w:lastRow="0" w:firstColumn="1" w:lastColumn="0" w:noHBand="0" w:noVBand="1"/>
      </w:tblPr>
      <w:tblGrid>
        <w:gridCol w:w="2547"/>
        <w:gridCol w:w="1559"/>
        <w:gridCol w:w="3402"/>
        <w:gridCol w:w="992"/>
      </w:tblGrid>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Middlesbrough</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E05001497</w:t>
            </w:r>
          </w:p>
        </w:tc>
        <w:tc>
          <w:tcPr>
            <w:tcW w:w="3402" w:type="dxa"/>
            <w:noWrap/>
            <w:hideMark/>
          </w:tcPr>
          <w:p w:rsidR="00ED6A11" w:rsidRPr="005E6CD8" w:rsidRDefault="00ED6A11" w:rsidP="00ED6A11">
            <w:pPr>
              <w:rPr>
                <w:rFonts w:eastAsia="Times New Roman" w:cs="Times New Roman"/>
                <w:color w:val="000000"/>
                <w:sz w:val="18"/>
                <w:szCs w:val="18"/>
                <w:lang w:eastAsia="en-GB"/>
              </w:rPr>
            </w:pPr>
            <w:proofErr w:type="spellStart"/>
            <w:r w:rsidRPr="005E6CD8">
              <w:rPr>
                <w:rFonts w:eastAsia="Times New Roman" w:cs="Times New Roman"/>
                <w:color w:val="000000"/>
                <w:sz w:val="18"/>
                <w:szCs w:val="18"/>
                <w:lang w:eastAsia="en-GB"/>
              </w:rPr>
              <w:t>Middlehaven</w:t>
            </w:r>
            <w:proofErr w:type="spellEnd"/>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61.3%</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Middlesbrough</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E05001504</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University</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61.3%</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Newcastle upon Tyne</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E05001096</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Elswick</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56.9%</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Newcastle upon Tyne</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E05001091</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Byker</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54.6%</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Middlesbrough</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E05001489</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Gresham</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53.1%</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Newcastle upon Tyne</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E05001111</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Westgate</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50.5%</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Newcastle upon Tyne</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E05001113</w:t>
            </w:r>
          </w:p>
        </w:tc>
        <w:tc>
          <w:tcPr>
            <w:tcW w:w="3402" w:type="dxa"/>
            <w:noWrap/>
            <w:hideMark/>
          </w:tcPr>
          <w:p w:rsidR="00ED6A11" w:rsidRPr="005E6CD8" w:rsidRDefault="00ED6A11" w:rsidP="00ED6A11">
            <w:pPr>
              <w:rPr>
                <w:rFonts w:eastAsia="Times New Roman" w:cs="Times New Roman"/>
                <w:color w:val="000000"/>
                <w:sz w:val="18"/>
                <w:szCs w:val="18"/>
                <w:lang w:eastAsia="en-GB"/>
              </w:rPr>
            </w:pPr>
            <w:proofErr w:type="spellStart"/>
            <w:r w:rsidRPr="005E6CD8">
              <w:rPr>
                <w:rFonts w:eastAsia="Times New Roman" w:cs="Times New Roman"/>
                <w:color w:val="000000"/>
                <w:sz w:val="18"/>
                <w:szCs w:val="18"/>
                <w:lang w:eastAsia="en-GB"/>
              </w:rPr>
              <w:t>Wingrove</w:t>
            </w:r>
            <w:proofErr w:type="spellEnd"/>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49.2%</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Newcastle upon Tyne</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E05001108</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Walker</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48.6%</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County Durham</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E05007989</w:t>
            </w:r>
          </w:p>
        </w:tc>
        <w:tc>
          <w:tcPr>
            <w:tcW w:w="3402" w:type="dxa"/>
            <w:noWrap/>
            <w:hideMark/>
          </w:tcPr>
          <w:p w:rsidR="00ED6A11" w:rsidRPr="005E6CD8" w:rsidRDefault="00ED6A11" w:rsidP="00ED6A11">
            <w:pPr>
              <w:rPr>
                <w:rFonts w:eastAsia="Times New Roman" w:cs="Times New Roman"/>
                <w:color w:val="000000"/>
                <w:sz w:val="18"/>
                <w:szCs w:val="18"/>
                <w:lang w:eastAsia="en-GB"/>
              </w:rPr>
            </w:pPr>
            <w:proofErr w:type="spellStart"/>
            <w:r w:rsidRPr="005E6CD8">
              <w:rPr>
                <w:rFonts w:eastAsia="Times New Roman" w:cs="Times New Roman"/>
                <w:color w:val="000000"/>
                <w:sz w:val="18"/>
                <w:szCs w:val="18"/>
                <w:lang w:eastAsia="en-GB"/>
              </w:rPr>
              <w:t>Horden</w:t>
            </w:r>
            <w:proofErr w:type="spellEnd"/>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47.8%</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Sunderland</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E05001158</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Hendon</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46.9%</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Stockton-on-Tees</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E05001549</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Stockton Town Centre</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45.9%</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Middlesbrough</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E05001494</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North Ormesby and Brambles Farm</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44.6%</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Hartlepool</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E05001480</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Stranton</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44.0%</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Darlington</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E05001572</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Northgate</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43.3%</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Redcar and Cleveland</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E05001509</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Grangetown</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43.2%</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County Durham</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E05008017</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Woodhouse Close</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43.0%</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Hartlepool</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E05001474</w:t>
            </w:r>
          </w:p>
        </w:tc>
        <w:tc>
          <w:tcPr>
            <w:tcW w:w="3402" w:type="dxa"/>
            <w:noWrap/>
            <w:hideMark/>
          </w:tcPr>
          <w:p w:rsidR="00ED6A11" w:rsidRPr="005E6CD8" w:rsidRDefault="00ED6A11" w:rsidP="00ED6A11">
            <w:pPr>
              <w:rPr>
                <w:rFonts w:eastAsia="Times New Roman" w:cs="Times New Roman"/>
                <w:color w:val="000000"/>
                <w:sz w:val="18"/>
                <w:szCs w:val="18"/>
                <w:lang w:eastAsia="en-GB"/>
              </w:rPr>
            </w:pPr>
            <w:proofErr w:type="spellStart"/>
            <w:r w:rsidRPr="005E6CD8">
              <w:rPr>
                <w:rFonts w:eastAsia="Times New Roman" w:cs="Times New Roman"/>
                <w:color w:val="000000"/>
                <w:sz w:val="18"/>
                <w:szCs w:val="18"/>
                <w:lang w:eastAsia="en-GB"/>
              </w:rPr>
              <w:t>Owton</w:t>
            </w:r>
            <w:proofErr w:type="spellEnd"/>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42.9%</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South Tyneside</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E05001148</w:t>
            </w:r>
          </w:p>
        </w:tc>
        <w:tc>
          <w:tcPr>
            <w:tcW w:w="3402" w:type="dxa"/>
            <w:noWrap/>
            <w:hideMark/>
          </w:tcPr>
          <w:p w:rsidR="00ED6A11" w:rsidRPr="005E6CD8" w:rsidRDefault="00ED6A11" w:rsidP="00ED6A11">
            <w:pPr>
              <w:rPr>
                <w:rFonts w:eastAsia="Times New Roman" w:cs="Times New Roman"/>
                <w:color w:val="000000"/>
                <w:sz w:val="18"/>
                <w:szCs w:val="18"/>
                <w:lang w:eastAsia="en-GB"/>
              </w:rPr>
            </w:pPr>
            <w:proofErr w:type="spellStart"/>
            <w:r w:rsidRPr="005E6CD8">
              <w:rPr>
                <w:rFonts w:eastAsia="Times New Roman" w:cs="Times New Roman"/>
                <w:color w:val="000000"/>
                <w:sz w:val="18"/>
                <w:szCs w:val="18"/>
                <w:lang w:eastAsia="en-GB"/>
              </w:rPr>
              <w:t>Simonside</w:t>
            </w:r>
            <w:proofErr w:type="spellEnd"/>
            <w:r w:rsidRPr="005E6CD8">
              <w:rPr>
                <w:rFonts w:eastAsia="Times New Roman" w:cs="Times New Roman"/>
                <w:color w:val="000000"/>
                <w:sz w:val="18"/>
                <w:szCs w:val="18"/>
                <w:lang w:eastAsia="en-GB"/>
              </w:rPr>
              <w:t xml:space="preserve"> and </w:t>
            </w:r>
            <w:proofErr w:type="spellStart"/>
            <w:r w:rsidRPr="005E6CD8">
              <w:rPr>
                <w:rFonts w:eastAsia="Times New Roman" w:cs="Times New Roman"/>
                <w:color w:val="000000"/>
                <w:sz w:val="18"/>
                <w:szCs w:val="18"/>
                <w:lang w:eastAsia="en-GB"/>
              </w:rPr>
              <w:t>Rekendyke</w:t>
            </w:r>
            <w:proofErr w:type="spellEnd"/>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42.2%</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lastRenderedPageBreak/>
              <w:t>County Durham</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E05007998</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Peterlee East</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42.0%</w:t>
            </w:r>
          </w:p>
        </w:tc>
      </w:tr>
      <w:tr w:rsidR="00ED6A11" w:rsidRPr="005E6CD8" w:rsidTr="00CB239F">
        <w:trPr>
          <w:trHeight w:val="300"/>
        </w:trPr>
        <w:tc>
          <w:tcPr>
            <w:tcW w:w="2547" w:type="dxa"/>
            <w:noWrap/>
            <w:hideMark/>
          </w:tcPr>
          <w:p w:rsidR="00ED6A11" w:rsidRPr="005E6CD8" w:rsidRDefault="00ED6A11" w:rsidP="00ED6A11">
            <w:pPr>
              <w:rPr>
                <w:rFonts w:eastAsia="Times New Roman" w:cs="Times New Roman"/>
                <w:sz w:val="18"/>
                <w:szCs w:val="18"/>
                <w:lang w:eastAsia="en-GB"/>
              </w:rPr>
            </w:pPr>
            <w:r w:rsidRPr="005E6CD8">
              <w:rPr>
                <w:rFonts w:eastAsia="Times New Roman" w:cs="Times New Roman"/>
                <w:sz w:val="18"/>
                <w:szCs w:val="18"/>
                <w:lang w:eastAsia="en-GB"/>
              </w:rPr>
              <w:t>Stockton-on-Tees</w:t>
            </w:r>
          </w:p>
        </w:tc>
        <w:tc>
          <w:tcPr>
            <w:tcW w:w="1559"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E05001544</w:t>
            </w:r>
          </w:p>
        </w:tc>
        <w:tc>
          <w:tcPr>
            <w:tcW w:w="3402" w:type="dxa"/>
            <w:noWrap/>
            <w:hideMark/>
          </w:tcPr>
          <w:p w:rsidR="00ED6A11" w:rsidRPr="005E6CD8" w:rsidRDefault="00ED6A11" w:rsidP="00ED6A11">
            <w:pPr>
              <w:rPr>
                <w:rFonts w:eastAsia="Times New Roman" w:cs="Times New Roman"/>
                <w:color w:val="000000"/>
                <w:sz w:val="18"/>
                <w:szCs w:val="18"/>
                <w:lang w:eastAsia="en-GB"/>
              </w:rPr>
            </w:pPr>
            <w:r w:rsidRPr="005E6CD8">
              <w:rPr>
                <w:rFonts w:eastAsia="Times New Roman" w:cs="Times New Roman"/>
                <w:color w:val="000000"/>
                <w:sz w:val="18"/>
                <w:szCs w:val="18"/>
                <w:lang w:eastAsia="en-GB"/>
              </w:rPr>
              <w:t>Norton South</w:t>
            </w:r>
          </w:p>
        </w:tc>
        <w:tc>
          <w:tcPr>
            <w:tcW w:w="992" w:type="dxa"/>
            <w:noWrap/>
            <w:hideMark/>
          </w:tcPr>
          <w:p w:rsidR="00ED6A11" w:rsidRPr="005E6CD8" w:rsidRDefault="00ED6A11" w:rsidP="00ED6A11">
            <w:pPr>
              <w:jc w:val="right"/>
              <w:rPr>
                <w:rFonts w:eastAsia="Times New Roman" w:cs="Times New Roman"/>
                <w:color w:val="000000"/>
                <w:sz w:val="18"/>
                <w:szCs w:val="18"/>
                <w:lang w:eastAsia="en-GB"/>
              </w:rPr>
            </w:pPr>
            <w:r w:rsidRPr="005E6CD8">
              <w:rPr>
                <w:rFonts w:eastAsia="Times New Roman" w:cs="Times New Roman"/>
                <w:color w:val="000000"/>
                <w:sz w:val="18"/>
                <w:szCs w:val="18"/>
                <w:lang w:eastAsia="en-GB"/>
              </w:rPr>
              <w:t>41.8%</w:t>
            </w:r>
          </w:p>
        </w:tc>
      </w:tr>
    </w:tbl>
    <w:p w:rsidR="00CD4D9A" w:rsidRDefault="00CD4D9A" w:rsidP="00CE4397"/>
    <w:p w:rsidR="00D106A6" w:rsidRPr="005E6CD8" w:rsidRDefault="00D106A6" w:rsidP="00CE4397">
      <w:pPr>
        <w:rPr>
          <w:b/>
        </w:rPr>
      </w:pPr>
      <w:r w:rsidRPr="005E6CD8">
        <w:rPr>
          <w:b/>
        </w:rPr>
        <w:t>Figure 2.1: Distribution of all NE wards</w:t>
      </w:r>
    </w:p>
    <w:p w:rsidR="00D106A6" w:rsidRDefault="00D106A6" w:rsidP="00CE4397">
      <w:r>
        <w:rPr>
          <w:noProof/>
        </w:rPr>
        <w:drawing>
          <wp:inline distT="0" distB="0" distL="0" distR="0" wp14:anchorId="358EFCD7" wp14:editId="498681FF">
            <wp:extent cx="4572000" cy="2743200"/>
            <wp:effectExtent l="0" t="0" r="0" b="0"/>
            <wp:docPr id="2" name="Chart 2">
              <a:extLst xmlns:a="http://schemas.openxmlformats.org/drawingml/2006/main">
                <a:ext uri="{FF2B5EF4-FFF2-40B4-BE49-F238E27FC236}">
                  <a16:creationId xmlns:a16="http://schemas.microsoft.com/office/drawing/2014/main" id="{B578DC6F-B330-4931-994A-70BAEA7F4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06A6" w:rsidRDefault="00D106A6" w:rsidP="00CE4397"/>
    <w:p w:rsidR="00D106A6" w:rsidRDefault="00D106A6" w:rsidP="00CE4397">
      <w:bookmarkStart w:id="6" w:name="_Hlk30059648"/>
      <w:r>
        <w:t xml:space="preserve">After housing costs Newcastle has the highest four wards and seven wards in the highest 20. </w:t>
      </w:r>
      <w:bookmarkEnd w:id="6"/>
      <w:r>
        <w:t>Figure 2.2 gives the full distribution</w:t>
      </w:r>
    </w:p>
    <w:p w:rsidR="00D106A6" w:rsidRDefault="00D106A6" w:rsidP="00CE4397"/>
    <w:p w:rsidR="00CB239F" w:rsidRPr="005E6CD8" w:rsidRDefault="00CB239F" w:rsidP="00CE4397">
      <w:pPr>
        <w:rPr>
          <w:b/>
        </w:rPr>
      </w:pPr>
      <w:r w:rsidRPr="005E6CD8">
        <w:rPr>
          <w:b/>
        </w:rPr>
        <w:t>Table 2.4: Highest 20 NE wards child income poverty rates AHC</w:t>
      </w:r>
      <w:r w:rsidR="00D106A6" w:rsidRPr="005E6CD8">
        <w:rPr>
          <w:b/>
        </w:rPr>
        <w:t xml:space="preserve"> out of 353 wards</w:t>
      </w:r>
    </w:p>
    <w:tbl>
      <w:tblPr>
        <w:tblStyle w:val="TableGrid"/>
        <w:tblW w:w="8500" w:type="dxa"/>
        <w:tblLook w:val="04A0" w:firstRow="1" w:lastRow="0" w:firstColumn="1" w:lastColumn="0" w:noHBand="0" w:noVBand="1"/>
      </w:tblPr>
      <w:tblGrid>
        <w:gridCol w:w="2547"/>
        <w:gridCol w:w="1559"/>
        <w:gridCol w:w="3402"/>
        <w:gridCol w:w="992"/>
      </w:tblGrid>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Newcastle upon Tyne</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E05001111</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Westgate</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66.1%</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Newcastle upon Tyne</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E05001091</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Byker</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56.3%</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Newcastle upon Tyne</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E05001113</w:t>
            </w:r>
          </w:p>
        </w:tc>
        <w:tc>
          <w:tcPr>
            <w:tcW w:w="3402" w:type="dxa"/>
            <w:noWrap/>
            <w:hideMark/>
          </w:tcPr>
          <w:p w:rsidR="00F13AC2" w:rsidRPr="00F13AC2" w:rsidRDefault="00F13AC2" w:rsidP="00F13AC2">
            <w:pPr>
              <w:rPr>
                <w:rFonts w:eastAsia="Times New Roman" w:cs="Times New Roman"/>
                <w:color w:val="000000"/>
                <w:sz w:val="18"/>
                <w:szCs w:val="18"/>
                <w:lang w:eastAsia="en-GB"/>
              </w:rPr>
            </w:pPr>
            <w:proofErr w:type="spellStart"/>
            <w:r w:rsidRPr="00F13AC2">
              <w:rPr>
                <w:rFonts w:eastAsia="Times New Roman" w:cs="Times New Roman"/>
                <w:color w:val="000000"/>
                <w:sz w:val="18"/>
                <w:szCs w:val="18"/>
                <w:lang w:eastAsia="en-GB"/>
              </w:rPr>
              <w:t>Wingrove</w:t>
            </w:r>
            <w:proofErr w:type="spellEnd"/>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55.3%</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Newcastle upon Tyne</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E05001096</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Elswick</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54.9%</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Middlesbrough</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E05001497</w:t>
            </w:r>
          </w:p>
        </w:tc>
        <w:tc>
          <w:tcPr>
            <w:tcW w:w="3402" w:type="dxa"/>
            <w:noWrap/>
            <w:hideMark/>
          </w:tcPr>
          <w:p w:rsidR="00F13AC2" w:rsidRPr="00F13AC2" w:rsidRDefault="00F13AC2" w:rsidP="00F13AC2">
            <w:pPr>
              <w:rPr>
                <w:rFonts w:eastAsia="Times New Roman" w:cs="Times New Roman"/>
                <w:color w:val="000000"/>
                <w:sz w:val="18"/>
                <w:szCs w:val="18"/>
                <w:lang w:eastAsia="en-GB"/>
              </w:rPr>
            </w:pPr>
            <w:proofErr w:type="spellStart"/>
            <w:r w:rsidRPr="00F13AC2">
              <w:rPr>
                <w:rFonts w:eastAsia="Times New Roman" w:cs="Times New Roman"/>
                <w:color w:val="000000"/>
                <w:sz w:val="18"/>
                <w:szCs w:val="18"/>
                <w:lang w:eastAsia="en-GB"/>
              </w:rPr>
              <w:t>Middlehaven</w:t>
            </w:r>
            <w:proofErr w:type="spellEnd"/>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54.4%</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Middlesbrough</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E05001504</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University</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54.4%</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Darlington</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E05001573</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Park East</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52.2%</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Gateshead</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E05001083</w:t>
            </w:r>
          </w:p>
        </w:tc>
        <w:tc>
          <w:tcPr>
            <w:tcW w:w="3402" w:type="dxa"/>
            <w:noWrap/>
            <w:hideMark/>
          </w:tcPr>
          <w:p w:rsidR="00F13AC2" w:rsidRPr="00F13AC2" w:rsidRDefault="00F13AC2" w:rsidP="00F13AC2">
            <w:pPr>
              <w:rPr>
                <w:rFonts w:eastAsia="Times New Roman" w:cs="Times New Roman"/>
                <w:color w:val="000000"/>
                <w:sz w:val="18"/>
                <w:szCs w:val="18"/>
                <w:lang w:eastAsia="en-GB"/>
              </w:rPr>
            </w:pPr>
            <w:proofErr w:type="spellStart"/>
            <w:r w:rsidRPr="00F13AC2">
              <w:rPr>
                <w:rFonts w:eastAsia="Times New Roman" w:cs="Times New Roman"/>
                <w:color w:val="000000"/>
                <w:sz w:val="18"/>
                <w:szCs w:val="18"/>
                <w:lang w:eastAsia="en-GB"/>
              </w:rPr>
              <w:t>Saltwell</w:t>
            </w:r>
            <w:proofErr w:type="spellEnd"/>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51.6%</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Newcastle upon Tyne</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E05001108</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Walker</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50.2%</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Middlesbrough</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E05001489</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Gresham</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50.1%</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Newcastle upon Tyne</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E05001104</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Ouseburn</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49.3%</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Sunderland</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E05001169</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Sandhill</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49.1%</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Newcastle upon Tyne</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E05001106</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South Heaton</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48.9%</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Gateshead</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E05001073</w:t>
            </w:r>
          </w:p>
        </w:tc>
        <w:tc>
          <w:tcPr>
            <w:tcW w:w="3402" w:type="dxa"/>
            <w:noWrap/>
            <w:hideMark/>
          </w:tcPr>
          <w:p w:rsidR="00F13AC2" w:rsidRPr="00F13AC2" w:rsidRDefault="00F13AC2" w:rsidP="00F13AC2">
            <w:pPr>
              <w:rPr>
                <w:rFonts w:eastAsia="Times New Roman" w:cs="Times New Roman"/>
                <w:color w:val="000000"/>
                <w:sz w:val="18"/>
                <w:szCs w:val="18"/>
                <w:lang w:eastAsia="en-GB"/>
              </w:rPr>
            </w:pPr>
            <w:proofErr w:type="spellStart"/>
            <w:r w:rsidRPr="00F13AC2">
              <w:rPr>
                <w:rFonts w:eastAsia="Times New Roman" w:cs="Times New Roman"/>
                <w:color w:val="000000"/>
                <w:sz w:val="18"/>
                <w:szCs w:val="18"/>
                <w:lang w:eastAsia="en-GB"/>
              </w:rPr>
              <w:t>Deckham</w:t>
            </w:r>
            <w:proofErr w:type="spellEnd"/>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48.9%</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Middlesbrough</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E05001483</w:t>
            </w:r>
          </w:p>
        </w:tc>
        <w:tc>
          <w:tcPr>
            <w:tcW w:w="3402" w:type="dxa"/>
            <w:noWrap/>
            <w:hideMark/>
          </w:tcPr>
          <w:p w:rsidR="00F13AC2" w:rsidRPr="00F13AC2" w:rsidRDefault="00F13AC2" w:rsidP="00F13AC2">
            <w:pPr>
              <w:rPr>
                <w:rFonts w:eastAsia="Times New Roman" w:cs="Times New Roman"/>
                <w:color w:val="000000"/>
                <w:sz w:val="18"/>
                <w:szCs w:val="18"/>
                <w:lang w:eastAsia="en-GB"/>
              </w:rPr>
            </w:pPr>
            <w:proofErr w:type="spellStart"/>
            <w:r w:rsidRPr="00F13AC2">
              <w:rPr>
                <w:rFonts w:eastAsia="Times New Roman" w:cs="Times New Roman"/>
                <w:color w:val="000000"/>
                <w:sz w:val="18"/>
                <w:szCs w:val="18"/>
                <w:lang w:eastAsia="en-GB"/>
              </w:rPr>
              <w:t>Ayresome</w:t>
            </w:r>
            <w:proofErr w:type="spellEnd"/>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48.5%</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Stockton-on-Tees</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E05001540</w:t>
            </w:r>
          </w:p>
        </w:tc>
        <w:tc>
          <w:tcPr>
            <w:tcW w:w="3402" w:type="dxa"/>
            <w:noWrap/>
            <w:hideMark/>
          </w:tcPr>
          <w:p w:rsidR="00F13AC2" w:rsidRPr="00F13AC2" w:rsidRDefault="00F13AC2" w:rsidP="00F13AC2">
            <w:pPr>
              <w:rPr>
                <w:rFonts w:eastAsia="Times New Roman" w:cs="Times New Roman"/>
                <w:color w:val="000000"/>
                <w:sz w:val="18"/>
                <w:szCs w:val="18"/>
                <w:lang w:eastAsia="en-GB"/>
              </w:rPr>
            </w:pPr>
            <w:proofErr w:type="spellStart"/>
            <w:r w:rsidRPr="00F13AC2">
              <w:rPr>
                <w:rFonts w:eastAsia="Times New Roman" w:cs="Times New Roman"/>
                <w:color w:val="000000"/>
                <w:sz w:val="18"/>
                <w:szCs w:val="18"/>
                <w:lang w:eastAsia="en-GB"/>
              </w:rPr>
              <w:t>Mandale</w:t>
            </w:r>
            <w:proofErr w:type="spellEnd"/>
            <w:r w:rsidRPr="00F13AC2">
              <w:rPr>
                <w:rFonts w:eastAsia="Times New Roman" w:cs="Times New Roman"/>
                <w:color w:val="000000"/>
                <w:sz w:val="18"/>
                <w:szCs w:val="18"/>
                <w:lang w:eastAsia="en-GB"/>
              </w:rPr>
              <w:t xml:space="preserve"> and Victoria</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48.1%</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Sunderland</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E05001163</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Redhill</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47.3%</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Hartlepool</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E05001474</w:t>
            </w:r>
          </w:p>
        </w:tc>
        <w:tc>
          <w:tcPr>
            <w:tcW w:w="3402" w:type="dxa"/>
            <w:noWrap/>
            <w:hideMark/>
          </w:tcPr>
          <w:p w:rsidR="00F13AC2" w:rsidRPr="00F13AC2" w:rsidRDefault="00F13AC2" w:rsidP="00F13AC2">
            <w:pPr>
              <w:rPr>
                <w:rFonts w:eastAsia="Times New Roman" w:cs="Times New Roman"/>
                <w:color w:val="000000"/>
                <w:sz w:val="18"/>
                <w:szCs w:val="18"/>
                <w:lang w:eastAsia="en-GB"/>
              </w:rPr>
            </w:pPr>
            <w:proofErr w:type="spellStart"/>
            <w:r w:rsidRPr="00F13AC2">
              <w:rPr>
                <w:rFonts w:eastAsia="Times New Roman" w:cs="Times New Roman"/>
                <w:color w:val="000000"/>
                <w:sz w:val="18"/>
                <w:szCs w:val="18"/>
                <w:lang w:eastAsia="en-GB"/>
              </w:rPr>
              <w:t>Owton</w:t>
            </w:r>
            <w:proofErr w:type="spellEnd"/>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47.3%</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Sunderland</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E05001158</w:t>
            </w:r>
          </w:p>
        </w:tc>
        <w:tc>
          <w:tcPr>
            <w:tcW w:w="3402"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Hendon</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47.1%</w:t>
            </w:r>
          </w:p>
        </w:tc>
      </w:tr>
      <w:tr w:rsidR="00F13AC2" w:rsidRPr="00F13AC2" w:rsidTr="00CB239F">
        <w:trPr>
          <w:trHeight w:val="300"/>
        </w:trPr>
        <w:tc>
          <w:tcPr>
            <w:tcW w:w="2547" w:type="dxa"/>
            <w:noWrap/>
            <w:hideMark/>
          </w:tcPr>
          <w:p w:rsidR="00F13AC2" w:rsidRPr="00F13AC2" w:rsidRDefault="00F13AC2" w:rsidP="00F13AC2">
            <w:pPr>
              <w:rPr>
                <w:rFonts w:eastAsia="Times New Roman" w:cs="Times New Roman"/>
                <w:sz w:val="18"/>
                <w:szCs w:val="18"/>
                <w:lang w:eastAsia="en-GB"/>
              </w:rPr>
            </w:pPr>
            <w:r w:rsidRPr="00F13AC2">
              <w:rPr>
                <w:rFonts w:eastAsia="Times New Roman" w:cs="Times New Roman"/>
                <w:sz w:val="18"/>
                <w:szCs w:val="18"/>
                <w:lang w:eastAsia="en-GB"/>
              </w:rPr>
              <w:t>County Durham</w:t>
            </w:r>
          </w:p>
        </w:tc>
        <w:tc>
          <w:tcPr>
            <w:tcW w:w="1559" w:type="dxa"/>
            <w:noWrap/>
            <w:hideMark/>
          </w:tcPr>
          <w:p w:rsidR="00F13AC2" w:rsidRPr="00F13AC2" w:rsidRDefault="00F13AC2" w:rsidP="00F13AC2">
            <w:pPr>
              <w:rPr>
                <w:rFonts w:eastAsia="Times New Roman" w:cs="Times New Roman"/>
                <w:color w:val="000000"/>
                <w:sz w:val="18"/>
                <w:szCs w:val="18"/>
                <w:lang w:eastAsia="en-GB"/>
              </w:rPr>
            </w:pPr>
            <w:r w:rsidRPr="00F13AC2">
              <w:rPr>
                <w:rFonts w:eastAsia="Times New Roman" w:cs="Times New Roman"/>
                <w:color w:val="000000"/>
                <w:sz w:val="18"/>
                <w:szCs w:val="18"/>
                <w:lang w:eastAsia="en-GB"/>
              </w:rPr>
              <w:t>E05007974</w:t>
            </w:r>
          </w:p>
        </w:tc>
        <w:tc>
          <w:tcPr>
            <w:tcW w:w="3402" w:type="dxa"/>
            <w:noWrap/>
            <w:hideMark/>
          </w:tcPr>
          <w:p w:rsidR="00F13AC2" w:rsidRPr="00F13AC2" w:rsidRDefault="00F13AC2" w:rsidP="00F13AC2">
            <w:pPr>
              <w:rPr>
                <w:rFonts w:eastAsia="Times New Roman" w:cs="Times New Roman"/>
                <w:color w:val="000000"/>
                <w:sz w:val="18"/>
                <w:szCs w:val="18"/>
                <w:lang w:eastAsia="en-GB"/>
              </w:rPr>
            </w:pPr>
            <w:proofErr w:type="spellStart"/>
            <w:r w:rsidRPr="00F13AC2">
              <w:rPr>
                <w:rFonts w:eastAsia="Times New Roman" w:cs="Times New Roman"/>
                <w:color w:val="000000"/>
                <w:sz w:val="18"/>
                <w:szCs w:val="18"/>
                <w:lang w:eastAsia="en-GB"/>
              </w:rPr>
              <w:t>Craghead</w:t>
            </w:r>
            <w:proofErr w:type="spellEnd"/>
            <w:r w:rsidRPr="00F13AC2">
              <w:rPr>
                <w:rFonts w:eastAsia="Times New Roman" w:cs="Times New Roman"/>
                <w:color w:val="000000"/>
                <w:sz w:val="18"/>
                <w:szCs w:val="18"/>
                <w:lang w:eastAsia="en-GB"/>
              </w:rPr>
              <w:t xml:space="preserve"> and South Moor</w:t>
            </w:r>
          </w:p>
        </w:tc>
        <w:tc>
          <w:tcPr>
            <w:tcW w:w="992" w:type="dxa"/>
            <w:noWrap/>
            <w:hideMark/>
          </w:tcPr>
          <w:p w:rsidR="00F13AC2" w:rsidRPr="00F13AC2" w:rsidRDefault="00F13AC2" w:rsidP="00F13AC2">
            <w:pPr>
              <w:jc w:val="right"/>
              <w:rPr>
                <w:rFonts w:eastAsia="Times New Roman" w:cs="Times New Roman"/>
                <w:color w:val="000000"/>
                <w:sz w:val="18"/>
                <w:szCs w:val="18"/>
                <w:lang w:eastAsia="en-GB"/>
              </w:rPr>
            </w:pPr>
            <w:r w:rsidRPr="00F13AC2">
              <w:rPr>
                <w:rFonts w:eastAsia="Times New Roman" w:cs="Times New Roman"/>
                <w:color w:val="000000"/>
                <w:sz w:val="18"/>
                <w:szCs w:val="18"/>
                <w:lang w:eastAsia="en-GB"/>
              </w:rPr>
              <w:t>47.1%</w:t>
            </w:r>
          </w:p>
        </w:tc>
      </w:tr>
    </w:tbl>
    <w:p w:rsidR="00D106A6" w:rsidRDefault="00D106A6" w:rsidP="00CE4397"/>
    <w:p w:rsidR="00D106A6" w:rsidRDefault="00D106A6">
      <w:pPr>
        <w:spacing w:after="160" w:line="259" w:lineRule="auto"/>
      </w:pPr>
      <w:r>
        <w:br w:type="page"/>
      </w:r>
    </w:p>
    <w:p w:rsidR="00F13AC2" w:rsidRPr="005E6CD8" w:rsidRDefault="00D106A6" w:rsidP="00CE4397">
      <w:pPr>
        <w:rPr>
          <w:b/>
        </w:rPr>
      </w:pPr>
      <w:r w:rsidRPr="005E6CD8">
        <w:rPr>
          <w:b/>
        </w:rPr>
        <w:lastRenderedPageBreak/>
        <w:t>Figure 2.2: Distribution of all NE wards</w:t>
      </w:r>
    </w:p>
    <w:p w:rsidR="00D106A6" w:rsidRDefault="00D106A6" w:rsidP="00CE4397">
      <w:r>
        <w:rPr>
          <w:noProof/>
        </w:rPr>
        <w:drawing>
          <wp:inline distT="0" distB="0" distL="0" distR="0" wp14:anchorId="44C742F8" wp14:editId="2B60F564">
            <wp:extent cx="4572000" cy="2743200"/>
            <wp:effectExtent l="0" t="0" r="0" b="0"/>
            <wp:docPr id="3" name="Chart 3">
              <a:extLst xmlns:a="http://schemas.openxmlformats.org/drawingml/2006/main">
                <a:ext uri="{FF2B5EF4-FFF2-40B4-BE49-F238E27FC236}">
                  <a16:creationId xmlns:a16="http://schemas.microsoft.com/office/drawing/2014/main" id="{14EECC55-5D15-41C9-A3BD-83D744DF72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6CD8" w:rsidRDefault="005E6CD8" w:rsidP="00CE4397"/>
    <w:p w:rsidR="0076495F" w:rsidRDefault="0076495F" w:rsidP="00155108">
      <w:pPr>
        <w:rPr>
          <w:b/>
        </w:rPr>
      </w:pPr>
    </w:p>
    <w:p w:rsidR="00155108" w:rsidRDefault="005E6CD8" w:rsidP="00155108">
      <w:pPr>
        <w:rPr>
          <w:b/>
        </w:rPr>
      </w:pPr>
      <w:r w:rsidRPr="00C0595C">
        <w:rPr>
          <w:b/>
        </w:rPr>
        <w:t>PART 3: Child poverty at LSOA</w:t>
      </w:r>
      <w:r w:rsidR="00C0595C">
        <w:rPr>
          <w:rStyle w:val="FootnoteReference"/>
          <w:b/>
        </w:rPr>
        <w:footnoteReference w:id="10"/>
      </w:r>
      <w:r w:rsidRPr="00C0595C">
        <w:rPr>
          <w:b/>
        </w:rPr>
        <w:t xml:space="preserve"> level using the IDACI</w:t>
      </w:r>
      <w:r w:rsidRPr="00C0595C">
        <w:rPr>
          <w:rStyle w:val="FootnoteReference"/>
          <w:b/>
        </w:rPr>
        <w:footnoteReference w:id="11"/>
      </w:r>
      <w:r w:rsidRPr="00C0595C">
        <w:rPr>
          <w:b/>
        </w:rPr>
        <w:t xml:space="preserve"> index in the Index of Deprivation 2019.</w:t>
      </w:r>
    </w:p>
    <w:p w:rsidR="00155108" w:rsidRDefault="00155108" w:rsidP="00155108">
      <w:pPr>
        <w:rPr>
          <w:b/>
        </w:rPr>
      </w:pPr>
    </w:p>
    <w:p w:rsidR="00515390" w:rsidRPr="00155108" w:rsidRDefault="00155108" w:rsidP="00155108">
      <w:r w:rsidRPr="00155108">
        <w:t xml:space="preserve">There are 1585 LSOAS in the NE. </w:t>
      </w:r>
      <w:r>
        <w:t>In Table 3.1 we p</w:t>
      </w:r>
      <w:r w:rsidR="00E21BCB">
        <w:t>l</w:t>
      </w:r>
      <w:r>
        <w:t xml:space="preserve">ace these in the national decile rank of  the 32844 LSOAs nationally. Instead of 10% being in the bottom (highest child poverty rate) decile </w:t>
      </w:r>
      <w:bookmarkStart w:id="7" w:name="_Hlk30059860"/>
      <w:r>
        <w:t>22.7% in the NE are. Thus</w:t>
      </w:r>
      <w:r w:rsidR="0059271F">
        <w:t>,</w:t>
      </w:r>
      <w:r>
        <w:t xml:space="preserve"> the NE LSOAs are twice as likely to have the highest levels of child poverty. In contrast only 6.8% of LSOAs in the NE fall into 10</w:t>
      </w:r>
      <w:r w:rsidRPr="00155108">
        <w:rPr>
          <w:vertAlign w:val="superscript"/>
        </w:rPr>
        <w:t>th</w:t>
      </w:r>
      <w:r>
        <w:t xml:space="preserve"> decile with the lowest child poverty rates. Indeed</w:t>
      </w:r>
      <w:r w:rsidR="0059271F">
        <w:t>,</w:t>
      </w:r>
      <w:r>
        <w:t xml:space="preserve"> two local authorities Hartlepool and Middlesbrough have no LSOAs in the 10</w:t>
      </w:r>
      <w:r w:rsidRPr="00155108">
        <w:rPr>
          <w:vertAlign w:val="superscript"/>
        </w:rPr>
        <w:t>th</w:t>
      </w:r>
      <w:r>
        <w:t xml:space="preserve"> decile and they both have more than half their LSOAs in the </w:t>
      </w:r>
      <w:r w:rsidR="00DD7389">
        <w:t>1</w:t>
      </w:r>
      <w:r w:rsidR="00DD7389" w:rsidRPr="00DD7389">
        <w:rPr>
          <w:vertAlign w:val="superscript"/>
        </w:rPr>
        <w:t>st</w:t>
      </w:r>
      <w:r w:rsidR="00DD7389">
        <w:t xml:space="preserve"> or 2</w:t>
      </w:r>
      <w:r w:rsidR="00DD7389" w:rsidRPr="00DD7389">
        <w:rPr>
          <w:vertAlign w:val="superscript"/>
        </w:rPr>
        <w:t>nd</w:t>
      </w:r>
      <w:r w:rsidR="00DD7389">
        <w:t xml:space="preserve"> deciles. I</w:t>
      </w:r>
      <w:bookmarkEnd w:id="7"/>
      <w:r w:rsidR="00DD7389">
        <w:t>t is also interesting to observe how unequal local autho</w:t>
      </w:r>
      <w:r w:rsidR="0059271F">
        <w:t>r</w:t>
      </w:r>
      <w:r w:rsidR="00DD7389">
        <w:t>ities are. Newcastle fo</w:t>
      </w:r>
      <w:r w:rsidR="0059271F">
        <w:t>r</w:t>
      </w:r>
      <w:r w:rsidR="00DD7389">
        <w:t xml:space="preserve"> example has 30.7% of LSOAs in the poorest decile and 13.9% in the richest decile.</w:t>
      </w:r>
      <w:r w:rsidR="00515390" w:rsidRPr="00155108">
        <w:br w:type="page"/>
      </w:r>
    </w:p>
    <w:p w:rsidR="00B0219B" w:rsidRDefault="00B0219B" w:rsidP="00515390">
      <w:pPr>
        <w:autoSpaceDE w:val="0"/>
        <w:autoSpaceDN w:val="0"/>
        <w:adjustRightInd w:val="0"/>
        <w:rPr>
          <w:rFonts w:cs="Times New Roman"/>
          <w:szCs w:val="24"/>
        </w:rPr>
        <w:sectPr w:rsidR="00B0219B" w:rsidSect="00442482">
          <w:pgSz w:w="11906" w:h="16838"/>
          <w:pgMar w:top="1440" w:right="1440" w:bottom="1440" w:left="1440" w:header="709" w:footer="709" w:gutter="0"/>
          <w:cols w:space="708"/>
          <w:docGrid w:linePitch="360"/>
        </w:sectPr>
      </w:pPr>
    </w:p>
    <w:p w:rsidR="00515390" w:rsidRDefault="00DD7389" w:rsidP="00515390">
      <w:pPr>
        <w:autoSpaceDE w:val="0"/>
        <w:autoSpaceDN w:val="0"/>
        <w:adjustRightInd w:val="0"/>
        <w:rPr>
          <w:rFonts w:cs="Times New Roman"/>
          <w:szCs w:val="24"/>
        </w:rPr>
      </w:pPr>
      <w:r>
        <w:rPr>
          <w:rFonts w:cs="Times New Roman"/>
          <w:szCs w:val="24"/>
        </w:rPr>
        <w:lastRenderedPageBreak/>
        <w:t>Table 3.1: Decile distribution of LSOAs in the NE</w:t>
      </w:r>
    </w:p>
    <w:tbl>
      <w:tblPr>
        <w:tblStyle w:val="TableGrid"/>
        <w:tblW w:w="11520" w:type="dxa"/>
        <w:tblLook w:val="04A0" w:firstRow="1" w:lastRow="0" w:firstColumn="1" w:lastColumn="0" w:noHBand="0" w:noVBand="1"/>
      </w:tblPr>
      <w:tblGrid>
        <w:gridCol w:w="1508"/>
        <w:gridCol w:w="911"/>
        <w:gridCol w:w="911"/>
        <w:gridCol w:w="911"/>
        <w:gridCol w:w="910"/>
        <w:gridCol w:w="910"/>
        <w:gridCol w:w="911"/>
        <w:gridCol w:w="911"/>
        <w:gridCol w:w="911"/>
        <w:gridCol w:w="911"/>
        <w:gridCol w:w="911"/>
        <w:gridCol w:w="904"/>
      </w:tblGrid>
      <w:tr w:rsidR="00A47E2D" w:rsidRPr="00A47E2D" w:rsidTr="00DD7389">
        <w:trPr>
          <w:trHeight w:val="302"/>
        </w:trPr>
        <w:tc>
          <w:tcPr>
            <w:tcW w:w="11520" w:type="dxa"/>
            <w:gridSpan w:val="12"/>
          </w:tcPr>
          <w:p w:rsidR="00A47E2D" w:rsidRPr="00A47E2D" w:rsidRDefault="00A47E2D" w:rsidP="00155108">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Decile</w:t>
            </w:r>
            <w:r w:rsidR="00155108">
              <w:rPr>
                <w:rFonts w:eastAsia="Times New Roman" w:cs="Times New Roman"/>
                <w:color w:val="264A60"/>
                <w:sz w:val="18"/>
                <w:szCs w:val="18"/>
                <w:lang w:eastAsia="en-GB"/>
              </w:rPr>
              <w:t xml:space="preserve"> </w:t>
            </w:r>
            <w:r w:rsidRPr="00A47E2D">
              <w:rPr>
                <w:rFonts w:eastAsia="Times New Roman" w:cs="Times New Roman"/>
                <w:color w:val="264A60"/>
                <w:sz w:val="18"/>
                <w:szCs w:val="18"/>
                <w:lang w:eastAsia="en-GB"/>
              </w:rPr>
              <w:t>of LSOA rank</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Decile</w:t>
            </w:r>
          </w:p>
        </w:tc>
        <w:tc>
          <w:tcPr>
            <w:tcW w:w="911"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1</w:t>
            </w:r>
          </w:p>
        </w:tc>
        <w:tc>
          <w:tcPr>
            <w:tcW w:w="911"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2</w:t>
            </w:r>
          </w:p>
        </w:tc>
        <w:tc>
          <w:tcPr>
            <w:tcW w:w="911"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3</w:t>
            </w:r>
          </w:p>
        </w:tc>
        <w:tc>
          <w:tcPr>
            <w:tcW w:w="910"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4</w:t>
            </w:r>
          </w:p>
        </w:tc>
        <w:tc>
          <w:tcPr>
            <w:tcW w:w="910"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5</w:t>
            </w:r>
          </w:p>
        </w:tc>
        <w:tc>
          <w:tcPr>
            <w:tcW w:w="911"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6</w:t>
            </w:r>
          </w:p>
        </w:tc>
        <w:tc>
          <w:tcPr>
            <w:tcW w:w="911"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7</w:t>
            </w:r>
          </w:p>
        </w:tc>
        <w:tc>
          <w:tcPr>
            <w:tcW w:w="911"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8</w:t>
            </w:r>
          </w:p>
        </w:tc>
        <w:tc>
          <w:tcPr>
            <w:tcW w:w="911"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9</w:t>
            </w:r>
          </w:p>
        </w:tc>
        <w:tc>
          <w:tcPr>
            <w:tcW w:w="911" w:type="dxa"/>
            <w:hideMark/>
          </w:tcPr>
          <w:p w:rsidR="00A47E2D" w:rsidRPr="00A47E2D" w:rsidRDefault="00A47E2D" w:rsidP="00A47E2D">
            <w:pPr>
              <w:jc w:val="right"/>
              <w:rPr>
                <w:rFonts w:eastAsia="Times New Roman" w:cs="Times New Roman"/>
                <w:color w:val="264A60"/>
                <w:sz w:val="18"/>
                <w:szCs w:val="18"/>
                <w:lang w:eastAsia="en-GB"/>
              </w:rPr>
            </w:pPr>
            <w:r w:rsidRPr="00A47E2D">
              <w:rPr>
                <w:rFonts w:eastAsia="Times New Roman" w:cs="Times New Roman"/>
                <w:color w:val="264A60"/>
                <w:sz w:val="18"/>
                <w:szCs w:val="18"/>
                <w:lang w:eastAsia="en-GB"/>
              </w:rPr>
              <w:t>10</w:t>
            </w:r>
          </w:p>
        </w:tc>
        <w:tc>
          <w:tcPr>
            <w:tcW w:w="904" w:type="dxa"/>
            <w:hideMark/>
          </w:tcPr>
          <w:p w:rsidR="00A47E2D" w:rsidRPr="00A47E2D" w:rsidRDefault="00A47E2D" w:rsidP="00A47E2D">
            <w:pPr>
              <w:rPr>
                <w:rFonts w:eastAsia="Times New Roman" w:cs="Times New Roman"/>
                <w:color w:val="264A60"/>
                <w:sz w:val="18"/>
                <w:szCs w:val="18"/>
                <w:lang w:eastAsia="en-GB"/>
              </w:rPr>
            </w:pPr>
            <w:r w:rsidRPr="00A47E2D">
              <w:rPr>
                <w:rFonts w:eastAsia="Times New Roman" w:cs="Times New Roman"/>
                <w:color w:val="264A60"/>
                <w:sz w:val="18"/>
                <w:szCs w:val="18"/>
                <w:lang w:eastAsia="en-GB"/>
              </w:rPr>
              <w:t> </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Durham</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17.3%</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18.2%</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15.3%</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11.2%</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8.3%</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8.3%</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6.1%</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7.3%</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2.2%</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Darlingt</w:t>
            </w:r>
            <w:r>
              <w:rPr>
                <w:rFonts w:eastAsia="Times New Roman" w:cs="Times New Roman"/>
                <w:color w:val="264A60"/>
                <w:sz w:val="18"/>
                <w:szCs w:val="18"/>
                <w:lang w:eastAsia="en-GB"/>
              </w:rPr>
              <w:t>o</w:t>
            </w:r>
            <w:r w:rsidRPr="00A47E2D">
              <w:rPr>
                <w:rFonts w:eastAsia="Times New Roman" w:cs="Times New Roman"/>
                <w:color w:val="264A60"/>
                <w:sz w:val="18"/>
                <w:szCs w:val="18"/>
                <w:lang w:eastAsia="en-GB"/>
              </w:rPr>
              <w:t>n</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20.7%</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13.8%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8.6%</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10.3%</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12.1%</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3.4%</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5.2%</w:t>
            </w:r>
          </w:p>
        </w:tc>
        <w:tc>
          <w:tcPr>
            <w:tcW w:w="911" w:type="dxa"/>
            <w:hideMark/>
          </w:tcPr>
          <w:p w:rsidR="00A47E2D" w:rsidRPr="00A47E2D" w:rsidRDefault="00A47E2D" w:rsidP="00A47E2D">
            <w:pPr>
              <w:rPr>
                <w:rFonts w:eastAsia="Times New Roman" w:cs="Times New Roman"/>
                <w:color w:val="000000"/>
                <w:sz w:val="18"/>
                <w:szCs w:val="18"/>
                <w:lang w:eastAsia="en-GB"/>
              </w:rPr>
            </w:pPr>
            <w:r w:rsidRPr="00A47E2D">
              <w:rPr>
                <w:rFonts w:eastAsia="Times New Roman" w:cs="Times New Roman"/>
                <w:color w:val="000000"/>
                <w:sz w:val="18"/>
                <w:szCs w:val="18"/>
                <w:lang w:eastAsia="en-GB"/>
              </w:rPr>
              <w:t> </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17.2%</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8.6%</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Gateshead</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13.6%</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15.2%</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14.4%</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11.2%</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12.0%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9.6%</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6.4%</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4.8%</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Hartlepo</w:t>
            </w:r>
            <w:r>
              <w:rPr>
                <w:rFonts w:eastAsia="Times New Roman" w:cs="Times New Roman"/>
                <w:color w:val="264A60"/>
                <w:sz w:val="18"/>
                <w:szCs w:val="18"/>
                <w:lang w:eastAsia="en-GB"/>
              </w:rPr>
              <w:t>o</w:t>
            </w:r>
            <w:r w:rsidRPr="00A47E2D">
              <w:rPr>
                <w:rFonts w:eastAsia="Times New Roman" w:cs="Times New Roman"/>
                <w:color w:val="264A60"/>
                <w:sz w:val="18"/>
                <w:szCs w:val="18"/>
                <w:lang w:eastAsia="en-GB"/>
              </w:rPr>
              <w:t>l</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45.3%</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9.4%</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1.9%</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1.9%</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11.3%</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7.5%</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1.9%</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11.3%</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9.4%</w:t>
            </w:r>
          </w:p>
        </w:tc>
        <w:tc>
          <w:tcPr>
            <w:tcW w:w="911" w:type="dxa"/>
            <w:hideMark/>
          </w:tcPr>
          <w:p w:rsidR="00A47E2D" w:rsidRPr="00A47E2D" w:rsidRDefault="00A47E2D" w:rsidP="00A47E2D">
            <w:pPr>
              <w:rPr>
                <w:rFonts w:eastAsia="Times New Roman" w:cs="Times New Roman"/>
                <w:color w:val="000000"/>
                <w:sz w:val="18"/>
                <w:szCs w:val="18"/>
                <w:lang w:eastAsia="en-GB"/>
              </w:rPr>
            </w:pPr>
            <w:r w:rsidRPr="00A47E2D">
              <w:rPr>
                <w:rFonts w:eastAsia="Times New Roman" w:cs="Times New Roman"/>
                <w:color w:val="000000"/>
                <w:sz w:val="18"/>
                <w:szCs w:val="18"/>
                <w:lang w:eastAsia="en-GB"/>
              </w:rPr>
              <w:t> </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Middlesbrough</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48.1%</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4.9%</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12.3%</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2.5%</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2.5%</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11.1%</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6.2%</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4.9%</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7.4%</w:t>
            </w:r>
          </w:p>
        </w:tc>
        <w:tc>
          <w:tcPr>
            <w:tcW w:w="911" w:type="dxa"/>
            <w:hideMark/>
          </w:tcPr>
          <w:p w:rsidR="00A47E2D" w:rsidRPr="00A47E2D" w:rsidRDefault="00A47E2D" w:rsidP="00A47E2D">
            <w:pPr>
              <w:rPr>
                <w:rFonts w:eastAsia="Times New Roman" w:cs="Times New Roman"/>
                <w:color w:val="000000"/>
                <w:sz w:val="18"/>
                <w:szCs w:val="18"/>
                <w:lang w:eastAsia="en-GB"/>
              </w:rPr>
            </w:pPr>
            <w:r w:rsidRPr="00A47E2D">
              <w:rPr>
                <w:rFonts w:eastAsia="Times New Roman" w:cs="Times New Roman"/>
                <w:color w:val="000000"/>
                <w:sz w:val="18"/>
                <w:szCs w:val="18"/>
                <w:lang w:eastAsia="en-GB"/>
              </w:rPr>
              <w:t> </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Newcastl</w:t>
            </w:r>
            <w:r w:rsidRPr="00A47E2D">
              <w:rPr>
                <w:rFonts w:eastAsia="Times New Roman" w:cs="Times New Roman"/>
                <w:color w:val="264A60"/>
                <w:sz w:val="18"/>
                <w:szCs w:val="18"/>
                <w:lang w:eastAsia="en-GB"/>
              </w:rPr>
              <w:t>e</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30.7%</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12.0%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8.4%</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6.6%</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4.2%</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4.2%</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13.9%</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North Ty</w:t>
            </w:r>
            <w:r w:rsidRPr="00A47E2D">
              <w:rPr>
                <w:rFonts w:eastAsia="Times New Roman" w:cs="Times New Roman"/>
                <w:color w:val="264A60"/>
                <w:sz w:val="18"/>
                <w:szCs w:val="18"/>
                <w:lang w:eastAsia="en-GB"/>
              </w:rPr>
              <w:t>n</w:t>
            </w:r>
            <w:r>
              <w:rPr>
                <w:rFonts w:eastAsia="Times New Roman" w:cs="Times New Roman"/>
                <w:color w:val="264A60"/>
                <w:sz w:val="18"/>
                <w:szCs w:val="18"/>
                <w:lang w:eastAsia="en-GB"/>
              </w:rPr>
              <w:t>e</w:t>
            </w:r>
            <w:r w:rsidRPr="00A47E2D">
              <w:rPr>
                <w:rFonts w:eastAsia="Times New Roman" w:cs="Times New Roman"/>
                <w:color w:val="264A60"/>
                <w:sz w:val="18"/>
                <w:szCs w:val="18"/>
                <w:lang w:eastAsia="en-GB"/>
              </w:rPr>
              <w:t>side</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10.2%</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16.5%</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12.6%</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4.7%</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4.7%</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5.5%</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7.1%</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16.5%</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Northumberland</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14.6%</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5.7%</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9.9%</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9.9%</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8.3%</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9.4%</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9.4%</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8.9%</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9.4%</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14.6%</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 xml:space="preserve">Redcar </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27.8%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10.1%</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8.9%</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11.4%</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8.9%</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7.6%</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7.6%</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6.3%</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8.9%</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2.5%</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South Ty</w:t>
            </w:r>
            <w:r w:rsidRPr="00A47E2D">
              <w:rPr>
                <w:rFonts w:eastAsia="Times New Roman" w:cs="Times New Roman"/>
                <w:color w:val="264A60"/>
                <w:sz w:val="18"/>
                <w:szCs w:val="18"/>
                <w:lang w:eastAsia="en-GB"/>
              </w:rPr>
              <w:t>neside</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33.7%</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15.8%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9.9%</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9.9%</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6.9%</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4.0%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5.0%</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Stockton</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19.1%</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13.6%</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9.1%</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6.4%</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5.5%</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10.9%</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3.6%</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jc w:val="center"/>
              <w:rPr>
                <w:rFonts w:eastAsia="Times New Roman" w:cs="Times New Roman"/>
                <w:color w:val="264A60"/>
                <w:sz w:val="18"/>
                <w:szCs w:val="18"/>
                <w:lang w:eastAsia="en-GB"/>
              </w:rPr>
            </w:pPr>
            <w:r w:rsidRPr="00A47E2D">
              <w:rPr>
                <w:rFonts w:eastAsia="Times New Roman" w:cs="Times New Roman"/>
                <w:color w:val="264A60"/>
                <w:sz w:val="18"/>
                <w:szCs w:val="18"/>
                <w:lang w:eastAsia="en-GB"/>
              </w:rPr>
              <w:t>Sunderla</w:t>
            </w:r>
            <w:r w:rsidRPr="00A47E2D">
              <w:rPr>
                <w:rFonts w:eastAsia="Times New Roman" w:cs="Times New Roman"/>
                <w:color w:val="264A60"/>
                <w:sz w:val="18"/>
                <w:szCs w:val="18"/>
                <w:lang w:eastAsia="en-GB"/>
              </w:rPr>
              <w:t>nd</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25.0%</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15.6%</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10.6%</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11.1%</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6.7%</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5.6%</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6.7%</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3.3%</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r w:rsidR="00A47E2D" w:rsidRPr="00A47E2D" w:rsidTr="00DD7389">
        <w:trPr>
          <w:trHeight w:val="302"/>
        </w:trPr>
        <w:tc>
          <w:tcPr>
            <w:tcW w:w="1508" w:type="dxa"/>
            <w:hideMark/>
          </w:tcPr>
          <w:p w:rsidR="00A47E2D" w:rsidRPr="00A47E2D" w:rsidRDefault="00A47E2D" w:rsidP="00A47E2D">
            <w:pPr>
              <w:rPr>
                <w:rFonts w:eastAsia="Times New Roman" w:cs="Times New Roman"/>
                <w:color w:val="264A60"/>
                <w:sz w:val="18"/>
                <w:szCs w:val="18"/>
                <w:lang w:eastAsia="en-GB"/>
              </w:rPr>
            </w:pPr>
            <w:r w:rsidRPr="00A47E2D">
              <w:rPr>
                <w:rFonts w:eastAsia="Times New Roman" w:cs="Times New Roman"/>
                <w:color w:val="264A60"/>
                <w:sz w:val="18"/>
                <w:szCs w:val="18"/>
                <w:lang w:eastAsia="en-GB"/>
              </w:rPr>
              <w:t>Total</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22.7%</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13.4%</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11.2%</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8.8%</w:t>
            </w:r>
          </w:p>
        </w:tc>
        <w:tc>
          <w:tcPr>
            <w:tcW w:w="910"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7.7%</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7.8%</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6.6%</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7.2%</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7.9%</w:t>
            </w:r>
          </w:p>
        </w:tc>
        <w:tc>
          <w:tcPr>
            <w:tcW w:w="911"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6.8%</w:t>
            </w:r>
          </w:p>
        </w:tc>
        <w:tc>
          <w:tcPr>
            <w:tcW w:w="904" w:type="dxa"/>
            <w:hideMark/>
          </w:tcPr>
          <w:p w:rsidR="00A47E2D" w:rsidRPr="00A47E2D" w:rsidRDefault="00A47E2D" w:rsidP="00A47E2D">
            <w:pPr>
              <w:jc w:val="right"/>
              <w:rPr>
                <w:rFonts w:eastAsia="Times New Roman" w:cs="Times New Roman"/>
                <w:color w:val="010205"/>
                <w:sz w:val="18"/>
                <w:szCs w:val="18"/>
                <w:lang w:eastAsia="en-GB"/>
              </w:rPr>
            </w:pPr>
            <w:r w:rsidRPr="00A47E2D">
              <w:rPr>
                <w:rFonts w:eastAsia="Times New Roman" w:cs="Times New Roman"/>
                <w:color w:val="010205"/>
                <w:sz w:val="18"/>
                <w:szCs w:val="18"/>
                <w:lang w:eastAsia="en-GB"/>
              </w:rPr>
              <w:t>100%</w:t>
            </w:r>
          </w:p>
        </w:tc>
      </w:tr>
    </w:tbl>
    <w:p w:rsidR="00515390" w:rsidRDefault="00515390" w:rsidP="00CE4397">
      <w:pPr>
        <w:rPr>
          <w:b/>
        </w:rPr>
      </w:pPr>
    </w:p>
    <w:p w:rsidR="00DD7389" w:rsidRDefault="00DD7389" w:rsidP="00CE4397">
      <w:pPr>
        <w:rPr>
          <w:b/>
        </w:rPr>
      </w:pPr>
    </w:p>
    <w:p w:rsidR="00DD7389" w:rsidRPr="00DD7389" w:rsidRDefault="00DD7389" w:rsidP="00CE4397">
      <w:r>
        <w:t>This can be seen in summary in Table 3.2</w:t>
      </w:r>
      <w:r w:rsidR="0059271F">
        <w:t xml:space="preserve"> where Newcastle’s standard deviation is the highest of all local authorities in the NE. Also, North Tyneside and Northumberland ha</w:t>
      </w:r>
      <w:r w:rsidR="0076495F">
        <w:t>ve</w:t>
      </w:r>
      <w:r w:rsidR="0059271F">
        <w:t xml:space="preserve"> the highest mean and a higher than average standard deviation indicating high degrees of inequality in the child poverty rates of their LSOAs. In contrast LSOAs in Middlesbrough tend to have higher rates of child poverty but les</w:t>
      </w:r>
      <w:r w:rsidR="0076495F">
        <w:t>s</w:t>
      </w:r>
      <w:r w:rsidR="0059271F">
        <w:t xml:space="preserve"> difference  across the local area</w:t>
      </w:r>
      <w:r w:rsidR="0076495F">
        <w:t>s</w:t>
      </w:r>
      <w:r w:rsidR="0059271F">
        <w:t>.</w:t>
      </w:r>
    </w:p>
    <w:p w:rsidR="0059271F" w:rsidRDefault="0059271F" w:rsidP="00CE4397">
      <w:pPr>
        <w:rPr>
          <w:b/>
        </w:rPr>
      </w:pPr>
    </w:p>
    <w:p w:rsidR="0076495F" w:rsidRDefault="0076495F">
      <w:pPr>
        <w:spacing w:after="160" w:line="259" w:lineRule="auto"/>
        <w:rPr>
          <w:b/>
        </w:rPr>
      </w:pPr>
      <w:r>
        <w:rPr>
          <w:b/>
        </w:rPr>
        <w:br w:type="page"/>
      </w:r>
    </w:p>
    <w:p w:rsidR="00DD7389" w:rsidRDefault="00DD7389" w:rsidP="00CE4397">
      <w:pPr>
        <w:rPr>
          <w:b/>
        </w:rPr>
      </w:pPr>
      <w:bookmarkStart w:id="8" w:name="_GoBack"/>
      <w:bookmarkEnd w:id="8"/>
      <w:r>
        <w:rPr>
          <w:b/>
        </w:rPr>
        <w:lastRenderedPageBreak/>
        <w:t>Table 3.2</w:t>
      </w:r>
      <w:r w:rsidR="0059271F">
        <w:rPr>
          <w:b/>
        </w:rPr>
        <w:t>:</w:t>
      </w:r>
      <w:r>
        <w:rPr>
          <w:b/>
        </w:rPr>
        <w:t xml:space="preserve"> NE LSOAs mean and standard deviation</w:t>
      </w:r>
    </w:p>
    <w:tbl>
      <w:tblPr>
        <w:tblW w:w="2880" w:type="dxa"/>
        <w:tblLook w:val="04A0" w:firstRow="1" w:lastRow="0" w:firstColumn="1" w:lastColumn="0" w:noHBand="0" w:noVBand="1"/>
      </w:tblPr>
      <w:tblGrid>
        <w:gridCol w:w="1406"/>
        <w:gridCol w:w="626"/>
        <w:gridCol w:w="926"/>
      </w:tblGrid>
      <w:tr w:rsidR="00DD7389" w:rsidRPr="00DD7389" w:rsidTr="00DD7389">
        <w:trPr>
          <w:trHeight w:val="49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LA</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D7389" w:rsidRPr="00DD7389" w:rsidRDefault="00DD7389" w:rsidP="00DD7389">
            <w:pPr>
              <w:jc w:val="center"/>
              <w:rPr>
                <w:rFonts w:eastAsia="Times New Roman" w:cs="Times New Roman"/>
                <w:color w:val="264A60"/>
                <w:sz w:val="18"/>
                <w:szCs w:val="18"/>
                <w:lang w:eastAsia="en-GB"/>
              </w:rPr>
            </w:pPr>
            <w:r w:rsidRPr="00DD7389">
              <w:rPr>
                <w:rFonts w:eastAsia="Times New Roman" w:cs="Times New Roman"/>
                <w:color w:val="264A60"/>
                <w:sz w:val="18"/>
                <w:szCs w:val="18"/>
                <w:lang w:eastAsia="en-GB"/>
              </w:rPr>
              <w:t>Mean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D7389" w:rsidRPr="00DD7389" w:rsidRDefault="00DD7389" w:rsidP="00DD7389">
            <w:pPr>
              <w:jc w:val="center"/>
              <w:rPr>
                <w:rFonts w:eastAsia="Times New Roman" w:cs="Times New Roman"/>
                <w:color w:val="264A60"/>
                <w:sz w:val="18"/>
                <w:szCs w:val="18"/>
                <w:lang w:eastAsia="en-GB"/>
              </w:rPr>
            </w:pPr>
            <w:r w:rsidRPr="00DD7389">
              <w:rPr>
                <w:rFonts w:eastAsia="Times New Roman" w:cs="Times New Roman"/>
                <w:color w:val="264A60"/>
                <w:sz w:val="18"/>
                <w:szCs w:val="18"/>
                <w:lang w:eastAsia="en-GB"/>
              </w:rPr>
              <w:t>Std. Deviation</w:t>
            </w:r>
          </w:p>
        </w:tc>
      </w:tr>
      <w:tr w:rsidR="00DD7389" w:rsidRPr="00DD7389" w:rsidTr="00DD738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County D</w:t>
            </w:r>
            <w:r>
              <w:rPr>
                <w:rFonts w:eastAsia="Times New Roman" w:cs="Times New Roman"/>
                <w:color w:val="264A60"/>
                <w:sz w:val="18"/>
                <w:szCs w:val="18"/>
                <w:lang w:eastAsia="en-GB"/>
              </w:rPr>
              <w:t>urham</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4.1</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2.6</w:t>
            </w:r>
          </w:p>
        </w:tc>
      </w:tr>
      <w:tr w:rsidR="00DD7389" w:rsidRPr="00DD7389" w:rsidTr="00DD7389">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Darlingt</w:t>
            </w:r>
            <w:r>
              <w:rPr>
                <w:rFonts w:eastAsia="Times New Roman" w:cs="Times New Roman"/>
                <w:color w:val="264A60"/>
                <w:sz w:val="18"/>
                <w:szCs w:val="18"/>
                <w:lang w:eastAsia="en-GB"/>
              </w:rPr>
              <w:t>on</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4.7</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3.2</w:t>
            </w:r>
          </w:p>
        </w:tc>
      </w:tr>
      <w:tr w:rsidR="00DD7389" w:rsidRPr="00DD7389" w:rsidTr="00DD738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Gateshea</w:t>
            </w:r>
            <w:r>
              <w:rPr>
                <w:rFonts w:eastAsia="Times New Roman" w:cs="Times New Roman"/>
                <w:color w:val="264A60"/>
                <w:sz w:val="18"/>
                <w:szCs w:val="18"/>
                <w:lang w:eastAsia="en-GB"/>
              </w:rPr>
              <w:t>d</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4.6</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2.7</w:t>
            </w:r>
          </w:p>
        </w:tc>
      </w:tr>
      <w:tr w:rsidR="00DD7389" w:rsidRPr="00DD7389" w:rsidTr="00DD7389">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Hartlepo</w:t>
            </w:r>
            <w:r>
              <w:rPr>
                <w:rFonts w:eastAsia="Times New Roman" w:cs="Times New Roman"/>
                <w:color w:val="264A60"/>
                <w:sz w:val="18"/>
                <w:szCs w:val="18"/>
                <w:lang w:eastAsia="en-GB"/>
              </w:rPr>
              <w:t>ol</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3.7</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3.0</w:t>
            </w:r>
          </w:p>
        </w:tc>
      </w:tr>
      <w:tr w:rsidR="00DD7389" w:rsidRPr="00DD7389" w:rsidTr="00DD738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Middlesb</w:t>
            </w:r>
            <w:r>
              <w:rPr>
                <w:rFonts w:eastAsia="Times New Roman" w:cs="Times New Roman"/>
                <w:color w:val="264A60"/>
                <w:sz w:val="18"/>
                <w:szCs w:val="18"/>
                <w:lang w:eastAsia="en-GB"/>
              </w:rPr>
              <w:t>rough</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3.3</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2.8</w:t>
            </w:r>
          </w:p>
        </w:tc>
      </w:tr>
      <w:tr w:rsidR="00DD7389" w:rsidRPr="00DD7389" w:rsidTr="00DD7389">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Newcastl</w:t>
            </w:r>
            <w:r>
              <w:rPr>
                <w:rFonts w:eastAsia="Times New Roman" w:cs="Times New Roman"/>
                <w:color w:val="264A60"/>
                <w:sz w:val="18"/>
                <w:szCs w:val="18"/>
                <w:lang w:eastAsia="en-GB"/>
              </w:rPr>
              <w:t>e</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4.5</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3.4</w:t>
            </w:r>
          </w:p>
        </w:tc>
      </w:tr>
      <w:tr w:rsidR="00DD7389" w:rsidRPr="00DD7389" w:rsidTr="00DD7389">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North Ty</w:t>
            </w:r>
            <w:r>
              <w:rPr>
                <w:rFonts w:eastAsia="Times New Roman" w:cs="Times New Roman"/>
                <w:color w:val="264A60"/>
                <w:sz w:val="18"/>
                <w:szCs w:val="18"/>
                <w:lang w:eastAsia="en-GB"/>
              </w:rPr>
              <w:t>neside</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5.5</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3.2</w:t>
            </w:r>
          </w:p>
        </w:tc>
      </w:tr>
      <w:tr w:rsidR="00DD7389" w:rsidRPr="00DD7389" w:rsidTr="00DD738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Northumb</w:t>
            </w:r>
            <w:r>
              <w:rPr>
                <w:rFonts w:eastAsia="Times New Roman" w:cs="Times New Roman"/>
                <w:color w:val="264A60"/>
                <w:sz w:val="18"/>
                <w:szCs w:val="18"/>
                <w:lang w:eastAsia="en-GB"/>
              </w:rPr>
              <w:t>erland</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5.6</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3.1</w:t>
            </w:r>
          </w:p>
        </w:tc>
      </w:tr>
      <w:tr w:rsidR="00DD7389" w:rsidRPr="00DD7389" w:rsidTr="00DD738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Redcar a</w:t>
            </w:r>
            <w:r>
              <w:rPr>
                <w:rFonts w:eastAsia="Times New Roman" w:cs="Times New Roman"/>
                <w:color w:val="264A60"/>
                <w:sz w:val="18"/>
                <w:szCs w:val="18"/>
                <w:lang w:eastAsia="en-GB"/>
              </w:rPr>
              <w:t>nd Cleveland</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4.2</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2.9</w:t>
            </w:r>
          </w:p>
        </w:tc>
      </w:tr>
      <w:tr w:rsidR="00DD7389" w:rsidRPr="00DD7389" w:rsidTr="00DD738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South Ty</w:t>
            </w:r>
            <w:r>
              <w:rPr>
                <w:rFonts w:eastAsia="Times New Roman" w:cs="Times New Roman"/>
                <w:color w:val="264A60"/>
                <w:sz w:val="18"/>
                <w:szCs w:val="18"/>
                <w:lang w:eastAsia="en-GB"/>
              </w:rPr>
              <w:t>neside</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3.6</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2.9</w:t>
            </w:r>
          </w:p>
        </w:tc>
      </w:tr>
      <w:tr w:rsidR="00DD7389" w:rsidRPr="00DD7389" w:rsidTr="00DD738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Stockton</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4.8</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3.0</w:t>
            </w:r>
          </w:p>
        </w:tc>
      </w:tr>
      <w:tr w:rsidR="00DD7389" w:rsidRPr="00DD7389" w:rsidTr="00DD738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Sunderla</w:t>
            </w:r>
            <w:r>
              <w:rPr>
                <w:rFonts w:eastAsia="Times New Roman" w:cs="Times New Roman"/>
                <w:color w:val="264A60"/>
                <w:sz w:val="18"/>
                <w:szCs w:val="18"/>
                <w:lang w:eastAsia="en-GB"/>
              </w:rPr>
              <w:t>nd</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4.1</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2.8</w:t>
            </w:r>
          </w:p>
        </w:tc>
      </w:tr>
      <w:tr w:rsidR="00DD7389" w:rsidRPr="00DD7389" w:rsidTr="00DD738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7389" w:rsidRPr="00DD7389" w:rsidRDefault="00DD7389" w:rsidP="00DD7389">
            <w:pPr>
              <w:rPr>
                <w:rFonts w:eastAsia="Times New Roman" w:cs="Times New Roman"/>
                <w:color w:val="264A60"/>
                <w:sz w:val="18"/>
                <w:szCs w:val="18"/>
                <w:lang w:eastAsia="en-GB"/>
              </w:rPr>
            </w:pPr>
            <w:r w:rsidRPr="00DD7389">
              <w:rPr>
                <w:rFonts w:eastAsia="Times New Roman" w:cs="Times New Roman"/>
                <w:color w:val="264A60"/>
                <w:sz w:val="18"/>
                <w:szCs w:val="18"/>
                <w:lang w:eastAsia="en-GB"/>
              </w:rPr>
              <w:t>Total</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4.5</w:t>
            </w:r>
          </w:p>
        </w:tc>
        <w:tc>
          <w:tcPr>
            <w:tcW w:w="960" w:type="dxa"/>
            <w:tcBorders>
              <w:top w:val="nil"/>
              <w:left w:val="nil"/>
              <w:bottom w:val="single" w:sz="8" w:space="0" w:color="auto"/>
              <w:right w:val="single" w:sz="8" w:space="0" w:color="auto"/>
            </w:tcBorders>
            <w:shd w:val="clear" w:color="auto" w:fill="auto"/>
            <w:vAlign w:val="center"/>
            <w:hideMark/>
          </w:tcPr>
          <w:p w:rsidR="00DD7389" w:rsidRPr="00DD7389" w:rsidRDefault="00DD7389" w:rsidP="00DD7389">
            <w:pPr>
              <w:jc w:val="right"/>
              <w:rPr>
                <w:rFonts w:eastAsia="Times New Roman" w:cs="Times New Roman"/>
                <w:color w:val="010205"/>
                <w:sz w:val="18"/>
                <w:szCs w:val="18"/>
                <w:lang w:eastAsia="en-GB"/>
              </w:rPr>
            </w:pPr>
            <w:r w:rsidRPr="00DD7389">
              <w:rPr>
                <w:rFonts w:eastAsia="Times New Roman" w:cs="Times New Roman"/>
                <w:color w:val="010205"/>
                <w:sz w:val="18"/>
                <w:szCs w:val="18"/>
                <w:lang w:eastAsia="en-GB"/>
              </w:rPr>
              <w:t>3.0</w:t>
            </w:r>
          </w:p>
        </w:tc>
      </w:tr>
    </w:tbl>
    <w:p w:rsidR="00DD7389" w:rsidRPr="00C0595C" w:rsidRDefault="00DD7389" w:rsidP="00CE4397">
      <w:pPr>
        <w:rPr>
          <w:b/>
        </w:rPr>
      </w:pPr>
    </w:p>
    <w:sectPr w:rsidR="00DD7389" w:rsidRPr="00C0595C" w:rsidSect="00B0219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A49" w:rsidRDefault="002A5A49" w:rsidP="00BF108F">
      <w:r>
        <w:separator/>
      </w:r>
    </w:p>
  </w:endnote>
  <w:endnote w:type="continuationSeparator" w:id="0">
    <w:p w:rsidR="002A5A49" w:rsidRDefault="002A5A49" w:rsidP="00BF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A49" w:rsidRDefault="002A5A49" w:rsidP="00BF108F">
      <w:r>
        <w:separator/>
      </w:r>
    </w:p>
  </w:footnote>
  <w:footnote w:type="continuationSeparator" w:id="0">
    <w:p w:rsidR="002A5A49" w:rsidRDefault="002A5A49" w:rsidP="00BF108F">
      <w:r>
        <w:continuationSeparator/>
      </w:r>
    </w:p>
  </w:footnote>
  <w:footnote w:id="1">
    <w:p w:rsidR="002A5A49" w:rsidRDefault="002A5A49">
      <w:pPr>
        <w:pStyle w:val="FootnoteText"/>
      </w:pPr>
      <w:r>
        <w:rPr>
          <w:rStyle w:val="FootnoteReference"/>
        </w:rPr>
        <w:footnoteRef/>
      </w:r>
      <w:r>
        <w:t xml:space="preserve"> </w:t>
      </w:r>
      <w:r w:rsidRPr="00BF108F">
        <w:t>Bradshaw, J. (2008) The prevalence, characteristics and distribution of child poverty in the North East Region, A Report for the Child Poverty Strategy Group for the North East.</w:t>
      </w:r>
    </w:p>
    <w:p w:rsidR="002A5A49" w:rsidRPr="00BF108F" w:rsidRDefault="002A5A49">
      <w:pPr>
        <w:pStyle w:val="FootnoteText"/>
        <w:rPr>
          <w:lang w:val="en-US"/>
        </w:rPr>
      </w:pPr>
      <w:r>
        <w:t>Bradshaw, J. and Mayhew, E. (2015) Child poverty in the North East Region, A report produced for the North East Child Poverty Commission.</w:t>
      </w:r>
    </w:p>
  </w:footnote>
  <w:footnote w:id="2">
    <w:p w:rsidR="002A5A49" w:rsidRPr="00D15312" w:rsidRDefault="002A5A49" w:rsidP="00D15312">
      <w:pPr>
        <w:rPr>
          <w:sz w:val="20"/>
          <w:szCs w:val="20"/>
        </w:rPr>
      </w:pPr>
      <w:r>
        <w:rPr>
          <w:rStyle w:val="FootnoteReference"/>
        </w:rPr>
        <w:footnoteRef/>
      </w:r>
      <w:r>
        <w:t xml:space="preserve"> </w:t>
      </w:r>
      <w:r w:rsidRPr="0046214B">
        <w:rPr>
          <w:sz w:val="20"/>
          <w:szCs w:val="20"/>
        </w:rPr>
        <w:t xml:space="preserve">Bradshaw J, Noble M, Bloor K, </w:t>
      </w:r>
      <w:proofErr w:type="spellStart"/>
      <w:r w:rsidRPr="0046214B">
        <w:rPr>
          <w:sz w:val="20"/>
          <w:szCs w:val="20"/>
        </w:rPr>
        <w:t>Huby</w:t>
      </w:r>
      <w:proofErr w:type="spellEnd"/>
      <w:r w:rsidRPr="0046214B">
        <w:rPr>
          <w:sz w:val="20"/>
          <w:szCs w:val="20"/>
        </w:rPr>
        <w:t xml:space="preserve"> M, McLennan D, Rhodes D, Sinclair I, Wilkinson K. (2009) A Child Well-Being Index at Small Area Level in England, J. Child  Indicators Research 2, 2, 201-219 </w:t>
      </w:r>
    </w:p>
  </w:footnote>
  <w:footnote w:id="3">
    <w:p w:rsidR="00D15312" w:rsidRDefault="00D15312" w:rsidP="00D15312">
      <w:pPr>
        <w:pStyle w:val="FootnoteText"/>
      </w:pPr>
      <w:r>
        <w:rPr>
          <w:rStyle w:val="FootnoteReference"/>
        </w:rPr>
        <w:footnoteRef/>
      </w:r>
      <w:r>
        <w:t xml:space="preserve"> Donald Hirsch and Laura Valadez (2014) Local indicators of child poverty – developing a new technique for estimation Note by, Centre for Research in Social Policy, Loughborough University, July 2014 </w:t>
      </w:r>
      <w:r w:rsidRPr="00B17756">
        <w:t>http://www.endchildpoverty.org.uk/images/ecp/paper_explaining_calculations_and_method_to_ECP.pdf</w:t>
      </w:r>
    </w:p>
  </w:footnote>
  <w:footnote w:id="4">
    <w:p w:rsidR="002A5A49" w:rsidRPr="00810FF1" w:rsidRDefault="002A5A49" w:rsidP="0046214B">
      <w:pPr>
        <w:rPr>
          <w:sz w:val="20"/>
          <w:szCs w:val="20"/>
        </w:rPr>
      </w:pPr>
      <w:r w:rsidRPr="00810FF1">
        <w:rPr>
          <w:rStyle w:val="FootnoteReference"/>
          <w:sz w:val="20"/>
          <w:szCs w:val="20"/>
        </w:rPr>
        <w:footnoteRef/>
      </w:r>
      <w:r w:rsidRPr="00810FF1">
        <w:rPr>
          <w:sz w:val="20"/>
          <w:szCs w:val="20"/>
        </w:rPr>
        <w:t xml:space="preserve"> DWP (20</w:t>
      </w:r>
      <w:r>
        <w:rPr>
          <w:sz w:val="20"/>
          <w:szCs w:val="20"/>
        </w:rPr>
        <w:t>19</w:t>
      </w:r>
      <w:r w:rsidRPr="00810FF1">
        <w:rPr>
          <w:sz w:val="20"/>
          <w:szCs w:val="20"/>
        </w:rPr>
        <w:t>) Households Below Average Income: An analysis of the income distribution 1994/95 -20</w:t>
      </w:r>
      <w:r>
        <w:rPr>
          <w:sz w:val="20"/>
          <w:szCs w:val="20"/>
        </w:rPr>
        <w:t>17</w:t>
      </w:r>
      <w:r w:rsidRPr="00810FF1">
        <w:rPr>
          <w:sz w:val="20"/>
          <w:szCs w:val="20"/>
        </w:rPr>
        <w:t>/</w:t>
      </w:r>
      <w:r>
        <w:rPr>
          <w:sz w:val="20"/>
          <w:szCs w:val="20"/>
        </w:rPr>
        <w:t>18 Table 4.6db</w:t>
      </w:r>
    </w:p>
  </w:footnote>
  <w:footnote w:id="5">
    <w:p w:rsidR="00B95A51" w:rsidRPr="00A15EEF" w:rsidRDefault="00B95A51" w:rsidP="00B95A51">
      <w:pPr>
        <w:pStyle w:val="FootnoteText"/>
        <w:rPr>
          <w:lang w:val="en-US"/>
        </w:rPr>
      </w:pPr>
      <w:r>
        <w:rPr>
          <w:rStyle w:val="FootnoteReference"/>
        </w:rPr>
        <w:footnoteRef/>
      </w:r>
      <w:r>
        <w:t xml:space="preserve"> </w:t>
      </w:r>
      <w:r w:rsidRPr="00A15EEF">
        <w:t>A family is in low income and material deprivation if they have a material deprivation score of 25 or more and a household income below 70 per cent of contemporary</w:t>
      </w:r>
      <w:r>
        <w:t xml:space="preserve"> median income</w:t>
      </w:r>
    </w:p>
  </w:footnote>
  <w:footnote w:id="6">
    <w:p w:rsidR="00B95A51" w:rsidRPr="00A15EEF" w:rsidRDefault="00B95A51" w:rsidP="00B95A51">
      <w:pPr>
        <w:pStyle w:val="FootnoteText"/>
        <w:rPr>
          <w:lang w:val="en-US"/>
        </w:rPr>
      </w:pPr>
      <w:r>
        <w:rPr>
          <w:rStyle w:val="FootnoteReference"/>
        </w:rPr>
        <w:footnoteRef/>
      </w:r>
      <w:r>
        <w:t xml:space="preserve"> </w:t>
      </w:r>
      <w:r w:rsidRPr="00A15EEF">
        <w:t>A family is in severe low income and material deprivation if they have a material deprivation score of 25 or more and a household income below 50 per cent of contemporary median income,</w:t>
      </w:r>
    </w:p>
  </w:footnote>
  <w:footnote w:id="7">
    <w:p w:rsidR="002A5A49" w:rsidRPr="00544FB7" w:rsidRDefault="002A5A49">
      <w:pPr>
        <w:pStyle w:val="FootnoteText"/>
        <w:rPr>
          <w:lang w:val="en-US"/>
        </w:rPr>
      </w:pPr>
      <w:r>
        <w:rPr>
          <w:rStyle w:val="FootnoteReference"/>
        </w:rPr>
        <w:footnoteRef/>
      </w:r>
      <w:r>
        <w:t xml:space="preserve"> There is no data for the first period because the indicator was not introduced then.</w:t>
      </w:r>
    </w:p>
  </w:footnote>
  <w:footnote w:id="8">
    <w:p w:rsidR="002A5A49" w:rsidRPr="00CD4D9A" w:rsidRDefault="002A5A49">
      <w:pPr>
        <w:pStyle w:val="FootnoteText"/>
        <w:rPr>
          <w:lang w:val="en-US"/>
        </w:rPr>
      </w:pPr>
      <w:r>
        <w:rPr>
          <w:rStyle w:val="FootnoteReference"/>
        </w:rPr>
        <w:footnoteRef/>
      </w:r>
      <w:r>
        <w:t xml:space="preserve"> </w:t>
      </w:r>
      <w:r w:rsidRPr="00CD4D9A">
        <w:t>http://www.endchildpoverty.org.uk/poverty-in-your-area-2019/</w:t>
      </w:r>
    </w:p>
  </w:footnote>
  <w:footnote w:id="9">
    <w:p w:rsidR="002A5A49" w:rsidRPr="00CD4D9A" w:rsidRDefault="002A5A49" w:rsidP="00CB239F">
      <w:pPr>
        <w:pStyle w:val="FootnoteText"/>
        <w:rPr>
          <w:lang w:val="en-US"/>
        </w:rPr>
      </w:pPr>
      <w:r>
        <w:rPr>
          <w:rStyle w:val="FootnoteReference"/>
        </w:rPr>
        <w:footnoteRef/>
      </w:r>
      <w:r>
        <w:t xml:space="preserve"> </w:t>
      </w:r>
      <w:r w:rsidRPr="00CD4D9A">
        <w:t>http://www.endchildpoverty.org.uk/poverty-in-your-area-2019/</w:t>
      </w:r>
    </w:p>
  </w:footnote>
  <w:footnote w:id="10">
    <w:p w:rsidR="002A5A49" w:rsidRPr="00C0595C" w:rsidRDefault="002A5A49" w:rsidP="00C0595C">
      <w:pPr>
        <w:pStyle w:val="FootnoteText"/>
        <w:rPr>
          <w:lang w:val="en-US"/>
        </w:rPr>
      </w:pPr>
      <w:r>
        <w:rPr>
          <w:rStyle w:val="FootnoteReference"/>
        </w:rPr>
        <w:footnoteRef/>
      </w:r>
      <w:r>
        <w:t xml:space="preserve"> These are geographical areas first derived in 2004 using 2001 Census outputs. They are spatially contiguous areas with a mean population of 1,500 and a minimum of 1,000 which are designed to be relatively socially homogenous and constrained to 2003 ward boundaries. They have the advantages over wards of being smaller, stable over time and of a more consistent population size. They have the advantage over enumeration districts of having boundaries determined by the character of the population, including size, mutual proximity and social homogeneity3, rather than roads or other physical features. There are 32,844 LSOAs in England in 2011..</w:t>
      </w:r>
    </w:p>
  </w:footnote>
  <w:footnote w:id="11">
    <w:p w:rsidR="002A5A49" w:rsidRDefault="002A5A49" w:rsidP="005E6CD8">
      <w:pPr>
        <w:pStyle w:val="FootnoteText"/>
      </w:pPr>
      <w:r>
        <w:rPr>
          <w:rStyle w:val="FootnoteReference"/>
        </w:rPr>
        <w:footnoteRef/>
      </w:r>
      <w:r>
        <w:t xml:space="preserve"> The IDACI index is the percentage of children under 16 living in families reliant on various means tested benefits (Noble et al. 2004). The indicators are</w:t>
      </w:r>
    </w:p>
    <w:p w:rsidR="002A5A49" w:rsidRDefault="002A5A49" w:rsidP="005E6CD8">
      <w:pPr>
        <w:pStyle w:val="FootnoteText"/>
      </w:pPr>
      <w:r>
        <w:t>Children aged 0–15 in households claiming Income Support.</w:t>
      </w:r>
    </w:p>
    <w:p w:rsidR="002A5A49" w:rsidRDefault="002A5A49" w:rsidP="005E6CD8">
      <w:pPr>
        <w:pStyle w:val="FootnoteText"/>
      </w:pPr>
      <w:r>
        <w:t>Children aged 0–15 in households claiming Income Based Jobseeker's Allowance.</w:t>
      </w:r>
    </w:p>
    <w:p w:rsidR="002A5A49" w:rsidRDefault="002A5A49" w:rsidP="00C0595C">
      <w:pPr>
        <w:pStyle w:val="FootnoteText"/>
      </w:pPr>
      <w:r>
        <w:t>Children aged 0–15 in households claiming Pension Credit (Guarantee).</w:t>
      </w:r>
    </w:p>
    <w:p w:rsidR="002A5A49" w:rsidRDefault="002A5A49" w:rsidP="005E6CD8">
      <w:pPr>
        <w:pStyle w:val="FootnoteText"/>
      </w:pPr>
      <w:r>
        <w:t xml:space="preserve">Children aged 0–15 in households claiming Working Tax Credit in receipt of Child Tax Credit whose  equivalised income (excluding housing benefits) is below 60% of the median before housing costs </w:t>
      </w:r>
    </w:p>
    <w:p w:rsidR="002A5A49" w:rsidRPr="005E6CD8" w:rsidRDefault="002A5A49" w:rsidP="005E6CD8">
      <w:pPr>
        <w:pStyle w:val="FootnoteText"/>
        <w:rPr>
          <w:lang w:val="en-US"/>
        </w:rPr>
      </w:pPr>
      <w:r>
        <w:t>Children aged 0–15 in households claiming Child Tax Credit (who are not eligible for Income Support, Income Based Jobseeker's Allowance, Pension Credit or Working Tax Credit) whose equivalised income (excluding housing benefits) is below 60% of the median before housing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96BCD"/>
    <w:multiLevelType w:val="hybridMultilevel"/>
    <w:tmpl w:val="A8AC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97"/>
    <w:rsid w:val="000105F4"/>
    <w:rsid w:val="000C6F50"/>
    <w:rsid w:val="000D2FAF"/>
    <w:rsid w:val="00136D90"/>
    <w:rsid w:val="00155108"/>
    <w:rsid w:val="002921C3"/>
    <w:rsid w:val="002969A2"/>
    <w:rsid w:val="002A5A49"/>
    <w:rsid w:val="002F136F"/>
    <w:rsid w:val="004421C0"/>
    <w:rsid w:val="00442482"/>
    <w:rsid w:val="0046214B"/>
    <w:rsid w:val="00513DE5"/>
    <w:rsid w:val="00515390"/>
    <w:rsid w:val="00544FB7"/>
    <w:rsid w:val="0059271F"/>
    <w:rsid w:val="005E6CD8"/>
    <w:rsid w:val="0062126C"/>
    <w:rsid w:val="0076495F"/>
    <w:rsid w:val="00837857"/>
    <w:rsid w:val="00896D41"/>
    <w:rsid w:val="0091327A"/>
    <w:rsid w:val="00A15EEF"/>
    <w:rsid w:val="00A47E2D"/>
    <w:rsid w:val="00B0219B"/>
    <w:rsid w:val="00B316FA"/>
    <w:rsid w:val="00B53570"/>
    <w:rsid w:val="00B95A51"/>
    <w:rsid w:val="00BD4C51"/>
    <w:rsid w:val="00BF108F"/>
    <w:rsid w:val="00C0595C"/>
    <w:rsid w:val="00CB239F"/>
    <w:rsid w:val="00CD4D9A"/>
    <w:rsid w:val="00CE4397"/>
    <w:rsid w:val="00D106A6"/>
    <w:rsid w:val="00D15312"/>
    <w:rsid w:val="00D63BB1"/>
    <w:rsid w:val="00DD7389"/>
    <w:rsid w:val="00DF58C0"/>
    <w:rsid w:val="00E21BCB"/>
    <w:rsid w:val="00E60B52"/>
    <w:rsid w:val="00ED39D0"/>
    <w:rsid w:val="00ED6A11"/>
    <w:rsid w:val="00F04C45"/>
    <w:rsid w:val="00F13AC2"/>
    <w:rsid w:val="00F6345F"/>
    <w:rsid w:val="00FD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DF71A7"/>
  <w15:chartTrackingRefBased/>
  <w15:docId w15:val="{25306FC4-BC02-4D28-9BAB-9D934AC0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DE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397"/>
    <w:rPr>
      <w:color w:val="0563C1" w:themeColor="hyperlink"/>
      <w:u w:val="single"/>
    </w:rPr>
  </w:style>
  <w:style w:type="character" w:styleId="UnresolvedMention">
    <w:name w:val="Unresolved Mention"/>
    <w:basedOn w:val="DefaultParagraphFont"/>
    <w:uiPriority w:val="99"/>
    <w:semiHidden/>
    <w:unhideWhenUsed/>
    <w:rsid w:val="00CE4397"/>
    <w:rPr>
      <w:color w:val="605E5C"/>
      <w:shd w:val="clear" w:color="auto" w:fill="E1DFDD"/>
    </w:rPr>
  </w:style>
  <w:style w:type="paragraph" w:styleId="FootnoteText">
    <w:name w:val="footnote text"/>
    <w:basedOn w:val="Normal"/>
    <w:link w:val="FootnoteTextChar"/>
    <w:uiPriority w:val="99"/>
    <w:unhideWhenUsed/>
    <w:rsid w:val="00BF108F"/>
    <w:rPr>
      <w:sz w:val="20"/>
      <w:szCs w:val="20"/>
    </w:rPr>
  </w:style>
  <w:style w:type="character" w:customStyle="1" w:styleId="FootnoteTextChar">
    <w:name w:val="Footnote Text Char"/>
    <w:basedOn w:val="DefaultParagraphFont"/>
    <w:link w:val="FootnoteText"/>
    <w:uiPriority w:val="99"/>
    <w:rsid w:val="00BF108F"/>
    <w:rPr>
      <w:rFonts w:ascii="Times New Roman" w:hAnsi="Times New Roman"/>
      <w:sz w:val="20"/>
      <w:szCs w:val="20"/>
    </w:rPr>
  </w:style>
  <w:style w:type="character" w:styleId="FootnoteReference">
    <w:name w:val="footnote reference"/>
    <w:basedOn w:val="DefaultParagraphFont"/>
    <w:semiHidden/>
    <w:unhideWhenUsed/>
    <w:rsid w:val="00BF108F"/>
    <w:rPr>
      <w:vertAlign w:val="superscript"/>
    </w:rPr>
  </w:style>
  <w:style w:type="table" w:styleId="TableGrid">
    <w:name w:val="Table Grid"/>
    <w:basedOn w:val="TableNormal"/>
    <w:uiPriority w:val="39"/>
    <w:rsid w:val="00B5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6A6"/>
    <w:rPr>
      <w:rFonts w:ascii="Segoe UI" w:hAnsi="Segoe UI" w:cs="Segoe UI"/>
      <w:sz w:val="18"/>
      <w:szCs w:val="18"/>
    </w:rPr>
  </w:style>
  <w:style w:type="paragraph" w:styleId="ListParagraph">
    <w:name w:val="List Paragraph"/>
    <w:basedOn w:val="Normal"/>
    <w:uiPriority w:val="34"/>
    <w:qFormat/>
    <w:rsid w:val="0059271F"/>
    <w:pPr>
      <w:ind w:left="720"/>
      <w:contextualSpacing/>
    </w:pPr>
  </w:style>
  <w:style w:type="paragraph" w:styleId="BodyTextIndent">
    <w:name w:val="Body Text Indent"/>
    <w:basedOn w:val="Normal"/>
    <w:link w:val="BodyTextIndentChar"/>
    <w:uiPriority w:val="99"/>
    <w:semiHidden/>
    <w:unhideWhenUsed/>
    <w:rsid w:val="00D15312"/>
    <w:pPr>
      <w:spacing w:after="120"/>
      <w:ind w:left="283"/>
    </w:pPr>
  </w:style>
  <w:style w:type="character" w:customStyle="1" w:styleId="BodyTextIndentChar">
    <w:name w:val="Body Text Indent Char"/>
    <w:basedOn w:val="DefaultParagraphFont"/>
    <w:link w:val="BodyTextIndent"/>
    <w:uiPriority w:val="99"/>
    <w:semiHidden/>
    <w:rsid w:val="00D15312"/>
    <w:rPr>
      <w:rFonts w:ascii="Times New Roman" w:hAnsi="Times New Roman"/>
      <w:sz w:val="24"/>
    </w:rPr>
  </w:style>
  <w:style w:type="character" w:styleId="CommentReference">
    <w:name w:val="annotation reference"/>
    <w:rsid w:val="00D153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5642">
      <w:bodyDiv w:val="1"/>
      <w:marLeft w:val="0"/>
      <w:marRight w:val="0"/>
      <w:marTop w:val="0"/>
      <w:marBottom w:val="0"/>
      <w:divBdr>
        <w:top w:val="none" w:sz="0" w:space="0" w:color="auto"/>
        <w:left w:val="none" w:sz="0" w:space="0" w:color="auto"/>
        <w:bottom w:val="none" w:sz="0" w:space="0" w:color="auto"/>
        <w:right w:val="none" w:sz="0" w:space="0" w:color="auto"/>
      </w:divBdr>
    </w:div>
    <w:div w:id="196435681">
      <w:bodyDiv w:val="1"/>
      <w:marLeft w:val="0"/>
      <w:marRight w:val="0"/>
      <w:marTop w:val="0"/>
      <w:marBottom w:val="0"/>
      <w:divBdr>
        <w:top w:val="none" w:sz="0" w:space="0" w:color="auto"/>
        <w:left w:val="none" w:sz="0" w:space="0" w:color="auto"/>
        <w:bottom w:val="none" w:sz="0" w:space="0" w:color="auto"/>
        <w:right w:val="none" w:sz="0" w:space="0" w:color="auto"/>
      </w:divBdr>
    </w:div>
    <w:div w:id="453326364">
      <w:bodyDiv w:val="1"/>
      <w:marLeft w:val="0"/>
      <w:marRight w:val="0"/>
      <w:marTop w:val="0"/>
      <w:marBottom w:val="0"/>
      <w:divBdr>
        <w:top w:val="none" w:sz="0" w:space="0" w:color="auto"/>
        <w:left w:val="none" w:sz="0" w:space="0" w:color="auto"/>
        <w:bottom w:val="none" w:sz="0" w:space="0" w:color="auto"/>
        <w:right w:val="none" w:sz="0" w:space="0" w:color="auto"/>
      </w:divBdr>
    </w:div>
    <w:div w:id="563876302">
      <w:bodyDiv w:val="1"/>
      <w:marLeft w:val="0"/>
      <w:marRight w:val="0"/>
      <w:marTop w:val="0"/>
      <w:marBottom w:val="0"/>
      <w:divBdr>
        <w:top w:val="none" w:sz="0" w:space="0" w:color="auto"/>
        <w:left w:val="none" w:sz="0" w:space="0" w:color="auto"/>
        <w:bottom w:val="none" w:sz="0" w:space="0" w:color="auto"/>
        <w:right w:val="none" w:sz="0" w:space="0" w:color="auto"/>
      </w:divBdr>
    </w:div>
    <w:div w:id="1077870995">
      <w:bodyDiv w:val="1"/>
      <w:marLeft w:val="0"/>
      <w:marRight w:val="0"/>
      <w:marTop w:val="0"/>
      <w:marBottom w:val="0"/>
      <w:divBdr>
        <w:top w:val="none" w:sz="0" w:space="0" w:color="auto"/>
        <w:left w:val="none" w:sz="0" w:space="0" w:color="auto"/>
        <w:bottom w:val="none" w:sz="0" w:space="0" w:color="auto"/>
        <w:right w:val="none" w:sz="0" w:space="0" w:color="auto"/>
      </w:divBdr>
    </w:div>
    <w:div w:id="1623995635">
      <w:bodyDiv w:val="1"/>
      <w:marLeft w:val="0"/>
      <w:marRight w:val="0"/>
      <w:marTop w:val="0"/>
      <w:marBottom w:val="0"/>
      <w:divBdr>
        <w:top w:val="none" w:sz="0" w:space="0" w:color="auto"/>
        <w:left w:val="none" w:sz="0" w:space="0" w:color="auto"/>
        <w:bottom w:val="none" w:sz="0" w:space="0" w:color="auto"/>
        <w:right w:val="none" w:sz="0" w:space="0" w:color="auto"/>
      </w:divBdr>
    </w:div>
    <w:div w:id="1704015443">
      <w:bodyDiv w:val="1"/>
      <w:marLeft w:val="0"/>
      <w:marRight w:val="0"/>
      <w:marTop w:val="0"/>
      <w:marBottom w:val="0"/>
      <w:divBdr>
        <w:top w:val="none" w:sz="0" w:space="0" w:color="auto"/>
        <w:left w:val="none" w:sz="0" w:space="0" w:color="auto"/>
        <w:bottom w:val="none" w:sz="0" w:space="0" w:color="auto"/>
        <w:right w:val="none" w:sz="0" w:space="0" w:color="auto"/>
      </w:divBdr>
    </w:div>
    <w:div w:id="1773279018">
      <w:bodyDiv w:val="1"/>
      <w:marLeft w:val="0"/>
      <w:marRight w:val="0"/>
      <w:marTop w:val="0"/>
      <w:marBottom w:val="0"/>
      <w:divBdr>
        <w:top w:val="none" w:sz="0" w:space="0" w:color="auto"/>
        <w:left w:val="none" w:sz="0" w:space="0" w:color="auto"/>
        <w:bottom w:val="none" w:sz="0" w:space="0" w:color="auto"/>
        <w:right w:val="none" w:sz="0" w:space="0" w:color="auto"/>
      </w:divBdr>
    </w:div>
    <w:div w:id="19669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bradshaw@york.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Child income poverty rates BHC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val>
            <c:numRef>
              <c:f>Sheet1!$D$2:$D$354</c:f>
              <c:numCache>
                <c:formatCode>0.0%</c:formatCode>
                <c:ptCount val="353"/>
                <c:pt idx="0">
                  <c:v>0.61310237646102905</c:v>
                </c:pt>
                <c:pt idx="1">
                  <c:v>0.61310237646102905</c:v>
                </c:pt>
                <c:pt idx="2">
                  <c:v>0.56877386569976807</c:v>
                </c:pt>
                <c:pt idx="3">
                  <c:v>0.54631835222244263</c:v>
                </c:pt>
                <c:pt idx="4">
                  <c:v>0.53089463710784912</c:v>
                </c:pt>
                <c:pt idx="5">
                  <c:v>0.50518345832824707</c:v>
                </c:pt>
                <c:pt idx="6">
                  <c:v>0.49170678853988647</c:v>
                </c:pt>
                <c:pt idx="7">
                  <c:v>0.48580750823020935</c:v>
                </c:pt>
                <c:pt idx="8">
                  <c:v>0.47787290811538696</c:v>
                </c:pt>
                <c:pt idx="9">
                  <c:v>0.469013512134552</c:v>
                </c:pt>
                <c:pt idx="10">
                  <c:v>0.45897170901298523</c:v>
                </c:pt>
                <c:pt idx="11">
                  <c:v>0.44623762369155884</c:v>
                </c:pt>
                <c:pt idx="12">
                  <c:v>0.43957403302192688</c:v>
                </c:pt>
                <c:pt idx="13">
                  <c:v>0.43290191888809204</c:v>
                </c:pt>
                <c:pt idx="14">
                  <c:v>0.43181440234184265</c:v>
                </c:pt>
                <c:pt idx="15">
                  <c:v>0.42997759580612183</c:v>
                </c:pt>
                <c:pt idx="16">
                  <c:v>0.42869815230369568</c:v>
                </c:pt>
                <c:pt idx="17">
                  <c:v>0.42221486568450928</c:v>
                </c:pt>
                <c:pt idx="18">
                  <c:v>0.4195023775100708</c:v>
                </c:pt>
                <c:pt idx="19">
                  <c:v>0.41805160045623779</c:v>
                </c:pt>
                <c:pt idx="20">
                  <c:v>0.41128638386726379</c:v>
                </c:pt>
                <c:pt idx="21">
                  <c:v>0.41059201955795288</c:v>
                </c:pt>
                <c:pt idx="22">
                  <c:v>0.4046744704246521</c:v>
                </c:pt>
                <c:pt idx="23">
                  <c:v>0.40304118394851685</c:v>
                </c:pt>
                <c:pt idx="24">
                  <c:v>0.39359945058822632</c:v>
                </c:pt>
                <c:pt idx="25">
                  <c:v>0.39090189337730408</c:v>
                </c:pt>
                <c:pt idx="26">
                  <c:v>0.39064529538154602</c:v>
                </c:pt>
                <c:pt idx="27">
                  <c:v>0.38430047035217285</c:v>
                </c:pt>
                <c:pt idx="28">
                  <c:v>0.38421046733856201</c:v>
                </c:pt>
                <c:pt idx="29">
                  <c:v>0.37898528575897217</c:v>
                </c:pt>
                <c:pt idx="30">
                  <c:v>0.37641376256942749</c:v>
                </c:pt>
                <c:pt idx="31">
                  <c:v>0.37591025233268738</c:v>
                </c:pt>
                <c:pt idx="32">
                  <c:v>0.37483742833137512</c:v>
                </c:pt>
                <c:pt idx="33">
                  <c:v>0.36911913752555847</c:v>
                </c:pt>
                <c:pt idx="34">
                  <c:v>0.36909902095794678</c:v>
                </c:pt>
                <c:pt idx="35">
                  <c:v>0.36886727809906006</c:v>
                </c:pt>
                <c:pt idx="36">
                  <c:v>0.36634734272956848</c:v>
                </c:pt>
                <c:pt idx="37">
                  <c:v>0.36575180292129517</c:v>
                </c:pt>
                <c:pt idx="38">
                  <c:v>0.3652285635471344</c:v>
                </c:pt>
                <c:pt idx="39">
                  <c:v>0.36258339881896973</c:v>
                </c:pt>
                <c:pt idx="40">
                  <c:v>0.36047202348709106</c:v>
                </c:pt>
                <c:pt idx="41">
                  <c:v>0.3601343035697937</c:v>
                </c:pt>
                <c:pt idx="42">
                  <c:v>0.35916003584861755</c:v>
                </c:pt>
                <c:pt idx="43">
                  <c:v>0.35709476470947266</c:v>
                </c:pt>
                <c:pt idx="44">
                  <c:v>0.35339075326919556</c:v>
                </c:pt>
                <c:pt idx="45">
                  <c:v>0.352315753698349</c:v>
                </c:pt>
                <c:pt idx="46">
                  <c:v>0.3516521155834198</c:v>
                </c:pt>
                <c:pt idx="47">
                  <c:v>0.35069245100021362</c:v>
                </c:pt>
                <c:pt idx="48">
                  <c:v>0.35050004720687866</c:v>
                </c:pt>
                <c:pt idx="49">
                  <c:v>0.34920504689216614</c:v>
                </c:pt>
                <c:pt idx="50">
                  <c:v>0.34846174716949463</c:v>
                </c:pt>
                <c:pt idx="51">
                  <c:v>0.34782204031944275</c:v>
                </c:pt>
                <c:pt idx="52">
                  <c:v>0.34527048468589783</c:v>
                </c:pt>
                <c:pt idx="53">
                  <c:v>0.34415283799171448</c:v>
                </c:pt>
                <c:pt idx="54">
                  <c:v>0.34361064434051514</c:v>
                </c:pt>
                <c:pt idx="55">
                  <c:v>0.34321552515029907</c:v>
                </c:pt>
                <c:pt idx="56">
                  <c:v>0.34024778008460999</c:v>
                </c:pt>
                <c:pt idx="57">
                  <c:v>0.34021806716918945</c:v>
                </c:pt>
                <c:pt idx="58">
                  <c:v>0.339944988489151</c:v>
                </c:pt>
                <c:pt idx="59">
                  <c:v>0.33589053153991699</c:v>
                </c:pt>
                <c:pt idx="60">
                  <c:v>0.33589053153991699</c:v>
                </c:pt>
                <c:pt idx="61">
                  <c:v>0.33261945843696594</c:v>
                </c:pt>
                <c:pt idx="62">
                  <c:v>0.33202764391899109</c:v>
                </c:pt>
                <c:pt idx="63">
                  <c:v>0.33086493611335754</c:v>
                </c:pt>
                <c:pt idx="64">
                  <c:v>0.32957598567008972</c:v>
                </c:pt>
                <c:pt idx="65">
                  <c:v>0.32784894108772278</c:v>
                </c:pt>
                <c:pt idx="66">
                  <c:v>0.32662287354469299</c:v>
                </c:pt>
                <c:pt idx="67">
                  <c:v>0.32636678218841553</c:v>
                </c:pt>
                <c:pt idx="68">
                  <c:v>0.32543256878852844</c:v>
                </c:pt>
                <c:pt idx="69">
                  <c:v>0.32521933317184448</c:v>
                </c:pt>
                <c:pt idx="70">
                  <c:v>0.3249778151512146</c:v>
                </c:pt>
                <c:pt idx="71">
                  <c:v>0.3236052393913269</c:v>
                </c:pt>
                <c:pt idx="72">
                  <c:v>0.32216730713844299</c:v>
                </c:pt>
                <c:pt idx="73">
                  <c:v>0.32191407680511475</c:v>
                </c:pt>
                <c:pt idx="74">
                  <c:v>0.3219035267829895</c:v>
                </c:pt>
                <c:pt idx="75">
                  <c:v>0.32162308692932129</c:v>
                </c:pt>
                <c:pt idx="76">
                  <c:v>0.31905442476272583</c:v>
                </c:pt>
                <c:pt idx="77">
                  <c:v>0.31734159588813782</c:v>
                </c:pt>
                <c:pt idx="78">
                  <c:v>0.31629118323326111</c:v>
                </c:pt>
                <c:pt idx="79">
                  <c:v>0.31570428609848022</c:v>
                </c:pt>
                <c:pt idx="80">
                  <c:v>0.31531056761741638</c:v>
                </c:pt>
                <c:pt idx="81">
                  <c:v>0.31398758292198181</c:v>
                </c:pt>
                <c:pt idx="82">
                  <c:v>0.31354564428329468</c:v>
                </c:pt>
                <c:pt idx="83">
                  <c:v>0.31205534934997559</c:v>
                </c:pt>
                <c:pt idx="84">
                  <c:v>0.31165659427642822</c:v>
                </c:pt>
                <c:pt idx="85">
                  <c:v>0.31165659427642822</c:v>
                </c:pt>
                <c:pt idx="86">
                  <c:v>0.31132134795188904</c:v>
                </c:pt>
                <c:pt idx="87">
                  <c:v>0.31102454662322998</c:v>
                </c:pt>
                <c:pt idx="88">
                  <c:v>0.3105388879776001</c:v>
                </c:pt>
                <c:pt idx="89">
                  <c:v>0.30743733048439026</c:v>
                </c:pt>
                <c:pt idx="90">
                  <c:v>0.30694171786308289</c:v>
                </c:pt>
                <c:pt idx="91">
                  <c:v>0.30653977394104004</c:v>
                </c:pt>
                <c:pt idx="92">
                  <c:v>0.30520525574684143</c:v>
                </c:pt>
                <c:pt idx="93">
                  <c:v>0.30498707294464111</c:v>
                </c:pt>
                <c:pt idx="94">
                  <c:v>0.30498707294464111</c:v>
                </c:pt>
                <c:pt idx="95">
                  <c:v>0.30474469065666199</c:v>
                </c:pt>
                <c:pt idx="96">
                  <c:v>0.30473026633262634</c:v>
                </c:pt>
                <c:pt idx="97">
                  <c:v>0.30132025480270386</c:v>
                </c:pt>
                <c:pt idx="98">
                  <c:v>0.30095669627189636</c:v>
                </c:pt>
                <c:pt idx="99">
                  <c:v>0.29952320456504822</c:v>
                </c:pt>
                <c:pt idx="100">
                  <c:v>0.29772895574569702</c:v>
                </c:pt>
                <c:pt idx="101">
                  <c:v>0.2974172830581665</c:v>
                </c:pt>
                <c:pt idx="102">
                  <c:v>0.29500359296798706</c:v>
                </c:pt>
                <c:pt idx="103">
                  <c:v>0.29383286833763123</c:v>
                </c:pt>
                <c:pt idx="104">
                  <c:v>0.29299181699752808</c:v>
                </c:pt>
                <c:pt idx="105">
                  <c:v>0.29140836000442505</c:v>
                </c:pt>
                <c:pt idx="106">
                  <c:v>0.29088014364242554</c:v>
                </c:pt>
                <c:pt idx="107">
                  <c:v>0.29073917865753174</c:v>
                </c:pt>
                <c:pt idx="108">
                  <c:v>0.2902851402759552</c:v>
                </c:pt>
                <c:pt idx="109">
                  <c:v>0.29011049866676331</c:v>
                </c:pt>
                <c:pt idx="110">
                  <c:v>0.28968751430511475</c:v>
                </c:pt>
                <c:pt idx="111">
                  <c:v>0.28932562470436096</c:v>
                </c:pt>
                <c:pt idx="112">
                  <c:v>0.28875789046287537</c:v>
                </c:pt>
                <c:pt idx="113">
                  <c:v>0.28850170969963074</c:v>
                </c:pt>
                <c:pt idx="114">
                  <c:v>0.28830400109291077</c:v>
                </c:pt>
                <c:pt idx="115">
                  <c:v>0.2868511974811554</c:v>
                </c:pt>
                <c:pt idx="116">
                  <c:v>0.28675907850265503</c:v>
                </c:pt>
                <c:pt idx="117">
                  <c:v>0.28470641374588013</c:v>
                </c:pt>
                <c:pt idx="118">
                  <c:v>0.28094977140426636</c:v>
                </c:pt>
                <c:pt idx="119">
                  <c:v>0.27978581190109253</c:v>
                </c:pt>
                <c:pt idx="120">
                  <c:v>0.27975434064865112</c:v>
                </c:pt>
                <c:pt idx="121">
                  <c:v>0.27946358919143677</c:v>
                </c:pt>
                <c:pt idx="122">
                  <c:v>0.27841383218765259</c:v>
                </c:pt>
                <c:pt idx="123">
                  <c:v>0.2747139036655426</c:v>
                </c:pt>
                <c:pt idx="124">
                  <c:v>0.2745136022567749</c:v>
                </c:pt>
                <c:pt idx="125">
                  <c:v>0.27444136142730713</c:v>
                </c:pt>
                <c:pt idx="126">
                  <c:v>0.27017208933830261</c:v>
                </c:pt>
                <c:pt idx="127">
                  <c:v>0.26889204978942871</c:v>
                </c:pt>
                <c:pt idx="128">
                  <c:v>0.26857990026473999</c:v>
                </c:pt>
                <c:pt idx="129">
                  <c:v>0.26707041263580322</c:v>
                </c:pt>
                <c:pt idx="130">
                  <c:v>0.2660273015499115</c:v>
                </c:pt>
                <c:pt idx="131">
                  <c:v>0.26444533467292786</c:v>
                </c:pt>
                <c:pt idx="132">
                  <c:v>0.26382020115852356</c:v>
                </c:pt>
                <c:pt idx="133">
                  <c:v>0.26363623142242432</c:v>
                </c:pt>
                <c:pt idx="134">
                  <c:v>0.26320827007293701</c:v>
                </c:pt>
                <c:pt idx="135">
                  <c:v>0.26318585872650146</c:v>
                </c:pt>
                <c:pt idx="136">
                  <c:v>0.26276305317878723</c:v>
                </c:pt>
                <c:pt idx="137">
                  <c:v>0.26276305317878723</c:v>
                </c:pt>
                <c:pt idx="138">
                  <c:v>0.26250168681144714</c:v>
                </c:pt>
                <c:pt idx="139">
                  <c:v>0.2621607780456543</c:v>
                </c:pt>
                <c:pt idx="140">
                  <c:v>0.26162207126617432</c:v>
                </c:pt>
                <c:pt idx="141">
                  <c:v>0.26023977994918823</c:v>
                </c:pt>
                <c:pt idx="142">
                  <c:v>0.25994721055030823</c:v>
                </c:pt>
                <c:pt idx="143">
                  <c:v>0.25978085398674011</c:v>
                </c:pt>
                <c:pt idx="144">
                  <c:v>0.25875502824783325</c:v>
                </c:pt>
                <c:pt idx="145">
                  <c:v>0.25644734501838684</c:v>
                </c:pt>
                <c:pt idx="146">
                  <c:v>0.25493413209915161</c:v>
                </c:pt>
                <c:pt idx="147">
                  <c:v>0.25443390011787415</c:v>
                </c:pt>
                <c:pt idx="148">
                  <c:v>0.25239792466163635</c:v>
                </c:pt>
                <c:pt idx="149">
                  <c:v>0.2522585391998291</c:v>
                </c:pt>
                <c:pt idx="150">
                  <c:v>0.25177878141403198</c:v>
                </c:pt>
                <c:pt idx="151">
                  <c:v>0.25139853358268738</c:v>
                </c:pt>
                <c:pt idx="152">
                  <c:v>0.25068095326423645</c:v>
                </c:pt>
                <c:pt idx="153">
                  <c:v>0.25049862265586853</c:v>
                </c:pt>
                <c:pt idx="154">
                  <c:v>0.25018021464347839</c:v>
                </c:pt>
                <c:pt idx="155">
                  <c:v>0.24877335131168365</c:v>
                </c:pt>
                <c:pt idx="156">
                  <c:v>0.24840863049030304</c:v>
                </c:pt>
                <c:pt idx="157">
                  <c:v>0.24832628667354584</c:v>
                </c:pt>
                <c:pt idx="158">
                  <c:v>0.24821805953979492</c:v>
                </c:pt>
                <c:pt idx="159">
                  <c:v>0.24704758822917938</c:v>
                </c:pt>
                <c:pt idx="160">
                  <c:v>0.2460324615240097</c:v>
                </c:pt>
                <c:pt idx="161">
                  <c:v>0.24441440403461456</c:v>
                </c:pt>
                <c:pt idx="162">
                  <c:v>0.24350947141647339</c:v>
                </c:pt>
                <c:pt idx="163">
                  <c:v>0.24320025742053986</c:v>
                </c:pt>
                <c:pt idx="164">
                  <c:v>0.24238476157188416</c:v>
                </c:pt>
                <c:pt idx="165">
                  <c:v>0.24208007752895355</c:v>
                </c:pt>
                <c:pt idx="166">
                  <c:v>0.24018797278404236</c:v>
                </c:pt>
                <c:pt idx="167">
                  <c:v>0.23926001787185669</c:v>
                </c:pt>
                <c:pt idx="168">
                  <c:v>0.23840852081775665</c:v>
                </c:pt>
                <c:pt idx="169">
                  <c:v>0.23700177669525146</c:v>
                </c:pt>
                <c:pt idx="170">
                  <c:v>0.23631982505321503</c:v>
                </c:pt>
                <c:pt idx="171">
                  <c:v>0.23533822596073151</c:v>
                </c:pt>
                <c:pt idx="172">
                  <c:v>0.23321834206581116</c:v>
                </c:pt>
                <c:pt idx="173">
                  <c:v>0.23260441422462463</c:v>
                </c:pt>
                <c:pt idx="174">
                  <c:v>0.23225228488445282</c:v>
                </c:pt>
                <c:pt idx="175">
                  <c:v>0.23210768401622772</c:v>
                </c:pt>
                <c:pt idx="176">
                  <c:v>0.23061561584472656</c:v>
                </c:pt>
                <c:pt idx="177">
                  <c:v>0.23019501566886902</c:v>
                </c:pt>
                <c:pt idx="178">
                  <c:v>0.2293582558631897</c:v>
                </c:pt>
                <c:pt idx="179">
                  <c:v>0.22830085456371307</c:v>
                </c:pt>
                <c:pt idx="180">
                  <c:v>0.2280803769826889</c:v>
                </c:pt>
                <c:pt idx="181">
                  <c:v>0.22724409401416779</c:v>
                </c:pt>
                <c:pt idx="182">
                  <c:v>0.22601008415222168</c:v>
                </c:pt>
                <c:pt idx="183">
                  <c:v>0.2254749983549118</c:v>
                </c:pt>
                <c:pt idx="184">
                  <c:v>0.22350428998470306</c:v>
                </c:pt>
                <c:pt idx="185">
                  <c:v>0.22275839745998383</c:v>
                </c:pt>
                <c:pt idx="186">
                  <c:v>0.22254239022731781</c:v>
                </c:pt>
                <c:pt idx="187">
                  <c:v>0.22229534387588501</c:v>
                </c:pt>
                <c:pt idx="188">
                  <c:v>0.22194038331508636</c:v>
                </c:pt>
                <c:pt idx="189">
                  <c:v>0.22183378040790558</c:v>
                </c:pt>
                <c:pt idx="190">
                  <c:v>0.22164015471935272</c:v>
                </c:pt>
                <c:pt idx="191">
                  <c:v>0.22116214036941528</c:v>
                </c:pt>
                <c:pt idx="192">
                  <c:v>0.21918655931949615</c:v>
                </c:pt>
                <c:pt idx="193">
                  <c:v>0.21802964806556702</c:v>
                </c:pt>
                <c:pt idx="194">
                  <c:v>0.21785666048526764</c:v>
                </c:pt>
                <c:pt idx="195">
                  <c:v>0.21626691520214081</c:v>
                </c:pt>
                <c:pt idx="196">
                  <c:v>0.21580861508846283</c:v>
                </c:pt>
                <c:pt idx="197">
                  <c:v>0.21512898802757263</c:v>
                </c:pt>
                <c:pt idx="198">
                  <c:v>0.21470960974693298</c:v>
                </c:pt>
                <c:pt idx="199">
                  <c:v>0.21385236084461212</c:v>
                </c:pt>
                <c:pt idx="200">
                  <c:v>0.21379098296165466</c:v>
                </c:pt>
                <c:pt idx="201">
                  <c:v>0.21347667276859283</c:v>
                </c:pt>
                <c:pt idx="202">
                  <c:v>0.21237696707248688</c:v>
                </c:pt>
                <c:pt idx="203">
                  <c:v>0.21204370260238647</c:v>
                </c:pt>
                <c:pt idx="204">
                  <c:v>0.21202394366264343</c:v>
                </c:pt>
                <c:pt idx="205">
                  <c:v>0.21077141165733337</c:v>
                </c:pt>
                <c:pt idx="206">
                  <c:v>0.21070115268230438</c:v>
                </c:pt>
                <c:pt idx="207">
                  <c:v>0.21055592596530914</c:v>
                </c:pt>
                <c:pt idx="208">
                  <c:v>0.21038812398910522</c:v>
                </c:pt>
                <c:pt idx="209">
                  <c:v>0.21015658974647522</c:v>
                </c:pt>
                <c:pt idx="210">
                  <c:v>0.20987613499164581</c:v>
                </c:pt>
                <c:pt idx="211">
                  <c:v>0.20975406467914581</c:v>
                </c:pt>
                <c:pt idx="212">
                  <c:v>0.20975406467914581</c:v>
                </c:pt>
                <c:pt idx="213">
                  <c:v>0.20782220363616943</c:v>
                </c:pt>
                <c:pt idx="214">
                  <c:v>0.20744189620018005</c:v>
                </c:pt>
                <c:pt idx="215">
                  <c:v>0.20729503035545349</c:v>
                </c:pt>
                <c:pt idx="216">
                  <c:v>0.20729503035545349</c:v>
                </c:pt>
                <c:pt idx="217">
                  <c:v>0.20715910196304321</c:v>
                </c:pt>
                <c:pt idx="218">
                  <c:v>0.20707352459430695</c:v>
                </c:pt>
                <c:pt idx="219">
                  <c:v>0.20706896483898163</c:v>
                </c:pt>
                <c:pt idx="220">
                  <c:v>0.20609162747859955</c:v>
                </c:pt>
                <c:pt idx="221">
                  <c:v>0.20583975315093994</c:v>
                </c:pt>
                <c:pt idx="222">
                  <c:v>0.20572136342525482</c:v>
                </c:pt>
                <c:pt idx="223">
                  <c:v>0.2056427001953125</c:v>
                </c:pt>
                <c:pt idx="224">
                  <c:v>0.2054433673620224</c:v>
                </c:pt>
                <c:pt idx="225">
                  <c:v>0.20366601645946503</c:v>
                </c:pt>
                <c:pt idx="226">
                  <c:v>0.20035107433795929</c:v>
                </c:pt>
                <c:pt idx="227">
                  <c:v>0.19930680096149445</c:v>
                </c:pt>
                <c:pt idx="228">
                  <c:v>0.19926834106445313</c:v>
                </c:pt>
                <c:pt idx="229">
                  <c:v>0.19814316928386688</c:v>
                </c:pt>
                <c:pt idx="230">
                  <c:v>0.19791984558105469</c:v>
                </c:pt>
                <c:pt idx="231">
                  <c:v>0.19673201441764832</c:v>
                </c:pt>
                <c:pt idx="232">
                  <c:v>0.19625456631183624</c:v>
                </c:pt>
                <c:pt idx="233">
                  <c:v>0.19342656433582306</c:v>
                </c:pt>
                <c:pt idx="234">
                  <c:v>0.19094307720661163</c:v>
                </c:pt>
                <c:pt idx="235">
                  <c:v>0.18876546621322632</c:v>
                </c:pt>
                <c:pt idx="236">
                  <c:v>0.18872305750846863</c:v>
                </c:pt>
                <c:pt idx="237">
                  <c:v>0.18831868469715118</c:v>
                </c:pt>
                <c:pt idx="238">
                  <c:v>0.18391117453575134</c:v>
                </c:pt>
                <c:pt idx="239">
                  <c:v>0.18125523626804352</c:v>
                </c:pt>
                <c:pt idx="240">
                  <c:v>0.18118564784526825</c:v>
                </c:pt>
                <c:pt idx="241">
                  <c:v>0.17961627244949341</c:v>
                </c:pt>
                <c:pt idx="242">
                  <c:v>0.17814639210700989</c:v>
                </c:pt>
                <c:pt idx="243">
                  <c:v>0.17751264572143555</c:v>
                </c:pt>
                <c:pt idx="244">
                  <c:v>0.17676478624343872</c:v>
                </c:pt>
                <c:pt idx="245">
                  <c:v>0.17640809714794159</c:v>
                </c:pt>
                <c:pt idx="246">
                  <c:v>0.17616899311542511</c:v>
                </c:pt>
                <c:pt idx="247">
                  <c:v>0.17591468989849091</c:v>
                </c:pt>
                <c:pt idx="248">
                  <c:v>0.17390152812004089</c:v>
                </c:pt>
                <c:pt idx="249">
                  <c:v>0.17372959852218628</c:v>
                </c:pt>
                <c:pt idx="250">
                  <c:v>0.17364992201328278</c:v>
                </c:pt>
                <c:pt idx="251">
                  <c:v>0.17275883257389069</c:v>
                </c:pt>
                <c:pt idx="252">
                  <c:v>0.17187851667404175</c:v>
                </c:pt>
                <c:pt idx="253">
                  <c:v>0.17121116816997528</c:v>
                </c:pt>
                <c:pt idx="254">
                  <c:v>0.17103621363639832</c:v>
                </c:pt>
                <c:pt idx="255">
                  <c:v>0.17070889472961426</c:v>
                </c:pt>
                <c:pt idx="256">
                  <c:v>0.17059925198554993</c:v>
                </c:pt>
                <c:pt idx="257">
                  <c:v>0.17043323814868927</c:v>
                </c:pt>
                <c:pt idx="258">
                  <c:v>0.17043323814868927</c:v>
                </c:pt>
                <c:pt idx="259">
                  <c:v>0.17041841149330139</c:v>
                </c:pt>
                <c:pt idx="260">
                  <c:v>0.16867358982563019</c:v>
                </c:pt>
                <c:pt idx="261">
                  <c:v>0.1681881844997406</c:v>
                </c:pt>
                <c:pt idx="262">
                  <c:v>0.16714909672737122</c:v>
                </c:pt>
                <c:pt idx="263">
                  <c:v>0.16639231145381927</c:v>
                </c:pt>
                <c:pt idx="264">
                  <c:v>0.16387972235679626</c:v>
                </c:pt>
                <c:pt idx="265">
                  <c:v>0.16332660615444183</c:v>
                </c:pt>
                <c:pt idx="266">
                  <c:v>0.16128073632717133</c:v>
                </c:pt>
                <c:pt idx="267">
                  <c:v>0.16123661398887634</c:v>
                </c:pt>
                <c:pt idx="268">
                  <c:v>0.15997317433357239</c:v>
                </c:pt>
                <c:pt idx="269">
                  <c:v>0.15969651937484741</c:v>
                </c:pt>
                <c:pt idx="270">
                  <c:v>0.15964853763580322</c:v>
                </c:pt>
                <c:pt idx="271">
                  <c:v>0.15823681652545929</c:v>
                </c:pt>
                <c:pt idx="272">
                  <c:v>0.15806086361408234</c:v>
                </c:pt>
                <c:pt idx="273">
                  <c:v>0.15766343474388123</c:v>
                </c:pt>
                <c:pt idx="274">
                  <c:v>0.15622752904891968</c:v>
                </c:pt>
                <c:pt idx="275">
                  <c:v>0.15622752904891968</c:v>
                </c:pt>
                <c:pt idx="276">
                  <c:v>0.15599800646305084</c:v>
                </c:pt>
                <c:pt idx="277">
                  <c:v>0.15479856729507446</c:v>
                </c:pt>
                <c:pt idx="278">
                  <c:v>0.15444710850715637</c:v>
                </c:pt>
                <c:pt idx="279">
                  <c:v>0.15318168699741364</c:v>
                </c:pt>
                <c:pt idx="280">
                  <c:v>0.15283536911010742</c:v>
                </c:pt>
                <c:pt idx="281">
                  <c:v>0.15279240906238556</c:v>
                </c:pt>
                <c:pt idx="282">
                  <c:v>0.15279240906238556</c:v>
                </c:pt>
                <c:pt idx="283">
                  <c:v>0.15279240906238556</c:v>
                </c:pt>
                <c:pt idx="284">
                  <c:v>0.15265847742557526</c:v>
                </c:pt>
                <c:pt idx="285">
                  <c:v>0.15265847742557526</c:v>
                </c:pt>
                <c:pt idx="286">
                  <c:v>0.15265847742557526</c:v>
                </c:pt>
                <c:pt idx="287">
                  <c:v>0.15260988473892212</c:v>
                </c:pt>
                <c:pt idx="288">
                  <c:v>0.151363804936409</c:v>
                </c:pt>
                <c:pt idx="289">
                  <c:v>0.15128260850906372</c:v>
                </c:pt>
                <c:pt idx="290">
                  <c:v>0.15122644603252411</c:v>
                </c:pt>
                <c:pt idx="291">
                  <c:v>0.14975453913211823</c:v>
                </c:pt>
                <c:pt idx="292">
                  <c:v>0.14974866807460785</c:v>
                </c:pt>
                <c:pt idx="293">
                  <c:v>0.14914219081401825</c:v>
                </c:pt>
                <c:pt idx="294">
                  <c:v>0.14895325899124146</c:v>
                </c:pt>
                <c:pt idx="295">
                  <c:v>0.14876513183116913</c:v>
                </c:pt>
                <c:pt idx="296">
                  <c:v>0.1479695737361908</c:v>
                </c:pt>
                <c:pt idx="297">
                  <c:v>0.14785464107990265</c:v>
                </c:pt>
                <c:pt idx="298">
                  <c:v>0.14770996570587158</c:v>
                </c:pt>
                <c:pt idx="299">
                  <c:v>0.14528952538967133</c:v>
                </c:pt>
                <c:pt idx="300">
                  <c:v>0.14501546323299408</c:v>
                </c:pt>
                <c:pt idx="301">
                  <c:v>0.14427024126052856</c:v>
                </c:pt>
                <c:pt idx="302">
                  <c:v>0.14427024126052856</c:v>
                </c:pt>
                <c:pt idx="303">
                  <c:v>0.14267687499523163</c:v>
                </c:pt>
                <c:pt idx="304">
                  <c:v>0.14267468452453613</c:v>
                </c:pt>
                <c:pt idx="305">
                  <c:v>0.14208713173866272</c:v>
                </c:pt>
                <c:pt idx="306">
                  <c:v>0.14034260809421539</c:v>
                </c:pt>
                <c:pt idx="307">
                  <c:v>0.13949640095233917</c:v>
                </c:pt>
                <c:pt idx="308">
                  <c:v>0.13833162188529968</c:v>
                </c:pt>
                <c:pt idx="309">
                  <c:v>0.13544747233390808</c:v>
                </c:pt>
                <c:pt idx="310">
                  <c:v>0.13540638983249664</c:v>
                </c:pt>
                <c:pt idx="311">
                  <c:v>0.13493189215660095</c:v>
                </c:pt>
                <c:pt idx="312">
                  <c:v>0.13431382179260254</c:v>
                </c:pt>
                <c:pt idx="313">
                  <c:v>0.13362278044223785</c:v>
                </c:pt>
                <c:pt idx="314">
                  <c:v>0.13107419013977051</c:v>
                </c:pt>
                <c:pt idx="315">
                  <c:v>0.13073226809501648</c:v>
                </c:pt>
                <c:pt idx="316">
                  <c:v>0.13073226809501648</c:v>
                </c:pt>
                <c:pt idx="317">
                  <c:v>0.13044895231723785</c:v>
                </c:pt>
                <c:pt idx="318">
                  <c:v>0.13013477623462677</c:v>
                </c:pt>
                <c:pt idx="319">
                  <c:v>0.13002920150756836</c:v>
                </c:pt>
                <c:pt idx="320">
                  <c:v>0.12878040969371796</c:v>
                </c:pt>
                <c:pt idx="321">
                  <c:v>0.12848643958568573</c:v>
                </c:pt>
                <c:pt idx="322">
                  <c:v>0.12680481374263763</c:v>
                </c:pt>
                <c:pt idx="323">
                  <c:v>0.12577633559703827</c:v>
                </c:pt>
                <c:pt idx="324">
                  <c:v>0.12404348701238632</c:v>
                </c:pt>
                <c:pt idx="325">
                  <c:v>0.12250468134880066</c:v>
                </c:pt>
                <c:pt idx="326">
                  <c:v>0.12250468134880066</c:v>
                </c:pt>
                <c:pt idx="327">
                  <c:v>0.11841228604316711</c:v>
                </c:pt>
                <c:pt idx="328">
                  <c:v>0.11782456934452057</c:v>
                </c:pt>
                <c:pt idx="329">
                  <c:v>0.11569533497095108</c:v>
                </c:pt>
                <c:pt idx="330">
                  <c:v>0.11569533497095108</c:v>
                </c:pt>
                <c:pt idx="331">
                  <c:v>0.11542811989784241</c:v>
                </c:pt>
                <c:pt idx="332">
                  <c:v>0.11459039896726608</c:v>
                </c:pt>
                <c:pt idx="333">
                  <c:v>0.11458733677864075</c:v>
                </c:pt>
                <c:pt idx="334">
                  <c:v>0.11429545283317566</c:v>
                </c:pt>
                <c:pt idx="335">
                  <c:v>0.11419539898633957</c:v>
                </c:pt>
                <c:pt idx="336">
                  <c:v>0.11406833678483963</c:v>
                </c:pt>
                <c:pt idx="337">
                  <c:v>0.11149659752845764</c:v>
                </c:pt>
                <c:pt idx="338">
                  <c:v>0.11047079414129257</c:v>
                </c:pt>
                <c:pt idx="339">
                  <c:v>0.11046484857797623</c:v>
                </c:pt>
                <c:pt idx="340">
                  <c:v>0.1095893383026123</c:v>
                </c:pt>
                <c:pt idx="341">
                  <c:v>0.1091313436627388</c:v>
                </c:pt>
                <c:pt idx="342">
                  <c:v>0.10725103318691254</c:v>
                </c:pt>
                <c:pt idx="343">
                  <c:v>0.1031181812286377</c:v>
                </c:pt>
                <c:pt idx="344">
                  <c:v>0.10226570069789886</c:v>
                </c:pt>
                <c:pt idx="345">
                  <c:v>0.10100085288286209</c:v>
                </c:pt>
                <c:pt idx="346">
                  <c:v>0.10099552571773529</c:v>
                </c:pt>
                <c:pt idx="347">
                  <c:v>9.8731562495231628E-2</c:v>
                </c:pt>
                <c:pt idx="348">
                  <c:v>9.8731562495231628E-2</c:v>
                </c:pt>
                <c:pt idx="349">
                  <c:v>9.833391010761261E-2</c:v>
                </c:pt>
                <c:pt idx="350">
                  <c:v>9.789816290140152E-2</c:v>
                </c:pt>
                <c:pt idx="351">
                  <c:v>9.6655003726482391E-2</c:v>
                </c:pt>
                <c:pt idx="352">
                  <c:v>9.2272303998470306E-2</c:v>
                </c:pt>
              </c:numCache>
            </c:numRef>
          </c:val>
          <c:extLst>
            <c:ext xmlns:c16="http://schemas.microsoft.com/office/drawing/2014/chart" uri="{C3380CC4-5D6E-409C-BE32-E72D297353CC}">
              <c16:uniqueId val="{00000000-4039-4DF4-B59B-C53F8D7E05F5}"/>
            </c:ext>
          </c:extLst>
        </c:ser>
        <c:dLbls>
          <c:showLegendKey val="0"/>
          <c:showVal val="0"/>
          <c:showCatName val="0"/>
          <c:showSerName val="0"/>
          <c:showPercent val="0"/>
          <c:showBubbleSize val="0"/>
        </c:dLbls>
        <c:gapWidth val="219"/>
        <c:overlap val="-27"/>
        <c:axId val="646934888"/>
        <c:axId val="646935544"/>
      </c:barChart>
      <c:catAx>
        <c:axId val="646934888"/>
        <c:scaling>
          <c:orientation val="minMax"/>
        </c:scaling>
        <c:delete val="1"/>
        <c:axPos val="b"/>
        <c:majorTickMark val="none"/>
        <c:minorTickMark val="none"/>
        <c:tickLblPos val="nextTo"/>
        <c:crossAx val="646935544"/>
        <c:crosses val="autoZero"/>
        <c:auto val="1"/>
        <c:lblAlgn val="ctr"/>
        <c:lblOffset val="100"/>
        <c:noMultiLvlLbl val="0"/>
      </c:catAx>
      <c:valAx>
        <c:axId val="6469355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934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Child income poverty rates AHC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val>
            <c:numRef>
              <c:f>Sheet1!$H$2:$H$354</c:f>
              <c:numCache>
                <c:formatCode>0.0%</c:formatCode>
                <c:ptCount val="353"/>
                <c:pt idx="0">
                  <c:v>0.66066128015518188</c:v>
                </c:pt>
                <c:pt idx="1">
                  <c:v>0.56254619359970093</c:v>
                </c:pt>
                <c:pt idx="2">
                  <c:v>0.55338412523269653</c:v>
                </c:pt>
                <c:pt idx="3">
                  <c:v>0.54850894212722778</c:v>
                </c:pt>
                <c:pt idx="4">
                  <c:v>0.54415351152420044</c:v>
                </c:pt>
                <c:pt idx="5">
                  <c:v>0.54415351152420044</c:v>
                </c:pt>
                <c:pt idx="6">
                  <c:v>0.52178788185119629</c:v>
                </c:pt>
                <c:pt idx="7">
                  <c:v>0.51584601402282715</c:v>
                </c:pt>
                <c:pt idx="8">
                  <c:v>0.50243943929672241</c:v>
                </c:pt>
                <c:pt idx="9">
                  <c:v>0.5008886456489563</c:v>
                </c:pt>
                <c:pt idx="10">
                  <c:v>0.49284553527832031</c:v>
                </c:pt>
                <c:pt idx="11">
                  <c:v>0.4907093346118927</c:v>
                </c:pt>
                <c:pt idx="12">
                  <c:v>0.4887944757938385</c:v>
                </c:pt>
                <c:pt idx="13">
                  <c:v>0.48864427208900452</c:v>
                </c:pt>
                <c:pt idx="14">
                  <c:v>0.48482212424278259</c:v>
                </c:pt>
                <c:pt idx="15">
                  <c:v>0.48061549663543701</c:v>
                </c:pt>
                <c:pt idx="16">
                  <c:v>0.47314220666885376</c:v>
                </c:pt>
                <c:pt idx="17">
                  <c:v>0.47255510091781616</c:v>
                </c:pt>
                <c:pt idx="18">
                  <c:v>0.47108617424964905</c:v>
                </c:pt>
                <c:pt idx="19">
                  <c:v>0.47067046165466309</c:v>
                </c:pt>
                <c:pt idx="20">
                  <c:v>0.46933230757713318</c:v>
                </c:pt>
                <c:pt idx="21">
                  <c:v>0.46838891506195068</c:v>
                </c:pt>
                <c:pt idx="22">
                  <c:v>0.46823081374168396</c:v>
                </c:pt>
                <c:pt idx="23">
                  <c:v>0.46731975674629211</c:v>
                </c:pt>
                <c:pt idx="24">
                  <c:v>0.4668809175491333</c:v>
                </c:pt>
                <c:pt idx="25">
                  <c:v>0.46287333965301514</c:v>
                </c:pt>
                <c:pt idx="26">
                  <c:v>0.46271702647209167</c:v>
                </c:pt>
                <c:pt idx="27">
                  <c:v>0.46191319823265076</c:v>
                </c:pt>
                <c:pt idx="28">
                  <c:v>0.46134647727012634</c:v>
                </c:pt>
                <c:pt idx="29">
                  <c:v>0.46020469069480896</c:v>
                </c:pt>
                <c:pt idx="30">
                  <c:v>0.45960733294487</c:v>
                </c:pt>
                <c:pt idx="31">
                  <c:v>0.45903795957565308</c:v>
                </c:pt>
                <c:pt idx="32">
                  <c:v>0.4544048011302948</c:v>
                </c:pt>
                <c:pt idx="33">
                  <c:v>0.4544048011302948</c:v>
                </c:pt>
                <c:pt idx="34">
                  <c:v>0.45182755589485168</c:v>
                </c:pt>
                <c:pt idx="35">
                  <c:v>0.44906488060951233</c:v>
                </c:pt>
                <c:pt idx="36">
                  <c:v>0.44856444001197815</c:v>
                </c:pt>
                <c:pt idx="37">
                  <c:v>0.4470163881778717</c:v>
                </c:pt>
                <c:pt idx="38">
                  <c:v>0.442067950963974</c:v>
                </c:pt>
                <c:pt idx="39">
                  <c:v>0.44189080595970154</c:v>
                </c:pt>
                <c:pt idx="40">
                  <c:v>0.4410935640335083</c:v>
                </c:pt>
                <c:pt idx="41">
                  <c:v>0.44075196981430054</c:v>
                </c:pt>
                <c:pt idx="42">
                  <c:v>0.44064575433731079</c:v>
                </c:pt>
                <c:pt idx="43">
                  <c:v>0.44040217995643616</c:v>
                </c:pt>
                <c:pt idx="44">
                  <c:v>0.43953162431716919</c:v>
                </c:pt>
                <c:pt idx="45">
                  <c:v>0.43809092044830322</c:v>
                </c:pt>
                <c:pt idx="46">
                  <c:v>0.43750429153442383</c:v>
                </c:pt>
                <c:pt idx="47">
                  <c:v>0.43675562739372253</c:v>
                </c:pt>
                <c:pt idx="48">
                  <c:v>0.43666055798530579</c:v>
                </c:pt>
                <c:pt idx="49">
                  <c:v>0.43579846620559692</c:v>
                </c:pt>
                <c:pt idx="50">
                  <c:v>0.43565225601196289</c:v>
                </c:pt>
                <c:pt idx="51">
                  <c:v>0.43459203839302063</c:v>
                </c:pt>
                <c:pt idx="52">
                  <c:v>0.4325675368309021</c:v>
                </c:pt>
                <c:pt idx="53">
                  <c:v>0.4325675368309021</c:v>
                </c:pt>
                <c:pt idx="54">
                  <c:v>0.43209901452064514</c:v>
                </c:pt>
                <c:pt idx="55">
                  <c:v>0.43183240294456482</c:v>
                </c:pt>
                <c:pt idx="56">
                  <c:v>0.4318317174911499</c:v>
                </c:pt>
                <c:pt idx="57">
                  <c:v>0.43034231662750244</c:v>
                </c:pt>
                <c:pt idx="58">
                  <c:v>0.43032869696617126</c:v>
                </c:pt>
                <c:pt idx="59">
                  <c:v>0.42945381999015808</c:v>
                </c:pt>
                <c:pt idx="60">
                  <c:v>0.42683210968971252</c:v>
                </c:pt>
                <c:pt idx="61">
                  <c:v>0.42641279101371765</c:v>
                </c:pt>
                <c:pt idx="62">
                  <c:v>0.42625921964645386</c:v>
                </c:pt>
                <c:pt idx="63">
                  <c:v>0.42606592178344727</c:v>
                </c:pt>
                <c:pt idx="64">
                  <c:v>0.42557469010353088</c:v>
                </c:pt>
                <c:pt idx="65">
                  <c:v>0.42453014850616455</c:v>
                </c:pt>
                <c:pt idx="66">
                  <c:v>0.42438608407974243</c:v>
                </c:pt>
                <c:pt idx="67">
                  <c:v>0.42414560914039612</c:v>
                </c:pt>
                <c:pt idx="68">
                  <c:v>0.42403149604797363</c:v>
                </c:pt>
                <c:pt idx="69">
                  <c:v>0.42345720529556274</c:v>
                </c:pt>
                <c:pt idx="70">
                  <c:v>0.42330154776573181</c:v>
                </c:pt>
                <c:pt idx="71">
                  <c:v>0.42302471399307251</c:v>
                </c:pt>
                <c:pt idx="72">
                  <c:v>0.42247027158737183</c:v>
                </c:pt>
                <c:pt idx="73">
                  <c:v>0.42225262522697449</c:v>
                </c:pt>
                <c:pt idx="74">
                  <c:v>0.42181685566902161</c:v>
                </c:pt>
                <c:pt idx="75">
                  <c:v>0.4200560450553894</c:v>
                </c:pt>
                <c:pt idx="76">
                  <c:v>0.41974818706512451</c:v>
                </c:pt>
                <c:pt idx="77">
                  <c:v>0.41974818706512451</c:v>
                </c:pt>
                <c:pt idx="78">
                  <c:v>0.4186403751373291</c:v>
                </c:pt>
                <c:pt idx="79">
                  <c:v>0.41845822334289551</c:v>
                </c:pt>
                <c:pt idx="80">
                  <c:v>0.41836556792259216</c:v>
                </c:pt>
                <c:pt idx="81">
                  <c:v>0.41825264692306519</c:v>
                </c:pt>
                <c:pt idx="82">
                  <c:v>0.41817539930343628</c:v>
                </c:pt>
                <c:pt idx="83">
                  <c:v>0.41700205206871033</c:v>
                </c:pt>
                <c:pt idx="84">
                  <c:v>0.41528838872909546</c:v>
                </c:pt>
                <c:pt idx="85">
                  <c:v>0.41507416963577271</c:v>
                </c:pt>
                <c:pt idx="86">
                  <c:v>0.4147413969039917</c:v>
                </c:pt>
                <c:pt idx="87">
                  <c:v>0.41460001468658447</c:v>
                </c:pt>
                <c:pt idx="88">
                  <c:v>0.41402795910835266</c:v>
                </c:pt>
                <c:pt idx="89">
                  <c:v>0.4137873649597168</c:v>
                </c:pt>
                <c:pt idx="90">
                  <c:v>0.41378048062324524</c:v>
                </c:pt>
                <c:pt idx="91">
                  <c:v>0.41326794028282166</c:v>
                </c:pt>
                <c:pt idx="92">
                  <c:v>0.41269716620445251</c:v>
                </c:pt>
                <c:pt idx="93">
                  <c:v>0.41184881329536438</c:v>
                </c:pt>
                <c:pt idx="94">
                  <c:v>0.41120883822441101</c:v>
                </c:pt>
                <c:pt idx="95">
                  <c:v>0.41117009520530701</c:v>
                </c:pt>
                <c:pt idx="96">
                  <c:v>0.41078475117683411</c:v>
                </c:pt>
                <c:pt idx="97">
                  <c:v>0.40873053669929504</c:v>
                </c:pt>
                <c:pt idx="98">
                  <c:v>0.4087231457233429</c:v>
                </c:pt>
                <c:pt idx="99">
                  <c:v>0.40869799256324768</c:v>
                </c:pt>
                <c:pt idx="100">
                  <c:v>0.40837341547012329</c:v>
                </c:pt>
                <c:pt idx="101">
                  <c:v>0.40754914283752441</c:v>
                </c:pt>
                <c:pt idx="102">
                  <c:v>0.40633365511894226</c:v>
                </c:pt>
                <c:pt idx="103">
                  <c:v>0.40623971819877625</c:v>
                </c:pt>
                <c:pt idx="104">
                  <c:v>0.40324500203132629</c:v>
                </c:pt>
                <c:pt idx="105">
                  <c:v>0.40077885985374451</c:v>
                </c:pt>
                <c:pt idx="106">
                  <c:v>0.40077885985374451</c:v>
                </c:pt>
                <c:pt idx="107">
                  <c:v>0.4007275402545929</c:v>
                </c:pt>
                <c:pt idx="108">
                  <c:v>0.39860537648200989</c:v>
                </c:pt>
                <c:pt idx="109">
                  <c:v>0.3985002338886261</c:v>
                </c:pt>
                <c:pt idx="110">
                  <c:v>0.3977714478969574</c:v>
                </c:pt>
                <c:pt idx="111">
                  <c:v>0.39754831790924072</c:v>
                </c:pt>
                <c:pt idx="112">
                  <c:v>0.39752396941184998</c:v>
                </c:pt>
                <c:pt idx="113">
                  <c:v>0.39615908265113831</c:v>
                </c:pt>
                <c:pt idx="114">
                  <c:v>0.3952535092830658</c:v>
                </c:pt>
                <c:pt idx="115">
                  <c:v>0.39518389105796814</c:v>
                </c:pt>
                <c:pt idx="116">
                  <c:v>0.39473474025726318</c:v>
                </c:pt>
                <c:pt idx="117">
                  <c:v>0.39385393261909485</c:v>
                </c:pt>
                <c:pt idx="118">
                  <c:v>0.39333280920982361</c:v>
                </c:pt>
                <c:pt idx="119">
                  <c:v>0.3930986225605011</c:v>
                </c:pt>
                <c:pt idx="120">
                  <c:v>0.39236626029014587</c:v>
                </c:pt>
                <c:pt idx="121">
                  <c:v>0.39215970039367676</c:v>
                </c:pt>
                <c:pt idx="122">
                  <c:v>0.39100360870361328</c:v>
                </c:pt>
                <c:pt idx="123">
                  <c:v>0.39083901047706604</c:v>
                </c:pt>
                <c:pt idx="124">
                  <c:v>0.39056965708732605</c:v>
                </c:pt>
                <c:pt idx="125">
                  <c:v>0.3902411162853241</c:v>
                </c:pt>
                <c:pt idx="126">
                  <c:v>0.38927391171455383</c:v>
                </c:pt>
                <c:pt idx="127">
                  <c:v>0.38853287696838379</c:v>
                </c:pt>
                <c:pt idx="128">
                  <c:v>0.38830208778381348</c:v>
                </c:pt>
                <c:pt idx="129">
                  <c:v>0.38812434673309326</c:v>
                </c:pt>
                <c:pt idx="130">
                  <c:v>0.38572597503662109</c:v>
                </c:pt>
                <c:pt idx="131">
                  <c:v>0.38569697737693787</c:v>
                </c:pt>
                <c:pt idx="132">
                  <c:v>0.38560810685157776</c:v>
                </c:pt>
                <c:pt idx="133">
                  <c:v>0.38307306170463562</c:v>
                </c:pt>
                <c:pt idx="134">
                  <c:v>0.38189491629600525</c:v>
                </c:pt>
                <c:pt idx="135">
                  <c:v>0.38173118233680725</c:v>
                </c:pt>
                <c:pt idx="136">
                  <c:v>0.38156405091285706</c:v>
                </c:pt>
                <c:pt idx="137">
                  <c:v>0.38102984428405762</c:v>
                </c:pt>
                <c:pt idx="138">
                  <c:v>0.3808286190032959</c:v>
                </c:pt>
                <c:pt idx="139">
                  <c:v>0.38071447610855103</c:v>
                </c:pt>
                <c:pt idx="140">
                  <c:v>0.37978631258010864</c:v>
                </c:pt>
                <c:pt idx="141">
                  <c:v>0.37835949659347534</c:v>
                </c:pt>
                <c:pt idx="142">
                  <c:v>0.37795236706733704</c:v>
                </c:pt>
                <c:pt idx="143">
                  <c:v>0.37634930014610291</c:v>
                </c:pt>
                <c:pt idx="144">
                  <c:v>0.37597730755805969</c:v>
                </c:pt>
                <c:pt idx="145">
                  <c:v>0.37594655156135559</c:v>
                </c:pt>
                <c:pt idx="146">
                  <c:v>0.37540987133979797</c:v>
                </c:pt>
                <c:pt idx="147">
                  <c:v>0.37539729475975037</c:v>
                </c:pt>
                <c:pt idx="148">
                  <c:v>0.37372574210166931</c:v>
                </c:pt>
                <c:pt idx="149">
                  <c:v>0.37363681197166443</c:v>
                </c:pt>
                <c:pt idx="150">
                  <c:v>0.37363681197166443</c:v>
                </c:pt>
                <c:pt idx="151">
                  <c:v>0.37355250120162964</c:v>
                </c:pt>
                <c:pt idx="152">
                  <c:v>0.37209314107894897</c:v>
                </c:pt>
                <c:pt idx="153">
                  <c:v>0.37195223569869995</c:v>
                </c:pt>
                <c:pt idx="154">
                  <c:v>0.37178996205329895</c:v>
                </c:pt>
                <c:pt idx="155">
                  <c:v>0.37154683470726013</c:v>
                </c:pt>
                <c:pt idx="156">
                  <c:v>0.37062811851501465</c:v>
                </c:pt>
                <c:pt idx="157">
                  <c:v>0.36991959810256958</c:v>
                </c:pt>
                <c:pt idx="158">
                  <c:v>0.36803346872329712</c:v>
                </c:pt>
                <c:pt idx="159">
                  <c:v>0.36634677648544312</c:v>
                </c:pt>
                <c:pt idx="160">
                  <c:v>0.36550500988960266</c:v>
                </c:pt>
                <c:pt idx="161">
                  <c:v>0.36471790075302124</c:v>
                </c:pt>
                <c:pt idx="162">
                  <c:v>0.36460334062576294</c:v>
                </c:pt>
                <c:pt idx="163">
                  <c:v>0.3638993501663208</c:v>
                </c:pt>
                <c:pt idx="164">
                  <c:v>0.36382362246513367</c:v>
                </c:pt>
                <c:pt idx="165">
                  <c:v>0.36244469881057739</c:v>
                </c:pt>
                <c:pt idx="166">
                  <c:v>0.36139842867851257</c:v>
                </c:pt>
                <c:pt idx="167">
                  <c:v>0.36130446195602417</c:v>
                </c:pt>
                <c:pt idx="168" formatCode="0%">
                  <c:v>0.36028096079826355</c:v>
                </c:pt>
                <c:pt idx="169">
                  <c:v>0.35984593629837036</c:v>
                </c:pt>
                <c:pt idx="170">
                  <c:v>0.35979577898979187</c:v>
                </c:pt>
                <c:pt idx="171">
                  <c:v>0.35651513934135437</c:v>
                </c:pt>
                <c:pt idx="172">
                  <c:v>0.35577967762947083</c:v>
                </c:pt>
                <c:pt idx="173">
                  <c:v>0.35574382543563843</c:v>
                </c:pt>
                <c:pt idx="174">
                  <c:v>0.35281053185462952</c:v>
                </c:pt>
                <c:pt idx="175">
                  <c:v>0.35205879807472229</c:v>
                </c:pt>
                <c:pt idx="176">
                  <c:v>0.35153886675834656</c:v>
                </c:pt>
                <c:pt idx="177">
                  <c:v>0.35111045837402344</c:v>
                </c:pt>
                <c:pt idx="178">
                  <c:v>0.35110628604888916</c:v>
                </c:pt>
                <c:pt idx="179">
                  <c:v>0.3501419723033905</c:v>
                </c:pt>
                <c:pt idx="180">
                  <c:v>0.349479079246521</c:v>
                </c:pt>
                <c:pt idx="181">
                  <c:v>0.34897688031196594</c:v>
                </c:pt>
                <c:pt idx="182">
                  <c:v>0.34835535287857056</c:v>
                </c:pt>
                <c:pt idx="183">
                  <c:v>0.34721940755844116</c:v>
                </c:pt>
                <c:pt idx="184">
                  <c:v>0.34705972671508789</c:v>
                </c:pt>
                <c:pt idx="185">
                  <c:v>0.34653171896934509</c:v>
                </c:pt>
                <c:pt idx="186">
                  <c:v>0.34634348750114441</c:v>
                </c:pt>
                <c:pt idx="187">
                  <c:v>0.34627285599708557</c:v>
                </c:pt>
                <c:pt idx="188">
                  <c:v>0.34626910090446472</c:v>
                </c:pt>
                <c:pt idx="189">
                  <c:v>0.34560468792915344</c:v>
                </c:pt>
                <c:pt idx="190">
                  <c:v>0.34488031268119812</c:v>
                </c:pt>
                <c:pt idx="191">
                  <c:v>0.34437373280525208</c:v>
                </c:pt>
                <c:pt idx="192">
                  <c:v>0.34437373280525208</c:v>
                </c:pt>
                <c:pt idx="193">
                  <c:v>0.34425687789916992</c:v>
                </c:pt>
                <c:pt idx="194">
                  <c:v>0.34304818511009216</c:v>
                </c:pt>
                <c:pt idx="195">
                  <c:v>0.34083408117294312</c:v>
                </c:pt>
                <c:pt idx="196">
                  <c:v>0.34070876240730286</c:v>
                </c:pt>
                <c:pt idx="197">
                  <c:v>0.33974236249923706</c:v>
                </c:pt>
                <c:pt idx="198">
                  <c:v>0.33633610606193542</c:v>
                </c:pt>
                <c:pt idx="199">
                  <c:v>0.33618152141571045</c:v>
                </c:pt>
                <c:pt idx="200">
                  <c:v>0.3359718918800354</c:v>
                </c:pt>
                <c:pt idx="201">
                  <c:v>0.3355410099029541</c:v>
                </c:pt>
                <c:pt idx="202">
                  <c:v>0.33536523580551147</c:v>
                </c:pt>
                <c:pt idx="203" formatCode="0%">
                  <c:v>0.33536523580551147</c:v>
                </c:pt>
                <c:pt idx="204">
                  <c:v>0.33493077754974365</c:v>
                </c:pt>
                <c:pt idx="205">
                  <c:v>0.33408445119857788</c:v>
                </c:pt>
                <c:pt idx="206">
                  <c:v>0.33215904235839844</c:v>
                </c:pt>
                <c:pt idx="207">
                  <c:v>0.33189520239830017</c:v>
                </c:pt>
                <c:pt idx="208">
                  <c:v>0.33109140396118164</c:v>
                </c:pt>
                <c:pt idx="209">
                  <c:v>0.33091577887535095</c:v>
                </c:pt>
                <c:pt idx="210">
                  <c:v>0.33060529828071594</c:v>
                </c:pt>
                <c:pt idx="211">
                  <c:v>0.32984182238578796</c:v>
                </c:pt>
                <c:pt idx="212">
                  <c:v>0.32815456390380859</c:v>
                </c:pt>
                <c:pt idx="213">
                  <c:v>0.32785379886627197</c:v>
                </c:pt>
                <c:pt idx="214">
                  <c:v>0.32675251364707947</c:v>
                </c:pt>
                <c:pt idx="215">
                  <c:v>0.32622003555297852</c:v>
                </c:pt>
                <c:pt idx="216">
                  <c:v>0.32614147663116455</c:v>
                </c:pt>
                <c:pt idx="217">
                  <c:v>0.32600408792495728</c:v>
                </c:pt>
                <c:pt idx="218">
                  <c:v>0.32472014427185059</c:v>
                </c:pt>
                <c:pt idx="219">
                  <c:v>0.32219329476356506</c:v>
                </c:pt>
                <c:pt idx="220">
                  <c:v>0.32121449708938599</c:v>
                </c:pt>
                <c:pt idx="221">
                  <c:v>0.32030072808265686</c:v>
                </c:pt>
                <c:pt idx="222">
                  <c:v>0.31975063681602478</c:v>
                </c:pt>
                <c:pt idx="223">
                  <c:v>0.3194313645362854</c:v>
                </c:pt>
                <c:pt idx="224">
                  <c:v>0.31822049617767334</c:v>
                </c:pt>
                <c:pt idx="225">
                  <c:v>0.31812861561775208</c:v>
                </c:pt>
                <c:pt idx="226">
                  <c:v>0.31743624806404114</c:v>
                </c:pt>
                <c:pt idx="227">
                  <c:v>0.31620001792907715</c:v>
                </c:pt>
                <c:pt idx="228">
                  <c:v>0.31543678045272827</c:v>
                </c:pt>
                <c:pt idx="229">
                  <c:v>0.31478443741798401</c:v>
                </c:pt>
                <c:pt idx="230">
                  <c:v>0.31401383876800537</c:v>
                </c:pt>
                <c:pt idx="231">
                  <c:v>0.31368929147720337</c:v>
                </c:pt>
                <c:pt idx="232">
                  <c:v>0.31216296553611755</c:v>
                </c:pt>
                <c:pt idx="233">
                  <c:v>0.31008931994438171</c:v>
                </c:pt>
                <c:pt idx="234">
                  <c:v>0.30868110060691833</c:v>
                </c:pt>
                <c:pt idx="235">
                  <c:v>0.30705666542053223</c:v>
                </c:pt>
                <c:pt idx="236">
                  <c:v>0.30674734711647034</c:v>
                </c:pt>
                <c:pt idx="237">
                  <c:v>0.30600807070732117</c:v>
                </c:pt>
                <c:pt idx="238">
                  <c:v>0.30541679263114929</c:v>
                </c:pt>
                <c:pt idx="239">
                  <c:v>0.3032410740852356</c:v>
                </c:pt>
                <c:pt idx="240">
                  <c:v>0.30324083566665649</c:v>
                </c:pt>
                <c:pt idx="241">
                  <c:v>0.30130556225776672</c:v>
                </c:pt>
                <c:pt idx="242">
                  <c:v>0.30033078789710999</c:v>
                </c:pt>
                <c:pt idx="243">
                  <c:v>0.30017301440238953</c:v>
                </c:pt>
                <c:pt idx="244">
                  <c:v>0.29825529456138611</c:v>
                </c:pt>
                <c:pt idx="245">
                  <c:v>0.29730939865112305</c:v>
                </c:pt>
                <c:pt idx="246">
                  <c:v>0.29647621512413025</c:v>
                </c:pt>
                <c:pt idx="247">
                  <c:v>0.29506456851959229</c:v>
                </c:pt>
                <c:pt idx="248">
                  <c:v>0.29292863607406616</c:v>
                </c:pt>
                <c:pt idx="249">
                  <c:v>0.29253754019737244</c:v>
                </c:pt>
                <c:pt idx="250">
                  <c:v>0.29011246562004089</c:v>
                </c:pt>
                <c:pt idx="251" formatCode="0%">
                  <c:v>0.28944164514541626</c:v>
                </c:pt>
                <c:pt idx="252">
                  <c:v>0.28820204734802246</c:v>
                </c:pt>
                <c:pt idx="253">
                  <c:v>0.28760623931884766</c:v>
                </c:pt>
                <c:pt idx="254">
                  <c:v>0.28755328059196472</c:v>
                </c:pt>
                <c:pt idx="255">
                  <c:v>0.28558251261711121</c:v>
                </c:pt>
                <c:pt idx="256">
                  <c:v>0.28477764129638672</c:v>
                </c:pt>
                <c:pt idx="257">
                  <c:v>0.28375861048698425</c:v>
                </c:pt>
                <c:pt idx="258">
                  <c:v>0.28375861048698425</c:v>
                </c:pt>
                <c:pt idx="259">
                  <c:v>0.28168836236000061</c:v>
                </c:pt>
                <c:pt idx="260">
                  <c:v>0.27952560782432556</c:v>
                </c:pt>
                <c:pt idx="261">
                  <c:v>0.27942100167274475</c:v>
                </c:pt>
                <c:pt idx="262">
                  <c:v>0.27521243691444397</c:v>
                </c:pt>
                <c:pt idx="263">
                  <c:v>0.27480387687683105</c:v>
                </c:pt>
                <c:pt idx="264">
                  <c:v>0.27457964420318604</c:v>
                </c:pt>
                <c:pt idx="265">
                  <c:v>0.2734832763671875</c:v>
                </c:pt>
                <c:pt idx="266">
                  <c:v>0.27223911881446838</c:v>
                </c:pt>
                <c:pt idx="267">
                  <c:v>0.27164697647094727</c:v>
                </c:pt>
                <c:pt idx="268">
                  <c:v>0.26908212900161743</c:v>
                </c:pt>
                <c:pt idx="269">
                  <c:v>0.26908212900161743</c:v>
                </c:pt>
                <c:pt idx="270">
                  <c:v>0.26908212900161743</c:v>
                </c:pt>
                <c:pt idx="271">
                  <c:v>0.26903337240219116</c:v>
                </c:pt>
                <c:pt idx="272">
                  <c:v>0.26526737213134766</c:v>
                </c:pt>
                <c:pt idx="273">
                  <c:v>0.26509374380111694</c:v>
                </c:pt>
                <c:pt idx="274">
                  <c:v>0.26507472991943359</c:v>
                </c:pt>
                <c:pt idx="275">
                  <c:v>0.26424536108970642</c:v>
                </c:pt>
                <c:pt idx="276">
                  <c:v>0.26417288184165955</c:v>
                </c:pt>
                <c:pt idx="277">
                  <c:v>0.26335737109184265</c:v>
                </c:pt>
                <c:pt idx="278">
                  <c:v>0.26222500205039978</c:v>
                </c:pt>
                <c:pt idx="279">
                  <c:v>0.26174271106719971</c:v>
                </c:pt>
                <c:pt idx="280">
                  <c:v>0.26165401935577393</c:v>
                </c:pt>
                <c:pt idx="281">
                  <c:v>0.26086246967315674</c:v>
                </c:pt>
                <c:pt idx="282">
                  <c:v>0.26047724485397339</c:v>
                </c:pt>
                <c:pt idx="283">
                  <c:v>0.25679615139961243</c:v>
                </c:pt>
                <c:pt idx="284">
                  <c:v>0.25594508647918701</c:v>
                </c:pt>
                <c:pt idx="285">
                  <c:v>0.25484851002693176</c:v>
                </c:pt>
                <c:pt idx="286">
                  <c:v>0.25395455956459045</c:v>
                </c:pt>
                <c:pt idx="287">
                  <c:v>0.25348657369613647</c:v>
                </c:pt>
                <c:pt idx="288">
                  <c:v>0.25109001994132996</c:v>
                </c:pt>
                <c:pt idx="289">
                  <c:v>0.25109001994132996</c:v>
                </c:pt>
                <c:pt idx="290">
                  <c:v>0.25109001994132996</c:v>
                </c:pt>
                <c:pt idx="291">
                  <c:v>0.24777083098888397</c:v>
                </c:pt>
                <c:pt idx="292">
                  <c:v>0.24750685691833496</c:v>
                </c:pt>
                <c:pt idx="293">
                  <c:v>0.24750685691833496</c:v>
                </c:pt>
                <c:pt idx="294">
                  <c:v>0.24610744416713715</c:v>
                </c:pt>
                <c:pt idx="295">
                  <c:v>0.24610744416713715</c:v>
                </c:pt>
                <c:pt idx="296">
                  <c:v>0.24386008083820343</c:v>
                </c:pt>
                <c:pt idx="297">
                  <c:v>0.24358744919300079</c:v>
                </c:pt>
                <c:pt idx="298">
                  <c:v>0.24207131564617157</c:v>
                </c:pt>
                <c:pt idx="299">
                  <c:v>0.24179172515869141</c:v>
                </c:pt>
                <c:pt idx="300">
                  <c:v>0.23660683631896973</c:v>
                </c:pt>
                <c:pt idx="301">
                  <c:v>0.2364477664232254</c:v>
                </c:pt>
                <c:pt idx="302">
                  <c:v>0.23522156476974487</c:v>
                </c:pt>
                <c:pt idx="303">
                  <c:v>0.23511302471160889</c:v>
                </c:pt>
                <c:pt idx="304">
                  <c:v>0.23502321541309357</c:v>
                </c:pt>
                <c:pt idx="305">
                  <c:v>0.23473699390888214</c:v>
                </c:pt>
                <c:pt idx="306">
                  <c:v>0.23381811380386353</c:v>
                </c:pt>
                <c:pt idx="307">
                  <c:v>0.23373694717884064</c:v>
                </c:pt>
                <c:pt idx="308">
                  <c:v>0.23286768794059753</c:v>
                </c:pt>
                <c:pt idx="309">
                  <c:v>0.23046174645423889</c:v>
                </c:pt>
                <c:pt idx="310">
                  <c:v>0.22696752846240997</c:v>
                </c:pt>
                <c:pt idx="311">
                  <c:v>0.22516617178916931</c:v>
                </c:pt>
                <c:pt idx="312">
                  <c:v>0.22493933141231537</c:v>
                </c:pt>
                <c:pt idx="313">
                  <c:v>0.22475561499595642</c:v>
                </c:pt>
                <c:pt idx="314">
                  <c:v>0.22355815768241882</c:v>
                </c:pt>
                <c:pt idx="315">
                  <c:v>0.22205242514610291</c:v>
                </c:pt>
                <c:pt idx="316">
                  <c:v>0.21843564510345459</c:v>
                </c:pt>
                <c:pt idx="317">
                  <c:v>0.21723325550556183</c:v>
                </c:pt>
                <c:pt idx="318">
                  <c:v>0.21552573144435883</c:v>
                </c:pt>
                <c:pt idx="319">
                  <c:v>0.21544358134269714</c:v>
                </c:pt>
                <c:pt idx="320">
                  <c:v>0.21544358134269714</c:v>
                </c:pt>
                <c:pt idx="321">
                  <c:v>0.21524164080619812</c:v>
                </c:pt>
                <c:pt idx="322">
                  <c:v>0.21455956995487213</c:v>
                </c:pt>
                <c:pt idx="323">
                  <c:v>0.21455420553684235</c:v>
                </c:pt>
                <c:pt idx="324">
                  <c:v>0.21344423294067383</c:v>
                </c:pt>
                <c:pt idx="325">
                  <c:v>0.21312236785888672</c:v>
                </c:pt>
                <c:pt idx="326" formatCode="0%">
                  <c:v>0.2067367285490036</c:v>
                </c:pt>
                <c:pt idx="327">
                  <c:v>0.20641683042049408</c:v>
                </c:pt>
                <c:pt idx="328">
                  <c:v>0.20535683631896973</c:v>
                </c:pt>
                <c:pt idx="329">
                  <c:v>0.20516875386238098</c:v>
                </c:pt>
                <c:pt idx="330">
                  <c:v>0.2021891176700592</c:v>
                </c:pt>
                <c:pt idx="331">
                  <c:v>0.20182390511035919</c:v>
                </c:pt>
                <c:pt idx="332">
                  <c:v>0.20182390511035919</c:v>
                </c:pt>
                <c:pt idx="333">
                  <c:v>0.19786407053470612</c:v>
                </c:pt>
                <c:pt idx="334">
                  <c:v>0.19672545790672302</c:v>
                </c:pt>
                <c:pt idx="335">
                  <c:v>0.19631010293960571</c:v>
                </c:pt>
                <c:pt idx="336">
                  <c:v>0.19245970249176025</c:v>
                </c:pt>
                <c:pt idx="337">
                  <c:v>0.19234670698642731</c:v>
                </c:pt>
                <c:pt idx="338">
                  <c:v>0.18934321403503418</c:v>
                </c:pt>
                <c:pt idx="339">
                  <c:v>0.18638710677623749</c:v>
                </c:pt>
                <c:pt idx="340">
                  <c:v>0.1807415634393692</c:v>
                </c:pt>
                <c:pt idx="341">
                  <c:v>0.17857527732849121</c:v>
                </c:pt>
                <c:pt idx="342">
                  <c:v>0.17174318432807922</c:v>
                </c:pt>
                <c:pt idx="343">
                  <c:v>0.17009098827838898</c:v>
                </c:pt>
                <c:pt idx="344">
                  <c:v>0.16951394081115723</c:v>
                </c:pt>
                <c:pt idx="345">
                  <c:v>0.16930951178073883</c:v>
                </c:pt>
                <c:pt idx="346">
                  <c:v>0.16600814461708069</c:v>
                </c:pt>
                <c:pt idx="347">
                  <c:v>0.1623946875333786</c:v>
                </c:pt>
                <c:pt idx="348">
                  <c:v>0.16067421436309814</c:v>
                </c:pt>
                <c:pt idx="349">
                  <c:v>0.16064457595348358</c:v>
                </c:pt>
                <c:pt idx="350">
                  <c:v>0.16064457595348358</c:v>
                </c:pt>
                <c:pt idx="351">
                  <c:v>0.15844161808490753</c:v>
                </c:pt>
                <c:pt idx="352">
                  <c:v>0.15602760016918182</c:v>
                </c:pt>
              </c:numCache>
            </c:numRef>
          </c:val>
          <c:extLst>
            <c:ext xmlns:c16="http://schemas.microsoft.com/office/drawing/2014/chart" uri="{C3380CC4-5D6E-409C-BE32-E72D297353CC}">
              <c16:uniqueId val="{00000000-4086-41E3-9419-9A18B1B3718C}"/>
            </c:ext>
          </c:extLst>
        </c:ser>
        <c:dLbls>
          <c:showLegendKey val="0"/>
          <c:showVal val="0"/>
          <c:showCatName val="0"/>
          <c:showSerName val="0"/>
          <c:showPercent val="0"/>
          <c:showBubbleSize val="0"/>
        </c:dLbls>
        <c:gapWidth val="219"/>
        <c:overlap val="-27"/>
        <c:axId val="504534296"/>
        <c:axId val="504533968"/>
      </c:barChart>
      <c:catAx>
        <c:axId val="504534296"/>
        <c:scaling>
          <c:orientation val="minMax"/>
        </c:scaling>
        <c:delete val="1"/>
        <c:axPos val="b"/>
        <c:majorTickMark val="none"/>
        <c:minorTickMark val="none"/>
        <c:tickLblPos val="nextTo"/>
        <c:crossAx val="504533968"/>
        <c:crosses val="autoZero"/>
        <c:auto val="1"/>
        <c:lblAlgn val="ctr"/>
        <c:lblOffset val="100"/>
        <c:noMultiLvlLbl val="0"/>
      </c:catAx>
      <c:valAx>
        <c:axId val="504533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534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D553-4766-403F-8041-14C978AD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dc:creator>
  <cp:keywords/>
  <dc:description/>
  <cp:lastModifiedBy>jonat</cp:lastModifiedBy>
  <cp:revision>2</cp:revision>
  <dcterms:created xsi:type="dcterms:W3CDTF">2020-01-16T10:22:00Z</dcterms:created>
  <dcterms:modified xsi:type="dcterms:W3CDTF">2020-01-16T10:22:00Z</dcterms:modified>
</cp:coreProperties>
</file>