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64A4" w14:textId="77777777" w:rsidR="006B06C4" w:rsidRDefault="006B06C4" w:rsidP="006B06C4">
      <w:pPr>
        <w:spacing w:line="360" w:lineRule="auto"/>
        <w:rPr>
          <w:rFonts w:ascii="Garamond" w:hAnsi="Garamond" w:cs="Arial Unicode MS"/>
          <w:b/>
          <w:color w:val="000000"/>
          <w:u w:color="000000"/>
          <w:lang w:eastAsia="en-GB"/>
        </w:rPr>
      </w:pPr>
      <w:r w:rsidRPr="00180647">
        <w:rPr>
          <w:rFonts w:ascii="Garamond" w:hAnsi="Garamond" w:cs="Arial Unicode MS"/>
          <w:b/>
          <w:color w:val="000000"/>
          <w:u w:color="000000"/>
          <w:lang w:eastAsia="en-GB"/>
        </w:rPr>
        <w:t>Playing the fields: Theorising research impact and its assessment</w:t>
      </w:r>
    </w:p>
    <w:p w14:paraId="5B07CB9B" w14:textId="77777777" w:rsidR="006B06C4" w:rsidRPr="00DD682F" w:rsidRDefault="006B06C4" w:rsidP="006B06C4">
      <w:pPr>
        <w:spacing w:line="360" w:lineRule="auto"/>
        <w:rPr>
          <w:rFonts w:ascii="Garamond" w:hAnsi="Garamond"/>
          <w:color w:val="000000" w:themeColor="text1"/>
        </w:rPr>
      </w:pPr>
    </w:p>
    <w:p w14:paraId="551AE5F4" w14:textId="77777777" w:rsidR="006B06C4" w:rsidRDefault="006B06C4" w:rsidP="006B06C4">
      <w:pPr>
        <w:spacing w:line="360" w:lineRule="auto"/>
        <w:rPr>
          <w:rFonts w:ascii="Garamond" w:hAnsi="Garamond"/>
          <w:color w:val="000000" w:themeColor="text1"/>
        </w:rPr>
      </w:pPr>
      <w:r w:rsidRPr="00DD682F">
        <w:rPr>
          <w:rFonts w:ascii="Garamond" w:hAnsi="Garamond"/>
          <w:color w:val="000000" w:themeColor="text1"/>
        </w:rPr>
        <w:t xml:space="preserve">Dr Kate Williams </w:t>
      </w:r>
    </w:p>
    <w:p w14:paraId="03F4AA05" w14:textId="77777777" w:rsidR="006B06C4" w:rsidRDefault="006B06C4" w:rsidP="006B06C4">
      <w:pPr>
        <w:spacing w:line="360" w:lineRule="auto"/>
        <w:rPr>
          <w:rFonts w:ascii="Garamond" w:hAnsi="Garamond"/>
          <w:color w:val="000000" w:themeColor="text1"/>
        </w:rPr>
      </w:pPr>
      <w:r>
        <w:rPr>
          <w:rFonts w:ascii="Garamond" w:hAnsi="Garamond"/>
          <w:color w:val="000000" w:themeColor="text1"/>
        </w:rPr>
        <w:t>Lecturer in Public Policy</w:t>
      </w:r>
    </w:p>
    <w:p w14:paraId="5C2B3644" w14:textId="77777777" w:rsidR="006B06C4" w:rsidRDefault="006B06C4" w:rsidP="006B06C4">
      <w:pPr>
        <w:spacing w:line="360" w:lineRule="auto"/>
        <w:rPr>
          <w:rFonts w:ascii="Garamond" w:hAnsi="Garamond"/>
          <w:color w:val="000000" w:themeColor="text1"/>
        </w:rPr>
      </w:pPr>
      <w:r>
        <w:rPr>
          <w:rFonts w:ascii="Garamond" w:hAnsi="Garamond"/>
          <w:color w:val="000000" w:themeColor="text1"/>
        </w:rPr>
        <w:t xml:space="preserve">Department of Politics </w:t>
      </w:r>
    </w:p>
    <w:p w14:paraId="00CDAE3E" w14:textId="77777777" w:rsidR="006B06C4" w:rsidRDefault="006B06C4" w:rsidP="006B06C4">
      <w:pPr>
        <w:spacing w:line="360" w:lineRule="auto"/>
        <w:rPr>
          <w:rFonts w:ascii="Garamond" w:hAnsi="Garamond"/>
          <w:color w:val="000000" w:themeColor="text1"/>
        </w:rPr>
      </w:pPr>
      <w:r>
        <w:rPr>
          <w:rFonts w:ascii="Garamond" w:hAnsi="Garamond"/>
          <w:color w:val="000000" w:themeColor="text1"/>
        </w:rPr>
        <w:t xml:space="preserve">University of York </w:t>
      </w:r>
    </w:p>
    <w:p w14:paraId="6DA22456" w14:textId="77777777" w:rsidR="006B06C4" w:rsidRPr="00DD682F" w:rsidRDefault="006B06C4" w:rsidP="006B06C4">
      <w:pPr>
        <w:spacing w:line="360" w:lineRule="auto"/>
        <w:rPr>
          <w:rFonts w:ascii="Garamond" w:hAnsi="Garamond"/>
          <w:color w:val="000000" w:themeColor="text1"/>
        </w:rPr>
      </w:pPr>
      <w:hyperlink r:id="rId8" w:history="1">
        <w:r w:rsidRPr="00E477AE">
          <w:rPr>
            <w:rStyle w:val="Hyperlink"/>
            <w:rFonts w:ascii="Garamond" w:hAnsi="Garamond"/>
          </w:rPr>
          <w:t>kate.williams@york.ac.uk</w:t>
        </w:r>
      </w:hyperlink>
    </w:p>
    <w:p w14:paraId="0058F0B5" w14:textId="77777777" w:rsidR="006B06C4" w:rsidRPr="00DD682F" w:rsidRDefault="006B06C4" w:rsidP="006B06C4">
      <w:pPr>
        <w:spacing w:line="360" w:lineRule="auto"/>
        <w:jc w:val="both"/>
        <w:rPr>
          <w:rFonts w:ascii="Garamond" w:hAnsi="Garamond"/>
          <w:b/>
        </w:rPr>
      </w:pPr>
    </w:p>
    <w:p w14:paraId="6F16F956" w14:textId="77777777" w:rsidR="006B06C4" w:rsidRDefault="006B06C4" w:rsidP="006B06C4">
      <w:pPr>
        <w:spacing w:line="360" w:lineRule="auto"/>
        <w:jc w:val="both"/>
        <w:outlineLvl w:val="0"/>
        <w:rPr>
          <w:rFonts w:ascii="Garamond" w:hAnsi="Garamond"/>
          <w:b/>
        </w:rPr>
      </w:pPr>
      <w:r w:rsidRPr="00DD682F">
        <w:rPr>
          <w:rFonts w:ascii="Garamond" w:hAnsi="Garamond"/>
          <w:b/>
        </w:rPr>
        <w:t>Abstract</w:t>
      </w:r>
    </w:p>
    <w:p w14:paraId="5F68512D" w14:textId="77777777" w:rsidR="006B06C4" w:rsidRPr="004F00D3" w:rsidRDefault="006B06C4" w:rsidP="006B06C4">
      <w:pPr>
        <w:spacing w:line="360" w:lineRule="auto"/>
        <w:jc w:val="both"/>
        <w:outlineLvl w:val="0"/>
        <w:rPr>
          <w:rFonts w:ascii="Garamond" w:hAnsi="Garamond"/>
        </w:rPr>
      </w:pPr>
      <w:r w:rsidRPr="004F00D3">
        <w:rPr>
          <w:rFonts w:ascii="Garamond" w:hAnsi="Garamond"/>
        </w:rPr>
        <w:t xml:space="preserve">How research is assessed affects what types of knowledge are valued, incentivised and rewarded. An increasingly important element of contemporary research evaluation is the measurement of the wider impact of research (e.g. benefit to society, culture or economy). Although the measurement of impact has been highly contested, the area is under-theorised and dominated by pragmatic research policy imperatives. Informed by a sociological perspective, this article intervenes in this context by reframing research impact as the attainment and maintenance of capital (i.e. symbolic power or status) in various fields beyond academia. It argues that research impact occurs at the intersection of these fields of power. The article shows that impact involves various combinations of capital from the scholarly field, the field of politics, the field of application, the media field and the economic field, which provide credibility, clout, utility, visibility and weight, respectively. In exploring the forms of worth and value that underpin the pursuit of legitimacy in these fields, the article provides a new theoretical framework for understanding research impact and its assessment.    </w:t>
      </w:r>
    </w:p>
    <w:p w14:paraId="3FFF1A04" w14:textId="77777777" w:rsidR="006B06C4" w:rsidRPr="00DD682F" w:rsidRDefault="006B06C4" w:rsidP="006B06C4">
      <w:pPr>
        <w:spacing w:line="360" w:lineRule="auto"/>
        <w:jc w:val="both"/>
        <w:outlineLvl w:val="0"/>
        <w:rPr>
          <w:rFonts w:ascii="Garamond" w:hAnsi="Garamond"/>
          <w:b/>
        </w:rPr>
      </w:pPr>
    </w:p>
    <w:p w14:paraId="3895F028" w14:textId="77777777" w:rsidR="006B06C4" w:rsidRPr="00DD682F" w:rsidRDefault="006B06C4" w:rsidP="006B06C4">
      <w:pPr>
        <w:spacing w:line="360" w:lineRule="auto"/>
        <w:jc w:val="both"/>
        <w:rPr>
          <w:rFonts w:ascii="Garamond" w:hAnsi="Garamond"/>
          <w:b/>
        </w:rPr>
      </w:pPr>
      <w:r w:rsidRPr="00DD682F">
        <w:rPr>
          <w:rFonts w:ascii="Garamond" w:hAnsi="Garamond"/>
          <w:b/>
        </w:rPr>
        <w:t>Keywords</w:t>
      </w:r>
    </w:p>
    <w:p w14:paraId="6B2B0D2A" w14:textId="77777777" w:rsidR="006B06C4" w:rsidRPr="00DD682F" w:rsidRDefault="006B06C4" w:rsidP="006B06C4">
      <w:pPr>
        <w:spacing w:line="360" w:lineRule="auto"/>
        <w:jc w:val="both"/>
        <w:rPr>
          <w:rFonts w:ascii="Garamond" w:hAnsi="Garamond"/>
        </w:rPr>
      </w:pPr>
      <w:r w:rsidRPr="00DD682F">
        <w:rPr>
          <w:rFonts w:ascii="Garamond" w:hAnsi="Garamond"/>
        </w:rPr>
        <w:t xml:space="preserve">Research Evaluation, Research Impact, Knowledge, Fields, </w:t>
      </w:r>
      <w:r>
        <w:rPr>
          <w:rFonts w:ascii="Garamond" w:hAnsi="Garamond"/>
        </w:rPr>
        <w:t xml:space="preserve">Power, </w:t>
      </w:r>
      <w:r w:rsidRPr="00DD682F">
        <w:rPr>
          <w:rFonts w:ascii="Garamond" w:hAnsi="Garamond"/>
        </w:rPr>
        <w:t>Metrics</w:t>
      </w:r>
    </w:p>
    <w:p w14:paraId="6DA4EDE7" w14:textId="77777777" w:rsidR="006B06C4" w:rsidRPr="00DD682F" w:rsidRDefault="006B06C4" w:rsidP="006B06C4">
      <w:pPr>
        <w:spacing w:line="360" w:lineRule="auto"/>
        <w:jc w:val="both"/>
        <w:rPr>
          <w:rFonts w:ascii="Garamond" w:hAnsi="Garamond"/>
        </w:rPr>
      </w:pPr>
    </w:p>
    <w:p w14:paraId="6B47BB9D" w14:textId="77777777" w:rsidR="006B06C4" w:rsidRPr="00DD682F" w:rsidRDefault="006B06C4" w:rsidP="006B06C4">
      <w:pPr>
        <w:spacing w:line="360" w:lineRule="auto"/>
        <w:jc w:val="both"/>
        <w:rPr>
          <w:rFonts w:ascii="Garamond" w:hAnsi="Garamond"/>
          <w:b/>
        </w:rPr>
      </w:pPr>
      <w:r w:rsidRPr="00DD682F">
        <w:rPr>
          <w:rFonts w:ascii="Garamond" w:hAnsi="Garamond"/>
          <w:b/>
        </w:rPr>
        <w:t>Acknowledgements</w:t>
      </w:r>
    </w:p>
    <w:p w14:paraId="39F56A40" w14:textId="77777777" w:rsidR="006B06C4" w:rsidRDefault="006B06C4" w:rsidP="006B06C4">
      <w:pPr>
        <w:rPr>
          <w:rFonts w:ascii="Garamond" w:hAnsi="Garamond"/>
        </w:rPr>
      </w:pPr>
      <w:r w:rsidRPr="00DD682F">
        <w:rPr>
          <w:rFonts w:ascii="Garamond" w:hAnsi="Garamond"/>
        </w:rPr>
        <w:t>This research is supported by the Economic and Social Research Council (ES/N016319/1).</w:t>
      </w:r>
      <w:r>
        <w:rPr>
          <w:rFonts w:ascii="Garamond" w:hAnsi="Garamond"/>
        </w:rPr>
        <w:t xml:space="preserve"> I am grateful to Professor Jonathan Grant, who reviewed a previous version of this article. </w:t>
      </w:r>
    </w:p>
    <w:p w14:paraId="38A81FB6" w14:textId="77777777" w:rsidR="001805EB" w:rsidRDefault="001805EB" w:rsidP="006B06C4">
      <w:pPr>
        <w:rPr>
          <w:rFonts w:ascii="Garamond" w:hAnsi="Garamond"/>
        </w:rPr>
      </w:pPr>
    </w:p>
    <w:p w14:paraId="58522C75" w14:textId="77777777" w:rsidR="00DC79D7" w:rsidRDefault="00DC79D7" w:rsidP="006B06C4">
      <w:pPr>
        <w:rPr>
          <w:rFonts w:ascii="Garamond" w:hAnsi="Garamond"/>
        </w:rPr>
        <w:sectPr w:rsidR="00DC79D7" w:rsidSect="001F7F42">
          <w:footerReference w:type="even" r:id="rId9"/>
          <w:footerReference w:type="default" r:id="rId10"/>
          <w:pgSz w:w="11900" w:h="16840"/>
          <w:pgMar w:top="1440" w:right="1440" w:bottom="1440" w:left="1440" w:header="708" w:footer="708" w:gutter="0"/>
          <w:cols w:space="708"/>
          <w:docGrid w:linePitch="360"/>
        </w:sectPr>
      </w:pPr>
    </w:p>
    <w:p w14:paraId="24D5637C" w14:textId="7428B26E" w:rsidR="001805EB" w:rsidRPr="00DD682F" w:rsidRDefault="001805EB" w:rsidP="006B06C4">
      <w:pPr>
        <w:rPr>
          <w:rFonts w:ascii="Garamond" w:hAnsi="Garamond"/>
        </w:rPr>
      </w:pPr>
      <w:bookmarkStart w:id="0" w:name="_GoBack"/>
      <w:bookmarkEnd w:id="0"/>
    </w:p>
    <w:p w14:paraId="0BCDFFFB" w14:textId="51C10EFE" w:rsidR="00676050" w:rsidRPr="00966D98" w:rsidRDefault="00676050" w:rsidP="00DF48B8">
      <w:pPr>
        <w:pStyle w:val="Body"/>
        <w:spacing w:before="120" w:after="120" w:line="360" w:lineRule="auto"/>
        <w:jc w:val="both"/>
        <w:rPr>
          <w:rFonts w:ascii="Garamond" w:eastAsia="Times New Roman" w:hAnsi="Garamond" w:cs="Times New Roman"/>
          <w:b/>
          <w:color w:val="auto"/>
          <w:bdr w:val="none" w:sz="0" w:space="0" w:color="auto"/>
          <w:lang w:val="en-GB" w:eastAsia="en-US"/>
        </w:rPr>
      </w:pPr>
      <w:r w:rsidRPr="00966D98">
        <w:rPr>
          <w:rFonts w:ascii="Garamond" w:eastAsia="Times New Roman" w:hAnsi="Garamond" w:cs="Times New Roman"/>
          <w:b/>
          <w:color w:val="auto"/>
          <w:bdr w:val="none" w:sz="0" w:space="0" w:color="auto"/>
          <w:lang w:val="en-GB" w:eastAsia="en-US"/>
        </w:rPr>
        <w:t xml:space="preserve">Playing the fields: Theorising research impact and its assessment </w:t>
      </w:r>
    </w:p>
    <w:p w14:paraId="23FF5BF3" w14:textId="68479FD0" w:rsidR="00DC7B63" w:rsidRPr="00966D98" w:rsidRDefault="00DC7B63" w:rsidP="00DF48B8">
      <w:pPr>
        <w:pStyle w:val="Body"/>
        <w:spacing w:before="120" w:after="120" w:line="360" w:lineRule="auto"/>
        <w:jc w:val="both"/>
        <w:rPr>
          <w:rFonts w:ascii="Garamond" w:hAnsi="Garamond"/>
          <w:b/>
          <w:bCs/>
          <w:lang w:val="en-GB"/>
        </w:rPr>
      </w:pPr>
      <w:r w:rsidRPr="00966D98">
        <w:rPr>
          <w:rFonts w:ascii="Garamond" w:hAnsi="Garamond"/>
          <w:b/>
          <w:bCs/>
          <w:lang w:val="en-GB"/>
        </w:rPr>
        <w:t>Abstract</w:t>
      </w:r>
    </w:p>
    <w:p w14:paraId="57ABA183" w14:textId="7F03A89A" w:rsidR="00DC7B63" w:rsidRPr="00966D98" w:rsidRDefault="00213E2A" w:rsidP="00DF48B8">
      <w:pPr>
        <w:pStyle w:val="Body"/>
        <w:spacing w:before="120" w:after="120" w:line="360" w:lineRule="auto"/>
        <w:jc w:val="both"/>
        <w:rPr>
          <w:rFonts w:ascii="Garamond" w:hAnsi="Garamond"/>
          <w:bCs/>
          <w:lang w:val="en-GB"/>
        </w:rPr>
        <w:sectPr w:rsidR="00DC7B63" w:rsidRPr="00966D98" w:rsidSect="001F7F42">
          <w:pgSz w:w="11900" w:h="16840"/>
          <w:pgMar w:top="1440" w:right="1440" w:bottom="1440" w:left="1440" w:header="708" w:footer="708" w:gutter="0"/>
          <w:cols w:space="708"/>
          <w:docGrid w:linePitch="360"/>
        </w:sectPr>
      </w:pPr>
      <w:r w:rsidRPr="00966D98">
        <w:rPr>
          <w:rFonts w:ascii="Garamond" w:hAnsi="Garamond"/>
          <w:bCs/>
          <w:lang w:val="en-GB"/>
        </w:rPr>
        <w:t>H</w:t>
      </w:r>
      <w:r w:rsidR="00DC7B63" w:rsidRPr="00966D98">
        <w:rPr>
          <w:rFonts w:ascii="Garamond" w:hAnsi="Garamond"/>
          <w:bCs/>
          <w:lang w:val="en-GB"/>
        </w:rPr>
        <w:t xml:space="preserve">ow research is assessed affects what types of knowledge are valued, incentivised and rewarded. An increasingly important element of contemporary research evaluation is the measurement of the wider impact of research (e.g. benefit to society, culture or economy). </w:t>
      </w:r>
      <w:r w:rsidR="00A66981" w:rsidRPr="00966D98">
        <w:rPr>
          <w:rFonts w:ascii="Garamond" w:hAnsi="Garamond"/>
          <w:lang w:val="en-GB"/>
        </w:rPr>
        <w:t xml:space="preserve">Although the measurement of impact has been highly contested, the area is under-theorised and dominated by pragmatic research policy </w:t>
      </w:r>
      <w:r w:rsidR="00EF3CD9" w:rsidRPr="00966D98">
        <w:rPr>
          <w:rFonts w:ascii="Garamond" w:hAnsi="Garamond"/>
          <w:lang w:val="en-GB"/>
        </w:rPr>
        <w:t>imperatives</w:t>
      </w:r>
      <w:r w:rsidR="00A66981" w:rsidRPr="00966D98">
        <w:rPr>
          <w:rFonts w:ascii="Garamond" w:hAnsi="Garamond"/>
          <w:lang w:val="en-GB"/>
        </w:rPr>
        <w:t xml:space="preserve">. </w:t>
      </w:r>
      <w:r w:rsidR="00DC7B63" w:rsidRPr="00966D98">
        <w:rPr>
          <w:rFonts w:ascii="Garamond" w:hAnsi="Garamond"/>
          <w:bCs/>
          <w:lang w:val="en-GB"/>
        </w:rPr>
        <w:t>Informed by a sociological perspective, this article intervenes in this context by reframing research impact as the attainment and maintenance of capital (i.e. symbolic power or status) in various fields beyond academia. It argues that research impact occurs at the intersection of these fields</w:t>
      </w:r>
      <w:r w:rsidR="007D31AC" w:rsidRPr="00966D98">
        <w:rPr>
          <w:rFonts w:ascii="Garamond" w:hAnsi="Garamond"/>
          <w:bCs/>
          <w:lang w:val="en-GB"/>
        </w:rPr>
        <w:t xml:space="preserve"> of power</w:t>
      </w:r>
      <w:r w:rsidR="00DC7B63" w:rsidRPr="00966D98">
        <w:rPr>
          <w:rFonts w:ascii="Garamond" w:hAnsi="Garamond"/>
          <w:bCs/>
          <w:lang w:val="en-GB"/>
        </w:rPr>
        <w:t xml:space="preserve">. The article shows that impact involves various combinations of capital from the scholarly field, the field of politics, the field of application, the media field and the economic field, which provide credibility, </w:t>
      </w:r>
      <w:r w:rsidR="004F31F3" w:rsidRPr="00966D98">
        <w:rPr>
          <w:rFonts w:ascii="Garamond" w:hAnsi="Garamond"/>
          <w:bCs/>
          <w:lang w:val="en-GB"/>
        </w:rPr>
        <w:t>authority</w:t>
      </w:r>
      <w:r w:rsidR="00DC7B63" w:rsidRPr="00966D98">
        <w:rPr>
          <w:rFonts w:ascii="Garamond" w:hAnsi="Garamond"/>
          <w:bCs/>
          <w:lang w:val="en-GB"/>
        </w:rPr>
        <w:t xml:space="preserve">, utility, visibility and </w:t>
      </w:r>
      <w:r w:rsidR="00B3424F" w:rsidRPr="00966D98">
        <w:rPr>
          <w:rFonts w:ascii="Garamond" w:hAnsi="Garamond"/>
          <w:bCs/>
          <w:lang w:val="en-GB"/>
        </w:rPr>
        <w:t>weight</w:t>
      </w:r>
      <w:r w:rsidR="00DC7B63" w:rsidRPr="00966D98">
        <w:rPr>
          <w:rFonts w:ascii="Garamond" w:hAnsi="Garamond"/>
          <w:bCs/>
          <w:lang w:val="en-GB"/>
        </w:rPr>
        <w:t xml:space="preserve">, respectively. In exploring </w:t>
      </w:r>
      <w:r w:rsidR="00084E4F" w:rsidRPr="00966D98">
        <w:rPr>
          <w:rFonts w:ascii="Garamond" w:hAnsi="Garamond"/>
          <w:bCs/>
          <w:lang w:val="en-GB"/>
        </w:rPr>
        <w:t xml:space="preserve">the </w:t>
      </w:r>
      <w:r w:rsidR="00DC7B63" w:rsidRPr="00966D98">
        <w:rPr>
          <w:rFonts w:ascii="Garamond" w:hAnsi="Garamond"/>
          <w:bCs/>
          <w:lang w:val="en-GB"/>
        </w:rPr>
        <w:t>forms of worth</w:t>
      </w:r>
      <w:r w:rsidR="00E12AEA" w:rsidRPr="00966D98">
        <w:rPr>
          <w:rFonts w:ascii="Garamond" w:hAnsi="Garamond"/>
          <w:bCs/>
          <w:lang w:val="en-GB"/>
        </w:rPr>
        <w:t xml:space="preserve"> and value</w:t>
      </w:r>
      <w:r w:rsidR="00DC7B63" w:rsidRPr="00966D98">
        <w:rPr>
          <w:rFonts w:ascii="Garamond" w:hAnsi="Garamond"/>
          <w:bCs/>
          <w:lang w:val="en-GB"/>
        </w:rPr>
        <w:t xml:space="preserve"> </w:t>
      </w:r>
      <w:r w:rsidR="00084E4F" w:rsidRPr="00966D98">
        <w:rPr>
          <w:rFonts w:ascii="Garamond" w:hAnsi="Garamond"/>
          <w:bCs/>
          <w:lang w:val="en-GB"/>
        </w:rPr>
        <w:t>that underpin</w:t>
      </w:r>
      <w:r w:rsidR="00DC7B63" w:rsidRPr="00966D98">
        <w:rPr>
          <w:rFonts w:ascii="Garamond" w:hAnsi="Garamond"/>
          <w:bCs/>
          <w:lang w:val="en-GB"/>
        </w:rPr>
        <w:t xml:space="preserve"> the pursuit of legitimacy</w:t>
      </w:r>
      <w:r w:rsidR="003E0694" w:rsidRPr="00966D98">
        <w:rPr>
          <w:rFonts w:ascii="Garamond" w:hAnsi="Garamond"/>
          <w:bCs/>
          <w:lang w:val="en-GB"/>
        </w:rPr>
        <w:t xml:space="preserve"> in these fields</w:t>
      </w:r>
      <w:r w:rsidR="00DC7B63" w:rsidRPr="00966D98">
        <w:rPr>
          <w:rFonts w:ascii="Garamond" w:hAnsi="Garamond"/>
          <w:bCs/>
          <w:lang w:val="en-GB"/>
        </w:rPr>
        <w:t xml:space="preserve">, the article provides a </w:t>
      </w:r>
      <w:r w:rsidR="00965429" w:rsidRPr="00966D98">
        <w:rPr>
          <w:rFonts w:ascii="Garamond" w:hAnsi="Garamond"/>
          <w:bCs/>
          <w:lang w:val="en-GB"/>
        </w:rPr>
        <w:t xml:space="preserve">new </w:t>
      </w:r>
      <w:r w:rsidR="00DC7B63" w:rsidRPr="00966D98">
        <w:rPr>
          <w:rFonts w:ascii="Garamond" w:hAnsi="Garamond"/>
          <w:bCs/>
          <w:lang w:val="en-GB"/>
        </w:rPr>
        <w:t xml:space="preserve">theoretical framework for understanding </w:t>
      </w:r>
      <w:r w:rsidR="00F14C63" w:rsidRPr="00966D98">
        <w:rPr>
          <w:rFonts w:ascii="Garamond" w:hAnsi="Garamond"/>
          <w:bCs/>
          <w:lang w:val="en-GB"/>
        </w:rPr>
        <w:t xml:space="preserve">research </w:t>
      </w:r>
      <w:r w:rsidR="00DC7B63" w:rsidRPr="00966D98">
        <w:rPr>
          <w:rFonts w:ascii="Garamond" w:hAnsi="Garamond"/>
          <w:bCs/>
          <w:lang w:val="en-GB"/>
        </w:rPr>
        <w:t>impact and its assessment.</w:t>
      </w:r>
      <w:r w:rsidR="000A5AB3" w:rsidRPr="00966D98">
        <w:rPr>
          <w:rFonts w:ascii="Garamond" w:hAnsi="Garamond"/>
          <w:bCs/>
          <w:lang w:val="en-GB"/>
        </w:rPr>
        <w:t xml:space="preserve"> </w:t>
      </w:r>
      <w:r w:rsidR="003E0694" w:rsidRPr="00966D98">
        <w:rPr>
          <w:rFonts w:ascii="Garamond" w:hAnsi="Garamond"/>
          <w:lang w:val="en-GB"/>
        </w:rPr>
        <w:t xml:space="preserve"> </w:t>
      </w:r>
    </w:p>
    <w:p w14:paraId="5E142CFE" w14:textId="09FC2A7C" w:rsidR="00030606" w:rsidRPr="00966D98" w:rsidRDefault="00FC1E47" w:rsidP="007941D6">
      <w:pPr>
        <w:pStyle w:val="Body"/>
        <w:spacing w:before="120" w:after="120" w:line="360" w:lineRule="auto"/>
        <w:jc w:val="both"/>
        <w:rPr>
          <w:rFonts w:ascii="Garamond" w:eastAsia="Garamond" w:hAnsi="Garamond" w:cs="Garamond"/>
          <w:b/>
          <w:bCs/>
          <w:lang w:val="en-GB"/>
        </w:rPr>
      </w:pPr>
      <w:r w:rsidRPr="00966D98">
        <w:rPr>
          <w:rFonts w:ascii="Garamond" w:hAnsi="Garamond"/>
          <w:b/>
          <w:bCs/>
          <w:lang w:val="en-GB"/>
        </w:rPr>
        <w:lastRenderedPageBreak/>
        <w:t>Introduction</w:t>
      </w:r>
    </w:p>
    <w:p w14:paraId="46F76B54" w14:textId="7EC15955" w:rsidR="00F07AE7" w:rsidRPr="00966D98" w:rsidRDefault="007C3355" w:rsidP="0077735F">
      <w:pPr>
        <w:pStyle w:val="Body"/>
        <w:spacing w:before="120" w:after="120" w:line="360" w:lineRule="auto"/>
        <w:jc w:val="both"/>
        <w:rPr>
          <w:rFonts w:ascii="Garamond" w:eastAsia="Garamond" w:hAnsi="Garamond" w:cs="Garamond"/>
          <w:lang w:val="en-GB"/>
        </w:rPr>
      </w:pPr>
      <w:r w:rsidRPr="00966D98">
        <w:rPr>
          <w:rFonts w:ascii="Garamond" w:hAnsi="Garamond"/>
          <w:lang w:val="en-GB"/>
        </w:rPr>
        <w:t xml:space="preserve">Expert research </w:t>
      </w:r>
      <w:r w:rsidR="004F678B" w:rsidRPr="00966D98">
        <w:rPr>
          <w:rFonts w:ascii="Garamond" w:hAnsi="Garamond"/>
          <w:lang w:val="en-GB"/>
        </w:rPr>
        <w:t>is essential in addressing the most pressing social, economic and environmental issues of our day</w:t>
      </w:r>
      <w:r w:rsidRPr="00966D98">
        <w:rPr>
          <w:rFonts w:ascii="Garamond" w:hAnsi="Garamond"/>
          <w:lang w:val="en-GB"/>
        </w:rPr>
        <w:t xml:space="preserve">. </w:t>
      </w:r>
      <w:r w:rsidR="004F678B" w:rsidRPr="00966D98">
        <w:rPr>
          <w:rFonts w:ascii="Garamond" w:hAnsi="Garamond"/>
          <w:lang w:val="en-GB"/>
        </w:rPr>
        <w:t xml:space="preserve">The assessment of this research shapes how research systems judge value, justify merit, and assign limited resources. </w:t>
      </w:r>
      <w:r w:rsidR="00A2140D" w:rsidRPr="00966D98">
        <w:rPr>
          <w:rFonts w:ascii="Garamond" w:hAnsi="Garamond"/>
          <w:lang w:val="en-GB"/>
        </w:rPr>
        <w:t>However, r</w:t>
      </w:r>
      <w:r w:rsidR="00E20170" w:rsidRPr="00966D98">
        <w:rPr>
          <w:rFonts w:ascii="Garamond" w:hAnsi="Garamond"/>
          <w:lang w:val="en-GB"/>
        </w:rPr>
        <w:t>esearch p</w:t>
      </w:r>
      <w:r w:rsidR="0063297B" w:rsidRPr="00966D98">
        <w:rPr>
          <w:rFonts w:ascii="Garamond" w:hAnsi="Garamond"/>
          <w:lang w:val="en-GB"/>
        </w:rPr>
        <w:t xml:space="preserve">olicy </w:t>
      </w:r>
      <w:r w:rsidR="003B4DDC" w:rsidRPr="00966D98">
        <w:rPr>
          <w:rFonts w:ascii="Garamond" w:hAnsi="Garamond"/>
          <w:lang w:val="en-GB"/>
        </w:rPr>
        <w:t>imperatives</w:t>
      </w:r>
      <w:r w:rsidR="0063297B" w:rsidRPr="00966D98">
        <w:rPr>
          <w:rFonts w:ascii="Garamond" w:hAnsi="Garamond"/>
          <w:lang w:val="en-GB"/>
        </w:rPr>
        <w:t xml:space="preserve"> around accountability, transparency and </w:t>
      </w:r>
      <w:r w:rsidR="003B4DDC" w:rsidRPr="00966D98">
        <w:rPr>
          <w:rFonts w:ascii="Garamond" w:hAnsi="Garamond"/>
          <w:lang w:val="en-GB"/>
        </w:rPr>
        <w:t>efficiency</w:t>
      </w:r>
      <w:r w:rsidR="0063297B" w:rsidRPr="00966D98">
        <w:rPr>
          <w:rFonts w:ascii="Garamond" w:hAnsi="Garamond"/>
          <w:lang w:val="en-GB"/>
        </w:rPr>
        <w:t xml:space="preserve"> </w:t>
      </w:r>
      <w:r w:rsidR="009D09C4" w:rsidRPr="00966D98">
        <w:rPr>
          <w:rFonts w:ascii="Garamond" w:hAnsi="Garamond"/>
          <w:color w:val="000000" w:themeColor="text1"/>
          <w:lang w:val="en-GB"/>
        </w:rPr>
        <w:t>(</w:t>
      </w:r>
      <w:proofErr w:type="spellStart"/>
      <w:r w:rsidR="009D09C4" w:rsidRPr="00966D98">
        <w:rPr>
          <w:rFonts w:ascii="Garamond" w:hAnsi="Garamond"/>
          <w:lang w:val="en-GB"/>
        </w:rPr>
        <w:t>Nedeva</w:t>
      </w:r>
      <w:proofErr w:type="spellEnd"/>
      <w:r w:rsidR="009D09C4" w:rsidRPr="00966D98">
        <w:rPr>
          <w:rFonts w:ascii="Garamond" w:hAnsi="Garamond"/>
          <w:lang w:val="en-GB"/>
        </w:rPr>
        <w:t xml:space="preserve">, Boden, </w:t>
      </w:r>
      <w:proofErr w:type="spellStart"/>
      <w:r w:rsidR="009D09C4" w:rsidRPr="00966D98">
        <w:rPr>
          <w:rFonts w:ascii="Garamond" w:hAnsi="Garamond"/>
          <w:lang w:val="en-GB"/>
        </w:rPr>
        <w:t>Nugroho</w:t>
      </w:r>
      <w:proofErr w:type="spellEnd"/>
      <w:r w:rsidR="009D09C4" w:rsidRPr="00966D98">
        <w:rPr>
          <w:rFonts w:ascii="Garamond" w:hAnsi="Garamond"/>
          <w:lang w:val="en-GB"/>
        </w:rPr>
        <w:t xml:space="preserve"> 2012) </w:t>
      </w:r>
      <w:r w:rsidR="0063297B" w:rsidRPr="00966D98">
        <w:rPr>
          <w:rFonts w:ascii="Garamond" w:hAnsi="Garamond"/>
          <w:lang w:val="en-GB"/>
        </w:rPr>
        <w:t xml:space="preserve">have led to an </w:t>
      </w:r>
      <w:r w:rsidR="0063297B" w:rsidRPr="00966D98">
        <w:rPr>
          <w:rFonts w:ascii="Garamond" w:hAnsi="Garamond"/>
          <w:color w:val="000000" w:themeColor="text1"/>
          <w:lang w:val="en-GB"/>
        </w:rPr>
        <w:t xml:space="preserve">inherent pragmatism in </w:t>
      </w:r>
      <w:r w:rsidR="00BF6E79" w:rsidRPr="00966D98">
        <w:rPr>
          <w:rFonts w:ascii="Garamond" w:hAnsi="Garamond"/>
          <w:color w:val="000000" w:themeColor="text1"/>
          <w:lang w:val="en-GB"/>
        </w:rPr>
        <w:t>the development and use of assessment methods</w:t>
      </w:r>
      <w:r w:rsidR="009D09C4" w:rsidRPr="00966D98">
        <w:rPr>
          <w:rFonts w:ascii="Garamond" w:hAnsi="Garamond"/>
          <w:color w:val="000000" w:themeColor="text1"/>
          <w:lang w:val="en-GB"/>
        </w:rPr>
        <w:t xml:space="preserve">. </w:t>
      </w:r>
      <w:r w:rsidR="004F678B" w:rsidRPr="00966D98">
        <w:rPr>
          <w:rFonts w:ascii="Garamond" w:hAnsi="Garamond"/>
          <w:lang w:val="en-GB"/>
        </w:rPr>
        <w:t xml:space="preserve">Currently, research </w:t>
      </w:r>
      <w:r w:rsidR="00714956" w:rsidRPr="00966D98">
        <w:rPr>
          <w:rFonts w:ascii="Garamond" w:hAnsi="Garamond"/>
          <w:lang w:val="en-GB"/>
        </w:rPr>
        <w:t>evaluation</w:t>
      </w:r>
      <w:r w:rsidR="004F678B" w:rsidRPr="00966D98">
        <w:rPr>
          <w:rFonts w:ascii="Garamond" w:hAnsi="Garamond"/>
          <w:lang w:val="en-GB"/>
        </w:rPr>
        <w:t xml:space="preserve"> includes an array of concepts and methods to determine whether excellence is being achieved, including varying definitions and practices around ‘quality’ and ‘impact’. </w:t>
      </w:r>
      <w:r w:rsidR="00D821E7" w:rsidRPr="00966D98">
        <w:rPr>
          <w:rFonts w:ascii="Garamond" w:hAnsi="Garamond"/>
          <w:lang w:val="en-GB"/>
        </w:rPr>
        <w:t>H</w:t>
      </w:r>
      <w:r w:rsidR="004F678B" w:rsidRPr="00966D98">
        <w:rPr>
          <w:rFonts w:ascii="Garamond" w:hAnsi="Garamond"/>
          <w:lang w:val="en-GB"/>
        </w:rPr>
        <w:t xml:space="preserve">ow excellence is conceived and measured shapes how researchers make decisions, and in turn, the types of knowledge that are produced and potentially transformed into political, economic or social outcomes. Yet, the existing literature has thus far neglected underlying elements of worth and value. </w:t>
      </w:r>
      <w:r w:rsidR="00F07AE7" w:rsidRPr="00966D98">
        <w:rPr>
          <w:rFonts w:ascii="Garamond" w:hAnsi="Garamond"/>
          <w:lang w:val="en-GB"/>
        </w:rPr>
        <w:t xml:space="preserve">Research evaluation has tended to be thought of as a technical or pragmatic activity designed to capture objective elements of the research process that can be incentivized or rewarded by science policy makers. </w:t>
      </w:r>
      <w:r w:rsidR="004F678B" w:rsidRPr="00966D98">
        <w:rPr>
          <w:rFonts w:ascii="Garamond" w:hAnsi="Garamond"/>
          <w:lang w:val="en-GB"/>
        </w:rPr>
        <w:t xml:space="preserve">Theoretically-informed work is required to </w:t>
      </w:r>
      <w:r w:rsidR="00207013" w:rsidRPr="00966D98">
        <w:rPr>
          <w:rFonts w:ascii="Garamond" w:hAnsi="Garamond"/>
          <w:lang w:val="en-GB"/>
        </w:rPr>
        <w:t xml:space="preserve">understand </w:t>
      </w:r>
      <w:r w:rsidR="009D2E9D" w:rsidRPr="00966D98">
        <w:rPr>
          <w:rFonts w:ascii="Garamond" w:hAnsi="Garamond"/>
          <w:lang w:val="en-GB"/>
        </w:rPr>
        <w:t>value</w:t>
      </w:r>
      <w:r w:rsidR="000065A4" w:rsidRPr="00966D98">
        <w:rPr>
          <w:rFonts w:ascii="Garamond" w:hAnsi="Garamond"/>
          <w:lang w:val="en-GB"/>
        </w:rPr>
        <w:t xml:space="preserve"> in research</w:t>
      </w:r>
      <w:r w:rsidR="00113298" w:rsidRPr="00966D98">
        <w:rPr>
          <w:rFonts w:ascii="Garamond" w:hAnsi="Garamond"/>
          <w:lang w:val="en-GB"/>
        </w:rPr>
        <w:t xml:space="preserve"> </w:t>
      </w:r>
      <w:r w:rsidR="004F678B" w:rsidRPr="00966D98">
        <w:rPr>
          <w:rFonts w:ascii="Garamond" w:hAnsi="Garamond"/>
          <w:lang w:val="en-GB"/>
        </w:rPr>
        <w:t xml:space="preserve">and </w:t>
      </w:r>
      <w:r w:rsidR="00207013" w:rsidRPr="00966D98">
        <w:rPr>
          <w:rFonts w:ascii="Garamond" w:hAnsi="Garamond"/>
          <w:lang w:val="en-GB"/>
        </w:rPr>
        <w:t>the effects of</w:t>
      </w:r>
      <w:r w:rsidR="004F678B" w:rsidRPr="00966D98">
        <w:rPr>
          <w:rFonts w:ascii="Garamond" w:hAnsi="Garamond"/>
          <w:lang w:val="en-GB"/>
        </w:rPr>
        <w:t xml:space="preserve"> </w:t>
      </w:r>
      <w:r w:rsidR="00B227FD" w:rsidRPr="00966D98">
        <w:rPr>
          <w:rFonts w:ascii="Garamond" w:hAnsi="Garamond"/>
          <w:lang w:val="en-GB"/>
        </w:rPr>
        <w:t xml:space="preserve">evaluation </w:t>
      </w:r>
      <w:r w:rsidR="004F678B" w:rsidRPr="00966D98">
        <w:rPr>
          <w:rFonts w:ascii="Garamond" w:hAnsi="Garamond"/>
          <w:lang w:val="en-GB"/>
        </w:rPr>
        <w:t xml:space="preserve">practices </w:t>
      </w:r>
      <w:r w:rsidR="00207013" w:rsidRPr="00966D98">
        <w:rPr>
          <w:rFonts w:ascii="Garamond" w:hAnsi="Garamond"/>
          <w:lang w:val="en-GB"/>
        </w:rPr>
        <w:t>for research actors.</w:t>
      </w:r>
      <w:r w:rsidR="004F678B" w:rsidRPr="00966D98">
        <w:rPr>
          <w:rFonts w:ascii="Garamond" w:hAnsi="Garamond"/>
          <w:lang w:val="en-GB"/>
        </w:rPr>
        <w:t xml:space="preserve"> </w:t>
      </w:r>
    </w:p>
    <w:p w14:paraId="38399934" w14:textId="427492FF" w:rsidR="00DE2C58" w:rsidRPr="00966D98" w:rsidRDefault="00D140F3">
      <w:pPr>
        <w:pStyle w:val="Body"/>
        <w:spacing w:before="120" w:after="120" w:line="360" w:lineRule="auto"/>
        <w:ind w:firstLine="284"/>
        <w:jc w:val="both"/>
        <w:rPr>
          <w:rFonts w:ascii="Garamond" w:hAnsi="Garamond"/>
          <w:lang w:val="en-GB"/>
        </w:rPr>
      </w:pPr>
      <w:r w:rsidRPr="00966D98">
        <w:rPr>
          <w:rFonts w:ascii="Garamond" w:hAnsi="Garamond"/>
          <w:lang w:val="en-GB"/>
        </w:rPr>
        <w:t xml:space="preserve">An increasingly important element of contemporary research </w:t>
      </w:r>
      <w:r w:rsidR="00150021" w:rsidRPr="00966D98">
        <w:rPr>
          <w:rFonts w:ascii="Garamond" w:hAnsi="Garamond"/>
          <w:lang w:val="en-GB"/>
        </w:rPr>
        <w:t xml:space="preserve">assessment </w:t>
      </w:r>
      <w:r w:rsidRPr="00966D98">
        <w:rPr>
          <w:rFonts w:ascii="Garamond" w:hAnsi="Garamond"/>
          <w:lang w:val="en-GB"/>
        </w:rPr>
        <w:t xml:space="preserve">is the measurement of the wider impact of research (e.g. benefit to society, culture or economy). </w:t>
      </w:r>
      <w:r w:rsidR="0063495C" w:rsidRPr="00966D98">
        <w:rPr>
          <w:rFonts w:ascii="Garamond" w:hAnsi="Garamond"/>
          <w:lang w:val="en-GB"/>
        </w:rPr>
        <w:t xml:space="preserve">Although </w:t>
      </w:r>
      <w:r w:rsidR="00F07AE7" w:rsidRPr="00966D98">
        <w:rPr>
          <w:rFonts w:ascii="Garamond" w:hAnsi="Garamond"/>
          <w:lang w:val="en-GB"/>
        </w:rPr>
        <w:t>discussions of how best to measure impact have</w:t>
      </w:r>
      <w:r w:rsidR="0063495C" w:rsidRPr="00966D98">
        <w:rPr>
          <w:rFonts w:ascii="Garamond" w:hAnsi="Garamond"/>
          <w:lang w:val="en-GB"/>
        </w:rPr>
        <w:t xml:space="preserve"> been</w:t>
      </w:r>
      <w:r w:rsidR="004F678B" w:rsidRPr="00966D98">
        <w:rPr>
          <w:rFonts w:ascii="Garamond" w:hAnsi="Garamond"/>
          <w:lang w:val="en-GB"/>
        </w:rPr>
        <w:t xml:space="preserve"> highly contested, the area is under-theorised</w:t>
      </w:r>
      <w:r w:rsidR="0063495C" w:rsidRPr="00966D98">
        <w:rPr>
          <w:rFonts w:ascii="Garamond" w:hAnsi="Garamond"/>
          <w:lang w:val="en-GB"/>
        </w:rPr>
        <w:t xml:space="preserve"> and dominated by </w:t>
      </w:r>
      <w:r w:rsidR="00AE4D0F" w:rsidRPr="00966D98">
        <w:rPr>
          <w:rFonts w:ascii="Garamond" w:hAnsi="Garamond"/>
          <w:lang w:val="en-GB"/>
        </w:rPr>
        <w:t>utilitarian</w:t>
      </w:r>
      <w:r w:rsidR="0063495C" w:rsidRPr="00966D98">
        <w:rPr>
          <w:rFonts w:ascii="Garamond" w:hAnsi="Garamond"/>
          <w:lang w:val="en-GB"/>
        </w:rPr>
        <w:t xml:space="preserve"> research policy concerns</w:t>
      </w:r>
      <w:r w:rsidR="004F678B" w:rsidRPr="00966D98">
        <w:rPr>
          <w:rFonts w:ascii="Garamond" w:hAnsi="Garamond"/>
          <w:lang w:val="en-GB"/>
        </w:rPr>
        <w:t xml:space="preserve">. </w:t>
      </w:r>
      <w:r w:rsidR="00DE2C58" w:rsidRPr="00966D98">
        <w:rPr>
          <w:rFonts w:ascii="Garamond" w:hAnsi="Garamond"/>
          <w:lang w:val="en-GB"/>
        </w:rPr>
        <w:t xml:space="preserve">Informed by a sociological perspective, this article intervenes by reframing research impact as the attainment and maintenance of capital (i.e. symbolic power or status) in various fields of power beyond the academy. Accordingly, it locates effective research impact as occurring within a ‘space between fields’ (Eyal 2011), where the goal of assessment is to capture how research actors attain and maintain </w:t>
      </w:r>
      <w:r w:rsidR="0086771E" w:rsidRPr="00966D98">
        <w:rPr>
          <w:rFonts w:ascii="Garamond" w:hAnsi="Garamond"/>
          <w:lang w:val="en-GB"/>
        </w:rPr>
        <w:t xml:space="preserve">the </w:t>
      </w:r>
      <w:r w:rsidR="00F07AE7" w:rsidRPr="00966D98">
        <w:rPr>
          <w:rFonts w:ascii="Garamond" w:hAnsi="Garamond"/>
          <w:lang w:val="en-GB"/>
        </w:rPr>
        <w:t>capital</w:t>
      </w:r>
      <w:r w:rsidR="00FB48AD" w:rsidRPr="00966D98">
        <w:rPr>
          <w:rFonts w:ascii="Garamond" w:hAnsi="Garamond"/>
          <w:lang w:val="en-GB"/>
        </w:rPr>
        <w:t xml:space="preserve"> </w:t>
      </w:r>
      <w:r w:rsidR="00DE2C58" w:rsidRPr="00966D98">
        <w:rPr>
          <w:rFonts w:ascii="Garamond" w:hAnsi="Garamond"/>
          <w:lang w:val="en-GB"/>
        </w:rPr>
        <w:t>of established fields</w:t>
      </w:r>
      <w:r w:rsidR="00FB48AD" w:rsidRPr="00966D98">
        <w:rPr>
          <w:rFonts w:ascii="Garamond" w:hAnsi="Garamond"/>
          <w:lang w:val="en-GB"/>
        </w:rPr>
        <w:t>, such as scholarly or political authority</w:t>
      </w:r>
      <w:r w:rsidR="00DE2C58" w:rsidRPr="00966D98">
        <w:rPr>
          <w:rFonts w:ascii="Garamond" w:hAnsi="Garamond"/>
          <w:lang w:val="en-GB"/>
        </w:rPr>
        <w:t xml:space="preserve">. </w:t>
      </w:r>
      <w:r w:rsidR="00F07AE7" w:rsidRPr="00966D98">
        <w:rPr>
          <w:rFonts w:ascii="Garamond" w:hAnsi="Garamond"/>
          <w:lang w:val="en-GB"/>
        </w:rPr>
        <w:t>These symbolic resources</w:t>
      </w:r>
      <w:r w:rsidR="00DE2C58" w:rsidRPr="00966D98">
        <w:rPr>
          <w:rFonts w:ascii="Garamond" w:hAnsi="Garamond"/>
          <w:lang w:val="en-GB"/>
        </w:rPr>
        <w:t xml:space="preserve"> can in turn be exercised in various ways by </w:t>
      </w:r>
      <w:r w:rsidR="002541C7" w:rsidRPr="00966D98">
        <w:rPr>
          <w:rFonts w:ascii="Garamond" w:hAnsi="Garamond"/>
          <w:lang w:val="en-GB"/>
        </w:rPr>
        <w:t>research actors</w:t>
      </w:r>
      <w:r w:rsidR="00DE2C58" w:rsidRPr="00966D98">
        <w:rPr>
          <w:rFonts w:ascii="Garamond" w:hAnsi="Garamond"/>
          <w:lang w:val="en-GB"/>
        </w:rPr>
        <w:t xml:space="preserve">, </w:t>
      </w:r>
      <w:r w:rsidR="00F07AE7" w:rsidRPr="00966D98">
        <w:rPr>
          <w:rFonts w:ascii="Garamond" w:hAnsi="Garamond"/>
          <w:lang w:val="en-GB"/>
        </w:rPr>
        <w:t xml:space="preserve">potentially </w:t>
      </w:r>
      <w:r w:rsidR="00DE2C58" w:rsidRPr="00966D98">
        <w:rPr>
          <w:rFonts w:ascii="Garamond" w:hAnsi="Garamond"/>
          <w:lang w:val="en-GB"/>
        </w:rPr>
        <w:t>making impactful researchers more influential within the science system. The impactful academic thus exists in the context of a variety of fields where power can be created and circulated for particular purposes.</w:t>
      </w:r>
      <w:r w:rsidR="00F07AE7" w:rsidRPr="00966D98">
        <w:rPr>
          <w:rFonts w:ascii="Garamond" w:hAnsi="Garamond"/>
          <w:lang w:val="en-GB"/>
        </w:rPr>
        <w:t xml:space="preserve"> </w:t>
      </w:r>
      <w:r w:rsidR="001806F4" w:rsidRPr="00966D98">
        <w:rPr>
          <w:rFonts w:ascii="Garamond" w:hAnsi="Garamond"/>
          <w:lang w:val="en-GB"/>
        </w:rPr>
        <w:t>T</w:t>
      </w:r>
      <w:r w:rsidR="00765BCE" w:rsidRPr="00966D98">
        <w:rPr>
          <w:rFonts w:ascii="Garamond" w:hAnsi="Garamond"/>
          <w:lang w:val="en-GB"/>
        </w:rPr>
        <w:t xml:space="preserve">his paper </w:t>
      </w:r>
      <w:r w:rsidR="005B6749" w:rsidRPr="00966D98">
        <w:rPr>
          <w:rFonts w:ascii="Garamond" w:hAnsi="Garamond"/>
          <w:lang w:val="en-GB"/>
        </w:rPr>
        <w:t>provides a</w:t>
      </w:r>
      <w:r w:rsidR="00765BCE" w:rsidRPr="00966D98">
        <w:rPr>
          <w:rFonts w:ascii="Garamond" w:hAnsi="Garamond"/>
          <w:lang w:val="en-GB"/>
        </w:rPr>
        <w:t xml:space="preserve"> </w:t>
      </w:r>
      <w:r w:rsidR="001806F4" w:rsidRPr="00966D98">
        <w:rPr>
          <w:rFonts w:ascii="Garamond" w:hAnsi="Garamond"/>
          <w:lang w:val="en-GB"/>
        </w:rPr>
        <w:t xml:space="preserve">specific </w:t>
      </w:r>
      <w:r w:rsidR="00765BCE" w:rsidRPr="00966D98">
        <w:rPr>
          <w:rFonts w:ascii="Garamond" w:hAnsi="Garamond"/>
          <w:lang w:val="en-GB"/>
        </w:rPr>
        <w:t xml:space="preserve">definition for capital in each of these fields, and explores ways </w:t>
      </w:r>
      <w:r w:rsidR="00544944" w:rsidRPr="00966D98">
        <w:rPr>
          <w:rFonts w:ascii="Garamond" w:hAnsi="Garamond"/>
          <w:lang w:val="en-GB"/>
        </w:rPr>
        <w:t>they</w:t>
      </w:r>
      <w:r w:rsidR="00765BCE" w:rsidRPr="00966D98">
        <w:rPr>
          <w:rFonts w:ascii="Garamond" w:hAnsi="Garamond"/>
          <w:lang w:val="en-GB"/>
        </w:rPr>
        <w:t xml:space="preserve"> could be evaluated and measured. </w:t>
      </w:r>
      <w:r w:rsidR="00F07AE7" w:rsidRPr="00966D98">
        <w:rPr>
          <w:rFonts w:ascii="Garamond" w:hAnsi="Garamond"/>
          <w:lang w:val="en-GB"/>
        </w:rPr>
        <w:t xml:space="preserve">It thus interprets research impact assessment in terms of the different forms of legitimacy </w:t>
      </w:r>
      <w:r w:rsidR="006F75F6" w:rsidRPr="00966D98">
        <w:rPr>
          <w:rFonts w:ascii="Garamond" w:hAnsi="Garamond"/>
          <w:lang w:val="en-GB"/>
        </w:rPr>
        <w:t>it can</w:t>
      </w:r>
      <w:r w:rsidR="00F07AE7" w:rsidRPr="00966D98">
        <w:rPr>
          <w:rFonts w:ascii="Garamond" w:hAnsi="Garamond"/>
          <w:lang w:val="en-GB"/>
        </w:rPr>
        <w:t xml:space="preserve"> signify and provide. </w:t>
      </w:r>
      <w:r w:rsidR="00765BCE" w:rsidRPr="00966D98">
        <w:rPr>
          <w:rFonts w:ascii="Garamond" w:hAnsi="Garamond"/>
          <w:lang w:val="en-GB"/>
        </w:rPr>
        <w:t xml:space="preserve">By making explicit the multiple criteria and logics at play in these interconnected but distinct fields, it shows that the evaluation of research impact needs to account for the different forms of symbolic resources made available outside of academia. </w:t>
      </w:r>
    </w:p>
    <w:p w14:paraId="510BF4EE" w14:textId="362F7411" w:rsidR="00DE2C58" w:rsidRPr="00966D98" w:rsidRDefault="002F1E57">
      <w:pPr>
        <w:pStyle w:val="Body"/>
        <w:spacing w:before="120" w:after="120" w:line="360" w:lineRule="auto"/>
        <w:ind w:firstLine="284"/>
        <w:jc w:val="both"/>
        <w:rPr>
          <w:rFonts w:ascii="Garamond" w:hAnsi="Garamond"/>
          <w:lang w:val="en-GB"/>
        </w:rPr>
      </w:pPr>
      <w:r w:rsidRPr="00966D98">
        <w:rPr>
          <w:rFonts w:ascii="Garamond" w:hAnsi="Garamond"/>
          <w:lang w:val="en-GB"/>
        </w:rPr>
        <w:lastRenderedPageBreak/>
        <w:t xml:space="preserve">The article </w:t>
      </w:r>
      <w:r w:rsidR="00CA29F4" w:rsidRPr="00966D98">
        <w:rPr>
          <w:rFonts w:ascii="Garamond" w:hAnsi="Garamond"/>
          <w:lang w:val="en-GB"/>
        </w:rPr>
        <w:t xml:space="preserve">offers a novel understanding of research impact </w:t>
      </w:r>
      <w:r w:rsidR="00A441A4" w:rsidRPr="00966D98">
        <w:rPr>
          <w:rFonts w:ascii="Garamond" w:hAnsi="Garamond"/>
          <w:lang w:val="en-GB"/>
        </w:rPr>
        <w:t xml:space="preserve">and its assessment </w:t>
      </w:r>
      <w:r w:rsidR="00CA29F4" w:rsidRPr="00966D98">
        <w:rPr>
          <w:rFonts w:ascii="Garamond" w:hAnsi="Garamond"/>
          <w:lang w:val="en-GB"/>
        </w:rPr>
        <w:t xml:space="preserve">through the lens of multiple </w:t>
      </w:r>
      <w:r w:rsidR="008A23F9" w:rsidRPr="00966D98">
        <w:rPr>
          <w:rFonts w:ascii="Garamond" w:hAnsi="Garamond"/>
          <w:lang w:val="en-GB"/>
        </w:rPr>
        <w:t>symbolic resources</w:t>
      </w:r>
      <w:r w:rsidR="003D2C4D" w:rsidRPr="00966D98">
        <w:rPr>
          <w:rFonts w:ascii="Garamond" w:hAnsi="Garamond"/>
          <w:lang w:val="en-GB"/>
        </w:rPr>
        <w:t xml:space="preserve">, </w:t>
      </w:r>
      <w:r w:rsidR="00CA29F4" w:rsidRPr="00966D98">
        <w:rPr>
          <w:rFonts w:ascii="Garamond" w:hAnsi="Garamond"/>
          <w:lang w:val="en-GB"/>
        </w:rPr>
        <w:t xml:space="preserve">whereby value is recognised and attributed according to </w:t>
      </w:r>
      <w:r w:rsidR="00E02813" w:rsidRPr="00966D98">
        <w:rPr>
          <w:rFonts w:ascii="Garamond" w:hAnsi="Garamond"/>
          <w:lang w:val="en-GB"/>
        </w:rPr>
        <w:t xml:space="preserve">the </w:t>
      </w:r>
      <w:r w:rsidR="00CA29F4" w:rsidRPr="00966D98">
        <w:rPr>
          <w:rFonts w:ascii="Garamond" w:hAnsi="Garamond"/>
          <w:lang w:val="en-GB"/>
        </w:rPr>
        <w:t xml:space="preserve">logic of different fields. </w:t>
      </w:r>
      <w:r w:rsidR="00F07AE7" w:rsidRPr="00966D98">
        <w:rPr>
          <w:rFonts w:ascii="Garamond" w:hAnsi="Garamond"/>
          <w:lang w:val="en-GB"/>
        </w:rPr>
        <w:t>It</w:t>
      </w:r>
      <w:r w:rsidR="009561C6" w:rsidRPr="00966D98">
        <w:rPr>
          <w:rFonts w:ascii="Garamond" w:hAnsi="Garamond"/>
          <w:lang w:val="en-GB"/>
        </w:rPr>
        <w:t xml:space="preserve"> seeks to do two things</w:t>
      </w:r>
      <w:r w:rsidR="00BC66FE" w:rsidRPr="00966D98">
        <w:rPr>
          <w:rFonts w:ascii="Garamond" w:hAnsi="Garamond"/>
          <w:lang w:val="en-GB"/>
        </w:rPr>
        <w:t xml:space="preserve">. First, it sets out a framework for </w:t>
      </w:r>
      <w:r w:rsidR="00BC0FD7" w:rsidRPr="00966D98">
        <w:rPr>
          <w:rFonts w:ascii="Garamond" w:hAnsi="Garamond"/>
          <w:lang w:val="en-GB"/>
        </w:rPr>
        <w:t xml:space="preserve">understanding how </w:t>
      </w:r>
      <w:r w:rsidR="00BC66FE" w:rsidRPr="00966D98">
        <w:rPr>
          <w:rFonts w:ascii="Garamond" w:hAnsi="Garamond"/>
          <w:lang w:val="en-GB"/>
        </w:rPr>
        <w:t xml:space="preserve">impact can be created by mobilising </w:t>
      </w:r>
      <w:r w:rsidR="00E07E0F" w:rsidRPr="00966D98">
        <w:rPr>
          <w:rFonts w:ascii="Garamond" w:hAnsi="Garamond"/>
          <w:lang w:val="en-GB"/>
        </w:rPr>
        <w:t>combinations of</w:t>
      </w:r>
      <w:r w:rsidR="007B5BA3" w:rsidRPr="00966D98">
        <w:rPr>
          <w:rFonts w:ascii="Garamond" w:hAnsi="Garamond"/>
          <w:lang w:val="en-GB"/>
        </w:rPr>
        <w:t xml:space="preserve"> </w:t>
      </w:r>
      <w:r w:rsidR="00BC66FE" w:rsidRPr="00966D98">
        <w:rPr>
          <w:rFonts w:ascii="Garamond" w:hAnsi="Garamond"/>
          <w:lang w:val="en-GB"/>
        </w:rPr>
        <w:t xml:space="preserve">capital </w:t>
      </w:r>
      <w:r w:rsidR="00A6256A" w:rsidRPr="00966D98">
        <w:rPr>
          <w:rFonts w:ascii="Garamond" w:hAnsi="Garamond"/>
          <w:lang w:val="en-GB"/>
        </w:rPr>
        <w:t xml:space="preserve">via </w:t>
      </w:r>
      <w:r w:rsidR="00BC66FE" w:rsidRPr="00966D98">
        <w:rPr>
          <w:rFonts w:ascii="Garamond" w:hAnsi="Garamond"/>
          <w:lang w:val="en-GB"/>
        </w:rPr>
        <w:t xml:space="preserve">the various extra-academic </w:t>
      </w:r>
      <w:r w:rsidR="00A6256A" w:rsidRPr="00966D98">
        <w:rPr>
          <w:rFonts w:ascii="Garamond" w:hAnsi="Garamond"/>
          <w:lang w:val="en-GB"/>
        </w:rPr>
        <w:t>fields</w:t>
      </w:r>
      <w:r w:rsidR="00BC66FE" w:rsidRPr="00966D98">
        <w:rPr>
          <w:rFonts w:ascii="Garamond" w:hAnsi="Garamond"/>
          <w:lang w:val="en-GB"/>
        </w:rPr>
        <w:t xml:space="preserve"> in which research </w:t>
      </w:r>
      <w:r w:rsidR="00DA3B32" w:rsidRPr="00966D98">
        <w:rPr>
          <w:rFonts w:ascii="Garamond" w:hAnsi="Garamond"/>
          <w:lang w:val="en-GB"/>
        </w:rPr>
        <w:t xml:space="preserve">actors </w:t>
      </w:r>
      <w:r w:rsidR="007F0E89" w:rsidRPr="00966D98">
        <w:rPr>
          <w:rFonts w:ascii="Garamond" w:hAnsi="Garamond"/>
          <w:lang w:val="en-GB"/>
        </w:rPr>
        <w:t xml:space="preserve">can </w:t>
      </w:r>
      <w:r w:rsidR="00BC66FE" w:rsidRPr="00966D98">
        <w:rPr>
          <w:rFonts w:ascii="Garamond" w:hAnsi="Garamond"/>
          <w:lang w:val="en-GB"/>
        </w:rPr>
        <w:t xml:space="preserve">operate. Second, it shows </w:t>
      </w:r>
      <w:r w:rsidR="00407EBC" w:rsidRPr="00966D98">
        <w:rPr>
          <w:rFonts w:ascii="Garamond" w:hAnsi="Garamond"/>
          <w:lang w:val="en-GB"/>
        </w:rPr>
        <w:t xml:space="preserve">how impact </w:t>
      </w:r>
      <w:r w:rsidR="003F2B63" w:rsidRPr="00966D98">
        <w:rPr>
          <w:rFonts w:ascii="Garamond" w:hAnsi="Garamond"/>
          <w:lang w:val="en-GB"/>
        </w:rPr>
        <w:t xml:space="preserve">assessment </w:t>
      </w:r>
      <w:r w:rsidR="00407EBC" w:rsidRPr="00966D98">
        <w:rPr>
          <w:rFonts w:ascii="Garamond" w:hAnsi="Garamond"/>
          <w:lang w:val="en-GB"/>
        </w:rPr>
        <w:t xml:space="preserve">works </w:t>
      </w:r>
      <w:r w:rsidR="00EA0B71" w:rsidRPr="00966D98">
        <w:rPr>
          <w:rFonts w:ascii="Garamond" w:hAnsi="Garamond"/>
          <w:lang w:val="en-GB"/>
        </w:rPr>
        <w:t>as a set of practices</w:t>
      </w:r>
      <w:r w:rsidR="00785B63" w:rsidRPr="00966D98">
        <w:rPr>
          <w:rFonts w:ascii="Garamond" w:hAnsi="Garamond"/>
          <w:lang w:val="en-GB"/>
        </w:rPr>
        <w:t>,</w:t>
      </w:r>
      <w:r w:rsidR="00407EBC" w:rsidRPr="00966D98">
        <w:rPr>
          <w:rFonts w:ascii="Garamond" w:hAnsi="Garamond"/>
          <w:lang w:val="en-GB"/>
        </w:rPr>
        <w:t xml:space="preserve"> and </w:t>
      </w:r>
      <w:r w:rsidR="00BC66FE" w:rsidRPr="00966D98">
        <w:rPr>
          <w:rFonts w:ascii="Garamond" w:hAnsi="Garamond"/>
          <w:lang w:val="en-GB"/>
        </w:rPr>
        <w:t xml:space="preserve">the effects this has on the practice of science. </w:t>
      </w:r>
      <w:r w:rsidR="00907B96" w:rsidRPr="00966D98">
        <w:rPr>
          <w:rFonts w:ascii="Garamond" w:hAnsi="Garamond"/>
          <w:lang w:val="en-GB"/>
        </w:rPr>
        <w:t xml:space="preserve">The article begins by setting out the policy dilemma that gives rise to </w:t>
      </w:r>
      <w:r w:rsidR="00493C16" w:rsidRPr="00966D98">
        <w:rPr>
          <w:rFonts w:ascii="Garamond" w:hAnsi="Garamond"/>
          <w:lang w:val="en-GB"/>
        </w:rPr>
        <w:t xml:space="preserve">the </w:t>
      </w:r>
      <w:r w:rsidR="00907B96" w:rsidRPr="00966D98">
        <w:rPr>
          <w:rFonts w:ascii="Garamond" w:hAnsi="Garamond"/>
          <w:lang w:val="en-GB"/>
        </w:rPr>
        <w:t xml:space="preserve">inherent pragmatism in </w:t>
      </w:r>
      <w:r w:rsidR="00D21810" w:rsidRPr="00966D98">
        <w:rPr>
          <w:rFonts w:ascii="Garamond" w:hAnsi="Garamond"/>
          <w:lang w:val="en-GB"/>
        </w:rPr>
        <w:t xml:space="preserve">the </w:t>
      </w:r>
      <w:r w:rsidR="00907B96" w:rsidRPr="00966D98">
        <w:rPr>
          <w:rFonts w:ascii="Garamond" w:hAnsi="Garamond"/>
          <w:lang w:val="en-GB"/>
        </w:rPr>
        <w:t>evaluation</w:t>
      </w:r>
      <w:r w:rsidR="00D21810" w:rsidRPr="00966D98">
        <w:rPr>
          <w:rFonts w:ascii="Garamond" w:hAnsi="Garamond"/>
          <w:lang w:val="en-GB"/>
        </w:rPr>
        <w:t xml:space="preserve"> of research impact</w:t>
      </w:r>
      <w:r w:rsidR="00907B96" w:rsidRPr="00966D98">
        <w:rPr>
          <w:rFonts w:ascii="Garamond" w:hAnsi="Garamond"/>
          <w:lang w:val="en-GB"/>
        </w:rPr>
        <w:t xml:space="preserve">. It outlines the shortcomings of </w:t>
      </w:r>
      <w:r w:rsidR="00327966" w:rsidRPr="00966D98">
        <w:rPr>
          <w:rFonts w:ascii="Garamond" w:hAnsi="Garamond"/>
          <w:lang w:val="en-GB"/>
        </w:rPr>
        <w:t>existing</w:t>
      </w:r>
      <w:r w:rsidR="00907B96" w:rsidRPr="00966D98">
        <w:rPr>
          <w:rFonts w:ascii="Garamond" w:hAnsi="Garamond"/>
          <w:lang w:val="en-GB"/>
        </w:rPr>
        <w:t xml:space="preserve"> approach</w:t>
      </w:r>
      <w:r w:rsidR="0072186B" w:rsidRPr="00966D98">
        <w:rPr>
          <w:rFonts w:ascii="Garamond" w:hAnsi="Garamond"/>
          <w:lang w:val="en-GB"/>
        </w:rPr>
        <w:t>es</w:t>
      </w:r>
      <w:r w:rsidR="00907B96" w:rsidRPr="00966D98">
        <w:rPr>
          <w:rFonts w:ascii="Garamond" w:hAnsi="Garamond"/>
          <w:lang w:val="en-GB"/>
        </w:rPr>
        <w:t xml:space="preserve">, and considers what is </w:t>
      </w:r>
      <w:r w:rsidR="00327966" w:rsidRPr="00966D98">
        <w:rPr>
          <w:rFonts w:ascii="Garamond" w:hAnsi="Garamond"/>
          <w:lang w:val="en-GB"/>
        </w:rPr>
        <w:t xml:space="preserve">currently </w:t>
      </w:r>
      <w:r w:rsidR="00907B96" w:rsidRPr="00966D98">
        <w:rPr>
          <w:rFonts w:ascii="Garamond" w:hAnsi="Garamond"/>
          <w:lang w:val="en-GB"/>
        </w:rPr>
        <w:t>missing</w:t>
      </w:r>
      <w:r w:rsidR="00327966" w:rsidRPr="00966D98">
        <w:rPr>
          <w:rFonts w:ascii="Garamond" w:hAnsi="Garamond"/>
          <w:lang w:val="en-GB"/>
        </w:rPr>
        <w:t xml:space="preserve"> from the literature</w:t>
      </w:r>
      <w:r w:rsidR="00907B96" w:rsidRPr="00966D98">
        <w:rPr>
          <w:rFonts w:ascii="Garamond" w:hAnsi="Garamond"/>
          <w:lang w:val="en-GB"/>
        </w:rPr>
        <w:t xml:space="preserve">. </w:t>
      </w:r>
      <w:r w:rsidR="00193B95" w:rsidRPr="00966D98">
        <w:rPr>
          <w:rFonts w:ascii="Garamond" w:hAnsi="Garamond"/>
          <w:lang w:val="en-GB"/>
        </w:rPr>
        <w:t>The article</w:t>
      </w:r>
      <w:r w:rsidR="00907B96" w:rsidRPr="00966D98">
        <w:rPr>
          <w:rFonts w:ascii="Garamond" w:hAnsi="Garamond"/>
          <w:lang w:val="en-GB"/>
        </w:rPr>
        <w:t xml:space="preserve"> then offers a new conceptual framework for research impact, </w:t>
      </w:r>
      <w:r w:rsidR="00A31A0D" w:rsidRPr="00966D98">
        <w:rPr>
          <w:rFonts w:ascii="Garamond" w:hAnsi="Garamond"/>
          <w:lang w:val="en-GB"/>
        </w:rPr>
        <w:t>which</w:t>
      </w:r>
      <w:r w:rsidR="00907B96" w:rsidRPr="00966D98">
        <w:rPr>
          <w:rFonts w:ascii="Garamond" w:hAnsi="Garamond"/>
          <w:lang w:val="en-GB"/>
        </w:rPr>
        <w:t xml:space="preserve"> </w:t>
      </w:r>
      <w:r w:rsidR="00A31A0D" w:rsidRPr="00966D98">
        <w:rPr>
          <w:rFonts w:ascii="Garamond" w:hAnsi="Garamond"/>
          <w:lang w:val="en-GB"/>
        </w:rPr>
        <w:t>incorporates</w:t>
      </w:r>
      <w:r w:rsidR="00907B96" w:rsidRPr="00966D98">
        <w:rPr>
          <w:rFonts w:ascii="Garamond" w:hAnsi="Garamond"/>
          <w:lang w:val="en-GB"/>
        </w:rPr>
        <w:t xml:space="preserve"> </w:t>
      </w:r>
      <w:r w:rsidR="00446C39" w:rsidRPr="00966D98">
        <w:rPr>
          <w:rFonts w:ascii="Garamond" w:hAnsi="Garamond"/>
          <w:lang w:val="en-GB"/>
        </w:rPr>
        <w:t xml:space="preserve">multiple </w:t>
      </w:r>
      <w:r w:rsidR="00907B96" w:rsidRPr="00966D98">
        <w:rPr>
          <w:rFonts w:ascii="Garamond" w:hAnsi="Garamond"/>
          <w:lang w:val="en-GB"/>
        </w:rPr>
        <w:t xml:space="preserve">sites of external </w:t>
      </w:r>
      <w:r w:rsidR="004B6C44" w:rsidRPr="00966D98">
        <w:rPr>
          <w:rFonts w:ascii="Garamond" w:hAnsi="Garamond"/>
          <w:lang w:val="en-GB"/>
        </w:rPr>
        <w:t>capital</w:t>
      </w:r>
      <w:r w:rsidR="00907B96" w:rsidRPr="00966D98">
        <w:rPr>
          <w:rFonts w:ascii="Garamond" w:hAnsi="Garamond"/>
          <w:lang w:val="en-GB"/>
        </w:rPr>
        <w:t xml:space="preserve">. It outlines the </w:t>
      </w:r>
      <w:r w:rsidR="00EE11D0" w:rsidRPr="00966D98">
        <w:rPr>
          <w:rFonts w:ascii="Garamond" w:hAnsi="Garamond"/>
          <w:lang w:val="en-GB"/>
        </w:rPr>
        <w:t>affordances (i.e. forms of legitimacy</w:t>
      </w:r>
      <w:r w:rsidR="008E4B24" w:rsidRPr="00966D98">
        <w:rPr>
          <w:rFonts w:ascii="Garamond" w:hAnsi="Garamond"/>
          <w:lang w:val="en-GB"/>
        </w:rPr>
        <w:t>, prestige</w:t>
      </w:r>
      <w:r w:rsidR="00EE11D0" w:rsidRPr="00966D98">
        <w:rPr>
          <w:rFonts w:ascii="Garamond" w:hAnsi="Garamond"/>
          <w:lang w:val="en-GB"/>
        </w:rPr>
        <w:t xml:space="preserve"> and power)</w:t>
      </w:r>
      <w:r w:rsidR="00907B96" w:rsidRPr="00966D98">
        <w:rPr>
          <w:rFonts w:ascii="Garamond" w:hAnsi="Garamond"/>
          <w:lang w:val="en-GB"/>
        </w:rPr>
        <w:t xml:space="preserve"> that are provided by different fields, and argues that effective impact requires </w:t>
      </w:r>
      <w:r w:rsidR="004C740F" w:rsidRPr="00966D98">
        <w:rPr>
          <w:rFonts w:ascii="Garamond" w:hAnsi="Garamond"/>
          <w:lang w:val="en-GB"/>
        </w:rPr>
        <w:t xml:space="preserve">the </w:t>
      </w:r>
      <w:r w:rsidR="00907B96" w:rsidRPr="00966D98">
        <w:rPr>
          <w:rFonts w:ascii="Garamond" w:hAnsi="Garamond"/>
          <w:lang w:val="en-GB"/>
        </w:rPr>
        <w:t>combin</w:t>
      </w:r>
      <w:r w:rsidR="004C740F" w:rsidRPr="00966D98">
        <w:rPr>
          <w:rFonts w:ascii="Garamond" w:hAnsi="Garamond"/>
          <w:lang w:val="en-GB"/>
        </w:rPr>
        <w:t xml:space="preserve">ation of </w:t>
      </w:r>
      <w:r w:rsidR="00637C7F" w:rsidRPr="00966D98">
        <w:rPr>
          <w:rFonts w:ascii="Garamond" w:hAnsi="Garamond"/>
          <w:lang w:val="en-GB"/>
        </w:rPr>
        <w:t>symbolic re</w:t>
      </w:r>
      <w:r w:rsidR="00907B96" w:rsidRPr="00966D98">
        <w:rPr>
          <w:rFonts w:ascii="Garamond" w:hAnsi="Garamond"/>
          <w:lang w:val="en-GB"/>
        </w:rPr>
        <w:t xml:space="preserve">sources from </w:t>
      </w:r>
      <w:r w:rsidR="0025110F" w:rsidRPr="00966D98">
        <w:rPr>
          <w:rFonts w:ascii="Garamond" w:hAnsi="Garamond"/>
          <w:lang w:val="en-GB"/>
        </w:rPr>
        <w:t xml:space="preserve">these </w:t>
      </w:r>
      <w:r w:rsidR="00907B96" w:rsidRPr="00966D98">
        <w:rPr>
          <w:rFonts w:ascii="Garamond" w:hAnsi="Garamond"/>
          <w:lang w:val="en-GB"/>
        </w:rPr>
        <w:t xml:space="preserve">different spheres. It then discusses the </w:t>
      </w:r>
      <w:r w:rsidR="002277FB" w:rsidRPr="00966D98">
        <w:rPr>
          <w:rFonts w:ascii="Garamond" w:hAnsi="Garamond"/>
          <w:lang w:val="en-GB"/>
        </w:rPr>
        <w:t xml:space="preserve">steering </w:t>
      </w:r>
      <w:r w:rsidR="00907B96" w:rsidRPr="00966D98">
        <w:rPr>
          <w:rFonts w:ascii="Garamond" w:hAnsi="Garamond"/>
          <w:lang w:val="en-GB"/>
        </w:rPr>
        <w:t xml:space="preserve">effects of </w:t>
      </w:r>
      <w:r w:rsidR="004527DF" w:rsidRPr="00966D98">
        <w:rPr>
          <w:rFonts w:ascii="Garamond" w:hAnsi="Garamond"/>
          <w:lang w:val="en-GB"/>
        </w:rPr>
        <w:t>assessment</w:t>
      </w:r>
      <w:r w:rsidR="00B64E83" w:rsidRPr="00966D98">
        <w:rPr>
          <w:rFonts w:ascii="Garamond" w:hAnsi="Garamond"/>
          <w:lang w:val="en-GB"/>
        </w:rPr>
        <w:t xml:space="preserve"> </w:t>
      </w:r>
      <w:r w:rsidR="00792BD4" w:rsidRPr="00966D98">
        <w:rPr>
          <w:rFonts w:ascii="Garamond" w:hAnsi="Garamond"/>
          <w:lang w:val="en-GB"/>
        </w:rPr>
        <w:t>practices</w:t>
      </w:r>
      <w:r w:rsidR="004527DF" w:rsidRPr="00966D98">
        <w:rPr>
          <w:rFonts w:ascii="Garamond" w:hAnsi="Garamond"/>
          <w:lang w:val="en-GB"/>
        </w:rPr>
        <w:t xml:space="preserve"> during the research design, production and evaluation phases</w:t>
      </w:r>
      <w:r w:rsidR="00907B96" w:rsidRPr="00966D98">
        <w:rPr>
          <w:rFonts w:ascii="Garamond" w:hAnsi="Garamond"/>
          <w:lang w:val="en-GB"/>
        </w:rPr>
        <w:t xml:space="preserve">, and provides insights on </w:t>
      </w:r>
      <w:r w:rsidR="00BD0438" w:rsidRPr="00966D98">
        <w:rPr>
          <w:rFonts w:ascii="Garamond" w:hAnsi="Garamond"/>
          <w:lang w:val="en-GB"/>
        </w:rPr>
        <w:t>the implications of a</w:t>
      </w:r>
      <w:r w:rsidR="00907B96" w:rsidRPr="00966D98">
        <w:rPr>
          <w:rFonts w:ascii="Garamond" w:hAnsi="Garamond"/>
          <w:lang w:val="en-GB"/>
        </w:rPr>
        <w:t xml:space="preserve"> capital-based evaluation framework. In doing so, the article provides an approach that can illuminate the underlying judgments of worth and subtle forms of </w:t>
      </w:r>
      <w:r w:rsidR="00F61332" w:rsidRPr="00966D98">
        <w:rPr>
          <w:rFonts w:ascii="Garamond" w:hAnsi="Garamond"/>
          <w:lang w:val="en-GB"/>
        </w:rPr>
        <w:t>power</w:t>
      </w:r>
      <w:r w:rsidR="00907B96" w:rsidRPr="00966D98">
        <w:rPr>
          <w:rFonts w:ascii="Garamond" w:hAnsi="Garamond"/>
          <w:lang w:val="en-GB"/>
        </w:rPr>
        <w:t xml:space="preserve"> involved in the measurement of impact.</w:t>
      </w:r>
      <w:r w:rsidR="007450BD" w:rsidRPr="00966D98">
        <w:rPr>
          <w:rFonts w:ascii="Garamond" w:hAnsi="Garamond"/>
          <w:lang w:val="en-GB"/>
        </w:rPr>
        <w:t xml:space="preserve"> </w:t>
      </w:r>
      <w:r w:rsidR="00D93F9A" w:rsidRPr="00966D98">
        <w:rPr>
          <w:rFonts w:ascii="Garamond" w:hAnsi="Garamond"/>
          <w:lang w:val="en-GB"/>
        </w:rPr>
        <w:t>This</w:t>
      </w:r>
      <w:r w:rsidR="007450BD" w:rsidRPr="00966D98">
        <w:rPr>
          <w:rFonts w:ascii="Garamond" w:hAnsi="Garamond"/>
          <w:lang w:val="en-GB"/>
        </w:rPr>
        <w:t xml:space="preserve"> </w:t>
      </w:r>
      <w:r w:rsidR="007C2E0C" w:rsidRPr="00966D98">
        <w:rPr>
          <w:rFonts w:ascii="Garamond" w:hAnsi="Garamond"/>
          <w:bCs/>
          <w:lang w:val="en-GB"/>
        </w:rPr>
        <w:t>new way of understanding research impact and its assessment</w:t>
      </w:r>
      <w:r w:rsidR="00D93F9A" w:rsidRPr="00966D98">
        <w:rPr>
          <w:rFonts w:ascii="Garamond" w:hAnsi="Garamond"/>
          <w:lang w:val="en-GB"/>
        </w:rPr>
        <w:t xml:space="preserve"> </w:t>
      </w:r>
      <w:r w:rsidR="00DE2C58" w:rsidRPr="00966D98">
        <w:rPr>
          <w:rFonts w:ascii="Garamond" w:hAnsi="Garamond"/>
          <w:lang w:val="en-GB"/>
        </w:rPr>
        <w:t>permits researchers to be deliberate about the types of</w:t>
      </w:r>
      <w:r w:rsidR="00D93F9A" w:rsidRPr="00966D98">
        <w:rPr>
          <w:rFonts w:ascii="Garamond" w:hAnsi="Garamond"/>
          <w:lang w:val="en-GB"/>
        </w:rPr>
        <w:t xml:space="preserve"> </w:t>
      </w:r>
      <w:r w:rsidR="00DE2C58" w:rsidRPr="00966D98">
        <w:rPr>
          <w:rFonts w:ascii="Garamond" w:hAnsi="Garamond"/>
          <w:lang w:val="en-GB"/>
        </w:rPr>
        <w:t>power they want to cultivate</w:t>
      </w:r>
      <w:r w:rsidR="00D93F9A" w:rsidRPr="00966D98">
        <w:rPr>
          <w:rFonts w:ascii="Garamond" w:hAnsi="Garamond"/>
          <w:lang w:val="en-GB"/>
        </w:rPr>
        <w:t>,</w:t>
      </w:r>
      <w:r w:rsidR="00DE2C58" w:rsidRPr="00966D98">
        <w:rPr>
          <w:rFonts w:ascii="Garamond" w:hAnsi="Garamond"/>
          <w:lang w:val="en-GB"/>
        </w:rPr>
        <w:t xml:space="preserve"> and can also allow science policy makers to better specify what kinds of impacts they wish to stimulate in return for making </w:t>
      </w:r>
      <w:r w:rsidR="008269DC" w:rsidRPr="00966D98">
        <w:rPr>
          <w:rFonts w:ascii="Garamond" w:hAnsi="Garamond"/>
          <w:lang w:val="en-GB"/>
        </w:rPr>
        <w:t xml:space="preserve">available those forms of power to </w:t>
      </w:r>
      <w:r w:rsidR="00DE2C58" w:rsidRPr="00966D98">
        <w:rPr>
          <w:rFonts w:ascii="Garamond" w:hAnsi="Garamond"/>
          <w:lang w:val="en-GB"/>
        </w:rPr>
        <w:t>researchers</w:t>
      </w:r>
      <w:r w:rsidR="008269DC" w:rsidRPr="00966D98">
        <w:rPr>
          <w:rFonts w:ascii="Garamond" w:hAnsi="Garamond"/>
          <w:lang w:val="en-GB"/>
        </w:rPr>
        <w:t>.</w:t>
      </w:r>
    </w:p>
    <w:p w14:paraId="71A2B6EF" w14:textId="67941F71" w:rsidR="009A0712" w:rsidRPr="00966D98" w:rsidRDefault="00D0737B" w:rsidP="00DF48B8">
      <w:pPr>
        <w:spacing w:before="120" w:after="120" w:line="360" w:lineRule="auto"/>
        <w:jc w:val="both"/>
        <w:rPr>
          <w:rFonts w:ascii="Garamond" w:hAnsi="Garamond"/>
          <w:b/>
        </w:rPr>
      </w:pPr>
      <w:r w:rsidRPr="00966D98">
        <w:rPr>
          <w:rFonts w:ascii="Garamond" w:hAnsi="Garamond"/>
          <w:b/>
        </w:rPr>
        <w:t>The i</w:t>
      </w:r>
      <w:r w:rsidR="004F678B" w:rsidRPr="00966D98">
        <w:rPr>
          <w:rFonts w:ascii="Garamond" w:hAnsi="Garamond"/>
          <w:b/>
        </w:rPr>
        <w:t>nherent pragmatism in</w:t>
      </w:r>
      <w:r w:rsidR="00B308A3" w:rsidRPr="00966D98">
        <w:rPr>
          <w:rFonts w:ascii="Garamond" w:hAnsi="Garamond"/>
          <w:b/>
        </w:rPr>
        <w:t xml:space="preserve"> </w:t>
      </w:r>
      <w:r w:rsidR="00161A56" w:rsidRPr="00966D98">
        <w:rPr>
          <w:rFonts w:ascii="Garamond" w:hAnsi="Garamond"/>
          <w:b/>
        </w:rPr>
        <w:t xml:space="preserve">the </w:t>
      </w:r>
      <w:r w:rsidR="00B308A3" w:rsidRPr="00966D98">
        <w:rPr>
          <w:rFonts w:ascii="Garamond" w:hAnsi="Garamond"/>
          <w:b/>
        </w:rPr>
        <w:t>evaluation of</w:t>
      </w:r>
      <w:r w:rsidR="004F678B" w:rsidRPr="00966D98">
        <w:rPr>
          <w:rFonts w:ascii="Garamond" w:hAnsi="Garamond"/>
          <w:b/>
        </w:rPr>
        <w:t xml:space="preserve"> research impact </w:t>
      </w:r>
    </w:p>
    <w:p w14:paraId="46433690" w14:textId="06137D0D" w:rsidR="00B07EF4" w:rsidRPr="00966D98" w:rsidRDefault="0039689D" w:rsidP="00DF48B8">
      <w:pPr>
        <w:pStyle w:val="Body"/>
        <w:spacing w:before="120" w:after="120" w:line="360" w:lineRule="auto"/>
        <w:ind w:firstLine="284"/>
        <w:jc w:val="both"/>
        <w:outlineLvl w:val="0"/>
        <w:rPr>
          <w:rFonts w:ascii="Garamond" w:hAnsi="Garamond"/>
          <w:lang w:val="en-GB"/>
        </w:rPr>
      </w:pPr>
      <w:r w:rsidRPr="00966D98">
        <w:rPr>
          <w:rFonts w:ascii="Garamond" w:hAnsi="Garamond"/>
          <w:lang w:val="en-GB"/>
        </w:rPr>
        <w:t xml:space="preserve">Research evaluation provides systematic </w:t>
      </w:r>
      <w:r w:rsidR="00755699" w:rsidRPr="00966D98">
        <w:rPr>
          <w:rFonts w:ascii="Garamond" w:hAnsi="Garamond"/>
          <w:lang w:val="en-GB"/>
        </w:rPr>
        <w:t>ways</w:t>
      </w:r>
      <w:r w:rsidRPr="00966D98">
        <w:rPr>
          <w:rFonts w:ascii="Garamond" w:hAnsi="Garamond"/>
          <w:lang w:val="en-GB"/>
        </w:rPr>
        <w:t xml:space="preserve"> to help </w:t>
      </w:r>
      <w:r w:rsidR="00BB668B" w:rsidRPr="00966D98">
        <w:rPr>
          <w:rFonts w:ascii="Garamond" w:hAnsi="Garamond"/>
          <w:lang w:val="en-GB"/>
        </w:rPr>
        <w:t xml:space="preserve">research </w:t>
      </w:r>
      <w:r w:rsidRPr="00966D98">
        <w:rPr>
          <w:rFonts w:ascii="Garamond" w:hAnsi="Garamond"/>
          <w:lang w:val="en-GB"/>
        </w:rPr>
        <w:t xml:space="preserve">organisations and systems make more informed choices about what they produce, how they produce it, and with what impact. </w:t>
      </w:r>
      <w:r w:rsidR="00D67F0E" w:rsidRPr="00966D98">
        <w:rPr>
          <w:rFonts w:ascii="Garamond" w:hAnsi="Garamond"/>
          <w:lang w:val="en-GB"/>
        </w:rPr>
        <w:t xml:space="preserve">There is increasing </w:t>
      </w:r>
      <w:r w:rsidR="005F04DA" w:rsidRPr="00966D98">
        <w:rPr>
          <w:rFonts w:ascii="Garamond" w:hAnsi="Garamond"/>
          <w:lang w:val="en-GB"/>
        </w:rPr>
        <w:t>acknowledgement</w:t>
      </w:r>
      <w:r w:rsidR="00D67F0E" w:rsidRPr="00966D98">
        <w:rPr>
          <w:rFonts w:ascii="Garamond" w:hAnsi="Garamond"/>
          <w:lang w:val="en-GB"/>
        </w:rPr>
        <w:t xml:space="preserve"> that greater investment </w:t>
      </w:r>
      <w:r w:rsidR="00AC337F" w:rsidRPr="00966D98">
        <w:rPr>
          <w:rFonts w:ascii="Garamond" w:hAnsi="Garamond"/>
          <w:lang w:val="en-GB"/>
        </w:rPr>
        <w:t xml:space="preserve">in </w:t>
      </w:r>
      <w:r w:rsidR="00D67F0E" w:rsidRPr="00966D98">
        <w:rPr>
          <w:rFonts w:ascii="Garamond" w:hAnsi="Garamond"/>
          <w:lang w:val="en-GB"/>
        </w:rPr>
        <w:t>research should lead to enhancements in policy, practice</w:t>
      </w:r>
      <w:r w:rsidR="00165CEA" w:rsidRPr="00966D98">
        <w:rPr>
          <w:rFonts w:ascii="Garamond" w:hAnsi="Garamond"/>
          <w:lang w:val="en-GB"/>
        </w:rPr>
        <w:t xml:space="preserve"> </w:t>
      </w:r>
      <w:r w:rsidR="00D67F0E" w:rsidRPr="00966D98">
        <w:rPr>
          <w:rFonts w:ascii="Garamond" w:hAnsi="Garamond"/>
          <w:lang w:val="en-GB"/>
        </w:rPr>
        <w:t xml:space="preserve">and the benefit of the community. </w:t>
      </w:r>
      <w:r w:rsidR="0087177E" w:rsidRPr="00966D98">
        <w:rPr>
          <w:rFonts w:ascii="Garamond" w:hAnsi="Garamond"/>
          <w:lang w:val="en-GB"/>
        </w:rPr>
        <w:t>Until recently, the value of research was assessed by measuring inputs (i.e. human, physical and financial capital). However, there has been a policy shift towards measuring outcomes as part of broader accountability processes (</w:t>
      </w:r>
      <w:proofErr w:type="spellStart"/>
      <w:r w:rsidR="0087177E" w:rsidRPr="00966D98">
        <w:rPr>
          <w:rFonts w:ascii="Garamond" w:hAnsi="Garamond"/>
          <w:lang w:val="en-GB"/>
        </w:rPr>
        <w:t>Keevers</w:t>
      </w:r>
      <w:proofErr w:type="spellEnd"/>
      <w:r w:rsidR="0087177E" w:rsidRPr="00966D98">
        <w:rPr>
          <w:rFonts w:ascii="Garamond" w:hAnsi="Garamond"/>
          <w:lang w:val="en-GB"/>
        </w:rPr>
        <w:t xml:space="preserve"> et al.</w:t>
      </w:r>
      <w:r w:rsidR="00D42729" w:rsidRPr="00966D98">
        <w:rPr>
          <w:rFonts w:ascii="Garamond" w:hAnsi="Garamond"/>
          <w:lang w:val="en-GB"/>
        </w:rPr>
        <w:t xml:space="preserve"> 2</w:t>
      </w:r>
      <w:r w:rsidR="0087177E" w:rsidRPr="00966D98">
        <w:rPr>
          <w:rFonts w:ascii="Garamond" w:hAnsi="Garamond"/>
          <w:lang w:val="en-GB"/>
        </w:rPr>
        <w:t>012), which some have characterised as a key manifestation of the ‘audit society’ (</w:t>
      </w:r>
      <w:proofErr w:type="spellStart"/>
      <w:r w:rsidR="0087177E" w:rsidRPr="00966D98">
        <w:rPr>
          <w:rFonts w:ascii="Garamond" w:hAnsi="Garamond"/>
          <w:lang w:val="en-GB"/>
        </w:rPr>
        <w:t>Strathern</w:t>
      </w:r>
      <w:proofErr w:type="spellEnd"/>
      <w:r w:rsidR="00D42729" w:rsidRPr="00966D98">
        <w:rPr>
          <w:rFonts w:ascii="Garamond" w:hAnsi="Garamond"/>
          <w:lang w:val="en-GB"/>
        </w:rPr>
        <w:t xml:space="preserve"> 2</w:t>
      </w:r>
      <w:r w:rsidR="0087177E" w:rsidRPr="00966D98">
        <w:rPr>
          <w:rFonts w:ascii="Garamond" w:hAnsi="Garamond"/>
          <w:lang w:val="en-GB"/>
        </w:rPr>
        <w:t xml:space="preserve">000; </w:t>
      </w:r>
      <w:proofErr w:type="spellStart"/>
      <w:r w:rsidR="0087177E" w:rsidRPr="00966D98">
        <w:rPr>
          <w:rFonts w:ascii="Garamond" w:hAnsi="Garamond"/>
          <w:lang w:val="en-GB"/>
        </w:rPr>
        <w:t>Dahler</w:t>
      </w:r>
      <w:proofErr w:type="spellEnd"/>
      <w:r w:rsidR="0087177E" w:rsidRPr="00966D98">
        <w:rPr>
          <w:rFonts w:ascii="Garamond" w:hAnsi="Garamond"/>
          <w:lang w:val="en-GB"/>
        </w:rPr>
        <w:t>-Larsen</w:t>
      </w:r>
      <w:r w:rsidR="00D42729" w:rsidRPr="00966D98">
        <w:rPr>
          <w:rFonts w:ascii="Garamond" w:hAnsi="Garamond"/>
          <w:lang w:val="en-GB"/>
        </w:rPr>
        <w:t xml:space="preserve"> 2</w:t>
      </w:r>
      <w:r w:rsidR="0087177E" w:rsidRPr="00966D98">
        <w:rPr>
          <w:rFonts w:ascii="Garamond" w:hAnsi="Garamond"/>
          <w:lang w:val="en-GB"/>
        </w:rPr>
        <w:t xml:space="preserve">007). </w:t>
      </w:r>
      <w:r w:rsidR="003311AF" w:rsidRPr="00966D98">
        <w:rPr>
          <w:rFonts w:ascii="Garamond" w:hAnsi="Garamond"/>
          <w:lang w:val="en-GB"/>
        </w:rPr>
        <w:t xml:space="preserve">Contemporary research policies now frequently mandate demonstration of </w:t>
      </w:r>
      <w:r w:rsidR="004C5F88" w:rsidRPr="00966D98">
        <w:rPr>
          <w:rFonts w:ascii="Garamond" w:hAnsi="Garamond"/>
          <w:lang w:val="en-GB"/>
        </w:rPr>
        <w:t>‘</w:t>
      </w:r>
      <w:r w:rsidR="003311AF" w:rsidRPr="00966D98">
        <w:rPr>
          <w:rFonts w:ascii="Garamond" w:hAnsi="Garamond"/>
          <w:lang w:val="en-GB"/>
        </w:rPr>
        <w:t>the value that public investment in research generates for increasing scientific competitiveness and excellence of the country, wealth creation, productivity, and social well-being</w:t>
      </w:r>
      <w:r w:rsidR="004C5F88" w:rsidRPr="00966D98">
        <w:rPr>
          <w:rFonts w:ascii="Garamond" w:hAnsi="Garamond"/>
          <w:lang w:val="en-GB"/>
        </w:rPr>
        <w:t>’</w:t>
      </w:r>
      <w:r w:rsidR="003311AF" w:rsidRPr="00966D98">
        <w:rPr>
          <w:rFonts w:ascii="Garamond" w:hAnsi="Garamond"/>
          <w:lang w:val="en-GB"/>
        </w:rPr>
        <w:t xml:space="preserve"> (</w:t>
      </w:r>
      <w:proofErr w:type="spellStart"/>
      <w:r w:rsidR="003311AF" w:rsidRPr="00966D98">
        <w:rPr>
          <w:rFonts w:ascii="Garamond" w:hAnsi="Garamond"/>
          <w:lang w:val="en-GB"/>
        </w:rPr>
        <w:t>Reale</w:t>
      </w:r>
      <w:proofErr w:type="spellEnd"/>
      <w:r w:rsidR="003311AF" w:rsidRPr="00966D98">
        <w:rPr>
          <w:rFonts w:ascii="Garamond" w:hAnsi="Garamond"/>
          <w:lang w:val="en-GB"/>
        </w:rPr>
        <w:t xml:space="preserve"> et al.</w:t>
      </w:r>
      <w:r w:rsidR="00D42729" w:rsidRPr="00966D98">
        <w:rPr>
          <w:rFonts w:ascii="Garamond" w:hAnsi="Garamond"/>
          <w:lang w:val="en-GB"/>
        </w:rPr>
        <w:t xml:space="preserve"> 2</w:t>
      </w:r>
      <w:r w:rsidR="003311AF" w:rsidRPr="00966D98">
        <w:rPr>
          <w:rFonts w:ascii="Garamond" w:hAnsi="Garamond"/>
          <w:lang w:val="en-GB"/>
        </w:rPr>
        <w:t>017).</w:t>
      </w:r>
      <w:r w:rsidR="00D70EDC" w:rsidRPr="00966D98">
        <w:rPr>
          <w:rFonts w:ascii="Garamond" w:hAnsi="Garamond"/>
          <w:lang w:val="en-GB"/>
        </w:rPr>
        <w:t xml:space="preserve"> </w:t>
      </w:r>
      <w:r w:rsidR="00EE55C9" w:rsidRPr="00966D98">
        <w:rPr>
          <w:rFonts w:ascii="Garamond" w:hAnsi="Garamond"/>
          <w:color w:val="000000" w:themeColor="text1"/>
          <w:lang w:val="en-GB"/>
        </w:rPr>
        <w:t xml:space="preserve">It is clear that </w:t>
      </w:r>
      <w:r w:rsidR="00EE55C9" w:rsidRPr="00966D98">
        <w:rPr>
          <w:rFonts w:ascii="Garamond" w:hAnsi="Garamond"/>
          <w:lang w:val="en-GB"/>
        </w:rPr>
        <w:t>the purpose of research evaluation systems is to incentivise research processes and outcomes that benefit society.</w:t>
      </w:r>
      <w:r w:rsidR="00F639B5" w:rsidRPr="00966D98">
        <w:rPr>
          <w:rFonts w:ascii="Garamond" w:hAnsi="Garamond"/>
          <w:lang w:val="en-GB"/>
        </w:rPr>
        <w:t xml:space="preserve"> Thus,</w:t>
      </w:r>
      <w:r w:rsidR="00F639B5" w:rsidRPr="00966D98">
        <w:rPr>
          <w:rFonts w:ascii="Garamond" w:hAnsi="Garamond"/>
          <w:color w:val="000000" w:themeColor="text1"/>
          <w:lang w:val="en-GB"/>
        </w:rPr>
        <w:t xml:space="preserve"> impact is an increasingly important issue</w:t>
      </w:r>
      <w:r w:rsidR="005D016B" w:rsidRPr="00966D98">
        <w:rPr>
          <w:rFonts w:ascii="Garamond" w:hAnsi="Garamond"/>
          <w:color w:val="000000" w:themeColor="text1"/>
          <w:lang w:val="en-GB"/>
        </w:rPr>
        <w:t xml:space="preserve"> for policymakers</w:t>
      </w:r>
      <w:r w:rsidR="00F639B5" w:rsidRPr="00966D98">
        <w:rPr>
          <w:rFonts w:ascii="Garamond" w:hAnsi="Garamond"/>
          <w:color w:val="000000" w:themeColor="text1"/>
          <w:lang w:val="en-GB"/>
        </w:rPr>
        <w:t xml:space="preserve">. </w:t>
      </w:r>
      <w:r w:rsidR="00CC40A7" w:rsidRPr="00966D98">
        <w:rPr>
          <w:rFonts w:ascii="Garamond" w:hAnsi="Garamond"/>
          <w:color w:val="000000" w:themeColor="text1"/>
          <w:lang w:val="en-GB"/>
        </w:rPr>
        <w:t>Indeed, s</w:t>
      </w:r>
      <w:r w:rsidR="00DE0A09" w:rsidRPr="00966D98">
        <w:rPr>
          <w:rFonts w:ascii="Garamond" w:hAnsi="Garamond"/>
          <w:color w:val="000000" w:themeColor="text1"/>
          <w:lang w:val="en-GB"/>
        </w:rPr>
        <w:t xml:space="preserve">o </w:t>
      </w:r>
      <w:r w:rsidR="00B45635" w:rsidRPr="00966D98">
        <w:rPr>
          <w:rFonts w:ascii="Garamond" w:hAnsi="Garamond"/>
          <w:color w:val="000000" w:themeColor="text1"/>
          <w:lang w:val="en-GB"/>
        </w:rPr>
        <w:t>pronounced is the political pressure around impact</w:t>
      </w:r>
      <w:r w:rsidR="00DE0A09" w:rsidRPr="00966D98">
        <w:rPr>
          <w:rFonts w:ascii="Garamond" w:hAnsi="Garamond"/>
          <w:color w:val="000000" w:themeColor="text1"/>
          <w:lang w:val="en-GB"/>
        </w:rPr>
        <w:t xml:space="preserve"> </w:t>
      </w:r>
      <w:r w:rsidR="00B45635" w:rsidRPr="00966D98">
        <w:rPr>
          <w:rFonts w:ascii="Garamond" w:hAnsi="Garamond"/>
          <w:color w:val="000000" w:themeColor="text1"/>
          <w:lang w:val="en-GB"/>
        </w:rPr>
        <w:t xml:space="preserve">that </w:t>
      </w:r>
      <w:r w:rsidR="00F639B5" w:rsidRPr="00966D98">
        <w:rPr>
          <w:rFonts w:ascii="Garamond" w:hAnsi="Garamond"/>
          <w:color w:val="000000" w:themeColor="text1"/>
          <w:lang w:val="en-GB"/>
        </w:rPr>
        <w:t>science policy studies</w:t>
      </w:r>
      <w:r w:rsidR="00197A12" w:rsidRPr="00966D98">
        <w:rPr>
          <w:rFonts w:ascii="Garamond" w:hAnsi="Garamond"/>
          <w:color w:val="000000" w:themeColor="text1"/>
          <w:lang w:val="en-GB"/>
        </w:rPr>
        <w:t xml:space="preserve"> have often been urgent and reactive responses to policy interventions</w:t>
      </w:r>
      <w:r w:rsidR="00F639B5" w:rsidRPr="00966D98">
        <w:rPr>
          <w:rFonts w:ascii="Garamond" w:hAnsi="Garamond"/>
          <w:color w:val="000000" w:themeColor="text1"/>
          <w:lang w:val="en-GB"/>
        </w:rPr>
        <w:t xml:space="preserve">, </w:t>
      </w:r>
      <w:r w:rsidR="00F639B5" w:rsidRPr="00966D98">
        <w:rPr>
          <w:rFonts w:ascii="Garamond" w:hAnsi="Garamond"/>
          <w:color w:val="000000" w:themeColor="text1"/>
          <w:lang w:val="en-GB"/>
        </w:rPr>
        <w:lastRenderedPageBreak/>
        <w:t>resulting in a situation where policy has outpaced theory (</w:t>
      </w:r>
      <w:proofErr w:type="spellStart"/>
      <w:r w:rsidR="00F639B5" w:rsidRPr="00966D98">
        <w:rPr>
          <w:rFonts w:ascii="Garamond" w:hAnsi="Garamond"/>
          <w:lang w:val="en-GB"/>
        </w:rPr>
        <w:t>Muhonen</w:t>
      </w:r>
      <w:proofErr w:type="spellEnd"/>
      <w:r w:rsidR="00F639B5" w:rsidRPr="00966D98">
        <w:rPr>
          <w:rFonts w:ascii="Garamond" w:hAnsi="Garamond"/>
          <w:lang w:val="en-GB"/>
        </w:rPr>
        <w:t xml:space="preserve">, </w:t>
      </w:r>
      <w:proofErr w:type="spellStart"/>
      <w:r w:rsidR="00F639B5" w:rsidRPr="00966D98">
        <w:rPr>
          <w:rFonts w:ascii="Garamond" w:hAnsi="Garamond"/>
          <w:lang w:val="en-GB"/>
        </w:rPr>
        <w:t>Benneworth</w:t>
      </w:r>
      <w:proofErr w:type="spellEnd"/>
      <w:r w:rsidR="00F639B5" w:rsidRPr="00966D98">
        <w:rPr>
          <w:rFonts w:ascii="Garamond" w:hAnsi="Garamond"/>
          <w:lang w:val="en-GB"/>
        </w:rPr>
        <w:t xml:space="preserve"> &amp; Olmos-</w:t>
      </w:r>
      <w:proofErr w:type="spellStart"/>
      <w:r w:rsidR="00F639B5" w:rsidRPr="00966D98">
        <w:rPr>
          <w:rFonts w:ascii="Garamond" w:hAnsi="Garamond"/>
          <w:lang w:val="en-GB"/>
        </w:rPr>
        <w:t>Peñuela</w:t>
      </w:r>
      <w:proofErr w:type="spellEnd"/>
      <w:r w:rsidR="00D42729" w:rsidRPr="00966D98">
        <w:rPr>
          <w:rFonts w:ascii="Garamond" w:hAnsi="Garamond"/>
          <w:lang w:val="en-GB"/>
        </w:rPr>
        <w:t xml:space="preserve"> 2</w:t>
      </w:r>
      <w:r w:rsidR="00F639B5" w:rsidRPr="00966D98">
        <w:rPr>
          <w:rFonts w:ascii="Garamond" w:hAnsi="Garamond"/>
          <w:lang w:val="en-GB"/>
        </w:rPr>
        <w:t>019)</w:t>
      </w:r>
      <w:r w:rsidR="00F639B5" w:rsidRPr="00966D98">
        <w:rPr>
          <w:rFonts w:ascii="Garamond" w:hAnsi="Garamond"/>
          <w:color w:val="000000" w:themeColor="text1"/>
          <w:lang w:val="en-GB"/>
        </w:rPr>
        <w:t>.</w:t>
      </w:r>
    </w:p>
    <w:p w14:paraId="30453A38" w14:textId="13F35340" w:rsidR="00B07EF4" w:rsidRPr="00966D98" w:rsidRDefault="00F17BFE" w:rsidP="00FD09BF">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Globally, t</w:t>
      </w:r>
      <w:r w:rsidR="009937FC" w:rsidRPr="00966D98">
        <w:rPr>
          <w:rFonts w:ascii="Garamond" w:hAnsi="Garamond"/>
          <w:color w:val="000000" w:themeColor="text1"/>
          <w:lang w:val="en-GB"/>
        </w:rPr>
        <w:t>here ha</w:t>
      </w:r>
      <w:r w:rsidRPr="00966D98">
        <w:rPr>
          <w:rFonts w:ascii="Garamond" w:hAnsi="Garamond"/>
          <w:color w:val="000000" w:themeColor="text1"/>
          <w:lang w:val="en-GB"/>
        </w:rPr>
        <w:t>ve</w:t>
      </w:r>
      <w:r w:rsidR="009937FC" w:rsidRPr="00966D98">
        <w:rPr>
          <w:rFonts w:ascii="Garamond" w:hAnsi="Garamond"/>
          <w:color w:val="000000" w:themeColor="text1"/>
          <w:lang w:val="en-GB"/>
        </w:rPr>
        <w:t xml:space="preserve"> been growing policy imperatives around impact since the early 2000s. Momentum was gained with </w:t>
      </w:r>
      <w:r w:rsidR="002A056C" w:rsidRPr="00966D98">
        <w:rPr>
          <w:rFonts w:ascii="Garamond" w:hAnsi="Garamond"/>
          <w:color w:val="000000" w:themeColor="text1"/>
          <w:lang w:val="en-GB"/>
        </w:rPr>
        <w:t>the Australian Prime Minister’s launch of a strategy that included the wider benefits of research in 2001</w:t>
      </w:r>
      <w:r w:rsidR="00CB5365" w:rsidRPr="00966D98">
        <w:rPr>
          <w:rFonts w:ascii="Garamond" w:hAnsi="Garamond"/>
          <w:color w:val="000000" w:themeColor="text1"/>
          <w:lang w:val="en-GB"/>
        </w:rPr>
        <w:t xml:space="preserve"> (</w:t>
      </w:r>
      <w:r w:rsidR="00BF2218" w:rsidRPr="00966D98">
        <w:rPr>
          <w:rFonts w:ascii="Garamond" w:hAnsi="Garamond"/>
          <w:lang w:val="en-GB"/>
        </w:rPr>
        <w:t>Commonwealth of Australia</w:t>
      </w:r>
      <w:r w:rsidR="00D42729" w:rsidRPr="00966D98">
        <w:rPr>
          <w:rFonts w:ascii="Garamond" w:hAnsi="Garamond"/>
          <w:lang w:val="en-GB"/>
        </w:rPr>
        <w:t xml:space="preserve"> 2</w:t>
      </w:r>
      <w:r w:rsidR="00BF2218" w:rsidRPr="00966D98">
        <w:rPr>
          <w:rFonts w:ascii="Garamond" w:hAnsi="Garamond"/>
          <w:lang w:val="en-GB"/>
        </w:rPr>
        <w:t>001</w:t>
      </w:r>
      <w:r w:rsidR="00CB5365" w:rsidRPr="00966D98">
        <w:rPr>
          <w:rFonts w:ascii="Garamond" w:hAnsi="Garamond"/>
          <w:color w:val="000000" w:themeColor="text1"/>
          <w:lang w:val="en-GB"/>
        </w:rPr>
        <w:t>)</w:t>
      </w:r>
      <w:r w:rsidR="002A056C" w:rsidRPr="00966D98">
        <w:rPr>
          <w:rFonts w:ascii="Garamond" w:hAnsi="Garamond"/>
          <w:color w:val="000000" w:themeColor="text1"/>
          <w:lang w:val="en-GB"/>
        </w:rPr>
        <w:t xml:space="preserve">, the introduction </w:t>
      </w:r>
      <w:r w:rsidR="004E39B4" w:rsidRPr="00966D98">
        <w:rPr>
          <w:rFonts w:ascii="Garamond" w:hAnsi="Garamond"/>
          <w:color w:val="000000" w:themeColor="text1"/>
          <w:lang w:val="en-GB"/>
        </w:rPr>
        <w:t xml:space="preserve">of impact </w:t>
      </w:r>
      <w:r w:rsidR="002A056C" w:rsidRPr="00966D98">
        <w:rPr>
          <w:rFonts w:ascii="Garamond" w:hAnsi="Garamond"/>
          <w:color w:val="000000" w:themeColor="text1"/>
          <w:lang w:val="en-GB"/>
        </w:rPr>
        <w:t>into the 200</w:t>
      </w:r>
      <w:r w:rsidR="00D9532F" w:rsidRPr="00966D98">
        <w:rPr>
          <w:rFonts w:ascii="Garamond" w:hAnsi="Garamond"/>
          <w:color w:val="000000" w:themeColor="text1"/>
          <w:lang w:val="en-GB"/>
        </w:rPr>
        <w:t xml:space="preserve">3 </w:t>
      </w:r>
      <w:r w:rsidR="002A056C" w:rsidRPr="00966D98">
        <w:rPr>
          <w:rFonts w:ascii="Garamond" w:hAnsi="Garamond"/>
          <w:color w:val="000000" w:themeColor="text1"/>
          <w:lang w:val="en-GB"/>
        </w:rPr>
        <w:t>Standard Evaluation Protocol in the Netherlands</w:t>
      </w:r>
      <w:r w:rsidR="00CB5365" w:rsidRPr="00966D98">
        <w:rPr>
          <w:rFonts w:ascii="Garamond" w:hAnsi="Garamond"/>
          <w:color w:val="000000" w:themeColor="text1"/>
          <w:lang w:val="en-GB"/>
        </w:rPr>
        <w:t xml:space="preserve"> </w:t>
      </w:r>
      <w:r w:rsidR="00DA242D" w:rsidRPr="00966D98">
        <w:rPr>
          <w:rFonts w:ascii="Garamond" w:hAnsi="Garamond"/>
          <w:color w:val="000000" w:themeColor="text1"/>
          <w:lang w:val="en-GB"/>
        </w:rPr>
        <w:t>(</w:t>
      </w:r>
      <w:r w:rsidR="00DA242D" w:rsidRPr="00966D98">
        <w:rPr>
          <w:rFonts w:ascii="Garamond" w:hAnsi="Garamond"/>
          <w:lang w:val="en-GB"/>
        </w:rPr>
        <w:t>VSNU, NWO and KNAW</w:t>
      </w:r>
      <w:r w:rsidR="00D42729" w:rsidRPr="00966D98">
        <w:rPr>
          <w:rFonts w:ascii="Garamond" w:hAnsi="Garamond"/>
          <w:lang w:val="en-GB"/>
        </w:rPr>
        <w:t xml:space="preserve"> 2</w:t>
      </w:r>
      <w:r w:rsidR="00DA242D" w:rsidRPr="00966D98">
        <w:rPr>
          <w:rFonts w:ascii="Garamond" w:hAnsi="Garamond"/>
          <w:lang w:val="en-GB"/>
        </w:rPr>
        <w:t>003)</w:t>
      </w:r>
      <w:r w:rsidR="003F73E7" w:rsidRPr="00966D98">
        <w:rPr>
          <w:rFonts w:ascii="Garamond" w:hAnsi="Garamond"/>
          <w:lang w:val="en-GB"/>
        </w:rPr>
        <w:t xml:space="preserve">, and </w:t>
      </w:r>
      <w:r w:rsidR="003F73E7" w:rsidRPr="00966D98">
        <w:rPr>
          <w:rFonts w:ascii="Garamond" w:hAnsi="Garamond"/>
          <w:color w:val="000000" w:themeColor="text1"/>
          <w:lang w:val="en-GB"/>
        </w:rPr>
        <w:t xml:space="preserve">the 2005 </w:t>
      </w:r>
      <w:r w:rsidR="00CE1080" w:rsidRPr="00966D98">
        <w:rPr>
          <w:rFonts w:ascii="Garamond" w:hAnsi="Garamond"/>
          <w:color w:val="000000" w:themeColor="text1"/>
          <w:lang w:val="en-GB"/>
        </w:rPr>
        <w:t>Memorandum from Research Councils UK outlining</w:t>
      </w:r>
      <w:r w:rsidR="00F60625" w:rsidRPr="00966D98">
        <w:rPr>
          <w:rFonts w:ascii="Garamond" w:hAnsi="Garamond"/>
          <w:color w:val="000000" w:themeColor="text1"/>
          <w:lang w:val="en-GB"/>
        </w:rPr>
        <w:t xml:space="preserve"> impact</w:t>
      </w:r>
      <w:r w:rsidR="00CE1080" w:rsidRPr="00966D98">
        <w:rPr>
          <w:rFonts w:ascii="Garamond" w:hAnsi="Garamond"/>
          <w:color w:val="000000" w:themeColor="text1"/>
          <w:lang w:val="en-GB"/>
        </w:rPr>
        <w:t xml:space="preserve"> requirements </w:t>
      </w:r>
      <w:r w:rsidR="003F73E7" w:rsidRPr="00966D98">
        <w:rPr>
          <w:rFonts w:ascii="Garamond" w:hAnsi="Garamond"/>
          <w:color w:val="000000" w:themeColor="text1"/>
          <w:lang w:val="en-GB"/>
        </w:rPr>
        <w:t>(</w:t>
      </w:r>
      <w:r w:rsidR="00A04E89" w:rsidRPr="00966D98">
        <w:rPr>
          <w:rFonts w:ascii="Garamond" w:hAnsi="Garamond"/>
          <w:color w:val="000000" w:themeColor="text1"/>
          <w:lang w:val="en-GB"/>
        </w:rPr>
        <w:t xml:space="preserve">UK </w:t>
      </w:r>
      <w:r w:rsidR="00CE1080" w:rsidRPr="00966D98">
        <w:rPr>
          <w:rFonts w:ascii="Garamond" w:hAnsi="Garamond"/>
          <w:color w:val="000000" w:themeColor="text1"/>
          <w:lang w:val="en-GB"/>
        </w:rPr>
        <w:t>House of Commons 2005</w:t>
      </w:r>
      <w:r w:rsidR="003F73E7" w:rsidRPr="00966D98">
        <w:rPr>
          <w:rFonts w:ascii="Garamond" w:hAnsi="Garamond"/>
          <w:color w:val="000000" w:themeColor="text1"/>
          <w:lang w:val="en-GB"/>
        </w:rPr>
        <w:t xml:space="preserve">). </w:t>
      </w:r>
      <w:r w:rsidR="002A056C" w:rsidRPr="00966D98">
        <w:rPr>
          <w:rFonts w:ascii="Garamond" w:hAnsi="Garamond"/>
          <w:color w:val="000000" w:themeColor="text1"/>
          <w:lang w:val="en-GB"/>
        </w:rPr>
        <w:t>From th</w:t>
      </w:r>
      <w:r w:rsidR="00CB5365" w:rsidRPr="00966D98">
        <w:rPr>
          <w:rFonts w:ascii="Garamond" w:hAnsi="Garamond"/>
          <w:color w:val="000000" w:themeColor="text1"/>
          <w:lang w:val="en-GB"/>
        </w:rPr>
        <w:t>is</w:t>
      </w:r>
      <w:r w:rsidR="002A056C" w:rsidRPr="00966D98">
        <w:rPr>
          <w:rFonts w:ascii="Garamond" w:hAnsi="Garamond"/>
          <w:color w:val="000000" w:themeColor="text1"/>
          <w:lang w:val="en-GB"/>
        </w:rPr>
        <w:t xml:space="preserve"> initial </w:t>
      </w:r>
      <w:r w:rsidR="00CB5365" w:rsidRPr="00966D98">
        <w:rPr>
          <w:rFonts w:ascii="Garamond" w:hAnsi="Garamond"/>
          <w:color w:val="000000" w:themeColor="text1"/>
          <w:lang w:val="en-GB"/>
        </w:rPr>
        <w:t>impetus</w:t>
      </w:r>
      <w:r w:rsidR="002A056C" w:rsidRPr="00966D98">
        <w:rPr>
          <w:rFonts w:ascii="Garamond" w:hAnsi="Garamond"/>
          <w:color w:val="000000" w:themeColor="text1"/>
          <w:lang w:val="en-GB"/>
        </w:rPr>
        <w:t xml:space="preserve">, </w:t>
      </w:r>
      <w:r w:rsidR="004D2F70" w:rsidRPr="00966D98">
        <w:rPr>
          <w:rFonts w:ascii="Garamond" w:hAnsi="Garamond"/>
          <w:color w:val="000000" w:themeColor="text1"/>
          <w:lang w:val="en-GB"/>
        </w:rPr>
        <w:t>o</w:t>
      </w:r>
      <w:r w:rsidR="00B07EF4" w:rsidRPr="00966D98">
        <w:rPr>
          <w:rFonts w:ascii="Garamond" w:hAnsi="Garamond"/>
          <w:color w:val="000000" w:themeColor="text1"/>
          <w:lang w:val="en-GB"/>
        </w:rPr>
        <w:t>ne of the earliest</w:t>
      </w:r>
      <w:r w:rsidR="0039689D" w:rsidRPr="00966D98">
        <w:rPr>
          <w:rFonts w:ascii="Garamond" w:hAnsi="Garamond"/>
          <w:color w:val="000000" w:themeColor="text1"/>
          <w:lang w:val="en-GB"/>
        </w:rPr>
        <w:t xml:space="preserve"> </w:t>
      </w:r>
      <w:r w:rsidR="002A056C" w:rsidRPr="00966D98">
        <w:rPr>
          <w:rFonts w:ascii="Garamond" w:hAnsi="Garamond"/>
          <w:color w:val="000000" w:themeColor="text1"/>
          <w:lang w:val="en-GB"/>
        </w:rPr>
        <w:t xml:space="preserve">national </w:t>
      </w:r>
      <w:r w:rsidR="0039689D" w:rsidRPr="00966D98">
        <w:rPr>
          <w:rFonts w:ascii="Garamond" w:hAnsi="Garamond"/>
          <w:color w:val="000000" w:themeColor="text1"/>
          <w:lang w:val="en-GB"/>
        </w:rPr>
        <w:t>attempt</w:t>
      </w:r>
      <w:r w:rsidR="00B07EF4" w:rsidRPr="00966D98">
        <w:rPr>
          <w:rFonts w:ascii="Garamond" w:hAnsi="Garamond"/>
          <w:color w:val="000000" w:themeColor="text1"/>
          <w:lang w:val="en-GB"/>
        </w:rPr>
        <w:t>s</w:t>
      </w:r>
      <w:r w:rsidR="0039689D" w:rsidRPr="00966D98">
        <w:rPr>
          <w:rFonts w:ascii="Garamond" w:hAnsi="Garamond"/>
          <w:color w:val="000000" w:themeColor="text1"/>
          <w:lang w:val="en-GB"/>
        </w:rPr>
        <w:t xml:space="preserve"> </w:t>
      </w:r>
      <w:r w:rsidR="003311AF" w:rsidRPr="00966D98">
        <w:rPr>
          <w:rFonts w:ascii="Garamond" w:hAnsi="Garamond"/>
          <w:color w:val="000000" w:themeColor="text1"/>
          <w:lang w:val="en-GB"/>
        </w:rPr>
        <w:t xml:space="preserve">to </w:t>
      </w:r>
      <w:r w:rsidR="003311AF" w:rsidRPr="00966D98">
        <w:rPr>
          <w:rFonts w:ascii="Garamond" w:hAnsi="Garamond"/>
          <w:lang w:val="en-GB"/>
        </w:rPr>
        <w:t xml:space="preserve">explicitly measure impact </w:t>
      </w:r>
      <w:r w:rsidR="0039689D" w:rsidRPr="00966D98">
        <w:rPr>
          <w:rFonts w:ascii="Garamond" w:hAnsi="Garamond"/>
          <w:color w:val="000000" w:themeColor="text1"/>
          <w:lang w:val="en-GB"/>
        </w:rPr>
        <w:t>was the Australian Research Quality Framework (RQF)</w:t>
      </w:r>
      <w:r w:rsidR="005E0812" w:rsidRPr="00966D98">
        <w:rPr>
          <w:rFonts w:ascii="Garamond" w:hAnsi="Garamond"/>
          <w:color w:val="000000" w:themeColor="text1"/>
          <w:lang w:val="en-GB"/>
        </w:rPr>
        <w:t xml:space="preserve"> trial in 2005</w:t>
      </w:r>
      <w:r w:rsidR="0039689D" w:rsidRPr="00966D98">
        <w:rPr>
          <w:rFonts w:ascii="Garamond" w:hAnsi="Garamond"/>
          <w:color w:val="000000" w:themeColor="text1"/>
          <w:lang w:val="en-GB"/>
        </w:rPr>
        <w:t>, which utilised a case study approach to demonstrate and justify public spending on research.</w:t>
      </w:r>
      <w:r w:rsidR="004D2F70" w:rsidRPr="00966D98">
        <w:rPr>
          <w:rFonts w:ascii="Garamond" w:hAnsi="Garamond"/>
          <w:color w:val="000000" w:themeColor="text1"/>
          <w:lang w:val="en-GB"/>
        </w:rPr>
        <w:t xml:space="preserve"> </w:t>
      </w:r>
      <w:r w:rsidR="0039689D" w:rsidRPr="00966D98">
        <w:rPr>
          <w:rFonts w:ascii="Garamond" w:hAnsi="Garamond"/>
          <w:color w:val="000000" w:themeColor="text1"/>
          <w:lang w:val="en-GB"/>
        </w:rPr>
        <w:t xml:space="preserve">Researchers gave information on the economic, societal, environmental, and cultural impact of their research </w:t>
      </w:r>
      <w:r w:rsidR="009514BF" w:rsidRPr="00966D98">
        <w:rPr>
          <w:rFonts w:ascii="Garamond" w:hAnsi="Garamond"/>
          <w:color w:val="000000" w:themeColor="text1"/>
          <w:lang w:val="en-GB"/>
        </w:rPr>
        <w:t>that</w:t>
      </w:r>
      <w:r w:rsidR="0039689D" w:rsidRPr="00966D98">
        <w:rPr>
          <w:rFonts w:ascii="Garamond" w:hAnsi="Garamond"/>
          <w:color w:val="000000" w:themeColor="text1"/>
          <w:lang w:val="en-GB"/>
        </w:rPr>
        <w:t xml:space="preserve"> were then verified by an expert panel (Duryea et al.</w:t>
      </w:r>
      <w:r w:rsidR="00D42729" w:rsidRPr="00966D98">
        <w:rPr>
          <w:rFonts w:ascii="Garamond" w:hAnsi="Garamond"/>
          <w:color w:val="000000" w:themeColor="text1"/>
          <w:lang w:val="en-GB"/>
        </w:rPr>
        <w:t xml:space="preserve"> 2</w:t>
      </w:r>
      <w:r w:rsidR="0039689D" w:rsidRPr="00966D98">
        <w:rPr>
          <w:rFonts w:ascii="Garamond" w:hAnsi="Garamond"/>
          <w:color w:val="000000" w:themeColor="text1"/>
          <w:lang w:val="en-GB"/>
        </w:rPr>
        <w:t xml:space="preserve">007). This approach was </w:t>
      </w:r>
      <w:r w:rsidR="00D84182" w:rsidRPr="00966D98">
        <w:rPr>
          <w:rFonts w:ascii="Garamond" w:hAnsi="Garamond"/>
          <w:color w:val="000000" w:themeColor="text1"/>
          <w:lang w:val="en-GB"/>
        </w:rPr>
        <w:t xml:space="preserve">later </w:t>
      </w:r>
      <w:r w:rsidR="0039689D" w:rsidRPr="00966D98">
        <w:rPr>
          <w:rFonts w:ascii="Garamond" w:hAnsi="Garamond"/>
          <w:color w:val="000000" w:themeColor="text1"/>
          <w:lang w:val="en-GB"/>
        </w:rPr>
        <w:t xml:space="preserve">taken up by the Higher Education Funding Council for England, </w:t>
      </w:r>
      <w:r w:rsidR="00F96732" w:rsidRPr="00966D98">
        <w:rPr>
          <w:rFonts w:ascii="Garamond" w:hAnsi="Garamond"/>
          <w:color w:val="000000" w:themeColor="text1"/>
          <w:lang w:val="en-GB"/>
        </w:rPr>
        <w:t>which</w:t>
      </w:r>
      <w:r w:rsidR="0039689D" w:rsidRPr="00966D98">
        <w:rPr>
          <w:rFonts w:ascii="Garamond" w:hAnsi="Garamond"/>
          <w:color w:val="000000" w:themeColor="text1"/>
          <w:lang w:val="en-GB"/>
        </w:rPr>
        <w:t xml:space="preserve"> </w:t>
      </w:r>
      <w:r w:rsidR="00BD6642" w:rsidRPr="00966D98">
        <w:rPr>
          <w:rFonts w:ascii="Garamond" w:hAnsi="Garamond"/>
          <w:color w:val="000000" w:themeColor="text1"/>
          <w:lang w:val="en-GB"/>
        </w:rPr>
        <w:t>implemented</w:t>
      </w:r>
      <w:r w:rsidR="0039689D" w:rsidRPr="00966D98">
        <w:rPr>
          <w:rFonts w:ascii="Garamond" w:hAnsi="Garamond"/>
          <w:color w:val="000000" w:themeColor="text1"/>
          <w:lang w:val="en-GB"/>
        </w:rPr>
        <w:t xml:space="preserve"> an initial methodology and pilot exercise</w:t>
      </w:r>
      <w:r w:rsidR="008C4299" w:rsidRPr="00966D98">
        <w:rPr>
          <w:rFonts w:ascii="Garamond" w:hAnsi="Garamond"/>
          <w:color w:val="000000" w:themeColor="text1"/>
          <w:lang w:val="en-GB"/>
        </w:rPr>
        <w:t xml:space="preserve"> in 20</w:t>
      </w:r>
      <w:r w:rsidR="00BD6642" w:rsidRPr="00966D98">
        <w:rPr>
          <w:rFonts w:ascii="Garamond" w:hAnsi="Garamond"/>
          <w:color w:val="000000" w:themeColor="text1"/>
          <w:lang w:val="en-GB"/>
        </w:rPr>
        <w:t>10</w:t>
      </w:r>
      <w:r w:rsidR="0039689D" w:rsidRPr="00966D98">
        <w:rPr>
          <w:rFonts w:ascii="Garamond" w:hAnsi="Garamond"/>
          <w:color w:val="000000" w:themeColor="text1"/>
          <w:lang w:val="en-GB"/>
        </w:rPr>
        <w:t>, supported by a model developed by Brunel University</w:t>
      </w:r>
      <w:r w:rsidR="00A158C9" w:rsidRPr="00966D98">
        <w:rPr>
          <w:rFonts w:ascii="Garamond" w:hAnsi="Garamond"/>
          <w:color w:val="000000" w:themeColor="text1"/>
          <w:lang w:val="en-GB"/>
        </w:rPr>
        <w:t xml:space="preserve"> (Williams &amp; Grant</w:t>
      </w:r>
      <w:r w:rsidR="00D42729" w:rsidRPr="00966D98">
        <w:rPr>
          <w:rFonts w:ascii="Garamond" w:hAnsi="Garamond"/>
          <w:color w:val="000000" w:themeColor="text1"/>
          <w:lang w:val="en-GB"/>
        </w:rPr>
        <w:t xml:space="preserve"> 2</w:t>
      </w:r>
      <w:r w:rsidR="00A158C9" w:rsidRPr="00966D98">
        <w:rPr>
          <w:rFonts w:ascii="Garamond" w:hAnsi="Garamond"/>
          <w:color w:val="000000" w:themeColor="text1"/>
          <w:lang w:val="en-GB"/>
        </w:rPr>
        <w:t>018)</w:t>
      </w:r>
      <w:r w:rsidR="0039689D" w:rsidRPr="00966D98">
        <w:rPr>
          <w:rFonts w:ascii="Garamond" w:hAnsi="Garamond"/>
          <w:color w:val="000000" w:themeColor="text1"/>
          <w:lang w:val="en-GB"/>
        </w:rPr>
        <w:t>. The resulting approach, the Research Excellence Framework</w:t>
      </w:r>
      <w:r w:rsidR="000A5AB3" w:rsidRPr="00966D98">
        <w:rPr>
          <w:rFonts w:ascii="Garamond" w:hAnsi="Garamond"/>
          <w:color w:val="000000" w:themeColor="text1"/>
          <w:lang w:val="en-GB"/>
        </w:rPr>
        <w:t xml:space="preserve"> </w:t>
      </w:r>
      <w:r w:rsidR="0039689D" w:rsidRPr="00966D98">
        <w:rPr>
          <w:rFonts w:ascii="Garamond" w:hAnsi="Garamond"/>
          <w:color w:val="000000" w:themeColor="text1"/>
          <w:lang w:val="en-GB"/>
        </w:rPr>
        <w:t>(REF)</w:t>
      </w:r>
      <w:r w:rsidR="002323B1" w:rsidRPr="00966D98">
        <w:rPr>
          <w:rFonts w:ascii="Garamond" w:hAnsi="Garamond"/>
          <w:color w:val="000000" w:themeColor="text1"/>
          <w:lang w:val="en-GB"/>
        </w:rPr>
        <w:t>, first conducted in 2014,</w:t>
      </w:r>
      <w:r w:rsidR="0039689D" w:rsidRPr="00966D98">
        <w:rPr>
          <w:rFonts w:ascii="Garamond" w:hAnsi="Garamond"/>
          <w:color w:val="000000" w:themeColor="text1"/>
          <w:lang w:val="en-GB"/>
        </w:rPr>
        <w:t xml:space="preserve"> assesse</w:t>
      </w:r>
      <w:r w:rsidR="00E25307" w:rsidRPr="00966D98">
        <w:rPr>
          <w:rFonts w:ascii="Garamond" w:hAnsi="Garamond"/>
          <w:color w:val="000000" w:themeColor="text1"/>
          <w:lang w:val="en-GB"/>
        </w:rPr>
        <w:t>d</w:t>
      </w:r>
      <w:r w:rsidR="0039689D" w:rsidRPr="00966D98">
        <w:rPr>
          <w:rFonts w:ascii="Garamond" w:hAnsi="Garamond"/>
          <w:color w:val="000000" w:themeColor="text1"/>
          <w:lang w:val="en-GB"/>
        </w:rPr>
        <w:t xml:space="preserve"> narrative ‘impact profiles’ using a case study approach (REF</w:t>
      </w:r>
      <w:r w:rsidR="00D42729" w:rsidRPr="00966D98">
        <w:rPr>
          <w:rFonts w:ascii="Garamond" w:hAnsi="Garamond"/>
          <w:color w:val="000000" w:themeColor="text1"/>
          <w:lang w:val="en-GB"/>
        </w:rPr>
        <w:t xml:space="preserve"> 2</w:t>
      </w:r>
      <w:r w:rsidR="0039689D" w:rsidRPr="00966D98">
        <w:rPr>
          <w:rFonts w:ascii="Garamond" w:hAnsi="Garamond"/>
          <w:color w:val="000000" w:themeColor="text1"/>
          <w:lang w:val="en-GB"/>
        </w:rPr>
        <w:t>014; HEFCE</w:t>
      </w:r>
      <w:r w:rsidR="00D42729" w:rsidRPr="00966D98">
        <w:rPr>
          <w:rFonts w:ascii="Garamond" w:hAnsi="Garamond"/>
          <w:color w:val="000000" w:themeColor="text1"/>
          <w:lang w:val="en-GB"/>
        </w:rPr>
        <w:t xml:space="preserve"> 2</w:t>
      </w:r>
      <w:r w:rsidR="0039689D" w:rsidRPr="00966D98">
        <w:rPr>
          <w:rFonts w:ascii="Garamond" w:hAnsi="Garamond"/>
          <w:color w:val="000000" w:themeColor="text1"/>
          <w:lang w:val="en-GB"/>
        </w:rPr>
        <w:t xml:space="preserve">011). </w:t>
      </w:r>
      <w:r w:rsidR="00D92ED1" w:rsidRPr="00966D98">
        <w:rPr>
          <w:rFonts w:ascii="Garamond" w:hAnsi="Garamond"/>
          <w:color w:val="000000" w:themeColor="text1"/>
          <w:lang w:val="en-GB"/>
        </w:rPr>
        <w:t xml:space="preserve">The impact assessment component of the REF has been subject to criticism from a number of camps, often </w:t>
      </w:r>
      <w:r w:rsidR="000B20E6" w:rsidRPr="00966D98">
        <w:rPr>
          <w:rFonts w:ascii="Garamond" w:hAnsi="Garamond"/>
          <w:color w:val="000000" w:themeColor="text1"/>
          <w:lang w:val="en-GB"/>
        </w:rPr>
        <w:t>centred around</w:t>
      </w:r>
      <w:r w:rsidR="00D92ED1" w:rsidRPr="00966D98">
        <w:rPr>
          <w:rFonts w:ascii="Garamond" w:hAnsi="Garamond"/>
          <w:color w:val="000000" w:themeColor="text1"/>
          <w:lang w:val="en-GB"/>
        </w:rPr>
        <w:t xml:space="preserve"> explicit steering attempts by government (</w:t>
      </w:r>
      <w:r w:rsidR="00D92ED1" w:rsidRPr="00966D98">
        <w:rPr>
          <w:rFonts w:ascii="Garamond" w:hAnsi="Garamond"/>
          <w:noProof/>
          <w:kern w:val="1"/>
          <w:lang w:val="en-GB"/>
        </w:rPr>
        <w:t>Ladyman 2009; LSE 2011; Russell Group 2010</w:t>
      </w:r>
      <w:r w:rsidR="00D92ED1" w:rsidRPr="00966D98">
        <w:rPr>
          <w:rFonts w:ascii="Garamond" w:hAnsi="Garamond"/>
          <w:color w:val="000000" w:themeColor="text1"/>
          <w:lang w:val="en-GB"/>
        </w:rPr>
        <w:t xml:space="preserve">). </w:t>
      </w:r>
      <w:r w:rsidR="00B07EF4" w:rsidRPr="00966D98">
        <w:rPr>
          <w:rFonts w:ascii="Garamond" w:hAnsi="Garamond"/>
          <w:color w:val="000000" w:themeColor="text1"/>
          <w:lang w:val="en-GB"/>
        </w:rPr>
        <w:t xml:space="preserve">In addition, there are many areas of contention in </w:t>
      </w:r>
      <w:r w:rsidR="009A1B8E" w:rsidRPr="00966D98">
        <w:rPr>
          <w:rFonts w:ascii="Garamond" w:hAnsi="Garamond"/>
          <w:color w:val="000000" w:themeColor="text1"/>
          <w:lang w:val="en-GB"/>
        </w:rPr>
        <w:t>its</w:t>
      </w:r>
      <w:r w:rsidR="00B07EF4" w:rsidRPr="00966D98">
        <w:rPr>
          <w:rFonts w:ascii="Garamond" w:hAnsi="Garamond"/>
          <w:color w:val="000000" w:themeColor="text1"/>
          <w:lang w:val="en-GB"/>
        </w:rPr>
        <w:t xml:space="preserve"> implementation, such whether impact is a final outcome (e.g. presence of a specific health or economic outcome) or whether it includes ‘secondary’ impacts (e.g. inclusion in guidelines, patents, and clinical trials, or leading to drug or policy development) (Samuel &amp; Derrick</w:t>
      </w:r>
      <w:r w:rsidR="00D42729" w:rsidRPr="00966D98">
        <w:rPr>
          <w:rFonts w:ascii="Garamond" w:hAnsi="Garamond"/>
          <w:color w:val="000000" w:themeColor="text1"/>
          <w:lang w:val="en-GB"/>
        </w:rPr>
        <w:t xml:space="preserve"> 2</w:t>
      </w:r>
      <w:r w:rsidR="00B07EF4" w:rsidRPr="00966D98">
        <w:rPr>
          <w:rFonts w:ascii="Garamond" w:hAnsi="Garamond"/>
          <w:color w:val="000000" w:themeColor="text1"/>
          <w:lang w:val="en-GB"/>
        </w:rPr>
        <w:t>015).</w:t>
      </w:r>
      <w:r w:rsidR="00D70EDC" w:rsidRPr="00966D98">
        <w:rPr>
          <w:rFonts w:ascii="Garamond" w:hAnsi="Garamond"/>
          <w:color w:val="000000" w:themeColor="text1"/>
          <w:lang w:val="en-GB"/>
        </w:rPr>
        <w:t xml:space="preserve"> </w:t>
      </w:r>
      <w:r w:rsidR="00223AC2" w:rsidRPr="00966D98">
        <w:rPr>
          <w:rFonts w:ascii="Garamond" w:hAnsi="Garamond"/>
          <w:color w:val="000000" w:themeColor="text1"/>
          <w:lang w:val="en-GB"/>
        </w:rPr>
        <w:t xml:space="preserve">Despite </w:t>
      </w:r>
      <w:r w:rsidR="005969C2" w:rsidRPr="00966D98">
        <w:rPr>
          <w:rFonts w:ascii="Garamond" w:hAnsi="Garamond"/>
          <w:color w:val="000000" w:themeColor="text1"/>
          <w:lang w:val="en-GB"/>
        </w:rPr>
        <w:t>resistance</w:t>
      </w:r>
      <w:r w:rsidR="00223AC2" w:rsidRPr="00966D98">
        <w:rPr>
          <w:rFonts w:ascii="Garamond" w:hAnsi="Garamond"/>
          <w:color w:val="000000" w:themeColor="text1"/>
          <w:lang w:val="en-GB"/>
        </w:rPr>
        <w:t xml:space="preserve"> to specific policy interventions and proposals, </w:t>
      </w:r>
      <w:r w:rsidR="00735916" w:rsidRPr="00966D98">
        <w:rPr>
          <w:rFonts w:ascii="Garamond" w:hAnsi="Garamond"/>
          <w:color w:val="000000" w:themeColor="text1"/>
          <w:lang w:val="en-GB"/>
        </w:rPr>
        <w:t>it is expected that the political</w:t>
      </w:r>
      <w:r w:rsidR="00223AC2" w:rsidRPr="00966D98">
        <w:rPr>
          <w:rFonts w:ascii="Garamond" w:hAnsi="Garamond"/>
          <w:color w:val="000000" w:themeColor="text1"/>
          <w:lang w:val="en-GB"/>
        </w:rPr>
        <w:t xml:space="preserve"> commitment </w:t>
      </w:r>
      <w:r w:rsidR="00735916" w:rsidRPr="00966D98">
        <w:rPr>
          <w:rFonts w:ascii="Garamond" w:hAnsi="Garamond"/>
          <w:color w:val="000000" w:themeColor="text1"/>
          <w:lang w:val="en-GB"/>
        </w:rPr>
        <w:t xml:space="preserve">to impact will continue. </w:t>
      </w:r>
      <w:r w:rsidR="009F49DD" w:rsidRPr="00966D98">
        <w:rPr>
          <w:rFonts w:ascii="Garamond" w:hAnsi="Garamond"/>
          <w:color w:val="000000" w:themeColor="text1"/>
          <w:lang w:val="en-GB"/>
        </w:rPr>
        <w:t>T</w:t>
      </w:r>
      <w:r w:rsidR="00D70EDC" w:rsidRPr="00966D98">
        <w:rPr>
          <w:rFonts w:ascii="Garamond" w:hAnsi="Garamond"/>
          <w:color w:val="000000" w:themeColor="text1"/>
          <w:lang w:val="en-GB"/>
        </w:rPr>
        <w:t>he debate is expected to move towards reducing the perceived costs and burden of impact assessment</w:t>
      </w:r>
      <w:r w:rsidR="00F44221" w:rsidRPr="00966D98">
        <w:rPr>
          <w:rFonts w:ascii="Garamond" w:hAnsi="Garamond"/>
          <w:color w:val="000000" w:themeColor="text1"/>
          <w:lang w:val="en-GB"/>
        </w:rPr>
        <w:t xml:space="preserve">, potentially </w:t>
      </w:r>
      <w:r w:rsidR="00D70EDC" w:rsidRPr="00966D98">
        <w:rPr>
          <w:rFonts w:ascii="Garamond" w:hAnsi="Garamond"/>
          <w:color w:val="000000" w:themeColor="text1"/>
          <w:lang w:val="en-GB"/>
        </w:rPr>
        <w:t>through the use of metrics (Williams &amp; Grant</w:t>
      </w:r>
      <w:r w:rsidR="00D42729" w:rsidRPr="00966D98">
        <w:rPr>
          <w:rFonts w:ascii="Garamond" w:hAnsi="Garamond"/>
          <w:color w:val="000000" w:themeColor="text1"/>
          <w:lang w:val="en-GB"/>
        </w:rPr>
        <w:t xml:space="preserve"> 2</w:t>
      </w:r>
      <w:r w:rsidR="00D70EDC" w:rsidRPr="00966D98">
        <w:rPr>
          <w:rFonts w:ascii="Garamond" w:hAnsi="Garamond"/>
          <w:color w:val="000000" w:themeColor="text1"/>
          <w:lang w:val="en-GB"/>
        </w:rPr>
        <w:t>018).</w:t>
      </w:r>
    </w:p>
    <w:p w14:paraId="39B20B13" w14:textId="59FD5F3B" w:rsidR="0039689D" w:rsidRPr="00966D98" w:rsidRDefault="00717874" w:rsidP="00DF48B8">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Research evaluation can</w:t>
      </w:r>
      <w:r w:rsidR="00C3773D" w:rsidRPr="00966D98">
        <w:rPr>
          <w:rFonts w:ascii="Garamond" w:hAnsi="Garamond"/>
          <w:color w:val="000000" w:themeColor="text1"/>
          <w:lang w:val="en-GB"/>
        </w:rPr>
        <w:t xml:space="preserve"> </w:t>
      </w:r>
      <w:r w:rsidR="0012410D" w:rsidRPr="00966D98">
        <w:rPr>
          <w:rFonts w:ascii="Garamond" w:hAnsi="Garamond"/>
          <w:color w:val="000000" w:themeColor="text1"/>
          <w:lang w:val="en-GB"/>
        </w:rPr>
        <w:t xml:space="preserve">thus </w:t>
      </w:r>
      <w:r w:rsidRPr="00966D98">
        <w:rPr>
          <w:rFonts w:ascii="Garamond" w:hAnsi="Garamond"/>
          <w:color w:val="000000" w:themeColor="text1"/>
          <w:lang w:val="en-GB"/>
        </w:rPr>
        <w:t xml:space="preserve">enable monitoring, management and understanding of performance, </w:t>
      </w:r>
      <w:r w:rsidR="000B1B8F" w:rsidRPr="00966D98">
        <w:rPr>
          <w:rFonts w:ascii="Garamond" w:hAnsi="Garamond"/>
          <w:color w:val="000000" w:themeColor="text1"/>
          <w:lang w:val="en-GB"/>
        </w:rPr>
        <w:t xml:space="preserve">and </w:t>
      </w:r>
      <w:r w:rsidRPr="00966D98">
        <w:rPr>
          <w:rFonts w:ascii="Garamond" w:hAnsi="Garamond"/>
          <w:color w:val="000000" w:themeColor="text1"/>
          <w:lang w:val="en-GB"/>
        </w:rPr>
        <w:t xml:space="preserve">provide accountability to government, stakeholders, and the wider public, </w:t>
      </w:r>
      <w:r w:rsidR="000B1B8F" w:rsidRPr="00966D98">
        <w:rPr>
          <w:rFonts w:ascii="Garamond" w:hAnsi="Garamond"/>
          <w:color w:val="000000" w:themeColor="text1"/>
          <w:lang w:val="en-GB"/>
        </w:rPr>
        <w:t xml:space="preserve">in addition to </w:t>
      </w:r>
      <w:r w:rsidRPr="00966D98">
        <w:rPr>
          <w:rFonts w:ascii="Garamond" w:hAnsi="Garamond"/>
          <w:color w:val="000000" w:themeColor="text1"/>
          <w:lang w:val="en-GB"/>
        </w:rPr>
        <w:t>facilitat</w:t>
      </w:r>
      <w:r w:rsidR="000B1B8F" w:rsidRPr="00966D98">
        <w:rPr>
          <w:rFonts w:ascii="Garamond" w:hAnsi="Garamond"/>
          <w:color w:val="000000" w:themeColor="text1"/>
          <w:lang w:val="en-GB"/>
        </w:rPr>
        <w:t>ing</w:t>
      </w:r>
      <w:r w:rsidRPr="00966D98">
        <w:rPr>
          <w:rFonts w:ascii="Garamond" w:hAnsi="Garamond"/>
          <w:color w:val="000000" w:themeColor="text1"/>
          <w:lang w:val="en-GB"/>
        </w:rPr>
        <w:t xml:space="preserve"> understanding of the methods and routes by which research leads to impact </w:t>
      </w:r>
      <w:r w:rsidRPr="00966D98">
        <w:rPr>
          <w:rFonts w:ascii="Garamond" w:eastAsia="Garamond" w:hAnsi="Garamond" w:cs="Garamond"/>
          <w:color w:val="000000" w:themeColor="text1"/>
          <w:lang w:val="en-GB"/>
        </w:rPr>
        <w:t>(</w:t>
      </w:r>
      <w:r w:rsidRPr="00966D98">
        <w:rPr>
          <w:rFonts w:ascii="Garamond" w:hAnsi="Garamond"/>
          <w:color w:val="000000" w:themeColor="text1"/>
          <w:lang w:val="en-GB"/>
        </w:rPr>
        <w:t>Penfield et al.</w:t>
      </w:r>
      <w:r w:rsidR="00D42729" w:rsidRPr="00966D98">
        <w:rPr>
          <w:rFonts w:ascii="Garamond" w:hAnsi="Garamond"/>
          <w:color w:val="000000" w:themeColor="text1"/>
          <w:lang w:val="en-GB"/>
        </w:rPr>
        <w:t xml:space="preserve"> 2</w:t>
      </w:r>
      <w:r w:rsidRPr="00966D98">
        <w:rPr>
          <w:rFonts w:ascii="Garamond" w:hAnsi="Garamond"/>
          <w:color w:val="000000" w:themeColor="text1"/>
          <w:lang w:val="en-GB"/>
        </w:rPr>
        <w:t>014).</w:t>
      </w:r>
      <w:r w:rsidRPr="00966D98">
        <w:rPr>
          <w:rFonts w:ascii="Garamond" w:eastAsia="Garamond" w:hAnsi="Garamond" w:cs="Garamond"/>
          <w:color w:val="000000" w:themeColor="text1"/>
          <w:lang w:val="en-GB"/>
        </w:rPr>
        <w:t xml:space="preserve"> However,</w:t>
      </w:r>
      <w:r w:rsidRPr="00966D98">
        <w:rPr>
          <w:rFonts w:ascii="Garamond" w:hAnsi="Garamond"/>
          <w:color w:val="000000" w:themeColor="text1"/>
          <w:lang w:val="en-GB"/>
        </w:rPr>
        <w:t xml:space="preserve"> t</w:t>
      </w:r>
      <w:r w:rsidR="00B07EF4" w:rsidRPr="00966D98">
        <w:rPr>
          <w:rFonts w:ascii="Garamond" w:hAnsi="Garamond"/>
          <w:color w:val="000000" w:themeColor="text1"/>
          <w:lang w:val="en-GB"/>
        </w:rPr>
        <w:t xml:space="preserve">he demands of policymakers around the demonstration of public value and measurement of </w:t>
      </w:r>
      <w:r w:rsidR="000B1B8F" w:rsidRPr="00966D98">
        <w:rPr>
          <w:rFonts w:ascii="Garamond" w:hAnsi="Garamond"/>
          <w:color w:val="000000" w:themeColor="text1"/>
          <w:lang w:val="en-GB"/>
        </w:rPr>
        <w:t>societal benefit</w:t>
      </w:r>
      <w:r w:rsidR="00B07EF4" w:rsidRPr="00966D98">
        <w:rPr>
          <w:rFonts w:ascii="Garamond" w:hAnsi="Garamond"/>
          <w:color w:val="000000" w:themeColor="text1"/>
          <w:lang w:val="en-GB"/>
        </w:rPr>
        <w:t xml:space="preserve"> ha</w:t>
      </w:r>
      <w:r w:rsidR="0012410D" w:rsidRPr="00966D98">
        <w:rPr>
          <w:rFonts w:ascii="Garamond" w:hAnsi="Garamond"/>
          <w:color w:val="000000" w:themeColor="text1"/>
          <w:lang w:val="en-GB"/>
        </w:rPr>
        <w:t>ve</w:t>
      </w:r>
      <w:r w:rsidR="00B07EF4" w:rsidRPr="00966D98">
        <w:rPr>
          <w:rFonts w:ascii="Garamond" w:hAnsi="Garamond"/>
          <w:color w:val="000000" w:themeColor="text1"/>
          <w:lang w:val="en-GB"/>
        </w:rPr>
        <w:t xml:space="preserve"> led to </w:t>
      </w:r>
      <w:r w:rsidR="00400034" w:rsidRPr="00966D98">
        <w:rPr>
          <w:rFonts w:ascii="Garamond" w:hAnsi="Garamond"/>
          <w:color w:val="000000" w:themeColor="text1"/>
          <w:lang w:val="en-GB"/>
        </w:rPr>
        <w:t>a reactive</w:t>
      </w:r>
      <w:r w:rsidR="00B07EF4" w:rsidRPr="00966D98">
        <w:rPr>
          <w:rFonts w:ascii="Garamond" w:hAnsi="Garamond"/>
          <w:color w:val="000000" w:themeColor="text1"/>
          <w:lang w:val="en-GB"/>
        </w:rPr>
        <w:t xml:space="preserve"> </w:t>
      </w:r>
      <w:r w:rsidR="00F001F1" w:rsidRPr="00966D98">
        <w:rPr>
          <w:rFonts w:ascii="Garamond" w:hAnsi="Garamond"/>
          <w:color w:val="000000" w:themeColor="text1"/>
          <w:lang w:val="en-GB"/>
        </w:rPr>
        <w:t xml:space="preserve">common-sense </w:t>
      </w:r>
      <w:r w:rsidR="00CC28BE" w:rsidRPr="00966D98">
        <w:rPr>
          <w:rFonts w:ascii="Garamond" w:hAnsi="Garamond"/>
          <w:color w:val="000000" w:themeColor="text1"/>
          <w:lang w:val="en-GB"/>
        </w:rPr>
        <w:t>orientation</w:t>
      </w:r>
      <w:r w:rsidR="00B07EF4" w:rsidRPr="00966D98">
        <w:rPr>
          <w:rFonts w:ascii="Garamond" w:hAnsi="Garamond"/>
          <w:color w:val="000000" w:themeColor="text1"/>
          <w:lang w:val="en-GB"/>
        </w:rPr>
        <w:t xml:space="preserve"> in research evaluation (Donovan</w:t>
      </w:r>
      <w:r w:rsidR="00D42729" w:rsidRPr="00966D98">
        <w:rPr>
          <w:rFonts w:ascii="Garamond" w:hAnsi="Garamond"/>
          <w:color w:val="000000" w:themeColor="text1"/>
          <w:lang w:val="en-GB"/>
        </w:rPr>
        <w:t xml:space="preserve"> 2</w:t>
      </w:r>
      <w:r w:rsidR="00B07EF4" w:rsidRPr="00966D98">
        <w:rPr>
          <w:rFonts w:ascii="Garamond" w:hAnsi="Garamond"/>
          <w:color w:val="000000" w:themeColor="text1"/>
          <w:lang w:val="en-GB"/>
        </w:rPr>
        <w:t xml:space="preserve">017). </w:t>
      </w:r>
      <w:r w:rsidR="00F7064F" w:rsidRPr="00966D98">
        <w:rPr>
          <w:rFonts w:ascii="Garamond" w:hAnsi="Garamond"/>
          <w:color w:val="000000" w:themeColor="text1"/>
          <w:lang w:val="en-GB"/>
        </w:rPr>
        <w:t xml:space="preserve">For example, </w:t>
      </w:r>
      <w:r w:rsidR="004E1E34" w:rsidRPr="00966D98">
        <w:rPr>
          <w:rFonts w:ascii="Garamond" w:hAnsi="Garamond"/>
          <w:color w:val="000000" w:themeColor="text1"/>
          <w:lang w:val="en-GB"/>
        </w:rPr>
        <w:t xml:space="preserve">although </w:t>
      </w:r>
      <w:r w:rsidR="00F7064F" w:rsidRPr="00966D98">
        <w:rPr>
          <w:rFonts w:ascii="Garamond" w:hAnsi="Garamond"/>
          <w:color w:val="000000" w:themeColor="text1"/>
          <w:lang w:val="en-GB"/>
        </w:rPr>
        <w:t xml:space="preserve">the UK’s REF </w:t>
      </w:r>
      <w:r w:rsidR="0040354D" w:rsidRPr="00966D98">
        <w:rPr>
          <w:rFonts w:ascii="Garamond" w:hAnsi="Garamond"/>
          <w:color w:val="000000" w:themeColor="text1"/>
          <w:lang w:val="en-GB"/>
        </w:rPr>
        <w:t xml:space="preserve">comes at a high cost </w:t>
      </w:r>
      <w:r w:rsidR="00C86A36" w:rsidRPr="00966D98">
        <w:rPr>
          <w:rFonts w:ascii="Garamond" w:hAnsi="Garamond"/>
          <w:color w:val="000000" w:themeColor="text1"/>
          <w:lang w:val="en-GB"/>
        </w:rPr>
        <w:t>to taxpayers</w:t>
      </w:r>
      <w:r w:rsidR="0040354D" w:rsidRPr="00966D98">
        <w:rPr>
          <w:rFonts w:ascii="Garamond" w:hAnsi="Garamond"/>
          <w:color w:val="000000" w:themeColor="text1"/>
          <w:lang w:val="en-GB"/>
        </w:rPr>
        <w:t xml:space="preserve">, it </w:t>
      </w:r>
      <w:r w:rsidR="00F7064F" w:rsidRPr="00966D98">
        <w:rPr>
          <w:rFonts w:ascii="Garamond" w:hAnsi="Garamond"/>
          <w:color w:val="000000" w:themeColor="text1"/>
          <w:lang w:val="en-GB"/>
        </w:rPr>
        <w:t xml:space="preserve">can be justified by the high level of </w:t>
      </w:r>
      <w:r w:rsidR="0040354D" w:rsidRPr="00966D98">
        <w:rPr>
          <w:rFonts w:ascii="Garamond" w:hAnsi="Garamond"/>
          <w:color w:val="000000" w:themeColor="text1"/>
          <w:lang w:val="en-GB"/>
        </w:rPr>
        <w:t xml:space="preserve">university </w:t>
      </w:r>
      <w:r w:rsidR="00F7064F" w:rsidRPr="00966D98">
        <w:rPr>
          <w:rFonts w:ascii="Garamond" w:hAnsi="Garamond"/>
          <w:color w:val="000000" w:themeColor="text1"/>
          <w:lang w:val="en-GB"/>
        </w:rPr>
        <w:t>funding that follows the assessment</w:t>
      </w:r>
      <w:r w:rsidR="0040354D" w:rsidRPr="00966D98">
        <w:rPr>
          <w:rFonts w:ascii="Garamond" w:hAnsi="Garamond"/>
          <w:color w:val="000000" w:themeColor="text1"/>
          <w:lang w:val="en-GB"/>
        </w:rPr>
        <w:t xml:space="preserve">, whereas </w:t>
      </w:r>
      <w:r w:rsidR="00F7064F" w:rsidRPr="00966D98">
        <w:rPr>
          <w:rFonts w:ascii="Garamond" w:hAnsi="Garamond"/>
          <w:color w:val="000000" w:themeColor="text1"/>
          <w:lang w:val="en-GB"/>
        </w:rPr>
        <w:t xml:space="preserve">the Excellence in Research for Australia (ERA) </w:t>
      </w:r>
      <w:r w:rsidR="0040354D" w:rsidRPr="00966D98">
        <w:rPr>
          <w:rFonts w:ascii="Garamond" w:hAnsi="Garamond"/>
          <w:color w:val="000000" w:themeColor="text1"/>
          <w:lang w:val="en-GB"/>
        </w:rPr>
        <w:t xml:space="preserve">does not directly affect funding and </w:t>
      </w:r>
      <w:r w:rsidR="00F7064F" w:rsidRPr="00966D98">
        <w:rPr>
          <w:rFonts w:ascii="Garamond" w:hAnsi="Garamond"/>
          <w:color w:val="000000" w:themeColor="text1"/>
          <w:lang w:val="en-GB"/>
        </w:rPr>
        <w:t xml:space="preserve">is </w:t>
      </w:r>
      <w:r w:rsidR="0040354D" w:rsidRPr="00966D98">
        <w:rPr>
          <w:rFonts w:ascii="Garamond" w:hAnsi="Garamond"/>
          <w:color w:val="000000" w:themeColor="text1"/>
          <w:lang w:val="en-GB"/>
        </w:rPr>
        <w:lastRenderedPageBreak/>
        <w:t xml:space="preserve">thus </w:t>
      </w:r>
      <w:r w:rsidR="00F7064F" w:rsidRPr="00966D98">
        <w:rPr>
          <w:rFonts w:ascii="Garamond" w:hAnsi="Garamond"/>
          <w:color w:val="000000" w:themeColor="text1"/>
          <w:lang w:val="en-GB"/>
        </w:rPr>
        <w:t>more likely to display reliance o</w:t>
      </w:r>
      <w:r w:rsidR="00F001F1" w:rsidRPr="00966D98">
        <w:rPr>
          <w:rFonts w:ascii="Garamond" w:hAnsi="Garamond"/>
          <w:color w:val="000000" w:themeColor="text1"/>
          <w:lang w:val="en-GB"/>
        </w:rPr>
        <w:t>n</w:t>
      </w:r>
      <w:r w:rsidR="00F7064F" w:rsidRPr="00966D98">
        <w:rPr>
          <w:rFonts w:ascii="Garamond" w:hAnsi="Garamond"/>
          <w:color w:val="000000" w:themeColor="text1"/>
          <w:lang w:val="en-GB"/>
        </w:rPr>
        <w:t xml:space="preserve"> quantitative measures of impact </w:t>
      </w:r>
      <w:r w:rsidR="0040354D" w:rsidRPr="00966D98">
        <w:rPr>
          <w:rFonts w:ascii="Garamond" w:hAnsi="Garamond"/>
          <w:color w:val="000000" w:themeColor="text1"/>
          <w:lang w:val="en-GB"/>
        </w:rPr>
        <w:t xml:space="preserve">that are cheaper to implement </w:t>
      </w:r>
      <w:r w:rsidR="00F7064F" w:rsidRPr="00966D98">
        <w:rPr>
          <w:rFonts w:ascii="Garamond" w:hAnsi="Garamond"/>
          <w:color w:val="000000" w:themeColor="text1"/>
          <w:lang w:val="en-GB"/>
        </w:rPr>
        <w:t xml:space="preserve">(Williams &amp; Grant 2018). </w:t>
      </w:r>
      <w:r w:rsidR="00B07EF4" w:rsidRPr="00966D98">
        <w:rPr>
          <w:rFonts w:ascii="Garamond" w:hAnsi="Garamond"/>
          <w:color w:val="000000" w:themeColor="text1"/>
          <w:lang w:val="en-GB"/>
        </w:rPr>
        <w:t>As a result, conceptual understandings have been constrained by political and bureaucratic exigencies (</w:t>
      </w:r>
      <w:proofErr w:type="spellStart"/>
      <w:r w:rsidR="00B07EF4" w:rsidRPr="00966D98">
        <w:rPr>
          <w:rFonts w:ascii="Garamond" w:hAnsi="Garamond"/>
          <w:color w:val="000000" w:themeColor="text1"/>
          <w:lang w:val="en-GB"/>
        </w:rPr>
        <w:t>Benneworth</w:t>
      </w:r>
      <w:proofErr w:type="spellEnd"/>
      <w:r w:rsidR="00D42729" w:rsidRPr="00966D98">
        <w:rPr>
          <w:rFonts w:ascii="Garamond" w:hAnsi="Garamond"/>
          <w:color w:val="000000" w:themeColor="text1"/>
          <w:lang w:val="en-GB"/>
        </w:rPr>
        <w:t xml:space="preserve"> 2</w:t>
      </w:r>
      <w:r w:rsidR="00B07EF4" w:rsidRPr="00966D98">
        <w:rPr>
          <w:rFonts w:ascii="Garamond" w:hAnsi="Garamond"/>
          <w:color w:val="000000" w:themeColor="text1"/>
          <w:lang w:val="en-GB"/>
        </w:rPr>
        <w:t xml:space="preserve">015). </w:t>
      </w:r>
      <w:r w:rsidRPr="00966D98">
        <w:rPr>
          <w:rFonts w:ascii="Garamond" w:hAnsi="Garamond"/>
          <w:color w:val="000000" w:themeColor="text1"/>
          <w:lang w:val="en-GB"/>
        </w:rPr>
        <w:t xml:space="preserve">Despite a multitude of approaches and frameworks that </w:t>
      </w:r>
      <w:r w:rsidRPr="00966D98">
        <w:rPr>
          <w:rFonts w:ascii="Garamond" w:eastAsia="Garamond" w:hAnsi="Garamond" w:cs="Garamond"/>
          <w:color w:val="000000" w:themeColor="text1"/>
          <w:lang w:val="en-GB"/>
        </w:rPr>
        <w:t xml:space="preserve">reflect </w:t>
      </w:r>
      <w:r w:rsidR="00475725" w:rsidRPr="00966D98">
        <w:rPr>
          <w:rFonts w:ascii="Garamond" w:eastAsia="Garamond" w:hAnsi="Garamond" w:cs="Garamond"/>
          <w:color w:val="000000" w:themeColor="text1"/>
          <w:lang w:val="en-GB"/>
        </w:rPr>
        <w:t>a range of</w:t>
      </w:r>
      <w:r w:rsidRPr="00966D98">
        <w:rPr>
          <w:rFonts w:ascii="Garamond" w:eastAsia="Garamond" w:hAnsi="Garamond" w:cs="Garamond"/>
          <w:color w:val="000000" w:themeColor="text1"/>
          <w:lang w:val="en-GB"/>
        </w:rPr>
        <w:t xml:space="preserve"> </w:t>
      </w:r>
      <w:r w:rsidR="00475725" w:rsidRPr="00966D98">
        <w:rPr>
          <w:rFonts w:ascii="Garamond" w:eastAsia="Garamond" w:hAnsi="Garamond" w:cs="Garamond"/>
          <w:color w:val="000000" w:themeColor="text1"/>
          <w:lang w:val="en-GB"/>
        </w:rPr>
        <w:t xml:space="preserve">motivations and stakeholders </w:t>
      </w:r>
      <w:r w:rsidRPr="00966D98">
        <w:rPr>
          <w:rFonts w:ascii="Garamond" w:eastAsia="Garamond" w:hAnsi="Garamond" w:cs="Garamond"/>
          <w:color w:val="000000" w:themeColor="text1"/>
          <w:lang w:val="en-GB"/>
        </w:rPr>
        <w:t>(</w:t>
      </w:r>
      <w:r w:rsidRPr="00966D98">
        <w:rPr>
          <w:rFonts w:ascii="Garamond" w:hAnsi="Garamond"/>
          <w:color w:val="000000" w:themeColor="text1"/>
          <w:lang w:val="en-GB"/>
        </w:rPr>
        <w:t>Penfield et al.</w:t>
      </w:r>
      <w:r w:rsidR="00D42729" w:rsidRPr="00966D98">
        <w:rPr>
          <w:rFonts w:ascii="Garamond" w:hAnsi="Garamond"/>
          <w:color w:val="000000" w:themeColor="text1"/>
          <w:lang w:val="en-GB"/>
        </w:rPr>
        <w:t xml:space="preserve"> 2</w:t>
      </w:r>
      <w:r w:rsidRPr="00966D98">
        <w:rPr>
          <w:rFonts w:ascii="Garamond" w:hAnsi="Garamond"/>
          <w:color w:val="000000" w:themeColor="text1"/>
          <w:lang w:val="en-GB"/>
        </w:rPr>
        <w:t xml:space="preserve">014), the operationalisation of research impact has tended to take </w:t>
      </w:r>
      <w:r w:rsidR="00757771" w:rsidRPr="00966D98">
        <w:rPr>
          <w:rFonts w:ascii="Garamond" w:hAnsi="Garamond"/>
          <w:color w:val="000000" w:themeColor="text1"/>
          <w:lang w:val="en-GB"/>
        </w:rPr>
        <w:t>restricted</w:t>
      </w:r>
      <w:r w:rsidRPr="00966D98">
        <w:rPr>
          <w:rFonts w:ascii="Garamond" w:hAnsi="Garamond"/>
          <w:color w:val="000000" w:themeColor="text1"/>
          <w:lang w:val="en-GB"/>
        </w:rPr>
        <w:t xml:space="preserve"> forms,</w:t>
      </w:r>
      <w:r w:rsidR="00067A62" w:rsidRPr="00966D98">
        <w:rPr>
          <w:rFonts w:ascii="Garamond" w:hAnsi="Garamond"/>
          <w:color w:val="000000" w:themeColor="text1"/>
          <w:lang w:val="en-GB"/>
        </w:rPr>
        <w:t xml:space="preserve"> which</w:t>
      </w:r>
      <w:r w:rsidR="007E2999" w:rsidRPr="00966D98">
        <w:rPr>
          <w:rFonts w:ascii="Garamond" w:hAnsi="Garamond"/>
          <w:color w:val="000000" w:themeColor="text1"/>
          <w:lang w:val="en-GB"/>
        </w:rPr>
        <w:t xml:space="preserve"> </w:t>
      </w:r>
      <w:r w:rsidRPr="00966D98">
        <w:rPr>
          <w:rFonts w:ascii="Garamond" w:hAnsi="Garamond"/>
          <w:color w:val="000000" w:themeColor="text1"/>
          <w:lang w:val="en-GB"/>
        </w:rPr>
        <w:t>has hindered endeavours to improve understandings and measures of the broader impact of research (</w:t>
      </w:r>
      <w:proofErr w:type="spellStart"/>
      <w:r w:rsidRPr="00966D98">
        <w:rPr>
          <w:rFonts w:ascii="Garamond" w:hAnsi="Garamond"/>
          <w:lang w:val="en-GB"/>
        </w:rPr>
        <w:t>Muhonen</w:t>
      </w:r>
      <w:proofErr w:type="spellEnd"/>
      <w:r w:rsidRPr="00966D98">
        <w:rPr>
          <w:rFonts w:ascii="Garamond" w:hAnsi="Garamond"/>
          <w:lang w:val="en-GB"/>
        </w:rPr>
        <w:t xml:space="preserve">, </w:t>
      </w:r>
      <w:proofErr w:type="spellStart"/>
      <w:r w:rsidRPr="00966D98">
        <w:rPr>
          <w:rFonts w:ascii="Garamond" w:hAnsi="Garamond"/>
          <w:lang w:val="en-GB"/>
        </w:rPr>
        <w:t>Benneworth</w:t>
      </w:r>
      <w:proofErr w:type="spellEnd"/>
      <w:r w:rsidRPr="00966D98">
        <w:rPr>
          <w:rFonts w:ascii="Garamond" w:hAnsi="Garamond"/>
          <w:lang w:val="en-GB"/>
        </w:rPr>
        <w:t xml:space="preserve"> &amp; Olmos-</w:t>
      </w:r>
      <w:proofErr w:type="spellStart"/>
      <w:r w:rsidRPr="00966D98">
        <w:rPr>
          <w:rFonts w:ascii="Garamond" w:hAnsi="Garamond"/>
          <w:lang w:val="en-GB"/>
        </w:rPr>
        <w:t>Peñuela</w:t>
      </w:r>
      <w:proofErr w:type="spellEnd"/>
      <w:r w:rsidR="00D42729" w:rsidRPr="00966D98">
        <w:rPr>
          <w:rFonts w:ascii="Garamond" w:hAnsi="Garamond"/>
          <w:lang w:val="en-GB"/>
        </w:rPr>
        <w:t xml:space="preserve"> 2</w:t>
      </w:r>
      <w:r w:rsidRPr="00966D98">
        <w:rPr>
          <w:rFonts w:ascii="Garamond" w:hAnsi="Garamond"/>
          <w:lang w:val="en-GB"/>
        </w:rPr>
        <w:t xml:space="preserve">019). </w:t>
      </w:r>
      <w:r w:rsidR="00496D9F" w:rsidRPr="00966D98">
        <w:rPr>
          <w:rFonts w:ascii="Garamond" w:hAnsi="Garamond"/>
          <w:lang w:val="en-GB"/>
        </w:rPr>
        <w:t>As Milat</w:t>
      </w:r>
      <w:r w:rsidR="00B00ADB" w:rsidRPr="00966D98">
        <w:rPr>
          <w:rFonts w:ascii="Garamond" w:hAnsi="Garamond"/>
          <w:lang w:val="en-GB"/>
        </w:rPr>
        <w:t>,</w:t>
      </w:r>
      <w:r w:rsidR="00496D9F" w:rsidRPr="00966D98">
        <w:rPr>
          <w:rFonts w:ascii="Garamond" w:hAnsi="Garamond"/>
          <w:lang w:val="en-GB"/>
        </w:rPr>
        <w:t xml:space="preserve"> </w:t>
      </w:r>
      <w:r w:rsidR="00B00ADB" w:rsidRPr="00966D98">
        <w:rPr>
          <w:rFonts w:ascii="Garamond" w:hAnsi="Garamond"/>
          <w:lang w:val="en-GB"/>
        </w:rPr>
        <w:t>Bauman and Redman (2015</w:t>
      </w:r>
      <w:r w:rsidR="00422C17" w:rsidRPr="00966D98">
        <w:rPr>
          <w:rFonts w:ascii="Garamond" w:hAnsi="Garamond"/>
          <w:lang w:val="en-GB"/>
        </w:rPr>
        <w:t>, p. 13</w:t>
      </w:r>
      <w:r w:rsidR="00B00ADB" w:rsidRPr="00966D98">
        <w:rPr>
          <w:rFonts w:ascii="Garamond" w:hAnsi="Garamond"/>
          <w:lang w:val="en-GB"/>
        </w:rPr>
        <w:t>)</w:t>
      </w:r>
      <w:r w:rsidR="00496D9F" w:rsidRPr="00966D98">
        <w:rPr>
          <w:rFonts w:ascii="Garamond" w:hAnsi="Garamond"/>
          <w:lang w:val="en-GB"/>
        </w:rPr>
        <w:t xml:space="preserve"> explain</w:t>
      </w:r>
      <w:r w:rsidR="00B00ADB" w:rsidRPr="00966D98">
        <w:rPr>
          <w:rFonts w:ascii="Garamond" w:hAnsi="Garamond"/>
          <w:lang w:val="en-GB"/>
        </w:rPr>
        <w:t>,</w:t>
      </w:r>
      <w:r w:rsidR="00496D9F" w:rsidRPr="00966D98">
        <w:rPr>
          <w:rFonts w:ascii="Garamond" w:hAnsi="Garamond"/>
          <w:lang w:val="en-GB"/>
        </w:rPr>
        <w:t xml:space="preserve"> </w:t>
      </w:r>
      <w:r w:rsidR="004C5F88" w:rsidRPr="00966D98">
        <w:rPr>
          <w:rFonts w:ascii="Garamond" w:hAnsi="Garamond"/>
          <w:lang w:val="en-GB"/>
        </w:rPr>
        <w:t>‘</w:t>
      </w:r>
      <w:r w:rsidR="00496D9F" w:rsidRPr="00966D98">
        <w:rPr>
          <w:rFonts w:ascii="Garamond" w:hAnsi="Garamond"/>
          <w:lang w:val="en-GB"/>
        </w:rPr>
        <w:t>research impacts are complex, non-linear, and unpredictable in nature and there is a propensity to ‘count what can be easily measured’, rather than measuring what ‘counts’ in terms of significant, enduring changes.</w:t>
      </w:r>
      <w:r w:rsidR="004C5F88" w:rsidRPr="00966D98">
        <w:rPr>
          <w:rFonts w:ascii="Garamond" w:hAnsi="Garamond"/>
          <w:lang w:val="en-GB"/>
        </w:rPr>
        <w:t>’</w:t>
      </w:r>
      <w:r w:rsidR="00496D9F" w:rsidRPr="00966D98">
        <w:rPr>
          <w:rFonts w:ascii="Garamond" w:hAnsi="Garamond"/>
          <w:lang w:val="en-GB"/>
        </w:rPr>
        <w:t xml:space="preserve"> </w:t>
      </w:r>
      <w:r w:rsidR="00EE6568" w:rsidRPr="00966D98">
        <w:rPr>
          <w:rFonts w:ascii="Garamond" w:hAnsi="Garamond"/>
          <w:lang w:val="en-GB"/>
        </w:rPr>
        <w:t>Thus, there is a lack of</w:t>
      </w:r>
      <w:r w:rsidR="00B008DD" w:rsidRPr="00966D98">
        <w:rPr>
          <w:rFonts w:ascii="Garamond" w:hAnsi="Garamond"/>
          <w:lang w:val="en-GB"/>
        </w:rPr>
        <w:t xml:space="preserve"> empirical and policy interest in </w:t>
      </w:r>
      <w:r w:rsidR="00EE6568" w:rsidRPr="00966D98">
        <w:rPr>
          <w:rFonts w:ascii="Garamond" w:hAnsi="Garamond"/>
          <w:lang w:val="en-GB"/>
        </w:rPr>
        <w:t>more nuanced</w:t>
      </w:r>
      <w:r w:rsidR="00B008DD" w:rsidRPr="00966D98">
        <w:rPr>
          <w:rFonts w:ascii="Garamond" w:hAnsi="Garamond"/>
          <w:lang w:val="en-GB"/>
        </w:rPr>
        <w:t xml:space="preserve"> frameworks</w:t>
      </w:r>
      <w:r w:rsidR="00A2690F" w:rsidRPr="00966D98">
        <w:rPr>
          <w:rFonts w:ascii="Garamond" w:hAnsi="Garamond"/>
          <w:lang w:val="en-GB"/>
        </w:rPr>
        <w:t xml:space="preserve">, </w:t>
      </w:r>
      <w:r w:rsidR="00136303" w:rsidRPr="00966D98">
        <w:rPr>
          <w:rFonts w:ascii="Garamond" w:hAnsi="Garamond"/>
          <w:lang w:val="en-GB"/>
        </w:rPr>
        <w:t xml:space="preserve">combined with </w:t>
      </w:r>
      <w:r w:rsidR="00EE6568" w:rsidRPr="00966D98">
        <w:rPr>
          <w:rFonts w:ascii="Garamond" w:hAnsi="Garamond"/>
          <w:lang w:val="en-GB"/>
        </w:rPr>
        <w:t>current policy imperatives that prevent deepening</w:t>
      </w:r>
      <w:r w:rsidR="00B008DD" w:rsidRPr="00966D98">
        <w:rPr>
          <w:rFonts w:ascii="Garamond" w:hAnsi="Garamond"/>
          <w:lang w:val="en-GB"/>
        </w:rPr>
        <w:t xml:space="preserve"> </w:t>
      </w:r>
      <w:r w:rsidR="00EE6568" w:rsidRPr="00966D98">
        <w:rPr>
          <w:rFonts w:ascii="Garamond" w:hAnsi="Garamond"/>
          <w:lang w:val="en-GB"/>
        </w:rPr>
        <w:t>conceptualisations</w:t>
      </w:r>
      <w:r w:rsidR="00B008DD" w:rsidRPr="00966D98">
        <w:rPr>
          <w:rFonts w:ascii="Garamond" w:hAnsi="Garamond"/>
          <w:lang w:val="en-GB"/>
        </w:rPr>
        <w:t xml:space="preserve"> of impact. </w:t>
      </w:r>
      <w:r w:rsidRPr="00966D98">
        <w:rPr>
          <w:rFonts w:ascii="Garamond" w:hAnsi="Garamond"/>
          <w:color w:val="000000" w:themeColor="text1"/>
          <w:lang w:val="en-GB"/>
        </w:rPr>
        <w:t>T</w:t>
      </w:r>
      <w:r w:rsidR="0039689D" w:rsidRPr="00966D98">
        <w:rPr>
          <w:rFonts w:ascii="Garamond" w:hAnsi="Garamond"/>
          <w:color w:val="000000" w:themeColor="text1"/>
          <w:lang w:val="en-GB"/>
        </w:rPr>
        <w:t xml:space="preserve">here is a need to </w:t>
      </w:r>
      <w:r w:rsidRPr="00966D98">
        <w:rPr>
          <w:rFonts w:ascii="Garamond" w:hAnsi="Garamond"/>
          <w:color w:val="000000" w:themeColor="text1"/>
          <w:lang w:val="en-GB"/>
        </w:rPr>
        <w:t xml:space="preserve">move </w:t>
      </w:r>
      <w:r w:rsidR="003D6546" w:rsidRPr="00966D98">
        <w:rPr>
          <w:rFonts w:ascii="Garamond" w:hAnsi="Garamond"/>
          <w:color w:val="000000" w:themeColor="text1"/>
          <w:lang w:val="en-GB"/>
        </w:rPr>
        <w:t>from</w:t>
      </w:r>
      <w:r w:rsidRPr="00966D98">
        <w:rPr>
          <w:rFonts w:ascii="Garamond" w:hAnsi="Garamond"/>
          <w:color w:val="000000" w:themeColor="text1"/>
          <w:lang w:val="en-GB"/>
        </w:rPr>
        <w:t xml:space="preserve"> this pragmati</w:t>
      </w:r>
      <w:r w:rsidR="00BD70E1" w:rsidRPr="00966D98">
        <w:rPr>
          <w:rFonts w:ascii="Garamond" w:hAnsi="Garamond"/>
          <w:color w:val="000000" w:themeColor="text1"/>
          <w:lang w:val="en-GB"/>
        </w:rPr>
        <w:t>c stand-off</w:t>
      </w:r>
      <w:r w:rsidRPr="00966D98">
        <w:rPr>
          <w:rFonts w:ascii="Garamond" w:hAnsi="Garamond"/>
          <w:color w:val="000000" w:themeColor="text1"/>
          <w:lang w:val="en-GB"/>
        </w:rPr>
        <w:t xml:space="preserve"> to</w:t>
      </w:r>
      <w:r w:rsidR="003D6546" w:rsidRPr="00966D98">
        <w:rPr>
          <w:rFonts w:ascii="Garamond" w:hAnsi="Garamond"/>
          <w:color w:val="000000" w:themeColor="text1"/>
          <w:lang w:val="en-GB"/>
        </w:rPr>
        <w:t xml:space="preserve"> </w:t>
      </w:r>
      <w:r w:rsidR="00A66C67" w:rsidRPr="00966D98">
        <w:rPr>
          <w:rFonts w:ascii="Garamond" w:hAnsi="Garamond"/>
          <w:color w:val="000000" w:themeColor="text1"/>
          <w:lang w:val="en-GB"/>
        </w:rPr>
        <w:t>a</w:t>
      </w:r>
      <w:r w:rsidR="001D48DC" w:rsidRPr="00966D98">
        <w:rPr>
          <w:rFonts w:ascii="Garamond" w:hAnsi="Garamond"/>
          <w:color w:val="000000" w:themeColor="text1"/>
          <w:lang w:val="en-GB"/>
        </w:rPr>
        <w:t xml:space="preserve"> new framework for </w:t>
      </w:r>
      <w:r w:rsidR="0039689D" w:rsidRPr="00966D98">
        <w:rPr>
          <w:rFonts w:ascii="Garamond" w:hAnsi="Garamond"/>
          <w:color w:val="000000" w:themeColor="text1"/>
          <w:lang w:val="en-GB"/>
        </w:rPr>
        <w:t xml:space="preserve">understanding </w:t>
      </w:r>
      <w:r w:rsidR="00BD70E1" w:rsidRPr="00966D98">
        <w:rPr>
          <w:rFonts w:ascii="Garamond" w:hAnsi="Garamond"/>
          <w:color w:val="000000" w:themeColor="text1"/>
          <w:lang w:val="en-GB"/>
        </w:rPr>
        <w:t xml:space="preserve">the </w:t>
      </w:r>
      <w:r w:rsidR="0039689D" w:rsidRPr="00966D98">
        <w:rPr>
          <w:rFonts w:ascii="Garamond" w:hAnsi="Garamond"/>
          <w:color w:val="000000" w:themeColor="text1"/>
          <w:lang w:val="en-GB"/>
        </w:rPr>
        <w:t xml:space="preserve">patterns of value and </w:t>
      </w:r>
      <w:r w:rsidR="000B25D6" w:rsidRPr="00966D98">
        <w:rPr>
          <w:rFonts w:ascii="Garamond" w:hAnsi="Garamond"/>
          <w:color w:val="000000" w:themeColor="text1"/>
          <w:lang w:val="en-GB"/>
        </w:rPr>
        <w:t>power</w:t>
      </w:r>
      <w:r w:rsidR="0039689D" w:rsidRPr="00966D98">
        <w:rPr>
          <w:rFonts w:ascii="Garamond" w:hAnsi="Garamond"/>
          <w:color w:val="000000" w:themeColor="text1"/>
          <w:lang w:val="en-GB"/>
        </w:rPr>
        <w:t xml:space="preserve"> that underlie different systems of evaluation. </w:t>
      </w:r>
    </w:p>
    <w:p w14:paraId="56211F97" w14:textId="7E64E831" w:rsidR="004F678B" w:rsidRPr="00966D98" w:rsidRDefault="004F678B" w:rsidP="00DF48B8">
      <w:pPr>
        <w:spacing w:before="120" w:after="120" w:line="360" w:lineRule="auto"/>
        <w:jc w:val="both"/>
        <w:rPr>
          <w:rFonts w:ascii="Garamond" w:hAnsi="Garamond"/>
          <w:b/>
        </w:rPr>
      </w:pPr>
      <w:r w:rsidRPr="00966D98">
        <w:rPr>
          <w:rFonts w:ascii="Garamond" w:hAnsi="Garamond"/>
          <w:b/>
        </w:rPr>
        <w:t xml:space="preserve">The operation of research evaluation through </w:t>
      </w:r>
      <w:r w:rsidR="00C3045F" w:rsidRPr="00966D98">
        <w:rPr>
          <w:rFonts w:ascii="Garamond" w:hAnsi="Garamond"/>
          <w:b/>
        </w:rPr>
        <w:t>existing</w:t>
      </w:r>
      <w:r w:rsidRPr="00966D98">
        <w:rPr>
          <w:rFonts w:ascii="Garamond" w:hAnsi="Garamond"/>
          <w:b/>
        </w:rPr>
        <w:t xml:space="preserve"> approaches</w:t>
      </w:r>
    </w:p>
    <w:p w14:paraId="5C7FBA2B" w14:textId="5A356FE9" w:rsidR="004F678B" w:rsidRPr="00966D98" w:rsidRDefault="009B1F7A" w:rsidP="00DF48B8">
      <w:pPr>
        <w:pStyle w:val="Body"/>
        <w:spacing w:before="120" w:after="120" w:line="360" w:lineRule="auto"/>
        <w:ind w:firstLine="284"/>
        <w:jc w:val="both"/>
        <w:rPr>
          <w:rFonts w:ascii="Garamond" w:hAnsi="Garamond"/>
          <w:lang w:val="en-GB"/>
        </w:rPr>
      </w:pPr>
      <w:r w:rsidRPr="00966D98">
        <w:rPr>
          <w:rFonts w:ascii="Garamond" w:hAnsi="Garamond"/>
          <w:lang w:val="en-GB"/>
        </w:rPr>
        <w:t xml:space="preserve">The increased attention </w:t>
      </w:r>
      <w:r w:rsidR="00D56E21" w:rsidRPr="00966D98">
        <w:rPr>
          <w:rFonts w:ascii="Garamond" w:hAnsi="Garamond"/>
          <w:lang w:val="en-GB"/>
        </w:rPr>
        <w:t>to</w:t>
      </w:r>
      <w:r w:rsidRPr="00966D98">
        <w:rPr>
          <w:rFonts w:ascii="Garamond" w:hAnsi="Garamond"/>
          <w:lang w:val="en-GB"/>
        </w:rPr>
        <w:t xml:space="preserve"> the wider contribution that research makes to society (</w:t>
      </w:r>
      <w:proofErr w:type="spellStart"/>
      <w:r w:rsidRPr="00966D98">
        <w:rPr>
          <w:rFonts w:ascii="Garamond" w:hAnsi="Garamond"/>
          <w:lang w:val="en-GB"/>
        </w:rPr>
        <w:t>Bornmann</w:t>
      </w:r>
      <w:proofErr w:type="spellEnd"/>
      <w:r w:rsidR="00D42729" w:rsidRPr="00966D98">
        <w:rPr>
          <w:rFonts w:ascii="Garamond" w:hAnsi="Garamond"/>
          <w:lang w:val="en-GB"/>
        </w:rPr>
        <w:t xml:space="preserve"> 2</w:t>
      </w:r>
      <w:r w:rsidRPr="00966D98">
        <w:rPr>
          <w:rFonts w:ascii="Garamond" w:hAnsi="Garamond"/>
          <w:lang w:val="en-GB"/>
        </w:rPr>
        <w:t>012; Donovan</w:t>
      </w:r>
      <w:r w:rsidR="00D42729" w:rsidRPr="00966D98">
        <w:rPr>
          <w:rFonts w:ascii="Garamond" w:hAnsi="Garamond"/>
          <w:lang w:val="en-GB"/>
        </w:rPr>
        <w:t xml:space="preserve"> 2</w:t>
      </w:r>
      <w:r w:rsidRPr="00966D98">
        <w:rPr>
          <w:rFonts w:ascii="Garamond" w:hAnsi="Garamond"/>
          <w:lang w:val="en-GB"/>
        </w:rPr>
        <w:t xml:space="preserve">011; </w:t>
      </w:r>
      <w:proofErr w:type="spellStart"/>
      <w:r w:rsidRPr="00966D98">
        <w:rPr>
          <w:rFonts w:ascii="Garamond" w:hAnsi="Garamond"/>
          <w:lang w:val="en-GB"/>
        </w:rPr>
        <w:t>Wouters</w:t>
      </w:r>
      <w:proofErr w:type="spellEnd"/>
      <w:r w:rsidR="00D42729" w:rsidRPr="00966D98">
        <w:rPr>
          <w:rFonts w:ascii="Garamond" w:hAnsi="Garamond"/>
          <w:lang w:val="en-GB"/>
        </w:rPr>
        <w:t xml:space="preserve"> 2</w:t>
      </w:r>
      <w:r w:rsidRPr="00966D98">
        <w:rPr>
          <w:rFonts w:ascii="Garamond" w:hAnsi="Garamond"/>
          <w:lang w:val="en-GB"/>
        </w:rPr>
        <w:t>014) has been wrapped up in the</w:t>
      </w:r>
      <w:r w:rsidR="004F678B" w:rsidRPr="00966D98">
        <w:rPr>
          <w:rFonts w:ascii="Garamond" w:hAnsi="Garamond"/>
          <w:lang w:val="en-GB"/>
        </w:rPr>
        <w:t xml:space="preserve"> reformulation of science systems</w:t>
      </w:r>
      <w:r w:rsidRPr="00966D98">
        <w:rPr>
          <w:rFonts w:ascii="Garamond" w:hAnsi="Garamond"/>
          <w:lang w:val="en-GB"/>
        </w:rPr>
        <w:t xml:space="preserve"> that has occurred over the last few decades. There has been a shift</w:t>
      </w:r>
      <w:r w:rsidR="004F678B" w:rsidRPr="00966D98">
        <w:rPr>
          <w:rFonts w:ascii="Garamond" w:hAnsi="Garamond"/>
          <w:lang w:val="en-GB"/>
        </w:rPr>
        <w:t xml:space="preserve"> towards more applied, socially accountable research, produced by an increasingly diverse set of research institutions, with greater emphasis on the costs, output and quality of research (Davies, </w:t>
      </w:r>
      <w:proofErr w:type="spellStart"/>
      <w:r w:rsidR="004F678B" w:rsidRPr="00966D98">
        <w:rPr>
          <w:rFonts w:ascii="Garamond" w:hAnsi="Garamond"/>
          <w:lang w:val="en-GB"/>
        </w:rPr>
        <w:t>Gottsche</w:t>
      </w:r>
      <w:proofErr w:type="spellEnd"/>
      <w:r w:rsidR="004F678B" w:rsidRPr="00966D98">
        <w:rPr>
          <w:rFonts w:ascii="Garamond" w:hAnsi="Garamond"/>
          <w:lang w:val="en-GB"/>
        </w:rPr>
        <w:t xml:space="preserve">, &amp; </w:t>
      </w:r>
      <w:proofErr w:type="spellStart"/>
      <w:r w:rsidR="004F678B" w:rsidRPr="00966D98">
        <w:rPr>
          <w:rFonts w:ascii="Garamond" w:hAnsi="Garamond"/>
          <w:lang w:val="en-GB"/>
        </w:rPr>
        <w:t>Bansel</w:t>
      </w:r>
      <w:proofErr w:type="spellEnd"/>
      <w:r w:rsidR="00D42729" w:rsidRPr="00966D98">
        <w:rPr>
          <w:rFonts w:ascii="Garamond" w:hAnsi="Garamond"/>
          <w:lang w:val="en-GB"/>
        </w:rPr>
        <w:t xml:space="preserve"> 2</w:t>
      </w:r>
      <w:r w:rsidR="004F678B" w:rsidRPr="00966D98">
        <w:rPr>
          <w:rFonts w:ascii="Garamond" w:hAnsi="Garamond"/>
          <w:lang w:val="en-GB"/>
        </w:rPr>
        <w:t xml:space="preserve">006; </w:t>
      </w:r>
      <w:proofErr w:type="spellStart"/>
      <w:r w:rsidR="004F678B" w:rsidRPr="00966D98">
        <w:rPr>
          <w:rFonts w:ascii="Garamond" w:hAnsi="Garamond"/>
          <w:lang w:val="en-GB"/>
        </w:rPr>
        <w:t>Vidovich</w:t>
      </w:r>
      <w:proofErr w:type="spellEnd"/>
      <w:r w:rsidR="004F678B" w:rsidRPr="00966D98">
        <w:rPr>
          <w:rFonts w:ascii="Garamond" w:hAnsi="Garamond"/>
          <w:lang w:val="en-GB"/>
        </w:rPr>
        <w:t xml:space="preserve"> &amp; Currie</w:t>
      </w:r>
      <w:r w:rsidR="00D42729" w:rsidRPr="00966D98">
        <w:rPr>
          <w:rFonts w:ascii="Garamond" w:hAnsi="Garamond"/>
          <w:lang w:val="en-GB"/>
        </w:rPr>
        <w:t xml:space="preserve"> 1</w:t>
      </w:r>
      <w:r w:rsidR="004F678B" w:rsidRPr="00966D98">
        <w:rPr>
          <w:rFonts w:ascii="Garamond" w:hAnsi="Garamond"/>
          <w:lang w:val="en-GB"/>
        </w:rPr>
        <w:t xml:space="preserve">998). </w:t>
      </w:r>
      <w:r w:rsidR="00435D76" w:rsidRPr="00966D98">
        <w:rPr>
          <w:rFonts w:ascii="Garamond" w:hAnsi="Garamond"/>
          <w:lang w:val="en-GB"/>
        </w:rPr>
        <w:t>Many a</w:t>
      </w:r>
      <w:r w:rsidR="004F678B" w:rsidRPr="00966D98">
        <w:rPr>
          <w:rFonts w:ascii="Garamond" w:hAnsi="Garamond"/>
          <w:lang w:val="en-GB"/>
        </w:rPr>
        <w:t>uthors have noted a broader transformation in the allocation of public resources towards principles of efficiency, cost-effectiveness and operational rationality, resulting from a shift away from collegial administration</w:t>
      </w:r>
      <w:r w:rsidR="00B3179F" w:rsidRPr="00966D98">
        <w:rPr>
          <w:rFonts w:ascii="Garamond" w:hAnsi="Garamond"/>
          <w:lang w:val="en-GB"/>
        </w:rPr>
        <w:t xml:space="preserve"> </w:t>
      </w:r>
      <w:r w:rsidR="004F678B" w:rsidRPr="00966D98">
        <w:rPr>
          <w:rFonts w:ascii="Garamond" w:hAnsi="Garamond"/>
          <w:lang w:val="en-GB"/>
        </w:rPr>
        <w:t>to a more commercial system of management</w:t>
      </w:r>
      <w:r w:rsidR="00B3179F" w:rsidRPr="00966D98">
        <w:rPr>
          <w:rFonts w:ascii="Garamond" w:hAnsi="Garamond"/>
          <w:lang w:val="en-GB"/>
        </w:rPr>
        <w:t xml:space="preserve"> (Hood 1991; Parker &amp; Guthrie 1993).</w:t>
      </w:r>
      <w:r w:rsidR="004F678B" w:rsidRPr="00966D98">
        <w:rPr>
          <w:rFonts w:ascii="Garamond" w:hAnsi="Garamond"/>
          <w:lang w:val="en-GB"/>
        </w:rPr>
        <w:t xml:space="preserve"> This shift</w:t>
      </w:r>
      <w:r w:rsidR="007941D6" w:rsidRPr="00966D98">
        <w:rPr>
          <w:rFonts w:ascii="Garamond" w:hAnsi="Garamond"/>
          <w:lang w:val="en-GB"/>
        </w:rPr>
        <w:t xml:space="preserve"> </w:t>
      </w:r>
      <w:r w:rsidR="004F678B" w:rsidRPr="00966D98">
        <w:rPr>
          <w:rFonts w:ascii="Garamond" w:hAnsi="Garamond"/>
          <w:lang w:val="en-GB"/>
        </w:rPr>
        <w:t>has moved the focus towards efficiency and transparency through performance management practices</w:t>
      </w:r>
      <w:r w:rsidR="00B3179F" w:rsidRPr="00966D98">
        <w:rPr>
          <w:rFonts w:ascii="Garamond" w:hAnsi="Garamond"/>
          <w:lang w:val="en-GB"/>
        </w:rPr>
        <w:t xml:space="preserve">, which reflect the promotion of competition, instrumentality, and privatisation (Deem 2004, </w:t>
      </w:r>
      <w:proofErr w:type="spellStart"/>
      <w:r w:rsidR="00B3179F" w:rsidRPr="00966D98">
        <w:rPr>
          <w:rFonts w:ascii="Garamond" w:hAnsi="Garamond"/>
          <w:lang w:val="en-GB"/>
        </w:rPr>
        <w:t>Leisyte</w:t>
      </w:r>
      <w:proofErr w:type="spellEnd"/>
      <w:r w:rsidR="00B3179F" w:rsidRPr="00966D98">
        <w:rPr>
          <w:rFonts w:ascii="Garamond" w:hAnsi="Garamond"/>
          <w:lang w:val="en-GB"/>
        </w:rPr>
        <w:t xml:space="preserve"> &amp; Dee 2012).</w:t>
      </w:r>
      <w:r w:rsidR="004F678B" w:rsidRPr="00966D98">
        <w:rPr>
          <w:rFonts w:ascii="Garamond" w:hAnsi="Garamond"/>
          <w:lang w:val="en-GB"/>
        </w:rPr>
        <w:t xml:space="preserve"> </w:t>
      </w:r>
      <w:r w:rsidR="007B1DC6" w:rsidRPr="00966D98">
        <w:rPr>
          <w:rFonts w:ascii="Garamond" w:hAnsi="Garamond"/>
          <w:lang w:val="en-GB"/>
        </w:rPr>
        <w:t xml:space="preserve">Universities thus now exist within a complex commercial and intellectual milieu. </w:t>
      </w:r>
      <w:r w:rsidR="004F678B" w:rsidRPr="00966D98">
        <w:rPr>
          <w:rFonts w:ascii="Garamond" w:hAnsi="Garamond"/>
          <w:lang w:val="en-GB"/>
        </w:rPr>
        <w:t>For example, public universities increasingly resemble corporations (Schramm</w:t>
      </w:r>
      <w:r w:rsidR="00D42729" w:rsidRPr="00966D98">
        <w:rPr>
          <w:rFonts w:ascii="Garamond" w:hAnsi="Garamond"/>
          <w:lang w:val="en-GB"/>
        </w:rPr>
        <w:t xml:space="preserve"> 2</w:t>
      </w:r>
      <w:r w:rsidR="004F678B" w:rsidRPr="00966D98">
        <w:rPr>
          <w:rFonts w:ascii="Garamond" w:hAnsi="Garamond"/>
          <w:lang w:val="en-GB"/>
        </w:rPr>
        <w:t>008</w:t>
      </w:r>
      <w:r w:rsidR="00F952B2" w:rsidRPr="00966D98">
        <w:rPr>
          <w:rFonts w:ascii="Garamond" w:hAnsi="Garamond"/>
          <w:lang w:val="en-GB"/>
        </w:rPr>
        <w:t xml:space="preserve">; </w:t>
      </w:r>
      <w:proofErr w:type="spellStart"/>
      <w:r w:rsidR="00F952B2" w:rsidRPr="00966D98">
        <w:rPr>
          <w:rFonts w:ascii="Garamond" w:hAnsi="Garamond"/>
          <w:lang w:val="en-GB"/>
        </w:rPr>
        <w:t>Burawoy</w:t>
      </w:r>
      <w:proofErr w:type="spellEnd"/>
      <w:r w:rsidR="00F952B2" w:rsidRPr="00966D98">
        <w:rPr>
          <w:rFonts w:ascii="Garamond" w:hAnsi="Garamond"/>
          <w:lang w:val="en-GB"/>
        </w:rPr>
        <w:t>, 2012</w:t>
      </w:r>
      <w:r w:rsidR="004F678B" w:rsidRPr="00966D98">
        <w:rPr>
          <w:rFonts w:ascii="Garamond" w:hAnsi="Garamond"/>
          <w:lang w:val="en-GB"/>
        </w:rPr>
        <w:t>), which emphasise ‘outputs’, ‘outcomes’ and ‘key performance indicators’, and which ‘manage’ academics and intellectual labour using overt performance and quality indicators for research and teaching (Deem</w:t>
      </w:r>
      <w:r w:rsidR="00D42729" w:rsidRPr="00966D98">
        <w:rPr>
          <w:rFonts w:ascii="Garamond" w:hAnsi="Garamond"/>
          <w:lang w:val="en-GB"/>
        </w:rPr>
        <w:t xml:space="preserve"> 2</w:t>
      </w:r>
      <w:r w:rsidR="004F678B" w:rsidRPr="00966D98">
        <w:rPr>
          <w:rFonts w:ascii="Garamond" w:hAnsi="Garamond"/>
          <w:lang w:val="en-GB"/>
        </w:rPr>
        <w:t>004).</w:t>
      </w:r>
      <w:r w:rsidR="00DE79A4" w:rsidRPr="00966D98">
        <w:rPr>
          <w:rFonts w:ascii="Garamond" w:hAnsi="Garamond"/>
          <w:lang w:val="en-GB"/>
        </w:rPr>
        <w:t xml:space="preserve"> </w:t>
      </w:r>
      <w:r w:rsidR="00014EB7" w:rsidRPr="00966D98">
        <w:rPr>
          <w:rFonts w:ascii="Garamond" w:hAnsi="Garamond"/>
          <w:lang w:val="en-GB"/>
        </w:rPr>
        <w:t>A</w:t>
      </w:r>
      <w:r w:rsidR="007B1DC6" w:rsidRPr="00966D98">
        <w:rPr>
          <w:rFonts w:ascii="Garamond" w:hAnsi="Garamond"/>
          <w:lang w:val="en-GB"/>
        </w:rPr>
        <w:t xml:space="preserve"> range of evaluation measures</w:t>
      </w:r>
      <w:r w:rsidR="00B3179F" w:rsidRPr="00966D98">
        <w:rPr>
          <w:rFonts w:ascii="Garamond" w:hAnsi="Garamond"/>
          <w:lang w:val="en-GB"/>
        </w:rPr>
        <w:t xml:space="preserve"> are now employed for a </w:t>
      </w:r>
      <w:r w:rsidR="007B1DC6" w:rsidRPr="00966D98">
        <w:rPr>
          <w:rFonts w:ascii="Garamond" w:hAnsi="Garamond"/>
          <w:lang w:val="en-GB"/>
        </w:rPr>
        <w:t>variety of</w:t>
      </w:r>
      <w:r w:rsidR="00B3179F" w:rsidRPr="00966D98">
        <w:rPr>
          <w:rFonts w:ascii="Garamond" w:hAnsi="Garamond"/>
          <w:lang w:val="en-GB"/>
        </w:rPr>
        <w:t xml:space="preserve"> purposes, including managing </w:t>
      </w:r>
      <w:r w:rsidR="007941D6" w:rsidRPr="00966D98">
        <w:rPr>
          <w:rFonts w:ascii="Garamond" w:hAnsi="Garamond"/>
          <w:lang w:val="en-GB"/>
        </w:rPr>
        <w:t>internal performance</w:t>
      </w:r>
      <w:r w:rsidR="00B3179F" w:rsidRPr="00966D98">
        <w:rPr>
          <w:rFonts w:ascii="Garamond" w:hAnsi="Garamond"/>
          <w:lang w:val="en-GB"/>
        </w:rPr>
        <w:t xml:space="preserve">, </w:t>
      </w:r>
      <w:r w:rsidR="007B1DC6" w:rsidRPr="00966D98">
        <w:rPr>
          <w:rFonts w:ascii="Garamond" w:hAnsi="Garamond"/>
          <w:lang w:val="en-GB"/>
        </w:rPr>
        <w:t xml:space="preserve">allocating funds, </w:t>
      </w:r>
      <w:r w:rsidR="00B3179F" w:rsidRPr="00966D98">
        <w:rPr>
          <w:rFonts w:ascii="Garamond" w:hAnsi="Garamond"/>
          <w:lang w:val="en-GB"/>
        </w:rPr>
        <w:t xml:space="preserve">demonstrating public accountability, showcasing competitiveness and generating business </w:t>
      </w:r>
      <w:r w:rsidR="00154B2C" w:rsidRPr="00966D98">
        <w:rPr>
          <w:rFonts w:ascii="Garamond" w:hAnsi="Garamond"/>
          <w:lang w:val="en-GB"/>
        </w:rPr>
        <w:t>through</w:t>
      </w:r>
      <w:r w:rsidR="00B3179F" w:rsidRPr="00966D98">
        <w:rPr>
          <w:rFonts w:ascii="Garamond" w:hAnsi="Garamond"/>
          <w:lang w:val="en-GB"/>
        </w:rPr>
        <w:t xml:space="preserve"> recruitment of students and staff.</w:t>
      </w:r>
      <w:r w:rsidR="007941D6" w:rsidRPr="00966D98">
        <w:rPr>
          <w:rFonts w:ascii="Garamond" w:hAnsi="Garamond"/>
          <w:lang w:val="en-GB"/>
        </w:rPr>
        <w:t> </w:t>
      </w:r>
    </w:p>
    <w:p w14:paraId="1848FED2" w14:textId="08F9441F" w:rsidR="004F678B" w:rsidRPr="00966D98" w:rsidRDefault="00014EB7">
      <w:pPr>
        <w:pStyle w:val="Body"/>
        <w:spacing w:before="120" w:after="120" w:line="360" w:lineRule="auto"/>
        <w:ind w:firstLine="284"/>
        <w:jc w:val="both"/>
        <w:rPr>
          <w:rFonts w:ascii="Garamond" w:hAnsi="Garamond"/>
          <w:color w:val="000000" w:themeColor="text1"/>
          <w:lang w:val="en-GB"/>
        </w:rPr>
      </w:pPr>
      <w:r w:rsidRPr="00966D98">
        <w:rPr>
          <w:rFonts w:ascii="Garamond" w:hAnsi="Garamond"/>
          <w:lang w:val="en-GB"/>
        </w:rPr>
        <w:lastRenderedPageBreak/>
        <w:t>Within this context, r</w:t>
      </w:r>
      <w:r w:rsidR="000248AC" w:rsidRPr="00966D98">
        <w:rPr>
          <w:rFonts w:ascii="Garamond" w:hAnsi="Garamond"/>
          <w:lang w:val="en-GB"/>
        </w:rPr>
        <w:t>esearch impact assessmen</w:t>
      </w:r>
      <w:r w:rsidR="00DF5ADC" w:rsidRPr="00966D98">
        <w:rPr>
          <w:rFonts w:ascii="Garamond" w:hAnsi="Garamond"/>
          <w:lang w:val="en-GB"/>
        </w:rPr>
        <w:t>t has tended to involve two</w:t>
      </w:r>
      <w:r w:rsidR="002F3B2F" w:rsidRPr="00966D98">
        <w:rPr>
          <w:rFonts w:ascii="Garamond" w:hAnsi="Garamond"/>
          <w:lang w:val="en-GB"/>
        </w:rPr>
        <w:t xml:space="preserve"> </w:t>
      </w:r>
      <w:r w:rsidR="00DF5ADC" w:rsidRPr="00966D98">
        <w:rPr>
          <w:rFonts w:ascii="Garamond" w:hAnsi="Garamond"/>
          <w:lang w:val="en-GB"/>
        </w:rPr>
        <w:t>overarching categories; impact within the science system and impact outside of it.</w:t>
      </w:r>
      <w:r w:rsidR="000248AC" w:rsidRPr="00966D98">
        <w:rPr>
          <w:rFonts w:ascii="Garamond" w:hAnsi="Garamond"/>
          <w:lang w:val="en-GB"/>
        </w:rPr>
        <w:t xml:space="preserve"> </w:t>
      </w:r>
      <w:r w:rsidR="00F22109" w:rsidRPr="00966D98">
        <w:rPr>
          <w:rFonts w:ascii="Garamond" w:hAnsi="Garamond"/>
          <w:color w:val="000000" w:themeColor="text1"/>
          <w:lang w:val="en-GB"/>
        </w:rPr>
        <w:t xml:space="preserve">Table 1 shows examples of evaluation measures, loosely grouped according to these two prevalent categories and on a continuum from more to less established. </w:t>
      </w:r>
      <w:r w:rsidR="00FC60BE" w:rsidRPr="00966D98">
        <w:rPr>
          <w:rFonts w:ascii="Garamond" w:hAnsi="Garamond"/>
          <w:color w:val="000000" w:themeColor="text1"/>
          <w:lang w:val="en-GB"/>
        </w:rPr>
        <w:t xml:space="preserve">Scientific </w:t>
      </w:r>
      <w:r w:rsidR="004F678B" w:rsidRPr="00966D98">
        <w:rPr>
          <w:rFonts w:ascii="Garamond" w:hAnsi="Garamond"/>
          <w:color w:val="000000" w:themeColor="text1"/>
          <w:lang w:val="en-GB"/>
        </w:rPr>
        <w:t xml:space="preserve">impact </w:t>
      </w:r>
      <w:r w:rsidR="000248AC" w:rsidRPr="00966D98">
        <w:rPr>
          <w:rFonts w:ascii="Garamond" w:hAnsi="Garamond"/>
          <w:color w:val="000000" w:themeColor="text1"/>
          <w:lang w:val="en-GB"/>
        </w:rPr>
        <w:t>has</w:t>
      </w:r>
      <w:r w:rsidR="004F678B" w:rsidRPr="00966D98">
        <w:rPr>
          <w:rFonts w:ascii="Garamond" w:hAnsi="Garamond"/>
          <w:color w:val="000000" w:themeColor="text1"/>
          <w:lang w:val="en-GB"/>
        </w:rPr>
        <w:t xml:space="preserve"> primarily </w:t>
      </w:r>
      <w:r w:rsidR="009372FC" w:rsidRPr="00966D98">
        <w:rPr>
          <w:rFonts w:ascii="Garamond" w:hAnsi="Garamond"/>
          <w:color w:val="000000" w:themeColor="text1"/>
          <w:lang w:val="en-GB"/>
        </w:rPr>
        <w:t xml:space="preserve">been </w:t>
      </w:r>
      <w:r w:rsidR="004F678B" w:rsidRPr="00966D98">
        <w:rPr>
          <w:rFonts w:ascii="Garamond" w:hAnsi="Garamond"/>
          <w:color w:val="000000" w:themeColor="text1"/>
          <w:lang w:val="en-GB"/>
        </w:rPr>
        <w:t xml:space="preserve">derived through bibliometric methods, which involve factors including the number </w:t>
      </w:r>
      <w:r w:rsidR="00A45429" w:rsidRPr="00966D98">
        <w:rPr>
          <w:rFonts w:ascii="Garamond" w:hAnsi="Garamond"/>
          <w:color w:val="000000" w:themeColor="text1"/>
          <w:lang w:val="en-GB"/>
        </w:rPr>
        <w:t xml:space="preserve">of </w:t>
      </w:r>
      <w:r w:rsidR="004F678B" w:rsidRPr="00966D98">
        <w:rPr>
          <w:rFonts w:ascii="Garamond" w:hAnsi="Garamond"/>
          <w:color w:val="000000" w:themeColor="text1"/>
          <w:lang w:val="en-GB"/>
        </w:rPr>
        <w:t>publications and citations. These metrics focus on the influence of research within academia, and are often accompanied by</w:t>
      </w:r>
      <w:r w:rsidR="001701C4" w:rsidRPr="00966D98">
        <w:rPr>
          <w:rFonts w:ascii="Garamond" w:hAnsi="Garamond"/>
          <w:color w:val="000000" w:themeColor="text1"/>
          <w:lang w:val="en-GB"/>
        </w:rPr>
        <w:t xml:space="preserve"> other quantitative measures,</w:t>
      </w:r>
      <w:r w:rsidR="004F678B" w:rsidRPr="00966D98">
        <w:rPr>
          <w:rFonts w:ascii="Garamond" w:hAnsi="Garamond"/>
          <w:color w:val="000000" w:themeColor="text1"/>
          <w:lang w:val="en-GB"/>
        </w:rPr>
        <w:t xml:space="preserve"> for example research income, such as in </w:t>
      </w:r>
      <w:r w:rsidR="00A304AC" w:rsidRPr="00966D98">
        <w:rPr>
          <w:rFonts w:ascii="Garamond" w:hAnsi="Garamond"/>
          <w:color w:val="000000" w:themeColor="text1"/>
          <w:lang w:val="en-GB"/>
        </w:rPr>
        <w:t>Australia’s ERA</w:t>
      </w:r>
      <w:r w:rsidR="004F678B" w:rsidRPr="00966D98">
        <w:rPr>
          <w:rFonts w:ascii="Garamond" w:hAnsi="Garamond"/>
          <w:color w:val="000000" w:themeColor="text1"/>
          <w:lang w:val="en-GB"/>
        </w:rPr>
        <w:t xml:space="preserve"> and the U</w:t>
      </w:r>
      <w:r w:rsidR="00752A4D" w:rsidRPr="00966D98">
        <w:rPr>
          <w:rFonts w:ascii="Garamond" w:hAnsi="Garamond"/>
          <w:color w:val="000000" w:themeColor="text1"/>
          <w:lang w:val="en-GB"/>
        </w:rPr>
        <w:t xml:space="preserve">nited </w:t>
      </w:r>
      <w:r w:rsidR="004F678B" w:rsidRPr="00966D98">
        <w:rPr>
          <w:rFonts w:ascii="Garamond" w:hAnsi="Garamond"/>
          <w:color w:val="000000" w:themeColor="text1"/>
          <w:lang w:val="en-GB"/>
        </w:rPr>
        <w:t>S</w:t>
      </w:r>
      <w:r w:rsidR="00752A4D" w:rsidRPr="00966D98">
        <w:rPr>
          <w:rFonts w:ascii="Garamond" w:hAnsi="Garamond"/>
          <w:color w:val="000000" w:themeColor="text1"/>
          <w:lang w:val="en-GB"/>
        </w:rPr>
        <w:t>tates’</w:t>
      </w:r>
      <w:r w:rsidR="004F678B" w:rsidRPr="00966D98">
        <w:rPr>
          <w:rFonts w:ascii="Garamond" w:hAnsi="Garamond"/>
          <w:color w:val="000000" w:themeColor="text1"/>
          <w:lang w:val="en-GB"/>
        </w:rPr>
        <w:t xml:space="preserve"> STAR metrics. </w:t>
      </w:r>
      <w:r w:rsidR="00FC60BE" w:rsidRPr="00966D98">
        <w:rPr>
          <w:rFonts w:ascii="Garamond" w:hAnsi="Garamond"/>
          <w:color w:val="000000" w:themeColor="text1"/>
          <w:lang w:val="en-GB"/>
        </w:rPr>
        <w:t xml:space="preserve">Although </w:t>
      </w:r>
      <w:r w:rsidR="00C3447A" w:rsidRPr="00966D98">
        <w:rPr>
          <w:rFonts w:ascii="Garamond" w:hAnsi="Garamond"/>
          <w:color w:val="000000" w:themeColor="text1"/>
          <w:lang w:val="en-GB"/>
        </w:rPr>
        <w:t xml:space="preserve">scholarly </w:t>
      </w:r>
      <w:r w:rsidR="00FC60BE" w:rsidRPr="00966D98">
        <w:rPr>
          <w:rFonts w:ascii="Garamond" w:hAnsi="Garamond"/>
          <w:color w:val="000000" w:themeColor="text1"/>
          <w:lang w:val="en-GB"/>
        </w:rPr>
        <w:t xml:space="preserve">impact is not perfectly measured </w:t>
      </w:r>
      <w:r w:rsidR="00DB641B" w:rsidRPr="00966D98">
        <w:rPr>
          <w:rFonts w:ascii="Garamond" w:hAnsi="Garamond"/>
          <w:color w:val="000000" w:themeColor="text1"/>
          <w:lang w:val="en-GB"/>
        </w:rPr>
        <w:t xml:space="preserve">by </w:t>
      </w:r>
      <w:proofErr w:type="spellStart"/>
      <w:r w:rsidR="00FC60BE" w:rsidRPr="00966D98">
        <w:rPr>
          <w:rFonts w:ascii="Garamond" w:hAnsi="Garamond"/>
          <w:color w:val="000000" w:themeColor="text1"/>
          <w:lang w:val="en-GB"/>
        </w:rPr>
        <w:t>bibliometrics</w:t>
      </w:r>
      <w:proofErr w:type="spellEnd"/>
      <w:r w:rsidR="0066358B" w:rsidRPr="00966D98">
        <w:rPr>
          <w:rFonts w:ascii="Garamond" w:hAnsi="Garamond"/>
          <w:color w:val="000000" w:themeColor="text1"/>
          <w:lang w:val="en-GB"/>
        </w:rPr>
        <w:t xml:space="preserve"> (</w:t>
      </w:r>
      <w:proofErr w:type="spellStart"/>
      <w:r w:rsidR="0066358B" w:rsidRPr="00966D98">
        <w:rPr>
          <w:rFonts w:ascii="Garamond" w:hAnsi="Garamond"/>
          <w:color w:val="000000" w:themeColor="text1"/>
          <w:lang w:val="en-GB"/>
        </w:rPr>
        <w:t>Vonortas</w:t>
      </w:r>
      <w:proofErr w:type="spellEnd"/>
      <w:r w:rsidR="0066358B" w:rsidRPr="00966D98">
        <w:rPr>
          <w:rFonts w:ascii="Garamond" w:hAnsi="Garamond"/>
          <w:color w:val="000000" w:themeColor="text1"/>
          <w:lang w:val="en-GB"/>
        </w:rPr>
        <w:t xml:space="preserve"> &amp; Link</w:t>
      </w:r>
      <w:r w:rsidR="00D42729" w:rsidRPr="00966D98">
        <w:rPr>
          <w:rFonts w:ascii="Garamond" w:hAnsi="Garamond"/>
          <w:color w:val="000000" w:themeColor="text1"/>
          <w:lang w:val="en-GB"/>
        </w:rPr>
        <w:t xml:space="preserve"> 2</w:t>
      </w:r>
      <w:r w:rsidR="0066358B" w:rsidRPr="00966D98">
        <w:rPr>
          <w:rFonts w:ascii="Garamond" w:hAnsi="Garamond"/>
          <w:color w:val="000000" w:themeColor="text1"/>
          <w:lang w:val="en-GB"/>
        </w:rPr>
        <w:t>012)</w:t>
      </w:r>
      <w:r w:rsidR="00FC60BE" w:rsidRPr="00966D98">
        <w:rPr>
          <w:rFonts w:ascii="Garamond" w:hAnsi="Garamond"/>
          <w:color w:val="000000" w:themeColor="text1"/>
          <w:lang w:val="en-GB"/>
        </w:rPr>
        <w:t xml:space="preserve">, it is widely accepted that </w:t>
      </w:r>
      <w:r w:rsidR="00E53955" w:rsidRPr="00966D98">
        <w:rPr>
          <w:rFonts w:ascii="Garamond" w:hAnsi="Garamond"/>
          <w:color w:val="000000" w:themeColor="text1"/>
          <w:lang w:val="en-GB"/>
        </w:rPr>
        <w:t>these types of</w:t>
      </w:r>
      <w:r w:rsidR="00FC60BE" w:rsidRPr="00966D98">
        <w:rPr>
          <w:rFonts w:ascii="Garamond" w:hAnsi="Garamond"/>
          <w:color w:val="000000" w:themeColor="text1"/>
          <w:lang w:val="en-GB"/>
        </w:rPr>
        <w:t xml:space="preserve"> metrics are</w:t>
      </w:r>
      <w:r w:rsidR="00474C0B" w:rsidRPr="00966D98">
        <w:rPr>
          <w:rFonts w:ascii="Garamond" w:hAnsi="Garamond"/>
          <w:color w:val="000000" w:themeColor="text1"/>
          <w:lang w:val="en-GB"/>
        </w:rPr>
        <w:t xml:space="preserve"> a</w:t>
      </w:r>
      <w:r w:rsidR="00FC60BE" w:rsidRPr="00966D98">
        <w:rPr>
          <w:rFonts w:ascii="Garamond" w:hAnsi="Garamond"/>
          <w:color w:val="000000" w:themeColor="text1"/>
          <w:lang w:val="en-GB"/>
        </w:rPr>
        <w:t xml:space="preserve"> reasonable </w:t>
      </w:r>
      <w:r w:rsidR="0035403B" w:rsidRPr="00966D98">
        <w:rPr>
          <w:rFonts w:ascii="Garamond" w:hAnsi="Garamond"/>
          <w:color w:val="000000" w:themeColor="text1"/>
          <w:lang w:val="en-GB"/>
        </w:rPr>
        <w:t>proxy of influence within the scien</w:t>
      </w:r>
      <w:r w:rsidR="00D77CA9" w:rsidRPr="00966D98">
        <w:rPr>
          <w:rFonts w:ascii="Garamond" w:hAnsi="Garamond"/>
          <w:color w:val="000000" w:themeColor="text1"/>
          <w:lang w:val="en-GB"/>
        </w:rPr>
        <w:t>ce</w:t>
      </w:r>
      <w:r w:rsidR="0035403B" w:rsidRPr="00966D98">
        <w:rPr>
          <w:rFonts w:ascii="Garamond" w:hAnsi="Garamond"/>
          <w:color w:val="000000" w:themeColor="text1"/>
          <w:lang w:val="en-GB"/>
        </w:rPr>
        <w:t xml:space="preserve"> </w:t>
      </w:r>
      <w:r w:rsidR="00843FC4" w:rsidRPr="00966D98">
        <w:rPr>
          <w:rFonts w:ascii="Garamond" w:hAnsi="Garamond"/>
          <w:color w:val="000000" w:themeColor="text1"/>
          <w:lang w:val="en-GB"/>
        </w:rPr>
        <w:t>system</w:t>
      </w:r>
      <w:r w:rsidR="004B46FE" w:rsidRPr="00966D98">
        <w:rPr>
          <w:rFonts w:ascii="Garamond" w:hAnsi="Garamond"/>
          <w:color w:val="000000" w:themeColor="text1"/>
          <w:lang w:val="en-GB"/>
        </w:rPr>
        <w:t xml:space="preserve"> </w:t>
      </w:r>
      <w:r w:rsidR="00FC60BE" w:rsidRPr="00966D98">
        <w:rPr>
          <w:rFonts w:ascii="Garamond" w:hAnsi="Garamond"/>
          <w:color w:val="000000" w:themeColor="text1"/>
          <w:lang w:val="en-GB"/>
        </w:rPr>
        <w:t>(</w:t>
      </w:r>
      <w:proofErr w:type="spellStart"/>
      <w:r w:rsidR="00FC60BE" w:rsidRPr="00966D98">
        <w:rPr>
          <w:rFonts w:ascii="Garamond" w:hAnsi="Garamond"/>
          <w:color w:val="000000" w:themeColor="text1"/>
          <w:lang w:val="en-GB"/>
        </w:rPr>
        <w:t>Petersohn</w:t>
      </w:r>
      <w:proofErr w:type="spellEnd"/>
      <w:r w:rsidR="00FC60BE" w:rsidRPr="00966D98">
        <w:rPr>
          <w:rFonts w:ascii="Garamond" w:hAnsi="Garamond"/>
          <w:color w:val="000000" w:themeColor="text1"/>
          <w:lang w:val="en-GB"/>
        </w:rPr>
        <w:t xml:space="preserve"> &amp; </w:t>
      </w:r>
      <w:proofErr w:type="spellStart"/>
      <w:r w:rsidR="00FC60BE" w:rsidRPr="00966D98">
        <w:rPr>
          <w:rFonts w:ascii="Garamond" w:hAnsi="Garamond"/>
          <w:color w:val="000000" w:themeColor="text1"/>
          <w:lang w:val="en-GB"/>
        </w:rPr>
        <w:t>Heinze</w:t>
      </w:r>
      <w:proofErr w:type="spellEnd"/>
      <w:r w:rsidR="00D42729" w:rsidRPr="00966D98">
        <w:rPr>
          <w:rFonts w:ascii="Garamond" w:hAnsi="Garamond"/>
          <w:color w:val="000000" w:themeColor="text1"/>
          <w:lang w:val="en-GB"/>
        </w:rPr>
        <w:t xml:space="preserve"> 2</w:t>
      </w:r>
      <w:r w:rsidR="00FC60BE" w:rsidRPr="00966D98">
        <w:rPr>
          <w:rFonts w:ascii="Garamond" w:hAnsi="Garamond"/>
          <w:color w:val="000000" w:themeColor="text1"/>
          <w:lang w:val="en-GB"/>
        </w:rPr>
        <w:t>017)</w:t>
      </w:r>
      <w:r w:rsidR="004F678B" w:rsidRPr="00966D98">
        <w:rPr>
          <w:rFonts w:ascii="Garamond" w:hAnsi="Garamond"/>
          <w:color w:val="000000" w:themeColor="text1"/>
          <w:lang w:val="en-GB"/>
        </w:rPr>
        <w:t xml:space="preserve">. </w:t>
      </w:r>
      <w:r w:rsidR="006A35F7" w:rsidRPr="00966D98">
        <w:rPr>
          <w:rFonts w:ascii="Garamond" w:hAnsi="Garamond"/>
          <w:color w:val="000000" w:themeColor="text1"/>
          <w:lang w:val="en-GB"/>
        </w:rPr>
        <w:t>Key to research impact assessment</w:t>
      </w:r>
      <w:r w:rsidR="00DF5ADC" w:rsidRPr="00966D98">
        <w:rPr>
          <w:rFonts w:ascii="Garamond" w:hAnsi="Garamond"/>
          <w:color w:val="000000" w:themeColor="text1"/>
          <w:lang w:val="en-GB"/>
        </w:rPr>
        <w:t xml:space="preserve">, however, is also the operationalisation of </w:t>
      </w:r>
      <w:r w:rsidR="004F678B" w:rsidRPr="00966D98">
        <w:rPr>
          <w:rFonts w:ascii="Garamond" w:hAnsi="Garamond"/>
          <w:color w:val="000000" w:themeColor="text1"/>
          <w:lang w:val="en-GB"/>
        </w:rPr>
        <w:t>impact</w:t>
      </w:r>
      <w:r w:rsidR="004B1382" w:rsidRPr="00966D98">
        <w:rPr>
          <w:rFonts w:ascii="Garamond" w:hAnsi="Garamond"/>
          <w:color w:val="000000" w:themeColor="text1"/>
          <w:lang w:val="en-GB"/>
        </w:rPr>
        <w:t xml:space="preserve"> beyond the science system</w:t>
      </w:r>
      <w:r w:rsidR="00DF5ADC" w:rsidRPr="00966D98">
        <w:rPr>
          <w:rFonts w:ascii="Garamond" w:hAnsi="Garamond"/>
          <w:color w:val="000000" w:themeColor="text1"/>
          <w:lang w:val="en-GB"/>
        </w:rPr>
        <w:t xml:space="preserve"> </w:t>
      </w:r>
      <w:r w:rsidR="00C8770D" w:rsidRPr="00966D98">
        <w:rPr>
          <w:rFonts w:ascii="Garamond" w:hAnsi="Garamond"/>
          <w:color w:val="000000" w:themeColor="text1"/>
          <w:lang w:val="en-GB"/>
        </w:rPr>
        <w:t xml:space="preserve">(e.g. </w:t>
      </w:r>
      <w:proofErr w:type="spellStart"/>
      <w:r w:rsidR="00DF5ADC" w:rsidRPr="00966D98">
        <w:rPr>
          <w:rFonts w:ascii="Garamond" w:hAnsi="Garamond"/>
          <w:color w:val="000000" w:themeColor="text1"/>
          <w:lang w:val="en-GB"/>
        </w:rPr>
        <w:t>Bastow</w:t>
      </w:r>
      <w:proofErr w:type="spellEnd"/>
      <w:r w:rsidR="00DF5ADC" w:rsidRPr="00966D98">
        <w:rPr>
          <w:rFonts w:ascii="Garamond" w:hAnsi="Garamond"/>
          <w:color w:val="000000" w:themeColor="text1"/>
          <w:lang w:val="en-GB"/>
        </w:rPr>
        <w:t xml:space="preserve">, Dunleavy &amp; </w:t>
      </w:r>
      <w:proofErr w:type="spellStart"/>
      <w:r w:rsidR="00DF5ADC" w:rsidRPr="00966D98">
        <w:rPr>
          <w:rFonts w:ascii="Garamond" w:hAnsi="Garamond"/>
          <w:color w:val="000000" w:themeColor="text1"/>
          <w:lang w:val="en-GB"/>
        </w:rPr>
        <w:t>Tinkler</w:t>
      </w:r>
      <w:proofErr w:type="spellEnd"/>
      <w:r w:rsidR="00DF5ADC" w:rsidRPr="00966D98">
        <w:rPr>
          <w:rFonts w:ascii="Garamond" w:hAnsi="Garamond"/>
          <w:color w:val="000000" w:themeColor="text1"/>
          <w:lang w:val="en-GB"/>
        </w:rPr>
        <w:t xml:space="preserve"> 2014). </w:t>
      </w:r>
      <w:r w:rsidR="004B1382" w:rsidRPr="00966D98">
        <w:rPr>
          <w:rFonts w:ascii="Garamond" w:hAnsi="Garamond"/>
          <w:color w:val="000000" w:themeColor="text1"/>
          <w:lang w:val="en-GB"/>
        </w:rPr>
        <w:t>‘</w:t>
      </w:r>
      <w:r w:rsidR="00DF5ADC" w:rsidRPr="00966D98">
        <w:rPr>
          <w:rFonts w:ascii="Garamond" w:hAnsi="Garamond"/>
          <w:color w:val="000000" w:themeColor="text1"/>
          <w:lang w:val="en-GB"/>
        </w:rPr>
        <w:t>External</w:t>
      </w:r>
      <w:r w:rsidR="004B1382" w:rsidRPr="00966D98">
        <w:rPr>
          <w:rFonts w:ascii="Garamond" w:hAnsi="Garamond"/>
          <w:color w:val="000000" w:themeColor="text1"/>
          <w:lang w:val="en-GB"/>
        </w:rPr>
        <w:t>’</w:t>
      </w:r>
      <w:r w:rsidR="00DF5ADC" w:rsidRPr="00966D98">
        <w:rPr>
          <w:rFonts w:ascii="Garamond" w:hAnsi="Garamond"/>
          <w:color w:val="000000" w:themeColor="text1"/>
          <w:lang w:val="en-GB"/>
        </w:rPr>
        <w:t xml:space="preserve"> impact</w:t>
      </w:r>
      <w:r w:rsidR="004B1382" w:rsidRPr="00966D98">
        <w:rPr>
          <w:rFonts w:ascii="Garamond" w:hAnsi="Garamond"/>
          <w:color w:val="000000" w:themeColor="text1"/>
          <w:lang w:val="en-GB"/>
        </w:rPr>
        <w:t xml:space="preserve"> </w:t>
      </w:r>
      <w:r w:rsidR="004F678B" w:rsidRPr="00966D98">
        <w:rPr>
          <w:rFonts w:ascii="Garamond" w:hAnsi="Garamond"/>
          <w:color w:val="000000" w:themeColor="text1"/>
          <w:lang w:val="en-GB"/>
        </w:rPr>
        <w:t>ha</w:t>
      </w:r>
      <w:r w:rsidR="00E80AAF" w:rsidRPr="00966D98">
        <w:rPr>
          <w:rFonts w:ascii="Garamond" w:hAnsi="Garamond"/>
          <w:color w:val="000000" w:themeColor="text1"/>
          <w:lang w:val="en-GB"/>
        </w:rPr>
        <w:t xml:space="preserve">s </w:t>
      </w:r>
      <w:r w:rsidR="004F678B" w:rsidRPr="00966D98">
        <w:rPr>
          <w:rFonts w:ascii="Garamond" w:hAnsi="Garamond"/>
          <w:color w:val="000000" w:themeColor="text1"/>
          <w:lang w:val="en-GB"/>
        </w:rPr>
        <w:t>been studie</w:t>
      </w:r>
      <w:r w:rsidR="00DF5ADC" w:rsidRPr="00966D98">
        <w:rPr>
          <w:rFonts w:ascii="Garamond" w:hAnsi="Garamond"/>
          <w:color w:val="000000" w:themeColor="text1"/>
          <w:lang w:val="en-GB"/>
        </w:rPr>
        <w:t>d</w:t>
      </w:r>
      <w:r w:rsidR="004F678B" w:rsidRPr="00966D98">
        <w:rPr>
          <w:rFonts w:ascii="Garamond" w:hAnsi="Garamond"/>
          <w:color w:val="000000" w:themeColor="text1"/>
          <w:lang w:val="en-GB"/>
        </w:rPr>
        <w:t xml:space="preserve"> using </w:t>
      </w:r>
      <w:r w:rsidR="0018010B" w:rsidRPr="00966D98">
        <w:rPr>
          <w:rFonts w:ascii="Garamond" w:hAnsi="Garamond"/>
          <w:color w:val="000000" w:themeColor="text1"/>
          <w:lang w:val="en-GB"/>
        </w:rPr>
        <w:t xml:space="preserve">a range of </w:t>
      </w:r>
      <w:r w:rsidR="001701C4" w:rsidRPr="00966D98">
        <w:rPr>
          <w:rFonts w:ascii="Garamond" w:hAnsi="Garamond"/>
          <w:color w:val="000000" w:themeColor="text1"/>
          <w:lang w:val="en-GB"/>
        </w:rPr>
        <w:t>techniques and methods</w:t>
      </w:r>
      <w:r w:rsidR="00424F71" w:rsidRPr="00966D98">
        <w:rPr>
          <w:rFonts w:ascii="Garamond" w:hAnsi="Garamond"/>
          <w:color w:val="000000" w:themeColor="text1"/>
          <w:lang w:val="en-GB"/>
        </w:rPr>
        <w:t>,</w:t>
      </w:r>
      <w:r w:rsidR="001701C4" w:rsidRPr="00966D98">
        <w:rPr>
          <w:rFonts w:ascii="Garamond" w:hAnsi="Garamond"/>
          <w:color w:val="000000" w:themeColor="text1"/>
          <w:lang w:val="en-GB"/>
        </w:rPr>
        <w:t xml:space="preserve"> </w:t>
      </w:r>
      <w:r w:rsidR="004F678B" w:rsidRPr="00966D98">
        <w:rPr>
          <w:rFonts w:ascii="Garamond" w:hAnsi="Garamond"/>
          <w:color w:val="000000" w:themeColor="text1"/>
          <w:lang w:val="en-GB"/>
        </w:rPr>
        <w:t xml:space="preserve">such as </w:t>
      </w:r>
      <w:r w:rsidR="0018010B" w:rsidRPr="00966D98">
        <w:rPr>
          <w:rFonts w:ascii="Garamond" w:hAnsi="Garamond"/>
          <w:color w:val="000000" w:themeColor="text1"/>
          <w:lang w:val="en-GB"/>
        </w:rPr>
        <w:t xml:space="preserve">economic or statistical measures of </w:t>
      </w:r>
      <w:r w:rsidR="004F678B" w:rsidRPr="00966D98">
        <w:rPr>
          <w:rFonts w:ascii="Garamond" w:hAnsi="Garamond"/>
          <w:color w:val="000000" w:themeColor="text1"/>
          <w:lang w:val="en-GB"/>
        </w:rPr>
        <w:t>commercial income or intellectual property creation</w:t>
      </w:r>
      <w:r w:rsidR="0018010B" w:rsidRPr="00966D98">
        <w:rPr>
          <w:rFonts w:ascii="Garamond" w:hAnsi="Garamond"/>
          <w:color w:val="000000" w:themeColor="text1"/>
          <w:lang w:val="en-GB"/>
        </w:rPr>
        <w:t xml:space="preserve"> as well as surveys, content analyses, case studies and expert judgement (Penfield et al, 2013)</w:t>
      </w:r>
      <w:r w:rsidR="004F678B" w:rsidRPr="00966D98">
        <w:rPr>
          <w:rFonts w:ascii="Garamond" w:hAnsi="Garamond"/>
          <w:color w:val="000000" w:themeColor="text1"/>
          <w:lang w:val="en-GB"/>
        </w:rPr>
        <w:t>.</w:t>
      </w:r>
      <w:r w:rsidR="00F13BF1" w:rsidRPr="00966D98">
        <w:rPr>
          <w:rStyle w:val="FootnoteReference"/>
          <w:rFonts w:ascii="Garamond" w:hAnsi="Garamond"/>
          <w:color w:val="000000" w:themeColor="text1"/>
          <w:lang w:val="en-GB"/>
        </w:rPr>
        <w:footnoteReference w:id="1"/>
      </w:r>
      <w:r w:rsidR="004F678B" w:rsidRPr="00966D98">
        <w:rPr>
          <w:rFonts w:ascii="Garamond" w:hAnsi="Garamond"/>
          <w:color w:val="000000" w:themeColor="text1"/>
          <w:lang w:val="en-GB"/>
        </w:rPr>
        <w:t xml:space="preserve"> </w:t>
      </w:r>
      <w:r w:rsidR="00DF5ADC" w:rsidRPr="00966D98">
        <w:rPr>
          <w:rFonts w:ascii="Garamond" w:hAnsi="Garamond"/>
          <w:color w:val="000000" w:themeColor="text1"/>
          <w:lang w:val="en-GB"/>
        </w:rPr>
        <w:t>Despite a range of possible methodologies, g</w:t>
      </w:r>
      <w:r w:rsidR="00D71340" w:rsidRPr="00966D98">
        <w:rPr>
          <w:rFonts w:ascii="Garamond" w:hAnsi="Garamond"/>
          <w:color w:val="000000" w:themeColor="text1"/>
          <w:lang w:val="en-GB"/>
        </w:rPr>
        <w:t>rowing</w:t>
      </w:r>
      <w:r w:rsidR="00B405BF" w:rsidRPr="00966D98">
        <w:rPr>
          <w:rFonts w:ascii="Garamond" w:hAnsi="Garamond"/>
          <w:color w:val="000000" w:themeColor="text1"/>
          <w:lang w:val="en-GB"/>
        </w:rPr>
        <w:t xml:space="preserve"> policy pressure</w:t>
      </w:r>
      <w:r w:rsidR="00D71340" w:rsidRPr="00966D98">
        <w:rPr>
          <w:rFonts w:ascii="Garamond" w:hAnsi="Garamond"/>
          <w:color w:val="000000" w:themeColor="text1"/>
          <w:lang w:val="en-GB"/>
        </w:rPr>
        <w:t>s</w:t>
      </w:r>
      <w:r w:rsidR="00B405BF" w:rsidRPr="00966D98">
        <w:rPr>
          <w:rFonts w:ascii="Garamond" w:hAnsi="Garamond"/>
          <w:color w:val="000000" w:themeColor="text1"/>
          <w:lang w:val="en-GB"/>
        </w:rPr>
        <w:t xml:space="preserve"> </w:t>
      </w:r>
      <w:r w:rsidR="00D71340" w:rsidRPr="00966D98">
        <w:rPr>
          <w:rFonts w:ascii="Garamond" w:hAnsi="Garamond"/>
          <w:color w:val="000000" w:themeColor="text1"/>
          <w:lang w:val="en-GB"/>
        </w:rPr>
        <w:t>have</w:t>
      </w:r>
      <w:r w:rsidR="00AF29DB" w:rsidRPr="00966D98">
        <w:rPr>
          <w:rFonts w:ascii="Garamond" w:hAnsi="Garamond"/>
          <w:color w:val="000000" w:themeColor="text1"/>
          <w:lang w:val="en-GB"/>
        </w:rPr>
        <w:t xml:space="preserve"> resulted</w:t>
      </w:r>
      <w:r w:rsidR="00B405BF" w:rsidRPr="00966D98">
        <w:rPr>
          <w:rFonts w:ascii="Garamond" w:hAnsi="Garamond"/>
          <w:color w:val="000000" w:themeColor="text1"/>
          <w:lang w:val="en-GB"/>
        </w:rPr>
        <w:t xml:space="preserve"> </w:t>
      </w:r>
      <w:r w:rsidR="00AF29DB" w:rsidRPr="00966D98">
        <w:rPr>
          <w:rFonts w:ascii="Garamond" w:hAnsi="Garamond"/>
          <w:color w:val="000000" w:themeColor="text1"/>
          <w:lang w:val="en-GB"/>
        </w:rPr>
        <w:t>in a range of formal research evaluation systems</w:t>
      </w:r>
      <w:r w:rsidR="00410997" w:rsidRPr="00966D98">
        <w:rPr>
          <w:rFonts w:ascii="Garamond" w:hAnsi="Garamond"/>
          <w:color w:val="000000" w:themeColor="text1"/>
          <w:lang w:val="en-GB"/>
        </w:rPr>
        <w:t xml:space="preserve"> that</w:t>
      </w:r>
      <w:r w:rsidRPr="00966D98">
        <w:rPr>
          <w:rFonts w:ascii="Garamond" w:hAnsi="Garamond"/>
          <w:color w:val="000000" w:themeColor="text1"/>
          <w:lang w:val="en-GB"/>
        </w:rPr>
        <w:t xml:space="preserve"> </w:t>
      </w:r>
      <w:r w:rsidR="00B405BF" w:rsidRPr="00966D98">
        <w:rPr>
          <w:rFonts w:ascii="Garamond" w:hAnsi="Garamond"/>
          <w:color w:val="000000" w:themeColor="text1"/>
          <w:lang w:val="en-GB"/>
        </w:rPr>
        <w:t>operationali</w:t>
      </w:r>
      <w:r w:rsidR="00350A9E" w:rsidRPr="00966D98">
        <w:rPr>
          <w:rFonts w:ascii="Garamond" w:hAnsi="Garamond"/>
          <w:color w:val="000000" w:themeColor="text1"/>
          <w:lang w:val="en-GB"/>
        </w:rPr>
        <w:t>s</w:t>
      </w:r>
      <w:r w:rsidR="00B405BF" w:rsidRPr="00966D98">
        <w:rPr>
          <w:rFonts w:ascii="Garamond" w:hAnsi="Garamond"/>
          <w:color w:val="000000" w:themeColor="text1"/>
          <w:lang w:val="en-GB"/>
        </w:rPr>
        <w:t xml:space="preserve">e </w:t>
      </w:r>
      <w:r w:rsidR="00371883" w:rsidRPr="00966D98">
        <w:rPr>
          <w:rFonts w:ascii="Garamond" w:hAnsi="Garamond"/>
          <w:color w:val="000000" w:themeColor="text1"/>
          <w:lang w:val="en-GB"/>
        </w:rPr>
        <w:t>impact</w:t>
      </w:r>
      <w:r w:rsidR="00AF29DB" w:rsidRPr="00966D98">
        <w:rPr>
          <w:rFonts w:ascii="Garamond" w:hAnsi="Garamond"/>
          <w:color w:val="000000" w:themeColor="text1"/>
          <w:lang w:val="en-GB"/>
        </w:rPr>
        <w:t xml:space="preserve"> </w:t>
      </w:r>
      <w:r w:rsidR="008F0BB6" w:rsidRPr="00966D98">
        <w:rPr>
          <w:rFonts w:ascii="Garamond" w:hAnsi="Garamond"/>
          <w:color w:val="000000" w:themeColor="text1"/>
          <w:lang w:val="en-GB"/>
        </w:rPr>
        <w:t xml:space="preserve">in </w:t>
      </w:r>
      <w:r w:rsidRPr="00966D98">
        <w:rPr>
          <w:rFonts w:ascii="Garamond" w:hAnsi="Garamond"/>
          <w:color w:val="000000" w:themeColor="text1"/>
          <w:lang w:val="en-GB"/>
        </w:rPr>
        <w:t xml:space="preserve">pragmatic ways in order to </w:t>
      </w:r>
      <w:r w:rsidR="00B405BF" w:rsidRPr="00966D98">
        <w:rPr>
          <w:rFonts w:ascii="Garamond" w:hAnsi="Garamond"/>
          <w:color w:val="000000" w:themeColor="text1"/>
          <w:lang w:val="en-GB"/>
        </w:rPr>
        <w:t>gain legitimacy with both academics and policymakers (</w:t>
      </w:r>
      <w:proofErr w:type="spellStart"/>
      <w:r w:rsidR="00B405BF" w:rsidRPr="00966D98">
        <w:rPr>
          <w:rFonts w:ascii="Garamond" w:hAnsi="Garamond"/>
          <w:color w:val="000000" w:themeColor="text1"/>
          <w:lang w:val="en-GB"/>
        </w:rPr>
        <w:t>Benneworth</w:t>
      </w:r>
      <w:proofErr w:type="spellEnd"/>
      <w:r w:rsidR="00B405BF" w:rsidRPr="00966D98">
        <w:rPr>
          <w:rFonts w:ascii="Garamond" w:hAnsi="Garamond"/>
          <w:color w:val="000000" w:themeColor="text1"/>
          <w:lang w:val="en-GB"/>
        </w:rPr>
        <w:t xml:space="preserve"> 201</w:t>
      </w:r>
      <w:r w:rsidR="009821F7" w:rsidRPr="00966D98">
        <w:rPr>
          <w:rFonts w:ascii="Garamond" w:hAnsi="Garamond"/>
          <w:color w:val="000000" w:themeColor="text1"/>
          <w:lang w:val="en-GB"/>
        </w:rPr>
        <w:t>5</w:t>
      </w:r>
      <w:r w:rsidR="00B405BF" w:rsidRPr="00966D98">
        <w:rPr>
          <w:rFonts w:ascii="Garamond" w:hAnsi="Garamond"/>
          <w:color w:val="000000" w:themeColor="text1"/>
          <w:lang w:val="en-GB"/>
        </w:rPr>
        <w:t xml:space="preserve">; </w:t>
      </w:r>
      <w:proofErr w:type="spellStart"/>
      <w:r w:rsidR="00B405BF" w:rsidRPr="00966D98">
        <w:rPr>
          <w:rFonts w:ascii="Garamond" w:hAnsi="Garamond"/>
          <w:color w:val="000000" w:themeColor="text1"/>
          <w:lang w:val="en-GB"/>
        </w:rPr>
        <w:t>Petersohn</w:t>
      </w:r>
      <w:proofErr w:type="spellEnd"/>
      <w:r w:rsidR="00B405BF" w:rsidRPr="00966D98">
        <w:rPr>
          <w:rFonts w:ascii="Garamond" w:hAnsi="Garamond"/>
          <w:color w:val="000000" w:themeColor="text1"/>
          <w:lang w:val="en-GB"/>
        </w:rPr>
        <w:t xml:space="preserve"> and Heinze 2017). </w:t>
      </w:r>
      <w:r w:rsidR="0099356D" w:rsidRPr="00966D98">
        <w:rPr>
          <w:rFonts w:ascii="Garamond" w:hAnsi="Garamond"/>
          <w:color w:val="000000" w:themeColor="text1"/>
          <w:lang w:val="en-GB"/>
        </w:rPr>
        <w:t>However, a</w:t>
      </w:r>
      <w:r w:rsidR="004A2B31" w:rsidRPr="00966D98">
        <w:rPr>
          <w:rFonts w:ascii="Garamond" w:hAnsi="Garamond"/>
          <w:color w:val="000000" w:themeColor="text1"/>
          <w:lang w:val="en-GB"/>
        </w:rPr>
        <w:t xml:space="preserve">n enduring problem </w:t>
      </w:r>
      <w:r w:rsidR="005B3610" w:rsidRPr="00966D98">
        <w:rPr>
          <w:rFonts w:ascii="Garamond" w:hAnsi="Garamond"/>
          <w:color w:val="000000" w:themeColor="text1"/>
          <w:lang w:val="en-GB"/>
        </w:rPr>
        <w:t xml:space="preserve">is that </w:t>
      </w:r>
      <w:r w:rsidR="00235B77" w:rsidRPr="00966D98">
        <w:rPr>
          <w:rFonts w:ascii="Garamond" w:hAnsi="Garamond"/>
          <w:color w:val="000000" w:themeColor="text1"/>
          <w:lang w:val="en-GB"/>
        </w:rPr>
        <w:t xml:space="preserve">these </w:t>
      </w:r>
      <w:r w:rsidR="004A2B31" w:rsidRPr="00966D98">
        <w:rPr>
          <w:rFonts w:ascii="Garamond" w:hAnsi="Garamond"/>
          <w:color w:val="000000" w:themeColor="text1"/>
          <w:lang w:val="en-GB"/>
        </w:rPr>
        <w:t xml:space="preserve">systems </w:t>
      </w:r>
      <w:r w:rsidR="004A2B31" w:rsidRPr="00966D98">
        <w:rPr>
          <w:rFonts w:ascii="Garamond" w:hAnsi="Garamond"/>
          <w:lang w:val="en-GB"/>
        </w:rPr>
        <w:t xml:space="preserve">are often assessed solely based on their utility, rather than </w:t>
      </w:r>
      <w:r w:rsidR="004B1382" w:rsidRPr="00966D98">
        <w:rPr>
          <w:rFonts w:ascii="Garamond" w:hAnsi="Garamond"/>
          <w:lang w:val="en-GB"/>
        </w:rPr>
        <w:t xml:space="preserve">themselves </w:t>
      </w:r>
      <w:r w:rsidRPr="00966D98">
        <w:rPr>
          <w:rFonts w:ascii="Garamond" w:hAnsi="Garamond"/>
          <w:lang w:val="en-GB"/>
        </w:rPr>
        <w:t>being scrutinised</w:t>
      </w:r>
      <w:r w:rsidR="00C8770D" w:rsidRPr="00966D98">
        <w:rPr>
          <w:rFonts w:ascii="Garamond" w:hAnsi="Garamond"/>
          <w:lang w:val="en-GB"/>
        </w:rPr>
        <w:t xml:space="preserve"> and made transparent</w:t>
      </w:r>
      <w:r w:rsidR="00DF5ADC" w:rsidRPr="00966D98">
        <w:rPr>
          <w:rFonts w:ascii="Garamond" w:hAnsi="Garamond"/>
          <w:lang w:val="en-GB"/>
        </w:rPr>
        <w:t>.</w:t>
      </w:r>
      <w:r w:rsidR="00AF29DB" w:rsidRPr="00966D98">
        <w:rPr>
          <w:rFonts w:ascii="Garamond" w:hAnsi="Garamond"/>
          <w:lang w:val="en-GB"/>
        </w:rPr>
        <w:t xml:space="preserve"> </w:t>
      </w:r>
      <w:r w:rsidR="00DF5ADC" w:rsidRPr="00966D98">
        <w:rPr>
          <w:rFonts w:ascii="Garamond" w:hAnsi="Garamond"/>
          <w:lang w:val="en-GB"/>
        </w:rPr>
        <w:t xml:space="preserve">For example, Bozeman (2011) argues </w:t>
      </w:r>
      <w:r w:rsidR="00AF29DB" w:rsidRPr="00966D98">
        <w:rPr>
          <w:rFonts w:ascii="Garamond" w:hAnsi="Garamond"/>
          <w:color w:val="000000" w:themeColor="text1"/>
          <w:lang w:val="en-GB"/>
        </w:rPr>
        <w:t>th</w:t>
      </w:r>
      <w:r w:rsidR="00DF5ADC" w:rsidRPr="00966D98">
        <w:rPr>
          <w:rFonts w:ascii="Garamond" w:hAnsi="Garamond"/>
          <w:color w:val="000000" w:themeColor="text1"/>
          <w:lang w:val="en-GB"/>
        </w:rPr>
        <w:t xml:space="preserve">at </w:t>
      </w:r>
      <w:r w:rsidR="004B1382" w:rsidRPr="00966D98">
        <w:rPr>
          <w:rFonts w:ascii="Garamond" w:hAnsi="Garamond"/>
          <w:color w:val="000000" w:themeColor="text1"/>
          <w:lang w:val="en-GB"/>
        </w:rPr>
        <w:t>the</w:t>
      </w:r>
      <w:r w:rsidR="00AF29DB" w:rsidRPr="00966D98">
        <w:rPr>
          <w:rFonts w:ascii="Garamond" w:hAnsi="Garamond"/>
          <w:color w:val="000000" w:themeColor="text1"/>
          <w:lang w:val="en-GB"/>
        </w:rPr>
        <w:t xml:space="preserve"> </w:t>
      </w:r>
      <w:r w:rsidR="00BE5498" w:rsidRPr="00966D98">
        <w:rPr>
          <w:rFonts w:ascii="Garamond" w:hAnsi="Garamond"/>
          <w:color w:val="000000" w:themeColor="text1"/>
          <w:lang w:val="en-GB"/>
        </w:rPr>
        <w:t xml:space="preserve">implicit </w:t>
      </w:r>
      <w:r w:rsidR="00EB5C5D" w:rsidRPr="00966D98">
        <w:rPr>
          <w:rFonts w:ascii="Garamond" w:hAnsi="Garamond"/>
          <w:color w:val="000000" w:themeColor="text1"/>
          <w:lang w:val="en-GB"/>
        </w:rPr>
        <w:t>division between</w:t>
      </w:r>
      <w:r w:rsidR="00AF29DB" w:rsidRPr="00966D98">
        <w:rPr>
          <w:rFonts w:ascii="Garamond" w:hAnsi="Garamond"/>
          <w:color w:val="000000" w:themeColor="text1"/>
          <w:lang w:val="en-GB"/>
        </w:rPr>
        <w:t xml:space="preserve"> scientific and external impact has resulted in the dominance of academic and economic value sets</w:t>
      </w:r>
      <w:r w:rsidR="00DF5ADC" w:rsidRPr="00966D98">
        <w:rPr>
          <w:rFonts w:ascii="Garamond" w:hAnsi="Garamond"/>
          <w:color w:val="000000" w:themeColor="text1"/>
          <w:lang w:val="en-GB"/>
        </w:rPr>
        <w:t xml:space="preserve">. </w:t>
      </w:r>
      <w:r w:rsidR="00CB2A50" w:rsidRPr="00966D98">
        <w:rPr>
          <w:rFonts w:ascii="Garamond" w:hAnsi="Garamond"/>
          <w:lang w:val="en-GB"/>
        </w:rPr>
        <w:t>Given that</w:t>
      </w:r>
      <w:r w:rsidR="00C8770D" w:rsidRPr="00966D98">
        <w:rPr>
          <w:rFonts w:ascii="Garamond" w:hAnsi="Garamond"/>
          <w:lang w:val="en-GB"/>
        </w:rPr>
        <w:t xml:space="preserve"> robust best-practice approaches are labour- and resource-intensive, there remains a prevailing ‘common sense’ approach to measuring impact (</w:t>
      </w:r>
      <w:proofErr w:type="spellStart"/>
      <w:r w:rsidR="00C8770D" w:rsidRPr="00966D98">
        <w:rPr>
          <w:rFonts w:ascii="Garamond" w:hAnsi="Garamond"/>
          <w:lang w:val="en-GB"/>
        </w:rPr>
        <w:t>Muhonen</w:t>
      </w:r>
      <w:proofErr w:type="spellEnd"/>
      <w:r w:rsidR="00C8770D" w:rsidRPr="00966D98">
        <w:rPr>
          <w:rFonts w:ascii="Garamond" w:hAnsi="Garamond"/>
          <w:lang w:val="en-GB"/>
        </w:rPr>
        <w:t xml:space="preserve">, </w:t>
      </w:r>
      <w:proofErr w:type="spellStart"/>
      <w:r w:rsidR="00C8770D" w:rsidRPr="00966D98">
        <w:rPr>
          <w:rFonts w:ascii="Garamond" w:hAnsi="Garamond"/>
          <w:lang w:val="en-GB"/>
        </w:rPr>
        <w:t>Benneworth</w:t>
      </w:r>
      <w:proofErr w:type="spellEnd"/>
      <w:r w:rsidR="00C8770D" w:rsidRPr="00966D98">
        <w:rPr>
          <w:rFonts w:ascii="Garamond" w:hAnsi="Garamond"/>
          <w:lang w:val="en-GB"/>
        </w:rPr>
        <w:t xml:space="preserve"> &amp; Olmos-</w:t>
      </w:r>
      <w:proofErr w:type="spellStart"/>
      <w:r w:rsidR="00C8770D" w:rsidRPr="00966D98">
        <w:rPr>
          <w:rFonts w:ascii="Garamond" w:hAnsi="Garamond"/>
          <w:lang w:val="en-GB"/>
        </w:rPr>
        <w:t>Peñuela</w:t>
      </w:r>
      <w:proofErr w:type="spellEnd"/>
      <w:r w:rsidR="00C8770D" w:rsidRPr="00966D98">
        <w:rPr>
          <w:rFonts w:ascii="Garamond" w:hAnsi="Garamond"/>
          <w:lang w:val="en-GB"/>
        </w:rPr>
        <w:t xml:space="preserve"> 2019), coupled with a lack of </w:t>
      </w:r>
      <w:r w:rsidRPr="00966D98">
        <w:rPr>
          <w:rFonts w:ascii="Garamond" w:hAnsi="Garamond"/>
          <w:lang w:val="en-GB"/>
        </w:rPr>
        <w:t>theoretical work that can be used to</w:t>
      </w:r>
      <w:r w:rsidR="00C8770D" w:rsidRPr="00966D98">
        <w:rPr>
          <w:rFonts w:ascii="Garamond" w:hAnsi="Garamond"/>
          <w:lang w:val="en-GB"/>
        </w:rPr>
        <w:t xml:space="preserve"> hold evaluation measures accountable. Theoretically-informed attention to the assessment of impact is required to interrogate overlooked suppositions and assertions that are built into existing measures. A reconceptualisation of research impact and its assessment is thus essential.</w:t>
      </w:r>
    </w:p>
    <w:p w14:paraId="21C51B8C" w14:textId="12607BD6" w:rsidR="0016077B" w:rsidRPr="00966D98" w:rsidRDefault="0016077B" w:rsidP="0016077B">
      <w:pPr>
        <w:pStyle w:val="Body"/>
        <w:spacing w:before="120" w:after="120" w:line="360" w:lineRule="auto"/>
        <w:ind w:firstLine="284"/>
        <w:jc w:val="center"/>
        <w:rPr>
          <w:rFonts w:ascii="Garamond" w:hAnsi="Garamond"/>
          <w:color w:val="000000" w:themeColor="text1"/>
          <w:lang w:val="en-GB"/>
        </w:rPr>
      </w:pPr>
      <w:r w:rsidRPr="00966D98">
        <w:rPr>
          <w:rFonts w:ascii="Garamond" w:hAnsi="Garamond"/>
          <w:color w:val="000000" w:themeColor="text1"/>
          <w:lang w:val="en-GB"/>
        </w:rPr>
        <w:t xml:space="preserve">[TABLE </w:t>
      </w:r>
      <w:r w:rsidR="007C2B7E" w:rsidRPr="00966D98">
        <w:rPr>
          <w:rFonts w:ascii="Garamond" w:hAnsi="Garamond"/>
          <w:color w:val="000000" w:themeColor="text1"/>
          <w:lang w:val="en-GB"/>
        </w:rPr>
        <w:t>1</w:t>
      </w:r>
      <w:r w:rsidRPr="00966D98">
        <w:rPr>
          <w:rFonts w:ascii="Garamond" w:hAnsi="Garamond"/>
          <w:color w:val="000000" w:themeColor="text1"/>
          <w:lang w:val="en-GB"/>
        </w:rPr>
        <w:t xml:space="preserve"> </w:t>
      </w:r>
      <w:r w:rsidR="002A4065" w:rsidRPr="00966D98">
        <w:rPr>
          <w:rFonts w:ascii="Garamond" w:hAnsi="Garamond"/>
          <w:lang w:val="en-GB"/>
        </w:rPr>
        <w:t>ABOUT HERE</w:t>
      </w:r>
      <w:r w:rsidRPr="00966D98">
        <w:rPr>
          <w:rFonts w:ascii="Garamond" w:hAnsi="Garamond"/>
          <w:color w:val="000000" w:themeColor="text1"/>
          <w:lang w:val="en-GB"/>
        </w:rPr>
        <w:t>]</w:t>
      </w:r>
    </w:p>
    <w:p w14:paraId="37C649C4" w14:textId="68BDB9B5" w:rsidR="004F678B" w:rsidRPr="00966D98" w:rsidRDefault="004F678B" w:rsidP="00DF48B8">
      <w:pPr>
        <w:spacing w:before="120" w:after="120" w:line="360" w:lineRule="auto"/>
        <w:jc w:val="both"/>
        <w:rPr>
          <w:rFonts w:ascii="Garamond" w:hAnsi="Garamond"/>
          <w:b/>
        </w:rPr>
      </w:pPr>
      <w:r w:rsidRPr="00966D98">
        <w:rPr>
          <w:rFonts w:ascii="Garamond" w:hAnsi="Garamond"/>
          <w:b/>
        </w:rPr>
        <w:t xml:space="preserve">The shortcomings of </w:t>
      </w:r>
      <w:r w:rsidR="004F7B9C" w:rsidRPr="00966D98">
        <w:rPr>
          <w:rFonts w:ascii="Garamond" w:hAnsi="Garamond"/>
          <w:b/>
        </w:rPr>
        <w:t>current</w:t>
      </w:r>
      <w:r w:rsidRPr="00966D98">
        <w:rPr>
          <w:rFonts w:ascii="Garamond" w:hAnsi="Garamond"/>
          <w:b/>
        </w:rPr>
        <w:t xml:space="preserve"> approach</w:t>
      </w:r>
      <w:r w:rsidR="004F7B9C" w:rsidRPr="00966D98">
        <w:rPr>
          <w:rFonts w:ascii="Garamond" w:hAnsi="Garamond"/>
          <w:b/>
        </w:rPr>
        <w:t>es</w:t>
      </w:r>
    </w:p>
    <w:p w14:paraId="5A96261D" w14:textId="69AFC7FE" w:rsidR="00A34FDE" w:rsidRPr="00966D98" w:rsidRDefault="004F678B" w:rsidP="00DF48B8">
      <w:pPr>
        <w:pStyle w:val="Body"/>
        <w:spacing w:before="120" w:after="120" w:line="360" w:lineRule="auto"/>
        <w:ind w:firstLine="284"/>
        <w:jc w:val="both"/>
        <w:rPr>
          <w:rFonts w:ascii="Garamond" w:hAnsi="Garamond"/>
          <w:lang w:val="en-GB"/>
        </w:rPr>
      </w:pPr>
      <w:r w:rsidRPr="00966D98">
        <w:rPr>
          <w:rFonts w:ascii="Garamond" w:hAnsi="Garamond"/>
          <w:lang w:val="en-GB"/>
        </w:rPr>
        <w:t xml:space="preserve">The available tools for the assessment of </w:t>
      </w:r>
      <w:r w:rsidR="00DB4392" w:rsidRPr="00966D98">
        <w:rPr>
          <w:rFonts w:ascii="Garamond" w:hAnsi="Garamond"/>
          <w:lang w:val="en-GB"/>
        </w:rPr>
        <w:t>impact</w:t>
      </w:r>
      <w:r w:rsidRPr="00966D98">
        <w:rPr>
          <w:rFonts w:ascii="Garamond" w:hAnsi="Garamond"/>
          <w:lang w:val="en-GB"/>
        </w:rPr>
        <w:t xml:space="preserve"> vary in their characteristics and </w:t>
      </w:r>
      <w:r w:rsidR="00D03B84" w:rsidRPr="00966D98">
        <w:rPr>
          <w:rFonts w:ascii="Garamond" w:hAnsi="Garamond"/>
          <w:lang w:val="en-GB"/>
        </w:rPr>
        <w:t>criteria</w:t>
      </w:r>
      <w:r w:rsidRPr="00966D98">
        <w:rPr>
          <w:rFonts w:ascii="Garamond" w:hAnsi="Garamond"/>
          <w:lang w:val="en-GB"/>
        </w:rPr>
        <w:t xml:space="preserve">, and, as a result, reflect and reproduce challenges around defining impact, its characteristics, and its role </w:t>
      </w:r>
      <w:r w:rsidRPr="00966D98">
        <w:rPr>
          <w:rFonts w:ascii="Garamond" w:hAnsi="Garamond"/>
          <w:lang w:val="en-GB"/>
        </w:rPr>
        <w:lastRenderedPageBreak/>
        <w:t xml:space="preserve">in research evaluation (Holbrook &amp; </w:t>
      </w:r>
      <w:proofErr w:type="spellStart"/>
      <w:r w:rsidRPr="00966D98">
        <w:rPr>
          <w:rFonts w:ascii="Garamond" w:hAnsi="Garamond"/>
          <w:lang w:val="en-GB"/>
        </w:rPr>
        <w:t>Frodeman</w:t>
      </w:r>
      <w:proofErr w:type="spellEnd"/>
      <w:r w:rsidRPr="00966D98">
        <w:rPr>
          <w:rFonts w:ascii="Garamond" w:hAnsi="Garamond"/>
          <w:lang w:val="en-GB"/>
        </w:rPr>
        <w:t xml:space="preserve"> 2011; Samuel &amp; Derrick</w:t>
      </w:r>
      <w:r w:rsidR="00D42729" w:rsidRPr="00966D98">
        <w:rPr>
          <w:rFonts w:ascii="Garamond" w:hAnsi="Garamond"/>
          <w:lang w:val="en-GB"/>
        </w:rPr>
        <w:t xml:space="preserve"> 2</w:t>
      </w:r>
      <w:r w:rsidRPr="00966D98">
        <w:rPr>
          <w:rFonts w:ascii="Garamond" w:hAnsi="Garamond"/>
          <w:lang w:val="en-GB"/>
        </w:rPr>
        <w:t>015). There is a sizeable body of research on the formal characteristics of assessment mechanisms utilised in research evaluation systems (</w:t>
      </w:r>
      <w:proofErr w:type="spellStart"/>
      <w:r w:rsidRPr="00966D98">
        <w:rPr>
          <w:rFonts w:ascii="Garamond" w:hAnsi="Garamond"/>
          <w:lang w:val="en-GB"/>
        </w:rPr>
        <w:t>Fealing</w:t>
      </w:r>
      <w:proofErr w:type="spellEnd"/>
      <w:r w:rsidR="00D42729" w:rsidRPr="00966D98">
        <w:rPr>
          <w:rFonts w:ascii="Garamond" w:hAnsi="Garamond"/>
          <w:lang w:val="en-GB"/>
        </w:rPr>
        <w:t xml:space="preserve"> 2</w:t>
      </w:r>
      <w:r w:rsidRPr="00966D98">
        <w:rPr>
          <w:rFonts w:ascii="Garamond" w:hAnsi="Garamond"/>
          <w:lang w:val="en-GB"/>
        </w:rPr>
        <w:t xml:space="preserve">011; </w:t>
      </w:r>
      <w:proofErr w:type="spellStart"/>
      <w:r w:rsidRPr="00966D98">
        <w:rPr>
          <w:rFonts w:ascii="Garamond" w:hAnsi="Garamond"/>
          <w:lang w:val="en-GB"/>
        </w:rPr>
        <w:t>Reale</w:t>
      </w:r>
      <w:proofErr w:type="spellEnd"/>
      <w:r w:rsidRPr="00966D98">
        <w:rPr>
          <w:rFonts w:ascii="Garamond" w:hAnsi="Garamond"/>
          <w:lang w:val="en-GB"/>
        </w:rPr>
        <w:t xml:space="preserve"> &amp; </w:t>
      </w:r>
      <w:proofErr w:type="spellStart"/>
      <w:r w:rsidRPr="00966D98">
        <w:rPr>
          <w:rFonts w:ascii="Garamond" w:hAnsi="Garamond"/>
          <w:lang w:val="en-GB"/>
        </w:rPr>
        <w:t>Seeber</w:t>
      </w:r>
      <w:proofErr w:type="spellEnd"/>
      <w:r w:rsidR="00D42729" w:rsidRPr="00966D98">
        <w:rPr>
          <w:rFonts w:ascii="Garamond" w:hAnsi="Garamond"/>
          <w:lang w:val="en-GB"/>
        </w:rPr>
        <w:t xml:space="preserve"> 2</w:t>
      </w:r>
      <w:r w:rsidRPr="00966D98">
        <w:rPr>
          <w:rFonts w:ascii="Garamond" w:hAnsi="Garamond"/>
          <w:lang w:val="en-GB"/>
        </w:rPr>
        <w:t xml:space="preserve">013). This literature often focuses on incremental adjustments to research policy, particularly around methods (de </w:t>
      </w:r>
      <w:proofErr w:type="spellStart"/>
      <w:r w:rsidRPr="00966D98">
        <w:rPr>
          <w:rFonts w:ascii="Garamond" w:hAnsi="Garamond"/>
          <w:lang w:val="en-GB"/>
        </w:rPr>
        <w:t>Rijcke</w:t>
      </w:r>
      <w:proofErr w:type="spellEnd"/>
      <w:r w:rsidR="00206834" w:rsidRPr="00966D98">
        <w:rPr>
          <w:rFonts w:ascii="Garamond" w:hAnsi="Garamond"/>
          <w:lang w:val="en-GB"/>
        </w:rPr>
        <w:t xml:space="preserve"> </w:t>
      </w:r>
      <w:r w:rsidRPr="00966D98">
        <w:rPr>
          <w:rFonts w:ascii="Garamond" w:hAnsi="Garamond"/>
          <w:lang w:val="en-GB"/>
        </w:rPr>
        <w:t xml:space="preserve">et al. 2016). </w:t>
      </w:r>
      <w:r w:rsidRPr="00966D98">
        <w:rPr>
          <w:rFonts w:ascii="Garamond" w:hAnsi="Garamond"/>
          <w:color w:val="000000" w:themeColor="text1"/>
          <w:u w:color="538135"/>
          <w:lang w:val="en-GB"/>
        </w:rPr>
        <w:t>Although many have highlighted the accountability that researchers have to the society that funds them (Martin</w:t>
      </w:r>
      <w:r w:rsidR="00D42729" w:rsidRPr="00966D98">
        <w:rPr>
          <w:rFonts w:ascii="Garamond" w:hAnsi="Garamond"/>
          <w:color w:val="000000" w:themeColor="text1"/>
          <w:u w:color="538135"/>
          <w:lang w:val="en-GB"/>
        </w:rPr>
        <w:t xml:space="preserve"> 2</w:t>
      </w:r>
      <w:r w:rsidRPr="00966D98">
        <w:rPr>
          <w:rFonts w:ascii="Garamond" w:hAnsi="Garamond"/>
          <w:color w:val="000000" w:themeColor="text1"/>
          <w:u w:color="538135"/>
          <w:lang w:val="en-GB"/>
        </w:rPr>
        <w:t>011; Pettigrew</w:t>
      </w:r>
      <w:r w:rsidR="00D42729" w:rsidRPr="00966D98">
        <w:rPr>
          <w:rFonts w:ascii="Garamond" w:hAnsi="Garamond"/>
          <w:color w:val="000000" w:themeColor="text1"/>
          <w:u w:color="538135"/>
          <w:lang w:val="en-GB"/>
        </w:rPr>
        <w:t xml:space="preserve"> 2</w:t>
      </w:r>
      <w:r w:rsidRPr="00966D98">
        <w:rPr>
          <w:rFonts w:ascii="Garamond" w:hAnsi="Garamond"/>
          <w:color w:val="000000" w:themeColor="text1"/>
          <w:u w:color="538135"/>
          <w:lang w:val="en-GB"/>
        </w:rPr>
        <w:t xml:space="preserve">011), </w:t>
      </w:r>
      <w:r w:rsidR="002A3755" w:rsidRPr="00966D98">
        <w:rPr>
          <w:rFonts w:ascii="Garamond" w:hAnsi="Garamond"/>
          <w:color w:val="000000" w:themeColor="text1"/>
          <w:u w:color="538135"/>
          <w:lang w:val="en-GB"/>
        </w:rPr>
        <w:t>the focus on</w:t>
      </w:r>
      <w:r w:rsidR="00EE79E8" w:rsidRPr="00966D98">
        <w:rPr>
          <w:rFonts w:ascii="Garamond" w:hAnsi="Garamond"/>
          <w:color w:val="000000" w:themeColor="text1"/>
          <w:u w:color="538135"/>
          <w:lang w:val="en-GB"/>
        </w:rPr>
        <w:t xml:space="preserve"> wider</w:t>
      </w:r>
      <w:r w:rsidR="00AC5940" w:rsidRPr="00966D98">
        <w:rPr>
          <w:rFonts w:ascii="Garamond" w:hAnsi="Garamond"/>
          <w:color w:val="000000" w:themeColor="text1"/>
          <w:u w:color="538135"/>
          <w:lang w:val="en-GB"/>
        </w:rPr>
        <w:t xml:space="preserve"> </w:t>
      </w:r>
      <w:r w:rsidRPr="00966D98">
        <w:rPr>
          <w:rFonts w:ascii="Garamond" w:hAnsi="Garamond"/>
          <w:color w:val="000000" w:themeColor="text1"/>
          <w:u w:color="538135"/>
          <w:lang w:val="en-GB"/>
        </w:rPr>
        <w:t xml:space="preserve">research impact has also been seen as contributing to a narrowing of acceptable topics and approaches (de Lange et al. 2010; Parker &amp; Van </w:t>
      </w:r>
      <w:proofErr w:type="spellStart"/>
      <w:r w:rsidRPr="00966D98">
        <w:rPr>
          <w:rFonts w:ascii="Garamond" w:hAnsi="Garamond"/>
          <w:color w:val="000000" w:themeColor="text1"/>
          <w:u w:color="538135"/>
          <w:lang w:val="en-GB"/>
        </w:rPr>
        <w:t>Teijlingen</w:t>
      </w:r>
      <w:proofErr w:type="spellEnd"/>
      <w:r w:rsidRPr="00966D98">
        <w:rPr>
          <w:rFonts w:ascii="Garamond" w:hAnsi="Garamond"/>
          <w:color w:val="000000" w:themeColor="text1"/>
          <w:u w:color="538135"/>
          <w:lang w:val="en-GB"/>
        </w:rPr>
        <w:t xml:space="preserve"> 2012; Smith, Ward &amp; House</w:t>
      </w:r>
      <w:r w:rsidR="00D42729" w:rsidRPr="00966D98">
        <w:rPr>
          <w:rFonts w:ascii="Garamond" w:hAnsi="Garamond"/>
          <w:color w:val="000000" w:themeColor="text1"/>
          <w:u w:color="538135"/>
          <w:lang w:val="en-GB"/>
        </w:rPr>
        <w:t xml:space="preserve"> 2</w:t>
      </w:r>
      <w:r w:rsidRPr="00966D98">
        <w:rPr>
          <w:rFonts w:ascii="Garamond" w:hAnsi="Garamond"/>
          <w:color w:val="000000" w:themeColor="text1"/>
          <w:u w:color="538135"/>
          <w:lang w:val="en-GB"/>
        </w:rPr>
        <w:t xml:space="preserve">011). A key concern centres around the privileging of disciplines and topics for which impact can be more readily evidenced, to the detriment of fundamental or ‘blue skies’ research. </w:t>
      </w:r>
      <w:r w:rsidR="00D41F01" w:rsidRPr="00966D98">
        <w:rPr>
          <w:rFonts w:ascii="Garamond" w:hAnsi="Garamond"/>
          <w:color w:val="000000" w:themeColor="text1"/>
          <w:u w:color="538135"/>
          <w:lang w:val="en-GB"/>
        </w:rPr>
        <w:t xml:space="preserve">This is exacerbated because </w:t>
      </w:r>
      <w:r w:rsidR="00D41F01" w:rsidRPr="00966D98">
        <w:rPr>
          <w:rFonts w:ascii="Garamond" w:hAnsi="Garamond"/>
          <w:lang w:val="en-GB"/>
        </w:rPr>
        <w:t>s</w:t>
      </w:r>
      <w:r w:rsidR="001C11F1" w:rsidRPr="00966D98">
        <w:rPr>
          <w:rFonts w:ascii="Garamond" w:hAnsi="Garamond"/>
          <w:lang w:val="en-GB"/>
        </w:rPr>
        <w:t>ome disciplines are more easily able to invoke an ‘investment logic’, for example</w:t>
      </w:r>
      <w:r w:rsidR="00D41F01" w:rsidRPr="00966D98">
        <w:rPr>
          <w:rFonts w:ascii="Garamond" w:hAnsi="Garamond"/>
          <w:lang w:val="en-GB"/>
        </w:rPr>
        <w:t xml:space="preserve">, </w:t>
      </w:r>
      <w:r w:rsidR="001C11F1" w:rsidRPr="00966D98">
        <w:rPr>
          <w:rFonts w:ascii="Garamond" w:hAnsi="Garamond"/>
          <w:lang w:val="en-GB"/>
        </w:rPr>
        <w:t xml:space="preserve">where there are direct connections between universities, spin-offs, </w:t>
      </w:r>
      <w:r w:rsidR="00A2693A" w:rsidRPr="00966D98">
        <w:rPr>
          <w:rFonts w:ascii="Garamond" w:hAnsi="Garamond"/>
          <w:lang w:val="en-GB"/>
        </w:rPr>
        <w:t xml:space="preserve">the </w:t>
      </w:r>
      <w:r w:rsidR="001C11F1" w:rsidRPr="00966D98">
        <w:rPr>
          <w:rFonts w:ascii="Garamond" w:hAnsi="Garamond"/>
          <w:lang w:val="en-GB"/>
        </w:rPr>
        <w:t>biotech sector and pharma companies (</w:t>
      </w:r>
      <w:proofErr w:type="spellStart"/>
      <w:r w:rsidR="001C11F1" w:rsidRPr="00966D98">
        <w:rPr>
          <w:rFonts w:ascii="Garamond" w:hAnsi="Garamond"/>
          <w:lang w:val="en-GB"/>
        </w:rPr>
        <w:t>Benneworth</w:t>
      </w:r>
      <w:proofErr w:type="spellEnd"/>
      <w:r w:rsidR="00D42729" w:rsidRPr="00966D98">
        <w:rPr>
          <w:rFonts w:ascii="Garamond" w:hAnsi="Garamond"/>
          <w:lang w:val="en-GB"/>
        </w:rPr>
        <w:t xml:space="preserve"> 2</w:t>
      </w:r>
      <w:r w:rsidR="001C11F1" w:rsidRPr="00966D98">
        <w:rPr>
          <w:rFonts w:ascii="Garamond" w:hAnsi="Garamond"/>
          <w:lang w:val="en-GB"/>
        </w:rPr>
        <w:t>015)</w:t>
      </w:r>
      <w:r w:rsidR="00A34FDE" w:rsidRPr="00966D98">
        <w:rPr>
          <w:rFonts w:ascii="Garamond" w:hAnsi="Garamond"/>
          <w:lang w:val="en-GB"/>
        </w:rPr>
        <w:t>.</w:t>
      </w:r>
    </w:p>
    <w:p w14:paraId="6E9B384F" w14:textId="5B565F63" w:rsidR="00FC60BE" w:rsidRPr="00966D98" w:rsidRDefault="009B2025" w:rsidP="00DF48B8">
      <w:pPr>
        <w:pStyle w:val="Body"/>
        <w:spacing w:before="120" w:after="120" w:line="360" w:lineRule="auto"/>
        <w:ind w:firstLine="284"/>
        <w:jc w:val="both"/>
        <w:outlineLvl w:val="0"/>
        <w:rPr>
          <w:rFonts w:ascii="Garamond" w:eastAsia="Garamond" w:hAnsi="Garamond" w:cs="Garamond"/>
          <w:lang w:val="en-GB"/>
        </w:rPr>
      </w:pPr>
      <w:r w:rsidRPr="00966D98">
        <w:rPr>
          <w:rFonts w:ascii="Garamond" w:hAnsi="Garamond"/>
          <w:lang w:val="en-GB"/>
        </w:rPr>
        <w:t xml:space="preserve">Some </w:t>
      </w:r>
      <w:r w:rsidR="00A34FDE" w:rsidRPr="00966D98">
        <w:rPr>
          <w:rFonts w:ascii="Garamond" w:hAnsi="Garamond"/>
          <w:lang w:val="en-GB"/>
        </w:rPr>
        <w:t>work has</w:t>
      </w:r>
      <w:r w:rsidR="00517BC7" w:rsidRPr="00966D98">
        <w:rPr>
          <w:rFonts w:ascii="Garamond" w:hAnsi="Garamond"/>
          <w:lang w:val="en-GB"/>
        </w:rPr>
        <w:t xml:space="preserve"> f</w:t>
      </w:r>
      <w:r w:rsidR="00A34FDE" w:rsidRPr="00966D98">
        <w:rPr>
          <w:rFonts w:ascii="Garamond" w:hAnsi="Garamond"/>
          <w:lang w:val="en-GB"/>
        </w:rPr>
        <w:t>ocuse</w:t>
      </w:r>
      <w:r w:rsidR="00517BC7" w:rsidRPr="00966D98">
        <w:rPr>
          <w:rFonts w:ascii="Garamond" w:hAnsi="Garamond"/>
          <w:lang w:val="en-GB"/>
        </w:rPr>
        <w:t>d</w:t>
      </w:r>
      <w:r w:rsidR="00A34FDE" w:rsidRPr="00966D98">
        <w:rPr>
          <w:rFonts w:ascii="Garamond" w:hAnsi="Garamond"/>
          <w:lang w:val="en-GB"/>
        </w:rPr>
        <w:t xml:space="preserve"> on </w:t>
      </w:r>
      <w:r w:rsidR="002414C2" w:rsidRPr="00966D98">
        <w:rPr>
          <w:rFonts w:ascii="Garamond" w:hAnsi="Garamond"/>
          <w:lang w:val="en-GB"/>
        </w:rPr>
        <w:t xml:space="preserve">the </w:t>
      </w:r>
      <w:r w:rsidR="00A34FDE" w:rsidRPr="00966D98">
        <w:rPr>
          <w:rFonts w:ascii="Garamond" w:hAnsi="Garamond"/>
          <w:lang w:val="en-GB"/>
        </w:rPr>
        <w:t>inherently social and organisational nature of evaluation, in addition to the cognitive and epistemological aspects of knowledge production (Whitley</w:t>
      </w:r>
      <w:r w:rsidR="00D42729" w:rsidRPr="00966D98">
        <w:rPr>
          <w:rFonts w:ascii="Garamond" w:hAnsi="Garamond"/>
          <w:lang w:val="en-GB"/>
        </w:rPr>
        <w:t xml:space="preserve"> 2</w:t>
      </w:r>
      <w:r w:rsidR="00A34FDE" w:rsidRPr="00966D98">
        <w:rPr>
          <w:rFonts w:ascii="Garamond" w:hAnsi="Garamond"/>
          <w:lang w:val="en-GB"/>
        </w:rPr>
        <w:t xml:space="preserve">000; </w:t>
      </w:r>
      <w:proofErr w:type="spellStart"/>
      <w:r w:rsidR="00A34FDE" w:rsidRPr="00966D98">
        <w:rPr>
          <w:rFonts w:ascii="Garamond" w:hAnsi="Garamond"/>
          <w:lang w:val="en-GB"/>
        </w:rPr>
        <w:t>Hemlin</w:t>
      </w:r>
      <w:proofErr w:type="spellEnd"/>
      <w:r w:rsidR="00D42729" w:rsidRPr="00966D98">
        <w:rPr>
          <w:rFonts w:ascii="Garamond" w:hAnsi="Garamond"/>
          <w:lang w:val="en-GB"/>
        </w:rPr>
        <w:t xml:space="preserve"> 2</w:t>
      </w:r>
      <w:r w:rsidR="00A34FDE" w:rsidRPr="00966D98">
        <w:rPr>
          <w:rFonts w:ascii="Garamond" w:hAnsi="Garamond"/>
          <w:lang w:val="en-GB"/>
        </w:rPr>
        <w:t xml:space="preserve">006). </w:t>
      </w:r>
      <w:r w:rsidR="00FC60BE" w:rsidRPr="00966D98">
        <w:rPr>
          <w:rFonts w:ascii="Garamond" w:eastAsia="Garamond" w:hAnsi="Garamond" w:cs="Garamond"/>
          <w:lang w:val="en-GB"/>
        </w:rPr>
        <w:t xml:space="preserve">One current approach that has gained traction with policy and academics communities is </w:t>
      </w:r>
      <w:r w:rsidR="00066196" w:rsidRPr="00966D98">
        <w:rPr>
          <w:rFonts w:ascii="Garamond" w:eastAsia="Garamond" w:hAnsi="Garamond" w:cs="Garamond"/>
          <w:lang w:val="en-GB"/>
        </w:rPr>
        <w:t>‘</w:t>
      </w:r>
      <w:r w:rsidR="00FC60BE" w:rsidRPr="00966D98">
        <w:rPr>
          <w:rFonts w:ascii="Garamond" w:eastAsia="Garamond" w:hAnsi="Garamond" w:cs="Garamond"/>
          <w:lang w:val="en-GB"/>
        </w:rPr>
        <w:t>productive interactions</w:t>
      </w:r>
      <w:r w:rsidR="00A34FDE" w:rsidRPr="00966D98">
        <w:rPr>
          <w:rFonts w:ascii="Garamond" w:eastAsia="Garamond" w:hAnsi="Garamond" w:cs="Garamond"/>
          <w:lang w:val="en-GB"/>
        </w:rPr>
        <w:t>,</w:t>
      </w:r>
      <w:r w:rsidR="00066196" w:rsidRPr="00966D98">
        <w:rPr>
          <w:rFonts w:ascii="Garamond" w:eastAsia="Garamond" w:hAnsi="Garamond" w:cs="Garamond"/>
          <w:lang w:val="en-GB"/>
        </w:rPr>
        <w:t>’</w:t>
      </w:r>
      <w:r w:rsidR="00A34FDE" w:rsidRPr="00966D98">
        <w:rPr>
          <w:rFonts w:ascii="Garamond" w:eastAsia="Garamond" w:hAnsi="Garamond" w:cs="Garamond"/>
          <w:lang w:val="en-GB"/>
        </w:rPr>
        <w:t xml:space="preserve"> which focuses </w:t>
      </w:r>
      <w:r w:rsidR="00A34FDE" w:rsidRPr="00966D98">
        <w:rPr>
          <w:rFonts w:ascii="Garamond" w:hAnsi="Garamond"/>
          <w:lang w:val="en-GB"/>
        </w:rPr>
        <w:t>on the dynamics of impact pathways, based on interviews with academics about the processes of knowledge translation (</w:t>
      </w:r>
      <w:proofErr w:type="spellStart"/>
      <w:r w:rsidR="00A34FDE" w:rsidRPr="00966D98">
        <w:rPr>
          <w:rFonts w:ascii="Garamond" w:hAnsi="Garamond"/>
          <w:lang w:val="en-GB"/>
        </w:rPr>
        <w:t>Spaapen</w:t>
      </w:r>
      <w:proofErr w:type="spellEnd"/>
      <w:r w:rsidR="00A34FDE" w:rsidRPr="00966D98">
        <w:rPr>
          <w:rFonts w:ascii="Garamond" w:hAnsi="Garamond"/>
          <w:lang w:val="en-GB"/>
        </w:rPr>
        <w:t xml:space="preserve"> &amp; van </w:t>
      </w:r>
      <w:proofErr w:type="spellStart"/>
      <w:r w:rsidR="00A34FDE" w:rsidRPr="00966D98">
        <w:rPr>
          <w:rFonts w:ascii="Garamond" w:hAnsi="Garamond"/>
          <w:lang w:val="en-GB"/>
        </w:rPr>
        <w:t>Drooge</w:t>
      </w:r>
      <w:proofErr w:type="spellEnd"/>
      <w:r w:rsidR="00D42729" w:rsidRPr="00966D98">
        <w:rPr>
          <w:rFonts w:ascii="Garamond" w:hAnsi="Garamond"/>
          <w:lang w:val="en-GB"/>
        </w:rPr>
        <w:t xml:space="preserve"> 2</w:t>
      </w:r>
      <w:r w:rsidR="00A34FDE" w:rsidRPr="00966D98">
        <w:rPr>
          <w:rFonts w:ascii="Garamond" w:hAnsi="Garamond"/>
          <w:lang w:val="en-GB"/>
        </w:rPr>
        <w:t xml:space="preserve">011). </w:t>
      </w:r>
      <w:r w:rsidR="00FC60BE" w:rsidRPr="00966D98">
        <w:rPr>
          <w:rFonts w:ascii="Garamond" w:eastAsia="Garamond" w:hAnsi="Garamond" w:cs="Garamond"/>
          <w:lang w:val="en-GB"/>
        </w:rPr>
        <w:t xml:space="preserve">The approach </w:t>
      </w:r>
      <w:r w:rsidR="00543D48" w:rsidRPr="00966D98">
        <w:rPr>
          <w:rFonts w:ascii="Garamond" w:eastAsia="Garamond" w:hAnsi="Garamond" w:cs="Garamond"/>
          <w:lang w:val="en-GB"/>
        </w:rPr>
        <w:t>considers</w:t>
      </w:r>
      <w:r w:rsidR="00FC60BE" w:rsidRPr="00966D98">
        <w:rPr>
          <w:rFonts w:ascii="Garamond" w:eastAsia="Garamond" w:hAnsi="Garamond" w:cs="Garamond"/>
          <w:lang w:val="en-GB"/>
        </w:rPr>
        <w:t xml:space="preserve"> </w:t>
      </w:r>
      <w:r w:rsidR="00CB6622" w:rsidRPr="00966D98">
        <w:rPr>
          <w:rFonts w:ascii="Garamond" w:eastAsia="Garamond" w:hAnsi="Garamond" w:cs="Garamond"/>
          <w:lang w:val="en-GB"/>
        </w:rPr>
        <w:t>‘</w:t>
      </w:r>
      <w:r w:rsidR="00FC60BE" w:rsidRPr="00966D98">
        <w:rPr>
          <w:rFonts w:ascii="Garamond" w:eastAsia="Garamond" w:hAnsi="Garamond" w:cs="Garamond"/>
          <w:lang w:val="en-GB"/>
        </w:rPr>
        <w:t>exchanges between researchers and stakeholders in which knowledge is produced and valued that is both scientifically robust and socially relevant…</w:t>
      </w:r>
      <w:r w:rsidR="00FC60BE" w:rsidRPr="00966D98">
        <w:rPr>
          <w:lang w:val="en-GB"/>
        </w:rPr>
        <w:t xml:space="preserve"> </w:t>
      </w:r>
      <w:r w:rsidR="00FC60BE" w:rsidRPr="00966D98">
        <w:rPr>
          <w:rFonts w:ascii="Garamond" w:eastAsia="Garamond" w:hAnsi="Garamond" w:cs="Garamond"/>
          <w:lang w:val="en-GB"/>
        </w:rPr>
        <w:t>Social impacts of knowledge are behavioural changes that happen because of this knowledge</w:t>
      </w:r>
      <w:r w:rsidR="00CB6622" w:rsidRPr="00966D98">
        <w:rPr>
          <w:rFonts w:ascii="Garamond" w:eastAsia="Garamond" w:hAnsi="Garamond" w:cs="Garamond"/>
          <w:lang w:val="en-GB"/>
        </w:rPr>
        <w:t>’</w:t>
      </w:r>
      <w:r w:rsidR="00FC60BE" w:rsidRPr="00966D98">
        <w:rPr>
          <w:rFonts w:ascii="Garamond" w:eastAsia="Garamond" w:hAnsi="Garamond" w:cs="Garamond"/>
          <w:lang w:val="en-GB"/>
        </w:rPr>
        <w:t xml:space="preserve"> (</w:t>
      </w:r>
      <w:proofErr w:type="spellStart"/>
      <w:r w:rsidR="00FC60BE" w:rsidRPr="00966D98">
        <w:rPr>
          <w:rFonts w:ascii="Garamond" w:eastAsia="Garamond" w:hAnsi="Garamond" w:cs="Garamond"/>
          <w:lang w:val="en-GB"/>
        </w:rPr>
        <w:t>Spaapen</w:t>
      </w:r>
      <w:proofErr w:type="spellEnd"/>
      <w:r w:rsidR="00FC60BE" w:rsidRPr="00966D98">
        <w:rPr>
          <w:rFonts w:ascii="Garamond" w:eastAsia="Garamond" w:hAnsi="Garamond" w:cs="Garamond"/>
          <w:lang w:val="en-GB"/>
        </w:rPr>
        <w:t xml:space="preserve"> </w:t>
      </w:r>
      <w:r w:rsidR="00596750" w:rsidRPr="00966D98">
        <w:rPr>
          <w:rFonts w:ascii="Garamond" w:eastAsia="Garamond" w:hAnsi="Garamond" w:cs="Garamond"/>
          <w:lang w:val="en-GB"/>
        </w:rPr>
        <w:t>&amp;</w:t>
      </w:r>
      <w:r w:rsidR="00FC60BE" w:rsidRPr="00966D98">
        <w:rPr>
          <w:rFonts w:ascii="Garamond" w:eastAsia="Garamond" w:hAnsi="Garamond" w:cs="Garamond"/>
          <w:lang w:val="en-GB"/>
        </w:rPr>
        <w:t xml:space="preserve"> Van </w:t>
      </w:r>
      <w:proofErr w:type="spellStart"/>
      <w:r w:rsidR="00FC60BE" w:rsidRPr="00966D98">
        <w:rPr>
          <w:rFonts w:ascii="Garamond" w:eastAsia="Garamond" w:hAnsi="Garamond" w:cs="Garamond"/>
          <w:lang w:val="en-GB"/>
        </w:rPr>
        <w:t>Drooge</w:t>
      </w:r>
      <w:proofErr w:type="spellEnd"/>
      <w:r w:rsidR="00D42729" w:rsidRPr="00966D98">
        <w:rPr>
          <w:rFonts w:ascii="Garamond" w:eastAsia="Garamond" w:hAnsi="Garamond" w:cs="Garamond"/>
          <w:lang w:val="en-GB"/>
        </w:rPr>
        <w:t xml:space="preserve"> 2</w:t>
      </w:r>
      <w:r w:rsidR="00FC60BE" w:rsidRPr="00966D98">
        <w:rPr>
          <w:rFonts w:ascii="Garamond" w:eastAsia="Garamond" w:hAnsi="Garamond" w:cs="Garamond"/>
          <w:lang w:val="en-GB"/>
        </w:rPr>
        <w:t>011</w:t>
      </w:r>
      <w:r w:rsidR="00066196" w:rsidRPr="00966D98">
        <w:rPr>
          <w:rFonts w:ascii="Garamond" w:eastAsia="Garamond" w:hAnsi="Garamond" w:cs="Garamond"/>
          <w:lang w:val="en-GB"/>
        </w:rPr>
        <w:t xml:space="preserve"> p. 212</w:t>
      </w:r>
      <w:r w:rsidR="00FC60BE" w:rsidRPr="00966D98">
        <w:rPr>
          <w:rFonts w:ascii="Garamond" w:eastAsia="Garamond" w:hAnsi="Garamond" w:cs="Garamond"/>
          <w:lang w:val="en-GB"/>
        </w:rPr>
        <w:t xml:space="preserve">). </w:t>
      </w:r>
      <w:r w:rsidR="006C2A6C" w:rsidRPr="00966D98">
        <w:rPr>
          <w:rFonts w:ascii="Garamond" w:eastAsia="Garamond" w:hAnsi="Garamond" w:cs="Garamond"/>
          <w:lang w:val="en-GB"/>
        </w:rPr>
        <w:t>This</w:t>
      </w:r>
      <w:r w:rsidR="00C41680" w:rsidRPr="00966D98">
        <w:rPr>
          <w:rFonts w:ascii="Garamond" w:eastAsia="Garamond" w:hAnsi="Garamond" w:cs="Garamond"/>
          <w:lang w:val="en-GB"/>
        </w:rPr>
        <w:t xml:space="preserve"> is a crucial study </w:t>
      </w:r>
      <w:r w:rsidR="000E365F" w:rsidRPr="00966D98">
        <w:rPr>
          <w:rFonts w:ascii="Garamond" w:eastAsia="Garamond" w:hAnsi="Garamond" w:cs="Garamond"/>
          <w:lang w:val="en-GB"/>
        </w:rPr>
        <w:t>o</w:t>
      </w:r>
      <w:r w:rsidR="00D1564C" w:rsidRPr="00966D98">
        <w:rPr>
          <w:rFonts w:ascii="Garamond" w:eastAsia="Garamond" w:hAnsi="Garamond" w:cs="Garamond"/>
          <w:lang w:val="en-GB"/>
        </w:rPr>
        <w:t>f</w:t>
      </w:r>
      <w:r w:rsidR="00C41680" w:rsidRPr="00966D98">
        <w:rPr>
          <w:rFonts w:ascii="Garamond" w:eastAsia="Garamond" w:hAnsi="Garamond" w:cs="Garamond"/>
          <w:lang w:val="en-GB"/>
        </w:rPr>
        <w:t xml:space="preserve"> </w:t>
      </w:r>
      <w:r w:rsidR="000E365F" w:rsidRPr="00966D98">
        <w:rPr>
          <w:rFonts w:ascii="Garamond" w:eastAsia="Garamond" w:hAnsi="Garamond" w:cs="Garamond"/>
          <w:lang w:val="en-GB"/>
        </w:rPr>
        <w:t xml:space="preserve">the relations between researchers and other actors, </w:t>
      </w:r>
      <w:r w:rsidR="00C41680" w:rsidRPr="00966D98">
        <w:rPr>
          <w:rFonts w:ascii="Garamond" w:eastAsia="Garamond" w:hAnsi="Garamond" w:cs="Garamond"/>
          <w:lang w:val="en-GB"/>
        </w:rPr>
        <w:t xml:space="preserve">but </w:t>
      </w:r>
      <w:r w:rsidR="00D1564C" w:rsidRPr="00966D98">
        <w:rPr>
          <w:rFonts w:ascii="Garamond" w:eastAsia="Garamond" w:hAnsi="Garamond" w:cs="Garamond"/>
          <w:lang w:val="en-GB"/>
        </w:rPr>
        <w:t xml:space="preserve">it </w:t>
      </w:r>
      <w:r w:rsidR="00C41680" w:rsidRPr="00966D98">
        <w:rPr>
          <w:rFonts w:ascii="Garamond" w:eastAsia="Garamond" w:hAnsi="Garamond" w:cs="Garamond"/>
          <w:lang w:val="en-GB"/>
        </w:rPr>
        <w:t>does not illuminate the elements underlying</w:t>
      </w:r>
      <w:r w:rsidR="000E365F" w:rsidRPr="00966D98">
        <w:rPr>
          <w:rFonts w:ascii="Garamond" w:eastAsia="Garamond" w:hAnsi="Garamond" w:cs="Garamond"/>
          <w:lang w:val="en-GB"/>
        </w:rPr>
        <w:t xml:space="preserve"> the categories of value, including</w:t>
      </w:r>
      <w:r w:rsidR="00C41680" w:rsidRPr="00966D98">
        <w:rPr>
          <w:rFonts w:ascii="Garamond" w:eastAsia="Garamond" w:hAnsi="Garamond" w:cs="Garamond"/>
          <w:lang w:val="en-GB"/>
        </w:rPr>
        <w:t xml:space="preserve"> </w:t>
      </w:r>
      <w:r w:rsidR="00D12468" w:rsidRPr="00966D98">
        <w:rPr>
          <w:rFonts w:ascii="Garamond" w:eastAsia="Garamond" w:hAnsi="Garamond" w:cs="Garamond"/>
          <w:lang w:val="en-GB"/>
        </w:rPr>
        <w:t>‘</w:t>
      </w:r>
      <w:r w:rsidR="00C41680" w:rsidRPr="00966D98">
        <w:rPr>
          <w:rFonts w:ascii="Garamond" w:eastAsia="Garamond" w:hAnsi="Garamond" w:cs="Garamond"/>
          <w:lang w:val="en-GB"/>
        </w:rPr>
        <w:t>scientific robustness</w:t>
      </w:r>
      <w:r w:rsidR="00D12468" w:rsidRPr="00966D98">
        <w:rPr>
          <w:rFonts w:ascii="Garamond" w:eastAsia="Garamond" w:hAnsi="Garamond" w:cs="Garamond"/>
          <w:lang w:val="en-GB"/>
        </w:rPr>
        <w:t>’</w:t>
      </w:r>
      <w:r w:rsidR="00C41680" w:rsidRPr="00966D98">
        <w:rPr>
          <w:rFonts w:ascii="Garamond" w:eastAsia="Garamond" w:hAnsi="Garamond" w:cs="Garamond"/>
          <w:lang w:val="en-GB"/>
        </w:rPr>
        <w:t xml:space="preserve"> and </w:t>
      </w:r>
      <w:r w:rsidR="00D12468" w:rsidRPr="00966D98">
        <w:rPr>
          <w:rFonts w:ascii="Garamond" w:eastAsia="Garamond" w:hAnsi="Garamond" w:cs="Garamond"/>
          <w:lang w:val="en-GB"/>
        </w:rPr>
        <w:t>‘</w:t>
      </w:r>
      <w:r w:rsidR="00C41680" w:rsidRPr="00966D98">
        <w:rPr>
          <w:rFonts w:ascii="Garamond" w:eastAsia="Garamond" w:hAnsi="Garamond" w:cs="Garamond"/>
          <w:lang w:val="en-GB"/>
        </w:rPr>
        <w:t>social relevance</w:t>
      </w:r>
      <w:r w:rsidR="00D12468" w:rsidRPr="00966D98">
        <w:rPr>
          <w:rFonts w:ascii="Garamond" w:eastAsia="Garamond" w:hAnsi="Garamond" w:cs="Garamond"/>
          <w:lang w:val="en-GB"/>
        </w:rPr>
        <w:t>’</w:t>
      </w:r>
      <w:r w:rsidR="00C41680" w:rsidRPr="00966D98">
        <w:rPr>
          <w:rFonts w:ascii="Garamond" w:eastAsia="Garamond" w:hAnsi="Garamond" w:cs="Garamond"/>
          <w:lang w:val="en-GB"/>
        </w:rPr>
        <w:t xml:space="preserve">. </w:t>
      </w:r>
      <w:r w:rsidR="003E7C18" w:rsidRPr="00966D98">
        <w:rPr>
          <w:rFonts w:ascii="Garamond" w:eastAsia="Garamond" w:hAnsi="Garamond" w:cs="Garamond"/>
          <w:lang w:val="en-GB"/>
        </w:rPr>
        <w:t>Indeed, t</w:t>
      </w:r>
      <w:r w:rsidR="00BF0420" w:rsidRPr="00966D98">
        <w:rPr>
          <w:rFonts w:ascii="Garamond" w:eastAsia="Garamond" w:hAnsi="Garamond" w:cs="Garamond"/>
          <w:lang w:val="en-GB"/>
        </w:rPr>
        <w:t xml:space="preserve">his question of bringing relevant </w:t>
      </w:r>
      <w:r w:rsidR="004A703E" w:rsidRPr="00966D98">
        <w:rPr>
          <w:rFonts w:ascii="Garamond" w:eastAsia="Garamond" w:hAnsi="Garamond" w:cs="Garamond"/>
          <w:lang w:val="en-GB"/>
        </w:rPr>
        <w:t xml:space="preserve">societal </w:t>
      </w:r>
      <w:r w:rsidR="00BF0420" w:rsidRPr="00966D98">
        <w:rPr>
          <w:rFonts w:ascii="Garamond" w:eastAsia="Garamond" w:hAnsi="Garamond" w:cs="Garamond"/>
          <w:lang w:val="en-GB"/>
        </w:rPr>
        <w:t>values to bear in evaluation has been an enduring question (Bozeman</w:t>
      </w:r>
      <w:r w:rsidR="00D42729" w:rsidRPr="00966D98">
        <w:rPr>
          <w:rFonts w:ascii="Garamond" w:eastAsia="Garamond" w:hAnsi="Garamond" w:cs="Garamond"/>
          <w:lang w:val="en-GB"/>
        </w:rPr>
        <w:t xml:space="preserve"> 2</w:t>
      </w:r>
      <w:r w:rsidR="00BF0420" w:rsidRPr="00966D98">
        <w:rPr>
          <w:rFonts w:ascii="Garamond" w:eastAsia="Garamond" w:hAnsi="Garamond" w:cs="Garamond"/>
          <w:lang w:val="en-GB"/>
        </w:rPr>
        <w:t xml:space="preserve">011). </w:t>
      </w:r>
      <w:r w:rsidR="00C41680" w:rsidRPr="00966D98">
        <w:rPr>
          <w:rFonts w:ascii="Garamond" w:eastAsia="Garamond" w:hAnsi="Garamond" w:cs="Garamond"/>
          <w:lang w:val="en-GB"/>
        </w:rPr>
        <w:t xml:space="preserve">In addition, </w:t>
      </w:r>
      <w:r w:rsidR="00BF0420" w:rsidRPr="00966D98">
        <w:rPr>
          <w:rFonts w:ascii="Garamond" w:eastAsia="Garamond" w:hAnsi="Garamond" w:cs="Garamond"/>
          <w:lang w:val="en-GB"/>
        </w:rPr>
        <w:t>the productive interactions approach</w:t>
      </w:r>
      <w:r w:rsidR="00C41680" w:rsidRPr="00966D98">
        <w:rPr>
          <w:rFonts w:ascii="Garamond" w:eastAsia="Garamond" w:hAnsi="Garamond" w:cs="Garamond"/>
          <w:lang w:val="en-GB"/>
        </w:rPr>
        <w:t xml:space="preserve"> does not </w:t>
      </w:r>
      <w:r w:rsidR="00D93C65" w:rsidRPr="00966D98">
        <w:rPr>
          <w:rFonts w:ascii="Garamond" w:eastAsia="Garamond" w:hAnsi="Garamond" w:cs="Garamond"/>
          <w:lang w:val="en-GB"/>
        </w:rPr>
        <w:t xml:space="preserve">clearly </w:t>
      </w:r>
      <w:r w:rsidR="00C41680" w:rsidRPr="00966D98">
        <w:rPr>
          <w:rFonts w:ascii="Garamond" w:eastAsia="Garamond" w:hAnsi="Garamond" w:cs="Garamond"/>
          <w:lang w:val="en-GB"/>
        </w:rPr>
        <w:t xml:space="preserve">illuminate the ways that these two facets </w:t>
      </w:r>
      <w:r w:rsidR="00695EA4" w:rsidRPr="00966D98">
        <w:rPr>
          <w:rFonts w:ascii="Garamond" w:eastAsia="Garamond" w:hAnsi="Garamond" w:cs="Garamond"/>
          <w:lang w:val="en-GB"/>
        </w:rPr>
        <w:t xml:space="preserve">– the ‘scientific’ and the ‘social’ - </w:t>
      </w:r>
      <w:r w:rsidR="00C41680" w:rsidRPr="00966D98">
        <w:rPr>
          <w:rFonts w:ascii="Garamond" w:eastAsia="Garamond" w:hAnsi="Garamond" w:cs="Garamond"/>
          <w:lang w:val="en-GB"/>
        </w:rPr>
        <w:t xml:space="preserve">interact. </w:t>
      </w:r>
      <w:proofErr w:type="spellStart"/>
      <w:r w:rsidR="00FC60BE" w:rsidRPr="00966D98">
        <w:rPr>
          <w:rFonts w:ascii="Garamond" w:eastAsia="Garamond" w:hAnsi="Garamond" w:cs="Garamond"/>
          <w:lang w:val="en-GB"/>
        </w:rPr>
        <w:t>Muhonen</w:t>
      </w:r>
      <w:proofErr w:type="spellEnd"/>
      <w:r w:rsidR="00FC60BE" w:rsidRPr="00966D98">
        <w:rPr>
          <w:rFonts w:ascii="Garamond" w:eastAsia="Garamond" w:hAnsi="Garamond" w:cs="Garamond"/>
          <w:lang w:val="en-GB"/>
        </w:rPr>
        <w:t xml:space="preserve"> </w:t>
      </w:r>
      <w:r w:rsidR="00206834" w:rsidRPr="00966D98">
        <w:rPr>
          <w:rFonts w:ascii="Garamond" w:eastAsia="Garamond" w:hAnsi="Garamond" w:cs="Garamond"/>
          <w:lang w:val="en-GB"/>
        </w:rPr>
        <w:t>and colleagues</w:t>
      </w:r>
      <w:r w:rsidR="00FC60BE" w:rsidRPr="00966D98">
        <w:rPr>
          <w:rFonts w:ascii="Garamond" w:eastAsia="Garamond" w:hAnsi="Garamond" w:cs="Garamond"/>
          <w:lang w:val="en-GB"/>
        </w:rPr>
        <w:t xml:space="preserve"> (2019) have </w:t>
      </w:r>
      <w:r w:rsidR="00EC0681" w:rsidRPr="00966D98">
        <w:rPr>
          <w:rFonts w:ascii="Garamond" w:eastAsia="Garamond" w:hAnsi="Garamond" w:cs="Garamond"/>
          <w:lang w:val="en-GB"/>
        </w:rPr>
        <w:t xml:space="preserve">further </w:t>
      </w:r>
      <w:r w:rsidR="00FC60BE" w:rsidRPr="00966D98">
        <w:rPr>
          <w:rFonts w:ascii="Garamond" w:eastAsia="Garamond" w:hAnsi="Garamond" w:cs="Garamond"/>
          <w:lang w:val="en-GB"/>
        </w:rPr>
        <w:t>developed th</w:t>
      </w:r>
      <w:r w:rsidR="00B52EC5" w:rsidRPr="00966D98">
        <w:rPr>
          <w:rFonts w:ascii="Garamond" w:eastAsia="Garamond" w:hAnsi="Garamond" w:cs="Garamond"/>
          <w:lang w:val="en-GB"/>
        </w:rPr>
        <w:t>e productive interactions</w:t>
      </w:r>
      <w:r w:rsidR="00FC60BE" w:rsidRPr="00966D98">
        <w:rPr>
          <w:rFonts w:ascii="Garamond" w:eastAsia="Garamond" w:hAnsi="Garamond" w:cs="Garamond"/>
          <w:lang w:val="en-GB"/>
        </w:rPr>
        <w:t xml:space="preserve"> approach by </w:t>
      </w:r>
      <w:r w:rsidR="003116EA" w:rsidRPr="00966D98">
        <w:rPr>
          <w:rFonts w:ascii="Garamond" w:eastAsia="Garamond" w:hAnsi="Garamond" w:cs="Garamond"/>
          <w:lang w:val="en-GB"/>
        </w:rPr>
        <w:t xml:space="preserve">identifying </w:t>
      </w:r>
      <w:r w:rsidR="007941D7" w:rsidRPr="00966D98">
        <w:rPr>
          <w:rFonts w:ascii="Garamond" w:eastAsia="Garamond" w:hAnsi="Garamond" w:cs="Garamond"/>
          <w:lang w:val="en-GB"/>
        </w:rPr>
        <w:t xml:space="preserve">the range of the mechanisms by which research leads to societal impact </w:t>
      </w:r>
      <w:r w:rsidR="00690AC7" w:rsidRPr="00966D98">
        <w:rPr>
          <w:rFonts w:ascii="Garamond" w:eastAsia="Garamond" w:hAnsi="Garamond" w:cs="Garamond"/>
          <w:lang w:val="en-GB"/>
        </w:rPr>
        <w:t>(</w:t>
      </w:r>
      <w:r w:rsidR="003116EA" w:rsidRPr="00966D98">
        <w:rPr>
          <w:rFonts w:ascii="Garamond" w:eastAsia="Garamond" w:hAnsi="Garamond" w:cs="Garamond"/>
          <w:lang w:val="en-GB"/>
        </w:rPr>
        <w:t xml:space="preserve">i.e. </w:t>
      </w:r>
      <w:r w:rsidR="00223DCB" w:rsidRPr="00966D98">
        <w:rPr>
          <w:rFonts w:ascii="Garamond" w:eastAsia="Garamond" w:hAnsi="Garamond" w:cs="Garamond"/>
          <w:lang w:val="en-GB"/>
        </w:rPr>
        <w:t>dissemination, cocreation, reacting to societal change, and driving societal change</w:t>
      </w:r>
      <w:r w:rsidR="00690AC7" w:rsidRPr="00966D98">
        <w:rPr>
          <w:rFonts w:ascii="Garamond" w:eastAsia="Garamond" w:hAnsi="Garamond" w:cs="Garamond"/>
          <w:lang w:val="en-GB"/>
        </w:rPr>
        <w:t>)</w:t>
      </w:r>
      <w:r w:rsidR="00695EA4" w:rsidRPr="00966D98">
        <w:rPr>
          <w:rFonts w:ascii="Garamond" w:eastAsia="Garamond" w:hAnsi="Garamond" w:cs="Garamond"/>
          <w:lang w:val="en-GB"/>
        </w:rPr>
        <w:t>, which goes some way to address this</w:t>
      </w:r>
      <w:r w:rsidR="00712997" w:rsidRPr="00966D98">
        <w:rPr>
          <w:rFonts w:ascii="Garamond" w:eastAsia="Garamond" w:hAnsi="Garamond" w:cs="Garamond"/>
          <w:lang w:val="en-GB"/>
        </w:rPr>
        <w:t xml:space="preserve"> issue</w:t>
      </w:r>
      <w:r w:rsidR="00695EA4" w:rsidRPr="00966D98">
        <w:rPr>
          <w:rFonts w:ascii="Garamond" w:eastAsia="Garamond" w:hAnsi="Garamond" w:cs="Garamond"/>
          <w:lang w:val="en-GB"/>
        </w:rPr>
        <w:t xml:space="preserve">. However, there remains a need to </w:t>
      </w:r>
      <w:r w:rsidR="00C002EF" w:rsidRPr="00966D98">
        <w:rPr>
          <w:rFonts w:ascii="Garamond" w:eastAsia="Garamond" w:hAnsi="Garamond" w:cs="Garamond"/>
          <w:lang w:val="en-GB"/>
        </w:rPr>
        <w:t xml:space="preserve">understand the </w:t>
      </w:r>
      <w:r w:rsidR="00690AC7" w:rsidRPr="00966D98">
        <w:rPr>
          <w:rFonts w:ascii="Garamond" w:eastAsia="Garamond" w:hAnsi="Garamond" w:cs="Garamond"/>
          <w:lang w:val="en-GB"/>
        </w:rPr>
        <w:t xml:space="preserve">social elements of value </w:t>
      </w:r>
      <w:r w:rsidR="00C41680" w:rsidRPr="00966D98">
        <w:rPr>
          <w:rFonts w:ascii="Garamond" w:eastAsia="Garamond" w:hAnsi="Garamond" w:cs="Garamond"/>
          <w:lang w:val="en-GB"/>
        </w:rPr>
        <w:t>that are provided by the contextual arenas</w:t>
      </w:r>
      <w:r w:rsidR="00961368" w:rsidRPr="00966D98">
        <w:rPr>
          <w:rFonts w:ascii="Garamond" w:eastAsia="Garamond" w:hAnsi="Garamond" w:cs="Garamond"/>
          <w:lang w:val="en-GB"/>
        </w:rPr>
        <w:t xml:space="preserve"> and fields of power</w:t>
      </w:r>
      <w:r w:rsidR="00C41680" w:rsidRPr="00966D98">
        <w:rPr>
          <w:rFonts w:ascii="Garamond" w:eastAsia="Garamond" w:hAnsi="Garamond" w:cs="Garamond"/>
          <w:lang w:val="en-GB"/>
        </w:rPr>
        <w:t xml:space="preserve"> in which these mechanisms occur. </w:t>
      </w:r>
      <w:r w:rsidR="00695EA4" w:rsidRPr="00966D98">
        <w:rPr>
          <w:rFonts w:ascii="Garamond" w:eastAsia="Garamond" w:hAnsi="Garamond" w:cs="Garamond"/>
          <w:lang w:val="en-GB"/>
        </w:rPr>
        <w:t>Thus,</w:t>
      </w:r>
      <w:r w:rsidR="00C940F8" w:rsidRPr="00966D98">
        <w:rPr>
          <w:rFonts w:ascii="Garamond" w:eastAsia="Garamond" w:hAnsi="Garamond" w:cs="Garamond"/>
          <w:lang w:val="en-GB"/>
        </w:rPr>
        <w:t xml:space="preserve"> </w:t>
      </w:r>
      <w:r w:rsidR="00695EA4" w:rsidRPr="00966D98">
        <w:rPr>
          <w:rFonts w:ascii="Garamond" w:eastAsia="Garamond" w:hAnsi="Garamond" w:cs="Garamond"/>
          <w:lang w:val="en-GB"/>
        </w:rPr>
        <w:t>existing approaches</w:t>
      </w:r>
      <w:r w:rsidR="00C940F8" w:rsidRPr="00966D98">
        <w:rPr>
          <w:rFonts w:ascii="Garamond" w:eastAsia="Garamond" w:hAnsi="Garamond" w:cs="Garamond"/>
          <w:lang w:val="en-GB"/>
        </w:rPr>
        <w:t xml:space="preserve"> do no</w:t>
      </w:r>
      <w:r w:rsidR="00695EA4" w:rsidRPr="00966D98">
        <w:rPr>
          <w:rFonts w:ascii="Garamond" w:eastAsia="Garamond" w:hAnsi="Garamond" w:cs="Garamond"/>
          <w:lang w:val="en-GB"/>
        </w:rPr>
        <w:t>t</w:t>
      </w:r>
      <w:r w:rsidR="00C940F8" w:rsidRPr="00966D98">
        <w:rPr>
          <w:rFonts w:ascii="Garamond" w:eastAsia="Garamond" w:hAnsi="Garamond" w:cs="Garamond"/>
          <w:lang w:val="en-GB"/>
        </w:rPr>
        <w:t xml:space="preserve"> provide a framework for</w:t>
      </w:r>
      <w:r w:rsidR="00D1564C" w:rsidRPr="00966D98">
        <w:rPr>
          <w:rFonts w:ascii="Garamond" w:eastAsia="Garamond" w:hAnsi="Garamond" w:cs="Garamond"/>
          <w:lang w:val="en-GB"/>
        </w:rPr>
        <w:t xml:space="preserve"> </w:t>
      </w:r>
      <w:r w:rsidR="00C940F8" w:rsidRPr="00966D98">
        <w:rPr>
          <w:rFonts w:ascii="Garamond" w:eastAsia="Garamond" w:hAnsi="Garamond" w:cs="Garamond"/>
          <w:lang w:val="en-GB"/>
        </w:rPr>
        <w:t xml:space="preserve">the </w:t>
      </w:r>
      <w:r w:rsidR="00D1564C" w:rsidRPr="00966D98">
        <w:rPr>
          <w:rFonts w:ascii="Garamond" w:eastAsia="Garamond" w:hAnsi="Garamond" w:cs="Garamond"/>
          <w:lang w:val="en-GB"/>
        </w:rPr>
        <w:t xml:space="preserve">social patterns that underpin </w:t>
      </w:r>
      <w:r w:rsidR="003360BD" w:rsidRPr="00966D98">
        <w:rPr>
          <w:rFonts w:ascii="Garamond" w:eastAsia="Garamond" w:hAnsi="Garamond" w:cs="Garamond"/>
          <w:lang w:val="en-GB"/>
        </w:rPr>
        <w:t>encounters between</w:t>
      </w:r>
      <w:r w:rsidR="00D1564C" w:rsidRPr="00966D98">
        <w:rPr>
          <w:rFonts w:ascii="Garamond" w:eastAsia="Garamond" w:hAnsi="Garamond" w:cs="Garamond"/>
          <w:lang w:val="en-GB"/>
        </w:rPr>
        <w:t xml:space="preserve"> </w:t>
      </w:r>
      <w:r w:rsidR="003360BD" w:rsidRPr="00966D98">
        <w:rPr>
          <w:rFonts w:ascii="Garamond" w:eastAsia="Garamond" w:hAnsi="Garamond" w:cs="Garamond"/>
          <w:lang w:val="en-GB"/>
        </w:rPr>
        <w:t xml:space="preserve">the </w:t>
      </w:r>
      <w:r w:rsidR="00D1564C" w:rsidRPr="00966D98">
        <w:rPr>
          <w:rFonts w:ascii="Garamond" w:eastAsia="Garamond" w:hAnsi="Garamond" w:cs="Garamond"/>
          <w:lang w:val="en-GB"/>
        </w:rPr>
        <w:t xml:space="preserve">science system </w:t>
      </w:r>
      <w:r w:rsidR="003360BD" w:rsidRPr="00966D98">
        <w:rPr>
          <w:rFonts w:ascii="Garamond" w:eastAsia="Garamond" w:hAnsi="Garamond" w:cs="Garamond"/>
          <w:lang w:val="en-GB"/>
        </w:rPr>
        <w:t>and</w:t>
      </w:r>
      <w:r w:rsidR="00D1564C" w:rsidRPr="00966D98">
        <w:rPr>
          <w:rFonts w:ascii="Garamond" w:eastAsia="Garamond" w:hAnsi="Garamond" w:cs="Garamond"/>
          <w:lang w:val="en-GB"/>
        </w:rPr>
        <w:t xml:space="preserve"> societal actors</w:t>
      </w:r>
      <w:r w:rsidR="00C940F8" w:rsidRPr="00966D98">
        <w:rPr>
          <w:rFonts w:ascii="Garamond" w:eastAsia="Garamond" w:hAnsi="Garamond" w:cs="Garamond"/>
          <w:lang w:val="en-GB"/>
        </w:rPr>
        <w:t>.</w:t>
      </w:r>
      <w:r w:rsidR="00D1564C" w:rsidRPr="00966D98">
        <w:rPr>
          <w:rFonts w:ascii="Garamond" w:eastAsia="Garamond" w:hAnsi="Garamond" w:cs="Garamond"/>
          <w:lang w:val="en-GB"/>
        </w:rPr>
        <w:t xml:space="preserve"> </w:t>
      </w:r>
      <w:r w:rsidR="00B3091E" w:rsidRPr="00966D98">
        <w:rPr>
          <w:rFonts w:ascii="Garamond" w:hAnsi="Garamond"/>
          <w:lang w:val="en-GB"/>
        </w:rPr>
        <w:t xml:space="preserve">There is </w:t>
      </w:r>
      <w:r w:rsidR="00712997" w:rsidRPr="00966D98">
        <w:rPr>
          <w:rFonts w:ascii="Garamond" w:hAnsi="Garamond"/>
          <w:lang w:val="en-GB"/>
        </w:rPr>
        <w:t xml:space="preserve">therefore </w:t>
      </w:r>
      <w:r w:rsidR="00B3091E" w:rsidRPr="00966D98">
        <w:rPr>
          <w:rFonts w:ascii="Garamond" w:hAnsi="Garamond"/>
          <w:lang w:val="en-GB"/>
        </w:rPr>
        <w:t xml:space="preserve">a need </w:t>
      </w:r>
      <w:r w:rsidR="001B2C85" w:rsidRPr="00966D98">
        <w:rPr>
          <w:rFonts w:ascii="Garamond" w:hAnsi="Garamond"/>
          <w:lang w:val="en-GB"/>
        </w:rPr>
        <w:t>to consider the</w:t>
      </w:r>
      <w:r w:rsidR="00B3091E" w:rsidRPr="00966D98">
        <w:rPr>
          <w:rFonts w:ascii="Garamond" w:hAnsi="Garamond"/>
          <w:lang w:val="en-GB"/>
        </w:rPr>
        <w:t xml:space="preserve"> </w:t>
      </w:r>
      <w:r w:rsidR="00A433E3" w:rsidRPr="00966D98">
        <w:rPr>
          <w:rFonts w:ascii="Garamond" w:hAnsi="Garamond"/>
          <w:lang w:val="en-GB"/>
        </w:rPr>
        <w:t xml:space="preserve">relations of power </w:t>
      </w:r>
      <w:r w:rsidR="00BA6C04" w:rsidRPr="00966D98">
        <w:rPr>
          <w:rFonts w:ascii="Garamond" w:hAnsi="Garamond"/>
          <w:lang w:val="en-GB"/>
        </w:rPr>
        <w:t xml:space="preserve">that underlie </w:t>
      </w:r>
      <w:r w:rsidR="00B3091E" w:rsidRPr="00966D98">
        <w:rPr>
          <w:rFonts w:ascii="Garamond" w:hAnsi="Garamond"/>
          <w:lang w:val="en-GB"/>
        </w:rPr>
        <w:t>research impact</w:t>
      </w:r>
      <w:r w:rsidR="00BA6C04" w:rsidRPr="00966D98">
        <w:rPr>
          <w:rFonts w:ascii="Garamond" w:hAnsi="Garamond"/>
          <w:lang w:val="en-GB"/>
        </w:rPr>
        <w:t>.</w:t>
      </w:r>
    </w:p>
    <w:p w14:paraId="255062E8" w14:textId="6548EE06" w:rsidR="00EB21A7" w:rsidRPr="00966D98" w:rsidRDefault="00851EAE" w:rsidP="00353759">
      <w:pPr>
        <w:pStyle w:val="Body"/>
        <w:spacing w:before="120" w:after="120" w:line="360" w:lineRule="auto"/>
        <w:ind w:firstLine="284"/>
        <w:jc w:val="both"/>
        <w:outlineLvl w:val="0"/>
        <w:rPr>
          <w:rFonts w:ascii="Garamond" w:hAnsi="Garamond"/>
          <w:lang w:val="en-GB"/>
        </w:rPr>
      </w:pPr>
      <w:r w:rsidRPr="00966D98">
        <w:rPr>
          <w:rFonts w:ascii="Garamond" w:hAnsi="Garamond"/>
          <w:lang w:val="en-GB"/>
        </w:rPr>
        <w:lastRenderedPageBreak/>
        <w:t>A related issue, g</w:t>
      </w:r>
      <w:r w:rsidR="004F678B" w:rsidRPr="00966D98">
        <w:rPr>
          <w:rFonts w:ascii="Garamond" w:hAnsi="Garamond"/>
          <w:lang w:val="en-GB"/>
        </w:rPr>
        <w:t xml:space="preserve">iven the contested nature of evaluation mechanisms around impact, </w:t>
      </w:r>
      <w:r w:rsidR="00674A73" w:rsidRPr="00966D98">
        <w:rPr>
          <w:rFonts w:ascii="Garamond" w:hAnsi="Garamond"/>
          <w:lang w:val="en-GB"/>
        </w:rPr>
        <w:t xml:space="preserve">is that </w:t>
      </w:r>
      <w:r w:rsidR="004F678B" w:rsidRPr="00966D98">
        <w:rPr>
          <w:rFonts w:ascii="Garamond" w:hAnsi="Garamond"/>
          <w:lang w:val="en-GB"/>
        </w:rPr>
        <w:t>it is imperative to be able to empirically assess the effects of these procedures</w:t>
      </w:r>
      <w:r w:rsidR="00A01D03" w:rsidRPr="00966D98">
        <w:rPr>
          <w:rFonts w:ascii="Garamond" w:hAnsi="Garamond"/>
          <w:lang w:val="en-GB"/>
        </w:rPr>
        <w:t xml:space="preserve"> on researchers and research systems</w:t>
      </w:r>
      <w:r w:rsidR="004F678B" w:rsidRPr="00966D98">
        <w:rPr>
          <w:rFonts w:ascii="Garamond" w:hAnsi="Garamond"/>
          <w:lang w:val="en-GB"/>
        </w:rPr>
        <w:t xml:space="preserve">. There is a political dimension to </w:t>
      </w:r>
      <w:r w:rsidR="00243EA9" w:rsidRPr="00966D98">
        <w:rPr>
          <w:rFonts w:ascii="Garamond" w:hAnsi="Garamond"/>
          <w:lang w:val="en-GB"/>
        </w:rPr>
        <w:t>assessment that</w:t>
      </w:r>
      <w:r w:rsidR="004F678B" w:rsidRPr="00966D98">
        <w:rPr>
          <w:rFonts w:ascii="Garamond" w:hAnsi="Garamond"/>
          <w:lang w:val="en-GB"/>
        </w:rPr>
        <w:t xml:space="preserve"> under</w:t>
      </w:r>
      <w:r w:rsidR="002C3D16" w:rsidRPr="00966D98">
        <w:rPr>
          <w:rFonts w:ascii="Garamond" w:hAnsi="Garamond"/>
          <w:lang w:val="en-GB"/>
        </w:rPr>
        <w:t>pins</w:t>
      </w:r>
      <w:r w:rsidR="004F678B" w:rsidRPr="00966D98">
        <w:rPr>
          <w:rFonts w:ascii="Garamond" w:hAnsi="Garamond"/>
          <w:lang w:val="en-GB"/>
        </w:rPr>
        <w:t xml:space="preserve"> the contestation around how social benefit is defined and measured. On the one hand, proponents of greater accountability hold that measurement is essential for good management and improved performance (Pettigrew</w:t>
      </w:r>
      <w:r w:rsidR="00D42729" w:rsidRPr="00966D98">
        <w:rPr>
          <w:rFonts w:ascii="Garamond" w:hAnsi="Garamond"/>
          <w:lang w:val="en-GB"/>
        </w:rPr>
        <w:t xml:space="preserve"> 2</w:t>
      </w:r>
      <w:r w:rsidR="004F678B" w:rsidRPr="00966D98">
        <w:rPr>
          <w:rFonts w:ascii="Garamond" w:hAnsi="Garamond"/>
          <w:lang w:val="en-GB"/>
        </w:rPr>
        <w:t>011). On the other, critics of managerial forces have emphasised the adulterating effect of the ‘impact agenda’ on the capacity for critical and reflexive work (</w:t>
      </w:r>
      <w:proofErr w:type="spellStart"/>
      <w:r w:rsidR="004F678B" w:rsidRPr="00966D98">
        <w:rPr>
          <w:rFonts w:ascii="Garamond" w:hAnsi="Garamond"/>
          <w:lang w:val="en-GB"/>
        </w:rPr>
        <w:t>Watermeyer</w:t>
      </w:r>
      <w:proofErr w:type="spellEnd"/>
      <w:r w:rsidR="00D42729" w:rsidRPr="00966D98">
        <w:rPr>
          <w:rFonts w:ascii="Garamond" w:hAnsi="Garamond"/>
          <w:lang w:val="en-GB"/>
        </w:rPr>
        <w:t xml:space="preserve"> 2</w:t>
      </w:r>
      <w:r w:rsidR="004F678B" w:rsidRPr="00966D98">
        <w:rPr>
          <w:rFonts w:ascii="Garamond" w:hAnsi="Garamond"/>
          <w:lang w:val="en-GB"/>
        </w:rPr>
        <w:t>012). In this view, there is a contradiction where the demands of the performance of impact may weaken the contributions researchers can make to society and science. How evaluation systems are designed and implemented (i.e. what is measured and how it is reported) shapes how the objects of evaluation are perceived and conceptualised, attaching value and worth to both objects and people (</w:t>
      </w:r>
      <w:proofErr w:type="spellStart"/>
      <w:r w:rsidR="004F678B" w:rsidRPr="00966D98">
        <w:rPr>
          <w:rFonts w:ascii="Garamond" w:hAnsi="Garamond"/>
          <w:lang w:val="en-GB"/>
        </w:rPr>
        <w:t>Espeland</w:t>
      </w:r>
      <w:proofErr w:type="spellEnd"/>
      <w:r w:rsidR="004F678B" w:rsidRPr="00966D98">
        <w:rPr>
          <w:rFonts w:ascii="Garamond" w:hAnsi="Garamond"/>
          <w:lang w:val="en-GB"/>
        </w:rPr>
        <w:t xml:space="preserve"> &amp; Sauder</w:t>
      </w:r>
      <w:r w:rsidR="00D42729" w:rsidRPr="00966D98">
        <w:rPr>
          <w:rFonts w:ascii="Garamond" w:hAnsi="Garamond"/>
          <w:lang w:val="en-GB"/>
        </w:rPr>
        <w:t xml:space="preserve"> 2</w:t>
      </w:r>
      <w:r w:rsidR="004F678B" w:rsidRPr="00966D98">
        <w:rPr>
          <w:rFonts w:ascii="Garamond" w:hAnsi="Garamond"/>
          <w:lang w:val="en-GB"/>
        </w:rPr>
        <w:t xml:space="preserve">016). </w:t>
      </w:r>
      <w:r w:rsidR="00A217A4" w:rsidRPr="00966D98">
        <w:rPr>
          <w:rFonts w:ascii="Garamond" w:hAnsi="Garamond"/>
          <w:lang w:val="en-GB"/>
        </w:rPr>
        <w:t xml:space="preserve">A key concern </w:t>
      </w:r>
      <w:r w:rsidR="002C3D16" w:rsidRPr="00966D98">
        <w:rPr>
          <w:rFonts w:ascii="Garamond" w:hAnsi="Garamond"/>
          <w:lang w:val="en-GB"/>
        </w:rPr>
        <w:t xml:space="preserve">therefore </w:t>
      </w:r>
      <w:r w:rsidR="00A217A4" w:rsidRPr="00966D98">
        <w:rPr>
          <w:rFonts w:ascii="Garamond" w:hAnsi="Garamond"/>
          <w:lang w:val="en-GB"/>
        </w:rPr>
        <w:t xml:space="preserve">relates to the </w:t>
      </w:r>
      <w:r w:rsidR="00353759" w:rsidRPr="00966D98">
        <w:rPr>
          <w:rFonts w:ascii="Garamond" w:hAnsi="Garamond"/>
          <w:lang w:val="en-GB"/>
        </w:rPr>
        <w:t>potential steering effect</w:t>
      </w:r>
      <w:r w:rsidR="008F5F1B" w:rsidRPr="00966D98">
        <w:rPr>
          <w:rFonts w:ascii="Garamond" w:hAnsi="Garamond"/>
          <w:lang w:val="en-GB"/>
        </w:rPr>
        <w:t>s</w:t>
      </w:r>
      <w:r w:rsidR="00353759" w:rsidRPr="00966D98">
        <w:rPr>
          <w:rFonts w:ascii="Garamond" w:hAnsi="Garamond"/>
          <w:lang w:val="en-GB"/>
        </w:rPr>
        <w:t xml:space="preserve"> of particular measures</w:t>
      </w:r>
      <w:r w:rsidR="00E17BB2" w:rsidRPr="00966D98">
        <w:rPr>
          <w:rFonts w:ascii="Garamond" w:hAnsi="Garamond"/>
          <w:lang w:val="en-GB"/>
        </w:rPr>
        <w:t xml:space="preserve">, given the ways that researchers respond to measures </w:t>
      </w:r>
      <w:r w:rsidR="007846A0" w:rsidRPr="00966D98">
        <w:rPr>
          <w:rFonts w:ascii="Garamond" w:hAnsi="Garamond"/>
          <w:lang w:val="en-GB"/>
        </w:rPr>
        <w:t>are</w:t>
      </w:r>
      <w:r w:rsidR="00E17BB2" w:rsidRPr="00966D98">
        <w:rPr>
          <w:rFonts w:ascii="Garamond" w:hAnsi="Garamond"/>
          <w:lang w:val="en-GB"/>
        </w:rPr>
        <w:t xml:space="preserve"> not always intended by policymakers</w:t>
      </w:r>
      <w:r w:rsidR="00353759" w:rsidRPr="00966D98">
        <w:rPr>
          <w:rFonts w:ascii="Garamond" w:hAnsi="Garamond"/>
          <w:lang w:val="en-GB"/>
        </w:rPr>
        <w:t xml:space="preserve">. </w:t>
      </w:r>
      <w:r w:rsidR="00A217A4" w:rsidRPr="00966D98">
        <w:rPr>
          <w:rFonts w:ascii="Garamond" w:hAnsi="Garamond"/>
          <w:lang w:val="en-GB"/>
        </w:rPr>
        <w:t xml:space="preserve">Bozeman (2011) highlights the problems that arise from a dominant focus on scientific and economic indicators: </w:t>
      </w:r>
      <w:r w:rsidR="00CB6622" w:rsidRPr="00966D98">
        <w:rPr>
          <w:rFonts w:ascii="Garamond" w:hAnsi="Garamond"/>
          <w:lang w:val="en-GB"/>
        </w:rPr>
        <w:t>‘</w:t>
      </w:r>
      <w:r w:rsidR="00A217A4" w:rsidRPr="00966D98">
        <w:rPr>
          <w:rFonts w:ascii="Garamond" w:hAnsi="Garamond"/>
          <w:lang w:val="en-GB"/>
        </w:rPr>
        <w:t>First, science values and economic values are available as accepted and dominant surrogates for all other values. Second, public values are supported by no coherent set of conceptual tools to aid in choice. Third, and in contrast, many such tools are available for science and economic values</w:t>
      </w:r>
      <w:r w:rsidR="00CB6622" w:rsidRPr="00966D98">
        <w:rPr>
          <w:rFonts w:ascii="Garamond" w:hAnsi="Garamond"/>
          <w:lang w:val="en-GB"/>
        </w:rPr>
        <w:t>’</w:t>
      </w:r>
      <w:r w:rsidR="00A217A4" w:rsidRPr="00966D98">
        <w:rPr>
          <w:rFonts w:ascii="Garamond" w:hAnsi="Garamond"/>
          <w:lang w:val="en-GB"/>
        </w:rPr>
        <w:t xml:space="preserve">. </w:t>
      </w:r>
      <w:r w:rsidR="004F678B" w:rsidRPr="00966D98">
        <w:rPr>
          <w:rFonts w:ascii="Garamond" w:hAnsi="Garamond"/>
          <w:lang w:val="en-GB"/>
        </w:rPr>
        <w:t>There is thus a great deal at stake for researchers</w:t>
      </w:r>
      <w:r w:rsidR="00A217A4" w:rsidRPr="00966D98">
        <w:rPr>
          <w:rFonts w:ascii="Garamond" w:hAnsi="Garamond"/>
          <w:lang w:val="en-GB"/>
        </w:rPr>
        <w:t xml:space="preserve"> and for the production of knowledge</w:t>
      </w:r>
      <w:r w:rsidR="004F678B" w:rsidRPr="00966D98">
        <w:rPr>
          <w:rFonts w:ascii="Garamond" w:hAnsi="Garamond"/>
          <w:lang w:val="en-GB"/>
        </w:rPr>
        <w:t xml:space="preserve">, given that evaluation practices can force a choice between adapting to demands or being penalised for straying from what is deemed legitimate and valuable. </w:t>
      </w:r>
      <w:r w:rsidR="00F65026" w:rsidRPr="00966D98">
        <w:rPr>
          <w:rFonts w:ascii="Garamond" w:hAnsi="Garamond"/>
          <w:lang w:val="en-GB"/>
        </w:rPr>
        <w:t>Furthermore</w:t>
      </w:r>
      <w:r w:rsidR="00D61928" w:rsidRPr="00966D98">
        <w:rPr>
          <w:rFonts w:ascii="Garamond" w:hAnsi="Garamond"/>
          <w:lang w:val="en-GB"/>
        </w:rPr>
        <w:t>, there is</w:t>
      </w:r>
      <w:r w:rsidR="00EB21A7" w:rsidRPr="00966D98">
        <w:rPr>
          <w:rFonts w:ascii="Garamond" w:hAnsi="Garamond"/>
          <w:lang w:val="en-GB"/>
        </w:rPr>
        <w:t xml:space="preserve"> a </w:t>
      </w:r>
      <w:r w:rsidR="00A34FDE" w:rsidRPr="00966D98">
        <w:rPr>
          <w:rFonts w:ascii="Garamond" w:hAnsi="Garamond"/>
          <w:lang w:val="en-GB"/>
        </w:rPr>
        <w:t>critical gap in knowledge that arises from the obscure nature of the interactions between the practices of evaluation, which are typically closed to outsiders (Derrick &amp; Samuel</w:t>
      </w:r>
      <w:r w:rsidR="00D42729" w:rsidRPr="00966D98">
        <w:rPr>
          <w:rFonts w:ascii="Garamond" w:hAnsi="Garamond"/>
          <w:lang w:val="en-GB"/>
        </w:rPr>
        <w:t xml:space="preserve"> 2</w:t>
      </w:r>
      <w:r w:rsidR="00A34FDE" w:rsidRPr="00966D98">
        <w:rPr>
          <w:rFonts w:ascii="Garamond" w:hAnsi="Garamond"/>
          <w:lang w:val="en-GB"/>
        </w:rPr>
        <w:t>016), and the processes of knowledge production, which take the form of the experiences and actions of research</w:t>
      </w:r>
      <w:r w:rsidR="00E22261" w:rsidRPr="00966D98">
        <w:rPr>
          <w:rFonts w:ascii="Garamond" w:hAnsi="Garamond"/>
          <w:lang w:val="en-GB"/>
        </w:rPr>
        <w:t xml:space="preserve"> actors</w:t>
      </w:r>
      <w:r w:rsidR="00A34FDE" w:rsidRPr="00966D98">
        <w:rPr>
          <w:rFonts w:ascii="Garamond" w:hAnsi="Garamond"/>
          <w:lang w:val="en-GB"/>
        </w:rPr>
        <w:t xml:space="preserve"> (</w:t>
      </w:r>
      <w:proofErr w:type="spellStart"/>
      <w:r w:rsidR="00A34FDE" w:rsidRPr="00966D98">
        <w:rPr>
          <w:rFonts w:ascii="Garamond" w:hAnsi="Garamond"/>
          <w:lang w:val="en-GB"/>
        </w:rPr>
        <w:t>Wouters</w:t>
      </w:r>
      <w:proofErr w:type="spellEnd"/>
      <w:r w:rsidR="00D42729" w:rsidRPr="00966D98">
        <w:rPr>
          <w:rFonts w:ascii="Garamond" w:hAnsi="Garamond"/>
          <w:lang w:val="en-GB"/>
        </w:rPr>
        <w:t xml:space="preserve"> 2</w:t>
      </w:r>
      <w:r w:rsidR="00A34FDE" w:rsidRPr="00966D98">
        <w:rPr>
          <w:rFonts w:ascii="Garamond" w:hAnsi="Garamond"/>
          <w:lang w:val="en-GB"/>
        </w:rPr>
        <w:t xml:space="preserve">014). </w:t>
      </w:r>
    </w:p>
    <w:p w14:paraId="305E833D" w14:textId="7F1B79C0" w:rsidR="00EB21A7" w:rsidRPr="00966D98" w:rsidRDefault="00EB21A7" w:rsidP="00B95CED">
      <w:pPr>
        <w:pStyle w:val="Body"/>
        <w:spacing w:before="120" w:after="120" w:line="360" w:lineRule="auto"/>
        <w:ind w:firstLine="284"/>
        <w:jc w:val="both"/>
        <w:outlineLvl w:val="0"/>
        <w:rPr>
          <w:rFonts w:ascii="Garamond" w:hAnsi="Garamond"/>
          <w:lang w:val="en-GB"/>
        </w:rPr>
      </w:pPr>
      <w:r w:rsidRPr="00966D98">
        <w:rPr>
          <w:rFonts w:ascii="Garamond" w:hAnsi="Garamond"/>
          <w:color w:val="000000" w:themeColor="text1"/>
          <w:lang w:val="en-GB"/>
        </w:rPr>
        <w:t>There are</w:t>
      </w:r>
      <w:r w:rsidR="00DE68F8" w:rsidRPr="00966D98">
        <w:rPr>
          <w:rFonts w:ascii="Garamond" w:hAnsi="Garamond"/>
          <w:color w:val="000000" w:themeColor="text1"/>
          <w:lang w:val="en-GB"/>
        </w:rPr>
        <w:t xml:space="preserve"> therefore two</w:t>
      </w:r>
      <w:r w:rsidRPr="00966D98">
        <w:rPr>
          <w:rFonts w:ascii="Garamond" w:hAnsi="Garamond"/>
          <w:color w:val="000000" w:themeColor="text1"/>
          <w:lang w:val="en-GB"/>
        </w:rPr>
        <w:t xml:space="preserve"> key problems with the existing literature on research impact </w:t>
      </w:r>
      <w:r w:rsidR="0034257A" w:rsidRPr="00966D98">
        <w:rPr>
          <w:rFonts w:ascii="Garamond" w:hAnsi="Garamond"/>
          <w:color w:val="000000" w:themeColor="text1"/>
          <w:lang w:val="en-GB"/>
        </w:rPr>
        <w:t>assessment</w:t>
      </w:r>
      <w:r w:rsidRPr="00966D98">
        <w:rPr>
          <w:rFonts w:ascii="Garamond" w:hAnsi="Garamond"/>
          <w:color w:val="000000" w:themeColor="text1"/>
          <w:lang w:val="en-GB"/>
        </w:rPr>
        <w:t xml:space="preserve">. The first is the lack of </w:t>
      </w:r>
      <w:r w:rsidRPr="00966D98">
        <w:rPr>
          <w:rFonts w:ascii="Garamond" w:hAnsi="Garamond"/>
          <w:lang w:val="en-GB"/>
        </w:rPr>
        <w:t xml:space="preserve">an overarching theoretical framework that can be used to understand </w:t>
      </w:r>
      <w:r w:rsidR="00FF0026" w:rsidRPr="00966D98">
        <w:rPr>
          <w:rFonts w:ascii="Garamond" w:hAnsi="Garamond"/>
          <w:lang w:val="en-GB"/>
        </w:rPr>
        <w:t>value</w:t>
      </w:r>
      <w:r w:rsidR="00362364" w:rsidRPr="00966D98">
        <w:rPr>
          <w:rFonts w:ascii="Garamond" w:hAnsi="Garamond"/>
          <w:lang w:val="en-GB"/>
        </w:rPr>
        <w:t xml:space="preserve"> </w:t>
      </w:r>
      <w:r w:rsidR="0028426E" w:rsidRPr="00966D98">
        <w:rPr>
          <w:rFonts w:ascii="Garamond" w:hAnsi="Garamond"/>
          <w:lang w:val="en-GB"/>
        </w:rPr>
        <w:t>and relations of power</w:t>
      </w:r>
      <w:r w:rsidR="00944C7E" w:rsidRPr="00966D98">
        <w:rPr>
          <w:rFonts w:ascii="Garamond" w:hAnsi="Garamond"/>
          <w:lang w:val="en-GB"/>
        </w:rPr>
        <w:t xml:space="preserve">. </w:t>
      </w:r>
      <w:r w:rsidR="00B57CD5" w:rsidRPr="00966D98">
        <w:rPr>
          <w:rFonts w:ascii="Garamond" w:hAnsi="Garamond"/>
          <w:color w:val="000000" w:themeColor="text1"/>
          <w:lang w:val="en-GB"/>
        </w:rPr>
        <w:t xml:space="preserve">Although current practice in evaluation tends to distinguish between academic and external impact, there is no </w:t>
      </w:r>
      <w:r w:rsidR="00BA00CF" w:rsidRPr="00966D98">
        <w:rPr>
          <w:rFonts w:ascii="Garamond" w:hAnsi="Garamond"/>
          <w:color w:val="000000" w:themeColor="text1"/>
          <w:lang w:val="en-GB"/>
        </w:rPr>
        <w:t xml:space="preserve">clear </w:t>
      </w:r>
      <w:r w:rsidR="00694E90" w:rsidRPr="00966D98">
        <w:rPr>
          <w:rFonts w:ascii="Garamond" w:hAnsi="Garamond"/>
          <w:color w:val="000000" w:themeColor="text1"/>
          <w:lang w:val="en-GB"/>
        </w:rPr>
        <w:t xml:space="preserve">theoretical work that illuminates </w:t>
      </w:r>
      <w:r w:rsidR="00B57CD5" w:rsidRPr="00966D98">
        <w:rPr>
          <w:rFonts w:ascii="Garamond" w:hAnsi="Garamond"/>
          <w:color w:val="000000" w:themeColor="text1"/>
          <w:lang w:val="en-GB"/>
        </w:rPr>
        <w:t xml:space="preserve">what constitutes ‘external’ nor how these two elements interact. There is little attention to the value judgements that underpin these evaluations. </w:t>
      </w:r>
      <w:r w:rsidR="004F7B9C" w:rsidRPr="00966D98">
        <w:rPr>
          <w:rFonts w:ascii="Garamond" w:hAnsi="Garamond"/>
          <w:color w:val="000000" w:themeColor="text1"/>
          <w:lang w:val="en-GB"/>
        </w:rPr>
        <w:t xml:space="preserve">Addressing this issue is essential, given </w:t>
      </w:r>
      <w:r w:rsidR="004F7B9C" w:rsidRPr="00966D98">
        <w:rPr>
          <w:rFonts w:ascii="Garamond" w:hAnsi="Garamond"/>
          <w:lang w:val="en-GB"/>
        </w:rPr>
        <w:t>that the ways that impact is understood and measured exert effects on what knowledge is valued and how research is done.</w:t>
      </w:r>
      <w:r w:rsidR="00A217A4" w:rsidRPr="00966D98">
        <w:rPr>
          <w:rFonts w:ascii="Garamond" w:hAnsi="Garamond"/>
          <w:lang w:val="en-GB"/>
        </w:rPr>
        <w:t xml:space="preserve"> </w:t>
      </w:r>
      <w:r w:rsidR="00EB0C55" w:rsidRPr="00966D98">
        <w:rPr>
          <w:rFonts w:ascii="Garamond" w:hAnsi="Garamond"/>
          <w:lang w:val="en-GB"/>
        </w:rPr>
        <w:t xml:space="preserve">The second is </w:t>
      </w:r>
      <w:r w:rsidR="00B95CED" w:rsidRPr="00966D98">
        <w:rPr>
          <w:rFonts w:ascii="Garamond" w:hAnsi="Garamond"/>
          <w:lang w:val="en-GB"/>
        </w:rPr>
        <w:t xml:space="preserve">a </w:t>
      </w:r>
      <w:r w:rsidR="00EB0C55" w:rsidRPr="00966D98">
        <w:rPr>
          <w:rFonts w:ascii="Garamond" w:hAnsi="Garamond"/>
          <w:lang w:val="en-GB"/>
        </w:rPr>
        <w:t xml:space="preserve">lack of </w:t>
      </w:r>
      <w:proofErr w:type="gramStart"/>
      <w:r w:rsidR="00EB0C55" w:rsidRPr="00966D98">
        <w:rPr>
          <w:rFonts w:ascii="Garamond" w:hAnsi="Garamond"/>
          <w:lang w:val="en-GB"/>
        </w:rPr>
        <w:t>a</w:t>
      </w:r>
      <w:proofErr w:type="gramEnd"/>
      <w:r w:rsidR="00EB0C55" w:rsidRPr="00966D98">
        <w:rPr>
          <w:rFonts w:ascii="Garamond" w:hAnsi="Garamond"/>
          <w:lang w:val="en-GB"/>
        </w:rPr>
        <w:t xml:space="preserve"> understanding of </w:t>
      </w:r>
      <w:r w:rsidR="00A217A4" w:rsidRPr="00966D98">
        <w:rPr>
          <w:rFonts w:ascii="Garamond" w:hAnsi="Garamond"/>
          <w:lang w:val="en-GB"/>
        </w:rPr>
        <w:t xml:space="preserve">how research impact </w:t>
      </w:r>
      <w:r w:rsidR="002A66A4" w:rsidRPr="00966D98">
        <w:rPr>
          <w:rFonts w:ascii="Garamond" w:hAnsi="Garamond"/>
          <w:lang w:val="en-GB"/>
        </w:rPr>
        <w:t xml:space="preserve">assessment </w:t>
      </w:r>
      <w:r w:rsidR="00A217A4" w:rsidRPr="00966D98">
        <w:rPr>
          <w:rFonts w:ascii="Garamond" w:hAnsi="Garamond"/>
          <w:lang w:val="en-GB"/>
        </w:rPr>
        <w:t>operates as a set of practices</w:t>
      </w:r>
      <w:r w:rsidR="00EB0C55" w:rsidRPr="00966D98">
        <w:rPr>
          <w:rFonts w:ascii="Garamond" w:hAnsi="Garamond"/>
          <w:lang w:val="en-GB"/>
        </w:rPr>
        <w:t>,</w:t>
      </w:r>
      <w:r w:rsidR="00A217A4" w:rsidRPr="00966D98">
        <w:rPr>
          <w:rFonts w:ascii="Garamond" w:hAnsi="Garamond"/>
          <w:lang w:val="en-GB"/>
        </w:rPr>
        <w:t xml:space="preserve"> and the effects that this has </w:t>
      </w:r>
      <w:r w:rsidR="00AB30AB" w:rsidRPr="00966D98">
        <w:rPr>
          <w:rFonts w:ascii="Garamond" w:hAnsi="Garamond"/>
          <w:lang w:val="en-GB"/>
        </w:rPr>
        <w:t>on research</w:t>
      </w:r>
      <w:r w:rsidR="00294A30" w:rsidRPr="00966D98">
        <w:rPr>
          <w:rFonts w:ascii="Garamond" w:hAnsi="Garamond"/>
          <w:lang w:val="en-GB"/>
        </w:rPr>
        <w:t xml:space="preserve"> actors</w:t>
      </w:r>
      <w:r w:rsidR="00AB30AB" w:rsidRPr="00966D98">
        <w:rPr>
          <w:rFonts w:ascii="Garamond" w:hAnsi="Garamond"/>
          <w:lang w:val="en-GB"/>
        </w:rPr>
        <w:t xml:space="preserve"> and science</w:t>
      </w:r>
      <w:r w:rsidR="00A217A4" w:rsidRPr="00966D98">
        <w:rPr>
          <w:rFonts w:ascii="Garamond" w:hAnsi="Garamond"/>
          <w:lang w:val="en-GB"/>
        </w:rPr>
        <w:t xml:space="preserve">. </w:t>
      </w:r>
      <w:r w:rsidR="00EB0C55" w:rsidRPr="00966D98">
        <w:rPr>
          <w:rFonts w:ascii="Garamond" w:hAnsi="Garamond"/>
          <w:lang w:val="en-GB"/>
        </w:rPr>
        <w:t>Addressing this issue is crucial to break the</w:t>
      </w:r>
      <w:r w:rsidR="00EC19F8" w:rsidRPr="00966D98">
        <w:rPr>
          <w:rFonts w:ascii="Garamond" w:hAnsi="Garamond"/>
          <w:lang w:val="en-GB"/>
        </w:rPr>
        <w:t xml:space="preserve"> </w:t>
      </w:r>
      <w:r w:rsidR="00EB0C55" w:rsidRPr="00966D98">
        <w:rPr>
          <w:rFonts w:ascii="Garamond" w:hAnsi="Garamond"/>
          <w:lang w:val="en-GB"/>
        </w:rPr>
        <w:t xml:space="preserve">current </w:t>
      </w:r>
      <w:r w:rsidR="00EC19F8" w:rsidRPr="00966D98">
        <w:rPr>
          <w:rFonts w:ascii="Garamond" w:hAnsi="Garamond"/>
          <w:lang w:val="en-GB"/>
        </w:rPr>
        <w:t xml:space="preserve">reliance on </w:t>
      </w:r>
      <w:r w:rsidR="00E106EB" w:rsidRPr="00966D98">
        <w:rPr>
          <w:rFonts w:ascii="Garamond" w:hAnsi="Garamond"/>
          <w:lang w:val="en-GB"/>
        </w:rPr>
        <w:t xml:space="preserve">discrete </w:t>
      </w:r>
      <w:r w:rsidR="00EC19F8" w:rsidRPr="00966D98">
        <w:rPr>
          <w:rFonts w:ascii="Garamond" w:hAnsi="Garamond"/>
          <w:lang w:val="en-GB"/>
        </w:rPr>
        <w:t xml:space="preserve">single or aggregated </w:t>
      </w:r>
      <w:r w:rsidR="00E106EB" w:rsidRPr="00966D98">
        <w:rPr>
          <w:rFonts w:ascii="Garamond" w:hAnsi="Garamond"/>
          <w:lang w:val="en-GB"/>
        </w:rPr>
        <w:lastRenderedPageBreak/>
        <w:t xml:space="preserve">properties </w:t>
      </w:r>
      <w:r w:rsidR="00EC19F8" w:rsidRPr="00966D98">
        <w:rPr>
          <w:rFonts w:ascii="Garamond" w:hAnsi="Garamond"/>
          <w:lang w:val="en-GB"/>
        </w:rPr>
        <w:t>at the expense of explicit identification of specific aims, intentions or values</w:t>
      </w:r>
      <w:r w:rsidR="00E106EB" w:rsidRPr="00966D98">
        <w:rPr>
          <w:rFonts w:ascii="Garamond" w:hAnsi="Garamond"/>
          <w:lang w:val="en-GB"/>
        </w:rPr>
        <w:t xml:space="preserve"> </w:t>
      </w:r>
      <w:r w:rsidR="00EC19F8" w:rsidRPr="00966D98">
        <w:rPr>
          <w:rFonts w:ascii="Garamond" w:hAnsi="Garamond"/>
          <w:lang w:val="en-GB"/>
        </w:rPr>
        <w:t xml:space="preserve">and how </w:t>
      </w:r>
      <w:proofErr w:type="gramStart"/>
      <w:r w:rsidR="00EC19F8" w:rsidRPr="00966D98">
        <w:rPr>
          <w:rFonts w:ascii="Garamond" w:hAnsi="Garamond"/>
          <w:lang w:val="en-GB"/>
        </w:rPr>
        <w:t>these link</w:t>
      </w:r>
      <w:proofErr w:type="gramEnd"/>
      <w:r w:rsidR="00EC19F8" w:rsidRPr="00966D98">
        <w:rPr>
          <w:rFonts w:ascii="Garamond" w:hAnsi="Garamond"/>
          <w:lang w:val="en-GB"/>
        </w:rPr>
        <w:t xml:space="preserve"> to various </w:t>
      </w:r>
      <w:r w:rsidR="00944C7E" w:rsidRPr="00966D98">
        <w:rPr>
          <w:rFonts w:ascii="Garamond" w:hAnsi="Garamond"/>
          <w:lang w:val="en-GB"/>
        </w:rPr>
        <w:t xml:space="preserve">research </w:t>
      </w:r>
      <w:r w:rsidR="00EC19F8" w:rsidRPr="00966D98">
        <w:rPr>
          <w:rFonts w:ascii="Garamond" w:hAnsi="Garamond"/>
          <w:lang w:val="en-GB"/>
        </w:rPr>
        <w:t>outputs (Bozeman</w:t>
      </w:r>
      <w:r w:rsidR="00D42729" w:rsidRPr="00966D98">
        <w:rPr>
          <w:rFonts w:ascii="Garamond" w:hAnsi="Garamond"/>
          <w:lang w:val="en-GB"/>
        </w:rPr>
        <w:t xml:space="preserve"> 2</w:t>
      </w:r>
      <w:r w:rsidR="00EC19F8" w:rsidRPr="00966D98">
        <w:rPr>
          <w:rFonts w:ascii="Garamond" w:hAnsi="Garamond"/>
          <w:lang w:val="en-GB"/>
        </w:rPr>
        <w:t xml:space="preserve">011). </w:t>
      </w:r>
      <w:r w:rsidR="00DB7C09">
        <w:rPr>
          <w:rFonts w:ascii="Garamond" w:hAnsi="Garamond"/>
          <w:lang w:val="en-GB"/>
        </w:rPr>
        <w:t xml:space="preserve">These </w:t>
      </w:r>
      <w:r w:rsidR="00685768">
        <w:rPr>
          <w:rFonts w:ascii="Garamond" w:hAnsi="Garamond"/>
          <w:lang w:val="en-GB"/>
        </w:rPr>
        <w:t>issues</w:t>
      </w:r>
      <w:r w:rsidR="00DB7C09">
        <w:rPr>
          <w:rFonts w:ascii="Garamond" w:hAnsi="Garamond"/>
          <w:lang w:val="en-GB"/>
        </w:rPr>
        <w:t xml:space="preserve"> require a dual focus on the ways </w:t>
      </w:r>
      <w:r w:rsidR="00DB7C09" w:rsidRPr="00DB7C09">
        <w:rPr>
          <w:rFonts w:ascii="Garamond" w:hAnsi="Garamond"/>
          <w:lang w:val="en-GB"/>
        </w:rPr>
        <w:t xml:space="preserve">capital </w:t>
      </w:r>
      <w:r w:rsidR="00DB7C09">
        <w:rPr>
          <w:rFonts w:ascii="Garamond" w:hAnsi="Garamond"/>
          <w:lang w:val="en-GB"/>
        </w:rPr>
        <w:t xml:space="preserve">can be mobilised </w:t>
      </w:r>
      <w:r w:rsidR="00DB7C09" w:rsidRPr="00DB7C09">
        <w:rPr>
          <w:rFonts w:ascii="Garamond" w:hAnsi="Garamond"/>
          <w:lang w:val="en-GB"/>
        </w:rPr>
        <w:t xml:space="preserve">through various extra-academic fields </w:t>
      </w:r>
      <w:r w:rsidR="00DB7C09">
        <w:rPr>
          <w:rFonts w:ascii="Garamond" w:hAnsi="Garamond"/>
          <w:lang w:val="en-GB"/>
        </w:rPr>
        <w:t xml:space="preserve">and </w:t>
      </w:r>
      <w:r w:rsidR="00DB7C09" w:rsidRPr="00DB7C09">
        <w:rPr>
          <w:rFonts w:ascii="Garamond" w:hAnsi="Garamond"/>
          <w:lang w:val="en-GB"/>
        </w:rPr>
        <w:t>the effects of evaluation on researchers and systems</w:t>
      </w:r>
      <w:r w:rsidR="00DB7C09">
        <w:rPr>
          <w:rFonts w:ascii="Garamond" w:hAnsi="Garamond"/>
          <w:lang w:val="en-GB"/>
        </w:rPr>
        <w:t>.</w:t>
      </w:r>
    </w:p>
    <w:p w14:paraId="6050619E" w14:textId="67B8F276" w:rsidR="004F678B" w:rsidRPr="00966D98" w:rsidRDefault="004F678B" w:rsidP="00DF48B8">
      <w:pPr>
        <w:spacing w:before="120" w:after="120" w:line="360" w:lineRule="auto"/>
        <w:jc w:val="both"/>
        <w:rPr>
          <w:rFonts w:ascii="Garamond" w:hAnsi="Garamond"/>
          <w:b/>
        </w:rPr>
      </w:pPr>
      <w:r w:rsidRPr="00966D98">
        <w:rPr>
          <w:rFonts w:ascii="Garamond" w:hAnsi="Garamond"/>
          <w:b/>
        </w:rPr>
        <w:t>A new conceptual framework for research impact</w:t>
      </w:r>
    </w:p>
    <w:p w14:paraId="447E3D99" w14:textId="1A105D36" w:rsidR="003D4A59" w:rsidRPr="00966D98" w:rsidRDefault="003D4A59">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 xml:space="preserve">To </w:t>
      </w:r>
      <w:r w:rsidR="00DD28C9" w:rsidRPr="00966D98">
        <w:rPr>
          <w:rFonts w:ascii="Garamond" w:hAnsi="Garamond"/>
          <w:color w:val="000000" w:themeColor="text1"/>
          <w:lang w:val="en-GB"/>
        </w:rPr>
        <w:t>rectify th</w:t>
      </w:r>
      <w:r w:rsidR="00B57CD5" w:rsidRPr="00966D98">
        <w:rPr>
          <w:rFonts w:ascii="Garamond" w:hAnsi="Garamond"/>
          <w:color w:val="000000" w:themeColor="text1"/>
          <w:lang w:val="en-GB"/>
        </w:rPr>
        <w:t xml:space="preserve">e limitations of </w:t>
      </w:r>
      <w:r w:rsidR="006D56AC" w:rsidRPr="00966D98">
        <w:rPr>
          <w:rFonts w:ascii="Garamond" w:hAnsi="Garamond"/>
          <w:color w:val="000000" w:themeColor="text1"/>
          <w:lang w:val="en-GB"/>
        </w:rPr>
        <w:t>existing</w:t>
      </w:r>
      <w:r w:rsidR="00B57CD5" w:rsidRPr="00966D98">
        <w:rPr>
          <w:rFonts w:ascii="Garamond" w:hAnsi="Garamond"/>
          <w:color w:val="000000" w:themeColor="text1"/>
          <w:lang w:val="en-GB"/>
        </w:rPr>
        <w:t xml:space="preserve"> </w:t>
      </w:r>
      <w:r w:rsidR="003D31AF" w:rsidRPr="00966D98">
        <w:rPr>
          <w:rFonts w:ascii="Garamond" w:hAnsi="Garamond"/>
          <w:color w:val="000000" w:themeColor="text1"/>
          <w:lang w:val="en-GB"/>
        </w:rPr>
        <w:t>approaches</w:t>
      </w:r>
      <w:r w:rsidRPr="00966D98">
        <w:rPr>
          <w:rFonts w:ascii="Garamond" w:hAnsi="Garamond"/>
          <w:color w:val="000000" w:themeColor="text1"/>
          <w:lang w:val="en-GB"/>
        </w:rPr>
        <w:t xml:space="preserve">, the insights of the sociology and research evaluation literature can be combined. </w:t>
      </w:r>
      <w:r w:rsidR="00EB79C3" w:rsidRPr="00966D98">
        <w:rPr>
          <w:rFonts w:ascii="Garamond" w:hAnsi="Garamond"/>
          <w:color w:val="000000" w:themeColor="text1"/>
          <w:lang w:val="en-GB"/>
        </w:rPr>
        <w:t>F</w:t>
      </w:r>
      <w:r w:rsidR="002A3178" w:rsidRPr="00966D98">
        <w:rPr>
          <w:rFonts w:ascii="Garamond" w:hAnsi="Garamond"/>
          <w:color w:val="000000" w:themeColor="text1"/>
          <w:lang w:val="en-GB"/>
        </w:rPr>
        <w:t>ield theory provides a useful framework for dealing with the problem identified in the previous section. F</w:t>
      </w:r>
      <w:r w:rsidRPr="00966D98">
        <w:rPr>
          <w:rFonts w:ascii="Garamond" w:hAnsi="Garamond"/>
          <w:color w:val="000000" w:themeColor="text1"/>
          <w:lang w:val="en-GB"/>
        </w:rPr>
        <w:t>ields are a site of struggle where actors have shared understandings and ways of being with tacit knowledge and embodied habits</w:t>
      </w:r>
      <w:r w:rsidR="002A3178" w:rsidRPr="00966D98">
        <w:rPr>
          <w:rFonts w:ascii="Garamond" w:hAnsi="Garamond"/>
          <w:color w:val="000000" w:themeColor="text1"/>
          <w:lang w:val="en-GB"/>
        </w:rPr>
        <w:t xml:space="preserve"> (Bourdieu 1990a; DiMaggio &amp; Powell 1983; Fligstein &amp; McAdam 2012)</w:t>
      </w:r>
      <w:r w:rsidRPr="00966D98">
        <w:rPr>
          <w:rFonts w:ascii="Garamond" w:hAnsi="Garamond"/>
          <w:color w:val="000000" w:themeColor="text1"/>
          <w:lang w:val="en-GB"/>
        </w:rPr>
        <w:t>. The concept of struggle presumes that actors have a collective understanding of implicit rules, a sense of opportunities and risks, and an interest in achieving a positive outcome (Bourdieu</w:t>
      </w:r>
      <w:r w:rsidR="00D42729" w:rsidRPr="00966D98">
        <w:rPr>
          <w:rFonts w:ascii="Garamond" w:hAnsi="Garamond"/>
          <w:color w:val="000000" w:themeColor="text1"/>
          <w:lang w:val="en-GB"/>
        </w:rPr>
        <w:t xml:space="preserve"> 1</w:t>
      </w:r>
      <w:r w:rsidRPr="00966D98">
        <w:rPr>
          <w:rFonts w:ascii="Garamond" w:hAnsi="Garamond"/>
          <w:color w:val="000000" w:themeColor="text1"/>
          <w:lang w:val="en-GB"/>
        </w:rPr>
        <w:t>993). It is the process of actors investing energy into these shared understandings that creates the field (Lamont &amp; Lareau</w:t>
      </w:r>
      <w:r w:rsidR="00D42729" w:rsidRPr="00966D98">
        <w:rPr>
          <w:rFonts w:ascii="Garamond" w:hAnsi="Garamond"/>
          <w:color w:val="000000" w:themeColor="text1"/>
          <w:lang w:val="en-GB"/>
        </w:rPr>
        <w:t xml:space="preserve"> 1</w:t>
      </w:r>
      <w:r w:rsidRPr="00966D98">
        <w:rPr>
          <w:rFonts w:ascii="Garamond" w:hAnsi="Garamond"/>
          <w:color w:val="000000" w:themeColor="text1"/>
          <w:lang w:val="en-GB"/>
        </w:rPr>
        <w:t>988; Lucas</w:t>
      </w:r>
      <w:r w:rsidR="00D42729" w:rsidRPr="00966D98">
        <w:rPr>
          <w:rFonts w:ascii="Garamond" w:hAnsi="Garamond"/>
          <w:color w:val="000000" w:themeColor="text1"/>
          <w:lang w:val="en-GB"/>
        </w:rPr>
        <w:t xml:space="preserve"> 2</w:t>
      </w:r>
      <w:r w:rsidRPr="00966D98">
        <w:rPr>
          <w:rFonts w:ascii="Garamond" w:hAnsi="Garamond"/>
          <w:color w:val="000000" w:themeColor="text1"/>
          <w:lang w:val="en-GB"/>
        </w:rPr>
        <w:t>001; Medina</w:t>
      </w:r>
      <w:r w:rsidR="00D42729" w:rsidRPr="00966D98">
        <w:rPr>
          <w:rFonts w:ascii="Garamond" w:hAnsi="Garamond"/>
          <w:color w:val="000000" w:themeColor="text1"/>
          <w:lang w:val="en-GB"/>
        </w:rPr>
        <w:t xml:space="preserve"> 2</w:t>
      </w:r>
      <w:r w:rsidRPr="00966D98">
        <w:rPr>
          <w:rFonts w:ascii="Garamond" w:hAnsi="Garamond"/>
          <w:color w:val="000000" w:themeColor="text1"/>
          <w:lang w:val="en-GB"/>
        </w:rPr>
        <w:t xml:space="preserve">014). </w:t>
      </w:r>
      <w:r w:rsidRPr="00966D98">
        <w:rPr>
          <w:rFonts w:ascii="Garamond" w:hAnsi="Garamond"/>
          <w:lang w:val="en-GB"/>
        </w:rPr>
        <w:t xml:space="preserve">Actors within a field share conceptions of certain field-specific types of capital, and pursue influence and control over these symbolic resources. </w:t>
      </w:r>
      <w:r w:rsidRPr="00966D98">
        <w:rPr>
          <w:rFonts w:ascii="Garamond" w:hAnsi="Garamond"/>
          <w:color w:val="000000" w:themeColor="text1"/>
          <w:lang w:val="en-GB"/>
        </w:rPr>
        <w:t xml:space="preserve">For example, a field theory approach could look at the way research impact is jointly understood by people within an area of expertise that has an internal logic, such as health research, and how this shapes their habits and experiences. Alternatively, a field approach could examine the arena of research impact itself and how it </w:t>
      </w:r>
      <w:r w:rsidR="00AB5AA9" w:rsidRPr="00966D98">
        <w:rPr>
          <w:rFonts w:ascii="Garamond" w:hAnsi="Garamond"/>
          <w:color w:val="000000" w:themeColor="text1"/>
          <w:lang w:val="en-GB"/>
        </w:rPr>
        <w:t>reflects</w:t>
      </w:r>
      <w:r w:rsidRPr="00966D98">
        <w:rPr>
          <w:rFonts w:ascii="Garamond" w:hAnsi="Garamond"/>
          <w:color w:val="000000" w:themeColor="text1"/>
          <w:lang w:val="en-GB"/>
        </w:rPr>
        <w:t xml:space="preserve"> broader more established fields of power. This article is primarily concerned with the latter. That is, it seeks to understand how actors who are invested in being ‘impactful’ manage </w:t>
      </w:r>
      <w:r w:rsidR="00234114" w:rsidRPr="00966D98">
        <w:rPr>
          <w:rFonts w:ascii="Garamond" w:hAnsi="Garamond"/>
          <w:color w:val="000000" w:themeColor="text1"/>
          <w:lang w:val="en-GB"/>
        </w:rPr>
        <w:t xml:space="preserve">necessary </w:t>
      </w:r>
      <w:r w:rsidR="00864B31" w:rsidRPr="00966D98">
        <w:rPr>
          <w:rFonts w:ascii="Garamond" w:hAnsi="Garamond"/>
          <w:color w:val="000000" w:themeColor="text1"/>
          <w:lang w:val="en-GB"/>
        </w:rPr>
        <w:t>resources,</w:t>
      </w:r>
      <w:r w:rsidRPr="00966D98">
        <w:rPr>
          <w:rFonts w:ascii="Garamond" w:hAnsi="Garamond"/>
          <w:color w:val="000000" w:themeColor="text1"/>
          <w:lang w:val="en-GB"/>
        </w:rPr>
        <w:t xml:space="preserve"> skills and proficiencies</w:t>
      </w:r>
      <w:r w:rsidR="00234114" w:rsidRPr="00966D98">
        <w:rPr>
          <w:rFonts w:ascii="Garamond" w:hAnsi="Garamond"/>
          <w:color w:val="000000" w:themeColor="text1"/>
          <w:lang w:val="en-GB"/>
        </w:rPr>
        <w:t>.</w:t>
      </w:r>
      <w:r w:rsidR="00C3045F" w:rsidRPr="00966D98">
        <w:rPr>
          <w:rFonts w:ascii="Garamond" w:hAnsi="Garamond"/>
          <w:color w:val="000000" w:themeColor="text1"/>
          <w:lang w:val="en-GB"/>
        </w:rPr>
        <w:t xml:space="preserve"> To understand how </w:t>
      </w:r>
      <w:r w:rsidR="00A0346F" w:rsidRPr="00966D98">
        <w:rPr>
          <w:rFonts w:ascii="Garamond" w:hAnsi="Garamond"/>
          <w:color w:val="000000" w:themeColor="text1"/>
          <w:lang w:val="en-GB"/>
        </w:rPr>
        <w:t>fields</w:t>
      </w:r>
      <w:r w:rsidR="00C3045F" w:rsidRPr="00966D98">
        <w:rPr>
          <w:rFonts w:ascii="Garamond" w:hAnsi="Garamond"/>
          <w:color w:val="000000" w:themeColor="text1"/>
          <w:lang w:val="en-GB"/>
        </w:rPr>
        <w:t xml:space="preserve"> shape structures and cultures of evaluation, the related concept of ‘habitus’ is useful. </w:t>
      </w:r>
      <w:r w:rsidR="00A0346F" w:rsidRPr="00966D98">
        <w:rPr>
          <w:rFonts w:ascii="Garamond" w:hAnsi="Garamond"/>
          <w:color w:val="000000" w:themeColor="text1"/>
          <w:lang w:val="en-GB"/>
        </w:rPr>
        <w:t>H</w:t>
      </w:r>
      <w:r w:rsidR="00C3045F" w:rsidRPr="00966D98">
        <w:rPr>
          <w:rFonts w:ascii="Garamond" w:hAnsi="Garamond"/>
          <w:color w:val="000000" w:themeColor="text1"/>
          <w:lang w:val="en-GB"/>
        </w:rPr>
        <w:t xml:space="preserve">abitus refers to the ‘system of durable, transposable dispositions…which generate and organise practices and representations’ (Bourdieu 1990b, p. 53). In short, the habitus is the socialised tendencies and outlooks that shape behaviour and thinking. This perspective allows for scrutiny of the complicated interplay of social structures and cultural forms (Benson &amp; </w:t>
      </w:r>
      <w:proofErr w:type="spellStart"/>
      <w:r w:rsidR="00C3045F" w:rsidRPr="00966D98">
        <w:rPr>
          <w:rFonts w:ascii="Garamond" w:hAnsi="Garamond"/>
          <w:color w:val="000000" w:themeColor="text1"/>
          <w:lang w:val="en-GB"/>
        </w:rPr>
        <w:t>Neveu</w:t>
      </w:r>
      <w:proofErr w:type="spellEnd"/>
      <w:r w:rsidR="00C3045F" w:rsidRPr="00966D98">
        <w:rPr>
          <w:rFonts w:ascii="Garamond" w:hAnsi="Garamond"/>
          <w:color w:val="000000" w:themeColor="text1"/>
          <w:lang w:val="en-GB"/>
        </w:rPr>
        <w:t xml:space="preserve"> 2005, p. 12). The habitus is the link between the structure of the field(s) and the agency and cognition of the individual. It is attained and set through socialisation or induction that reflects the specific interests of the field. </w:t>
      </w:r>
    </w:p>
    <w:p w14:paraId="6BFBCA59" w14:textId="71AF7551" w:rsidR="00572573" w:rsidRPr="00966D98" w:rsidRDefault="003D4A59" w:rsidP="00DF48B8">
      <w:pPr>
        <w:pStyle w:val="Body"/>
        <w:spacing w:before="120" w:after="120" w:line="360" w:lineRule="auto"/>
        <w:ind w:firstLine="284"/>
        <w:jc w:val="both"/>
        <w:outlineLvl w:val="0"/>
        <w:rPr>
          <w:rFonts w:ascii="Garamond" w:hAnsi="Garamond"/>
          <w:color w:val="000000" w:themeColor="text1"/>
          <w:lang w:val="en-GB"/>
        </w:rPr>
      </w:pPr>
      <w:r w:rsidRPr="00966D98">
        <w:rPr>
          <w:rFonts w:ascii="Garamond" w:eastAsia="Garamond" w:hAnsi="Garamond" w:cs="Garamond"/>
          <w:color w:val="000000" w:themeColor="text1"/>
          <w:lang w:val="en-GB"/>
        </w:rPr>
        <w:t xml:space="preserve">In the production and evaluation of impact, there is a need to account for the ongoing competition for legitimacy and power that occurs in a hybrid space which contains the logics and resources of different parent fields. This article seeks to reframe research evaluation as occurring at the intersection of more established fields of power. To do this, </w:t>
      </w:r>
      <w:r w:rsidRPr="00966D98">
        <w:rPr>
          <w:rFonts w:ascii="Garamond" w:hAnsi="Garamond"/>
          <w:color w:val="000000" w:themeColor="text1"/>
          <w:lang w:val="en-GB"/>
        </w:rPr>
        <w:t xml:space="preserve">it is necessary to examine multiple types of capital and multiple field logics simultaneously. Building on the sociological work </w:t>
      </w:r>
      <w:r w:rsidRPr="00966D98">
        <w:rPr>
          <w:rFonts w:ascii="Garamond" w:hAnsi="Garamond"/>
          <w:color w:val="000000" w:themeColor="text1"/>
          <w:lang w:val="en-GB"/>
        </w:rPr>
        <w:lastRenderedPageBreak/>
        <w:t>of Bourdieu (1993), Medvetz (2012</w:t>
      </w:r>
      <w:r w:rsidR="00C729B5" w:rsidRPr="00966D98">
        <w:rPr>
          <w:rFonts w:ascii="Garamond" w:hAnsi="Garamond"/>
          <w:color w:val="000000" w:themeColor="text1"/>
          <w:lang w:val="en-GB"/>
        </w:rPr>
        <w:t>b</w:t>
      </w:r>
      <w:r w:rsidRPr="00966D98">
        <w:rPr>
          <w:rFonts w:ascii="Garamond" w:hAnsi="Garamond"/>
          <w:color w:val="000000" w:themeColor="text1"/>
          <w:lang w:val="en-GB"/>
        </w:rPr>
        <w:t xml:space="preserve">) and Hauck (2017), Table </w:t>
      </w:r>
      <w:r w:rsidR="007C2B7E" w:rsidRPr="00966D98">
        <w:rPr>
          <w:rFonts w:ascii="Garamond" w:hAnsi="Garamond"/>
          <w:color w:val="000000" w:themeColor="text1"/>
          <w:lang w:val="en-GB"/>
        </w:rPr>
        <w:t>2</w:t>
      </w:r>
      <w:r w:rsidRPr="00966D98">
        <w:rPr>
          <w:rFonts w:ascii="Garamond" w:hAnsi="Garamond"/>
          <w:color w:val="000000" w:themeColor="text1"/>
          <w:lang w:val="en-GB"/>
        </w:rPr>
        <w:t xml:space="preserve"> sets out the symbolic forms of power and prestige that are made available by different parent fields</w:t>
      </w:r>
      <w:r w:rsidR="00441E81" w:rsidRPr="00966D98">
        <w:rPr>
          <w:rFonts w:ascii="Garamond" w:hAnsi="Garamond"/>
          <w:color w:val="000000" w:themeColor="text1"/>
          <w:lang w:val="en-GB"/>
        </w:rPr>
        <w:t xml:space="preserve"> related to impact</w:t>
      </w:r>
      <w:r w:rsidRPr="00966D98">
        <w:rPr>
          <w:rFonts w:ascii="Garamond" w:hAnsi="Garamond"/>
          <w:color w:val="000000" w:themeColor="text1"/>
          <w:lang w:val="en-GB"/>
        </w:rPr>
        <w:t>. Medvetz (2012</w:t>
      </w:r>
      <w:r w:rsidR="00C729B5" w:rsidRPr="00966D98">
        <w:rPr>
          <w:rFonts w:ascii="Garamond" w:hAnsi="Garamond"/>
          <w:color w:val="000000" w:themeColor="text1"/>
          <w:lang w:val="en-GB"/>
        </w:rPr>
        <w:t>b</w:t>
      </w:r>
      <w:r w:rsidRPr="00966D98">
        <w:rPr>
          <w:rFonts w:ascii="Garamond" w:hAnsi="Garamond"/>
          <w:color w:val="000000" w:themeColor="text1"/>
          <w:lang w:val="en-GB"/>
        </w:rPr>
        <w:t xml:space="preserve">) offers a description of four relevant fields that come into play for think tanks; knowledge production, politics, media and business, and Hauck (2017) gives a description of </w:t>
      </w:r>
      <w:r w:rsidR="008E4B24" w:rsidRPr="00966D98">
        <w:rPr>
          <w:rFonts w:ascii="Garamond" w:hAnsi="Garamond"/>
          <w:color w:val="000000" w:themeColor="text1"/>
          <w:lang w:val="en-GB"/>
        </w:rPr>
        <w:t>potential</w:t>
      </w:r>
      <w:r w:rsidRPr="00966D98">
        <w:rPr>
          <w:rFonts w:ascii="Garamond" w:hAnsi="Garamond"/>
          <w:color w:val="000000" w:themeColor="text1"/>
          <w:lang w:val="en-GB"/>
        </w:rPr>
        <w:t xml:space="preserve"> result</w:t>
      </w:r>
      <w:r w:rsidR="008E4B24" w:rsidRPr="00966D98">
        <w:rPr>
          <w:rFonts w:ascii="Garamond" w:hAnsi="Garamond"/>
          <w:color w:val="000000" w:themeColor="text1"/>
          <w:lang w:val="en-GB"/>
        </w:rPr>
        <w:t>s</w:t>
      </w:r>
      <w:r w:rsidRPr="00966D98">
        <w:rPr>
          <w:rFonts w:ascii="Garamond" w:hAnsi="Garamond"/>
          <w:color w:val="000000" w:themeColor="text1"/>
          <w:lang w:val="en-GB"/>
        </w:rPr>
        <w:t xml:space="preserve"> of attaining these types of capital. </w:t>
      </w:r>
      <w:r w:rsidR="00C13705" w:rsidRPr="00966D98">
        <w:rPr>
          <w:rFonts w:ascii="Garamond" w:hAnsi="Garamond"/>
          <w:color w:val="000000" w:themeColor="text1"/>
          <w:lang w:val="en-GB"/>
        </w:rPr>
        <w:t>In this article,</w:t>
      </w:r>
      <w:r w:rsidRPr="00966D98">
        <w:rPr>
          <w:rFonts w:ascii="Garamond" w:hAnsi="Garamond"/>
          <w:color w:val="000000" w:themeColor="text1"/>
          <w:lang w:val="en-GB"/>
        </w:rPr>
        <w:t xml:space="preserve"> these elements </w:t>
      </w:r>
      <w:r w:rsidR="00C13705" w:rsidRPr="00966D98">
        <w:rPr>
          <w:rFonts w:ascii="Garamond" w:hAnsi="Garamond"/>
          <w:color w:val="000000" w:themeColor="text1"/>
          <w:lang w:val="en-GB"/>
        </w:rPr>
        <w:t xml:space="preserve">are conceived </w:t>
      </w:r>
      <w:r w:rsidRPr="00966D98">
        <w:rPr>
          <w:rFonts w:ascii="Garamond" w:hAnsi="Garamond"/>
          <w:color w:val="000000" w:themeColor="text1"/>
          <w:lang w:val="en-GB"/>
        </w:rPr>
        <w:t>not as features of a specific type of institution</w:t>
      </w:r>
      <w:r w:rsidR="001320E1" w:rsidRPr="00966D98">
        <w:rPr>
          <w:rFonts w:ascii="Garamond" w:hAnsi="Garamond"/>
          <w:color w:val="000000" w:themeColor="text1"/>
          <w:lang w:val="en-GB"/>
        </w:rPr>
        <w:t xml:space="preserve"> (i.e. think tanks)</w:t>
      </w:r>
      <w:r w:rsidRPr="00966D98">
        <w:rPr>
          <w:rFonts w:ascii="Garamond" w:hAnsi="Garamond"/>
          <w:color w:val="000000" w:themeColor="text1"/>
          <w:lang w:val="en-GB"/>
        </w:rPr>
        <w:t xml:space="preserve"> as </w:t>
      </w:r>
      <w:r w:rsidR="00C13705" w:rsidRPr="00966D98">
        <w:rPr>
          <w:rFonts w:ascii="Garamond" w:hAnsi="Garamond"/>
          <w:color w:val="000000" w:themeColor="text1"/>
          <w:lang w:val="en-GB"/>
        </w:rPr>
        <w:t xml:space="preserve">in </w:t>
      </w:r>
      <w:r w:rsidRPr="00966D98">
        <w:rPr>
          <w:rFonts w:ascii="Garamond" w:hAnsi="Garamond"/>
          <w:color w:val="000000" w:themeColor="text1"/>
          <w:lang w:val="en-GB"/>
        </w:rPr>
        <w:t>Medvetz (2012</w:t>
      </w:r>
      <w:r w:rsidR="00C729B5" w:rsidRPr="00966D98">
        <w:rPr>
          <w:rFonts w:ascii="Garamond" w:hAnsi="Garamond"/>
          <w:color w:val="000000" w:themeColor="text1"/>
          <w:lang w:val="en-GB"/>
        </w:rPr>
        <w:t>a</w:t>
      </w:r>
      <w:r w:rsidRPr="00966D98">
        <w:rPr>
          <w:rFonts w:ascii="Garamond" w:hAnsi="Garamond"/>
          <w:color w:val="000000" w:themeColor="text1"/>
          <w:lang w:val="en-GB"/>
        </w:rPr>
        <w:t xml:space="preserve">), but as an expression of the ongoing endeavour of </w:t>
      </w:r>
      <w:r w:rsidR="00A0346F" w:rsidRPr="00966D98">
        <w:rPr>
          <w:rFonts w:ascii="Garamond" w:hAnsi="Garamond"/>
          <w:color w:val="000000" w:themeColor="text1"/>
          <w:lang w:val="en-GB"/>
        </w:rPr>
        <w:t>researchers</w:t>
      </w:r>
      <w:r w:rsidRPr="00966D98">
        <w:rPr>
          <w:rFonts w:ascii="Garamond" w:hAnsi="Garamond"/>
          <w:color w:val="000000" w:themeColor="text1"/>
          <w:lang w:val="en-GB"/>
        </w:rPr>
        <w:t xml:space="preserve"> to gain and maintain legitimacy</w:t>
      </w:r>
      <w:r w:rsidR="00365DEF" w:rsidRPr="00966D98">
        <w:rPr>
          <w:rFonts w:ascii="Garamond" w:hAnsi="Garamond"/>
          <w:color w:val="000000" w:themeColor="text1"/>
          <w:lang w:val="en-GB"/>
        </w:rPr>
        <w:t>.</w:t>
      </w:r>
    </w:p>
    <w:p w14:paraId="6CF31671" w14:textId="5FF179DB" w:rsidR="00BC0FD7" w:rsidRPr="00966D98" w:rsidRDefault="00BC0FD7" w:rsidP="00DF48B8">
      <w:pPr>
        <w:pStyle w:val="Body"/>
        <w:spacing w:before="120" w:after="120" w:line="360" w:lineRule="auto"/>
        <w:ind w:firstLine="284"/>
        <w:jc w:val="center"/>
        <w:outlineLvl w:val="0"/>
        <w:rPr>
          <w:rFonts w:ascii="Garamond" w:hAnsi="Garamond"/>
          <w:color w:val="000000" w:themeColor="text1"/>
          <w:lang w:val="en-GB"/>
        </w:rPr>
      </w:pPr>
      <w:r w:rsidRPr="00966D98">
        <w:rPr>
          <w:rFonts w:ascii="Garamond" w:hAnsi="Garamond"/>
          <w:color w:val="000000" w:themeColor="text1"/>
          <w:lang w:val="en-GB"/>
        </w:rPr>
        <w:t xml:space="preserve">[TABLE </w:t>
      </w:r>
      <w:r w:rsidR="007C2B7E" w:rsidRPr="00966D98">
        <w:rPr>
          <w:rFonts w:ascii="Garamond" w:hAnsi="Garamond"/>
          <w:color w:val="000000" w:themeColor="text1"/>
          <w:lang w:val="en-GB"/>
        </w:rPr>
        <w:t>2</w:t>
      </w:r>
      <w:r w:rsidRPr="00966D98">
        <w:rPr>
          <w:rFonts w:ascii="Garamond" w:hAnsi="Garamond"/>
          <w:color w:val="000000" w:themeColor="text1"/>
          <w:lang w:val="en-GB"/>
        </w:rPr>
        <w:t xml:space="preserve"> </w:t>
      </w:r>
      <w:r w:rsidR="002A4065" w:rsidRPr="00966D98">
        <w:rPr>
          <w:rFonts w:ascii="Garamond" w:hAnsi="Garamond"/>
          <w:lang w:val="en-GB"/>
        </w:rPr>
        <w:t>ABOUT HERE</w:t>
      </w:r>
      <w:r w:rsidRPr="00966D98">
        <w:rPr>
          <w:rFonts w:ascii="Garamond" w:hAnsi="Garamond"/>
          <w:color w:val="000000" w:themeColor="text1"/>
          <w:lang w:val="en-GB"/>
        </w:rPr>
        <w:t>]</w:t>
      </w:r>
    </w:p>
    <w:p w14:paraId="46087D0E" w14:textId="763E4DE0" w:rsidR="00A626BA" w:rsidRPr="00966D98" w:rsidRDefault="003D4A59" w:rsidP="00F32170">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 xml:space="preserve"> </w:t>
      </w:r>
      <w:r w:rsidR="00807432" w:rsidRPr="00966D98">
        <w:rPr>
          <w:rFonts w:ascii="Garamond" w:hAnsi="Garamond"/>
          <w:color w:val="000000" w:themeColor="text1"/>
          <w:lang w:val="en-GB"/>
        </w:rPr>
        <w:t>In this conceptualisation, r</w:t>
      </w:r>
      <w:r w:rsidRPr="00966D98">
        <w:rPr>
          <w:rFonts w:ascii="Garamond" w:hAnsi="Garamond"/>
          <w:color w:val="000000" w:themeColor="text1"/>
          <w:lang w:val="en-GB"/>
        </w:rPr>
        <w:t xml:space="preserve">esearch impact occurs at the intersection of </w:t>
      </w:r>
      <w:r w:rsidR="00E86B1D" w:rsidRPr="00966D98">
        <w:rPr>
          <w:rFonts w:ascii="Garamond" w:hAnsi="Garamond"/>
          <w:color w:val="000000" w:themeColor="text1"/>
          <w:lang w:val="en-GB"/>
        </w:rPr>
        <w:t xml:space="preserve">various fields. Specifically, effective impact involves various combinations of </w:t>
      </w:r>
      <w:r w:rsidR="00FA327A" w:rsidRPr="00966D98">
        <w:rPr>
          <w:rFonts w:ascii="Garamond" w:hAnsi="Garamond"/>
          <w:color w:val="000000" w:themeColor="text1"/>
          <w:lang w:val="en-GB"/>
        </w:rPr>
        <w:t>capital from the</w:t>
      </w:r>
      <w:r w:rsidR="00E86B1D" w:rsidRPr="00966D98">
        <w:rPr>
          <w:rFonts w:ascii="Garamond" w:hAnsi="Garamond"/>
          <w:color w:val="000000" w:themeColor="text1"/>
          <w:lang w:val="en-GB"/>
        </w:rPr>
        <w:t xml:space="preserve"> </w:t>
      </w:r>
      <w:r w:rsidRPr="00966D98">
        <w:rPr>
          <w:rFonts w:ascii="Garamond" w:hAnsi="Garamond"/>
          <w:color w:val="000000" w:themeColor="text1"/>
          <w:lang w:val="en-GB"/>
        </w:rPr>
        <w:t xml:space="preserve">scholarly field, the field of politics, the field of application, the media field and the economic field, which provide credibility, </w:t>
      </w:r>
      <w:r w:rsidR="004F31F3" w:rsidRPr="00966D98">
        <w:rPr>
          <w:rFonts w:ascii="Garamond" w:hAnsi="Garamond"/>
          <w:color w:val="000000" w:themeColor="text1"/>
          <w:lang w:val="en-GB"/>
        </w:rPr>
        <w:t>authority</w:t>
      </w:r>
      <w:r w:rsidRPr="00966D98">
        <w:rPr>
          <w:rFonts w:ascii="Garamond" w:hAnsi="Garamond"/>
          <w:color w:val="000000" w:themeColor="text1"/>
          <w:lang w:val="en-GB"/>
        </w:rPr>
        <w:t xml:space="preserve">, </w:t>
      </w:r>
      <w:r w:rsidR="009D06CA" w:rsidRPr="00966D98">
        <w:rPr>
          <w:rFonts w:ascii="Garamond" w:hAnsi="Garamond"/>
          <w:color w:val="000000" w:themeColor="text1"/>
          <w:lang w:val="en-GB"/>
        </w:rPr>
        <w:t>utility</w:t>
      </w:r>
      <w:r w:rsidRPr="00966D98">
        <w:rPr>
          <w:rFonts w:ascii="Garamond" w:hAnsi="Garamond"/>
          <w:color w:val="000000" w:themeColor="text1"/>
          <w:lang w:val="en-GB"/>
        </w:rPr>
        <w:t xml:space="preserve">, visibility and </w:t>
      </w:r>
      <w:r w:rsidR="00FB635D" w:rsidRPr="00966D98">
        <w:rPr>
          <w:rFonts w:ascii="Garamond" w:hAnsi="Garamond"/>
          <w:color w:val="000000" w:themeColor="text1"/>
          <w:lang w:val="en-GB"/>
        </w:rPr>
        <w:t>weigh</w:t>
      </w:r>
      <w:r w:rsidR="00B3424F" w:rsidRPr="00966D98">
        <w:rPr>
          <w:rFonts w:ascii="Garamond" w:hAnsi="Garamond"/>
          <w:color w:val="000000" w:themeColor="text1"/>
          <w:lang w:val="en-GB"/>
        </w:rPr>
        <w:t>t</w:t>
      </w:r>
      <w:r w:rsidRPr="00966D98">
        <w:rPr>
          <w:rFonts w:ascii="Garamond" w:hAnsi="Garamond"/>
          <w:color w:val="000000" w:themeColor="text1"/>
          <w:lang w:val="en-GB"/>
        </w:rPr>
        <w:t>, respectively.</w:t>
      </w:r>
      <w:r w:rsidR="00F32170" w:rsidRPr="00966D98">
        <w:rPr>
          <w:rFonts w:ascii="Garamond" w:hAnsi="Garamond"/>
          <w:color w:val="000000" w:themeColor="text1"/>
          <w:lang w:val="en-GB"/>
        </w:rPr>
        <w:t xml:space="preserve"> For example, the field of application relates to </w:t>
      </w:r>
      <w:r w:rsidR="00C6755E" w:rsidRPr="00966D98">
        <w:rPr>
          <w:rFonts w:ascii="Garamond" w:hAnsi="Garamond"/>
          <w:color w:val="000000" w:themeColor="text1"/>
          <w:lang w:val="en-GB"/>
        </w:rPr>
        <w:t xml:space="preserve">impact </w:t>
      </w:r>
      <w:r w:rsidR="00273E62" w:rsidRPr="00966D98">
        <w:rPr>
          <w:rFonts w:ascii="Garamond" w:hAnsi="Garamond"/>
          <w:color w:val="000000" w:themeColor="text1"/>
          <w:lang w:val="en-GB"/>
        </w:rPr>
        <w:t>in the form of</w:t>
      </w:r>
      <w:r w:rsidR="00F32170" w:rsidRPr="00966D98">
        <w:rPr>
          <w:rFonts w:ascii="Garamond" w:hAnsi="Garamond"/>
          <w:color w:val="000000" w:themeColor="text1"/>
          <w:lang w:val="en-GB"/>
        </w:rPr>
        <w:t xml:space="preserve"> processes and practices</w:t>
      </w:r>
      <w:r w:rsidR="00C6755E" w:rsidRPr="00966D98">
        <w:rPr>
          <w:rFonts w:ascii="Garamond" w:hAnsi="Garamond"/>
          <w:color w:val="000000" w:themeColor="text1"/>
          <w:lang w:val="en-GB"/>
        </w:rPr>
        <w:t xml:space="preserve"> that shift or dominate the way things are done. </w:t>
      </w:r>
      <w:r w:rsidR="00273E62" w:rsidRPr="00966D98">
        <w:rPr>
          <w:rFonts w:ascii="Garamond" w:hAnsi="Garamond"/>
          <w:color w:val="000000" w:themeColor="text1"/>
          <w:lang w:val="en-GB"/>
        </w:rPr>
        <w:t xml:space="preserve">This type of capital </w:t>
      </w:r>
      <w:r w:rsidR="007E71AD" w:rsidRPr="00966D98">
        <w:rPr>
          <w:rFonts w:ascii="Garamond" w:hAnsi="Garamond"/>
          <w:color w:val="000000" w:themeColor="text1"/>
          <w:lang w:val="en-GB"/>
        </w:rPr>
        <w:t>can be</w:t>
      </w:r>
      <w:r w:rsidR="00273E62" w:rsidRPr="00966D98">
        <w:rPr>
          <w:rFonts w:ascii="Garamond" w:hAnsi="Garamond"/>
          <w:color w:val="000000" w:themeColor="text1"/>
          <w:lang w:val="en-GB"/>
        </w:rPr>
        <w:t xml:space="preserve"> harnessed </w:t>
      </w:r>
      <w:r w:rsidR="00C6755E" w:rsidRPr="00966D98">
        <w:rPr>
          <w:rFonts w:ascii="Garamond" w:hAnsi="Garamond"/>
          <w:color w:val="000000" w:themeColor="text1"/>
          <w:lang w:val="en-GB"/>
        </w:rPr>
        <w:t>through</w:t>
      </w:r>
      <w:r w:rsidR="00273E62" w:rsidRPr="00966D98">
        <w:rPr>
          <w:rFonts w:ascii="Garamond" w:hAnsi="Garamond"/>
          <w:color w:val="000000" w:themeColor="text1"/>
          <w:lang w:val="en-GB"/>
        </w:rPr>
        <w:t xml:space="preserve"> language and skills t</w:t>
      </w:r>
      <w:r w:rsidR="00C6755E" w:rsidRPr="00966D98">
        <w:rPr>
          <w:rFonts w:ascii="Garamond" w:hAnsi="Garamond"/>
          <w:color w:val="000000" w:themeColor="text1"/>
          <w:lang w:val="en-GB"/>
        </w:rPr>
        <w:t>hat</w:t>
      </w:r>
      <w:r w:rsidR="00273E62" w:rsidRPr="00966D98">
        <w:rPr>
          <w:rFonts w:ascii="Garamond" w:hAnsi="Garamond"/>
          <w:color w:val="000000" w:themeColor="text1"/>
          <w:lang w:val="en-GB"/>
        </w:rPr>
        <w:t xml:space="preserve"> influence practitioners</w:t>
      </w:r>
      <w:r w:rsidR="00C6755E" w:rsidRPr="00966D98">
        <w:rPr>
          <w:rFonts w:ascii="Garamond" w:hAnsi="Garamond"/>
          <w:color w:val="000000" w:themeColor="text1"/>
          <w:lang w:val="en-GB"/>
        </w:rPr>
        <w:t xml:space="preserve"> or (re)define procedures</w:t>
      </w:r>
      <w:r w:rsidR="00273E62" w:rsidRPr="00966D98">
        <w:rPr>
          <w:rFonts w:ascii="Garamond" w:hAnsi="Garamond"/>
          <w:color w:val="000000" w:themeColor="text1"/>
          <w:lang w:val="en-GB"/>
        </w:rPr>
        <w:t xml:space="preserve"> and </w:t>
      </w:r>
      <w:r w:rsidR="00C6755E" w:rsidRPr="00966D98">
        <w:rPr>
          <w:rFonts w:ascii="Garamond" w:hAnsi="Garamond"/>
          <w:color w:val="000000" w:themeColor="text1"/>
          <w:lang w:val="en-GB"/>
        </w:rPr>
        <w:t>actions</w:t>
      </w:r>
      <w:r w:rsidR="00F32170" w:rsidRPr="00966D98">
        <w:rPr>
          <w:rFonts w:ascii="Garamond" w:hAnsi="Garamond"/>
          <w:color w:val="000000" w:themeColor="text1"/>
          <w:lang w:val="en-GB"/>
        </w:rPr>
        <w:t xml:space="preserve">. For </w:t>
      </w:r>
      <w:r w:rsidR="00407FE5" w:rsidRPr="00966D98">
        <w:rPr>
          <w:rFonts w:ascii="Garamond" w:hAnsi="Garamond"/>
          <w:color w:val="000000" w:themeColor="text1"/>
          <w:lang w:val="en-GB"/>
        </w:rPr>
        <w:t>instance</w:t>
      </w:r>
      <w:r w:rsidR="00F32170" w:rsidRPr="00966D98">
        <w:rPr>
          <w:rFonts w:ascii="Garamond" w:hAnsi="Garamond"/>
          <w:color w:val="000000" w:themeColor="text1"/>
          <w:lang w:val="en-GB"/>
        </w:rPr>
        <w:t xml:space="preserve">, successful </w:t>
      </w:r>
      <w:r w:rsidR="00C6755E" w:rsidRPr="00966D98">
        <w:rPr>
          <w:rFonts w:ascii="Garamond" w:hAnsi="Garamond"/>
          <w:color w:val="000000" w:themeColor="text1"/>
          <w:lang w:val="en-GB"/>
        </w:rPr>
        <w:t xml:space="preserve">journal </w:t>
      </w:r>
      <w:r w:rsidR="00F32170" w:rsidRPr="00966D98">
        <w:rPr>
          <w:rFonts w:ascii="Garamond" w:hAnsi="Garamond"/>
          <w:color w:val="000000" w:themeColor="text1"/>
          <w:lang w:val="en-GB"/>
        </w:rPr>
        <w:t>articles or schools of thought in health research can gain dominance by specifying how ideas ought to be applied to real world instances</w:t>
      </w:r>
      <w:r w:rsidR="00273E62" w:rsidRPr="00966D98">
        <w:rPr>
          <w:rFonts w:ascii="Garamond" w:hAnsi="Garamond"/>
          <w:color w:val="000000" w:themeColor="text1"/>
          <w:lang w:val="en-GB"/>
        </w:rPr>
        <w:t xml:space="preserve">, which then may be translated in clinical guidelines or procedural manuals. </w:t>
      </w:r>
      <w:r w:rsidR="00D873F9" w:rsidRPr="00966D98">
        <w:rPr>
          <w:rFonts w:ascii="Garamond" w:hAnsi="Garamond"/>
          <w:color w:val="000000" w:themeColor="text1"/>
          <w:lang w:val="en-GB"/>
        </w:rPr>
        <w:t>The field of application, therefore, makes available a specific type of power</w:t>
      </w:r>
      <w:r w:rsidR="004570C8" w:rsidRPr="00966D98">
        <w:rPr>
          <w:rFonts w:ascii="Garamond" w:hAnsi="Garamond"/>
          <w:color w:val="000000" w:themeColor="text1"/>
          <w:lang w:val="en-GB"/>
        </w:rPr>
        <w:t>. This in turn, offers status and reputation around utility, which can function as a type of legitimacy.</w:t>
      </w:r>
      <w:r w:rsidR="00E30E44" w:rsidRPr="00966D98">
        <w:rPr>
          <w:rFonts w:ascii="Garamond" w:hAnsi="Garamond"/>
          <w:color w:val="000000" w:themeColor="text1"/>
          <w:lang w:val="en-GB"/>
        </w:rPr>
        <w:t xml:space="preserve"> </w:t>
      </w:r>
      <w:r w:rsidRPr="00966D98">
        <w:rPr>
          <w:rFonts w:ascii="Garamond" w:hAnsi="Garamond"/>
          <w:color w:val="000000" w:themeColor="text1"/>
          <w:lang w:val="en-GB"/>
        </w:rPr>
        <w:t xml:space="preserve">This framework thus permits an understanding </w:t>
      </w:r>
      <w:r w:rsidR="00F0506D" w:rsidRPr="00966D98">
        <w:rPr>
          <w:rFonts w:ascii="Garamond" w:hAnsi="Garamond"/>
          <w:color w:val="000000" w:themeColor="text1"/>
          <w:lang w:val="en-GB"/>
        </w:rPr>
        <w:t xml:space="preserve">of </w:t>
      </w:r>
      <w:r w:rsidRPr="00966D98">
        <w:rPr>
          <w:rFonts w:ascii="Garamond" w:hAnsi="Garamond"/>
          <w:color w:val="000000" w:themeColor="text1"/>
          <w:lang w:val="en-GB"/>
        </w:rPr>
        <w:t xml:space="preserve">impactful research as occurring within a hybrid space which </w:t>
      </w:r>
      <w:r w:rsidR="00122009" w:rsidRPr="00966D98">
        <w:rPr>
          <w:rFonts w:ascii="Garamond" w:hAnsi="Garamond"/>
          <w:color w:val="000000" w:themeColor="text1"/>
          <w:lang w:val="en-GB"/>
        </w:rPr>
        <w:t>involves</w:t>
      </w:r>
      <w:r w:rsidR="008A6059" w:rsidRPr="00966D98">
        <w:rPr>
          <w:rFonts w:ascii="Garamond" w:hAnsi="Garamond"/>
          <w:color w:val="000000" w:themeColor="text1"/>
          <w:lang w:val="en-GB"/>
        </w:rPr>
        <w:t xml:space="preserve"> </w:t>
      </w:r>
      <w:r w:rsidR="009D5C47" w:rsidRPr="00966D98">
        <w:rPr>
          <w:rFonts w:ascii="Garamond" w:hAnsi="Garamond"/>
          <w:color w:val="000000" w:themeColor="text1"/>
          <w:lang w:val="en-GB"/>
        </w:rPr>
        <w:t>capital from</w:t>
      </w:r>
      <w:r w:rsidRPr="00966D98">
        <w:rPr>
          <w:rFonts w:ascii="Garamond" w:hAnsi="Garamond"/>
          <w:color w:val="000000" w:themeColor="text1"/>
          <w:lang w:val="en-GB"/>
        </w:rPr>
        <w:t xml:space="preserve"> multiple arenas.</w:t>
      </w:r>
      <w:r w:rsidR="003E5E98" w:rsidRPr="00966D98">
        <w:rPr>
          <w:rFonts w:ascii="Garamond" w:hAnsi="Garamond"/>
          <w:color w:val="000000" w:themeColor="text1"/>
          <w:lang w:val="en-GB"/>
        </w:rPr>
        <w:t xml:space="preserve"> </w:t>
      </w:r>
    </w:p>
    <w:p w14:paraId="23C760C3" w14:textId="34F60C75" w:rsidR="004F678B" w:rsidRPr="00966D98" w:rsidRDefault="004F678B" w:rsidP="00DF48B8">
      <w:pPr>
        <w:spacing w:before="120" w:after="120" w:line="360" w:lineRule="auto"/>
        <w:jc w:val="both"/>
        <w:rPr>
          <w:rFonts w:ascii="Garamond" w:hAnsi="Garamond"/>
          <w:b/>
        </w:rPr>
      </w:pPr>
      <w:r w:rsidRPr="00966D98">
        <w:rPr>
          <w:rFonts w:ascii="Garamond" w:hAnsi="Garamond"/>
          <w:b/>
        </w:rPr>
        <w:t xml:space="preserve">Effective impact as </w:t>
      </w:r>
      <w:r w:rsidR="00D54E4B" w:rsidRPr="00966D98">
        <w:rPr>
          <w:rFonts w:ascii="Garamond" w:hAnsi="Garamond"/>
          <w:b/>
        </w:rPr>
        <w:t>the</w:t>
      </w:r>
      <w:r w:rsidR="00A34F55" w:rsidRPr="00966D98">
        <w:rPr>
          <w:rFonts w:ascii="Garamond" w:hAnsi="Garamond"/>
          <w:b/>
        </w:rPr>
        <w:t xml:space="preserve"> combination </w:t>
      </w:r>
      <w:r w:rsidR="00D54E4B" w:rsidRPr="00966D98">
        <w:rPr>
          <w:rFonts w:ascii="Garamond" w:hAnsi="Garamond"/>
          <w:b/>
        </w:rPr>
        <w:t>of</w:t>
      </w:r>
      <w:r w:rsidRPr="00966D98">
        <w:rPr>
          <w:rFonts w:ascii="Garamond" w:hAnsi="Garamond"/>
          <w:b/>
        </w:rPr>
        <w:t xml:space="preserve"> </w:t>
      </w:r>
      <w:r w:rsidR="00676F1D" w:rsidRPr="00966D98">
        <w:rPr>
          <w:rFonts w:ascii="Garamond" w:hAnsi="Garamond"/>
          <w:b/>
        </w:rPr>
        <w:t xml:space="preserve">symbolic power from </w:t>
      </w:r>
      <w:r w:rsidRPr="00966D98">
        <w:rPr>
          <w:rFonts w:ascii="Garamond" w:hAnsi="Garamond"/>
          <w:b/>
        </w:rPr>
        <w:t xml:space="preserve">different </w:t>
      </w:r>
      <w:r w:rsidR="00077BFA" w:rsidRPr="00966D98">
        <w:rPr>
          <w:rFonts w:ascii="Garamond" w:hAnsi="Garamond"/>
          <w:b/>
        </w:rPr>
        <w:t>fields</w:t>
      </w:r>
    </w:p>
    <w:p w14:paraId="6B555C3A" w14:textId="37B80DA1" w:rsidR="004E548E" w:rsidRPr="00966D98" w:rsidRDefault="00063355" w:rsidP="00DF48B8">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Researchers</w:t>
      </w:r>
      <w:r w:rsidR="008F2E06" w:rsidRPr="00966D98">
        <w:rPr>
          <w:rFonts w:ascii="Garamond" w:hAnsi="Garamond"/>
          <w:color w:val="000000" w:themeColor="text1"/>
          <w:lang w:val="en-GB"/>
        </w:rPr>
        <w:t xml:space="preserve"> </w:t>
      </w:r>
      <w:r w:rsidRPr="00966D98">
        <w:rPr>
          <w:rFonts w:ascii="Garamond" w:hAnsi="Garamond"/>
          <w:color w:val="000000" w:themeColor="text1"/>
          <w:lang w:val="en-GB"/>
        </w:rPr>
        <w:t>are now encouraged or expected to</w:t>
      </w:r>
      <w:r w:rsidR="008F2E06" w:rsidRPr="00966D98">
        <w:rPr>
          <w:rFonts w:ascii="Garamond" w:hAnsi="Garamond"/>
          <w:color w:val="000000" w:themeColor="text1"/>
          <w:lang w:val="en-GB"/>
        </w:rPr>
        <w:t xml:space="preserve"> create change in different fields, using</w:t>
      </w:r>
      <w:r w:rsidR="008668B4" w:rsidRPr="00966D98">
        <w:rPr>
          <w:rFonts w:ascii="Garamond" w:hAnsi="Garamond"/>
          <w:color w:val="000000" w:themeColor="text1"/>
          <w:lang w:val="en-GB"/>
        </w:rPr>
        <w:t xml:space="preserve"> their</w:t>
      </w:r>
      <w:r w:rsidR="000A5AB3" w:rsidRPr="00966D98">
        <w:rPr>
          <w:rFonts w:ascii="Garamond" w:hAnsi="Garamond"/>
          <w:color w:val="000000" w:themeColor="text1"/>
          <w:lang w:val="en-GB"/>
        </w:rPr>
        <w:t xml:space="preserve"> </w:t>
      </w:r>
      <w:r w:rsidRPr="00966D98">
        <w:rPr>
          <w:rFonts w:ascii="Garamond" w:hAnsi="Garamond"/>
          <w:color w:val="000000" w:themeColor="text1"/>
          <w:lang w:val="en-GB"/>
        </w:rPr>
        <w:t xml:space="preserve">existing forms of power and </w:t>
      </w:r>
      <w:r w:rsidR="008F2E06" w:rsidRPr="00966D98">
        <w:rPr>
          <w:rFonts w:ascii="Garamond" w:hAnsi="Garamond"/>
          <w:color w:val="000000" w:themeColor="text1"/>
          <w:lang w:val="en-GB"/>
        </w:rPr>
        <w:t>prestige to create impact</w:t>
      </w:r>
      <w:r w:rsidR="004C2DEB" w:rsidRPr="00966D98">
        <w:rPr>
          <w:rFonts w:ascii="Garamond" w:hAnsi="Garamond"/>
          <w:color w:val="000000" w:themeColor="text1"/>
          <w:lang w:val="en-GB"/>
        </w:rPr>
        <w:t>,</w:t>
      </w:r>
      <w:r w:rsidR="008F2E06" w:rsidRPr="00966D98">
        <w:rPr>
          <w:rFonts w:ascii="Garamond" w:hAnsi="Garamond"/>
          <w:color w:val="000000" w:themeColor="text1"/>
          <w:lang w:val="en-GB"/>
        </w:rPr>
        <w:t xml:space="preserve"> and </w:t>
      </w:r>
      <w:r w:rsidR="004C2DEB" w:rsidRPr="00966D98">
        <w:rPr>
          <w:rFonts w:ascii="Garamond" w:hAnsi="Garamond"/>
          <w:color w:val="000000" w:themeColor="text1"/>
          <w:lang w:val="en-GB"/>
        </w:rPr>
        <w:t>conversely, creating impact with a view to bolstering their legitimacy and power</w:t>
      </w:r>
      <w:r w:rsidR="008F2E06" w:rsidRPr="00966D98">
        <w:rPr>
          <w:rFonts w:ascii="Garamond" w:hAnsi="Garamond"/>
          <w:color w:val="000000" w:themeColor="text1"/>
          <w:lang w:val="en-GB"/>
        </w:rPr>
        <w:t xml:space="preserve">. </w:t>
      </w:r>
      <w:r w:rsidR="00E30E44" w:rsidRPr="00966D98">
        <w:rPr>
          <w:rFonts w:ascii="Garamond" w:hAnsi="Garamond"/>
          <w:color w:val="000000" w:themeColor="text1"/>
          <w:lang w:val="en-GB"/>
        </w:rPr>
        <w:t>A</w:t>
      </w:r>
      <w:r w:rsidR="004165BD" w:rsidRPr="00966D98">
        <w:rPr>
          <w:rFonts w:ascii="Garamond" w:hAnsi="Garamond"/>
          <w:color w:val="000000" w:themeColor="text1"/>
          <w:lang w:val="en-GB"/>
        </w:rPr>
        <w:t xml:space="preserve">lthough </w:t>
      </w:r>
      <w:r w:rsidR="00BA031E" w:rsidRPr="00966D98">
        <w:rPr>
          <w:rFonts w:ascii="Garamond" w:hAnsi="Garamond"/>
          <w:lang w:val="en-GB"/>
        </w:rPr>
        <w:t xml:space="preserve">prestige and power </w:t>
      </w:r>
      <w:r w:rsidR="004165BD" w:rsidRPr="00966D98">
        <w:rPr>
          <w:rFonts w:ascii="Garamond" w:hAnsi="Garamond"/>
          <w:lang w:val="en-GB"/>
        </w:rPr>
        <w:t>in research ha</w:t>
      </w:r>
      <w:r w:rsidR="00BA031E" w:rsidRPr="00966D98">
        <w:rPr>
          <w:rFonts w:ascii="Garamond" w:hAnsi="Garamond"/>
          <w:lang w:val="en-GB"/>
        </w:rPr>
        <w:t>ve</w:t>
      </w:r>
      <w:r w:rsidR="004165BD" w:rsidRPr="00966D98">
        <w:rPr>
          <w:rFonts w:ascii="Garamond" w:hAnsi="Garamond"/>
          <w:lang w:val="en-GB"/>
        </w:rPr>
        <w:t xml:space="preserve"> traditionally centred around citations</w:t>
      </w:r>
      <w:r w:rsidRPr="00966D98">
        <w:rPr>
          <w:rFonts w:ascii="Garamond" w:hAnsi="Garamond"/>
          <w:lang w:val="en-GB"/>
        </w:rPr>
        <w:t xml:space="preserve"> </w:t>
      </w:r>
      <w:r w:rsidR="004165BD" w:rsidRPr="00966D98">
        <w:rPr>
          <w:rFonts w:ascii="Garamond" w:hAnsi="Garamond"/>
          <w:lang w:val="en-GB"/>
        </w:rPr>
        <w:t>within the science system</w:t>
      </w:r>
      <w:r w:rsidR="00A81803" w:rsidRPr="00966D98">
        <w:rPr>
          <w:rFonts w:ascii="Garamond" w:hAnsi="Garamond"/>
          <w:lang w:val="en-GB"/>
        </w:rPr>
        <w:t xml:space="preserve">, </w:t>
      </w:r>
      <w:r w:rsidR="004165BD" w:rsidRPr="00966D98">
        <w:rPr>
          <w:rFonts w:ascii="Garamond" w:hAnsi="Garamond"/>
          <w:lang w:val="en-GB"/>
        </w:rPr>
        <w:t>wider societal impact is playing an increasingly prominent role in gaining status (Williams &amp; Grant</w:t>
      </w:r>
      <w:r w:rsidR="00D42729" w:rsidRPr="00966D98">
        <w:rPr>
          <w:rFonts w:ascii="Garamond" w:hAnsi="Garamond"/>
          <w:lang w:val="en-GB"/>
        </w:rPr>
        <w:t xml:space="preserve"> 2</w:t>
      </w:r>
      <w:r w:rsidR="004165BD" w:rsidRPr="00966D98">
        <w:rPr>
          <w:rFonts w:ascii="Garamond" w:hAnsi="Garamond"/>
          <w:lang w:val="en-GB"/>
        </w:rPr>
        <w:t>018).</w:t>
      </w:r>
      <w:r w:rsidR="004165BD" w:rsidRPr="00966D98">
        <w:rPr>
          <w:rFonts w:ascii="Garamond" w:hAnsi="Garamond"/>
          <w:color w:val="000000" w:themeColor="text1"/>
          <w:lang w:val="en-GB"/>
        </w:rPr>
        <w:t xml:space="preserve"> </w:t>
      </w:r>
      <w:r w:rsidR="00E30E44" w:rsidRPr="00966D98">
        <w:rPr>
          <w:rFonts w:ascii="Garamond" w:hAnsi="Garamond"/>
          <w:color w:val="000000" w:themeColor="text1"/>
          <w:lang w:val="en-GB"/>
        </w:rPr>
        <w:t>Thus, t</w:t>
      </w:r>
      <w:r w:rsidR="003D4A59" w:rsidRPr="00966D98">
        <w:rPr>
          <w:rFonts w:ascii="Garamond" w:hAnsi="Garamond"/>
          <w:color w:val="000000" w:themeColor="text1"/>
          <w:lang w:val="en-GB"/>
        </w:rPr>
        <w:t xml:space="preserve">o demonstrate impact, </w:t>
      </w:r>
      <w:r w:rsidR="00E30E44" w:rsidRPr="00966D98">
        <w:rPr>
          <w:rFonts w:ascii="Garamond" w:hAnsi="Garamond"/>
          <w:color w:val="000000" w:themeColor="text1"/>
          <w:lang w:val="en-GB"/>
        </w:rPr>
        <w:t xml:space="preserve">in addition to scholarly </w:t>
      </w:r>
      <w:r w:rsidRPr="00966D98">
        <w:rPr>
          <w:rFonts w:ascii="Garamond" w:hAnsi="Garamond"/>
          <w:color w:val="000000" w:themeColor="text1"/>
          <w:lang w:val="en-GB"/>
        </w:rPr>
        <w:t>excellence</w:t>
      </w:r>
      <w:r w:rsidR="00E30E44" w:rsidRPr="00966D98">
        <w:rPr>
          <w:rFonts w:ascii="Garamond" w:hAnsi="Garamond"/>
          <w:color w:val="000000" w:themeColor="text1"/>
          <w:lang w:val="en-GB"/>
        </w:rPr>
        <w:t xml:space="preserve">, </w:t>
      </w:r>
      <w:r w:rsidR="003D4A59" w:rsidRPr="00966D98">
        <w:rPr>
          <w:rFonts w:ascii="Garamond" w:hAnsi="Garamond"/>
          <w:color w:val="000000" w:themeColor="text1"/>
          <w:lang w:val="en-GB"/>
        </w:rPr>
        <w:t xml:space="preserve">research actors </w:t>
      </w:r>
      <w:r w:rsidR="00E30E44" w:rsidRPr="00966D98">
        <w:rPr>
          <w:rFonts w:ascii="Garamond" w:hAnsi="Garamond"/>
          <w:color w:val="000000" w:themeColor="text1"/>
          <w:lang w:val="en-GB"/>
        </w:rPr>
        <w:t>also need to be</w:t>
      </w:r>
      <w:r w:rsidR="003D4A59" w:rsidRPr="00966D98">
        <w:rPr>
          <w:rFonts w:ascii="Garamond" w:hAnsi="Garamond"/>
          <w:color w:val="000000" w:themeColor="text1"/>
          <w:lang w:val="en-GB"/>
        </w:rPr>
        <w:t xml:space="preserve"> competen</w:t>
      </w:r>
      <w:r w:rsidR="00E30E44" w:rsidRPr="00966D98">
        <w:rPr>
          <w:rFonts w:ascii="Garamond" w:hAnsi="Garamond"/>
          <w:color w:val="000000" w:themeColor="text1"/>
          <w:lang w:val="en-GB"/>
        </w:rPr>
        <w:t xml:space="preserve">t </w:t>
      </w:r>
      <w:r w:rsidR="003D4A59" w:rsidRPr="00966D98">
        <w:rPr>
          <w:rFonts w:ascii="Garamond" w:hAnsi="Garamond"/>
          <w:color w:val="000000" w:themeColor="text1"/>
          <w:lang w:val="en-GB"/>
        </w:rPr>
        <w:t xml:space="preserve">in political expression that shapes policy, </w:t>
      </w:r>
      <w:r w:rsidR="00E30E44" w:rsidRPr="00966D98">
        <w:rPr>
          <w:rFonts w:ascii="Garamond" w:hAnsi="Garamond"/>
          <w:color w:val="000000" w:themeColor="text1"/>
          <w:lang w:val="en-GB"/>
        </w:rPr>
        <w:t>proficient</w:t>
      </w:r>
      <w:r w:rsidR="003D4A59" w:rsidRPr="00966D98">
        <w:rPr>
          <w:rFonts w:ascii="Garamond" w:hAnsi="Garamond"/>
          <w:color w:val="000000" w:themeColor="text1"/>
          <w:lang w:val="en-GB"/>
        </w:rPr>
        <w:t xml:space="preserve"> in pragmatic expression to get things done in specific ways, </w:t>
      </w:r>
      <w:r w:rsidR="00E30E44" w:rsidRPr="00966D98">
        <w:rPr>
          <w:rFonts w:ascii="Garamond" w:hAnsi="Garamond"/>
          <w:color w:val="000000" w:themeColor="text1"/>
          <w:lang w:val="en-GB"/>
        </w:rPr>
        <w:t>capable of</w:t>
      </w:r>
      <w:r w:rsidR="003D4A59" w:rsidRPr="00966D98">
        <w:rPr>
          <w:rFonts w:ascii="Garamond" w:hAnsi="Garamond"/>
          <w:color w:val="000000" w:themeColor="text1"/>
          <w:lang w:val="en-GB"/>
        </w:rPr>
        <w:t xml:space="preserve"> broadcast</w:t>
      </w:r>
      <w:r w:rsidR="00E30E44" w:rsidRPr="00966D98">
        <w:rPr>
          <w:rFonts w:ascii="Garamond" w:hAnsi="Garamond"/>
          <w:color w:val="000000" w:themeColor="text1"/>
          <w:lang w:val="en-GB"/>
        </w:rPr>
        <w:t>ing</w:t>
      </w:r>
      <w:r w:rsidR="003D4A59" w:rsidRPr="00966D98">
        <w:rPr>
          <w:rFonts w:ascii="Garamond" w:hAnsi="Garamond"/>
          <w:color w:val="000000" w:themeColor="text1"/>
          <w:lang w:val="en-GB"/>
        </w:rPr>
        <w:t xml:space="preserve"> a message widely</w:t>
      </w:r>
      <w:r w:rsidR="00BA031E" w:rsidRPr="00966D98">
        <w:rPr>
          <w:rFonts w:ascii="Garamond" w:hAnsi="Garamond"/>
          <w:color w:val="000000" w:themeColor="text1"/>
          <w:lang w:val="en-GB"/>
        </w:rPr>
        <w:t xml:space="preserve"> </w:t>
      </w:r>
      <w:r w:rsidR="00E30E44" w:rsidRPr="00966D98">
        <w:rPr>
          <w:rFonts w:ascii="Garamond" w:hAnsi="Garamond"/>
          <w:color w:val="000000" w:themeColor="text1"/>
          <w:lang w:val="en-GB"/>
        </w:rPr>
        <w:t>or</w:t>
      </w:r>
      <w:r w:rsidR="003D4A59" w:rsidRPr="00966D98">
        <w:rPr>
          <w:rFonts w:ascii="Garamond" w:hAnsi="Garamond"/>
          <w:color w:val="000000" w:themeColor="text1"/>
          <w:lang w:val="en-GB"/>
        </w:rPr>
        <w:t xml:space="preserve"> </w:t>
      </w:r>
      <w:r w:rsidR="00E30E44" w:rsidRPr="00966D98">
        <w:rPr>
          <w:rFonts w:ascii="Garamond" w:hAnsi="Garamond"/>
          <w:color w:val="000000" w:themeColor="text1"/>
          <w:lang w:val="en-GB"/>
        </w:rPr>
        <w:t>able</w:t>
      </w:r>
      <w:r w:rsidR="003D4A59" w:rsidRPr="00966D98">
        <w:rPr>
          <w:rFonts w:ascii="Garamond" w:hAnsi="Garamond"/>
          <w:color w:val="000000" w:themeColor="text1"/>
          <w:lang w:val="en-GB"/>
        </w:rPr>
        <w:t xml:space="preserve"> to create economic value</w:t>
      </w:r>
      <w:r w:rsidR="00E30E44" w:rsidRPr="00966D98">
        <w:rPr>
          <w:rFonts w:ascii="Garamond" w:hAnsi="Garamond"/>
          <w:color w:val="000000" w:themeColor="text1"/>
          <w:lang w:val="en-GB"/>
        </w:rPr>
        <w:t>.</w:t>
      </w:r>
      <w:r w:rsidR="003D4A59" w:rsidRPr="00966D98">
        <w:rPr>
          <w:rFonts w:ascii="Garamond" w:hAnsi="Garamond"/>
          <w:color w:val="000000" w:themeColor="text1"/>
          <w:lang w:val="en-GB"/>
        </w:rPr>
        <w:t xml:space="preserve"> The language, logic and resources of each of these fields can be borrowed and held in balance in the performance of impact, in order to demonstrate worth</w:t>
      </w:r>
      <w:r w:rsidR="00776E01" w:rsidRPr="00966D98">
        <w:rPr>
          <w:rFonts w:ascii="Garamond" w:hAnsi="Garamond"/>
          <w:color w:val="000000" w:themeColor="text1"/>
          <w:lang w:val="en-GB"/>
        </w:rPr>
        <w:t xml:space="preserve"> and gain legitimacy</w:t>
      </w:r>
      <w:r w:rsidR="00BA031E" w:rsidRPr="00966D98">
        <w:rPr>
          <w:rFonts w:ascii="Garamond" w:hAnsi="Garamond"/>
          <w:color w:val="000000" w:themeColor="text1"/>
          <w:lang w:val="en-GB"/>
        </w:rPr>
        <w:t>.</w:t>
      </w:r>
      <w:r w:rsidR="003D4A59" w:rsidRPr="00966D98">
        <w:rPr>
          <w:rFonts w:ascii="Garamond" w:hAnsi="Garamond"/>
          <w:color w:val="000000" w:themeColor="text1"/>
          <w:lang w:val="en-GB"/>
        </w:rPr>
        <w:t xml:space="preserve"> For the range of actors who must demonstrate wider impact beyond the academy, th</w:t>
      </w:r>
      <w:r w:rsidR="008D49AC" w:rsidRPr="00966D98">
        <w:rPr>
          <w:rFonts w:ascii="Garamond" w:hAnsi="Garamond"/>
          <w:color w:val="000000" w:themeColor="text1"/>
          <w:lang w:val="en-GB"/>
        </w:rPr>
        <w:t>e</w:t>
      </w:r>
      <w:r w:rsidR="003D4A59" w:rsidRPr="00966D98">
        <w:rPr>
          <w:rFonts w:ascii="Garamond" w:hAnsi="Garamond"/>
          <w:color w:val="000000" w:themeColor="text1"/>
          <w:lang w:val="en-GB"/>
        </w:rPr>
        <w:t xml:space="preserve"> space </w:t>
      </w:r>
      <w:r w:rsidR="008D49AC" w:rsidRPr="00966D98">
        <w:rPr>
          <w:rFonts w:ascii="Garamond" w:hAnsi="Garamond"/>
          <w:color w:val="000000" w:themeColor="text1"/>
          <w:lang w:val="en-GB"/>
        </w:rPr>
        <w:t xml:space="preserve">between </w:t>
      </w:r>
      <w:r w:rsidR="00FB7993" w:rsidRPr="00966D98">
        <w:rPr>
          <w:rFonts w:ascii="Garamond" w:hAnsi="Garamond"/>
          <w:color w:val="000000" w:themeColor="text1"/>
          <w:lang w:val="en-GB"/>
        </w:rPr>
        <w:t xml:space="preserve">parent </w:t>
      </w:r>
      <w:r w:rsidR="008D49AC" w:rsidRPr="00966D98">
        <w:rPr>
          <w:rFonts w:ascii="Garamond" w:hAnsi="Garamond"/>
          <w:color w:val="000000" w:themeColor="text1"/>
          <w:lang w:val="en-GB"/>
        </w:rPr>
        <w:t xml:space="preserve">fields </w:t>
      </w:r>
      <w:r w:rsidR="003D4A59" w:rsidRPr="00966D98">
        <w:rPr>
          <w:rFonts w:ascii="Garamond" w:hAnsi="Garamond"/>
          <w:color w:val="000000" w:themeColor="text1"/>
          <w:lang w:val="en-GB"/>
        </w:rPr>
        <w:t xml:space="preserve">provides links and </w:t>
      </w:r>
      <w:r w:rsidR="003D4A59" w:rsidRPr="00966D98">
        <w:rPr>
          <w:rFonts w:ascii="Garamond" w:hAnsi="Garamond"/>
          <w:color w:val="000000" w:themeColor="text1"/>
          <w:lang w:val="en-GB"/>
        </w:rPr>
        <w:lastRenderedPageBreak/>
        <w:t>connections that might otherwise not exist (Eyal</w:t>
      </w:r>
      <w:r w:rsidR="00D42729" w:rsidRPr="00966D98">
        <w:rPr>
          <w:rFonts w:ascii="Garamond" w:hAnsi="Garamond"/>
          <w:color w:val="000000" w:themeColor="text1"/>
          <w:lang w:val="en-GB"/>
        </w:rPr>
        <w:t xml:space="preserve"> 2</w:t>
      </w:r>
      <w:r w:rsidR="003D4A59" w:rsidRPr="00966D98">
        <w:rPr>
          <w:rFonts w:ascii="Garamond" w:hAnsi="Garamond"/>
          <w:color w:val="000000" w:themeColor="text1"/>
          <w:lang w:val="en-GB"/>
        </w:rPr>
        <w:t>011). For example, co</w:t>
      </w:r>
      <w:r w:rsidR="003D3B6D" w:rsidRPr="00966D98">
        <w:rPr>
          <w:rFonts w:ascii="Garamond" w:hAnsi="Garamond"/>
          <w:color w:val="000000" w:themeColor="text1"/>
          <w:lang w:val="en-GB"/>
        </w:rPr>
        <w:t>mbining</w:t>
      </w:r>
      <w:r w:rsidR="003D4A59" w:rsidRPr="00966D98">
        <w:rPr>
          <w:rFonts w:ascii="Garamond" w:hAnsi="Garamond"/>
          <w:color w:val="000000" w:themeColor="text1"/>
          <w:lang w:val="en-GB"/>
        </w:rPr>
        <w:t xml:space="preserve"> academic </w:t>
      </w:r>
      <w:r w:rsidR="00D9141C" w:rsidRPr="00966D98">
        <w:rPr>
          <w:rFonts w:ascii="Garamond" w:hAnsi="Garamond"/>
          <w:color w:val="000000" w:themeColor="text1"/>
          <w:lang w:val="en-GB"/>
        </w:rPr>
        <w:t>abilities</w:t>
      </w:r>
      <w:r w:rsidR="003D4A59" w:rsidRPr="00966D98">
        <w:rPr>
          <w:rFonts w:ascii="Garamond" w:hAnsi="Garamond"/>
          <w:color w:val="000000" w:themeColor="text1"/>
          <w:lang w:val="en-GB"/>
        </w:rPr>
        <w:t xml:space="preserve"> with media </w:t>
      </w:r>
      <w:r w:rsidR="00F14262" w:rsidRPr="00966D98">
        <w:rPr>
          <w:rFonts w:ascii="Garamond" w:hAnsi="Garamond"/>
          <w:color w:val="000000" w:themeColor="text1"/>
          <w:lang w:val="en-GB"/>
        </w:rPr>
        <w:t>skills</w:t>
      </w:r>
      <w:r w:rsidR="003D4A59" w:rsidRPr="00966D98">
        <w:rPr>
          <w:rFonts w:ascii="Garamond" w:hAnsi="Garamond"/>
          <w:color w:val="000000" w:themeColor="text1"/>
          <w:lang w:val="en-GB"/>
        </w:rPr>
        <w:t xml:space="preserve"> (e.g. wide online dissemination) and proficiency in political expression (e.g. engaging policymakers) </w:t>
      </w:r>
      <w:r w:rsidR="003D3B6D" w:rsidRPr="00966D98">
        <w:rPr>
          <w:rFonts w:ascii="Garamond" w:hAnsi="Garamond"/>
          <w:color w:val="000000" w:themeColor="text1"/>
          <w:lang w:val="en-GB"/>
        </w:rPr>
        <w:t xml:space="preserve">can </w:t>
      </w:r>
      <w:r w:rsidR="003D4A59" w:rsidRPr="00966D98">
        <w:rPr>
          <w:rFonts w:ascii="Garamond" w:hAnsi="Garamond"/>
          <w:color w:val="000000" w:themeColor="text1"/>
          <w:lang w:val="en-GB"/>
        </w:rPr>
        <w:t xml:space="preserve">simultaneously garner credibility, </w:t>
      </w:r>
      <w:r w:rsidR="00E72D16" w:rsidRPr="00966D98">
        <w:rPr>
          <w:rFonts w:ascii="Garamond" w:hAnsi="Garamond"/>
          <w:color w:val="000000" w:themeColor="text1"/>
          <w:lang w:val="en-GB"/>
        </w:rPr>
        <w:t xml:space="preserve">visibility and </w:t>
      </w:r>
      <w:r w:rsidR="004F31F3" w:rsidRPr="00966D98">
        <w:rPr>
          <w:rFonts w:ascii="Garamond" w:hAnsi="Garamond"/>
          <w:color w:val="000000" w:themeColor="text1"/>
          <w:lang w:val="en-GB"/>
        </w:rPr>
        <w:t>authority</w:t>
      </w:r>
      <w:r w:rsidR="003D4A59" w:rsidRPr="00966D98">
        <w:rPr>
          <w:rFonts w:ascii="Garamond" w:hAnsi="Garamond"/>
          <w:color w:val="000000" w:themeColor="text1"/>
          <w:lang w:val="en-GB"/>
        </w:rPr>
        <w:t xml:space="preserve">. </w:t>
      </w:r>
      <w:r w:rsidR="00A34F55" w:rsidRPr="00966D98">
        <w:rPr>
          <w:rFonts w:ascii="Garamond" w:hAnsi="Garamond"/>
          <w:color w:val="000000" w:themeColor="text1"/>
          <w:lang w:val="en-GB"/>
        </w:rPr>
        <w:t>Combinations of</w:t>
      </w:r>
      <w:r w:rsidR="004E548E" w:rsidRPr="00966D98">
        <w:rPr>
          <w:rFonts w:ascii="Garamond" w:hAnsi="Garamond"/>
          <w:color w:val="000000" w:themeColor="text1"/>
          <w:lang w:val="en-GB"/>
        </w:rPr>
        <w:t xml:space="preserve"> capital from different fields </w:t>
      </w:r>
      <w:r w:rsidR="00FB7993" w:rsidRPr="00966D98">
        <w:rPr>
          <w:rFonts w:ascii="Garamond" w:hAnsi="Garamond"/>
          <w:color w:val="000000" w:themeColor="text1"/>
          <w:lang w:val="en-GB"/>
        </w:rPr>
        <w:t xml:space="preserve">therefore </w:t>
      </w:r>
      <w:r w:rsidR="004E548E" w:rsidRPr="00966D98">
        <w:rPr>
          <w:rFonts w:ascii="Garamond" w:hAnsi="Garamond"/>
          <w:color w:val="000000" w:themeColor="text1"/>
          <w:lang w:val="en-GB"/>
        </w:rPr>
        <w:t>become paramount</w:t>
      </w:r>
      <w:r w:rsidR="009F3D88" w:rsidRPr="00966D98">
        <w:rPr>
          <w:rFonts w:ascii="Garamond" w:hAnsi="Garamond"/>
          <w:color w:val="000000" w:themeColor="text1"/>
          <w:lang w:val="en-GB"/>
        </w:rPr>
        <w:t xml:space="preserve"> in effective impact. </w:t>
      </w:r>
    </w:p>
    <w:p w14:paraId="00917560" w14:textId="19D98952" w:rsidR="003D4A59" w:rsidRPr="00966D98" w:rsidRDefault="00F07759" w:rsidP="00A82BBF">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To be i</w:t>
      </w:r>
      <w:r w:rsidR="00CC00B5" w:rsidRPr="00966D98">
        <w:rPr>
          <w:rFonts w:ascii="Garamond" w:hAnsi="Garamond"/>
          <w:color w:val="000000" w:themeColor="text1"/>
          <w:lang w:val="en-GB"/>
        </w:rPr>
        <w:t>mpactful</w:t>
      </w:r>
      <w:r w:rsidRPr="00966D98">
        <w:rPr>
          <w:rFonts w:ascii="Garamond" w:hAnsi="Garamond"/>
          <w:color w:val="000000" w:themeColor="text1"/>
          <w:lang w:val="en-GB"/>
        </w:rPr>
        <w:t xml:space="preserve">, </w:t>
      </w:r>
      <w:r w:rsidR="00CC00B5" w:rsidRPr="00966D98">
        <w:rPr>
          <w:rFonts w:ascii="Garamond" w:hAnsi="Garamond"/>
          <w:color w:val="000000" w:themeColor="text1"/>
          <w:lang w:val="en-GB"/>
        </w:rPr>
        <w:t xml:space="preserve">research </w:t>
      </w:r>
      <w:r w:rsidR="003D4A59" w:rsidRPr="00966D98">
        <w:rPr>
          <w:rFonts w:ascii="Garamond" w:hAnsi="Garamond"/>
          <w:color w:val="000000" w:themeColor="text1"/>
          <w:lang w:val="en-GB"/>
        </w:rPr>
        <w:t xml:space="preserve">actors draw on expertise, ideas and </w:t>
      </w:r>
      <w:r w:rsidR="007C544A" w:rsidRPr="00966D98">
        <w:rPr>
          <w:rFonts w:ascii="Garamond" w:hAnsi="Garamond"/>
          <w:color w:val="000000" w:themeColor="text1"/>
          <w:lang w:val="en-GB"/>
        </w:rPr>
        <w:t>skills</w:t>
      </w:r>
      <w:r w:rsidR="00CC00B5" w:rsidRPr="00966D98">
        <w:rPr>
          <w:rFonts w:ascii="Garamond" w:hAnsi="Garamond"/>
          <w:color w:val="000000" w:themeColor="text1"/>
          <w:lang w:val="en-GB"/>
        </w:rPr>
        <w:t xml:space="preserve"> </w:t>
      </w:r>
      <w:r w:rsidR="003D4A59" w:rsidRPr="00966D98">
        <w:rPr>
          <w:rFonts w:ascii="Garamond" w:hAnsi="Garamond"/>
          <w:color w:val="000000" w:themeColor="text1"/>
          <w:lang w:val="en-GB"/>
        </w:rPr>
        <w:t xml:space="preserve">from fields outside of the scholarly field </w:t>
      </w:r>
      <w:r w:rsidR="003D4A59" w:rsidRPr="00966D98">
        <w:rPr>
          <w:rFonts w:ascii="Garamond" w:hAnsi="Garamond"/>
          <w:lang w:val="en-GB"/>
        </w:rPr>
        <w:t xml:space="preserve">(e.g. </w:t>
      </w:r>
      <w:proofErr w:type="spellStart"/>
      <w:r w:rsidR="003D4A59" w:rsidRPr="00966D98">
        <w:rPr>
          <w:rFonts w:ascii="Garamond" w:hAnsi="Garamond"/>
          <w:lang w:val="en-GB"/>
        </w:rPr>
        <w:t>Hochmüller</w:t>
      </w:r>
      <w:proofErr w:type="spellEnd"/>
      <w:r w:rsidR="003D4A59" w:rsidRPr="00966D98">
        <w:rPr>
          <w:rFonts w:ascii="Garamond" w:hAnsi="Garamond"/>
          <w:lang w:val="en-GB"/>
        </w:rPr>
        <w:t xml:space="preserve"> &amp; Müller</w:t>
      </w:r>
      <w:r w:rsidR="00D42729" w:rsidRPr="00966D98">
        <w:rPr>
          <w:rFonts w:ascii="Garamond" w:hAnsi="Garamond"/>
          <w:lang w:val="en-GB"/>
        </w:rPr>
        <w:t xml:space="preserve"> 2</w:t>
      </w:r>
      <w:r w:rsidR="003D4A59" w:rsidRPr="00966D98">
        <w:rPr>
          <w:rFonts w:ascii="Garamond" w:hAnsi="Garamond"/>
          <w:lang w:val="en-GB"/>
        </w:rPr>
        <w:t xml:space="preserve">014), while remaining credible and authoritative within </w:t>
      </w:r>
      <w:r w:rsidR="00ED1A31" w:rsidRPr="00966D98">
        <w:rPr>
          <w:rFonts w:ascii="Garamond" w:hAnsi="Garamond"/>
          <w:lang w:val="en-GB"/>
        </w:rPr>
        <w:t>academia</w:t>
      </w:r>
      <w:r w:rsidR="003D4A59" w:rsidRPr="00966D98">
        <w:rPr>
          <w:rFonts w:ascii="Garamond" w:hAnsi="Garamond"/>
          <w:lang w:val="en-GB"/>
        </w:rPr>
        <w:t xml:space="preserve">. </w:t>
      </w:r>
      <w:r w:rsidRPr="00966D98">
        <w:rPr>
          <w:rFonts w:ascii="Garamond" w:hAnsi="Garamond"/>
          <w:color w:val="000000" w:themeColor="text1"/>
          <w:lang w:val="en-GB"/>
        </w:rPr>
        <w:t xml:space="preserve">Being impactful involves negotiation of capital between academia and one of the other four fields, and </w:t>
      </w:r>
      <w:r w:rsidR="00063355" w:rsidRPr="00966D98">
        <w:rPr>
          <w:rFonts w:ascii="Garamond" w:hAnsi="Garamond"/>
          <w:color w:val="000000" w:themeColor="text1"/>
          <w:lang w:val="en-GB"/>
        </w:rPr>
        <w:t>requires</w:t>
      </w:r>
      <w:r w:rsidRPr="00966D98">
        <w:rPr>
          <w:rFonts w:ascii="Garamond" w:hAnsi="Garamond"/>
          <w:color w:val="000000" w:themeColor="text1"/>
          <w:lang w:val="en-GB"/>
        </w:rPr>
        <w:t xml:space="preserve"> </w:t>
      </w:r>
      <w:r w:rsidR="00063355" w:rsidRPr="00966D98">
        <w:rPr>
          <w:rFonts w:ascii="Garamond" w:hAnsi="Garamond"/>
          <w:color w:val="000000" w:themeColor="text1"/>
          <w:lang w:val="en-GB"/>
        </w:rPr>
        <w:t xml:space="preserve">simultaneous </w:t>
      </w:r>
      <w:r w:rsidRPr="00966D98">
        <w:rPr>
          <w:rFonts w:ascii="Garamond" w:hAnsi="Garamond"/>
          <w:color w:val="000000" w:themeColor="text1"/>
          <w:lang w:val="en-GB"/>
        </w:rPr>
        <w:t xml:space="preserve">competence </w:t>
      </w:r>
      <w:r w:rsidR="00063355" w:rsidRPr="00966D98">
        <w:rPr>
          <w:rFonts w:ascii="Garamond" w:hAnsi="Garamond"/>
          <w:color w:val="000000" w:themeColor="text1"/>
          <w:lang w:val="en-GB"/>
        </w:rPr>
        <w:t>within the science system and outside of it</w:t>
      </w:r>
      <w:r w:rsidR="00755C25" w:rsidRPr="00966D98">
        <w:rPr>
          <w:rFonts w:ascii="Garamond" w:hAnsi="Garamond"/>
          <w:color w:val="000000" w:themeColor="text1"/>
          <w:u w:val="single"/>
          <w:lang w:val="en-GB"/>
        </w:rPr>
        <w:t>.</w:t>
      </w:r>
      <w:r w:rsidR="003D4A59" w:rsidRPr="00966D98">
        <w:rPr>
          <w:rFonts w:ascii="Garamond" w:hAnsi="Garamond"/>
          <w:bCs/>
          <w:color w:val="000000" w:themeColor="text1"/>
          <w:lang w:val="en-GB"/>
        </w:rPr>
        <w:t xml:space="preserve"> There is no uniform approach, </w:t>
      </w:r>
      <w:r w:rsidR="003D4A59" w:rsidRPr="00966D98">
        <w:rPr>
          <w:rFonts w:ascii="Garamond" w:hAnsi="Garamond"/>
          <w:color w:val="000000" w:themeColor="text1"/>
          <w:lang w:val="en-GB"/>
        </w:rPr>
        <w:t xml:space="preserve">and the weightings </w:t>
      </w:r>
      <w:r w:rsidR="005D1952" w:rsidRPr="00966D98">
        <w:rPr>
          <w:rFonts w:ascii="Garamond" w:hAnsi="Garamond"/>
          <w:color w:val="000000" w:themeColor="text1"/>
          <w:lang w:val="en-GB"/>
        </w:rPr>
        <w:t xml:space="preserve">and combinations </w:t>
      </w:r>
      <w:r w:rsidR="003D4A59" w:rsidRPr="00966D98">
        <w:rPr>
          <w:rFonts w:ascii="Garamond" w:hAnsi="Garamond"/>
          <w:color w:val="000000" w:themeColor="text1"/>
          <w:lang w:val="en-GB"/>
        </w:rPr>
        <w:t xml:space="preserve">of </w:t>
      </w:r>
      <w:r w:rsidR="0086771E" w:rsidRPr="00966D98">
        <w:rPr>
          <w:rFonts w:ascii="Garamond" w:hAnsi="Garamond"/>
          <w:color w:val="000000" w:themeColor="text1"/>
          <w:lang w:val="en-GB"/>
        </w:rPr>
        <w:t xml:space="preserve">different types of </w:t>
      </w:r>
      <w:r w:rsidR="002753F5" w:rsidRPr="00966D98">
        <w:rPr>
          <w:rFonts w:ascii="Garamond" w:hAnsi="Garamond"/>
          <w:color w:val="000000" w:themeColor="text1"/>
          <w:lang w:val="en-GB"/>
        </w:rPr>
        <w:t>capital</w:t>
      </w:r>
      <w:r w:rsidR="003D4A59" w:rsidRPr="00966D98">
        <w:rPr>
          <w:rFonts w:ascii="Garamond" w:hAnsi="Garamond"/>
          <w:color w:val="000000" w:themeColor="text1"/>
          <w:lang w:val="en-GB"/>
        </w:rPr>
        <w:t xml:space="preserve"> may vary for different organisations, research evaluation systems, and national research contexts.</w:t>
      </w:r>
      <w:r w:rsidR="003D4A59" w:rsidRPr="00966D98">
        <w:rPr>
          <w:rFonts w:ascii="Garamond" w:hAnsi="Garamond"/>
          <w:bCs/>
          <w:color w:val="000000" w:themeColor="text1"/>
          <w:lang w:val="en-GB"/>
        </w:rPr>
        <w:t xml:space="preserve"> It is a constant process of affiliation and disaffiliation (Medvetz</w:t>
      </w:r>
      <w:r w:rsidR="00D42729" w:rsidRPr="00966D98">
        <w:rPr>
          <w:rFonts w:ascii="Garamond" w:hAnsi="Garamond"/>
          <w:bCs/>
          <w:color w:val="000000" w:themeColor="text1"/>
          <w:lang w:val="en-GB"/>
        </w:rPr>
        <w:t xml:space="preserve"> 2</w:t>
      </w:r>
      <w:r w:rsidR="003D4A59" w:rsidRPr="00966D98">
        <w:rPr>
          <w:rFonts w:ascii="Garamond" w:hAnsi="Garamond"/>
          <w:bCs/>
          <w:color w:val="000000" w:themeColor="text1"/>
          <w:lang w:val="en-GB"/>
        </w:rPr>
        <w:t>012</w:t>
      </w:r>
      <w:r w:rsidR="00C729B5" w:rsidRPr="00966D98">
        <w:rPr>
          <w:rFonts w:ascii="Garamond" w:hAnsi="Garamond"/>
          <w:bCs/>
          <w:color w:val="000000" w:themeColor="text1"/>
          <w:lang w:val="en-GB"/>
        </w:rPr>
        <w:t>b</w:t>
      </w:r>
      <w:r w:rsidR="003D4A59" w:rsidRPr="00966D98">
        <w:rPr>
          <w:rFonts w:ascii="Garamond" w:hAnsi="Garamond"/>
          <w:bCs/>
          <w:color w:val="000000" w:themeColor="text1"/>
          <w:lang w:val="en-GB"/>
        </w:rPr>
        <w:t xml:space="preserve">), for example, if a research centre goes too far </w:t>
      </w:r>
      <w:r w:rsidR="003D4A59" w:rsidRPr="00966D98">
        <w:rPr>
          <w:rFonts w:ascii="Garamond" w:hAnsi="Garamond"/>
          <w:color w:val="000000" w:themeColor="text1"/>
          <w:lang w:val="en-GB"/>
        </w:rPr>
        <w:t xml:space="preserve">towards the </w:t>
      </w:r>
      <w:r w:rsidR="008557FD" w:rsidRPr="00966D98">
        <w:rPr>
          <w:rFonts w:ascii="Garamond" w:hAnsi="Garamond"/>
          <w:color w:val="000000" w:themeColor="text1"/>
          <w:lang w:val="en-GB"/>
        </w:rPr>
        <w:t>media</w:t>
      </w:r>
      <w:r w:rsidR="003D4A59" w:rsidRPr="00966D98">
        <w:rPr>
          <w:rFonts w:ascii="Garamond" w:hAnsi="Garamond"/>
          <w:color w:val="000000" w:themeColor="text1"/>
          <w:lang w:val="en-GB"/>
        </w:rPr>
        <w:t xml:space="preserve"> field of power (i.e. focused on </w:t>
      </w:r>
      <w:r w:rsidR="008557FD" w:rsidRPr="00966D98">
        <w:rPr>
          <w:rFonts w:ascii="Garamond" w:hAnsi="Garamond"/>
          <w:color w:val="000000" w:themeColor="text1"/>
          <w:lang w:val="en-GB"/>
        </w:rPr>
        <w:t>wide dissemination</w:t>
      </w:r>
      <w:r w:rsidR="003D4A59" w:rsidRPr="00966D98">
        <w:rPr>
          <w:rFonts w:ascii="Garamond" w:hAnsi="Garamond"/>
          <w:color w:val="000000" w:themeColor="text1"/>
          <w:lang w:val="en-GB"/>
        </w:rPr>
        <w:t xml:space="preserve">), </w:t>
      </w:r>
      <w:r w:rsidR="00DA397F" w:rsidRPr="00966D98">
        <w:rPr>
          <w:rFonts w:ascii="Garamond" w:hAnsi="Garamond"/>
          <w:color w:val="000000" w:themeColor="text1"/>
          <w:lang w:val="en-GB"/>
        </w:rPr>
        <w:t xml:space="preserve">it may gain visibility but </w:t>
      </w:r>
      <w:r w:rsidR="003D4A59" w:rsidRPr="00966D98">
        <w:rPr>
          <w:rFonts w:ascii="Garamond" w:hAnsi="Garamond"/>
          <w:color w:val="000000" w:themeColor="text1"/>
          <w:lang w:val="en-GB"/>
        </w:rPr>
        <w:t>lose its claim to rigo</w:t>
      </w:r>
      <w:r w:rsidR="009E5275" w:rsidRPr="00966D98">
        <w:rPr>
          <w:rFonts w:ascii="Garamond" w:hAnsi="Garamond"/>
          <w:color w:val="000000" w:themeColor="text1"/>
          <w:lang w:val="en-GB"/>
        </w:rPr>
        <w:t>u</w:t>
      </w:r>
      <w:r w:rsidR="003D4A59" w:rsidRPr="00966D98">
        <w:rPr>
          <w:rFonts w:ascii="Garamond" w:hAnsi="Garamond"/>
          <w:color w:val="000000" w:themeColor="text1"/>
          <w:lang w:val="en-GB"/>
        </w:rPr>
        <w:t xml:space="preserve">r and independence of the scholarly field, which is crucial for credibility. </w:t>
      </w:r>
      <w:r w:rsidR="003B53FA" w:rsidRPr="00966D98">
        <w:rPr>
          <w:rFonts w:ascii="Garamond" w:hAnsi="Garamond"/>
          <w:color w:val="000000" w:themeColor="text1"/>
          <w:lang w:val="en-GB"/>
        </w:rPr>
        <w:t>T</w:t>
      </w:r>
      <w:r w:rsidR="003D4A59" w:rsidRPr="00966D98">
        <w:rPr>
          <w:rFonts w:ascii="Garamond" w:hAnsi="Garamond"/>
          <w:color w:val="000000" w:themeColor="text1"/>
          <w:lang w:val="en-GB"/>
        </w:rPr>
        <w:t xml:space="preserve">hus, </w:t>
      </w:r>
      <w:r w:rsidR="00C80249" w:rsidRPr="00966D98">
        <w:rPr>
          <w:rFonts w:ascii="Garamond" w:hAnsi="Garamond"/>
          <w:color w:val="000000" w:themeColor="text1"/>
          <w:lang w:val="en-GB"/>
        </w:rPr>
        <w:t>actors</w:t>
      </w:r>
      <w:r w:rsidR="003D4A59" w:rsidRPr="00966D98">
        <w:rPr>
          <w:rFonts w:ascii="Garamond" w:hAnsi="Garamond"/>
          <w:color w:val="000000" w:themeColor="text1"/>
          <w:lang w:val="en-GB"/>
        </w:rPr>
        <w:t xml:space="preserve"> may seek to maintain a balance </w:t>
      </w:r>
      <w:r w:rsidR="009706E4" w:rsidRPr="00966D98">
        <w:rPr>
          <w:rFonts w:ascii="Garamond" w:hAnsi="Garamond"/>
          <w:color w:val="000000" w:themeColor="text1"/>
          <w:lang w:val="en-GB"/>
        </w:rPr>
        <w:t>between different fields; for example, by coupling</w:t>
      </w:r>
      <w:r w:rsidR="003D4A59" w:rsidRPr="00966D98">
        <w:rPr>
          <w:rFonts w:ascii="Garamond" w:hAnsi="Garamond"/>
          <w:color w:val="000000" w:themeColor="text1"/>
          <w:lang w:val="en-GB"/>
        </w:rPr>
        <w:t xml:space="preserve"> scholarly</w:t>
      </w:r>
      <w:r w:rsidR="009706E4" w:rsidRPr="00966D98">
        <w:rPr>
          <w:rFonts w:ascii="Garamond" w:hAnsi="Garamond"/>
          <w:color w:val="000000" w:themeColor="text1"/>
          <w:lang w:val="en-GB"/>
        </w:rPr>
        <w:t xml:space="preserve"> and </w:t>
      </w:r>
      <w:r w:rsidR="004D5EF2" w:rsidRPr="00966D98">
        <w:rPr>
          <w:rFonts w:ascii="Garamond" w:hAnsi="Garamond"/>
          <w:color w:val="000000" w:themeColor="text1"/>
          <w:lang w:val="en-GB"/>
        </w:rPr>
        <w:t>media</w:t>
      </w:r>
      <w:r w:rsidR="009706E4" w:rsidRPr="00966D98">
        <w:rPr>
          <w:rFonts w:ascii="Garamond" w:hAnsi="Garamond"/>
          <w:color w:val="000000" w:themeColor="text1"/>
          <w:lang w:val="en-GB"/>
        </w:rPr>
        <w:t xml:space="preserve"> capital </w:t>
      </w:r>
      <w:r w:rsidR="003D4A59" w:rsidRPr="00966D98">
        <w:rPr>
          <w:rFonts w:ascii="Garamond" w:hAnsi="Garamond"/>
          <w:color w:val="000000" w:themeColor="text1"/>
          <w:lang w:val="en-GB"/>
        </w:rPr>
        <w:t>to demonstrate impact</w:t>
      </w:r>
      <w:r w:rsidR="009502DB" w:rsidRPr="00966D98">
        <w:rPr>
          <w:rFonts w:ascii="Garamond" w:hAnsi="Garamond"/>
          <w:color w:val="000000" w:themeColor="text1"/>
          <w:lang w:val="en-GB"/>
        </w:rPr>
        <w:t xml:space="preserve"> outside of the economic field of power.</w:t>
      </w:r>
      <w:r w:rsidRPr="00966D98">
        <w:rPr>
          <w:rFonts w:ascii="Garamond" w:hAnsi="Garamond"/>
          <w:color w:val="000000" w:themeColor="text1"/>
          <w:lang w:val="en-GB"/>
        </w:rPr>
        <w:t xml:space="preserve"> By doing so, actors can attain a new form of </w:t>
      </w:r>
      <w:r w:rsidR="00BB1F09" w:rsidRPr="00966D98">
        <w:rPr>
          <w:rFonts w:ascii="Garamond" w:hAnsi="Garamond"/>
          <w:color w:val="000000" w:themeColor="text1"/>
          <w:lang w:val="en-GB"/>
        </w:rPr>
        <w:t>power</w:t>
      </w:r>
      <w:r w:rsidR="00174C7A" w:rsidRPr="00966D98">
        <w:rPr>
          <w:rFonts w:ascii="Garamond" w:hAnsi="Garamond"/>
          <w:color w:val="000000" w:themeColor="text1"/>
          <w:lang w:val="en-GB"/>
        </w:rPr>
        <w:t>, derived from impact itself</w:t>
      </w:r>
      <w:r w:rsidRPr="00966D98">
        <w:rPr>
          <w:rFonts w:ascii="Garamond" w:hAnsi="Garamond"/>
          <w:color w:val="000000" w:themeColor="text1"/>
          <w:lang w:val="en-GB"/>
        </w:rPr>
        <w:t xml:space="preserve">, which in turn can allow impactful academics </w:t>
      </w:r>
      <w:r w:rsidR="00930F3E" w:rsidRPr="00966D98">
        <w:rPr>
          <w:rFonts w:ascii="Garamond" w:hAnsi="Garamond"/>
          <w:color w:val="000000" w:themeColor="text1"/>
          <w:lang w:val="en-GB"/>
        </w:rPr>
        <w:t xml:space="preserve">or institutions </w:t>
      </w:r>
      <w:r w:rsidRPr="00966D98">
        <w:rPr>
          <w:rFonts w:ascii="Garamond" w:hAnsi="Garamond"/>
          <w:color w:val="000000" w:themeColor="text1"/>
          <w:lang w:val="en-GB"/>
        </w:rPr>
        <w:t>to disproportionately set research agendas.</w:t>
      </w:r>
      <w:r w:rsidR="00DA7359" w:rsidRPr="00966D98">
        <w:rPr>
          <w:rFonts w:ascii="Garamond" w:hAnsi="Garamond"/>
          <w:color w:val="000000" w:themeColor="text1"/>
          <w:lang w:val="en-GB"/>
        </w:rPr>
        <w:t xml:space="preserve"> That is, </w:t>
      </w:r>
      <w:r w:rsidR="00930F3E" w:rsidRPr="00966D98">
        <w:rPr>
          <w:rFonts w:ascii="Garamond" w:hAnsi="Garamond"/>
          <w:color w:val="000000" w:themeColor="text1"/>
          <w:lang w:val="en-GB"/>
        </w:rPr>
        <w:t xml:space="preserve">actors </w:t>
      </w:r>
      <w:r w:rsidR="00DA7359" w:rsidRPr="00966D98">
        <w:rPr>
          <w:rFonts w:ascii="Garamond" w:hAnsi="Garamond"/>
          <w:color w:val="000000" w:themeColor="text1"/>
          <w:lang w:val="en-GB"/>
        </w:rPr>
        <w:t>that can successfully co</w:t>
      </w:r>
      <w:r w:rsidR="00B92969" w:rsidRPr="00966D98">
        <w:rPr>
          <w:rFonts w:ascii="Garamond" w:hAnsi="Garamond"/>
          <w:color w:val="000000" w:themeColor="text1"/>
          <w:lang w:val="en-GB"/>
        </w:rPr>
        <w:t>mbine</w:t>
      </w:r>
      <w:r w:rsidR="00DA7359" w:rsidRPr="00966D98">
        <w:rPr>
          <w:rFonts w:ascii="Garamond" w:hAnsi="Garamond"/>
          <w:color w:val="000000" w:themeColor="text1"/>
          <w:lang w:val="en-GB"/>
        </w:rPr>
        <w:t xml:space="preserve"> various forms of capital from different fields can translate this cumulative power into research funds, promotions and other opportunities to influence the direction of science. </w:t>
      </w:r>
    </w:p>
    <w:p w14:paraId="6134E269" w14:textId="52F7BAFF" w:rsidR="004F678B" w:rsidRPr="00966D98" w:rsidRDefault="003D4A59" w:rsidP="0065242A">
      <w:pPr>
        <w:pStyle w:val="Body"/>
        <w:spacing w:before="120" w:after="120" w:line="360" w:lineRule="auto"/>
        <w:ind w:firstLine="284"/>
        <w:jc w:val="both"/>
        <w:outlineLvl w:val="0"/>
        <w:rPr>
          <w:rFonts w:ascii="Garamond" w:eastAsia="Garamond" w:hAnsi="Garamond" w:cs="Garamond"/>
          <w:color w:val="000000" w:themeColor="text1"/>
          <w:lang w:val="en-GB"/>
        </w:rPr>
      </w:pPr>
      <w:r w:rsidRPr="00966D98">
        <w:rPr>
          <w:rFonts w:ascii="Garamond" w:eastAsia="Garamond" w:hAnsi="Garamond" w:cs="Garamond"/>
          <w:color w:val="000000" w:themeColor="text1"/>
          <w:lang w:val="en-GB"/>
        </w:rPr>
        <w:t xml:space="preserve">Not all </w:t>
      </w:r>
      <w:r w:rsidR="00645550" w:rsidRPr="00966D98">
        <w:rPr>
          <w:rFonts w:ascii="Garamond" w:eastAsia="Garamond" w:hAnsi="Garamond" w:cs="Garamond"/>
          <w:color w:val="000000" w:themeColor="text1"/>
          <w:lang w:val="en-GB"/>
        </w:rPr>
        <w:t>research actors</w:t>
      </w:r>
      <w:r w:rsidRPr="00966D98">
        <w:rPr>
          <w:rFonts w:ascii="Garamond" w:eastAsia="Garamond" w:hAnsi="Garamond" w:cs="Garamond"/>
          <w:color w:val="000000" w:themeColor="text1"/>
          <w:lang w:val="en-GB"/>
        </w:rPr>
        <w:t xml:space="preserve"> are invested in the same standards around impact. Some are able to ‘play the game’ easily, anticipating or rapidly adapting to new developments in assessments and rankings and easily accommodating new forms of evaluation (</w:t>
      </w:r>
      <w:proofErr w:type="spellStart"/>
      <w:r w:rsidRPr="00966D98">
        <w:rPr>
          <w:rFonts w:ascii="Garamond" w:hAnsi="Garamond"/>
          <w:lang w:val="en-GB"/>
        </w:rPr>
        <w:t>Paradeise</w:t>
      </w:r>
      <w:proofErr w:type="spellEnd"/>
      <w:r w:rsidRPr="00966D98">
        <w:rPr>
          <w:rFonts w:ascii="Garamond" w:hAnsi="Garamond"/>
          <w:lang w:val="en-GB"/>
        </w:rPr>
        <w:t xml:space="preserve"> &amp; </w:t>
      </w:r>
      <w:proofErr w:type="spellStart"/>
      <w:r w:rsidRPr="00966D98">
        <w:rPr>
          <w:rFonts w:ascii="Garamond" w:hAnsi="Garamond"/>
          <w:lang w:val="en-GB"/>
        </w:rPr>
        <w:t>Thoenig</w:t>
      </w:r>
      <w:proofErr w:type="spellEnd"/>
      <w:r w:rsidR="00D42729" w:rsidRPr="00966D98">
        <w:rPr>
          <w:rFonts w:ascii="Garamond" w:hAnsi="Garamond"/>
          <w:lang w:val="en-GB"/>
        </w:rPr>
        <w:t xml:space="preserve"> 2</w:t>
      </w:r>
      <w:r w:rsidRPr="00966D98">
        <w:rPr>
          <w:rFonts w:ascii="Garamond" w:hAnsi="Garamond"/>
          <w:lang w:val="en-GB"/>
        </w:rPr>
        <w:t xml:space="preserve">013). </w:t>
      </w:r>
      <w:r w:rsidRPr="00966D98">
        <w:rPr>
          <w:rFonts w:ascii="Garamond" w:eastAsia="Garamond" w:hAnsi="Garamond" w:cs="Garamond"/>
          <w:color w:val="000000" w:themeColor="text1"/>
          <w:lang w:val="en-GB"/>
        </w:rPr>
        <w:t>Others must implement sometimes radical strategies to gain legitimacy through the external recognition of impact, while others instead deemphasise the importance of external assess</w:t>
      </w:r>
      <w:r w:rsidR="001D159A" w:rsidRPr="00966D98">
        <w:rPr>
          <w:rFonts w:ascii="Garamond" w:eastAsia="Garamond" w:hAnsi="Garamond" w:cs="Garamond"/>
          <w:color w:val="000000" w:themeColor="text1"/>
          <w:lang w:val="en-GB"/>
        </w:rPr>
        <w:t>ments</w:t>
      </w:r>
      <w:r w:rsidRPr="00966D98">
        <w:rPr>
          <w:rFonts w:ascii="Garamond" w:eastAsia="Garamond" w:hAnsi="Garamond" w:cs="Garamond"/>
          <w:color w:val="000000" w:themeColor="text1"/>
          <w:lang w:val="en-GB"/>
        </w:rPr>
        <w:t xml:space="preserve"> in favour of investments in local reputation or their specific institutional mission. However, within the UK and other countries or systems that seek to explicitly measure and incentivise impact, it is increasingly difficult to escape the pressure to </w:t>
      </w:r>
      <w:r w:rsidRPr="00966D98">
        <w:rPr>
          <w:rFonts w:ascii="Garamond" w:hAnsi="Garamond"/>
          <w:color w:val="000000" w:themeColor="text1"/>
          <w:lang w:val="en-GB"/>
        </w:rPr>
        <w:t>demonstrate wider benefit to society.</w:t>
      </w:r>
      <w:r w:rsidRPr="00966D98">
        <w:rPr>
          <w:rFonts w:ascii="Garamond" w:eastAsia="Garamond" w:hAnsi="Garamond" w:cs="Garamond"/>
          <w:color w:val="000000" w:themeColor="text1"/>
          <w:lang w:val="en-GB"/>
        </w:rPr>
        <w:t xml:space="preserve"> In addition, </w:t>
      </w:r>
      <w:r w:rsidRPr="00966D98">
        <w:rPr>
          <w:rFonts w:ascii="Garamond" w:hAnsi="Garamond"/>
          <w:color w:val="000000" w:themeColor="text1"/>
          <w:lang w:val="en-GB"/>
        </w:rPr>
        <w:t>not</w:t>
      </w:r>
      <w:r w:rsidR="00662D02" w:rsidRPr="00966D98">
        <w:rPr>
          <w:rFonts w:ascii="Garamond" w:hAnsi="Garamond"/>
          <w:color w:val="000000" w:themeColor="text1"/>
          <w:lang w:val="en-GB"/>
        </w:rPr>
        <w:t xml:space="preserve"> all disciplines or areas of expertise require proficiency in all parent fields to</w:t>
      </w:r>
      <w:r w:rsidRPr="00966D98">
        <w:rPr>
          <w:rFonts w:ascii="Garamond" w:hAnsi="Garamond"/>
          <w:color w:val="000000" w:themeColor="text1"/>
          <w:lang w:val="en-GB"/>
        </w:rPr>
        <w:t xml:space="preserve"> demonstrate value as impactful. In some (sub)disciplines, for example theoretical physics, knowledge is produced and evaluated according to its own </w:t>
      </w:r>
      <w:r w:rsidR="00662D02" w:rsidRPr="00966D98">
        <w:rPr>
          <w:rFonts w:ascii="Garamond" w:hAnsi="Garamond"/>
          <w:color w:val="000000" w:themeColor="text1"/>
          <w:lang w:val="en-GB"/>
        </w:rPr>
        <w:t xml:space="preserve">academic </w:t>
      </w:r>
      <w:r w:rsidRPr="00966D98">
        <w:rPr>
          <w:rFonts w:ascii="Garamond" w:hAnsi="Garamond"/>
          <w:color w:val="000000" w:themeColor="text1"/>
          <w:lang w:val="en-GB"/>
        </w:rPr>
        <w:t xml:space="preserve">logic. In these cases, evaluation may be more straightforward, given relative agreement on importance of different evaluation criteria (in this case, those of the scholarly field, such as citations). However, even in these cases, the impact imperative may add additional complicating evaluation criteria. For example, although theoretical </w:t>
      </w:r>
      <w:r w:rsidRPr="00966D98">
        <w:rPr>
          <w:rFonts w:ascii="Garamond" w:hAnsi="Garamond"/>
          <w:color w:val="000000" w:themeColor="text1"/>
          <w:lang w:val="en-GB"/>
        </w:rPr>
        <w:lastRenderedPageBreak/>
        <w:t>physics operates with</w:t>
      </w:r>
      <w:r w:rsidR="00662D02" w:rsidRPr="00966D98">
        <w:rPr>
          <w:rFonts w:ascii="Garamond" w:hAnsi="Garamond"/>
          <w:color w:val="000000" w:themeColor="text1"/>
          <w:lang w:val="en-GB"/>
        </w:rPr>
        <w:t>in</w:t>
      </w:r>
      <w:r w:rsidRPr="00966D98">
        <w:rPr>
          <w:rFonts w:ascii="Garamond" w:hAnsi="Garamond"/>
          <w:color w:val="000000" w:themeColor="text1"/>
          <w:lang w:val="en-GB"/>
        </w:rPr>
        <w:t xml:space="preserve"> its own logic, divorced from application to policy or practice, a physics department in the UK, as a whole, </w:t>
      </w:r>
      <w:r w:rsidR="002918EE" w:rsidRPr="00966D98">
        <w:rPr>
          <w:rFonts w:ascii="Garamond" w:hAnsi="Garamond"/>
          <w:color w:val="000000" w:themeColor="text1"/>
          <w:lang w:val="en-GB"/>
        </w:rPr>
        <w:t xml:space="preserve">must </w:t>
      </w:r>
      <w:r w:rsidR="00C7748E" w:rsidRPr="00966D98">
        <w:rPr>
          <w:rFonts w:ascii="Garamond" w:hAnsi="Garamond"/>
          <w:color w:val="000000" w:themeColor="text1"/>
          <w:lang w:val="en-GB"/>
        </w:rPr>
        <w:t>submit a certain number of impact case studies</w:t>
      </w:r>
      <w:r w:rsidR="002918EE" w:rsidRPr="00966D98">
        <w:rPr>
          <w:rFonts w:ascii="Garamond" w:hAnsi="Garamond"/>
          <w:color w:val="000000" w:themeColor="text1"/>
          <w:lang w:val="en-GB"/>
        </w:rPr>
        <w:t xml:space="preserve"> </w:t>
      </w:r>
      <w:r w:rsidR="00BF6E79" w:rsidRPr="00966D98">
        <w:rPr>
          <w:rFonts w:ascii="Garamond" w:hAnsi="Garamond"/>
          <w:color w:val="000000" w:themeColor="text1"/>
          <w:lang w:val="en-GB"/>
        </w:rPr>
        <w:t>linked to the number of academics</w:t>
      </w:r>
      <w:r w:rsidR="007417E1" w:rsidRPr="00966D98">
        <w:rPr>
          <w:rFonts w:ascii="Garamond" w:hAnsi="Garamond"/>
          <w:color w:val="000000" w:themeColor="text1"/>
          <w:lang w:val="en-GB"/>
        </w:rPr>
        <w:t xml:space="preserve"> they employ</w:t>
      </w:r>
      <w:r w:rsidRPr="00966D98">
        <w:rPr>
          <w:rFonts w:ascii="Garamond" w:hAnsi="Garamond"/>
          <w:color w:val="000000" w:themeColor="text1"/>
          <w:lang w:val="en-GB"/>
        </w:rPr>
        <w:t>, thereby requiring an orientation to fields of power beyond academia.</w:t>
      </w:r>
      <w:r w:rsidR="00C7748E" w:rsidRPr="00966D98">
        <w:rPr>
          <w:rStyle w:val="FootnoteReference"/>
          <w:rFonts w:ascii="Garamond" w:hAnsi="Garamond"/>
          <w:color w:val="000000" w:themeColor="text1"/>
          <w:lang w:val="en-GB"/>
        </w:rPr>
        <w:footnoteReference w:id="2"/>
      </w:r>
      <w:r w:rsidRPr="00966D98">
        <w:rPr>
          <w:rFonts w:ascii="Garamond" w:hAnsi="Garamond"/>
          <w:color w:val="000000" w:themeColor="text1"/>
          <w:lang w:val="en-GB"/>
        </w:rPr>
        <w:t xml:space="preserve"> </w:t>
      </w:r>
      <w:r w:rsidR="006B5AD3" w:rsidRPr="00966D98">
        <w:rPr>
          <w:rFonts w:ascii="Garamond" w:hAnsi="Garamond"/>
          <w:color w:val="000000" w:themeColor="text1"/>
          <w:lang w:val="en-GB"/>
        </w:rPr>
        <w:t>In interdisciplinary</w:t>
      </w:r>
      <w:r w:rsidRPr="00966D98">
        <w:rPr>
          <w:rFonts w:ascii="Garamond" w:hAnsi="Garamond"/>
          <w:color w:val="000000" w:themeColor="text1"/>
          <w:lang w:val="en-GB"/>
        </w:rPr>
        <w:t xml:space="preserve"> areas of expertise, such as international development, terrorism studies or European studie</w:t>
      </w:r>
      <w:r w:rsidR="0065242A" w:rsidRPr="00966D98">
        <w:rPr>
          <w:rFonts w:ascii="Garamond" w:hAnsi="Garamond"/>
          <w:color w:val="000000" w:themeColor="text1"/>
          <w:lang w:val="en-GB"/>
        </w:rPr>
        <w:t>s</w:t>
      </w:r>
      <w:r w:rsidRPr="00966D98">
        <w:rPr>
          <w:rFonts w:ascii="Garamond" w:hAnsi="Garamond"/>
          <w:color w:val="000000" w:themeColor="text1"/>
          <w:lang w:val="en-GB"/>
        </w:rPr>
        <w:t>, conducting research evaluations</w:t>
      </w:r>
      <w:r w:rsidR="0065242A" w:rsidRPr="00966D98">
        <w:rPr>
          <w:rFonts w:ascii="Garamond" w:hAnsi="Garamond"/>
          <w:color w:val="000000" w:themeColor="text1"/>
          <w:lang w:val="en-GB"/>
        </w:rPr>
        <w:t xml:space="preserve">, and more fundamentally, </w:t>
      </w:r>
      <w:r w:rsidRPr="00966D98">
        <w:rPr>
          <w:rFonts w:ascii="Garamond" w:hAnsi="Garamond"/>
          <w:color w:val="000000" w:themeColor="text1"/>
          <w:lang w:val="en-GB"/>
        </w:rPr>
        <w:t>understanding the value of such research and to whom</w:t>
      </w:r>
      <w:r w:rsidR="006B5AD3" w:rsidRPr="00966D98">
        <w:rPr>
          <w:rFonts w:ascii="Garamond" w:hAnsi="Garamond"/>
          <w:color w:val="000000" w:themeColor="text1"/>
          <w:lang w:val="en-GB"/>
        </w:rPr>
        <w:t xml:space="preserve"> </w:t>
      </w:r>
      <w:r w:rsidR="0065242A" w:rsidRPr="00966D98">
        <w:rPr>
          <w:rFonts w:ascii="Garamond" w:hAnsi="Garamond"/>
          <w:color w:val="000000" w:themeColor="text1"/>
          <w:lang w:val="en-GB"/>
        </w:rPr>
        <w:t xml:space="preserve">is even more </w:t>
      </w:r>
      <w:r w:rsidR="006B5AD3" w:rsidRPr="00966D98">
        <w:rPr>
          <w:rFonts w:ascii="Garamond" w:hAnsi="Garamond"/>
          <w:color w:val="000000" w:themeColor="text1"/>
          <w:lang w:val="en-GB"/>
        </w:rPr>
        <w:t>difficult.</w:t>
      </w:r>
      <w:r w:rsidRPr="00966D98">
        <w:rPr>
          <w:rFonts w:ascii="Garamond" w:hAnsi="Garamond"/>
          <w:color w:val="000000" w:themeColor="text1"/>
          <w:lang w:val="en-GB"/>
        </w:rPr>
        <w:t xml:space="preserve"> For example, an international development research centre at a university exists in a much less regulated space</w:t>
      </w:r>
      <w:r w:rsidR="0098007B" w:rsidRPr="00966D98">
        <w:rPr>
          <w:rFonts w:ascii="Garamond" w:hAnsi="Garamond"/>
          <w:color w:val="000000" w:themeColor="text1"/>
          <w:lang w:val="en-GB"/>
        </w:rPr>
        <w:t xml:space="preserve"> than</w:t>
      </w:r>
      <w:r w:rsidR="00301B93">
        <w:rPr>
          <w:rFonts w:ascii="Garamond" w:hAnsi="Garamond"/>
          <w:color w:val="000000" w:themeColor="text1"/>
          <w:lang w:val="en-GB"/>
        </w:rPr>
        <w:t xml:space="preserve"> </w:t>
      </w:r>
      <w:r w:rsidR="0098007B" w:rsidRPr="00966D98">
        <w:rPr>
          <w:rFonts w:ascii="Garamond" w:hAnsi="Garamond"/>
          <w:color w:val="000000" w:themeColor="text1"/>
          <w:lang w:val="en-GB"/>
        </w:rPr>
        <w:t>a theoretical physics group</w:t>
      </w:r>
      <w:r w:rsidR="00241B86" w:rsidRPr="00966D98">
        <w:rPr>
          <w:rFonts w:ascii="Garamond" w:hAnsi="Garamond"/>
          <w:color w:val="000000" w:themeColor="text1"/>
          <w:lang w:val="en-GB"/>
        </w:rPr>
        <w:t>,</w:t>
      </w:r>
      <w:r w:rsidRPr="00966D98">
        <w:rPr>
          <w:rFonts w:ascii="Garamond" w:hAnsi="Garamond"/>
          <w:color w:val="000000" w:themeColor="text1"/>
          <w:lang w:val="en-GB"/>
        </w:rPr>
        <w:t xml:space="preserve"> </w:t>
      </w:r>
      <w:r w:rsidR="00301B93">
        <w:rPr>
          <w:rFonts w:ascii="Garamond" w:hAnsi="Garamond"/>
          <w:color w:val="000000" w:themeColor="text1"/>
          <w:lang w:val="en-GB"/>
        </w:rPr>
        <w:t xml:space="preserve">and accordingly </w:t>
      </w:r>
      <w:r w:rsidRPr="00966D98">
        <w:rPr>
          <w:rFonts w:ascii="Garamond" w:eastAsia="Garamond" w:hAnsi="Garamond" w:cs="Garamond"/>
          <w:color w:val="000000" w:themeColor="text1"/>
          <w:lang w:val="en-GB"/>
        </w:rPr>
        <w:t xml:space="preserve">is it not always clear whether it is more important to be scholarly, to reach a wide audience, to influence change or to make work attractive to funders. </w:t>
      </w:r>
      <w:r w:rsidR="00301B93">
        <w:rPr>
          <w:rFonts w:ascii="Garamond" w:eastAsia="Garamond" w:hAnsi="Garamond" w:cs="Garamond"/>
          <w:color w:val="000000" w:themeColor="text1"/>
          <w:lang w:val="en-GB"/>
        </w:rPr>
        <w:t>Thus</w:t>
      </w:r>
      <w:r w:rsidRPr="00966D98">
        <w:rPr>
          <w:rFonts w:ascii="Garamond" w:eastAsia="Garamond" w:hAnsi="Garamond" w:cs="Garamond"/>
          <w:color w:val="000000" w:themeColor="text1"/>
          <w:lang w:val="en-GB"/>
        </w:rPr>
        <w:t xml:space="preserve">, it is important for this type of organisation to </w:t>
      </w:r>
      <w:r w:rsidR="0065242A" w:rsidRPr="00966D98">
        <w:rPr>
          <w:rFonts w:ascii="Garamond" w:eastAsia="Garamond" w:hAnsi="Garamond" w:cs="Garamond"/>
          <w:color w:val="000000" w:themeColor="text1"/>
          <w:lang w:val="en-GB"/>
        </w:rPr>
        <w:t>gain legitimacy through the external recognition in multiple fields other than academia.</w:t>
      </w:r>
      <w:r w:rsidRPr="00966D98">
        <w:rPr>
          <w:rFonts w:ascii="Garamond" w:eastAsia="Garamond" w:hAnsi="Garamond" w:cs="Garamond"/>
          <w:color w:val="000000" w:themeColor="text1"/>
          <w:lang w:val="en-GB"/>
        </w:rPr>
        <w:t xml:space="preserve"> In these cases, the demonstration of impact becomes an extension of this process of gaining and maintaining capital from a range of fields </w:t>
      </w:r>
      <w:r w:rsidR="001F5FEE" w:rsidRPr="00966D98">
        <w:rPr>
          <w:rFonts w:ascii="Garamond" w:eastAsia="Garamond" w:hAnsi="Garamond" w:cs="Garamond"/>
          <w:color w:val="000000" w:themeColor="text1"/>
          <w:lang w:val="en-GB"/>
        </w:rPr>
        <w:t xml:space="preserve">of power </w:t>
      </w:r>
      <w:r w:rsidRPr="00966D98">
        <w:rPr>
          <w:rFonts w:ascii="Garamond" w:eastAsia="Garamond" w:hAnsi="Garamond" w:cs="Garamond"/>
          <w:color w:val="000000" w:themeColor="text1"/>
          <w:lang w:val="en-GB"/>
        </w:rPr>
        <w:t xml:space="preserve">to maintain legitimacy. </w:t>
      </w:r>
    </w:p>
    <w:p w14:paraId="06805CEE" w14:textId="2238A3D9" w:rsidR="00E17BB2" w:rsidRPr="00966D98" w:rsidRDefault="00E17BB2" w:rsidP="00E17BB2">
      <w:pPr>
        <w:spacing w:before="120" w:after="120" w:line="360" w:lineRule="auto"/>
        <w:jc w:val="both"/>
        <w:rPr>
          <w:rFonts w:ascii="Garamond" w:hAnsi="Garamond"/>
          <w:b/>
        </w:rPr>
      </w:pPr>
      <w:r w:rsidRPr="00966D98">
        <w:rPr>
          <w:rFonts w:ascii="Garamond" w:hAnsi="Garamond"/>
          <w:b/>
        </w:rPr>
        <w:t xml:space="preserve">The effects of </w:t>
      </w:r>
      <w:r w:rsidR="00704B8B" w:rsidRPr="00966D98">
        <w:rPr>
          <w:rFonts w:ascii="Garamond" w:hAnsi="Garamond"/>
          <w:b/>
        </w:rPr>
        <w:t xml:space="preserve">evaluation </w:t>
      </w:r>
      <w:r w:rsidRPr="00966D98">
        <w:rPr>
          <w:rFonts w:ascii="Garamond" w:hAnsi="Garamond"/>
          <w:b/>
        </w:rPr>
        <w:t>on behaviour</w:t>
      </w:r>
    </w:p>
    <w:p w14:paraId="6DCDB218" w14:textId="216D6FA5" w:rsidR="00CB39FE" w:rsidRPr="00966D98" w:rsidRDefault="00CD57A7" w:rsidP="00CB39FE">
      <w:pPr>
        <w:spacing w:before="120" w:after="120" w:line="360" w:lineRule="auto"/>
        <w:ind w:firstLine="284"/>
        <w:jc w:val="both"/>
        <w:rPr>
          <w:rFonts w:ascii="Garamond" w:hAnsi="Garamond"/>
        </w:rPr>
      </w:pPr>
      <w:r w:rsidRPr="00966D98">
        <w:rPr>
          <w:rFonts w:ascii="Garamond" w:hAnsi="Garamond"/>
        </w:rPr>
        <w:t xml:space="preserve">The emergence of new practices of knowledge creation make possible new kinds of capital. </w:t>
      </w:r>
      <w:r w:rsidR="00CB39FE" w:rsidRPr="00966D98">
        <w:rPr>
          <w:rFonts w:ascii="Garamond" w:hAnsi="Garamond"/>
        </w:rPr>
        <w:t xml:space="preserve">To survive in a context of scarcity of resources and plurality of actors in the knowledge production arena, research actors have adjusted their priorities to include the performance of impact. Investments in new technologies or metrics, specific research impact staff and more diligent marketing of ideas outside of academia have become more common. Increasingly globalised information and communication technologies also support new areas of engagements outside of the academy, creating new opportunities for the production and dissemination of knowledge. Thus, as the landscape of knowledge production develops, there have been shifts in the creation, dissemination and evaluation of outputs. Many research actors now seek to engage wider audiences by </w:t>
      </w:r>
      <w:r w:rsidR="00291A65" w:rsidRPr="00966D98">
        <w:rPr>
          <w:rFonts w:ascii="Garamond" w:hAnsi="Garamond"/>
        </w:rPr>
        <w:t>producing</w:t>
      </w:r>
      <w:r w:rsidR="00CB39FE" w:rsidRPr="00966D98">
        <w:rPr>
          <w:rFonts w:ascii="Garamond" w:hAnsi="Garamond"/>
        </w:rPr>
        <w:t xml:space="preserve"> specialist blogs</w:t>
      </w:r>
      <w:r w:rsidR="00291A65" w:rsidRPr="00966D98">
        <w:rPr>
          <w:rFonts w:ascii="Garamond" w:hAnsi="Garamond"/>
        </w:rPr>
        <w:t xml:space="preserve"> or blog posts</w:t>
      </w:r>
      <w:r w:rsidR="00CB39FE" w:rsidRPr="00966D98">
        <w:rPr>
          <w:rFonts w:ascii="Garamond" w:hAnsi="Garamond"/>
        </w:rPr>
        <w:t>, open access working papers</w:t>
      </w:r>
      <w:r w:rsidR="00291A65" w:rsidRPr="00966D98">
        <w:rPr>
          <w:rFonts w:ascii="Garamond" w:hAnsi="Garamond"/>
        </w:rPr>
        <w:t>,</w:t>
      </w:r>
      <w:r w:rsidR="00CB39FE" w:rsidRPr="00966D98">
        <w:rPr>
          <w:rFonts w:ascii="Garamond" w:hAnsi="Garamond"/>
        </w:rPr>
        <w:t xml:space="preserve"> policy briefs or interactive online tools or visualisations. In turn, rapid developments in digital academic communication make available new forms of data that can be applied as indicators of impact or engagement (Holmberg 2015). For example, the alternative metrics community is focused on emerging digital tools designed to gauge the impact of research on diverse audiences by measuring ‘mentions’ (e.g. policy documents, blogs, news, Wikipedia), ‘shares’ (e.g. Twitter, Facebook), and 'bookmarks' (e.g. </w:t>
      </w:r>
      <w:proofErr w:type="spellStart"/>
      <w:r w:rsidR="00CB39FE" w:rsidRPr="00966D98">
        <w:rPr>
          <w:rFonts w:ascii="Garamond" w:hAnsi="Garamond"/>
        </w:rPr>
        <w:t>Mendeley</w:t>
      </w:r>
      <w:proofErr w:type="spellEnd"/>
      <w:r w:rsidR="00CB39FE" w:rsidRPr="00966D98">
        <w:rPr>
          <w:rFonts w:ascii="Garamond" w:hAnsi="Garamond"/>
        </w:rPr>
        <w:t xml:space="preserve">, </w:t>
      </w:r>
      <w:proofErr w:type="spellStart"/>
      <w:r w:rsidR="00CB39FE" w:rsidRPr="00966D98">
        <w:rPr>
          <w:rFonts w:ascii="Garamond" w:hAnsi="Garamond"/>
        </w:rPr>
        <w:t>ResearchGate</w:t>
      </w:r>
      <w:proofErr w:type="spellEnd"/>
      <w:r w:rsidR="00CB39FE" w:rsidRPr="00966D98">
        <w:rPr>
          <w:rFonts w:ascii="Garamond" w:hAnsi="Garamond"/>
        </w:rPr>
        <w:t>) (</w:t>
      </w:r>
      <w:proofErr w:type="spellStart"/>
      <w:r w:rsidR="00CB39FE" w:rsidRPr="00966D98">
        <w:rPr>
          <w:rFonts w:ascii="Garamond" w:hAnsi="Garamond"/>
        </w:rPr>
        <w:t>Priem</w:t>
      </w:r>
      <w:proofErr w:type="spellEnd"/>
      <w:r w:rsidR="00CB39FE" w:rsidRPr="00966D98">
        <w:rPr>
          <w:rFonts w:ascii="Garamond" w:hAnsi="Garamond"/>
        </w:rPr>
        <w:t xml:space="preserve"> et al. 2010; Roemer &amp; Borchardt 2012).</w:t>
      </w:r>
      <w:r w:rsidR="001B1C45" w:rsidRPr="00966D98">
        <w:rPr>
          <w:rFonts w:ascii="Garamond" w:hAnsi="Garamond"/>
        </w:rPr>
        <w:t xml:space="preserve"> Growing avenues for dissemination and i</w:t>
      </w:r>
      <w:r w:rsidR="00CB39FE" w:rsidRPr="00966D98">
        <w:rPr>
          <w:rFonts w:ascii="Garamond" w:hAnsi="Garamond"/>
        </w:rPr>
        <w:t xml:space="preserve">ncreasing </w:t>
      </w:r>
      <w:r w:rsidR="00393F3F" w:rsidRPr="00966D98">
        <w:rPr>
          <w:rFonts w:ascii="Garamond" w:hAnsi="Garamond"/>
        </w:rPr>
        <w:t xml:space="preserve">use of </w:t>
      </w:r>
      <w:r w:rsidR="00CB39FE" w:rsidRPr="00966D98">
        <w:rPr>
          <w:rFonts w:ascii="Garamond" w:hAnsi="Garamond"/>
        </w:rPr>
        <w:t xml:space="preserve">online </w:t>
      </w:r>
      <w:r w:rsidR="001B1C45" w:rsidRPr="00966D98">
        <w:rPr>
          <w:rFonts w:ascii="Garamond" w:hAnsi="Garamond"/>
        </w:rPr>
        <w:t xml:space="preserve">or alternative </w:t>
      </w:r>
      <w:r w:rsidR="00CB39FE" w:rsidRPr="00966D98">
        <w:rPr>
          <w:rFonts w:ascii="Garamond" w:hAnsi="Garamond"/>
        </w:rPr>
        <w:t xml:space="preserve">measures </w:t>
      </w:r>
      <w:r w:rsidR="00393F3F" w:rsidRPr="00966D98">
        <w:rPr>
          <w:rFonts w:ascii="Garamond" w:hAnsi="Garamond"/>
        </w:rPr>
        <w:t>in the practice</w:t>
      </w:r>
      <w:r w:rsidR="00E6788A" w:rsidRPr="00966D98">
        <w:rPr>
          <w:rFonts w:ascii="Garamond" w:hAnsi="Garamond"/>
        </w:rPr>
        <w:t>s</w:t>
      </w:r>
      <w:r w:rsidR="00393F3F" w:rsidRPr="00966D98">
        <w:rPr>
          <w:rFonts w:ascii="Garamond" w:hAnsi="Garamond"/>
        </w:rPr>
        <w:t xml:space="preserve"> of </w:t>
      </w:r>
      <w:r w:rsidR="00E6788A" w:rsidRPr="00966D98">
        <w:rPr>
          <w:rFonts w:ascii="Garamond" w:hAnsi="Garamond"/>
        </w:rPr>
        <w:t xml:space="preserve">production and </w:t>
      </w:r>
      <w:r w:rsidR="00393F3F" w:rsidRPr="00966D98">
        <w:rPr>
          <w:rFonts w:ascii="Garamond" w:hAnsi="Garamond"/>
        </w:rPr>
        <w:t xml:space="preserve">evaluation </w:t>
      </w:r>
      <w:r w:rsidR="00CB39FE" w:rsidRPr="00966D98">
        <w:rPr>
          <w:rFonts w:ascii="Garamond" w:hAnsi="Garamond"/>
        </w:rPr>
        <w:t xml:space="preserve">potentially make new types of capital available. For example, on the research </w:t>
      </w:r>
      <w:r w:rsidR="00CB39FE" w:rsidRPr="00966D98">
        <w:rPr>
          <w:rFonts w:ascii="Garamond" w:hAnsi="Garamond"/>
        </w:rPr>
        <w:lastRenderedPageBreak/>
        <w:t xml:space="preserve">production side, it may become possible for a researcher to gain or strengthen legitimacy in different fields by demonstrating a large social media following, or to bolster credentials by combining citations and mentions in policy documents on a CV or in a performance evaluation. On the evaluation side, funders, publishers and research institutions may also be able to gain legitimacy through demonstrating economic value and policy-orientation by reporting download counts of external reports, policy documents and other non-academic materials. The factors that can provide legitimacy thus continue to develop, potentially ahead of formal evaluation systems. </w:t>
      </w:r>
    </w:p>
    <w:p w14:paraId="1D6B8DD8" w14:textId="77777777" w:rsidR="00F05F81" w:rsidRPr="00966D98" w:rsidRDefault="002D6E12" w:rsidP="00422B7D">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bCs/>
          <w:color w:val="000000" w:themeColor="text1"/>
          <w:lang w:val="en-GB"/>
        </w:rPr>
        <w:t>The various fields of power thus have important effect</w:t>
      </w:r>
      <w:r w:rsidR="00931794" w:rsidRPr="00966D98">
        <w:rPr>
          <w:rFonts w:ascii="Garamond" w:hAnsi="Garamond"/>
          <w:bCs/>
          <w:color w:val="000000" w:themeColor="text1"/>
          <w:lang w:val="en-GB"/>
        </w:rPr>
        <w:t>s</w:t>
      </w:r>
      <w:r w:rsidRPr="00966D98">
        <w:rPr>
          <w:rFonts w:ascii="Garamond" w:hAnsi="Garamond"/>
          <w:bCs/>
          <w:color w:val="000000" w:themeColor="text1"/>
          <w:lang w:val="en-GB"/>
        </w:rPr>
        <w:t xml:space="preserve"> on organisations, individuals and knowledge</w:t>
      </w:r>
      <w:r w:rsidR="00B208C9" w:rsidRPr="00966D98">
        <w:rPr>
          <w:rFonts w:ascii="Garamond" w:hAnsi="Garamond"/>
          <w:bCs/>
          <w:color w:val="000000" w:themeColor="text1"/>
          <w:lang w:val="en-GB"/>
        </w:rPr>
        <w:t>.</w:t>
      </w:r>
      <w:r w:rsidRPr="00966D98">
        <w:rPr>
          <w:rFonts w:ascii="Garamond" w:hAnsi="Garamond"/>
          <w:color w:val="000000" w:themeColor="text1"/>
          <w:lang w:val="en-GB"/>
        </w:rPr>
        <w:t xml:space="preserve"> </w:t>
      </w:r>
      <w:r w:rsidR="00B208C9" w:rsidRPr="00966D98">
        <w:rPr>
          <w:rFonts w:ascii="Garamond" w:hAnsi="Garamond"/>
          <w:color w:val="000000" w:themeColor="text1"/>
          <w:lang w:val="en-GB"/>
        </w:rPr>
        <w:t>T</w:t>
      </w:r>
      <w:r w:rsidRPr="00966D98">
        <w:rPr>
          <w:rFonts w:ascii="Garamond" w:hAnsi="Garamond"/>
          <w:color w:val="000000" w:themeColor="text1"/>
          <w:lang w:val="en-GB"/>
        </w:rPr>
        <w:t xml:space="preserve">hey contain socialised tendencies and outlooks that shape behaviour and thinking. Actors embody the cognitive structures arising from objective conditions, such as evaluation or funding mechanisms, and in turn, the habitus structures perceptions and mentalities as those actors come to internalise the objective constraints of their environment. That is, </w:t>
      </w:r>
      <w:r w:rsidRPr="00966D98">
        <w:rPr>
          <w:rFonts w:ascii="Garamond" w:hAnsi="Garamond"/>
          <w:bCs/>
          <w:color w:val="000000" w:themeColor="text1"/>
          <w:lang w:val="en-GB"/>
        </w:rPr>
        <w:t>fields shape research cultures, which in turn shape the knowledge that is produced</w:t>
      </w:r>
      <w:r w:rsidRPr="00966D98">
        <w:rPr>
          <w:rFonts w:ascii="Garamond" w:hAnsi="Garamond"/>
          <w:color w:val="000000" w:themeColor="text1"/>
          <w:lang w:val="en-GB"/>
        </w:rPr>
        <w:t>. Thus, the logic of impact becomes reproduced in the minds of individual actors, and in their actions.</w:t>
      </w:r>
      <w:r w:rsidRPr="00966D98">
        <w:rPr>
          <w:rFonts w:ascii="Garamond" w:eastAsia="Garamond" w:hAnsi="Garamond" w:cs="Garamond"/>
          <w:color w:val="000000" w:themeColor="text1"/>
          <w:lang w:val="en-GB"/>
        </w:rPr>
        <w:t xml:space="preserve"> </w:t>
      </w:r>
      <w:r w:rsidRPr="00966D98">
        <w:rPr>
          <w:rFonts w:ascii="Garamond" w:hAnsi="Garamond"/>
          <w:lang w:val="en-GB"/>
        </w:rPr>
        <w:t xml:space="preserve">In this context, policymakers have been eager to use evaluation practices to encourage certain activities. </w:t>
      </w:r>
      <w:r w:rsidR="00FF2C25" w:rsidRPr="00966D98">
        <w:rPr>
          <w:rFonts w:ascii="Garamond" w:hAnsi="Garamond"/>
          <w:lang w:val="en-GB"/>
        </w:rPr>
        <w:t>However,</w:t>
      </w:r>
      <w:r w:rsidR="00393F3F" w:rsidRPr="00966D98">
        <w:rPr>
          <w:rFonts w:ascii="Garamond" w:hAnsi="Garamond"/>
          <w:lang w:val="en-GB"/>
        </w:rPr>
        <w:t xml:space="preserve"> </w:t>
      </w:r>
      <w:r w:rsidR="00FF2C25" w:rsidRPr="00966D98">
        <w:rPr>
          <w:rFonts w:ascii="Garamond" w:hAnsi="Garamond"/>
          <w:lang w:val="en-GB"/>
        </w:rPr>
        <w:t xml:space="preserve">this type of </w:t>
      </w:r>
      <w:r w:rsidR="00393F3F" w:rsidRPr="00966D98">
        <w:rPr>
          <w:rFonts w:ascii="Garamond" w:hAnsi="Garamond"/>
          <w:lang w:val="en-GB"/>
        </w:rPr>
        <w:t xml:space="preserve">steering can </w:t>
      </w:r>
      <w:r w:rsidR="001F139F" w:rsidRPr="00966D98">
        <w:rPr>
          <w:rFonts w:ascii="Garamond" w:hAnsi="Garamond"/>
          <w:lang w:val="en-GB"/>
        </w:rPr>
        <w:t>have unintended effects</w:t>
      </w:r>
      <w:r w:rsidR="00393F3F" w:rsidRPr="00966D98">
        <w:rPr>
          <w:rFonts w:ascii="Garamond" w:hAnsi="Garamond"/>
          <w:lang w:val="en-GB"/>
        </w:rPr>
        <w:t xml:space="preserve"> on scientific behaviours that may not themselves be desirable in terms of the overall academic knowledge creation. </w:t>
      </w:r>
      <w:r w:rsidR="000504CC" w:rsidRPr="00966D98">
        <w:rPr>
          <w:rFonts w:ascii="Garamond" w:hAnsi="Garamond"/>
          <w:color w:val="000000" w:themeColor="text1"/>
          <w:lang w:val="en-GB"/>
        </w:rPr>
        <w:t xml:space="preserve">Investigations of the </w:t>
      </w:r>
      <w:r w:rsidR="00206BB1" w:rsidRPr="00966D98">
        <w:rPr>
          <w:rFonts w:ascii="Garamond" w:hAnsi="Garamond"/>
          <w:color w:val="000000" w:themeColor="text1"/>
          <w:lang w:val="en-GB"/>
        </w:rPr>
        <w:t>influence</w:t>
      </w:r>
      <w:r w:rsidR="000504CC" w:rsidRPr="00966D98">
        <w:rPr>
          <w:rFonts w:ascii="Garamond" w:hAnsi="Garamond"/>
          <w:color w:val="000000" w:themeColor="text1"/>
          <w:lang w:val="en-GB"/>
        </w:rPr>
        <w:t xml:space="preserve"> of poli</w:t>
      </w:r>
      <w:r w:rsidR="009319DB" w:rsidRPr="00966D98">
        <w:rPr>
          <w:rFonts w:ascii="Garamond" w:hAnsi="Garamond"/>
          <w:color w:val="000000" w:themeColor="text1"/>
          <w:lang w:val="en-GB"/>
        </w:rPr>
        <w:t>cy</w:t>
      </w:r>
      <w:r w:rsidR="000504CC" w:rsidRPr="00966D98">
        <w:rPr>
          <w:rFonts w:ascii="Garamond" w:hAnsi="Garamond"/>
          <w:color w:val="000000" w:themeColor="text1"/>
          <w:lang w:val="en-GB"/>
        </w:rPr>
        <w:t xml:space="preserve"> interventions on knowledge production has shown that researchers adapt their behaviour in response to managerial governance strategies and research evaluation systems (</w:t>
      </w:r>
      <w:proofErr w:type="spellStart"/>
      <w:r w:rsidR="000504CC" w:rsidRPr="00966D98">
        <w:rPr>
          <w:rFonts w:ascii="Garamond" w:hAnsi="Garamond"/>
          <w:color w:val="000000" w:themeColor="text1"/>
          <w:lang w:val="en-GB"/>
        </w:rPr>
        <w:t>Gläser</w:t>
      </w:r>
      <w:proofErr w:type="spellEnd"/>
      <w:r w:rsidR="00645FD1" w:rsidRPr="00966D98">
        <w:rPr>
          <w:rFonts w:ascii="Garamond" w:hAnsi="Garamond"/>
          <w:color w:val="000000" w:themeColor="text1"/>
          <w:lang w:val="en-GB"/>
        </w:rPr>
        <w:t xml:space="preserve"> &amp; </w:t>
      </w:r>
      <w:proofErr w:type="spellStart"/>
      <w:r w:rsidR="00645FD1" w:rsidRPr="00966D98">
        <w:rPr>
          <w:rFonts w:ascii="Garamond" w:hAnsi="Garamond"/>
          <w:color w:val="000000" w:themeColor="text1"/>
          <w:lang w:val="en-GB"/>
        </w:rPr>
        <w:t>Laudel</w:t>
      </w:r>
      <w:proofErr w:type="spellEnd"/>
      <w:r w:rsidR="00645FD1" w:rsidRPr="00966D98">
        <w:rPr>
          <w:rFonts w:ascii="Garamond" w:hAnsi="Garamond"/>
          <w:color w:val="000000" w:themeColor="text1"/>
          <w:lang w:val="en-GB"/>
        </w:rPr>
        <w:t>,</w:t>
      </w:r>
      <w:r w:rsidR="000504CC" w:rsidRPr="00966D98">
        <w:rPr>
          <w:rFonts w:ascii="Garamond" w:hAnsi="Garamond"/>
          <w:color w:val="000000" w:themeColor="text1"/>
          <w:lang w:val="en-GB"/>
        </w:rPr>
        <w:t xml:space="preserve"> 2007). Thus, the configuration of research evaluation systems (e.g. frequency, effect on funding allocation) and the relevant contextual influences (e.g. </w:t>
      </w:r>
      <w:r w:rsidR="00357960" w:rsidRPr="00966D98">
        <w:rPr>
          <w:rFonts w:ascii="Garamond" w:hAnsi="Garamond"/>
          <w:color w:val="000000" w:themeColor="text1"/>
          <w:lang w:val="en-GB"/>
        </w:rPr>
        <w:t>diversity</w:t>
      </w:r>
      <w:r w:rsidR="000504CC" w:rsidRPr="00966D98">
        <w:rPr>
          <w:rFonts w:ascii="Garamond" w:hAnsi="Garamond"/>
          <w:color w:val="000000" w:themeColor="text1"/>
          <w:lang w:val="en-GB"/>
        </w:rPr>
        <w:t xml:space="preserve"> of funders, </w:t>
      </w:r>
      <w:r w:rsidR="00357960" w:rsidRPr="00966D98">
        <w:rPr>
          <w:rFonts w:ascii="Garamond" w:hAnsi="Garamond"/>
          <w:color w:val="000000" w:themeColor="text1"/>
          <w:lang w:val="en-GB"/>
        </w:rPr>
        <w:t>extent</w:t>
      </w:r>
      <w:r w:rsidR="000504CC" w:rsidRPr="00966D98">
        <w:rPr>
          <w:rFonts w:ascii="Garamond" w:hAnsi="Garamond"/>
          <w:color w:val="000000" w:themeColor="text1"/>
          <w:lang w:val="en-GB"/>
        </w:rPr>
        <w:t xml:space="preserve"> of organisational autonomy) can lead to various effects, such as </w:t>
      </w:r>
      <w:r w:rsidR="0033524E" w:rsidRPr="00966D98">
        <w:rPr>
          <w:rFonts w:ascii="Garamond" w:hAnsi="Garamond"/>
          <w:color w:val="000000" w:themeColor="text1"/>
          <w:lang w:val="en-GB"/>
        </w:rPr>
        <w:t xml:space="preserve">shifts in </w:t>
      </w:r>
      <w:r w:rsidR="000504CC" w:rsidRPr="00966D98">
        <w:rPr>
          <w:rFonts w:ascii="Garamond" w:hAnsi="Garamond"/>
          <w:color w:val="000000" w:themeColor="text1"/>
          <w:lang w:val="en-GB"/>
        </w:rPr>
        <w:t xml:space="preserve">organisational </w:t>
      </w:r>
      <w:r w:rsidR="003A7BA4" w:rsidRPr="00966D98">
        <w:rPr>
          <w:rFonts w:ascii="Garamond" w:hAnsi="Garamond"/>
          <w:color w:val="000000" w:themeColor="text1"/>
          <w:lang w:val="en-GB"/>
        </w:rPr>
        <w:t xml:space="preserve">and field </w:t>
      </w:r>
      <w:r w:rsidR="000504CC" w:rsidRPr="00966D98">
        <w:rPr>
          <w:rFonts w:ascii="Garamond" w:hAnsi="Garamond"/>
          <w:color w:val="000000" w:themeColor="text1"/>
          <w:lang w:val="en-GB"/>
        </w:rPr>
        <w:t>classification</w:t>
      </w:r>
      <w:r w:rsidR="00444B90" w:rsidRPr="00966D98">
        <w:rPr>
          <w:rFonts w:ascii="Garamond" w:hAnsi="Garamond"/>
          <w:color w:val="000000" w:themeColor="text1"/>
          <w:lang w:val="en-GB"/>
        </w:rPr>
        <w:t>s</w:t>
      </w:r>
      <w:r w:rsidR="000504CC" w:rsidRPr="00966D98">
        <w:rPr>
          <w:rFonts w:ascii="Garamond" w:hAnsi="Garamond"/>
          <w:color w:val="000000" w:themeColor="text1"/>
          <w:lang w:val="en-GB"/>
        </w:rPr>
        <w:t xml:space="preserve">, contests for reputation or intellectual vibrancy and diversity (Whitley, 2007). </w:t>
      </w:r>
    </w:p>
    <w:p w14:paraId="40A707AF" w14:textId="00F680B6" w:rsidR="00B208C9" w:rsidRPr="00966D98" w:rsidRDefault="00393F3F" w:rsidP="00422B7D">
      <w:pPr>
        <w:pStyle w:val="Body"/>
        <w:spacing w:before="120" w:after="120" w:line="360" w:lineRule="auto"/>
        <w:ind w:firstLine="284"/>
        <w:jc w:val="both"/>
        <w:outlineLvl w:val="0"/>
        <w:rPr>
          <w:rFonts w:ascii="Garamond" w:hAnsi="Garamond"/>
          <w:lang w:val="en-GB"/>
        </w:rPr>
      </w:pPr>
      <w:r w:rsidRPr="00966D98">
        <w:rPr>
          <w:rFonts w:ascii="Garamond" w:hAnsi="Garamond"/>
          <w:lang w:val="en-GB"/>
        </w:rPr>
        <w:t xml:space="preserve">Moreover, </w:t>
      </w:r>
      <w:r w:rsidR="002D6E12" w:rsidRPr="00966D98">
        <w:rPr>
          <w:rFonts w:ascii="Garamond" w:hAnsi="Garamond"/>
          <w:lang w:val="en-GB"/>
        </w:rPr>
        <w:t>in the case of research impact, there is a</w:t>
      </w:r>
      <w:r w:rsidRPr="00966D98">
        <w:rPr>
          <w:rFonts w:ascii="Garamond" w:hAnsi="Garamond"/>
          <w:lang w:val="en-GB"/>
        </w:rPr>
        <w:t xml:space="preserve"> double loop effect, </w:t>
      </w:r>
      <w:r w:rsidR="00072EE7" w:rsidRPr="00966D98">
        <w:rPr>
          <w:rFonts w:ascii="Garamond" w:hAnsi="Garamond"/>
          <w:lang w:val="en-GB"/>
        </w:rPr>
        <w:t>whereby</w:t>
      </w:r>
      <w:r w:rsidRPr="00966D98">
        <w:rPr>
          <w:rFonts w:ascii="Garamond" w:hAnsi="Garamond"/>
          <w:lang w:val="en-GB"/>
        </w:rPr>
        <w:t xml:space="preserve"> scientific researchers</w:t>
      </w:r>
      <w:r w:rsidR="00072EE7" w:rsidRPr="00966D98">
        <w:rPr>
          <w:rFonts w:ascii="Garamond" w:hAnsi="Garamond"/>
          <w:lang w:val="en-GB"/>
        </w:rPr>
        <w:t xml:space="preserve"> can accrue</w:t>
      </w:r>
      <w:r w:rsidRPr="00966D98">
        <w:rPr>
          <w:rFonts w:ascii="Garamond" w:hAnsi="Garamond"/>
          <w:lang w:val="en-GB"/>
        </w:rPr>
        <w:t xml:space="preserve"> capital </w:t>
      </w:r>
      <w:r w:rsidR="00FF2C25" w:rsidRPr="00966D98">
        <w:rPr>
          <w:rFonts w:ascii="Garamond" w:hAnsi="Garamond"/>
          <w:lang w:val="en-GB"/>
        </w:rPr>
        <w:t>in</w:t>
      </w:r>
      <w:r w:rsidRPr="00966D98">
        <w:rPr>
          <w:rFonts w:ascii="Garamond" w:hAnsi="Garamond"/>
          <w:lang w:val="en-GB"/>
        </w:rPr>
        <w:t xml:space="preserve"> non-scientific domains, </w:t>
      </w:r>
      <w:r w:rsidR="00FF2C25" w:rsidRPr="00966D98">
        <w:rPr>
          <w:rFonts w:ascii="Garamond" w:hAnsi="Garamond"/>
          <w:lang w:val="en-GB"/>
        </w:rPr>
        <w:t xml:space="preserve">which can be translated into more powerful or prestigious opportunities or positions, and, in turn, strengthen capital in the academic field. </w:t>
      </w:r>
      <w:r w:rsidR="00D614C9" w:rsidRPr="00966D98">
        <w:rPr>
          <w:rFonts w:ascii="Garamond" w:hAnsi="Garamond"/>
          <w:lang w:val="en-GB"/>
        </w:rPr>
        <w:t>For example, if a researcher attracts a lot of media attention</w:t>
      </w:r>
      <w:r w:rsidR="000C66FA" w:rsidRPr="00966D98">
        <w:rPr>
          <w:rFonts w:ascii="Garamond" w:hAnsi="Garamond"/>
          <w:lang w:val="en-GB"/>
        </w:rPr>
        <w:t xml:space="preserve">, they may then parlay this into </w:t>
      </w:r>
      <w:r w:rsidR="00701BFE" w:rsidRPr="00966D98">
        <w:rPr>
          <w:rFonts w:ascii="Garamond" w:hAnsi="Garamond"/>
          <w:lang w:val="en-GB"/>
        </w:rPr>
        <w:t>grant</w:t>
      </w:r>
      <w:r w:rsidR="000C66FA" w:rsidRPr="00966D98">
        <w:rPr>
          <w:rFonts w:ascii="Garamond" w:hAnsi="Garamond"/>
          <w:lang w:val="en-GB"/>
        </w:rPr>
        <w:t xml:space="preserve"> </w:t>
      </w:r>
      <w:r w:rsidR="00701BFE" w:rsidRPr="00966D98">
        <w:rPr>
          <w:rFonts w:ascii="Garamond" w:hAnsi="Garamond"/>
          <w:lang w:val="en-GB"/>
        </w:rPr>
        <w:t xml:space="preserve">success or a promotion in </w:t>
      </w:r>
      <w:r w:rsidR="000C66FA" w:rsidRPr="00966D98">
        <w:rPr>
          <w:rFonts w:ascii="Garamond" w:hAnsi="Garamond"/>
          <w:lang w:val="en-GB"/>
        </w:rPr>
        <w:t xml:space="preserve">academia, through which they can more effectively set the terms of knowledge production. </w:t>
      </w:r>
      <w:r w:rsidR="00072EE7" w:rsidRPr="00966D98">
        <w:rPr>
          <w:rFonts w:ascii="Garamond" w:hAnsi="Garamond"/>
          <w:lang w:val="en-GB"/>
        </w:rPr>
        <w:t>As such, by affording</w:t>
      </w:r>
      <w:r w:rsidRPr="00966D98">
        <w:rPr>
          <w:rFonts w:ascii="Garamond" w:hAnsi="Garamond"/>
          <w:lang w:val="en-GB"/>
        </w:rPr>
        <w:t xml:space="preserve"> </w:t>
      </w:r>
      <w:r w:rsidR="00FF2C25" w:rsidRPr="00966D98">
        <w:rPr>
          <w:rFonts w:ascii="Garamond" w:hAnsi="Garamond"/>
          <w:lang w:val="en-GB"/>
        </w:rPr>
        <w:t>power around impact,</w:t>
      </w:r>
      <w:r w:rsidRPr="00966D98">
        <w:rPr>
          <w:rFonts w:ascii="Garamond" w:hAnsi="Garamond"/>
          <w:lang w:val="en-GB"/>
        </w:rPr>
        <w:t xml:space="preserve"> evaluation can affect the underlying scientific process</w:t>
      </w:r>
      <w:r w:rsidR="00072EE7" w:rsidRPr="00966D98">
        <w:rPr>
          <w:rFonts w:ascii="Garamond" w:hAnsi="Garamond"/>
          <w:lang w:val="en-GB"/>
        </w:rPr>
        <w:t xml:space="preserve"> (</w:t>
      </w:r>
      <w:r w:rsidRPr="00966D98">
        <w:rPr>
          <w:rFonts w:ascii="Garamond" w:hAnsi="Garamond"/>
          <w:lang w:val="en-GB"/>
        </w:rPr>
        <w:t>towards the kinds of activities more commonly undertaken by impactful academics).</w:t>
      </w:r>
      <w:r w:rsidR="001F139F" w:rsidRPr="00966D98">
        <w:rPr>
          <w:rFonts w:ascii="Garamond" w:hAnsi="Garamond"/>
          <w:lang w:val="en-GB"/>
        </w:rPr>
        <w:t xml:space="preserve"> </w:t>
      </w:r>
      <w:r w:rsidR="00F05F81" w:rsidRPr="00966D98">
        <w:rPr>
          <w:rFonts w:ascii="Garamond" w:hAnsi="Garamond"/>
          <w:color w:val="000000" w:themeColor="text1"/>
          <w:lang w:val="en-GB"/>
        </w:rPr>
        <w:t>I</w:t>
      </w:r>
      <w:r w:rsidR="000C2839" w:rsidRPr="00966D98">
        <w:rPr>
          <w:rFonts w:ascii="Garamond" w:hAnsi="Garamond"/>
          <w:color w:val="000000" w:themeColor="text1"/>
          <w:lang w:val="en-GB"/>
        </w:rPr>
        <w:t xml:space="preserve">nadvertent steering is </w:t>
      </w:r>
      <w:r w:rsidR="00F05F81" w:rsidRPr="00966D98">
        <w:rPr>
          <w:rFonts w:ascii="Garamond" w:hAnsi="Garamond"/>
          <w:color w:val="000000" w:themeColor="text1"/>
          <w:lang w:val="en-GB"/>
        </w:rPr>
        <w:t xml:space="preserve">therefore </w:t>
      </w:r>
      <w:r w:rsidR="000C2839" w:rsidRPr="00966D98">
        <w:rPr>
          <w:rFonts w:ascii="Garamond" w:hAnsi="Garamond"/>
          <w:color w:val="000000" w:themeColor="text1"/>
          <w:lang w:val="en-GB"/>
        </w:rPr>
        <w:t>not a trivial issue because the creation of capital in other domains can be leveraged in the academic field, which has an overall steering effect on the direction of science. In other words, those actors who are deemed to be appropriately impactful can then use that power to shape science. </w:t>
      </w:r>
    </w:p>
    <w:p w14:paraId="078173E3" w14:textId="0FEB94AA" w:rsidR="000C2839" w:rsidRPr="00966D98" w:rsidRDefault="00D96B61">
      <w:pPr>
        <w:pStyle w:val="Body"/>
        <w:spacing w:before="120" w:after="120"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lastRenderedPageBreak/>
        <w:t>The</w:t>
      </w:r>
      <w:r w:rsidR="000C2839" w:rsidRPr="00966D98">
        <w:rPr>
          <w:rFonts w:ascii="Garamond" w:hAnsi="Garamond"/>
          <w:color w:val="000000" w:themeColor="text1"/>
          <w:lang w:val="en-GB"/>
        </w:rPr>
        <w:t xml:space="preserve"> rhetoric of science policy bodies is often that impact must come after excellence</w:t>
      </w:r>
      <w:r w:rsidRPr="00966D98">
        <w:rPr>
          <w:rFonts w:ascii="Garamond" w:hAnsi="Garamond"/>
          <w:color w:val="000000" w:themeColor="text1"/>
          <w:lang w:val="en-GB"/>
        </w:rPr>
        <w:t xml:space="preserve">. However, </w:t>
      </w:r>
      <w:r w:rsidR="008518C9" w:rsidRPr="00966D98">
        <w:rPr>
          <w:rFonts w:ascii="Garamond" w:hAnsi="Garamond"/>
          <w:color w:val="000000" w:themeColor="text1"/>
          <w:lang w:val="en-GB"/>
        </w:rPr>
        <w:t xml:space="preserve">in effect, both the steering of research and the agency of researchers operates </w:t>
      </w:r>
      <w:r w:rsidR="000C2839" w:rsidRPr="00966D98">
        <w:rPr>
          <w:rFonts w:ascii="Garamond" w:hAnsi="Garamond"/>
          <w:color w:val="000000" w:themeColor="text1"/>
          <w:lang w:val="en-GB"/>
        </w:rPr>
        <w:t>before, during and after research, and impact comes into play at these this different stages. Accordingly, it is far more complex than this simplistic rhetoric suggests. This also has implications around the use of evaluation measures, as scientific steering power is allocated on the basis of fairly poor impact me</w:t>
      </w:r>
      <w:r w:rsidR="008518C9" w:rsidRPr="00966D98">
        <w:rPr>
          <w:rFonts w:ascii="Garamond" w:hAnsi="Garamond"/>
          <w:color w:val="000000" w:themeColor="text1"/>
          <w:lang w:val="en-GB"/>
        </w:rPr>
        <w:t>asures</w:t>
      </w:r>
      <w:r w:rsidR="000C2839" w:rsidRPr="00966D98">
        <w:rPr>
          <w:rFonts w:ascii="Garamond" w:hAnsi="Garamond"/>
          <w:color w:val="000000" w:themeColor="text1"/>
          <w:lang w:val="en-GB"/>
        </w:rPr>
        <w:t xml:space="preserve">, which reduces the ability of science policy bodies to shape science in </w:t>
      </w:r>
      <w:r w:rsidR="008518C9" w:rsidRPr="00966D98">
        <w:rPr>
          <w:rFonts w:ascii="Garamond" w:hAnsi="Garamond"/>
          <w:color w:val="000000" w:themeColor="text1"/>
          <w:lang w:val="en-GB"/>
        </w:rPr>
        <w:t>beneficial ways</w:t>
      </w:r>
      <w:r w:rsidR="000C2839" w:rsidRPr="00966D98">
        <w:rPr>
          <w:rFonts w:ascii="Garamond" w:hAnsi="Garamond"/>
          <w:color w:val="000000" w:themeColor="text1"/>
          <w:lang w:val="en-GB"/>
        </w:rPr>
        <w:t xml:space="preserve">. It is therefore not just the evaluation that is lost to private interests, but the allocation of scientific power and </w:t>
      </w:r>
      <w:r w:rsidR="006216E5" w:rsidRPr="00966D98">
        <w:rPr>
          <w:rFonts w:ascii="Garamond" w:hAnsi="Garamond"/>
          <w:color w:val="000000" w:themeColor="text1"/>
          <w:lang w:val="en-GB"/>
        </w:rPr>
        <w:t>thus</w:t>
      </w:r>
      <w:r w:rsidR="000C2839" w:rsidRPr="00966D98">
        <w:rPr>
          <w:rFonts w:ascii="Garamond" w:hAnsi="Garamond"/>
          <w:color w:val="000000" w:themeColor="text1"/>
          <w:lang w:val="en-GB"/>
        </w:rPr>
        <w:t xml:space="preserve"> steering power. </w:t>
      </w:r>
      <w:r w:rsidR="000C2839" w:rsidRPr="00966D98">
        <w:rPr>
          <w:rFonts w:ascii="Garamond" w:hAnsi="Garamond"/>
          <w:lang w:val="en-GB"/>
        </w:rPr>
        <w:t xml:space="preserve">Thus, </w:t>
      </w:r>
      <w:r w:rsidR="000C2839" w:rsidRPr="00966D98">
        <w:rPr>
          <w:rFonts w:ascii="Garamond" w:hAnsi="Garamond"/>
          <w:color w:val="000000" w:themeColor="text1"/>
          <w:lang w:val="en-GB"/>
        </w:rPr>
        <w:t xml:space="preserve">care needs to be taken to ensure that new evaluation practices do not lead to steering effects that reshape knowledge production in undesirable or unintended ways. </w:t>
      </w:r>
      <w:r w:rsidR="000C2839" w:rsidRPr="00966D98">
        <w:rPr>
          <w:rFonts w:ascii="Garamond" w:hAnsi="Garamond"/>
          <w:lang w:val="en-GB"/>
        </w:rPr>
        <w:t xml:space="preserve">Attention to intended and unintended effects can potentially guide the development of measures of research impact that are underpinned by specific societal goals or values. This can ensure that proposed measures contribute to stimulating desirable impacts and research processes. </w:t>
      </w:r>
      <w:r w:rsidR="000C2839" w:rsidRPr="00966D98">
        <w:rPr>
          <w:rFonts w:ascii="Garamond" w:hAnsi="Garamond"/>
          <w:color w:val="000000" w:themeColor="text1"/>
          <w:lang w:val="en-GB"/>
        </w:rPr>
        <w:t xml:space="preserve">By considering the underlying meaning of impact assessment measures, this article offers an alternative perspective to the primary focus simply on the utility of these measures. Accordingly, it suggests that evaluators must understand the relevant fields, and the types of capital they make available, to determine the worth of the research to different groups. </w:t>
      </w:r>
    </w:p>
    <w:p w14:paraId="5D2139FD" w14:textId="348BBA58" w:rsidR="006E776C" w:rsidRPr="00966D98" w:rsidRDefault="006E776C" w:rsidP="006E776C">
      <w:pPr>
        <w:spacing w:before="120" w:after="120" w:line="360" w:lineRule="auto"/>
        <w:jc w:val="both"/>
        <w:rPr>
          <w:rFonts w:ascii="Garamond" w:hAnsi="Garamond"/>
          <w:b/>
        </w:rPr>
      </w:pPr>
      <w:r w:rsidRPr="00966D98">
        <w:rPr>
          <w:rFonts w:ascii="Garamond" w:hAnsi="Garamond"/>
          <w:b/>
        </w:rPr>
        <w:t>The characteristics of legitimacy and power in different fields</w:t>
      </w:r>
    </w:p>
    <w:p w14:paraId="57564BAC" w14:textId="3E8F7D9C" w:rsidR="00C11576" w:rsidRPr="00966D98" w:rsidRDefault="006E776C" w:rsidP="00FA7464">
      <w:pPr>
        <w:pStyle w:val="Body"/>
        <w:spacing w:line="360" w:lineRule="auto"/>
        <w:ind w:firstLine="284"/>
        <w:jc w:val="both"/>
        <w:outlineLvl w:val="0"/>
        <w:rPr>
          <w:rFonts w:ascii="Garamond" w:hAnsi="Garamond"/>
          <w:color w:val="000000" w:themeColor="text1"/>
          <w:lang w:val="en-GB"/>
        </w:rPr>
      </w:pPr>
      <w:r w:rsidRPr="00966D98">
        <w:rPr>
          <w:rFonts w:ascii="Garamond" w:hAnsi="Garamond"/>
          <w:color w:val="000000" w:themeColor="text1"/>
          <w:lang w:val="en-GB"/>
        </w:rPr>
        <w:t xml:space="preserve">Research actors are thus able to accrue </w:t>
      </w:r>
      <w:r w:rsidR="00940513" w:rsidRPr="00966D98">
        <w:rPr>
          <w:rFonts w:ascii="Garamond" w:hAnsi="Garamond"/>
          <w:color w:val="000000" w:themeColor="text1"/>
          <w:lang w:val="en-GB"/>
        </w:rPr>
        <w:t>legitimacy</w:t>
      </w:r>
      <w:r w:rsidR="009F173C" w:rsidRPr="00966D98">
        <w:rPr>
          <w:rFonts w:ascii="Garamond" w:hAnsi="Garamond"/>
          <w:color w:val="000000" w:themeColor="text1"/>
          <w:lang w:val="en-GB"/>
        </w:rPr>
        <w:t xml:space="preserve"> </w:t>
      </w:r>
      <w:r w:rsidRPr="00966D98">
        <w:rPr>
          <w:rFonts w:ascii="Garamond" w:hAnsi="Garamond"/>
          <w:color w:val="000000" w:themeColor="text1"/>
          <w:lang w:val="en-GB"/>
        </w:rPr>
        <w:t>by drawing on the symbolic resources of diverse fields for different purposes. Table 3</w:t>
      </w:r>
      <w:r w:rsidR="00C11576" w:rsidRPr="00966D98">
        <w:rPr>
          <w:rFonts w:ascii="Garamond" w:hAnsi="Garamond"/>
          <w:color w:val="000000" w:themeColor="text1"/>
          <w:lang w:val="en-GB"/>
        </w:rPr>
        <w:t xml:space="preserve"> sets out</w:t>
      </w:r>
      <w:r w:rsidRPr="00966D98">
        <w:rPr>
          <w:rFonts w:ascii="Garamond" w:hAnsi="Garamond"/>
          <w:color w:val="000000" w:themeColor="text1"/>
          <w:lang w:val="en-GB"/>
        </w:rPr>
        <w:t xml:space="preserve"> the framework developed in this article</w:t>
      </w:r>
      <w:r w:rsidR="00C11576" w:rsidRPr="00966D98">
        <w:rPr>
          <w:rFonts w:ascii="Garamond" w:hAnsi="Garamond"/>
          <w:color w:val="000000" w:themeColor="text1"/>
          <w:lang w:val="en-GB"/>
        </w:rPr>
        <w:t xml:space="preserve"> by</w:t>
      </w:r>
      <w:r w:rsidRPr="00966D98">
        <w:rPr>
          <w:rFonts w:ascii="Garamond" w:hAnsi="Garamond"/>
          <w:color w:val="000000" w:themeColor="text1"/>
          <w:lang w:val="en-GB"/>
        </w:rPr>
        <w:t xml:space="preserve"> lin</w:t>
      </w:r>
      <w:r w:rsidR="00C11576" w:rsidRPr="00966D98">
        <w:rPr>
          <w:rFonts w:ascii="Garamond" w:hAnsi="Garamond"/>
          <w:color w:val="000000" w:themeColor="text1"/>
          <w:lang w:val="en-GB"/>
        </w:rPr>
        <w:t>king</w:t>
      </w:r>
      <w:r w:rsidRPr="00966D98">
        <w:rPr>
          <w:rFonts w:ascii="Garamond" w:hAnsi="Garamond"/>
          <w:color w:val="000000" w:themeColor="text1"/>
          <w:lang w:val="en-GB"/>
        </w:rPr>
        <w:t xml:space="preserve"> </w:t>
      </w:r>
      <w:r w:rsidR="00AC53BD" w:rsidRPr="00966D98">
        <w:rPr>
          <w:rFonts w:ascii="Garamond" w:hAnsi="Garamond"/>
          <w:color w:val="000000" w:themeColor="text1"/>
          <w:lang w:val="en-GB"/>
        </w:rPr>
        <w:t>field</w:t>
      </w:r>
      <w:r w:rsidR="00981EE9" w:rsidRPr="00966D98">
        <w:rPr>
          <w:rFonts w:ascii="Garamond" w:hAnsi="Garamond"/>
          <w:color w:val="000000" w:themeColor="text1"/>
          <w:lang w:val="en-GB"/>
        </w:rPr>
        <w:t>s</w:t>
      </w:r>
      <w:r w:rsidR="00AC53BD" w:rsidRPr="00966D98">
        <w:rPr>
          <w:rFonts w:ascii="Garamond" w:hAnsi="Garamond"/>
          <w:color w:val="000000" w:themeColor="text1"/>
          <w:lang w:val="en-GB"/>
        </w:rPr>
        <w:t xml:space="preserve"> to specific </w:t>
      </w:r>
      <w:r w:rsidR="00C11576" w:rsidRPr="00966D98">
        <w:rPr>
          <w:rFonts w:ascii="Garamond" w:hAnsi="Garamond"/>
          <w:color w:val="000000" w:themeColor="text1"/>
          <w:lang w:val="en-GB"/>
        </w:rPr>
        <w:t xml:space="preserve">research practices. </w:t>
      </w:r>
      <w:r w:rsidR="00FC1A00">
        <w:rPr>
          <w:rFonts w:ascii="Garamond" w:hAnsi="Garamond"/>
        </w:rPr>
        <w:t xml:space="preserve">Penfield et al (2014) </w:t>
      </w:r>
      <w:r w:rsidR="002757A4">
        <w:rPr>
          <w:rFonts w:ascii="Garamond" w:hAnsi="Garamond"/>
        </w:rPr>
        <w:t xml:space="preserve">set out some key elements of the </w:t>
      </w:r>
      <w:r w:rsidR="00EC5269">
        <w:rPr>
          <w:rFonts w:ascii="Garamond" w:hAnsi="Garamond"/>
        </w:rPr>
        <w:t xml:space="preserve">research </w:t>
      </w:r>
      <w:r w:rsidR="002757A4">
        <w:rPr>
          <w:rFonts w:ascii="Garamond" w:hAnsi="Garamond"/>
        </w:rPr>
        <w:t>process</w:t>
      </w:r>
      <w:r w:rsidR="00FC1A00">
        <w:rPr>
          <w:rFonts w:ascii="Garamond" w:hAnsi="Garamond"/>
        </w:rPr>
        <w:t>:</w:t>
      </w:r>
      <w:r w:rsidR="00FC1A00" w:rsidRPr="00B52514">
        <w:rPr>
          <w:rFonts w:ascii="Garamond" w:hAnsi="Garamond"/>
        </w:rPr>
        <w:t xml:space="preserve"> research outputs; communications and interactions with stakeholders and the wider public; research developments based on stakeholder feedback; outcomes; and impacts</w:t>
      </w:r>
      <w:r w:rsidR="00FC1A00">
        <w:rPr>
          <w:rFonts w:ascii="Garamond" w:hAnsi="Garamond"/>
        </w:rPr>
        <w:t xml:space="preserve">. </w:t>
      </w:r>
      <w:r w:rsidR="00C11576" w:rsidRPr="00966D98">
        <w:rPr>
          <w:rFonts w:ascii="Garamond" w:hAnsi="Garamond"/>
          <w:color w:val="000000" w:themeColor="text1"/>
          <w:lang w:val="en-GB"/>
        </w:rPr>
        <w:t>By highlighting how impact works as a set of practices at the design, production and evaluation stages</w:t>
      </w:r>
      <w:r w:rsidR="00B43D7B">
        <w:rPr>
          <w:rFonts w:ascii="Garamond" w:hAnsi="Garamond"/>
          <w:color w:val="000000" w:themeColor="text1"/>
          <w:lang w:val="en-GB"/>
        </w:rPr>
        <w:t xml:space="preserve">, </w:t>
      </w:r>
      <w:r w:rsidR="00C11576" w:rsidRPr="00966D98">
        <w:rPr>
          <w:rFonts w:ascii="Garamond" w:hAnsi="Garamond"/>
          <w:color w:val="000000" w:themeColor="text1"/>
          <w:lang w:val="en-GB"/>
        </w:rPr>
        <w:t xml:space="preserve">it is possible to identify potential steering effects. </w:t>
      </w:r>
      <w:r w:rsidR="001451A6" w:rsidRPr="00966D98">
        <w:rPr>
          <w:rFonts w:ascii="Garamond" w:hAnsi="Garamond"/>
          <w:color w:val="000000" w:themeColor="text1"/>
          <w:lang w:val="en-GB"/>
        </w:rPr>
        <w:t>At t</w:t>
      </w:r>
      <w:r w:rsidR="00402285" w:rsidRPr="00966D98">
        <w:rPr>
          <w:rFonts w:ascii="Garamond" w:hAnsi="Garamond"/>
          <w:color w:val="000000" w:themeColor="text1"/>
          <w:lang w:val="en-GB"/>
        </w:rPr>
        <w:t>he research design stage</w:t>
      </w:r>
      <w:r w:rsidR="00FA7464" w:rsidRPr="00966D98">
        <w:rPr>
          <w:rFonts w:ascii="Garamond" w:hAnsi="Garamond"/>
          <w:color w:val="000000" w:themeColor="text1"/>
          <w:lang w:val="en-GB"/>
        </w:rPr>
        <w:t xml:space="preserve">, which involves the </w:t>
      </w:r>
      <w:r w:rsidR="001451A6" w:rsidRPr="00966D98">
        <w:rPr>
          <w:rFonts w:ascii="Garamond" w:hAnsi="Garamond"/>
          <w:color w:val="000000" w:themeColor="text1"/>
          <w:lang w:val="en-GB"/>
        </w:rPr>
        <w:t>intended</w:t>
      </w:r>
      <w:r w:rsidR="00FA7464" w:rsidRPr="00966D98">
        <w:rPr>
          <w:rFonts w:ascii="Garamond" w:hAnsi="Garamond"/>
          <w:color w:val="000000" w:themeColor="text1"/>
          <w:lang w:val="en-GB"/>
        </w:rPr>
        <w:t xml:space="preserve"> </w:t>
      </w:r>
      <w:r w:rsidR="00402285" w:rsidRPr="00966D98">
        <w:rPr>
          <w:rFonts w:ascii="Garamond" w:hAnsi="Garamond"/>
          <w:color w:val="000000" w:themeColor="text1"/>
          <w:lang w:val="en-GB"/>
        </w:rPr>
        <w:t>aim or value (i.e. desired impact)</w:t>
      </w:r>
      <w:r w:rsidR="00FA7464" w:rsidRPr="00966D98">
        <w:rPr>
          <w:rFonts w:ascii="Garamond" w:hAnsi="Garamond"/>
          <w:color w:val="000000" w:themeColor="text1"/>
          <w:lang w:val="en-GB"/>
        </w:rPr>
        <w:t xml:space="preserve">, </w:t>
      </w:r>
      <w:r w:rsidR="00D6547A" w:rsidRPr="00966D98">
        <w:rPr>
          <w:rFonts w:ascii="Garamond" w:hAnsi="Garamond"/>
          <w:color w:val="000000" w:themeColor="text1"/>
          <w:lang w:val="en-GB"/>
        </w:rPr>
        <w:t>the primary concern is around the research agenda</w:t>
      </w:r>
      <w:r w:rsidR="00C11576" w:rsidRPr="00966D98">
        <w:rPr>
          <w:rFonts w:ascii="Garamond" w:hAnsi="Garamond"/>
          <w:color w:val="000000" w:themeColor="text1"/>
          <w:lang w:val="en-GB"/>
        </w:rPr>
        <w:t xml:space="preserve">. </w:t>
      </w:r>
      <w:r w:rsidR="00FA7464" w:rsidRPr="00966D98">
        <w:rPr>
          <w:rFonts w:ascii="Garamond" w:hAnsi="Garamond"/>
          <w:color w:val="000000" w:themeColor="text1"/>
          <w:lang w:val="en-GB"/>
        </w:rPr>
        <w:t xml:space="preserve">Here, steering relates to </w:t>
      </w:r>
      <w:r w:rsidR="00C11576" w:rsidRPr="00966D98">
        <w:rPr>
          <w:rFonts w:ascii="Garamond" w:hAnsi="Garamond"/>
          <w:color w:val="000000" w:themeColor="text1"/>
          <w:lang w:val="en-GB"/>
        </w:rPr>
        <w:t xml:space="preserve">the intellectual concerns that shape the timeframe, complexity, value-proposition, and extent to which work is embedded in formal disciplines (Williams 2019). </w:t>
      </w:r>
      <w:r w:rsidR="001451A6" w:rsidRPr="00966D98">
        <w:rPr>
          <w:rFonts w:ascii="Garamond" w:hAnsi="Garamond"/>
          <w:color w:val="000000" w:themeColor="text1"/>
          <w:lang w:val="en-GB"/>
        </w:rPr>
        <w:t>At the</w:t>
      </w:r>
      <w:r w:rsidR="00402285" w:rsidRPr="00966D98">
        <w:rPr>
          <w:rFonts w:ascii="Garamond" w:hAnsi="Garamond"/>
          <w:color w:val="000000" w:themeColor="text1"/>
          <w:lang w:val="en-GB"/>
        </w:rPr>
        <w:t xml:space="preserve"> production</w:t>
      </w:r>
      <w:r w:rsidR="001451A6" w:rsidRPr="00966D98">
        <w:rPr>
          <w:rFonts w:ascii="Garamond" w:hAnsi="Garamond"/>
          <w:color w:val="000000" w:themeColor="text1"/>
          <w:lang w:val="en-GB"/>
        </w:rPr>
        <w:t xml:space="preserve"> stage</w:t>
      </w:r>
      <w:r w:rsidR="00402285" w:rsidRPr="00966D98">
        <w:rPr>
          <w:rFonts w:ascii="Garamond" w:hAnsi="Garamond"/>
          <w:color w:val="000000" w:themeColor="text1"/>
          <w:lang w:val="en-GB"/>
        </w:rPr>
        <w:t xml:space="preserve"> </w:t>
      </w:r>
      <w:r w:rsidR="00C11576" w:rsidRPr="00966D98">
        <w:rPr>
          <w:rFonts w:ascii="Garamond" w:hAnsi="Garamond"/>
          <w:color w:val="000000" w:themeColor="text1"/>
          <w:lang w:val="en-GB"/>
        </w:rPr>
        <w:t xml:space="preserve">(e.g. data collection, writing up, dissemination), </w:t>
      </w:r>
      <w:r w:rsidR="00FA7464" w:rsidRPr="00966D98">
        <w:rPr>
          <w:rFonts w:ascii="Garamond" w:hAnsi="Garamond"/>
          <w:color w:val="000000" w:themeColor="text1"/>
          <w:lang w:val="en-GB"/>
        </w:rPr>
        <w:t>which involves</w:t>
      </w:r>
      <w:r w:rsidR="00402285" w:rsidRPr="00966D98">
        <w:rPr>
          <w:rFonts w:ascii="Garamond" w:hAnsi="Garamond"/>
          <w:color w:val="000000" w:themeColor="text1"/>
          <w:lang w:val="en-GB"/>
        </w:rPr>
        <w:t xml:space="preserve"> type of outputs, form</w:t>
      </w:r>
      <w:r w:rsidR="00FA7464" w:rsidRPr="00966D98">
        <w:rPr>
          <w:rFonts w:ascii="Garamond" w:hAnsi="Garamond"/>
          <w:color w:val="000000" w:themeColor="text1"/>
          <w:lang w:val="en-GB"/>
        </w:rPr>
        <w:t>s</w:t>
      </w:r>
      <w:r w:rsidR="00402285" w:rsidRPr="00966D98">
        <w:rPr>
          <w:rFonts w:ascii="Garamond" w:hAnsi="Garamond"/>
          <w:color w:val="000000" w:themeColor="text1"/>
          <w:lang w:val="en-GB"/>
        </w:rPr>
        <w:t xml:space="preserve"> of communication</w:t>
      </w:r>
      <w:r w:rsidR="00FA7464" w:rsidRPr="00966D98">
        <w:rPr>
          <w:rFonts w:ascii="Garamond" w:hAnsi="Garamond"/>
          <w:color w:val="000000" w:themeColor="text1"/>
          <w:lang w:val="en-GB"/>
        </w:rPr>
        <w:t xml:space="preserve"> and mechanisms for </w:t>
      </w:r>
      <w:r w:rsidR="00402285" w:rsidRPr="00966D98">
        <w:rPr>
          <w:rFonts w:ascii="Garamond" w:hAnsi="Garamond"/>
          <w:color w:val="000000" w:themeColor="text1"/>
          <w:lang w:val="en-GB"/>
        </w:rPr>
        <w:t>feedback</w:t>
      </w:r>
      <w:r w:rsidR="00C11576" w:rsidRPr="00966D98">
        <w:rPr>
          <w:rFonts w:ascii="Garamond" w:hAnsi="Garamond"/>
          <w:color w:val="000000" w:themeColor="text1"/>
          <w:lang w:val="en-GB"/>
        </w:rPr>
        <w:t>,</w:t>
      </w:r>
      <w:r w:rsidR="00D6547A" w:rsidRPr="00966D98">
        <w:rPr>
          <w:rFonts w:ascii="Garamond" w:hAnsi="Garamond"/>
          <w:color w:val="000000" w:themeColor="text1"/>
          <w:lang w:val="en-GB"/>
        </w:rPr>
        <w:t xml:space="preserve"> the main concerns relate to investments </w:t>
      </w:r>
      <w:r w:rsidR="00FA7464" w:rsidRPr="00966D98">
        <w:rPr>
          <w:rFonts w:ascii="Garamond" w:hAnsi="Garamond"/>
          <w:color w:val="000000" w:themeColor="text1"/>
          <w:lang w:val="en-GB"/>
        </w:rPr>
        <w:t>in the</w:t>
      </w:r>
      <w:r w:rsidR="00D6547A" w:rsidRPr="00966D98">
        <w:rPr>
          <w:rFonts w:ascii="Garamond" w:hAnsi="Garamond"/>
          <w:color w:val="000000" w:themeColor="text1"/>
          <w:lang w:val="en-GB"/>
        </w:rPr>
        <w:t xml:space="preserve"> </w:t>
      </w:r>
      <w:r w:rsidR="00FA7464" w:rsidRPr="00966D98">
        <w:rPr>
          <w:rFonts w:ascii="Garamond" w:hAnsi="Garamond"/>
          <w:color w:val="000000" w:themeColor="text1"/>
          <w:lang w:val="en-GB"/>
        </w:rPr>
        <w:t xml:space="preserve">form of human and financial capital. At this stage, steering relates to allocations of </w:t>
      </w:r>
      <w:r w:rsidR="00D6547A" w:rsidRPr="00966D98">
        <w:rPr>
          <w:rFonts w:ascii="Garamond" w:hAnsi="Garamond"/>
          <w:color w:val="000000" w:themeColor="text1"/>
          <w:lang w:val="en-GB"/>
        </w:rPr>
        <w:t>time, energy and resources</w:t>
      </w:r>
      <w:r w:rsidR="00C11576" w:rsidRPr="00966D98">
        <w:rPr>
          <w:rFonts w:ascii="Garamond" w:hAnsi="Garamond"/>
          <w:color w:val="000000" w:themeColor="text1"/>
          <w:lang w:val="en-GB"/>
        </w:rPr>
        <w:t xml:space="preserve">. </w:t>
      </w:r>
      <w:r w:rsidR="00FA7464" w:rsidRPr="00966D98">
        <w:rPr>
          <w:rFonts w:ascii="Garamond" w:hAnsi="Garamond"/>
          <w:color w:val="000000" w:themeColor="text1"/>
          <w:lang w:val="en-GB"/>
        </w:rPr>
        <w:t xml:space="preserve">For example, this might involve developing online and offline networks with policymakers and relevant communities for fieldwork or knowledge exchange, and providing resources for conferences, policy briefs and workshops. </w:t>
      </w:r>
      <w:r w:rsidR="00C11576" w:rsidRPr="00966D98">
        <w:rPr>
          <w:rFonts w:ascii="Garamond" w:hAnsi="Garamond"/>
          <w:color w:val="000000" w:themeColor="text1"/>
          <w:lang w:val="en-GB"/>
        </w:rPr>
        <w:t xml:space="preserve">Finally, </w:t>
      </w:r>
      <w:r w:rsidR="001451A6" w:rsidRPr="00966D98">
        <w:rPr>
          <w:rFonts w:ascii="Garamond" w:hAnsi="Garamond"/>
          <w:color w:val="000000" w:themeColor="text1"/>
          <w:lang w:val="en-GB"/>
        </w:rPr>
        <w:t>at</w:t>
      </w:r>
      <w:r w:rsidR="00402285" w:rsidRPr="00966D98">
        <w:rPr>
          <w:rFonts w:ascii="Garamond" w:hAnsi="Garamond"/>
          <w:color w:val="000000" w:themeColor="text1"/>
          <w:lang w:val="en-GB"/>
        </w:rPr>
        <w:t xml:space="preserve"> the evaluation stage</w:t>
      </w:r>
      <w:r w:rsidR="00FA7464" w:rsidRPr="00966D98">
        <w:rPr>
          <w:rFonts w:ascii="Garamond" w:hAnsi="Garamond"/>
          <w:color w:val="000000" w:themeColor="text1"/>
          <w:lang w:val="en-GB"/>
        </w:rPr>
        <w:t>, which involves</w:t>
      </w:r>
      <w:r w:rsidR="00402285" w:rsidRPr="00966D98">
        <w:rPr>
          <w:rFonts w:ascii="Garamond" w:hAnsi="Garamond"/>
          <w:color w:val="000000" w:themeColor="text1"/>
          <w:lang w:val="en-GB"/>
        </w:rPr>
        <w:t xml:space="preserve"> </w:t>
      </w:r>
      <w:r w:rsidRPr="00966D98">
        <w:rPr>
          <w:rFonts w:ascii="Garamond" w:hAnsi="Garamond"/>
          <w:color w:val="000000" w:themeColor="text1"/>
          <w:lang w:val="en-GB"/>
        </w:rPr>
        <w:t>outcome measures</w:t>
      </w:r>
      <w:r w:rsidR="00402285" w:rsidRPr="00966D98">
        <w:rPr>
          <w:rFonts w:ascii="Garamond" w:hAnsi="Garamond"/>
          <w:color w:val="000000" w:themeColor="text1"/>
          <w:lang w:val="en-GB"/>
        </w:rPr>
        <w:t xml:space="preserve"> and impact assessments</w:t>
      </w:r>
      <w:r w:rsidR="00FA7464" w:rsidRPr="00966D98">
        <w:rPr>
          <w:rFonts w:ascii="Garamond" w:hAnsi="Garamond"/>
          <w:color w:val="000000" w:themeColor="text1"/>
          <w:lang w:val="en-GB"/>
        </w:rPr>
        <w:t xml:space="preserve">, </w:t>
      </w:r>
      <w:r w:rsidR="00D6547A" w:rsidRPr="00966D98">
        <w:rPr>
          <w:rFonts w:ascii="Garamond" w:hAnsi="Garamond"/>
          <w:color w:val="000000" w:themeColor="text1"/>
          <w:lang w:val="en-GB"/>
        </w:rPr>
        <w:t xml:space="preserve">the main concern is around the measures </w:t>
      </w:r>
      <w:r w:rsidR="00D6547A" w:rsidRPr="00966D98">
        <w:rPr>
          <w:rFonts w:ascii="Garamond" w:hAnsi="Garamond"/>
          <w:color w:val="000000" w:themeColor="text1"/>
          <w:lang w:val="en-GB"/>
        </w:rPr>
        <w:lastRenderedPageBreak/>
        <w:t>themselves</w:t>
      </w:r>
      <w:r w:rsidR="00402285" w:rsidRPr="00966D98">
        <w:rPr>
          <w:rFonts w:ascii="Garamond" w:hAnsi="Garamond"/>
          <w:color w:val="000000" w:themeColor="text1"/>
          <w:lang w:val="en-GB"/>
        </w:rPr>
        <w:t xml:space="preserve">. </w:t>
      </w:r>
      <w:r w:rsidR="00FA7464" w:rsidRPr="00966D98">
        <w:rPr>
          <w:rFonts w:ascii="Garamond" w:hAnsi="Garamond"/>
          <w:color w:val="000000" w:themeColor="text1"/>
          <w:lang w:val="en-GB"/>
        </w:rPr>
        <w:t>Here, steering relates t</w:t>
      </w:r>
      <w:r w:rsidR="001451A6" w:rsidRPr="00966D98">
        <w:rPr>
          <w:rFonts w:ascii="Garamond" w:hAnsi="Garamond"/>
          <w:color w:val="000000" w:themeColor="text1"/>
          <w:lang w:val="en-GB"/>
        </w:rPr>
        <w:t xml:space="preserve">o interpreting the </w:t>
      </w:r>
      <w:r w:rsidR="00FA7464" w:rsidRPr="00966D98">
        <w:rPr>
          <w:rFonts w:ascii="Garamond" w:hAnsi="Garamond"/>
          <w:color w:val="000000" w:themeColor="text1"/>
          <w:lang w:val="en-GB"/>
        </w:rPr>
        <w:t>value that is ascribed by evaluations. F</w:t>
      </w:r>
      <w:r w:rsidR="00C11576" w:rsidRPr="00966D98">
        <w:rPr>
          <w:rFonts w:ascii="Garamond" w:hAnsi="Garamond"/>
          <w:color w:val="000000" w:themeColor="text1"/>
          <w:lang w:val="en-GB"/>
        </w:rPr>
        <w:t xml:space="preserve">or example, </w:t>
      </w:r>
      <w:r w:rsidR="001451A6" w:rsidRPr="00966D98">
        <w:rPr>
          <w:rFonts w:ascii="Garamond" w:hAnsi="Garamond"/>
          <w:color w:val="000000" w:themeColor="text1"/>
          <w:lang w:val="en-GB"/>
        </w:rPr>
        <w:t xml:space="preserve">this might take </w:t>
      </w:r>
      <w:r w:rsidR="00C11576" w:rsidRPr="00966D98">
        <w:rPr>
          <w:rFonts w:ascii="Garamond" w:hAnsi="Garamond"/>
          <w:color w:val="000000" w:themeColor="text1"/>
          <w:lang w:val="en-GB"/>
        </w:rPr>
        <w:t xml:space="preserve">the form of monitoring or gaming of citation and alternative metrics. Each of these potential steering effects relate back to the capital and affordance provided by a particular field. For example, in demonstrating scholarly impact, a research actor might enact an academic research agenda (e.g. long term, rigorous, couched as inherently valuable and/or discipline-based), invest in publishing in peer-reviewed journals and academic conferences, and demonstrate a concern with citations and </w:t>
      </w:r>
      <w:proofErr w:type="gramStart"/>
      <w:r w:rsidR="00C11576" w:rsidRPr="00966D98">
        <w:rPr>
          <w:rFonts w:ascii="Garamond" w:hAnsi="Garamond"/>
          <w:color w:val="000000" w:themeColor="text1"/>
          <w:lang w:val="en-GB"/>
        </w:rPr>
        <w:t>other</w:t>
      </w:r>
      <w:proofErr w:type="gramEnd"/>
      <w:r w:rsidR="00C11576" w:rsidRPr="00966D98">
        <w:rPr>
          <w:rFonts w:ascii="Garamond" w:hAnsi="Garamond"/>
          <w:color w:val="000000" w:themeColor="text1"/>
          <w:lang w:val="en-GB"/>
        </w:rPr>
        <w:t xml:space="preserve"> scholarly metrics. Likewise, in demonstrating impact in the field of application, a research actor might enact a pragmatic research agenda (e.g. short term, more accessible, economically valuable, and less discipline-based), invest in producing policy briefs and end-user workshops, and demonstrate a concern with the uptake of ideas in grey-literature or positive feedback from practitioners. Importantly, it is typically no longer sufficient to focus on single type of knowledge production without engaging other fields of power; with the increase of the impact agenda, legitimacy is more and more gained through various combinations of these elements. </w:t>
      </w:r>
    </w:p>
    <w:p w14:paraId="6B4656A4" w14:textId="4D7726A7" w:rsidR="006E776C" w:rsidRPr="00966D98" w:rsidRDefault="006E776C" w:rsidP="00F50AC9">
      <w:pPr>
        <w:pStyle w:val="Body"/>
        <w:spacing w:line="360" w:lineRule="auto"/>
        <w:ind w:firstLine="284"/>
        <w:jc w:val="both"/>
        <w:outlineLvl w:val="0"/>
        <w:rPr>
          <w:rFonts w:ascii="Garamond" w:hAnsi="Garamond"/>
          <w:b/>
          <w:color w:val="000000" w:themeColor="text1"/>
          <w:lang w:val="en-GB"/>
        </w:rPr>
      </w:pPr>
      <w:r w:rsidRPr="00966D98">
        <w:rPr>
          <w:rFonts w:ascii="Garamond" w:hAnsi="Garamond"/>
          <w:color w:val="000000" w:themeColor="text1"/>
          <w:lang w:val="en-GB"/>
        </w:rPr>
        <w:t>This table thus shows methods of gaining legitimacy</w:t>
      </w:r>
      <w:r w:rsidR="00402285" w:rsidRPr="00966D98">
        <w:rPr>
          <w:rFonts w:ascii="Garamond" w:hAnsi="Garamond"/>
          <w:color w:val="000000" w:themeColor="text1"/>
          <w:lang w:val="en-GB"/>
        </w:rPr>
        <w:t xml:space="preserve"> and modes of steering</w:t>
      </w:r>
      <w:r w:rsidRPr="00966D98">
        <w:rPr>
          <w:rFonts w:ascii="Garamond" w:hAnsi="Garamond"/>
          <w:color w:val="000000" w:themeColor="text1"/>
          <w:lang w:val="en-GB"/>
        </w:rPr>
        <w:t xml:space="preserve">, according to each parent field. For example, </w:t>
      </w:r>
      <w:r w:rsidR="00764B54" w:rsidRPr="00966D98">
        <w:rPr>
          <w:rFonts w:ascii="Garamond" w:hAnsi="Garamond"/>
          <w:color w:val="000000" w:themeColor="text1"/>
          <w:lang w:val="en-GB"/>
        </w:rPr>
        <w:t xml:space="preserve">at an organisational level, </w:t>
      </w:r>
      <w:r w:rsidRPr="00966D98">
        <w:rPr>
          <w:rFonts w:ascii="Garamond" w:hAnsi="Garamond"/>
          <w:color w:val="000000" w:themeColor="text1"/>
          <w:lang w:val="en-GB"/>
        </w:rPr>
        <w:t xml:space="preserve">research institutions have historically sought credibility from the scholarly field by mandating or incentivising the production of journal articles and conference presentations informed by an academic research agenda. Where relevant, this primary goal has often been combined with engaging traditional media outlets to gain visibility from the media field or delivering training or external reports to change how things are done in practice and thus gain a reputation based on utility from the field of application. These supplementary goals sometimes necessitate adjustments to the research agenda, based on disciplinary, epistemic, temporal or commercial concerns (Williams, 2019). In turn, these institutions typically use a range of established tools to measure the importance and influence of the work they produce. For example, they have often focused on expert peer review to assess the quality of journal articles, analysis of news </w:t>
      </w:r>
      <w:r w:rsidR="00940513" w:rsidRPr="00966D98">
        <w:rPr>
          <w:rFonts w:ascii="Garamond" w:hAnsi="Garamond"/>
          <w:color w:val="000000" w:themeColor="text1"/>
          <w:lang w:val="en-GB"/>
        </w:rPr>
        <w:t xml:space="preserve">articles </w:t>
      </w:r>
      <w:r w:rsidRPr="00966D98">
        <w:rPr>
          <w:rFonts w:ascii="Garamond" w:hAnsi="Garamond"/>
          <w:color w:val="000000" w:themeColor="text1"/>
          <w:lang w:val="en-GB"/>
        </w:rPr>
        <w:t xml:space="preserve">to assess shifts in public debate via the media, and quantitative metrics such as patent or clinical citations to assess influence on practice. This ability to </w:t>
      </w:r>
      <w:r w:rsidR="00FF7EE8" w:rsidRPr="00966D98">
        <w:rPr>
          <w:rFonts w:ascii="Garamond" w:hAnsi="Garamond"/>
          <w:color w:val="000000" w:themeColor="text1"/>
          <w:lang w:val="en-GB"/>
        </w:rPr>
        <w:t xml:space="preserve">incentivise, </w:t>
      </w:r>
      <w:r w:rsidRPr="00966D98">
        <w:rPr>
          <w:rFonts w:ascii="Garamond" w:hAnsi="Garamond"/>
          <w:color w:val="000000" w:themeColor="text1"/>
          <w:lang w:val="en-GB"/>
        </w:rPr>
        <w:t>measure and communicate impact is thus now a critical requirement for many research actors, which</w:t>
      </w:r>
      <w:r w:rsidR="00A3585B" w:rsidRPr="00966D98">
        <w:rPr>
          <w:rFonts w:ascii="Garamond" w:hAnsi="Garamond"/>
          <w:color w:val="000000" w:themeColor="text1"/>
          <w:lang w:val="en-GB"/>
        </w:rPr>
        <w:t xml:space="preserve"> can</w:t>
      </w:r>
      <w:r w:rsidRPr="00966D98">
        <w:rPr>
          <w:rFonts w:ascii="Garamond" w:hAnsi="Garamond"/>
          <w:color w:val="000000" w:themeColor="text1"/>
          <w:lang w:val="en-GB"/>
        </w:rPr>
        <w:t xml:space="preserve"> feed back into the attainment of legitimacy. </w:t>
      </w:r>
    </w:p>
    <w:p w14:paraId="62E15030" w14:textId="0630E994" w:rsidR="009706DC" w:rsidRPr="00966D98" w:rsidRDefault="009706DC" w:rsidP="009706DC">
      <w:pPr>
        <w:pStyle w:val="Body"/>
        <w:spacing w:before="120" w:after="120" w:line="360" w:lineRule="auto"/>
        <w:jc w:val="center"/>
        <w:rPr>
          <w:rFonts w:ascii="Garamond" w:hAnsi="Garamond"/>
          <w:lang w:val="en-GB"/>
        </w:rPr>
      </w:pPr>
      <w:r w:rsidRPr="00966D98">
        <w:rPr>
          <w:rFonts w:ascii="Garamond" w:hAnsi="Garamond"/>
          <w:lang w:val="en-GB"/>
        </w:rPr>
        <w:t xml:space="preserve">[TABLE 3 </w:t>
      </w:r>
      <w:r w:rsidR="002A4065" w:rsidRPr="00966D98">
        <w:rPr>
          <w:rFonts w:ascii="Garamond" w:hAnsi="Garamond"/>
          <w:lang w:val="en-GB"/>
        </w:rPr>
        <w:t xml:space="preserve">ABOUT </w:t>
      </w:r>
      <w:r w:rsidRPr="00966D98">
        <w:rPr>
          <w:rFonts w:ascii="Garamond" w:hAnsi="Garamond"/>
          <w:lang w:val="en-GB"/>
        </w:rPr>
        <w:t>HERE]</w:t>
      </w:r>
    </w:p>
    <w:p w14:paraId="731DEF7F" w14:textId="0EB1255E" w:rsidR="0084225F" w:rsidRPr="00966D98" w:rsidRDefault="0084225F" w:rsidP="0084225F">
      <w:pPr>
        <w:pStyle w:val="Body"/>
        <w:spacing w:before="120" w:after="120" w:line="360" w:lineRule="auto"/>
        <w:ind w:firstLine="284"/>
        <w:jc w:val="both"/>
        <w:rPr>
          <w:rFonts w:ascii="Garamond" w:hAnsi="Garamond"/>
          <w:lang w:val="en-GB"/>
        </w:rPr>
      </w:pPr>
      <w:r w:rsidRPr="00966D98">
        <w:rPr>
          <w:rFonts w:ascii="Garamond" w:hAnsi="Garamond"/>
          <w:lang w:val="en-GB"/>
        </w:rPr>
        <w:t xml:space="preserve">The crucial task is therefore to determine the underlying indicators of worth in each parent field. Using the framework above as a guide, Table 4 shows the theoretical foundations of credibility, authority, utility, visibility and weight. This can provide guidance for thinking about what is missing from existing impact assessments. In addition, if impact is going to be measured, </w:t>
      </w:r>
      <w:r w:rsidRPr="00966D98">
        <w:rPr>
          <w:rFonts w:ascii="Garamond" w:hAnsi="Garamond"/>
          <w:lang w:val="en-GB"/>
        </w:rPr>
        <w:lastRenderedPageBreak/>
        <w:t xml:space="preserve">it can provide guidance for how each of the five types of capital can be measured effectively. Crucially, though, it allows deeper consideration of the implications of trying to measure these different forms of capital. </w:t>
      </w:r>
      <w:r w:rsidR="007A3968" w:rsidRPr="00966D98">
        <w:rPr>
          <w:rFonts w:ascii="Garamond" w:eastAsia="Garamond" w:hAnsi="Garamond" w:cs="Garamond"/>
          <w:color w:val="000000" w:themeColor="text1"/>
          <w:lang w:val="en-GB"/>
        </w:rPr>
        <w:t xml:space="preserve">It </w:t>
      </w:r>
      <w:r w:rsidRPr="00966D98">
        <w:rPr>
          <w:rFonts w:ascii="Garamond" w:eastAsia="Garamond" w:hAnsi="Garamond" w:cs="Garamond"/>
          <w:color w:val="000000" w:themeColor="text1"/>
          <w:lang w:val="en-GB"/>
        </w:rPr>
        <w:t>also</w:t>
      </w:r>
      <w:r w:rsidR="007A3968" w:rsidRPr="00966D98">
        <w:rPr>
          <w:rFonts w:ascii="Garamond" w:hAnsi="Garamond"/>
          <w:lang w:val="en-GB"/>
        </w:rPr>
        <w:t xml:space="preserve"> </w:t>
      </w:r>
      <w:r w:rsidRPr="00966D98">
        <w:rPr>
          <w:rFonts w:ascii="Garamond" w:hAnsi="Garamond"/>
          <w:lang w:val="en-GB"/>
        </w:rPr>
        <w:t xml:space="preserve">provides </w:t>
      </w:r>
      <w:proofErr w:type="gramStart"/>
      <w:r w:rsidRPr="00966D98">
        <w:rPr>
          <w:rFonts w:ascii="Garamond" w:hAnsi="Garamond"/>
          <w:lang w:val="en-GB"/>
        </w:rPr>
        <w:t>an</w:t>
      </w:r>
      <w:proofErr w:type="gramEnd"/>
      <w:r w:rsidRPr="00966D98">
        <w:rPr>
          <w:rFonts w:ascii="Garamond" w:hAnsi="Garamond"/>
          <w:lang w:val="en-GB"/>
        </w:rPr>
        <w:t xml:space="preserve"> </w:t>
      </w:r>
      <w:r w:rsidR="007A3968" w:rsidRPr="00966D98">
        <w:rPr>
          <w:rFonts w:ascii="Garamond" w:hAnsi="Garamond"/>
          <w:lang w:val="en-GB"/>
        </w:rPr>
        <w:t>new way of</w:t>
      </w:r>
      <w:r w:rsidRPr="00966D98">
        <w:rPr>
          <w:rFonts w:ascii="Garamond" w:hAnsi="Garamond"/>
          <w:lang w:val="en-GB"/>
        </w:rPr>
        <w:t xml:space="preserve"> observing and understanding changing formations of capital, whereby new tools and practices of impact assessment might make available new types of legitimacy and, in conversely, where new forms of legitimacy might lead to the development of new evaluation methods or practices. Research and policy in this area requires a theoretical framework, rather than simply a utilitarian focus on the risks or benefits of such tools. </w:t>
      </w:r>
    </w:p>
    <w:p w14:paraId="1D7D832C" w14:textId="00627280" w:rsidR="0084225F" w:rsidRPr="00966D98" w:rsidRDefault="0084225F" w:rsidP="0084225F">
      <w:pPr>
        <w:pStyle w:val="Body"/>
        <w:spacing w:before="120" w:after="120" w:line="360" w:lineRule="auto"/>
        <w:ind w:firstLine="284"/>
        <w:jc w:val="center"/>
        <w:outlineLvl w:val="0"/>
        <w:rPr>
          <w:rFonts w:ascii="Garamond" w:hAnsi="Garamond"/>
          <w:lang w:val="en-GB"/>
        </w:rPr>
      </w:pPr>
      <w:r w:rsidRPr="00966D98">
        <w:rPr>
          <w:rFonts w:ascii="Garamond" w:hAnsi="Garamond"/>
          <w:lang w:val="en-GB"/>
        </w:rPr>
        <w:t>[TABLE 4 ABOUT HERE]</w:t>
      </w:r>
    </w:p>
    <w:p w14:paraId="2D36C26E" w14:textId="3E5554AC" w:rsidR="004F678B" w:rsidRPr="00966D98" w:rsidRDefault="001D10AD" w:rsidP="00DF48B8">
      <w:pPr>
        <w:spacing w:before="120" w:after="120" w:line="360" w:lineRule="auto"/>
        <w:jc w:val="both"/>
        <w:rPr>
          <w:rFonts w:ascii="Garamond" w:hAnsi="Garamond"/>
          <w:b/>
        </w:rPr>
      </w:pPr>
      <w:r w:rsidRPr="00966D98">
        <w:rPr>
          <w:rFonts w:ascii="Garamond" w:hAnsi="Garamond"/>
          <w:b/>
        </w:rPr>
        <w:t>The i</w:t>
      </w:r>
      <w:r w:rsidR="0020473C" w:rsidRPr="00966D98">
        <w:rPr>
          <w:rFonts w:ascii="Garamond" w:hAnsi="Garamond"/>
          <w:b/>
        </w:rPr>
        <w:t>mplications of a</w:t>
      </w:r>
      <w:r w:rsidR="00D54E4B" w:rsidRPr="00966D98">
        <w:rPr>
          <w:rFonts w:ascii="Garamond" w:hAnsi="Garamond"/>
          <w:b/>
        </w:rPr>
        <w:t xml:space="preserve"> capital-based</w:t>
      </w:r>
      <w:r w:rsidR="004F678B" w:rsidRPr="00966D98">
        <w:rPr>
          <w:rFonts w:ascii="Garamond" w:hAnsi="Garamond"/>
          <w:b/>
        </w:rPr>
        <w:t xml:space="preserve"> evaluation framework</w:t>
      </w:r>
      <w:r w:rsidR="00B37C9B" w:rsidRPr="00966D98">
        <w:rPr>
          <w:rFonts w:ascii="Garamond" w:hAnsi="Garamond"/>
          <w:b/>
        </w:rPr>
        <w:t xml:space="preserve"> </w:t>
      </w:r>
    </w:p>
    <w:p w14:paraId="36519B12" w14:textId="01BE88DB" w:rsidR="00165204" w:rsidRPr="00966D98" w:rsidRDefault="00D81AA2" w:rsidP="00165204">
      <w:pPr>
        <w:pStyle w:val="Body"/>
        <w:spacing w:before="120" w:after="120" w:line="360" w:lineRule="auto"/>
        <w:ind w:firstLine="284"/>
        <w:jc w:val="both"/>
        <w:outlineLvl w:val="0"/>
        <w:rPr>
          <w:rFonts w:ascii="Garamond" w:hAnsi="Garamond"/>
          <w:lang w:val="en-GB"/>
        </w:rPr>
      </w:pPr>
      <w:r w:rsidRPr="00966D98">
        <w:rPr>
          <w:rFonts w:ascii="Garamond" w:hAnsi="Garamond"/>
          <w:lang w:val="en-GB"/>
        </w:rPr>
        <w:t>Despite the</w:t>
      </w:r>
      <w:r w:rsidR="00165204" w:rsidRPr="00966D98">
        <w:rPr>
          <w:rFonts w:ascii="Garamond" w:hAnsi="Garamond"/>
          <w:lang w:val="en-GB"/>
        </w:rPr>
        <w:t xml:space="preserve"> rise of global interest in research impact, and in related technologies, studies have yet to adequately examine how these features take on meaning in practice. This article has shown that the assessment of research impact occurs at the interaction of various fields of power, which </w:t>
      </w:r>
      <w:r w:rsidRPr="00966D98">
        <w:rPr>
          <w:rFonts w:ascii="Garamond" w:hAnsi="Garamond"/>
          <w:lang w:val="en-GB"/>
        </w:rPr>
        <w:t>confer different forms of</w:t>
      </w:r>
      <w:r w:rsidR="00165204" w:rsidRPr="00966D98">
        <w:rPr>
          <w:rFonts w:ascii="Garamond" w:hAnsi="Garamond"/>
          <w:lang w:val="en-GB"/>
        </w:rPr>
        <w:t xml:space="preserve"> legitimacy. </w:t>
      </w:r>
      <w:r w:rsidR="00165204" w:rsidRPr="00966D98">
        <w:rPr>
          <w:rFonts w:ascii="Garamond" w:hAnsi="Garamond"/>
          <w:kern w:val="1"/>
          <w:lang w:val="en-GB"/>
        </w:rPr>
        <w:t>The production and evaluation of research must be considered in the</w:t>
      </w:r>
      <w:r w:rsidRPr="00966D98">
        <w:rPr>
          <w:rFonts w:ascii="Garamond" w:hAnsi="Garamond"/>
          <w:kern w:val="1"/>
          <w:lang w:val="en-GB"/>
        </w:rPr>
        <w:t xml:space="preserve"> context of this</w:t>
      </w:r>
      <w:r w:rsidR="00165204" w:rsidRPr="00966D98">
        <w:rPr>
          <w:rFonts w:ascii="Garamond" w:hAnsi="Garamond"/>
          <w:kern w:val="1"/>
          <w:lang w:val="en-GB"/>
        </w:rPr>
        <w:t xml:space="preserve"> space between fields</w:t>
      </w:r>
      <w:r w:rsidR="006740BF" w:rsidRPr="00966D98">
        <w:rPr>
          <w:rFonts w:ascii="Garamond" w:hAnsi="Garamond"/>
          <w:kern w:val="1"/>
          <w:lang w:val="en-GB"/>
        </w:rPr>
        <w:t xml:space="preserve">. </w:t>
      </w:r>
      <w:r w:rsidR="00165204" w:rsidRPr="00966D98">
        <w:rPr>
          <w:rFonts w:ascii="Garamond" w:hAnsi="Garamond"/>
          <w:lang w:val="en-GB"/>
        </w:rPr>
        <w:t xml:space="preserve">The approach presented in this article diverges from sociological approaches that explain intellectual labour by way of disciplinary elements or personal tendencies. It also diverges from research evaluation approaches that tend to focus on the usefulness of measures and systems, rather than underlying elements of worth. Instead, this framework permits exploration of how </w:t>
      </w:r>
      <w:r w:rsidR="001A1D9E" w:rsidRPr="00966D98">
        <w:rPr>
          <w:rFonts w:ascii="Garamond" w:hAnsi="Garamond"/>
          <w:lang w:val="en-GB"/>
        </w:rPr>
        <w:t xml:space="preserve">specific </w:t>
      </w:r>
      <w:r w:rsidR="00165204" w:rsidRPr="00966D98">
        <w:rPr>
          <w:rFonts w:ascii="Garamond" w:hAnsi="Garamond"/>
          <w:lang w:val="en-GB"/>
        </w:rPr>
        <w:t xml:space="preserve">evaluative structures relate to </w:t>
      </w:r>
      <w:r w:rsidR="00C65053" w:rsidRPr="00966D98">
        <w:rPr>
          <w:rFonts w:ascii="Garamond" w:hAnsi="Garamond"/>
          <w:lang w:val="en-GB"/>
        </w:rPr>
        <w:t xml:space="preserve">the design, production and evaluation of </w:t>
      </w:r>
      <w:r w:rsidR="00165204" w:rsidRPr="00966D98">
        <w:rPr>
          <w:rFonts w:ascii="Garamond" w:hAnsi="Garamond"/>
          <w:lang w:val="en-GB"/>
        </w:rPr>
        <w:t>research</w:t>
      </w:r>
      <w:r w:rsidR="00C65053" w:rsidRPr="00966D98">
        <w:rPr>
          <w:rFonts w:ascii="Garamond" w:hAnsi="Garamond"/>
          <w:lang w:val="en-GB"/>
        </w:rPr>
        <w:t xml:space="preserve">, </w:t>
      </w:r>
      <w:r w:rsidR="00165204" w:rsidRPr="00966D98">
        <w:rPr>
          <w:rFonts w:ascii="Garamond" w:hAnsi="Garamond"/>
          <w:lang w:val="en-GB"/>
        </w:rPr>
        <w:t xml:space="preserve">and </w:t>
      </w:r>
      <w:r w:rsidR="00C65053" w:rsidRPr="00966D98">
        <w:rPr>
          <w:rFonts w:ascii="Garamond" w:hAnsi="Garamond"/>
          <w:lang w:val="en-GB"/>
        </w:rPr>
        <w:t xml:space="preserve">ultimately, </w:t>
      </w:r>
      <w:r w:rsidR="00165204" w:rsidRPr="00966D98">
        <w:rPr>
          <w:rFonts w:ascii="Garamond" w:hAnsi="Garamond"/>
          <w:lang w:val="en-GB"/>
        </w:rPr>
        <w:t xml:space="preserve">the </w:t>
      </w:r>
      <w:r w:rsidR="004A0894" w:rsidRPr="00966D98">
        <w:rPr>
          <w:rFonts w:ascii="Garamond" w:hAnsi="Garamond"/>
          <w:lang w:val="en-GB"/>
        </w:rPr>
        <w:t xml:space="preserve">creation </w:t>
      </w:r>
      <w:r w:rsidR="00165204" w:rsidRPr="00966D98">
        <w:rPr>
          <w:rFonts w:ascii="Garamond" w:hAnsi="Garamond"/>
          <w:lang w:val="en-GB"/>
        </w:rPr>
        <w:t xml:space="preserve">of knowledge. In analysing impact, local institutional processes and practices are still important despite the emergence of global standards aimed at defining impact at a national level. However, the continued development of the impact agenda does </w:t>
      </w:r>
      <w:r w:rsidR="004B4E90" w:rsidRPr="00966D98">
        <w:rPr>
          <w:rFonts w:ascii="Garamond" w:hAnsi="Garamond"/>
          <w:lang w:val="en-GB"/>
        </w:rPr>
        <w:t xml:space="preserve">substantially </w:t>
      </w:r>
      <w:r w:rsidR="00165204" w:rsidRPr="00966D98">
        <w:rPr>
          <w:rFonts w:ascii="Garamond" w:hAnsi="Garamond"/>
          <w:lang w:val="en-GB"/>
        </w:rPr>
        <w:t xml:space="preserve">reconfigure patterns of value and worth. </w:t>
      </w:r>
    </w:p>
    <w:p w14:paraId="058C8293" w14:textId="1F630E95" w:rsidR="000A56A5" w:rsidRPr="00966D98" w:rsidRDefault="000A56A5" w:rsidP="00DF48B8">
      <w:pPr>
        <w:pStyle w:val="Body"/>
        <w:spacing w:before="120" w:after="120" w:line="360" w:lineRule="auto"/>
        <w:ind w:firstLine="284"/>
        <w:jc w:val="both"/>
        <w:outlineLvl w:val="0"/>
        <w:rPr>
          <w:rFonts w:ascii="Garamond" w:hAnsi="Garamond"/>
          <w:lang w:val="en-GB"/>
        </w:rPr>
      </w:pPr>
      <w:r w:rsidRPr="00966D98">
        <w:rPr>
          <w:rFonts w:ascii="Garamond" w:hAnsi="Garamond"/>
          <w:color w:val="000000" w:themeColor="text1"/>
          <w:lang w:val="en-GB"/>
        </w:rPr>
        <w:t xml:space="preserve">By providing a link between </w:t>
      </w:r>
      <w:r w:rsidR="00EF4E17" w:rsidRPr="00966D98">
        <w:rPr>
          <w:rFonts w:ascii="Garamond" w:hAnsi="Garamond"/>
          <w:color w:val="000000" w:themeColor="text1"/>
          <w:lang w:val="en-GB"/>
        </w:rPr>
        <w:t xml:space="preserve">the </w:t>
      </w:r>
      <w:r w:rsidRPr="00966D98">
        <w:rPr>
          <w:rFonts w:ascii="Garamond" w:hAnsi="Garamond"/>
          <w:color w:val="000000" w:themeColor="text1"/>
          <w:lang w:val="en-GB"/>
        </w:rPr>
        <w:t xml:space="preserve">research evaluation and sociological literature, this </w:t>
      </w:r>
      <w:r w:rsidR="00A401BA" w:rsidRPr="00966D98">
        <w:rPr>
          <w:rFonts w:ascii="Garamond" w:hAnsi="Garamond"/>
          <w:color w:val="000000" w:themeColor="text1"/>
          <w:lang w:val="en-GB"/>
        </w:rPr>
        <w:t xml:space="preserve">framework </w:t>
      </w:r>
      <w:r w:rsidRPr="00966D98">
        <w:rPr>
          <w:rFonts w:ascii="Garamond" w:hAnsi="Garamond"/>
          <w:color w:val="000000" w:themeColor="text1"/>
          <w:lang w:val="en-GB"/>
        </w:rPr>
        <w:t xml:space="preserve">allows us to be reflexive about what is valued in research. </w:t>
      </w:r>
      <w:r w:rsidR="00CE13F0" w:rsidRPr="00966D98">
        <w:rPr>
          <w:rFonts w:ascii="Garamond" w:hAnsi="Garamond"/>
          <w:color w:val="000000" w:themeColor="text1"/>
          <w:lang w:val="en-GB"/>
        </w:rPr>
        <w:t xml:space="preserve">The approach permits research actors and evaluators to consider the weighting and relative importance of each parent field. For example, </w:t>
      </w:r>
      <w:r w:rsidR="00771A51" w:rsidRPr="00966D98">
        <w:rPr>
          <w:rFonts w:ascii="Garamond" w:hAnsi="Garamond"/>
          <w:color w:val="000000" w:themeColor="text1"/>
          <w:lang w:val="en-GB"/>
        </w:rPr>
        <w:t xml:space="preserve">research actors </w:t>
      </w:r>
      <w:r w:rsidR="00CE13F0" w:rsidRPr="00966D98">
        <w:rPr>
          <w:rFonts w:ascii="Garamond" w:hAnsi="Garamond"/>
          <w:color w:val="000000" w:themeColor="text1"/>
          <w:lang w:val="en-GB"/>
        </w:rPr>
        <w:t xml:space="preserve">seeking to gain visibility and shift public debate might invest in, and implement evaluation incentives for, the production of </w:t>
      </w:r>
      <w:r w:rsidR="00297AE2" w:rsidRPr="00966D98">
        <w:rPr>
          <w:rFonts w:ascii="Garamond" w:hAnsi="Garamond"/>
          <w:color w:val="000000" w:themeColor="text1"/>
          <w:lang w:val="en-GB"/>
        </w:rPr>
        <w:t xml:space="preserve">accessible </w:t>
      </w:r>
      <w:r w:rsidR="00CE13F0" w:rsidRPr="00966D98">
        <w:rPr>
          <w:rFonts w:ascii="Garamond" w:hAnsi="Garamond"/>
          <w:color w:val="000000" w:themeColor="text1"/>
          <w:lang w:val="en-GB"/>
        </w:rPr>
        <w:t>outputs that can be widely shared via established news outlets or Twitter (Table 3).</w:t>
      </w:r>
      <w:r w:rsidR="000244B8" w:rsidRPr="00966D98">
        <w:rPr>
          <w:rFonts w:ascii="Garamond" w:hAnsi="Garamond"/>
          <w:color w:val="000000" w:themeColor="text1"/>
          <w:lang w:val="en-GB"/>
        </w:rPr>
        <w:t xml:space="preserve"> Relatedly, it can direct attention to the language and actions that research actors can employ to gain legitimacy, for example, through emphasising scholarly credentials or highlighting policy relevance. In addition, </w:t>
      </w:r>
      <w:r w:rsidR="00E210D3" w:rsidRPr="00966D98">
        <w:rPr>
          <w:rFonts w:ascii="Garamond" w:hAnsi="Garamond"/>
          <w:color w:val="000000" w:themeColor="text1"/>
          <w:lang w:val="en-GB"/>
        </w:rPr>
        <w:t xml:space="preserve">the approach </w:t>
      </w:r>
      <w:r w:rsidRPr="00966D98">
        <w:rPr>
          <w:rFonts w:ascii="Garamond" w:hAnsi="Garamond"/>
          <w:color w:val="000000" w:themeColor="text1"/>
          <w:lang w:val="en-GB"/>
        </w:rPr>
        <w:t>can be used</w:t>
      </w:r>
      <w:r w:rsidR="004F0B55" w:rsidRPr="00966D98">
        <w:rPr>
          <w:rFonts w:ascii="Garamond" w:hAnsi="Garamond"/>
          <w:color w:val="000000" w:themeColor="text1"/>
          <w:lang w:val="en-GB"/>
        </w:rPr>
        <w:t xml:space="preserve"> analytically</w:t>
      </w:r>
      <w:r w:rsidRPr="00966D98">
        <w:rPr>
          <w:rFonts w:ascii="Garamond" w:hAnsi="Garamond"/>
          <w:color w:val="000000" w:themeColor="text1"/>
          <w:lang w:val="en-GB"/>
        </w:rPr>
        <w:t xml:space="preserve"> to build up a picture of the fields of power that are involved in gaining legitimacy</w:t>
      </w:r>
      <w:r w:rsidR="00CE13F0" w:rsidRPr="00966D98">
        <w:rPr>
          <w:rFonts w:ascii="Garamond" w:hAnsi="Garamond"/>
          <w:color w:val="000000" w:themeColor="text1"/>
          <w:lang w:val="en-GB"/>
        </w:rPr>
        <w:t>. F</w:t>
      </w:r>
      <w:r w:rsidRPr="00966D98">
        <w:rPr>
          <w:rFonts w:ascii="Garamond" w:hAnsi="Garamond"/>
          <w:color w:val="000000" w:themeColor="text1"/>
          <w:lang w:val="en-GB"/>
        </w:rPr>
        <w:t xml:space="preserve">or example, </w:t>
      </w:r>
      <w:r w:rsidR="00592697" w:rsidRPr="00966D98">
        <w:rPr>
          <w:rFonts w:ascii="Garamond" w:hAnsi="Garamond"/>
          <w:color w:val="000000" w:themeColor="text1"/>
          <w:lang w:val="en-GB"/>
        </w:rPr>
        <w:t xml:space="preserve">the </w:t>
      </w:r>
      <w:r w:rsidR="00CE13F0" w:rsidRPr="00966D98">
        <w:rPr>
          <w:rFonts w:ascii="Garamond" w:hAnsi="Garamond"/>
          <w:color w:val="000000" w:themeColor="text1"/>
          <w:lang w:val="en-GB"/>
        </w:rPr>
        <w:t>underlying values of worth for each field (Table 4) could be used as the basis of a</w:t>
      </w:r>
      <w:r w:rsidRPr="00966D98">
        <w:rPr>
          <w:rFonts w:ascii="Garamond" w:hAnsi="Garamond"/>
          <w:color w:val="000000" w:themeColor="text1"/>
          <w:lang w:val="en-GB"/>
        </w:rPr>
        <w:t xml:space="preserve"> coding structure for analysis of narrative impact case studies, </w:t>
      </w:r>
      <w:r w:rsidR="000244B8" w:rsidRPr="00966D98">
        <w:rPr>
          <w:rFonts w:ascii="Garamond" w:hAnsi="Garamond"/>
          <w:color w:val="000000" w:themeColor="text1"/>
          <w:lang w:val="en-GB"/>
        </w:rPr>
        <w:t>potentially</w:t>
      </w:r>
      <w:r w:rsidRPr="00966D98">
        <w:rPr>
          <w:rFonts w:ascii="Garamond" w:hAnsi="Garamond"/>
          <w:color w:val="000000" w:themeColor="text1"/>
          <w:lang w:val="en-GB"/>
        </w:rPr>
        <w:t xml:space="preserve"> combined with insights </w:t>
      </w:r>
      <w:r w:rsidRPr="00966D98">
        <w:rPr>
          <w:rFonts w:ascii="Garamond" w:hAnsi="Garamond"/>
          <w:color w:val="000000" w:themeColor="text1"/>
          <w:lang w:val="en-GB"/>
        </w:rPr>
        <w:lastRenderedPageBreak/>
        <w:t xml:space="preserve">from bibliometrics and </w:t>
      </w:r>
      <w:proofErr w:type="gramStart"/>
      <w:r w:rsidR="00F10BDC" w:rsidRPr="00966D98">
        <w:rPr>
          <w:rFonts w:ascii="Garamond" w:hAnsi="Garamond"/>
          <w:color w:val="000000" w:themeColor="text1"/>
          <w:lang w:val="en-GB"/>
        </w:rPr>
        <w:t>other</w:t>
      </w:r>
      <w:proofErr w:type="gramEnd"/>
      <w:r w:rsidR="00F10BDC" w:rsidRPr="00966D98">
        <w:rPr>
          <w:rFonts w:ascii="Garamond" w:hAnsi="Garamond"/>
          <w:color w:val="000000" w:themeColor="text1"/>
          <w:lang w:val="en-GB"/>
        </w:rPr>
        <w:t xml:space="preserve"> </w:t>
      </w:r>
      <w:r w:rsidRPr="00966D98">
        <w:rPr>
          <w:rFonts w:ascii="Garamond" w:hAnsi="Garamond"/>
          <w:color w:val="000000" w:themeColor="text1"/>
          <w:lang w:val="en-GB"/>
        </w:rPr>
        <w:t>metrics</w:t>
      </w:r>
      <w:r w:rsidR="00E210D3" w:rsidRPr="00966D98">
        <w:rPr>
          <w:rFonts w:ascii="Garamond" w:hAnsi="Garamond"/>
          <w:color w:val="000000" w:themeColor="text1"/>
          <w:lang w:val="en-GB"/>
        </w:rPr>
        <w:t>. Similarly, the approach permits theoretical understanding of data that is gained from research impact assessments.</w:t>
      </w:r>
      <w:r w:rsidR="00B62875" w:rsidRPr="00966D98">
        <w:rPr>
          <w:rFonts w:ascii="Garamond" w:hAnsi="Garamond"/>
          <w:color w:val="000000" w:themeColor="text1"/>
          <w:lang w:val="en-GB"/>
        </w:rPr>
        <w:t xml:space="preserve"> For example,</w:t>
      </w:r>
      <w:r w:rsidR="00E210D3" w:rsidRPr="00966D98">
        <w:rPr>
          <w:rFonts w:ascii="Garamond" w:hAnsi="Garamond"/>
          <w:color w:val="000000" w:themeColor="text1"/>
          <w:lang w:val="en-GB"/>
        </w:rPr>
        <w:t xml:space="preserve"> </w:t>
      </w:r>
      <w:r w:rsidRPr="00966D98">
        <w:rPr>
          <w:rFonts w:ascii="Garamond" w:hAnsi="Garamond"/>
          <w:color w:val="000000" w:themeColor="text1"/>
          <w:lang w:val="en-GB"/>
        </w:rPr>
        <w:t>formal indicators of worth</w:t>
      </w:r>
      <w:r w:rsidR="007433BA" w:rsidRPr="00966D98">
        <w:rPr>
          <w:rFonts w:ascii="Garamond" w:hAnsi="Garamond"/>
          <w:color w:val="000000" w:themeColor="text1"/>
          <w:lang w:val="en-GB"/>
        </w:rPr>
        <w:t xml:space="preserve"> and value in an organisation</w:t>
      </w:r>
      <w:r w:rsidRPr="00966D98">
        <w:rPr>
          <w:rFonts w:ascii="Garamond" w:hAnsi="Garamond"/>
          <w:color w:val="000000" w:themeColor="text1"/>
          <w:lang w:val="en-GB"/>
        </w:rPr>
        <w:t xml:space="preserve"> </w:t>
      </w:r>
      <w:r w:rsidR="007433BA" w:rsidRPr="00966D98">
        <w:rPr>
          <w:rFonts w:ascii="Garamond" w:hAnsi="Garamond"/>
          <w:color w:val="000000" w:themeColor="text1"/>
          <w:lang w:val="en-GB"/>
        </w:rPr>
        <w:t xml:space="preserve">or context </w:t>
      </w:r>
      <w:r w:rsidRPr="00966D98">
        <w:rPr>
          <w:rFonts w:ascii="Garamond" w:hAnsi="Garamond"/>
          <w:color w:val="000000" w:themeColor="text1"/>
          <w:lang w:val="en-GB"/>
        </w:rPr>
        <w:t>(e.g. document analysis of promotions materials and incentive schemes) can be understood in relation to the informal indicators of worth (e.g. ethnography of research cultures) and the actual production of knowledge (e.g. bibliometrics and alt</w:t>
      </w:r>
      <w:r w:rsidR="00F4793D" w:rsidRPr="00966D98">
        <w:rPr>
          <w:rFonts w:ascii="Garamond" w:hAnsi="Garamond"/>
          <w:color w:val="000000" w:themeColor="text1"/>
          <w:lang w:val="en-GB"/>
        </w:rPr>
        <w:t xml:space="preserve">ernative </w:t>
      </w:r>
      <w:r w:rsidRPr="00966D98">
        <w:rPr>
          <w:rFonts w:ascii="Garamond" w:hAnsi="Garamond"/>
          <w:color w:val="000000" w:themeColor="text1"/>
          <w:lang w:val="en-GB"/>
        </w:rPr>
        <w:t xml:space="preserve">metrics). </w:t>
      </w:r>
      <w:r w:rsidR="00EA1D56" w:rsidRPr="00966D98">
        <w:rPr>
          <w:rFonts w:ascii="Garamond" w:hAnsi="Garamond"/>
          <w:color w:val="000000" w:themeColor="text1"/>
          <w:lang w:val="en-GB"/>
        </w:rPr>
        <w:t xml:space="preserve">It thus provides a way to bring together a range of data </w:t>
      </w:r>
      <w:r w:rsidR="00C3208B" w:rsidRPr="00966D98">
        <w:rPr>
          <w:rFonts w:ascii="Garamond" w:hAnsi="Garamond"/>
          <w:color w:val="000000" w:themeColor="text1"/>
          <w:lang w:val="en-GB"/>
        </w:rPr>
        <w:t xml:space="preserve">types </w:t>
      </w:r>
      <w:r w:rsidR="00EA1D56" w:rsidRPr="00966D98">
        <w:rPr>
          <w:rFonts w:ascii="Garamond" w:hAnsi="Garamond"/>
          <w:color w:val="000000" w:themeColor="text1"/>
          <w:lang w:val="en-GB"/>
        </w:rPr>
        <w:t>in an analytically meaningful way.</w:t>
      </w:r>
      <w:r w:rsidR="003342CF" w:rsidRPr="00966D98">
        <w:rPr>
          <w:rFonts w:ascii="Garamond" w:hAnsi="Garamond"/>
          <w:color w:val="000000" w:themeColor="text1"/>
          <w:lang w:val="en-GB"/>
        </w:rPr>
        <w:t xml:space="preserve"> Crucially, as well as</w:t>
      </w:r>
      <w:r w:rsidRPr="00966D98">
        <w:rPr>
          <w:rFonts w:ascii="Garamond" w:hAnsi="Garamond"/>
          <w:color w:val="000000" w:themeColor="text1"/>
          <w:lang w:val="en-GB"/>
        </w:rPr>
        <w:t xml:space="preserve"> the analysis of outcomes and impact, </w:t>
      </w:r>
      <w:r w:rsidR="003342CF" w:rsidRPr="00966D98">
        <w:rPr>
          <w:rFonts w:ascii="Garamond" w:hAnsi="Garamond"/>
          <w:color w:val="000000" w:themeColor="text1"/>
          <w:lang w:val="en-GB"/>
        </w:rPr>
        <w:t xml:space="preserve">the framework can guide analysis of </w:t>
      </w:r>
      <w:r w:rsidRPr="00966D98">
        <w:rPr>
          <w:rFonts w:ascii="Garamond" w:hAnsi="Garamond"/>
          <w:color w:val="000000" w:themeColor="text1"/>
          <w:lang w:val="en-GB"/>
        </w:rPr>
        <w:t xml:space="preserve">the effects of assessing impact </w:t>
      </w:r>
      <w:r w:rsidR="00CA7AF8" w:rsidRPr="00966D98">
        <w:rPr>
          <w:rFonts w:ascii="Garamond" w:hAnsi="Garamond"/>
          <w:color w:val="000000" w:themeColor="text1"/>
          <w:lang w:val="en-GB"/>
        </w:rPr>
        <w:t xml:space="preserve">in terms of </w:t>
      </w:r>
      <w:r w:rsidR="005348A0" w:rsidRPr="00966D98">
        <w:rPr>
          <w:rFonts w:ascii="Garamond" w:hAnsi="Garamond"/>
          <w:color w:val="000000" w:themeColor="text1"/>
          <w:lang w:val="en-GB"/>
        </w:rPr>
        <w:t xml:space="preserve">research agenda, concern with measures, and investment. </w:t>
      </w:r>
      <w:r w:rsidR="003342CF" w:rsidRPr="00966D98">
        <w:rPr>
          <w:rFonts w:ascii="Garamond" w:hAnsi="Garamond"/>
          <w:color w:val="000000" w:themeColor="text1"/>
          <w:lang w:val="en-GB"/>
        </w:rPr>
        <w:t xml:space="preserve">In turn, </w:t>
      </w:r>
      <w:r w:rsidR="007A7381" w:rsidRPr="00966D98">
        <w:rPr>
          <w:rFonts w:ascii="Garamond" w:hAnsi="Garamond"/>
          <w:color w:val="000000" w:themeColor="text1"/>
          <w:lang w:val="en-GB"/>
        </w:rPr>
        <w:t xml:space="preserve">such an approach can be used by evaluators </w:t>
      </w:r>
      <w:r w:rsidR="003342CF" w:rsidRPr="00966D98">
        <w:rPr>
          <w:rFonts w:ascii="Garamond" w:hAnsi="Garamond"/>
          <w:color w:val="000000" w:themeColor="text1"/>
          <w:lang w:val="en-GB"/>
        </w:rPr>
        <w:t xml:space="preserve">or science policymakers </w:t>
      </w:r>
      <w:r w:rsidR="007A7381" w:rsidRPr="00966D98">
        <w:rPr>
          <w:rFonts w:ascii="Garamond" w:hAnsi="Garamond"/>
          <w:color w:val="000000" w:themeColor="text1"/>
          <w:lang w:val="en-GB"/>
        </w:rPr>
        <w:t xml:space="preserve">to ensure that the development and use </w:t>
      </w:r>
      <w:r w:rsidR="007A7381" w:rsidRPr="00966D98">
        <w:rPr>
          <w:rFonts w:ascii="Garamond" w:hAnsi="Garamond"/>
          <w:lang w:val="en-GB"/>
        </w:rPr>
        <w:t xml:space="preserve">of </w:t>
      </w:r>
      <w:r w:rsidR="000C2839" w:rsidRPr="00966D98">
        <w:rPr>
          <w:rFonts w:ascii="Garamond" w:hAnsi="Garamond"/>
          <w:lang w:val="en-GB"/>
        </w:rPr>
        <w:t xml:space="preserve">evaluation measures </w:t>
      </w:r>
      <w:r w:rsidR="007A7381" w:rsidRPr="00966D98">
        <w:rPr>
          <w:rFonts w:ascii="Garamond" w:hAnsi="Garamond"/>
          <w:lang w:val="en-GB"/>
        </w:rPr>
        <w:t>are more closely aligned with what generates legitimacy in the various fields of power, which is necessary to facilitate the accumulation of capital across fields according to public values and aims.</w:t>
      </w:r>
    </w:p>
    <w:p w14:paraId="56EEDBA0" w14:textId="599BD00C" w:rsidR="000A56A5" w:rsidRPr="00966D98" w:rsidRDefault="00C31EA9" w:rsidP="00FE3820">
      <w:pPr>
        <w:pStyle w:val="Body"/>
        <w:spacing w:before="120" w:after="120" w:line="360" w:lineRule="auto"/>
        <w:ind w:firstLine="284"/>
        <w:jc w:val="both"/>
        <w:outlineLvl w:val="0"/>
        <w:rPr>
          <w:rFonts w:ascii="Garamond" w:eastAsia="Garamond" w:hAnsi="Garamond" w:cs="Garamond"/>
          <w:color w:val="000000" w:themeColor="text1"/>
          <w:lang w:val="en-GB"/>
        </w:rPr>
      </w:pPr>
      <w:r w:rsidRPr="00966D98">
        <w:rPr>
          <w:rFonts w:ascii="Garamond" w:eastAsia="Garamond" w:hAnsi="Garamond" w:cs="Garamond"/>
          <w:color w:val="000000" w:themeColor="text1"/>
          <w:lang w:val="en-GB"/>
        </w:rPr>
        <w:t>Clear articulation of underlying patterns of value is</w:t>
      </w:r>
      <w:r w:rsidR="000A56A5" w:rsidRPr="00966D98">
        <w:rPr>
          <w:rFonts w:ascii="Garamond" w:eastAsia="Garamond" w:hAnsi="Garamond" w:cs="Garamond"/>
          <w:color w:val="000000" w:themeColor="text1"/>
          <w:lang w:val="en-GB"/>
        </w:rPr>
        <w:t xml:space="preserve"> particularly important as knowledge production </w:t>
      </w:r>
      <w:r w:rsidR="00FE3820" w:rsidRPr="00966D98">
        <w:rPr>
          <w:rFonts w:ascii="Garamond" w:eastAsia="Garamond" w:hAnsi="Garamond" w:cs="Garamond"/>
          <w:color w:val="000000" w:themeColor="text1"/>
          <w:lang w:val="en-GB"/>
        </w:rPr>
        <w:t xml:space="preserve">continues to shape and be shaped by policy imperatives. Metrics and measurements create power relations that are not neutral for the scientific system. </w:t>
      </w:r>
      <w:r w:rsidR="006503F1" w:rsidRPr="00966D98">
        <w:rPr>
          <w:rFonts w:ascii="Garamond" w:eastAsia="Garamond" w:hAnsi="Garamond" w:cs="Garamond"/>
          <w:color w:val="000000" w:themeColor="text1"/>
          <w:lang w:val="en-GB"/>
        </w:rPr>
        <w:t>For better or worse, e</w:t>
      </w:r>
      <w:r w:rsidR="007A3EC3" w:rsidRPr="00966D98">
        <w:rPr>
          <w:rFonts w:ascii="Garamond" w:eastAsia="Garamond" w:hAnsi="Garamond" w:cs="Garamond"/>
          <w:color w:val="000000" w:themeColor="text1"/>
          <w:lang w:val="en-GB"/>
        </w:rPr>
        <w:t>laborate research evaluation systems are now</w:t>
      </w:r>
      <w:r w:rsidR="006503F1" w:rsidRPr="00966D98">
        <w:rPr>
          <w:rFonts w:ascii="Garamond" w:eastAsia="Garamond" w:hAnsi="Garamond" w:cs="Garamond"/>
          <w:color w:val="000000" w:themeColor="text1"/>
          <w:lang w:val="en-GB"/>
        </w:rPr>
        <w:t xml:space="preserve"> </w:t>
      </w:r>
      <w:r w:rsidR="007A3EC3" w:rsidRPr="00966D98">
        <w:rPr>
          <w:rFonts w:ascii="Garamond" w:eastAsia="Garamond" w:hAnsi="Garamond" w:cs="Garamond"/>
          <w:color w:val="000000" w:themeColor="text1"/>
          <w:lang w:val="en-GB"/>
        </w:rPr>
        <w:t>a feature of intellectual life</w:t>
      </w:r>
      <w:r w:rsidR="006503F1" w:rsidRPr="00966D98">
        <w:rPr>
          <w:rFonts w:ascii="Garamond" w:eastAsia="Garamond" w:hAnsi="Garamond" w:cs="Garamond"/>
          <w:color w:val="000000" w:themeColor="text1"/>
          <w:lang w:val="en-GB"/>
        </w:rPr>
        <w:t xml:space="preserve">, </w:t>
      </w:r>
      <w:r w:rsidR="007A3EC3" w:rsidRPr="00966D98">
        <w:rPr>
          <w:rFonts w:ascii="Garamond" w:eastAsia="Garamond" w:hAnsi="Garamond" w:cs="Garamond"/>
          <w:color w:val="000000" w:themeColor="text1"/>
          <w:lang w:val="en-GB"/>
        </w:rPr>
        <w:t xml:space="preserve">and </w:t>
      </w:r>
      <w:r w:rsidR="00FD78F5" w:rsidRPr="00966D98">
        <w:rPr>
          <w:rFonts w:ascii="Garamond" w:eastAsia="Garamond" w:hAnsi="Garamond" w:cs="Garamond"/>
          <w:color w:val="000000" w:themeColor="text1"/>
          <w:lang w:val="en-GB"/>
        </w:rPr>
        <w:t>a reflexive approach is needed to ensure that the</w:t>
      </w:r>
      <w:r w:rsidR="00FE3820" w:rsidRPr="00966D98">
        <w:rPr>
          <w:rFonts w:ascii="Garamond" w:eastAsia="Garamond" w:hAnsi="Garamond" w:cs="Garamond"/>
          <w:color w:val="000000" w:themeColor="text1"/>
          <w:lang w:val="en-GB"/>
        </w:rPr>
        <w:t xml:space="preserve"> measurement of impact encourages </w:t>
      </w:r>
      <w:r w:rsidR="00762A4D" w:rsidRPr="00966D98">
        <w:rPr>
          <w:rFonts w:ascii="Garamond" w:eastAsia="Garamond" w:hAnsi="Garamond" w:cs="Garamond"/>
          <w:color w:val="000000" w:themeColor="text1"/>
          <w:lang w:val="en-GB"/>
        </w:rPr>
        <w:t>constructive</w:t>
      </w:r>
      <w:r w:rsidR="007A3EC3" w:rsidRPr="00966D98">
        <w:rPr>
          <w:rFonts w:ascii="Garamond" w:eastAsia="Garamond" w:hAnsi="Garamond" w:cs="Garamond"/>
          <w:color w:val="000000" w:themeColor="text1"/>
          <w:lang w:val="en-GB"/>
        </w:rPr>
        <w:t xml:space="preserve"> </w:t>
      </w:r>
      <w:r w:rsidR="004C622E" w:rsidRPr="00966D98">
        <w:rPr>
          <w:rFonts w:ascii="Garamond" w:eastAsia="Garamond" w:hAnsi="Garamond" w:cs="Garamond"/>
          <w:color w:val="000000" w:themeColor="text1"/>
          <w:lang w:val="en-GB"/>
        </w:rPr>
        <w:t>outcomes</w:t>
      </w:r>
      <w:r w:rsidR="006503F1" w:rsidRPr="00966D98">
        <w:rPr>
          <w:rFonts w:ascii="Garamond" w:eastAsia="Garamond" w:hAnsi="Garamond" w:cs="Garamond"/>
          <w:color w:val="000000" w:themeColor="text1"/>
          <w:lang w:val="en-GB"/>
        </w:rPr>
        <w:t xml:space="preserve"> </w:t>
      </w:r>
      <w:r w:rsidR="00FE3820" w:rsidRPr="00966D98">
        <w:rPr>
          <w:rFonts w:ascii="Garamond" w:eastAsia="Garamond" w:hAnsi="Garamond" w:cs="Garamond"/>
          <w:color w:val="000000" w:themeColor="text1"/>
          <w:lang w:val="en-GB"/>
        </w:rPr>
        <w:t>while avoiding unintended consequences and biases. N</w:t>
      </w:r>
      <w:r w:rsidR="000A56A5" w:rsidRPr="00966D98">
        <w:rPr>
          <w:rFonts w:ascii="Garamond" w:eastAsia="Garamond" w:hAnsi="Garamond" w:cs="Garamond"/>
          <w:color w:val="000000" w:themeColor="text1"/>
          <w:lang w:val="en-GB"/>
        </w:rPr>
        <w:t>ew developments in knowledge production, dissemination and evaluation</w:t>
      </w:r>
      <w:r w:rsidR="00FE3820" w:rsidRPr="00966D98">
        <w:rPr>
          <w:rFonts w:ascii="Garamond" w:eastAsia="Garamond" w:hAnsi="Garamond" w:cs="Garamond"/>
          <w:color w:val="000000" w:themeColor="text1"/>
          <w:lang w:val="en-GB"/>
        </w:rPr>
        <w:t xml:space="preserve">, including a growing number of knowledge producers and increasing interest in </w:t>
      </w:r>
      <w:r w:rsidR="0059208D" w:rsidRPr="00966D98">
        <w:rPr>
          <w:rFonts w:ascii="Garamond" w:eastAsia="Garamond" w:hAnsi="Garamond" w:cs="Garamond"/>
          <w:color w:val="000000" w:themeColor="text1"/>
          <w:lang w:val="en-GB"/>
        </w:rPr>
        <w:t>new technologies</w:t>
      </w:r>
      <w:r w:rsidR="00FE3820" w:rsidRPr="00966D98">
        <w:rPr>
          <w:rFonts w:ascii="Garamond" w:eastAsia="Garamond" w:hAnsi="Garamond" w:cs="Garamond"/>
          <w:color w:val="000000" w:themeColor="text1"/>
          <w:lang w:val="en-GB"/>
        </w:rPr>
        <w:t xml:space="preserve"> reflect changing loci and sources of power</w:t>
      </w:r>
      <w:r w:rsidR="000A56A5" w:rsidRPr="00966D98">
        <w:rPr>
          <w:rFonts w:ascii="Garamond" w:eastAsia="Garamond" w:hAnsi="Garamond" w:cs="Garamond"/>
          <w:color w:val="000000" w:themeColor="text1"/>
          <w:lang w:val="en-GB"/>
        </w:rPr>
        <w:t xml:space="preserve">. </w:t>
      </w:r>
      <w:r w:rsidR="00FE3820" w:rsidRPr="00966D98">
        <w:rPr>
          <w:rFonts w:ascii="Garamond" w:eastAsia="Garamond" w:hAnsi="Garamond" w:cs="Garamond"/>
          <w:color w:val="000000" w:themeColor="text1"/>
          <w:lang w:val="en-GB"/>
        </w:rPr>
        <w:t>In this context, u</w:t>
      </w:r>
      <w:r w:rsidR="000A56A5" w:rsidRPr="00966D98">
        <w:rPr>
          <w:rFonts w:ascii="Garamond" w:eastAsia="Garamond" w:hAnsi="Garamond" w:cs="Garamond"/>
          <w:color w:val="000000" w:themeColor="text1"/>
          <w:lang w:val="en-GB"/>
        </w:rPr>
        <w:t xml:space="preserve">nderstanding the taken-for-granted value judgments is more important than ever. Key issues will arise, for example, around the dominance of bibliometrics, subscription-only academic databases and paywalled journals, and around the development of </w:t>
      </w:r>
      <w:r w:rsidR="006503F1" w:rsidRPr="00966D98">
        <w:rPr>
          <w:rFonts w:ascii="Garamond" w:eastAsia="Garamond" w:hAnsi="Garamond" w:cs="Garamond"/>
          <w:color w:val="000000" w:themeColor="text1"/>
          <w:lang w:val="en-GB"/>
        </w:rPr>
        <w:t xml:space="preserve">new </w:t>
      </w:r>
      <w:r w:rsidR="000A56A5" w:rsidRPr="00966D98">
        <w:rPr>
          <w:rFonts w:ascii="Garamond" w:eastAsia="Garamond" w:hAnsi="Garamond" w:cs="Garamond"/>
          <w:color w:val="000000" w:themeColor="text1"/>
          <w:lang w:val="en-GB"/>
        </w:rPr>
        <w:t xml:space="preserve">metrics, renewal of the open access mission, and more systematic engagement with audiences beyond the academy. </w:t>
      </w:r>
      <w:r w:rsidR="00FE3820" w:rsidRPr="00966D98">
        <w:rPr>
          <w:rFonts w:ascii="Garamond" w:eastAsia="Garamond" w:hAnsi="Garamond" w:cs="Garamond"/>
          <w:color w:val="000000" w:themeColor="text1"/>
          <w:lang w:val="en-GB"/>
        </w:rPr>
        <w:t xml:space="preserve">Each of these issues will involve </w:t>
      </w:r>
      <w:r w:rsidR="00976210" w:rsidRPr="00966D98">
        <w:rPr>
          <w:rFonts w:ascii="Garamond" w:eastAsia="Garamond" w:hAnsi="Garamond" w:cs="Garamond"/>
          <w:color w:val="000000" w:themeColor="text1"/>
          <w:lang w:val="en-GB"/>
        </w:rPr>
        <w:t xml:space="preserve">various </w:t>
      </w:r>
      <w:r w:rsidR="00FE3820" w:rsidRPr="00966D98">
        <w:rPr>
          <w:rFonts w:ascii="Garamond" w:eastAsia="Garamond" w:hAnsi="Garamond" w:cs="Garamond"/>
          <w:color w:val="000000" w:themeColor="text1"/>
          <w:lang w:val="en-GB"/>
        </w:rPr>
        <w:t>s</w:t>
      </w:r>
      <w:r w:rsidR="000A56A5" w:rsidRPr="00966D98">
        <w:rPr>
          <w:rFonts w:ascii="Garamond" w:eastAsia="Garamond" w:hAnsi="Garamond" w:cs="Garamond"/>
          <w:color w:val="000000" w:themeColor="text1"/>
          <w:lang w:val="en-GB"/>
        </w:rPr>
        <w:t>tandards</w:t>
      </w:r>
      <w:r w:rsidR="00FE3820" w:rsidRPr="00966D98">
        <w:rPr>
          <w:rFonts w:ascii="Garamond" w:eastAsia="Garamond" w:hAnsi="Garamond" w:cs="Garamond"/>
          <w:color w:val="000000" w:themeColor="text1"/>
          <w:lang w:val="en-GB"/>
        </w:rPr>
        <w:t xml:space="preserve">, </w:t>
      </w:r>
      <w:r w:rsidR="000A56A5" w:rsidRPr="00966D98">
        <w:rPr>
          <w:rFonts w:ascii="Garamond" w:eastAsia="Garamond" w:hAnsi="Garamond" w:cs="Garamond"/>
          <w:color w:val="000000" w:themeColor="text1"/>
          <w:lang w:val="en-GB"/>
        </w:rPr>
        <w:t xml:space="preserve">made relevant for </w:t>
      </w:r>
      <w:r w:rsidR="00D64894" w:rsidRPr="00966D98">
        <w:rPr>
          <w:rFonts w:ascii="Garamond" w:eastAsia="Garamond" w:hAnsi="Garamond" w:cs="Garamond"/>
          <w:color w:val="000000" w:themeColor="text1"/>
          <w:lang w:val="en-GB"/>
        </w:rPr>
        <w:t>research actors</w:t>
      </w:r>
      <w:r w:rsidR="000A56A5" w:rsidRPr="00966D98">
        <w:rPr>
          <w:rFonts w:ascii="Garamond" w:eastAsia="Garamond" w:hAnsi="Garamond" w:cs="Garamond"/>
          <w:color w:val="000000" w:themeColor="text1"/>
          <w:lang w:val="en-GB"/>
        </w:rPr>
        <w:t xml:space="preserve"> because external stakeholders act on them (e.g. direct funding allocation, and indirect consequences of ranking systems such as hiring decisions and enrolments)</w:t>
      </w:r>
      <w:r w:rsidR="00FE3820" w:rsidRPr="00966D98">
        <w:rPr>
          <w:rFonts w:ascii="Garamond" w:eastAsia="Garamond" w:hAnsi="Garamond" w:cs="Garamond"/>
          <w:color w:val="000000" w:themeColor="text1"/>
          <w:lang w:val="en-GB"/>
        </w:rPr>
        <w:t>. A</w:t>
      </w:r>
      <w:r w:rsidR="000A56A5" w:rsidRPr="00966D98">
        <w:rPr>
          <w:rFonts w:ascii="Garamond" w:eastAsia="Garamond" w:hAnsi="Garamond" w:cs="Garamond"/>
          <w:color w:val="000000" w:themeColor="text1"/>
          <w:lang w:val="en-GB"/>
        </w:rPr>
        <w:t xml:space="preserve">s a result, both actual and symbolic resources are increasingly dependent on an externally demarcated set of judgments and meanings around impact. </w:t>
      </w:r>
      <w:r w:rsidR="007941D6" w:rsidRPr="00966D98">
        <w:rPr>
          <w:rFonts w:ascii="Garamond" w:eastAsia="Garamond" w:hAnsi="Garamond" w:cs="Garamond"/>
          <w:color w:val="000000" w:themeColor="text1"/>
          <w:lang w:val="en-GB"/>
        </w:rPr>
        <w:t>R</w:t>
      </w:r>
      <w:r w:rsidR="00D64894" w:rsidRPr="00966D98">
        <w:rPr>
          <w:rFonts w:ascii="Garamond" w:eastAsia="Garamond" w:hAnsi="Garamond" w:cs="Garamond"/>
          <w:color w:val="000000" w:themeColor="text1"/>
          <w:lang w:val="en-GB"/>
        </w:rPr>
        <w:t>esearch actors</w:t>
      </w:r>
      <w:r w:rsidR="000A56A5" w:rsidRPr="00966D98">
        <w:rPr>
          <w:rFonts w:ascii="Garamond" w:eastAsia="Garamond" w:hAnsi="Garamond" w:cs="Garamond"/>
          <w:color w:val="000000" w:themeColor="text1"/>
          <w:lang w:val="en-GB"/>
        </w:rPr>
        <w:t xml:space="preserve"> are engaged in contexts that involve multiple markers of </w:t>
      </w:r>
      <w:r w:rsidR="00713378" w:rsidRPr="00966D98">
        <w:rPr>
          <w:rFonts w:ascii="Garamond" w:eastAsia="Garamond" w:hAnsi="Garamond" w:cs="Garamond"/>
          <w:color w:val="000000" w:themeColor="text1"/>
          <w:lang w:val="en-GB"/>
        </w:rPr>
        <w:t>legitimacy</w:t>
      </w:r>
      <w:r w:rsidR="000A56A5" w:rsidRPr="00966D98">
        <w:rPr>
          <w:rFonts w:ascii="Garamond" w:eastAsia="Garamond" w:hAnsi="Garamond" w:cs="Garamond"/>
          <w:color w:val="000000" w:themeColor="text1"/>
          <w:lang w:val="en-GB"/>
        </w:rPr>
        <w:t xml:space="preserve">, of which impact is just one. How these </w:t>
      </w:r>
      <w:r w:rsidR="003F5637" w:rsidRPr="00966D98">
        <w:rPr>
          <w:rFonts w:ascii="Garamond" w:eastAsia="Garamond" w:hAnsi="Garamond" w:cs="Garamond"/>
          <w:color w:val="000000" w:themeColor="text1"/>
          <w:lang w:val="en-GB"/>
        </w:rPr>
        <w:t xml:space="preserve">actors </w:t>
      </w:r>
      <w:r w:rsidR="000A56A5" w:rsidRPr="00966D98">
        <w:rPr>
          <w:rFonts w:ascii="Garamond" w:eastAsia="Garamond" w:hAnsi="Garamond" w:cs="Garamond"/>
          <w:color w:val="000000" w:themeColor="text1"/>
          <w:lang w:val="en-GB"/>
        </w:rPr>
        <w:t xml:space="preserve">find solutions, implement tactics and position themselves towards these markers, and with what consequences for the range of stakeholders they serve, is crucial knowledge for </w:t>
      </w:r>
      <w:r w:rsidR="009C2105" w:rsidRPr="00966D98">
        <w:rPr>
          <w:rFonts w:ascii="Garamond" w:eastAsia="Garamond" w:hAnsi="Garamond" w:cs="Garamond"/>
          <w:color w:val="000000" w:themeColor="text1"/>
          <w:lang w:val="en-GB"/>
        </w:rPr>
        <w:t xml:space="preserve">research </w:t>
      </w:r>
      <w:r w:rsidR="000A56A5" w:rsidRPr="00966D98">
        <w:rPr>
          <w:rFonts w:ascii="Garamond" w:eastAsia="Garamond" w:hAnsi="Garamond" w:cs="Garamond"/>
          <w:color w:val="000000" w:themeColor="text1"/>
          <w:lang w:val="en-GB"/>
        </w:rPr>
        <w:t>organisations</w:t>
      </w:r>
      <w:r w:rsidR="009C2105" w:rsidRPr="00966D98">
        <w:rPr>
          <w:rFonts w:ascii="Garamond" w:eastAsia="Garamond" w:hAnsi="Garamond" w:cs="Garamond"/>
          <w:color w:val="000000" w:themeColor="text1"/>
          <w:lang w:val="en-GB"/>
        </w:rPr>
        <w:t xml:space="preserve"> and systems,</w:t>
      </w:r>
      <w:r w:rsidR="000A56A5" w:rsidRPr="00966D98">
        <w:rPr>
          <w:rFonts w:ascii="Garamond" w:eastAsia="Garamond" w:hAnsi="Garamond" w:cs="Garamond"/>
          <w:color w:val="000000" w:themeColor="text1"/>
          <w:lang w:val="en-GB"/>
        </w:rPr>
        <w:t xml:space="preserve"> </w:t>
      </w:r>
      <w:r w:rsidR="009C2105" w:rsidRPr="00966D98">
        <w:rPr>
          <w:rFonts w:ascii="Garamond" w:eastAsia="Garamond" w:hAnsi="Garamond" w:cs="Garamond"/>
          <w:color w:val="000000" w:themeColor="text1"/>
          <w:lang w:val="en-GB"/>
        </w:rPr>
        <w:t>as well as</w:t>
      </w:r>
      <w:r w:rsidR="000A56A5" w:rsidRPr="00966D98">
        <w:rPr>
          <w:rFonts w:ascii="Garamond" w:eastAsia="Garamond" w:hAnsi="Garamond" w:cs="Garamond"/>
          <w:color w:val="000000" w:themeColor="text1"/>
          <w:lang w:val="en-GB"/>
        </w:rPr>
        <w:t xml:space="preserve"> society at large. </w:t>
      </w:r>
    </w:p>
    <w:p w14:paraId="58121D84" w14:textId="77777777" w:rsidR="000A56A5" w:rsidRPr="00966D98" w:rsidRDefault="000A56A5" w:rsidP="00DF48B8">
      <w:pPr>
        <w:pStyle w:val="Body"/>
        <w:spacing w:before="120" w:after="120" w:line="360" w:lineRule="auto"/>
        <w:jc w:val="both"/>
        <w:outlineLvl w:val="0"/>
        <w:rPr>
          <w:rFonts w:ascii="Garamond" w:eastAsia="Garamond" w:hAnsi="Garamond" w:cs="Garamond"/>
          <w:b/>
          <w:color w:val="000000" w:themeColor="text1"/>
          <w:lang w:val="en-GB"/>
        </w:rPr>
      </w:pPr>
      <w:r w:rsidRPr="00966D98">
        <w:rPr>
          <w:rFonts w:ascii="Garamond" w:hAnsi="Garamond"/>
          <w:b/>
          <w:lang w:val="en-GB"/>
        </w:rPr>
        <w:t xml:space="preserve">Conclusion </w:t>
      </w:r>
    </w:p>
    <w:p w14:paraId="7420366C" w14:textId="63139CDD" w:rsidR="006E1207" w:rsidRPr="00966D98" w:rsidRDefault="006E0638">
      <w:pPr>
        <w:pStyle w:val="Body"/>
        <w:spacing w:before="120" w:after="120" w:line="360" w:lineRule="auto"/>
        <w:ind w:firstLine="284"/>
        <w:jc w:val="both"/>
        <w:rPr>
          <w:rFonts w:ascii="Garamond" w:hAnsi="Garamond"/>
          <w:lang w:val="en-GB"/>
        </w:rPr>
      </w:pPr>
      <w:r w:rsidRPr="00966D98">
        <w:rPr>
          <w:rFonts w:ascii="Garamond" w:hAnsi="Garamond"/>
          <w:lang w:val="en-GB"/>
        </w:rPr>
        <w:lastRenderedPageBreak/>
        <w:t xml:space="preserve">By attending to the attribution and creation of value according to logics of different fields of power, </w:t>
      </w:r>
      <w:r w:rsidRPr="00966D98">
        <w:rPr>
          <w:rFonts w:ascii="Garamond" w:hAnsi="Garamond"/>
          <w:color w:val="000000" w:themeColor="text1"/>
          <w:lang w:val="en-GB"/>
        </w:rPr>
        <w:t xml:space="preserve">this article </w:t>
      </w:r>
      <w:r w:rsidR="0006422E" w:rsidRPr="00966D98">
        <w:rPr>
          <w:rFonts w:ascii="Garamond" w:hAnsi="Garamond"/>
          <w:bCs/>
          <w:color w:val="000000" w:themeColor="text1"/>
          <w:lang w:val="en-GB"/>
        </w:rPr>
        <w:t>provides a new theoretical framework for understanding research impact and its assessment.</w:t>
      </w:r>
      <w:r w:rsidR="0006422E" w:rsidRPr="00966D98">
        <w:rPr>
          <w:rFonts w:ascii="Garamond" w:hAnsi="Garamond"/>
          <w:color w:val="000000" w:themeColor="text1"/>
          <w:lang w:val="en-GB"/>
        </w:rPr>
        <w:t xml:space="preserve"> </w:t>
      </w:r>
      <w:r w:rsidR="0006422E" w:rsidRPr="00966D98">
        <w:rPr>
          <w:rFonts w:ascii="Garamond" w:hAnsi="Garamond"/>
          <w:lang w:val="en-GB"/>
        </w:rPr>
        <w:t xml:space="preserve">The </w:t>
      </w:r>
      <w:r w:rsidR="00733AFC" w:rsidRPr="00966D98">
        <w:rPr>
          <w:rFonts w:ascii="Garamond" w:hAnsi="Garamond"/>
          <w:lang w:val="en-GB"/>
        </w:rPr>
        <w:t xml:space="preserve">approach avoids the dominant pragmatic bias that is inherent in much of research evaluation literature and practice by reframing impact as </w:t>
      </w:r>
      <w:r w:rsidR="00911365" w:rsidRPr="00966D98">
        <w:rPr>
          <w:rFonts w:ascii="Garamond" w:hAnsi="Garamond"/>
          <w:lang w:val="en-GB"/>
        </w:rPr>
        <w:t xml:space="preserve">involving </w:t>
      </w:r>
      <w:r w:rsidR="0006422E" w:rsidRPr="00966D98">
        <w:rPr>
          <w:rFonts w:ascii="Garamond" w:hAnsi="Garamond"/>
          <w:lang w:val="en-GB"/>
        </w:rPr>
        <w:t>combinations of capital via a range of extra-academic fields</w:t>
      </w:r>
      <w:r w:rsidR="00733AFC" w:rsidRPr="00966D98">
        <w:rPr>
          <w:rFonts w:ascii="Garamond" w:hAnsi="Garamond"/>
          <w:lang w:val="en-GB"/>
        </w:rPr>
        <w:t xml:space="preserve">, </w:t>
      </w:r>
      <w:r w:rsidR="0006422E" w:rsidRPr="00966D98">
        <w:rPr>
          <w:rFonts w:ascii="Garamond" w:hAnsi="Garamond"/>
          <w:lang w:val="en-GB"/>
        </w:rPr>
        <w:t xml:space="preserve">and </w:t>
      </w:r>
      <w:r w:rsidR="00733AFC" w:rsidRPr="00966D98">
        <w:rPr>
          <w:rFonts w:ascii="Garamond" w:hAnsi="Garamond"/>
          <w:lang w:val="en-GB"/>
        </w:rPr>
        <w:t>exploring the</w:t>
      </w:r>
      <w:r w:rsidR="0006422E" w:rsidRPr="00966D98">
        <w:rPr>
          <w:rFonts w:ascii="Garamond" w:hAnsi="Garamond"/>
          <w:lang w:val="en-GB"/>
        </w:rPr>
        <w:t xml:space="preserve"> effects </w:t>
      </w:r>
      <w:r w:rsidR="00733AFC" w:rsidRPr="00966D98">
        <w:rPr>
          <w:rFonts w:ascii="Garamond" w:hAnsi="Garamond"/>
          <w:lang w:val="en-GB"/>
        </w:rPr>
        <w:t>of</w:t>
      </w:r>
      <w:r w:rsidR="0006422E" w:rsidRPr="00966D98">
        <w:rPr>
          <w:rFonts w:ascii="Garamond" w:hAnsi="Garamond"/>
          <w:lang w:val="en-GB"/>
        </w:rPr>
        <w:t xml:space="preserve"> </w:t>
      </w:r>
      <w:r w:rsidR="00733AFC" w:rsidRPr="00966D98">
        <w:rPr>
          <w:rFonts w:ascii="Garamond" w:hAnsi="Garamond"/>
          <w:lang w:val="en-GB"/>
        </w:rPr>
        <w:t xml:space="preserve">impact assessment </w:t>
      </w:r>
      <w:r w:rsidR="0006422E" w:rsidRPr="00966D98">
        <w:rPr>
          <w:rFonts w:ascii="Garamond" w:hAnsi="Garamond"/>
          <w:lang w:val="en-GB"/>
        </w:rPr>
        <w:t>on the practice of science</w:t>
      </w:r>
      <w:r w:rsidR="00733AFC" w:rsidRPr="00966D98">
        <w:rPr>
          <w:rFonts w:ascii="Garamond" w:hAnsi="Garamond"/>
          <w:lang w:val="en-GB"/>
        </w:rPr>
        <w:t>.</w:t>
      </w:r>
      <w:r w:rsidR="009D2ABE" w:rsidRPr="00966D98">
        <w:rPr>
          <w:rFonts w:ascii="Garamond" w:hAnsi="Garamond"/>
          <w:lang w:val="en-GB"/>
        </w:rPr>
        <w:t xml:space="preserve"> </w:t>
      </w:r>
      <w:r w:rsidR="006E1207" w:rsidRPr="00966D98">
        <w:rPr>
          <w:rFonts w:ascii="Garamond" w:hAnsi="Garamond"/>
          <w:lang w:val="en-GB"/>
        </w:rPr>
        <w:t xml:space="preserve">Forms of legitimacy, prestige and power are provided by different fields, and impact requires various combinations of symbolic resources from these different spheres. Thus, effective impact increasingly involves not only scholarly or economic outcomes, but also the ability to affect (and assess) change via policy, practice or the media. Increasingly, research actors </w:t>
      </w:r>
      <w:r w:rsidR="006E1207" w:rsidRPr="00966D98">
        <w:rPr>
          <w:rFonts w:ascii="Garamond" w:hAnsi="Garamond"/>
          <w:color w:val="000000" w:themeColor="text1"/>
          <w:lang w:val="en-GB"/>
        </w:rPr>
        <w:t>maintain hybrid intellectual and research practices to satisfy the demands of legitimacy across these various fields of power.</w:t>
      </w:r>
      <w:r w:rsidR="006E1207" w:rsidRPr="00966D98">
        <w:rPr>
          <w:rFonts w:ascii="Garamond" w:hAnsi="Garamond"/>
          <w:lang w:val="en-GB"/>
        </w:rPr>
        <w:t xml:space="preserve"> </w:t>
      </w:r>
      <w:r w:rsidR="006E1207" w:rsidRPr="00966D98">
        <w:rPr>
          <w:rFonts w:ascii="Garamond" w:hAnsi="Garamond"/>
          <w:color w:val="000000" w:themeColor="text1"/>
          <w:lang w:val="en-GB"/>
        </w:rPr>
        <w:t xml:space="preserve">This has implications around specific types of criteria that are used in evaluation, and the cultural signifiers that indicate what is valuable research. This might result in greater technological developments (e.g. greater ability to harvest mentions in online policy documents), changes in incentive or reward structures (e.g. incentivising outputs that speak to both policy and media audiences), or more strategic production, measurement and interpretation (e.g. introducing policy briefs and summaries to gain authority via the field of politics). It could also lead to reconfigurations of research agendas, forms of investment </w:t>
      </w:r>
      <w:r w:rsidR="007A41EF" w:rsidRPr="00966D98">
        <w:rPr>
          <w:rFonts w:ascii="Garamond" w:hAnsi="Garamond"/>
          <w:color w:val="000000" w:themeColor="text1"/>
          <w:lang w:val="en-GB"/>
        </w:rPr>
        <w:t xml:space="preserve">and specific assessments measures and methods </w:t>
      </w:r>
      <w:r w:rsidR="006E1207" w:rsidRPr="00966D98">
        <w:rPr>
          <w:rFonts w:ascii="Garamond" w:hAnsi="Garamond"/>
          <w:color w:val="000000" w:themeColor="text1"/>
          <w:lang w:val="en-GB"/>
        </w:rPr>
        <w:t xml:space="preserve">that are aligned with what impact actually is. </w:t>
      </w:r>
      <w:r w:rsidR="006E1207" w:rsidRPr="00966D98">
        <w:rPr>
          <w:rFonts w:ascii="Garamond" w:hAnsi="Garamond"/>
          <w:lang w:val="en-GB"/>
        </w:rPr>
        <w:t>As research impact assessment develops and changes, it will be important to understand and harness the underlying symbolic resources made available by various fields of power.</w:t>
      </w:r>
    </w:p>
    <w:p w14:paraId="4A0345B1" w14:textId="079C807B" w:rsidR="000A56A5" w:rsidRPr="00966D98" w:rsidRDefault="007545C4" w:rsidP="0063297B">
      <w:pPr>
        <w:pStyle w:val="Body"/>
        <w:spacing w:before="120" w:after="120" w:line="360" w:lineRule="auto"/>
        <w:ind w:firstLine="284"/>
        <w:jc w:val="both"/>
        <w:rPr>
          <w:rFonts w:ascii="Garamond" w:hAnsi="Garamond"/>
          <w:color w:val="000000" w:themeColor="text1"/>
          <w:lang w:val="en-GB"/>
        </w:rPr>
      </w:pPr>
      <w:r w:rsidRPr="00966D98">
        <w:rPr>
          <w:rFonts w:ascii="Garamond" w:eastAsia="Garamond" w:hAnsi="Garamond" w:cs="Garamond"/>
          <w:color w:val="000000" w:themeColor="text1"/>
          <w:lang w:val="en-GB"/>
        </w:rPr>
        <w:t>T</w:t>
      </w:r>
      <w:r w:rsidR="00A80329" w:rsidRPr="00966D98">
        <w:rPr>
          <w:rFonts w:ascii="Garamond" w:eastAsia="Garamond" w:hAnsi="Garamond" w:cs="Garamond"/>
          <w:color w:val="000000" w:themeColor="text1"/>
          <w:lang w:val="en-GB"/>
        </w:rPr>
        <w:t>he framework presented here could be developed further to</w:t>
      </w:r>
      <w:r w:rsidR="00A55903" w:rsidRPr="00966D98">
        <w:rPr>
          <w:rFonts w:ascii="Garamond" w:eastAsia="Garamond" w:hAnsi="Garamond" w:cs="Garamond"/>
          <w:color w:val="000000" w:themeColor="text1"/>
          <w:lang w:val="en-GB"/>
        </w:rPr>
        <w:t xml:space="preserve"> </w:t>
      </w:r>
      <w:r w:rsidR="000A56A5" w:rsidRPr="00966D98">
        <w:rPr>
          <w:rFonts w:ascii="Garamond" w:eastAsia="Garamond" w:hAnsi="Garamond" w:cs="Garamond"/>
          <w:color w:val="000000" w:themeColor="text1"/>
          <w:lang w:val="en-GB"/>
        </w:rPr>
        <w:t xml:space="preserve">facilitate </w:t>
      </w:r>
      <w:r w:rsidR="00A80329" w:rsidRPr="00966D98">
        <w:rPr>
          <w:rFonts w:ascii="Garamond" w:eastAsia="Garamond" w:hAnsi="Garamond" w:cs="Garamond"/>
          <w:color w:val="000000" w:themeColor="text1"/>
          <w:lang w:val="en-GB"/>
        </w:rPr>
        <w:t xml:space="preserve">a detailed </w:t>
      </w:r>
      <w:r w:rsidR="000A56A5" w:rsidRPr="00966D98">
        <w:rPr>
          <w:rFonts w:ascii="Garamond" w:eastAsia="Garamond" w:hAnsi="Garamond" w:cs="Garamond"/>
          <w:color w:val="000000" w:themeColor="text1"/>
          <w:lang w:val="en-GB"/>
        </w:rPr>
        <w:t xml:space="preserve">understanding of emerging cultures of evaluation </w:t>
      </w:r>
      <w:r w:rsidR="00A80329" w:rsidRPr="00966D98">
        <w:rPr>
          <w:rFonts w:ascii="Garamond" w:eastAsia="Garamond" w:hAnsi="Garamond" w:cs="Garamond"/>
          <w:color w:val="000000" w:themeColor="text1"/>
          <w:lang w:val="en-GB"/>
        </w:rPr>
        <w:t xml:space="preserve">around research impact </w:t>
      </w:r>
      <w:r w:rsidR="000A56A5" w:rsidRPr="00966D98">
        <w:rPr>
          <w:rFonts w:ascii="Garamond" w:eastAsia="Garamond" w:hAnsi="Garamond" w:cs="Garamond"/>
          <w:color w:val="000000" w:themeColor="text1"/>
          <w:lang w:val="en-GB"/>
        </w:rPr>
        <w:t xml:space="preserve">and the structures that underlie them. That is, there is a need for analysis that </w:t>
      </w:r>
      <w:r w:rsidR="008A2878" w:rsidRPr="00966D98">
        <w:rPr>
          <w:rFonts w:ascii="Garamond" w:eastAsia="Garamond" w:hAnsi="Garamond" w:cs="Garamond"/>
          <w:color w:val="000000" w:themeColor="text1"/>
          <w:lang w:val="en-GB"/>
        </w:rPr>
        <w:t xml:space="preserve">can </w:t>
      </w:r>
      <w:r w:rsidR="00A9625D" w:rsidRPr="00966D98">
        <w:rPr>
          <w:rFonts w:ascii="Garamond" w:eastAsia="Garamond" w:hAnsi="Garamond" w:cs="Garamond"/>
          <w:color w:val="000000" w:themeColor="text1"/>
          <w:lang w:val="en-GB"/>
        </w:rPr>
        <w:t>account for</w:t>
      </w:r>
      <w:r w:rsidR="000A56A5" w:rsidRPr="00966D98">
        <w:rPr>
          <w:rFonts w:ascii="Garamond" w:eastAsia="Garamond" w:hAnsi="Garamond" w:cs="Garamond"/>
          <w:color w:val="000000" w:themeColor="text1"/>
          <w:lang w:val="en-GB"/>
        </w:rPr>
        <w:t xml:space="preserve"> formal evaluative structures (</w:t>
      </w:r>
      <w:r w:rsidR="00A80329" w:rsidRPr="00966D98">
        <w:rPr>
          <w:rFonts w:ascii="Garamond" w:eastAsia="Garamond" w:hAnsi="Garamond" w:cs="Garamond"/>
          <w:color w:val="000000" w:themeColor="text1"/>
          <w:lang w:val="en-GB"/>
        </w:rPr>
        <w:t>e.g.</w:t>
      </w:r>
      <w:r w:rsidR="000A56A5" w:rsidRPr="00966D98">
        <w:rPr>
          <w:rFonts w:ascii="Garamond" w:eastAsia="Garamond" w:hAnsi="Garamond" w:cs="Garamond"/>
          <w:color w:val="000000" w:themeColor="text1"/>
          <w:lang w:val="en-GB"/>
        </w:rPr>
        <w:t xml:space="preserve"> </w:t>
      </w:r>
      <w:r w:rsidR="00A9625D" w:rsidRPr="00966D98">
        <w:rPr>
          <w:rFonts w:ascii="Garamond" w:eastAsia="Garamond" w:hAnsi="Garamond" w:cs="Garamond"/>
          <w:color w:val="000000" w:themeColor="text1"/>
          <w:lang w:val="en-GB"/>
        </w:rPr>
        <w:t>local</w:t>
      </w:r>
      <w:r w:rsidR="006D73A5" w:rsidRPr="00966D98">
        <w:rPr>
          <w:rFonts w:ascii="Garamond" w:eastAsia="Garamond" w:hAnsi="Garamond" w:cs="Garamond"/>
          <w:color w:val="000000" w:themeColor="text1"/>
          <w:lang w:val="en-GB"/>
        </w:rPr>
        <w:t xml:space="preserve"> or </w:t>
      </w:r>
      <w:r w:rsidR="00A9625D" w:rsidRPr="00966D98">
        <w:rPr>
          <w:rFonts w:ascii="Garamond" w:eastAsia="Garamond" w:hAnsi="Garamond" w:cs="Garamond"/>
          <w:color w:val="000000" w:themeColor="text1"/>
          <w:lang w:val="en-GB"/>
        </w:rPr>
        <w:t xml:space="preserve">national </w:t>
      </w:r>
      <w:r w:rsidR="000A56A5" w:rsidRPr="00966D98">
        <w:rPr>
          <w:rFonts w:ascii="Garamond" w:eastAsia="Garamond" w:hAnsi="Garamond" w:cs="Garamond"/>
          <w:color w:val="000000" w:themeColor="text1"/>
          <w:lang w:val="en-GB"/>
        </w:rPr>
        <w:t>incentives</w:t>
      </w:r>
      <w:r w:rsidR="006D73A5" w:rsidRPr="00966D98">
        <w:rPr>
          <w:rFonts w:ascii="Garamond" w:eastAsia="Garamond" w:hAnsi="Garamond" w:cs="Garamond"/>
          <w:color w:val="000000" w:themeColor="text1"/>
          <w:lang w:val="en-GB"/>
        </w:rPr>
        <w:t xml:space="preserve"> and </w:t>
      </w:r>
      <w:r w:rsidR="00A9625D" w:rsidRPr="00966D98">
        <w:rPr>
          <w:rFonts w:ascii="Garamond" w:eastAsia="Garamond" w:hAnsi="Garamond" w:cs="Garamond"/>
          <w:color w:val="000000" w:themeColor="text1"/>
          <w:lang w:val="en-GB"/>
        </w:rPr>
        <w:t>assessments</w:t>
      </w:r>
      <w:r w:rsidR="000A56A5" w:rsidRPr="00966D98">
        <w:rPr>
          <w:rFonts w:ascii="Garamond" w:eastAsia="Garamond" w:hAnsi="Garamond" w:cs="Garamond"/>
          <w:color w:val="000000" w:themeColor="text1"/>
          <w:lang w:val="en-GB"/>
        </w:rPr>
        <w:t>), and how they relate to informal evaluative cultures (</w:t>
      </w:r>
      <w:r w:rsidR="00A80329" w:rsidRPr="00966D98">
        <w:rPr>
          <w:rFonts w:ascii="Garamond" w:eastAsia="Garamond" w:hAnsi="Garamond" w:cs="Garamond"/>
          <w:color w:val="000000" w:themeColor="text1"/>
          <w:lang w:val="en-GB"/>
        </w:rPr>
        <w:t>e.g.</w:t>
      </w:r>
      <w:r w:rsidR="000A56A5" w:rsidRPr="00966D98">
        <w:rPr>
          <w:rFonts w:ascii="Garamond" w:eastAsia="Garamond" w:hAnsi="Garamond" w:cs="Garamond"/>
          <w:color w:val="000000" w:themeColor="text1"/>
          <w:lang w:val="en-GB"/>
        </w:rPr>
        <w:t xml:space="preserve"> the tacit way of doing things</w:t>
      </w:r>
      <w:r w:rsidR="00A46995" w:rsidRPr="00966D98">
        <w:rPr>
          <w:rFonts w:ascii="Garamond" w:eastAsia="Garamond" w:hAnsi="Garamond" w:cs="Garamond"/>
          <w:color w:val="000000" w:themeColor="text1"/>
          <w:lang w:val="en-GB"/>
        </w:rPr>
        <w:t xml:space="preserve"> in a given organisation, system or country</w:t>
      </w:r>
      <w:r w:rsidR="000A56A5" w:rsidRPr="00966D98">
        <w:rPr>
          <w:rFonts w:ascii="Garamond" w:eastAsia="Garamond" w:hAnsi="Garamond" w:cs="Garamond"/>
          <w:color w:val="000000" w:themeColor="text1"/>
          <w:lang w:val="en-GB"/>
        </w:rPr>
        <w:t>) and the actual production of knowledge (</w:t>
      </w:r>
      <w:r w:rsidRPr="00966D98">
        <w:rPr>
          <w:rFonts w:ascii="Garamond" w:eastAsia="Garamond" w:hAnsi="Garamond" w:cs="Garamond"/>
          <w:color w:val="000000" w:themeColor="text1"/>
          <w:lang w:val="en-GB"/>
        </w:rPr>
        <w:t>e.g</w:t>
      </w:r>
      <w:r w:rsidR="005D6D53" w:rsidRPr="00966D98">
        <w:rPr>
          <w:rFonts w:ascii="Garamond" w:eastAsia="Garamond" w:hAnsi="Garamond" w:cs="Garamond"/>
          <w:color w:val="000000" w:themeColor="text1"/>
          <w:lang w:val="en-GB"/>
        </w:rPr>
        <w:t>.</w:t>
      </w:r>
      <w:r w:rsidR="000A56A5" w:rsidRPr="00966D98">
        <w:rPr>
          <w:rFonts w:ascii="Garamond" w:eastAsia="Garamond" w:hAnsi="Garamond" w:cs="Garamond"/>
          <w:color w:val="000000" w:themeColor="text1"/>
          <w:lang w:val="en-GB"/>
        </w:rPr>
        <w:t xml:space="preserve"> the research </w:t>
      </w:r>
      <w:r w:rsidR="0083176E" w:rsidRPr="00966D98">
        <w:rPr>
          <w:rFonts w:ascii="Garamond" w:eastAsia="Garamond" w:hAnsi="Garamond" w:cs="Garamond"/>
          <w:color w:val="000000" w:themeColor="text1"/>
          <w:lang w:val="en-GB"/>
        </w:rPr>
        <w:t xml:space="preserve">and outputs </w:t>
      </w:r>
      <w:r w:rsidR="000A56A5" w:rsidRPr="00966D98">
        <w:rPr>
          <w:rFonts w:ascii="Garamond" w:eastAsia="Garamond" w:hAnsi="Garamond" w:cs="Garamond"/>
          <w:color w:val="000000" w:themeColor="text1"/>
          <w:lang w:val="en-GB"/>
        </w:rPr>
        <w:t xml:space="preserve">that </w:t>
      </w:r>
      <w:r w:rsidR="0083176E" w:rsidRPr="00966D98">
        <w:rPr>
          <w:rFonts w:ascii="Garamond" w:eastAsia="Garamond" w:hAnsi="Garamond" w:cs="Garamond"/>
          <w:color w:val="000000" w:themeColor="text1"/>
          <w:lang w:val="en-GB"/>
        </w:rPr>
        <w:t>are</w:t>
      </w:r>
      <w:r w:rsidR="000A56A5" w:rsidRPr="00966D98">
        <w:rPr>
          <w:rFonts w:ascii="Garamond" w:eastAsia="Garamond" w:hAnsi="Garamond" w:cs="Garamond"/>
          <w:color w:val="000000" w:themeColor="text1"/>
          <w:lang w:val="en-GB"/>
        </w:rPr>
        <w:t xml:space="preserve"> created</w:t>
      </w:r>
      <w:r w:rsidR="0083176E" w:rsidRPr="00966D98">
        <w:rPr>
          <w:rFonts w:ascii="Garamond" w:eastAsia="Garamond" w:hAnsi="Garamond" w:cs="Garamond"/>
          <w:color w:val="000000" w:themeColor="text1"/>
          <w:lang w:val="en-GB"/>
        </w:rPr>
        <w:t>,</w:t>
      </w:r>
      <w:r w:rsidR="000A56A5" w:rsidRPr="00966D98">
        <w:rPr>
          <w:rFonts w:ascii="Garamond" w:eastAsia="Garamond" w:hAnsi="Garamond" w:cs="Garamond"/>
          <w:color w:val="000000" w:themeColor="text1"/>
          <w:lang w:val="en-GB"/>
        </w:rPr>
        <w:t xml:space="preserve"> shared</w:t>
      </w:r>
      <w:r w:rsidR="0083176E" w:rsidRPr="00966D98">
        <w:rPr>
          <w:rFonts w:ascii="Garamond" w:eastAsia="Garamond" w:hAnsi="Garamond" w:cs="Garamond"/>
          <w:color w:val="000000" w:themeColor="text1"/>
          <w:lang w:val="en-GB"/>
        </w:rPr>
        <w:t xml:space="preserve"> and measured</w:t>
      </w:r>
      <w:r w:rsidR="000A56A5" w:rsidRPr="00966D98">
        <w:rPr>
          <w:rFonts w:ascii="Garamond" w:eastAsia="Garamond" w:hAnsi="Garamond" w:cs="Garamond"/>
          <w:color w:val="000000" w:themeColor="text1"/>
          <w:lang w:val="en-GB"/>
        </w:rPr>
        <w:t>).</w:t>
      </w:r>
      <w:r w:rsidR="008A2878" w:rsidRPr="00966D98">
        <w:rPr>
          <w:rFonts w:ascii="Garamond" w:eastAsia="Garamond" w:hAnsi="Garamond" w:cs="Garamond"/>
          <w:color w:val="000000" w:themeColor="text1"/>
          <w:lang w:val="en-GB"/>
        </w:rPr>
        <w:t xml:space="preserve"> Crucially,</w:t>
      </w:r>
      <w:r w:rsidR="00A53BA1" w:rsidRPr="00966D98">
        <w:rPr>
          <w:rFonts w:ascii="Garamond" w:hAnsi="Garamond"/>
          <w:lang w:val="en-GB"/>
        </w:rPr>
        <w:t xml:space="preserve"> </w:t>
      </w:r>
      <w:r w:rsidR="001773E6" w:rsidRPr="00966D98">
        <w:rPr>
          <w:rFonts w:ascii="Garamond" w:hAnsi="Garamond"/>
          <w:lang w:val="en-GB"/>
        </w:rPr>
        <w:t>empirical investigati</w:t>
      </w:r>
      <w:r w:rsidR="005C685A" w:rsidRPr="00966D98">
        <w:rPr>
          <w:rFonts w:ascii="Garamond" w:hAnsi="Garamond"/>
          <w:lang w:val="en-GB"/>
        </w:rPr>
        <w:t xml:space="preserve">on of </w:t>
      </w:r>
      <w:r w:rsidR="00A53BA1" w:rsidRPr="00966D98">
        <w:rPr>
          <w:rFonts w:ascii="Garamond" w:hAnsi="Garamond"/>
          <w:lang w:val="en-GB"/>
        </w:rPr>
        <w:t xml:space="preserve">potential steering effects </w:t>
      </w:r>
      <w:r w:rsidR="007E0162" w:rsidRPr="00966D98">
        <w:rPr>
          <w:rFonts w:ascii="Garamond" w:hAnsi="Garamond"/>
          <w:lang w:val="en-GB"/>
        </w:rPr>
        <w:t>is a</w:t>
      </w:r>
      <w:r w:rsidR="00A80329" w:rsidRPr="00966D98">
        <w:rPr>
          <w:rFonts w:ascii="Garamond" w:hAnsi="Garamond"/>
          <w:lang w:val="en-GB"/>
        </w:rPr>
        <w:t xml:space="preserve"> crucial </w:t>
      </w:r>
      <w:r w:rsidR="007E0162" w:rsidRPr="00966D98">
        <w:rPr>
          <w:rFonts w:ascii="Garamond" w:hAnsi="Garamond"/>
          <w:lang w:val="en-GB"/>
        </w:rPr>
        <w:t xml:space="preserve">task </w:t>
      </w:r>
      <w:r w:rsidR="00A80329" w:rsidRPr="00966D98">
        <w:rPr>
          <w:rFonts w:ascii="Garamond" w:hAnsi="Garamond"/>
          <w:lang w:val="en-GB"/>
        </w:rPr>
        <w:t>for future research</w:t>
      </w:r>
      <w:r w:rsidR="00B92B47" w:rsidRPr="00966D98">
        <w:rPr>
          <w:rFonts w:ascii="Garamond" w:hAnsi="Garamond"/>
          <w:lang w:val="en-GB"/>
        </w:rPr>
        <w:t xml:space="preserve">, which can then inform the </w:t>
      </w:r>
      <w:r w:rsidR="00B92B47" w:rsidRPr="00966D98">
        <w:rPr>
          <w:rFonts w:ascii="Garamond" w:hAnsi="Garamond"/>
          <w:color w:val="000000" w:themeColor="text1"/>
          <w:lang w:val="en-GB"/>
        </w:rPr>
        <w:t xml:space="preserve">design and implementation </w:t>
      </w:r>
      <w:r w:rsidR="00DA2D90" w:rsidRPr="00966D98">
        <w:rPr>
          <w:rFonts w:ascii="Garamond" w:hAnsi="Garamond"/>
          <w:color w:val="000000" w:themeColor="text1"/>
          <w:lang w:val="en-GB"/>
        </w:rPr>
        <w:t xml:space="preserve">of </w:t>
      </w:r>
      <w:r w:rsidR="00B92B47" w:rsidRPr="00966D98">
        <w:rPr>
          <w:rFonts w:ascii="Garamond" w:hAnsi="Garamond"/>
          <w:color w:val="000000" w:themeColor="text1"/>
          <w:lang w:val="en-GB"/>
        </w:rPr>
        <w:t xml:space="preserve">research evaluation methods to </w:t>
      </w:r>
      <w:r w:rsidR="00DA2D90" w:rsidRPr="00966D98">
        <w:rPr>
          <w:rFonts w:ascii="Garamond" w:hAnsi="Garamond"/>
          <w:color w:val="000000" w:themeColor="text1"/>
          <w:lang w:val="en-GB"/>
        </w:rPr>
        <w:t xml:space="preserve">facilitate </w:t>
      </w:r>
      <w:r w:rsidR="00B92B47" w:rsidRPr="00966D98">
        <w:rPr>
          <w:rFonts w:ascii="Garamond" w:hAnsi="Garamond"/>
          <w:color w:val="000000" w:themeColor="text1"/>
          <w:lang w:val="en-GB"/>
        </w:rPr>
        <w:t xml:space="preserve">constructive outcomes without introducing new biases into the system. </w:t>
      </w:r>
      <w:r w:rsidR="008575A5" w:rsidRPr="00966D98">
        <w:rPr>
          <w:rFonts w:ascii="Garamond" w:hAnsi="Garamond"/>
          <w:lang w:val="en-GB"/>
        </w:rPr>
        <w:t>These avenues can provide rich insight into</w:t>
      </w:r>
      <w:r w:rsidR="001A6081" w:rsidRPr="00966D98">
        <w:rPr>
          <w:rFonts w:ascii="Garamond" w:hAnsi="Garamond"/>
          <w:lang w:val="en-GB"/>
        </w:rPr>
        <w:t xml:space="preserve"> </w:t>
      </w:r>
      <w:r w:rsidR="000A56A5" w:rsidRPr="00966D98">
        <w:rPr>
          <w:rFonts w:ascii="Garamond" w:hAnsi="Garamond"/>
          <w:lang w:val="en-GB"/>
        </w:rPr>
        <w:t xml:space="preserve">the various ways in </w:t>
      </w:r>
      <w:r w:rsidR="000A56A5" w:rsidRPr="00966D98">
        <w:rPr>
          <w:rFonts w:ascii="Garamond" w:hAnsi="Garamond"/>
          <w:color w:val="000000" w:themeColor="text1"/>
          <w:lang w:val="en-GB"/>
        </w:rPr>
        <w:t xml:space="preserve">which research actors might </w:t>
      </w:r>
      <w:r w:rsidR="00667519" w:rsidRPr="00966D98">
        <w:rPr>
          <w:rFonts w:ascii="Garamond" w:hAnsi="Garamond"/>
          <w:color w:val="000000" w:themeColor="text1"/>
          <w:lang w:val="en-GB"/>
        </w:rPr>
        <w:t xml:space="preserve">enact and </w:t>
      </w:r>
      <w:r w:rsidR="000A56A5" w:rsidRPr="00966D98">
        <w:rPr>
          <w:rFonts w:ascii="Garamond" w:hAnsi="Garamond"/>
          <w:color w:val="000000" w:themeColor="text1"/>
          <w:lang w:val="en-GB"/>
        </w:rPr>
        <w:t xml:space="preserve">situate their work, </w:t>
      </w:r>
      <w:r w:rsidR="008A2878" w:rsidRPr="00966D98">
        <w:rPr>
          <w:rFonts w:ascii="Garamond" w:hAnsi="Garamond"/>
          <w:color w:val="000000" w:themeColor="text1"/>
          <w:lang w:val="en-GB"/>
        </w:rPr>
        <w:t xml:space="preserve">and variations in strategies and investments, </w:t>
      </w:r>
      <w:r w:rsidR="000A56A5" w:rsidRPr="00966D98">
        <w:rPr>
          <w:rFonts w:ascii="Garamond" w:hAnsi="Garamond"/>
          <w:color w:val="000000" w:themeColor="text1"/>
          <w:lang w:val="en-GB"/>
        </w:rPr>
        <w:t xml:space="preserve">without relying on </w:t>
      </w:r>
      <w:r w:rsidR="004D7A0B" w:rsidRPr="00966D98">
        <w:rPr>
          <w:rFonts w:ascii="Garamond" w:hAnsi="Garamond"/>
          <w:color w:val="000000" w:themeColor="text1"/>
          <w:lang w:val="en-GB"/>
        </w:rPr>
        <w:t xml:space="preserve">a limited set of </w:t>
      </w:r>
      <w:r w:rsidR="00634F5F" w:rsidRPr="00966D98">
        <w:rPr>
          <w:rFonts w:ascii="Garamond" w:hAnsi="Garamond"/>
          <w:color w:val="000000" w:themeColor="text1"/>
          <w:lang w:val="en-GB"/>
        </w:rPr>
        <w:t xml:space="preserve">values and models </w:t>
      </w:r>
      <w:r w:rsidR="000A56A5" w:rsidRPr="00966D98">
        <w:rPr>
          <w:rFonts w:ascii="Garamond" w:hAnsi="Garamond"/>
          <w:color w:val="000000" w:themeColor="text1"/>
          <w:lang w:val="en-GB"/>
        </w:rPr>
        <w:t>(e.g. bibliometrics</w:t>
      </w:r>
      <w:r w:rsidR="008575A5" w:rsidRPr="00966D98">
        <w:rPr>
          <w:rFonts w:ascii="Garamond" w:hAnsi="Garamond"/>
          <w:color w:val="000000" w:themeColor="text1"/>
          <w:lang w:val="en-GB"/>
        </w:rPr>
        <w:t xml:space="preserve"> or </w:t>
      </w:r>
      <w:r w:rsidR="004D7A0B" w:rsidRPr="00966D98">
        <w:rPr>
          <w:rFonts w:ascii="Garamond" w:hAnsi="Garamond"/>
          <w:color w:val="000000" w:themeColor="text1"/>
          <w:lang w:val="en-GB"/>
        </w:rPr>
        <w:t>economic measures</w:t>
      </w:r>
      <w:r w:rsidR="000A56A5" w:rsidRPr="00966D98">
        <w:rPr>
          <w:rFonts w:ascii="Garamond" w:hAnsi="Garamond"/>
          <w:color w:val="000000" w:themeColor="text1"/>
          <w:lang w:val="en-GB"/>
        </w:rPr>
        <w:t xml:space="preserve">). </w:t>
      </w:r>
      <w:r w:rsidR="00F13BE6" w:rsidRPr="00966D98">
        <w:rPr>
          <w:rFonts w:ascii="Garamond" w:hAnsi="Garamond"/>
          <w:color w:val="000000" w:themeColor="text1"/>
          <w:lang w:val="en-GB"/>
        </w:rPr>
        <w:t>Overall, t</w:t>
      </w:r>
      <w:r w:rsidR="0063297B" w:rsidRPr="00966D98">
        <w:rPr>
          <w:rFonts w:ascii="Garamond" w:hAnsi="Garamond"/>
          <w:color w:val="000000" w:themeColor="text1"/>
          <w:lang w:val="en-GB"/>
        </w:rPr>
        <w:t>h</w:t>
      </w:r>
      <w:r w:rsidR="00F13BE6" w:rsidRPr="00966D98">
        <w:rPr>
          <w:rFonts w:ascii="Garamond" w:hAnsi="Garamond"/>
          <w:color w:val="000000" w:themeColor="text1"/>
          <w:lang w:val="en-GB"/>
        </w:rPr>
        <w:t>is approach</w:t>
      </w:r>
      <w:r w:rsidR="0063297B" w:rsidRPr="00966D98">
        <w:rPr>
          <w:rFonts w:ascii="Garamond" w:hAnsi="Garamond"/>
          <w:color w:val="000000" w:themeColor="text1"/>
          <w:lang w:val="en-GB"/>
        </w:rPr>
        <w:t xml:space="preserve"> </w:t>
      </w:r>
      <w:r w:rsidR="00F13BE6" w:rsidRPr="00966D98">
        <w:rPr>
          <w:rFonts w:ascii="Garamond" w:hAnsi="Garamond"/>
          <w:color w:val="000000" w:themeColor="text1"/>
          <w:lang w:val="en-GB"/>
        </w:rPr>
        <w:t>can</w:t>
      </w:r>
      <w:r w:rsidR="0063297B" w:rsidRPr="00966D98">
        <w:rPr>
          <w:rFonts w:ascii="Garamond" w:hAnsi="Garamond"/>
          <w:color w:val="000000" w:themeColor="text1"/>
          <w:lang w:val="en-GB"/>
        </w:rPr>
        <w:t xml:space="preserve"> illustrate the power relations</w:t>
      </w:r>
      <w:r w:rsidR="003A0973" w:rsidRPr="00966D98">
        <w:rPr>
          <w:rFonts w:ascii="Garamond" w:hAnsi="Garamond"/>
          <w:color w:val="000000" w:themeColor="text1"/>
          <w:lang w:val="en-GB"/>
        </w:rPr>
        <w:t xml:space="preserve"> </w:t>
      </w:r>
      <w:r w:rsidR="0063297B" w:rsidRPr="00966D98">
        <w:rPr>
          <w:rFonts w:ascii="Garamond" w:hAnsi="Garamond"/>
          <w:color w:val="000000" w:themeColor="text1"/>
          <w:lang w:val="en-GB"/>
        </w:rPr>
        <w:t xml:space="preserve">that are produced by </w:t>
      </w:r>
      <w:r w:rsidR="00AE1292" w:rsidRPr="00966D98">
        <w:rPr>
          <w:rFonts w:ascii="Garamond" w:hAnsi="Garamond"/>
          <w:color w:val="000000" w:themeColor="text1"/>
          <w:lang w:val="en-GB"/>
        </w:rPr>
        <w:t xml:space="preserve">various </w:t>
      </w:r>
      <w:r w:rsidR="0063297B" w:rsidRPr="00966D98">
        <w:rPr>
          <w:rFonts w:ascii="Garamond" w:hAnsi="Garamond"/>
          <w:color w:val="000000" w:themeColor="text1"/>
          <w:lang w:val="en-GB"/>
        </w:rPr>
        <w:t>me</w:t>
      </w:r>
      <w:r w:rsidR="005E4310" w:rsidRPr="00966D98">
        <w:rPr>
          <w:rFonts w:ascii="Garamond" w:hAnsi="Garamond"/>
          <w:color w:val="000000" w:themeColor="text1"/>
          <w:lang w:val="en-GB"/>
        </w:rPr>
        <w:t>asures</w:t>
      </w:r>
      <w:r w:rsidR="0063297B" w:rsidRPr="00966D98">
        <w:rPr>
          <w:rFonts w:ascii="Garamond" w:hAnsi="Garamond"/>
          <w:color w:val="000000" w:themeColor="text1"/>
          <w:lang w:val="en-GB"/>
        </w:rPr>
        <w:t xml:space="preserve">, and encourage </w:t>
      </w:r>
      <w:r w:rsidR="00953214" w:rsidRPr="00966D98">
        <w:rPr>
          <w:rFonts w:ascii="Garamond" w:hAnsi="Garamond"/>
          <w:color w:val="000000" w:themeColor="text1"/>
          <w:lang w:val="en-GB"/>
        </w:rPr>
        <w:t>theoretically-informed ways</w:t>
      </w:r>
      <w:r w:rsidR="0063297B" w:rsidRPr="00966D98">
        <w:rPr>
          <w:rFonts w:ascii="Garamond" w:hAnsi="Garamond"/>
          <w:color w:val="000000" w:themeColor="text1"/>
          <w:lang w:val="en-GB"/>
        </w:rPr>
        <w:t xml:space="preserve"> of </w:t>
      </w:r>
      <w:r w:rsidR="00870745" w:rsidRPr="00966D98">
        <w:rPr>
          <w:rFonts w:ascii="Garamond" w:hAnsi="Garamond"/>
          <w:color w:val="000000" w:themeColor="text1"/>
          <w:lang w:val="en-GB"/>
        </w:rPr>
        <w:t xml:space="preserve">understanding and </w:t>
      </w:r>
      <w:r w:rsidR="0063297B" w:rsidRPr="00966D98">
        <w:rPr>
          <w:rFonts w:ascii="Garamond" w:hAnsi="Garamond"/>
          <w:color w:val="000000" w:themeColor="text1"/>
          <w:lang w:val="en-GB"/>
        </w:rPr>
        <w:t>measuring impact</w:t>
      </w:r>
      <w:r w:rsidR="00870745" w:rsidRPr="00966D98">
        <w:rPr>
          <w:rFonts w:ascii="Garamond" w:hAnsi="Garamond"/>
          <w:color w:val="000000" w:themeColor="text1"/>
          <w:lang w:val="en-GB"/>
        </w:rPr>
        <w:t>.</w:t>
      </w:r>
    </w:p>
    <w:p w14:paraId="61C97CFD" w14:textId="77777777" w:rsidR="00BA61F6" w:rsidRPr="00966D98" w:rsidRDefault="00BA61F6" w:rsidP="00A46DEC">
      <w:pPr>
        <w:pStyle w:val="Body"/>
        <w:widowControl w:val="0"/>
        <w:spacing w:before="200" w:after="200" w:line="360" w:lineRule="auto"/>
        <w:jc w:val="both"/>
        <w:outlineLvl w:val="0"/>
        <w:rPr>
          <w:rFonts w:ascii="Garamond" w:hAnsi="Garamond"/>
          <w:b/>
          <w:lang w:val="en-GB"/>
        </w:rPr>
        <w:sectPr w:rsidR="00BA61F6" w:rsidRPr="00966D98" w:rsidSect="001F7F42">
          <w:pgSz w:w="11900" w:h="16840"/>
          <w:pgMar w:top="1440" w:right="1440" w:bottom="1440" w:left="1440" w:header="708" w:footer="708" w:gutter="0"/>
          <w:cols w:space="708"/>
          <w:docGrid w:linePitch="360"/>
        </w:sectPr>
      </w:pPr>
    </w:p>
    <w:p w14:paraId="43EFA56B" w14:textId="2F54C2FF" w:rsidR="00717E66" w:rsidRPr="00966D98" w:rsidRDefault="00717E66" w:rsidP="00A46DEC">
      <w:pPr>
        <w:pStyle w:val="Body"/>
        <w:widowControl w:val="0"/>
        <w:spacing w:before="200" w:after="200" w:line="360" w:lineRule="auto"/>
        <w:jc w:val="both"/>
        <w:outlineLvl w:val="0"/>
        <w:rPr>
          <w:rFonts w:ascii="Garamond" w:hAnsi="Garamond"/>
          <w:b/>
          <w:lang w:val="en-GB"/>
        </w:rPr>
      </w:pPr>
      <w:r w:rsidRPr="00966D98">
        <w:rPr>
          <w:rFonts w:ascii="Garamond" w:hAnsi="Garamond"/>
          <w:b/>
          <w:lang w:val="en-GB"/>
        </w:rPr>
        <w:lastRenderedPageBreak/>
        <w:t>References</w:t>
      </w:r>
    </w:p>
    <w:p w14:paraId="2F704F92" w14:textId="317F23E9" w:rsidR="00CA0143" w:rsidRPr="00966D98" w:rsidRDefault="00CA0143" w:rsidP="00CA0143">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Andrews, P. C. S. (2018) ‘</w:t>
      </w:r>
      <w:r w:rsidR="004C5F88" w:rsidRPr="00966D98">
        <w:rPr>
          <w:rFonts w:ascii="Garamond" w:hAnsi="Garamond"/>
          <w:lang w:val="en-GB"/>
        </w:rPr>
        <w:t>‘</w:t>
      </w:r>
      <w:r w:rsidRPr="00966D98">
        <w:rPr>
          <w:rFonts w:ascii="Garamond" w:hAnsi="Garamond"/>
          <w:lang w:val="en-GB"/>
        </w:rPr>
        <w:t>Putting it Together, That’s What Counts</w:t>
      </w:r>
      <w:r w:rsidR="004C5F88" w:rsidRPr="00966D98">
        <w:rPr>
          <w:rFonts w:ascii="Garamond" w:hAnsi="Garamond"/>
          <w:lang w:val="en-GB"/>
        </w:rPr>
        <w:t>’</w:t>
      </w:r>
      <w:r w:rsidRPr="00966D98">
        <w:rPr>
          <w:rFonts w:ascii="Garamond" w:hAnsi="Garamond"/>
          <w:lang w:val="en-GB"/>
        </w:rPr>
        <w:t xml:space="preserve">: Data Foam, a Snowball and Researcher Evaluation’, in Moore P., Upchurch M., and Whittaker X. (eds) </w:t>
      </w:r>
      <w:r w:rsidRPr="00966D98">
        <w:rPr>
          <w:rFonts w:ascii="Garamond" w:hAnsi="Garamond"/>
          <w:i/>
          <w:lang w:val="en-GB"/>
        </w:rPr>
        <w:t>Humans and Machines at Work - Monitoring, Surveillance and Automation in Contemporary Capitalism,</w:t>
      </w:r>
      <w:r w:rsidRPr="00966D98">
        <w:rPr>
          <w:rFonts w:ascii="Garamond" w:hAnsi="Garamond"/>
          <w:lang w:val="en-GB"/>
        </w:rPr>
        <w:t xml:space="preserve"> pp. 203–229. Cham: Palgrave Macmillan. </w:t>
      </w:r>
    </w:p>
    <w:p w14:paraId="1E48D81A" w14:textId="3B144469" w:rsidR="00DF5ADC" w:rsidRPr="00966D98" w:rsidRDefault="00DF5ADC" w:rsidP="00DF5ADC">
      <w:pPr>
        <w:pStyle w:val="Body"/>
        <w:widowControl w:val="0"/>
        <w:spacing w:before="200" w:after="200" w:line="360" w:lineRule="auto"/>
        <w:ind w:left="480" w:hanging="480"/>
        <w:jc w:val="both"/>
        <w:rPr>
          <w:rFonts w:ascii="Garamond" w:hAnsi="Garamond"/>
          <w:color w:val="000000" w:themeColor="text1"/>
          <w:lang w:val="en-GB"/>
        </w:rPr>
      </w:pPr>
      <w:proofErr w:type="spellStart"/>
      <w:r w:rsidRPr="00966D98">
        <w:rPr>
          <w:rFonts w:ascii="Garamond" w:hAnsi="Garamond"/>
          <w:color w:val="000000" w:themeColor="text1"/>
          <w:lang w:val="en-GB"/>
        </w:rPr>
        <w:t>Bastow</w:t>
      </w:r>
      <w:proofErr w:type="spellEnd"/>
      <w:r w:rsidRPr="00966D98">
        <w:rPr>
          <w:rFonts w:ascii="Garamond" w:hAnsi="Garamond"/>
          <w:color w:val="000000" w:themeColor="text1"/>
          <w:lang w:val="en-GB"/>
        </w:rPr>
        <w:t xml:space="preserve">, Dunleavy &amp; </w:t>
      </w:r>
      <w:proofErr w:type="spellStart"/>
      <w:r w:rsidRPr="00966D98">
        <w:rPr>
          <w:rFonts w:ascii="Garamond" w:hAnsi="Garamond"/>
          <w:color w:val="000000" w:themeColor="text1"/>
          <w:lang w:val="en-GB"/>
        </w:rPr>
        <w:t>Tinkler</w:t>
      </w:r>
      <w:proofErr w:type="spellEnd"/>
      <w:r w:rsidRPr="00966D98">
        <w:rPr>
          <w:rFonts w:ascii="Garamond" w:hAnsi="Garamond"/>
          <w:color w:val="000000" w:themeColor="text1"/>
          <w:lang w:val="en-GB"/>
        </w:rPr>
        <w:t xml:space="preserve"> 2014. </w:t>
      </w:r>
      <w:proofErr w:type="spellStart"/>
      <w:r w:rsidRPr="00966D98">
        <w:rPr>
          <w:rFonts w:ascii="Garamond" w:hAnsi="Garamond"/>
          <w:color w:val="000000" w:themeColor="text1"/>
          <w:lang w:val="en-GB"/>
        </w:rPr>
        <w:t>Bastow</w:t>
      </w:r>
      <w:proofErr w:type="spellEnd"/>
      <w:r w:rsidRPr="00966D98">
        <w:rPr>
          <w:rFonts w:ascii="Garamond" w:hAnsi="Garamond"/>
          <w:color w:val="000000" w:themeColor="text1"/>
          <w:lang w:val="en-GB"/>
        </w:rPr>
        <w:t xml:space="preserve">, S., Dunleavy, P., &amp; </w:t>
      </w:r>
      <w:proofErr w:type="spellStart"/>
      <w:r w:rsidRPr="00966D98">
        <w:rPr>
          <w:rFonts w:ascii="Garamond" w:hAnsi="Garamond"/>
          <w:color w:val="000000" w:themeColor="text1"/>
          <w:lang w:val="en-GB"/>
        </w:rPr>
        <w:t>Tinkler</w:t>
      </w:r>
      <w:proofErr w:type="spellEnd"/>
      <w:r w:rsidRPr="00966D98">
        <w:rPr>
          <w:rFonts w:ascii="Garamond" w:hAnsi="Garamond"/>
          <w:color w:val="000000" w:themeColor="text1"/>
          <w:lang w:val="en-GB"/>
        </w:rPr>
        <w:t>, J. (2014). </w:t>
      </w:r>
      <w:r w:rsidRPr="00966D98">
        <w:rPr>
          <w:rFonts w:ascii="Garamond" w:hAnsi="Garamond"/>
          <w:i/>
          <w:iCs/>
          <w:color w:val="000000" w:themeColor="text1"/>
          <w:lang w:val="en-GB"/>
        </w:rPr>
        <w:t>The impact of the social sciences: How academics and their research make a difference</w:t>
      </w:r>
      <w:r w:rsidRPr="00966D98">
        <w:rPr>
          <w:rFonts w:ascii="Garamond" w:hAnsi="Garamond"/>
          <w:color w:val="000000" w:themeColor="text1"/>
          <w:lang w:val="en-GB"/>
        </w:rPr>
        <w:t>. London</w:t>
      </w:r>
      <w:proofErr w:type="gramStart"/>
      <w:r w:rsidRPr="00966D98">
        <w:rPr>
          <w:rFonts w:ascii="Garamond" w:hAnsi="Garamond"/>
          <w:color w:val="000000" w:themeColor="text1"/>
          <w:lang w:val="en-GB"/>
        </w:rPr>
        <w:t>, :</w:t>
      </w:r>
      <w:proofErr w:type="gramEnd"/>
      <w:r w:rsidRPr="00966D98">
        <w:rPr>
          <w:rFonts w:ascii="Garamond" w:hAnsi="Garamond"/>
          <w:color w:val="000000" w:themeColor="text1"/>
          <w:lang w:val="en-GB"/>
        </w:rPr>
        <w:t xml:space="preserve"> SAGE Publications Ltd.</w:t>
      </w:r>
    </w:p>
    <w:p w14:paraId="08482A1F" w14:textId="36F98AA6" w:rsidR="00B569EB" w:rsidRPr="00966D98" w:rsidRDefault="00B569EB"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Benneworth</w:t>
      </w:r>
      <w:proofErr w:type="spellEnd"/>
      <w:r w:rsidRPr="00966D98">
        <w:rPr>
          <w:rFonts w:ascii="Garamond" w:hAnsi="Garamond"/>
          <w:lang w:val="en-GB"/>
        </w:rPr>
        <w:t xml:space="preserve">, P. (2015). Tracing how arts and humanities research translates, circulates and consolidates in </w:t>
      </w:r>
      <w:proofErr w:type="gramStart"/>
      <w:r w:rsidRPr="00966D98">
        <w:rPr>
          <w:rFonts w:ascii="Garamond" w:hAnsi="Garamond"/>
          <w:lang w:val="en-GB"/>
        </w:rPr>
        <w:t>society..</w:t>
      </w:r>
      <w:proofErr w:type="gramEnd"/>
      <w:r w:rsidRPr="00966D98">
        <w:rPr>
          <w:rFonts w:ascii="Garamond" w:hAnsi="Garamond"/>
          <w:lang w:val="en-GB"/>
        </w:rPr>
        <w:t xml:space="preserve"> How have scholars been reacting to diverse impact and public value agendas? </w:t>
      </w:r>
      <w:r w:rsidRPr="00966D98">
        <w:rPr>
          <w:rFonts w:ascii="Garamond" w:hAnsi="Garamond"/>
          <w:i/>
          <w:iCs/>
          <w:lang w:val="en-GB"/>
        </w:rPr>
        <w:t>Arts and Humanities in Higher Education</w:t>
      </w:r>
      <w:r w:rsidRPr="00966D98">
        <w:rPr>
          <w:rFonts w:ascii="Garamond" w:hAnsi="Garamond"/>
          <w:lang w:val="en-GB"/>
        </w:rPr>
        <w:t>, </w:t>
      </w:r>
      <w:r w:rsidRPr="00966D98">
        <w:rPr>
          <w:rFonts w:ascii="Garamond" w:hAnsi="Garamond"/>
          <w:i/>
          <w:iCs/>
          <w:lang w:val="en-GB"/>
        </w:rPr>
        <w:t>14</w:t>
      </w:r>
      <w:r w:rsidRPr="00966D98">
        <w:rPr>
          <w:rFonts w:ascii="Garamond" w:hAnsi="Garamond"/>
          <w:lang w:val="en-GB"/>
        </w:rPr>
        <w:t>(1), 45–60. </w:t>
      </w:r>
    </w:p>
    <w:p w14:paraId="5BA9DD00" w14:textId="6E83A655"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Benson, R. &amp; </w:t>
      </w:r>
      <w:proofErr w:type="spellStart"/>
      <w:r w:rsidRPr="00966D98">
        <w:rPr>
          <w:rFonts w:ascii="Garamond" w:hAnsi="Garamond"/>
          <w:lang w:val="en-GB"/>
        </w:rPr>
        <w:t>Neveu</w:t>
      </w:r>
      <w:proofErr w:type="spellEnd"/>
      <w:r w:rsidRPr="00966D98">
        <w:rPr>
          <w:rFonts w:ascii="Garamond" w:hAnsi="Garamond"/>
          <w:lang w:val="en-GB"/>
        </w:rPr>
        <w:t xml:space="preserve">, E. (2005). </w:t>
      </w:r>
      <w:r w:rsidRPr="00966D98">
        <w:rPr>
          <w:rFonts w:ascii="Garamond" w:hAnsi="Garamond"/>
          <w:i/>
          <w:iCs/>
          <w:lang w:val="en-GB"/>
        </w:rPr>
        <w:t xml:space="preserve">Bourdieu and </w:t>
      </w:r>
      <w:r w:rsidRPr="00966D98">
        <w:rPr>
          <w:rFonts w:ascii="Garamond" w:hAnsi="Garamond"/>
          <w:i/>
          <w:lang w:val="en-GB"/>
        </w:rPr>
        <w:t xml:space="preserve">the </w:t>
      </w:r>
      <w:r w:rsidRPr="00966D98">
        <w:rPr>
          <w:rFonts w:ascii="Garamond" w:hAnsi="Garamond"/>
          <w:i/>
          <w:iCs/>
          <w:lang w:val="en-GB"/>
        </w:rPr>
        <w:t>journalistic field</w:t>
      </w:r>
      <w:r w:rsidRPr="00966D98">
        <w:rPr>
          <w:rFonts w:ascii="Garamond" w:hAnsi="Garamond"/>
          <w:lang w:val="en-GB"/>
        </w:rPr>
        <w:t>. Chicago: Polity.</w:t>
      </w:r>
    </w:p>
    <w:p w14:paraId="1E902EC1"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Bornmann</w:t>
      </w:r>
      <w:proofErr w:type="spellEnd"/>
      <w:r w:rsidRPr="00966D98">
        <w:rPr>
          <w:rFonts w:ascii="Garamond" w:hAnsi="Garamond"/>
          <w:lang w:val="en-GB"/>
        </w:rPr>
        <w:t xml:space="preserve">, L. (2012). Measuring the societal impact of research. </w:t>
      </w:r>
      <w:r w:rsidRPr="00966D98">
        <w:rPr>
          <w:rFonts w:ascii="Garamond" w:hAnsi="Garamond"/>
          <w:i/>
          <w:lang w:val="en-GB"/>
        </w:rPr>
        <w:t>EMBO Reports</w:t>
      </w:r>
      <w:r w:rsidRPr="00966D98">
        <w:rPr>
          <w:rFonts w:ascii="Garamond" w:hAnsi="Garamond"/>
          <w:lang w:val="en-GB"/>
        </w:rPr>
        <w:t xml:space="preserve">, </w:t>
      </w:r>
      <w:r w:rsidRPr="00966D98">
        <w:rPr>
          <w:rFonts w:ascii="Garamond" w:hAnsi="Garamond"/>
          <w:i/>
          <w:lang w:val="en-GB"/>
        </w:rPr>
        <w:t>13</w:t>
      </w:r>
      <w:r w:rsidRPr="00966D98">
        <w:rPr>
          <w:rFonts w:ascii="Garamond" w:hAnsi="Garamond"/>
          <w:lang w:val="en-GB"/>
        </w:rPr>
        <w:t xml:space="preserve">(8), 673–676. </w:t>
      </w:r>
    </w:p>
    <w:p w14:paraId="1C5E6F38"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Bourdieu, P. (1985). The genesis of the concepts of habitus and field. In </w:t>
      </w:r>
      <w:proofErr w:type="spellStart"/>
      <w:r w:rsidRPr="00966D98">
        <w:rPr>
          <w:rFonts w:ascii="Garamond" w:hAnsi="Garamond"/>
          <w:i/>
          <w:lang w:val="en-GB"/>
        </w:rPr>
        <w:t>Sociocriticism</w:t>
      </w:r>
      <w:proofErr w:type="spellEnd"/>
      <w:r w:rsidRPr="00966D98">
        <w:rPr>
          <w:rFonts w:ascii="Garamond" w:hAnsi="Garamond"/>
          <w:lang w:val="en-GB"/>
        </w:rPr>
        <w:t xml:space="preserve"> (Vol. 2, pp. 11–24).</w:t>
      </w:r>
    </w:p>
    <w:p w14:paraId="6DDD674C"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r w:rsidRPr="00966D98">
        <w:rPr>
          <w:rFonts w:ascii="Garamond" w:hAnsi="Garamond"/>
          <w:lang w:val="en-GB"/>
        </w:rPr>
        <w:t xml:space="preserve">Bourdieu, P. (1990a). Social space and symbolic power. </w:t>
      </w:r>
      <w:r w:rsidRPr="00966D98">
        <w:rPr>
          <w:rFonts w:ascii="Garamond" w:hAnsi="Garamond"/>
          <w:i/>
          <w:lang w:val="en-GB"/>
        </w:rPr>
        <w:t>Sociological Theory</w:t>
      </w:r>
      <w:r w:rsidRPr="00966D98">
        <w:rPr>
          <w:rFonts w:ascii="Garamond" w:hAnsi="Garamond"/>
          <w:lang w:val="en-GB"/>
        </w:rPr>
        <w:t xml:space="preserve">, </w:t>
      </w:r>
      <w:r w:rsidRPr="00966D98">
        <w:rPr>
          <w:rFonts w:ascii="Garamond" w:hAnsi="Garamond"/>
          <w:i/>
          <w:lang w:val="en-GB"/>
        </w:rPr>
        <w:t>7</w:t>
      </w:r>
      <w:r w:rsidRPr="00966D98">
        <w:rPr>
          <w:rFonts w:ascii="Garamond" w:hAnsi="Garamond"/>
          <w:lang w:val="en-GB"/>
        </w:rPr>
        <w:t>(1), 123–139.</w:t>
      </w:r>
    </w:p>
    <w:p w14:paraId="61D0B20A"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r w:rsidRPr="00966D98">
        <w:rPr>
          <w:rFonts w:ascii="Garamond" w:hAnsi="Garamond"/>
          <w:lang w:val="en-GB"/>
        </w:rPr>
        <w:t xml:space="preserve">Bourdieu, P. (1990b). </w:t>
      </w:r>
      <w:r w:rsidRPr="00966D98">
        <w:rPr>
          <w:rFonts w:ascii="Garamond" w:hAnsi="Garamond"/>
          <w:i/>
          <w:iCs/>
          <w:lang w:val="en-GB"/>
        </w:rPr>
        <w:t>The logic of practice</w:t>
      </w:r>
      <w:r w:rsidRPr="00966D98">
        <w:rPr>
          <w:rFonts w:ascii="Garamond" w:hAnsi="Garamond"/>
          <w:lang w:val="en-GB"/>
        </w:rPr>
        <w:t>. Stanford: Stanford University Press.</w:t>
      </w:r>
    </w:p>
    <w:p w14:paraId="1E4B04F9"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r w:rsidRPr="00966D98">
        <w:rPr>
          <w:rFonts w:ascii="Garamond" w:hAnsi="Garamond"/>
          <w:lang w:val="en-GB"/>
        </w:rPr>
        <w:t xml:space="preserve">Bourdieu, P. (1993). </w:t>
      </w:r>
      <w:r w:rsidRPr="00966D98">
        <w:rPr>
          <w:rFonts w:ascii="Garamond" w:hAnsi="Garamond"/>
          <w:i/>
          <w:lang w:val="en-GB"/>
        </w:rPr>
        <w:t>The field of cultural production: essays on art and literature</w:t>
      </w:r>
      <w:r w:rsidRPr="00966D98">
        <w:rPr>
          <w:rFonts w:ascii="Garamond" w:hAnsi="Garamond"/>
          <w:lang w:val="en-GB"/>
        </w:rPr>
        <w:t>. Cambridge: Polity.</w:t>
      </w:r>
    </w:p>
    <w:p w14:paraId="16AAF759" w14:textId="0B675AC3" w:rsidR="00F952B2" w:rsidRPr="00966D98" w:rsidRDefault="00F952B2" w:rsidP="00F952B2">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Burawoy</w:t>
      </w:r>
      <w:proofErr w:type="spellEnd"/>
      <w:r w:rsidRPr="00966D98">
        <w:rPr>
          <w:rFonts w:ascii="Garamond" w:hAnsi="Garamond"/>
          <w:lang w:val="en-GB"/>
        </w:rPr>
        <w:t>, 2012. The public university – a battleground for real utopias. Presentation at the annual meeting of the American Sociological Association. http://burawoy.berkeley.edu/Universities/The%20Public%20University%20as%20Real%20utopia.pdf</w:t>
      </w:r>
    </w:p>
    <w:p w14:paraId="393DDF21" w14:textId="17D9A2A9" w:rsidR="00BF2218" w:rsidRPr="00966D98" w:rsidRDefault="00BF2218"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Commonwealth of Australia. (2001). Backing Australia’s Ability—An Innovation Action Plan for the Future. &lt;https://www.austms.org.au/Jobs/ backing_Aust_ability.pdf&gt;. </w:t>
      </w:r>
    </w:p>
    <w:p w14:paraId="3C964227" w14:textId="77777777" w:rsidR="00717E66" w:rsidRPr="00966D98" w:rsidRDefault="00717E66" w:rsidP="00DF48B8">
      <w:pPr>
        <w:pStyle w:val="Body"/>
        <w:widowControl w:val="0"/>
        <w:spacing w:before="200" w:after="200" w:line="360" w:lineRule="auto"/>
        <w:ind w:left="480" w:hanging="480"/>
        <w:jc w:val="both"/>
        <w:rPr>
          <w:rFonts w:ascii="Garamond" w:hAnsi="Garamond"/>
          <w:b/>
          <w:lang w:val="en-GB"/>
        </w:rPr>
      </w:pPr>
      <w:proofErr w:type="spellStart"/>
      <w:r w:rsidRPr="00966D98">
        <w:rPr>
          <w:rFonts w:ascii="Garamond" w:hAnsi="Garamond"/>
          <w:lang w:val="en-GB"/>
        </w:rPr>
        <w:t>Dahler</w:t>
      </w:r>
      <w:proofErr w:type="spellEnd"/>
      <w:r w:rsidRPr="00966D98">
        <w:rPr>
          <w:rFonts w:ascii="Garamond" w:hAnsi="Garamond"/>
          <w:lang w:val="en-GB"/>
        </w:rPr>
        <w:t xml:space="preserve">-Larsen, P. (2007). Constitutive Effects of Performance Indicator Systems, in S. Kushner, Ni. Norris (eds.) </w:t>
      </w:r>
      <w:r w:rsidRPr="00966D98">
        <w:rPr>
          <w:rFonts w:ascii="Garamond" w:hAnsi="Garamond"/>
          <w:i/>
          <w:lang w:val="en-GB"/>
        </w:rPr>
        <w:t xml:space="preserve">Dilemmas of Engagement: Evaluation and the New Public Management (Advances in Program Evaluation, Volume 10). </w:t>
      </w:r>
      <w:r w:rsidRPr="00966D98">
        <w:rPr>
          <w:rFonts w:ascii="Garamond" w:hAnsi="Garamond"/>
          <w:lang w:val="en-GB"/>
        </w:rPr>
        <w:t xml:space="preserve">Emerald Group, pp.17 – 35. </w:t>
      </w:r>
    </w:p>
    <w:p w14:paraId="6B74B226" w14:textId="103B639F"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Davies, B., </w:t>
      </w:r>
      <w:proofErr w:type="spellStart"/>
      <w:r w:rsidRPr="00966D98">
        <w:rPr>
          <w:rFonts w:ascii="Garamond" w:hAnsi="Garamond"/>
          <w:lang w:val="en-GB"/>
        </w:rPr>
        <w:t>Gottsche</w:t>
      </w:r>
      <w:proofErr w:type="spellEnd"/>
      <w:r w:rsidRPr="00966D98">
        <w:rPr>
          <w:rFonts w:ascii="Garamond" w:hAnsi="Garamond"/>
          <w:lang w:val="en-GB"/>
        </w:rPr>
        <w:t>, M.</w:t>
      </w:r>
      <w:r w:rsidR="00B81767" w:rsidRPr="00966D98">
        <w:rPr>
          <w:rFonts w:ascii="Garamond" w:hAnsi="Garamond"/>
          <w:lang w:val="en-GB"/>
        </w:rPr>
        <w:t xml:space="preserve"> </w:t>
      </w:r>
      <w:r w:rsidRPr="00966D98">
        <w:rPr>
          <w:rFonts w:ascii="Garamond" w:hAnsi="Garamond"/>
          <w:lang w:val="en-GB"/>
        </w:rPr>
        <w:t xml:space="preserve">&amp; </w:t>
      </w:r>
      <w:proofErr w:type="spellStart"/>
      <w:r w:rsidRPr="00966D98">
        <w:rPr>
          <w:rFonts w:ascii="Garamond" w:hAnsi="Garamond"/>
          <w:lang w:val="en-GB"/>
        </w:rPr>
        <w:t>Bansel</w:t>
      </w:r>
      <w:proofErr w:type="spellEnd"/>
      <w:r w:rsidRPr="00966D98">
        <w:rPr>
          <w:rFonts w:ascii="Garamond" w:hAnsi="Garamond"/>
          <w:lang w:val="en-GB"/>
        </w:rPr>
        <w:t xml:space="preserve">, P. (2006). The rise and fall of the neoliberal university. </w:t>
      </w:r>
      <w:r w:rsidRPr="00966D98">
        <w:rPr>
          <w:rFonts w:ascii="Garamond" w:hAnsi="Garamond"/>
          <w:i/>
          <w:lang w:val="en-GB"/>
        </w:rPr>
        <w:t>European Journal of Education</w:t>
      </w:r>
      <w:r w:rsidRPr="00966D98">
        <w:rPr>
          <w:rFonts w:ascii="Garamond" w:hAnsi="Garamond"/>
          <w:lang w:val="en-GB"/>
        </w:rPr>
        <w:t xml:space="preserve">, </w:t>
      </w:r>
      <w:r w:rsidRPr="00966D98">
        <w:rPr>
          <w:rFonts w:ascii="Garamond" w:hAnsi="Garamond"/>
          <w:i/>
          <w:lang w:val="en-GB"/>
        </w:rPr>
        <w:t>41</w:t>
      </w:r>
      <w:r w:rsidRPr="00966D98">
        <w:rPr>
          <w:rFonts w:ascii="Garamond" w:hAnsi="Garamond"/>
          <w:lang w:val="en-GB"/>
        </w:rPr>
        <w:t xml:space="preserve">(2), 45–86. </w:t>
      </w:r>
    </w:p>
    <w:p w14:paraId="76E34FCA" w14:textId="2E654F50"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lastRenderedPageBreak/>
        <w:t xml:space="preserve">Deem, R. (2004). The knowledge worker, the manager-academic and the contemporary </w:t>
      </w:r>
      <w:r w:rsidR="00A66C67" w:rsidRPr="00966D98">
        <w:rPr>
          <w:rFonts w:ascii="Garamond" w:hAnsi="Garamond"/>
          <w:lang w:val="en-GB"/>
        </w:rPr>
        <w:t>UK</w:t>
      </w:r>
      <w:r w:rsidRPr="00966D98">
        <w:rPr>
          <w:rFonts w:ascii="Garamond" w:hAnsi="Garamond"/>
          <w:lang w:val="en-GB"/>
        </w:rPr>
        <w:t xml:space="preserve"> university: new and old forms of public management? </w:t>
      </w:r>
      <w:r w:rsidRPr="00966D98">
        <w:rPr>
          <w:rFonts w:ascii="Garamond" w:hAnsi="Garamond"/>
          <w:i/>
          <w:lang w:val="en-GB"/>
        </w:rPr>
        <w:t>Financial Accountability and Management</w:t>
      </w:r>
      <w:r w:rsidRPr="00966D98">
        <w:rPr>
          <w:rFonts w:ascii="Garamond" w:hAnsi="Garamond"/>
          <w:lang w:val="en-GB"/>
        </w:rPr>
        <w:t xml:space="preserve">, </w:t>
      </w:r>
      <w:r w:rsidRPr="00966D98">
        <w:rPr>
          <w:rFonts w:ascii="Garamond" w:hAnsi="Garamond"/>
          <w:i/>
          <w:lang w:val="en-GB"/>
        </w:rPr>
        <w:t>20</w:t>
      </w:r>
      <w:r w:rsidRPr="00966D98">
        <w:rPr>
          <w:rFonts w:ascii="Garamond" w:hAnsi="Garamond"/>
          <w:lang w:val="en-GB"/>
        </w:rPr>
        <w:t xml:space="preserve">(2), 107–128. </w:t>
      </w:r>
    </w:p>
    <w:p w14:paraId="0978FF7B" w14:textId="16AF6CDE"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de Lange</w:t>
      </w:r>
      <w:r w:rsidR="00B81767" w:rsidRPr="00966D98">
        <w:rPr>
          <w:rFonts w:ascii="Garamond" w:hAnsi="Garamond"/>
          <w:lang w:val="en-GB"/>
        </w:rPr>
        <w:t>,</w:t>
      </w:r>
      <w:r w:rsidRPr="00966D98">
        <w:rPr>
          <w:rFonts w:ascii="Garamond" w:hAnsi="Garamond"/>
          <w:lang w:val="en-GB"/>
        </w:rPr>
        <w:t xml:space="preserve"> P</w:t>
      </w:r>
      <w:r w:rsidR="00B81767" w:rsidRPr="00966D98">
        <w:rPr>
          <w:rFonts w:ascii="Garamond" w:hAnsi="Garamond"/>
          <w:lang w:val="en-GB"/>
        </w:rPr>
        <w:t>.</w:t>
      </w:r>
      <w:r w:rsidRPr="00966D98">
        <w:rPr>
          <w:rFonts w:ascii="Garamond" w:hAnsi="Garamond"/>
          <w:lang w:val="en-GB"/>
        </w:rPr>
        <w:t>, O’Connell</w:t>
      </w:r>
      <w:r w:rsidR="00B81767" w:rsidRPr="00966D98">
        <w:rPr>
          <w:rFonts w:ascii="Garamond" w:hAnsi="Garamond"/>
          <w:lang w:val="en-GB"/>
        </w:rPr>
        <w:t>,</w:t>
      </w:r>
      <w:r w:rsidRPr="00966D98">
        <w:rPr>
          <w:rFonts w:ascii="Garamond" w:hAnsi="Garamond"/>
          <w:lang w:val="en-GB"/>
        </w:rPr>
        <w:t xml:space="preserve"> B</w:t>
      </w:r>
      <w:r w:rsidR="00B81767" w:rsidRPr="00966D98">
        <w:rPr>
          <w:rFonts w:ascii="Garamond" w:hAnsi="Garamond"/>
          <w:lang w:val="en-GB"/>
        </w:rPr>
        <w:t>.</w:t>
      </w:r>
      <w:r w:rsidRPr="00966D98">
        <w:rPr>
          <w:rFonts w:ascii="Garamond" w:hAnsi="Garamond"/>
          <w:lang w:val="en-GB"/>
        </w:rPr>
        <w:t>, Mathews M</w:t>
      </w:r>
      <w:r w:rsidR="00B81767" w:rsidRPr="00966D98">
        <w:rPr>
          <w:rFonts w:ascii="Garamond" w:hAnsi="Garamond"/>
          <w:lang w:val="en-GB"/>
        </w:rPr>
        <w:t xml:space="preserve">. </w:t>
      </w:r>
      <w:r w:rsidRPr="00966D98">
        <w:rPr>
          <w:rFonts w:ascii="Garamond" w:hAnsi="Garamond"/>
          <w:lang w:val="en-GB"/>
        </w:rPr>
        <w:t>R</w:t>
      </w:r>
      <w:r w:rsidR="00B81767" w:rsidRPr="00966D98">
        <w:rPr>
          <w:rFonts w:ascii="Garamond" w:hAnsi="Garamond"/>
          <w:lang w:val="en-GB"/>
        </w:rPr>
        <w:t>. &amp;</w:t>
      </w:r>
      <w:r w:rsidRPr="00966D98">
        <w:rPr>
          <w:rFonts w:ascii="Garamond" w:hAnsi="Garamond"/>
          <w:lang w:val="en-GB"/>
        </w:rPr>
        <w:t xml:space="preserve"> Sangster</w:t>
      </w:r>
      <w:r w:rsidR="0014122A" w:rsidRPr="00966D98">
        <w:rPr>
          <w:rFonts w:ascii="Garamond" w:hAnsi="Garamond"/>
          <w:lang w:val="en-GB"/>
        </w:rPr>
        <w:t>,</w:t>
      </w:r>
      <w:r w:rsidRPr="00966D98">
        <w:rPr>
          <w:rFonts w:ascii="Garamond" w:hAnsi="Garamond"/>
          <w:lang w:val="en-GB"/>
        </w:rPr>
        <w:t xml:space="preserve"> A. (2010). The ERA: A brave new world of accountability for Australian university accounting schools. </w:t>
      </w:r>
      <w:r w:rsidRPr="00966D98">
        <w:rPr>
          <w:rFonts w:ascii="Garamond" w:hAnsi="Garamond"/>
          <w:i/>
          <w:lang w:val="en-GB"/>
        </w:rPr>
        <w:t>Australian Accounting Review, 20</w:t>
      </w:r>
      <w:r w:rsidRPr="00966D98">
        <w:rPr>
          <w:rFonts w:ascii="Garamond" w:hAnsi="Garamond"/>
          <w:lang w:val="en-GB"/>
        </w:rPr>
        <w:t xml:space="preserve">(1):24–37. </w:t>
      </w:r>
    </w:p>
    <w:p w14:paraId="01EDD858"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r w:rsidRPr="00966D98">
        <w:rPr>
          <w:rFonts w:ascii="Garamond" w:hAnsi="Garamond"/>
          <w:lang w:val="en-GB"/>
        </w:rPr>
        <w:t xml:space="preserve">de </w:t>
      </w:r>
      <w:proofErr w:type="spellStart"/>
      <w:r w:rsidRPr="00966D98">
        <w:rPr>
          <w:rFonts w:ascii="Garamond" w:hAnsi="Garamond"/>
          <w:lang w:val="en-GB"/>
        </w:rPr>
        <w:t>Rijcke</w:t>
      </w:r>
      <w:proofErr w:type="spellEnd"/>
      <w:r w:rsidRPr="00966D98">
        <w:rPr>
          <w:rFonts w:ascii="Garamond" w:hAnsi="Garamond"/>
          <w:lang w:val="en-GB"/>
        </w:rPr>
        <w:t xml:space="preserve">, S., </w:t>
      </w:r>
      <w:proofErr w:type="spellStart"/>
      <w:r w:rsidRPr="00966D98">
        <w:rPr>
          <w:rFonts w:ascii="Garamond" w:hAnsi="Garamond"/>
          <w:lang w:val="en-GB"/>
        </w:rPr>
        <w:t>Wouters</w:t>
      </w:r>
      <w:proofErr w:type="spellEnd"/>
      <w:r w:rsidRPr="00966D98">
        <w:rPr>
          <w:rFonts w:ascii="Garamond" w:hAnsi="Garamond"/>
          <w:lang w:val="en-GB"/>
        </w:rPr>
        <w:t xml:space="preserve">, P. F., </w:t>
      </w:r>
      <w:proofErr w:type="spellStart"/>
      <w:r w:rsidRPr="00966D98">
        <w:rPr>
          <w:rFonts w:ascii="Garamond" w:hAnsi="Garamond"/>
          <w:lang w:val="en-GB"/>
        </w:rPr>
        <w:t>Rushforth</w:t>
      </w:r>
      <w:proofErr w:type="spellEnd"/>
      <w:r w:rsidRPr="00966D98">
        <w:rPr>
          <w:rFonts w:ascii="Garamond" w:hAnsi="Garamond"/>
          <w:lang w:val="en-GB"/>
        </w:rPr>
        <w:t xml:space="preserve">, A. D., </w:t>
      </w:r>
      <w:proofErr w:type="spellStart"/>
      <w:r w:rsidRPr="00966D98">
        <w:rPr>
          <w:rFonts w:ascii="Garamond" w:hAnsi="Garamond"/>
          <w:lang w:val="en-GB"/>
        </w:rPr>
        <w:t>Franssen</w:t>
      </w:r>
      <w:proofErr w:type="spellEnd"/>
      <w:r w:rsidRPr="00966D98">
        <w:rPr>
          <w:rFonts w:ascii="Garamond" w:hAnsi="Garamond"/>
          <w:lang w:val="en-GB"/>
        </w:rPr>
        <w:t xml:space="preserve">, T.P. &amp; </w:t>
      </w:r>
      <w:proofErr w:type="spellStart"/>
      <w:r w:rsidRPr="00966D98">
        <w:rPr>
          <w:rFonts w:ascii="Garamond" w:hAnsi="Garamond"/>
          <w:lang w:val="en-GB"/>
        </w:rPr>
        <w:t>Hammarfelt</w:t>
      </w:r>
      <w:proofErr w:type="spellEnd"/>
      <w:r w:rsidRPr="00966D98">
        <w:rPr>
          <w:rFonts w:ascii="Garamond" w:hAnsi="Garamond"/>
          <w:lang w:val="en-GB"/>
        </w:rPr>
        <w:t xml:space="preserve">, B. (2016). Evaluation practices and effects of indicator use - a literature review. </w:t>
      </w:r>
      <w:r w:rsidRPr="00966D98">
        <w:rPr>
          <w:rFonts w:ascii="Garamond" w:hAnsi="Garamond"/>
          <w:i/>
          <w:iCs/>
          <w:lang w:val="en-GB"/>
        </w:rPr>
        <w:t>Research Evaluation, 25</w:t>
      </w:r>
      <w:r w:rsidRPr="00966D98">
        <w:rPr>
          <w:rFonts w:ascii="Garamond" w:hAnsi="Garamond"/>
          <w:lang w:val="en-GB"/>
        </w:rPr>
        <w:t xml:space="preserve">(2):161–9. </w:t>
      </w:r>
    </w:p>
    <w:p w14:paraId="1C916676" w14:textId="5983C115"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Derrick, G.</w:t>
      </w:r>
      <w:r w:rsidR="0095471C" w:rsidRPr="00966D98">
        <w:rPr>
          <w:rFonts w:ascii="Garamond" w:hAnsi="Garamond"/>
          <w:lang w:val="en-GB"/>
        </w:rPr>
        <w:t xml:space="preserve"> </w:t>
      </w:r>
      <w:r w:rsidRPr="00966D98">
        <w:rPr>
          <w:rFonts w:ascii="Garamond" w:hAnsi="Garamond"/>
          <w:lang w:val="en-GB"/>
        </w:rPr>
        <w:t>E. &amp; Samuel, G.</w:t>
      </w:r>
      <w:r w:rsidR="0095471C" w:rsidRPr="00966D98">
        <w:rPr>
          <w:rFonts w:ascii="Garamond" w:hAnsi="Garamond"/>
          <w:lang w:val="en-GB"/>
        </w:rPr>
        <w:t xml:space="preserve"> </w:t>
      </w:r>
      <w:r w:rsidRPr="00966D98">
        <w:rPr>
          <w:rFonts w:ascii="Garamond" w:hAnsi="Garamond"/>
          <w:lang w:val="en-GB"/>
        </w:rPr>
        <w:t>N. (2016)</w:t>
      </w:r>
      <w:r w:rsidR="0095471C" w:rsidRPr="00966D98">
        <w:rPr>
          <w:rFonts w:ascii="Garamond" w:hAnsi="Garamond"/>
          <w:lang w:val="en-GB"/>
        </w:rPr>
        <w:t>.</w:t>
      </w:r>
      <w:r w:rsidRPr="00966D98">
        <w:rPr>
          <w:rFonts w:ascii="Garamond" w:hAnsi="Garamond"/>
          <w:lang w:val="en-GB"/>
        </w:rPr>
        <w:t xml:space="preserve"> The evaluation scale: Exploring decisions about societal impact in peer review panels. </w:t>
      </w:r>
      <w:r w:rsidRPr="00966D98">
        <w:rPr>
          <w:rFonts w:ascii="Garamond" w:hAnsi="Garamond"/>
          <w:i/>
          <w:iCs/>
          <w:lang w:val="en-GB"/>
        </w:rPr>
        <w:t>Minerva, 54:</w:t>
      </w:r>
      <w:r w:rsidRPr="00966D98">
        <w:rPr>
          <w:rFonts w:ascii="Garamond" w:hAnsi="Garamond"/>
          <w:lang w:val="en-GB"/>
        </w:rPr>
        <w:t xml:space="preserve">75-97. </w:t>
      </w:r>
    </w:p>
    <w:p w14:paraId="11148315"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DiMaggio, P., &amp; Powell, W. (1983). The iron cage revisited: institutional isomorphism and collective rationality in organisational fields. </w:t>
      </w:r>
      <w:r w:rsidRPr="00966D98">
        <w:rPr>
          <w:rFonts w:ascii="Garamond" w:hAnsi="Garamond"/>
          <w:i/>
          <w:lang w:val="en-GB"/>
        </w:rPr>
        <w:t>American Sociological Review</w:t>
      </w:r>
      <w:r w:rsidRPr="00966D98">
        <w:rPr>
          <w:rFonts w:ascii="Garamond" w:hAnsi="Garamond"/>
          <w:lang w:val="en-GB"/>
        </w:rPr>
        <w:t xml:space="preserve">, </w:t>
      </w:r>
      <w:r w:rsidRPr="00966D98">
        <w:rPr>
          <w:rFonts w:ascii="Garamond" w:hAnsi="Garamond"/>
          <w:i/>
          <w:lang w:val="en-GB"/>
        </w:rPr>
        <w:t>48</w:t>
      </w:r>
      <w:r w:rsidRPr="00966D98">
        <w:rPr>
          <w:rFonts w:ascii="Garamond" w:hAnsi="Garamond"/>
          <w:lang w:val="en-GB"/>
        </w:rPr>
        <w:t xml:space="preserve">(2), 147. </w:t>
      </w:r>
    </w:p>
    <w:p w14:paraId="5AF56850" w14:textId="2E9327B5"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Donovan, C. (2011). State of the art in assessing research impact: introduction to a special </w:t>
      </w:r>
      <w:proofErr w:type="gramStart"/>
      <w:r w:rsidRPr="00966D98">
        <w:rPr>
          <w:rFonts w:ascii="Garamond" w:hAnsi="Garamond"/>
          <w:lang w:val="en-GB"/>
        </w:rPr>
        <w:t>issue .</w:t>
      </w:r>
      <w:proofErr w:type="gramEnd"/>
      <w:r w:rsidRPr="00966D98">
        <w:rPr>
          <w:rFonts w:ascii="Garamond" w:hAnsi="Garamond"/>
          <w:lang w:val="en-GB"/>
        </w:rPr>
        <w:t xml:space="preserve"> </w:t>
      </w:r>
      <w:r w:rsidRPr="00966D98">
        <w:rPr>
          <w:rFonts w:ascii="Garamond" w:hAnsi="Garamond"/>
          <w:i/>
          <w:lang w:val="en-GB"/>
        </w:rPr>
        <w:t>Research Evaluation</w:t>
      </w:r>
      <w:r w:rsidRPr="00966D98">
        <w:rPr>
          <w:rFonts w:ascii="Garamond" w:hAnsi="Garamond"/>
          <w:lang w:val="en-GB"/>
        </w:rPr>
        <w:t xml:space="preserve">, </w:t>
      </w:r>
      <w:r w:rsidRPr="00966D98">
        <w:rPr>
          <w:rFonts w:ascii="Garamond" w:hAnsi="Garamond"/>
          <w:i/>
          <w:lang w:val="en-GB"/>
        </w:rPr>
        <w:t>20</w:t>
      </w:r>
      <w:r w:rsidRPr="00966D98">
        <w:rPr>
          <w:rFonts w:ascii="Garamond" w:hAnsi="Garamond"/>
          <w:lang w:val="en-GB"/>
        </w:rPr>
        <w:t xml:space="preserve">(3), 175–179. </w:t>
      </w:r>
    </w:p>
    <w:p w14:paraId="13AF9AEF" w14:textId="485436EC"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Duryea, M., Hochman, M. </w:t>
      </w:r>
      <w:r w:rsidR="0013248D" w:rsidRPr="00966D98">
        <w:rPr>
          <w:rFonts w:ascii="Garamond" w:hAnsi="Garamond"/>
          <w:lang w:val="en-GB"/>
        </w:rPr>
        <w:t>&amp;</w:t>
      </w:r>
      <w:r w:rsidRPr="00966D98">
        <w:rPr>
          <w:rFonts w:ascii="Garamond" w:hAnsi="Garamond"/>
          <w:lang w:val="en-GB"/>
        </w:rPr>
        <w:t xml:space="preserve"> Parfitt, A. (2007). Measuring the Impact of Research, </w:t>
      </w:r>
      <w:r w:rsidRPr="00966D98">
        <w:rPr>
          <w:rFonts w:ascii="Garamond" w:hAnsi="Garamond"/>
          <w:i/>
          <w:lang w:val="en-GB"/>
        </w:rPr>
        <w:t>Research Global, 27</w:t>
      </w:r>
      <w:r w:rsidRPr="00966D98">
        <w:rPr>
          <w:rFonts w:ascii="Garamond" w:hAnsi="Garamond"/>
          <w:lang w:val="en-GB"/>
        </w:rPr>
        <w:t>; 8-9.</w:t>
      </w:r>
    </w:p>
    <w:p w14:paraId="52D77C71" w14:textId="5E6725DD"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Espeland</w:t>
      </w:r>
      <w:proofErr w:type="spellEnd"/>
      <w:r w:rsidRPr="00966D98">
        <w:rPr>
          <w:rFonts w:ascii="Garamond" w:hAnsi="Garamond"/>
          <w:lang w:val="en-GB"/>
        </w:rPr>
        <w:t xml:space="preserve">, W. N. &amp; Sauder, M. (2016). </w:t>
      </w:r>
      <w:r w:rsidRPr="00966D98">
        <w:rPr>
          <w:rFonts w:ascii="Garamond" w:hAnsi="Garamond"/>
          <w:i/>
          <w:lang w:val="en-GB"/>
        </w:rPr>
        <w:t xml:space="preserve">Engines of </w:t>
      </w:r>
      <w:proofErr w:type="gramStart"/>
      <w:r w:rsidRPr="00966D98">
        <w:rPr>
          <w:rFonts w:ascii="Garamond" w:hAnsi="Garamond"/>
          <w:i/>
          <w:lang w:val="en-GB"/>
        </w:rPr>
        <w:t>anxiety</w:t>
      </w:r>
      <w:r w:rsidRPr="00966D98">
        <w:rPr>
          <w:rFonts w:cs="Times New Roman"/>
          <w:i/>
          <w:lang w:val="en-GB"/>
        </w:rPr>
        <w:t> </w:t>
      </w:r>
      <w:r w:rsidRPr="00966D98">
        <w:rPr>
          <w:rFonts w:ascii="Garamond" w:hAnsi="Garamond"/>
          <w:i/>
          <w:lang w:val="en-GB"/>
        </w:rPr>
        <w:t>:</w:t>
      </w:r>
      <w:proofErr w:type="gramEnd"/>
      <w:r w:rsidRPr="00966D98">
        <w:rPr>
          <w:rFonts w:ascii="Garamond" w:hAnsi="Garamond"/>
          <w:i/>
          <w:lang w:val="en-GB"/>
        </w:rPr>
        <w:t xml:space="preserve"> academic rankings, reputation, and accountability</w:t>
      </w:r>
      <w:r w:rsidRPr="00966D98">
        <w:rPr>
          <w:rFonts w:ascii="Garamond" w:hAnsi="Garamond"/>
          <w:lang w:val="en-GB"/>
        </w:rPr>
        <w:t>. Russell Sage.</w:t>
      </w:r>
    </w:p>
    <w:p w14:paraId="2FCDEF0B"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Eyal, G. (2011). Spaces between fields. In P. Gorski (Ed.), </w:t>
      </w:r>
      <w:r w:rsidRPr="00966D98">
        <w:rPr>
          <w:rFonts w:ascii="Garamond" w:hAnsi="Garamond"/>
          <w:i/>
          <w:lang w:val="en-GB"/>
        </w:rPr>
        <w:t>Pierre Bourdieu and Historical Analysis</w:t>
      </w:r>
      <w:r w:rsidRPr="00966D98">
        <w:rPr>
          <w:rFonts w:ascii="Garamond" w:hAnsi="Garamond"/>
          <w:lang w:val="en-GB"/>
        </w:rPr>
        <w:t>. Durham, NC: Duke University Press.</w:t>
      </w:r>
    </w:p>
    <w:p w14:paraId="0A58335E"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proofErr w:type="spellStart"/>
      <w:r w:rsidRPr="00966D98">
        <w:rPr>
          <w:rFonts w:ascii="Garamond" w:hAnsi="Garamond"/>
          <w:lang w:val="en-GB"/>
        </w:rPr>
        <w:t>Fealing</w:t>
      </w:r>
      <w:proofErr w:type="spellEnd"/>
      <w:r w:rsidRPr="00966D98">
        <w:rPr>
          <w:rFonts w:ascii="Garamond" w:hAnsi="Garamond"/>
          <w:lang w:val="en-GB"/>
        </w:rPr>
        <w:t xml:space="preserve">, K. (2011). </w:t>
      </w:r>
      <w:r w:rsidRPr="00966D98">
        <w:rPr>
          <w:rFonts w:ascii="Garamond" w:hAnsi="Garamond"/>
          <w:i/>
          <w:iCs/>
          <w:lang w:val="en-GB"/>
        </w:rPr>
        <w:t xml:space="preserve">The Science of Science Policy: A Handbook. </w:t>
      </w:r>
      <w:r w:rsidRPr="00966D98">
        <w:rPr>
          <w:rFonts w:ascii="Garamond" w:hAnsi="Garamond"/>
          <w:lang w:val="en-GB"/>
        </w:rPr>
        <w:t xml:space="preserve">Chicago: Stanford University Press </w:t>
      </w:r>
    </w:p>
    <w:p w14:paraId="74B763BA" w14:textId="44210604"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Fligstein, N</w:t>
      </w:r>
      <w:r w:rsidR="0095471C" w:rsidRPr="00966D98">
        <w:rPr>
          <w:rFonts w:ascii="Garamond" w:hAnsi="Garamond"/>
          <w:lang w:val="en-GB"/>
        </w:rPr>
        <w:t>.</w:t>
      </w:r>
      <w:r w:rsidRPr="00966D98">
        <w:rPr>
          <w:rFonts w:ascii="Garamond" w:hAnsi="Garamond"/>
          <w:lang w:val="en-GB"/>
        </w:rPr>
        <w:t xml:space="preserve"> &amp; McAdam, D. (2012). </w:t>
      </w:r>
      <w:r w:rsidRPr="00966D98">
        <w:rPr>
          <w:rFonts w:ascii="Garamond" w:hAnsi="Garamond"/>
          <w:i/>
          <w:lang w:val="en-GB"/>
        </w:rPr>
        <w:t>A theory of fields</w:t>
      </w:r>
      <w:r w:rsidRPr="00966D98">
        <w:rPr>
          <w:rFonts w:ascii="Garamond" w:hAnsi="Garamond"/>
          <w:lang w:val="en-GB"/>
        </w:rPr>
        <w:t>. New York: Oxford University Press.</w:t>
      </w:r>
    </w:p>
    <w:p w14:paraId="3A79DAD2"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Franzen, M. (2015). Der impact </w:t>
      </w:r>
      <w:proofErr w:type="spellStart"/>
      <w:r w:rsidRPr="00966D98">
        <w:rPr>
          <w:rFonts w:ascii="Garamond" w:hAnsi="Garamond"/>
          <w:lang w:val="en-GB"/>
        </w:rPr>
        <w:t>faktor</w:t>
      </w:r>
      <w:proofErr w:type="spellEnd"/>
      <w:r w:rsidRPr="00966D98">
        <w:rPr>
          <w:rFonts w:ascii="Garamond" w:hAnsi="Garamond"/>
          <w:lang w:val="en-GB"/>
        </w:rPr>
        <w:t xml:space="preserve"> war </w:t>
      </w:r>
      <w:proofErr w:type="spellStart"/>
      <w:r w:rsidRPr="00966D98">
        <w:rPr>
          <w:rFonts w:ascii="Garamond" w:hAnsi="Garamond"/>
          <w:lang w:val="en-GB"/>
        </w:rPr>
        <w:t>gestern</w:t>
      </w:r>
      <w:proofErr w:type="spellEnd"/>
      <w:r w:rsidRPr="00966D98">
        <w:rPr>
          <w:rFonts w:ascii="Garamond" w:hAnsi="Garamond"/>
          <w:lang w:val="en-GB"/>
        </w:rPr>
        <w:t xml:space="preserve">: </w:t>
      </w:r>
      <w:proofErr w:type="spellStart"/>
      <w:r w:rsidRPr="00966D98">
        <w:rPr>
          <w:rFonts w:ascii="Garamond" w:hAnsi="Garamond"/>
          <w:lang w:val="en-GB"/>
        </w:rPr>
        <w:t>altmetrics</w:t>
      </w:r>
      <w:proofErr w:type="spellEnd"/>
      <w:r w:rsidRPr="00966D98">
        <w:rPr>
          <w:rFonts w:ascii="Garamond" w:hAnsi="Garamond"/>
          <w:lang w:val="en-GB"/>
        </w:rPr>
        <w:t xml:space="preserve"> und die </w:t>
      </w:r>
      <w:proofErr w:type="spellStart"/>
      <w:r w:rsidRPr="00966D98">
        <w:rPr>
          <w:rFonts w:ascii="Garamond" w:hAnsi="Garamond"/>
          <w:lang w:val="en-GB"/>
        </w:rPr>
        <w:t>zukunft</w:t>
      </w:r>
      <w:proofErr w:type="spellEnd"/>
      <w:r w:rsidRPr="00966D98">
        <w:rPr>
          <w:rFonts w:ascii="Garamond" w:hAnsi="Garamond"/>
          <w:lang w:val="en-GB"/>
        </w:rPr>
        <w:t xml:space="preserve"> der </w:t>
      </w:r>
      <w:proofErr w:type="spellStart"/>
      <w:r w:rsidRPr="00966D98">
        <w:rPr>
          <w:rFonts w:ascii="Garamond" w:hAnsi="Garamond"/>
          <w:lang w:val="en-GB"/>
        </w:rPr>
        <w:t>wissenschaft</w:t>
      </w:r>
      <w:proofErr w:type="spellEnd"/>
      <w:r w:rsidRPr="00966D98">
        <w:rPr>
          <w:rFonts w:ascii="Garamond" w:hAnsi="Garamond"/>
          <w:lang w:val="en-GB"/>
        </w:rPr>
        <w:t xml:space="preserve">. </w:t>
      </w:r>
      <w:proofErr w:type="spellStart"/>
      <w:r w:rsidRPr="00966D98">
        <w:rPr>
          <w:rFonts w:ascii="Garamond" w:hAnsi="Garamond"/>
          <w:i/>
          <w:lang w:val="en-GB"/>
        </w:rPr>
        <w:t>Soziale</w:t>
      </w:r>
      <w:proofErr w:type="spellEnd"/>
      <w:r w:rsidRPr="00966D98">
        <w:rPr>
          <w:rFonts w:ascii="Garamond" w:hAnsi="Garamond"/>
          <w:i/>
          <w:lang w:val="en-GB"/>
        </w:rPr>
        <w:t xml:space="preserve"> Welt</w:t>
      </w:r>
      <w:r w:rsidRPr="00966D98">
        <w:rPr>
          <w:rFonts w:ascii="Garamond" w:hAnsi="Garamond"/>
          <w:lang w:val="en-GB"/>
        </w:rPr>
        <w:t xml:space="preserve">, </w:t>
      </w:r>
      <w:r w:rsidRPr="00966D98">
        <w:rPr>
          <w:rFonts w:ascii="Garamond" w:hAnsi="Garamond"/>
          <w:i/>
          <w:lang w:val="en-GB"/>
        </w:rPr>
        <w:t>66</w:t>
      </w:r>
      <w:r w:rsidRPr="00966D98">
        <w:rPr>
          <w:rFonts w:ascii="Garamond" w:hAnsi="Garamond"/>
          <w:lang w:val="en-GB"/>
        </w:rPr>
        <w:t xml:space="preserve">(2), 225–242. </w:t>
      </w:r>
    </w:p>
    <w:p w14:paraId="3660FB63" w14:textId="6111B87B" w:rsidR="000A3455" w:rsidRPr="00966D98" w:rsidRDefault="000A3455" w:rsidP="000A3455">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Gläser</w:t>
      </w:r>
      <w:proofErr w:type="spellEnd"/>
      <w:r w:rsidRPr="00966D98">
        <w:rPr>
          <w:rFonts w:ascii="Garamond" w:hAnsi="Garamond"/>
          <w:lang w:val="en-GB"/>
        </w:rPr>
        <w:t xml:space="preserve">, J., &amp; </w:t>
      </w:r>
      <w:proofErr w:type="spellStart"/>
      <w:r w:rsidRPr="00966D98">
        <w:rPr>
          <w:rFonts w:ascii="Garamond" w:hAnsi="Garamond"/>
          <w:lang w:val="en-GB"/>
        </w:rPr>
        <w:t>Laudel</w:t>
      </w:r>
      <w:proofErr w:type="spellEnd"/>
      <w:r w:rsidRPr="00966D98">
        <w:rPr>
          <w:rFonts w:ascii="Garamond" w:hAnsi="Garamond"/>
          <w:lang w:val="en-GB"/>
        </w:rPr>
        <w:t>, G. (2007). Evaluation without evaluators</w:t>
      </w:r>
      <w:r w:rsidRPr="00966D98">
        <w:rPr>
          <w:rFonts w:ascii="Garamond" w:hAnsi="Garamond"/>
          <w:i/>
          <w:lang w:val="en-GB"/>
        </w:rPr>
        <w:t>.</w:t>
      </w:r>
      <w:r w:rsidRPr="00966D98">
        <w:rPr>
          <w:rFonts w:ascii="Garamond" w:hAnsi="Garamond"/>
          <w:lang w:val="en-GB"/>
        </w:rPr>
        <w:t xml:space="preserve"> In: R Whitley, J Glaser (eds) The Changing Governance of the Sciences: Sociology of the Sciences Yearbook. Dordrecht: Springer, pp. 127-151. </w:t>
      </w:r>
    </w:p>
    <w:p w14:paraId="18300E7A" w14:textId="47D2E722"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Guthrie, J., &amp; Parker, </w:t>
      </w:r>
      <w:proofErr w:type="gramStart"/>
      <w:r w:rsidRPr="00966D98">
        <w:rPr>
          <w:rFonts w:ascii="Garamond" w:hAnsi="Garamond"/>
          <w:lang w:val="en-GB"/>
        </w:rPr>
        <w:t>L. .</w:t>
      </w:r>
      <w:proofErr w:type="gramEnd"/>
      <w:r w:rsidRPr="00966D98">
        <w:rPr>
          <w:rFonts w:ascii="Garamond" w:hAnsi="Garamond"/>
          <w:lang w:val="en-GB"/>
        </w:rPr>
        <w:t xml:space="preserve"> (1990). </w:t>
      </w:r>
      <w:r w:rsidRPr="00966D98">
        <w:rPr>
          <w:rFonts w:ascii="Garamond" w:hAnsi="Garamond"/>
          <w:i/>
          <w:lang w:val="en-GB"/>
        </w:rPr>
        <w:t>Public sector accounting and the challenge of managerialism</w:t>
      </w:r>
      <w:r w:rsidRPr="00966D98">
        <w:rPr>
          <w:rFonts w:ascii="Garamond" w:hAnsi="Garamond"/>
          <w:lang w:val="en-GB"/>
        </w:rPr>
        <w:t xml:space="preserve">. </w:t>
      </w:r>
      <w:proofErr w:type="spellStart"/>
      <w:r w:rsidRPr="00966D98">
        <w:rPr>
          <w:rFonts w:ascii="Garamond" w:hAnsi="Garamond"/>
          <w:lang w:val="en-GB"/>
        </w:rPr>
        <w:t>Marrickville</w:t>
      </w:r>
      <w:proofErr w:type="spellEnd"/>
      <w:r w:rsidRPr="00966D98">
        <w:rPr>
          <w:rFonts w:ascii="Garamond" w:hAnsi="Garamond"/>
          <w:lang w:val="en-GB"/>
        </w:rPr>
        <w:t xml:space="preserve">, </w:t>
      </w:r>
      <w:r w:rsidRPr="00966D98">
        <w:rPr>
          <w:rFonts w:ascii="Garamond" w:hAnsi="Garamond"/>
          <w:lang w:val="en-GB"/>
        </w:rPr>
        <w:lastRenderedPageBreak/>
        <w:t xml:space="preserve">NSW: Harcourt Brace </w:t>
      </w:r>
      <w:proofErr w:type="spellStart"/>
      <w:r w:rsidRPr="00966D98">
        <w:rPr>
          <w:rFonts w:ascii="Garamond" w:hAnsi="Garamond"/>
          <w:lang w:val="en-GB"/>
        </w:rPr>
        <w:t>Javonovich</w:t>
      </w:r>
      <w:proofErr w:type="spellEnd"/>
      <w:r w:rsidRPr="00966D98">
        <w:rPr>
          <w:rFonts w:ascii="Garamond" w:hAnsi="Garamond"/>
          <w:lang w:val="en-GB"/>
        </w:rPr>
        <w:t xml:space="preserve"> Group Australia Pty Ltd.</w:t>
      </w:r>
    </w:p>
    <w:p w14:paraId="06A826A1" w14:textId="56385A73"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Hauck, J</w:t>
      </w:r>
      <w:r w:rsidR="0095471C" w:rsidRPr="00966D98">
        <w:rPr>
          <w:rFonts w:ascii="Garamond" w:hAnsi="Garamond"/>
          <w:lang w:val="en-GB"/>
        </w:rPr>
        <w:t>.</w:t>
      </w:r>
      <w:r w:rsidRPr="00966D98">
        <w:rPr>
          <w:rFonts w:ascii="Garamond" w:hAnsi="Garamond"/>
          <w:lang w:val="en-GB"/>
        </w:rPr>
        <w:t xml:space="preserve"> C</w:t>
      </w:r>
      <w:r w:rsidR="0095471C" w:rsidRPr="00966D98">
        <w:rPr>
          <w:rFonts w:ascii="Garamond" w:hAnsi="Garamond"/>
          <w:lang w:val="en-GB"/>
        </w:rPr>
        <w:t>.</w:t>
      </w:r>
      <w:r w:rsidRPr="00966D98">
        <w:rPr>
          <w:rFonts w:ascii="Garamond" w:hAnsi="Garamond"/>
          <w:lang w:val="en-GB"/>
        </w:rPr>
        <w:t xml:space="preserve"> R</w:t>
      </w:r>
      <w:r w:rsidR="0095471C" w:rsidRPr="00966D98">
        <w:rPr>
          <w:rFonts w:ascii="Garamond" w:hAnsi="Garamond"/>
          <w:lang w:val="en-GB"/>
        </w:rPr>
        <w:t xml:space="preserve">. </w:t>
      </w:r>
      <w:r w:rsidRPr="00966D98">
        <w:rPr>
          <w:rFonts w:ascii="Garamond" w:hAnsi="Garamond"/>
          <w:lang w:val="en-GB"/>
        </w:rPr>
        <w:t>(2017). What are 'Think Tanks'? Revisiting the Dilemma of the Definition. </w:t>
      </w:r>
      <w:r w:rsidRPr="00966D98">
        <w:rPr>
          <w:rFonts w:ascii="Garamond" w:hAnsi="Garamond"/>
          <w:i/>
          <w:iCs/>
          <w:lang w:val="en-GB"/>
        </w:rPr>
        <w:t>Brazilian Political Science Review</w:t>
      </w:r>
      <w:r w:rsidRPr="00966D98">
        <w:rPr>
          <w:rFonts w:ascii="Garamond" w:hAnsi="Garamond"/>
          <w:lang w:val="en-GB"/>
        </w:rPr>
        <w:t>, </w:t>
      </w:r>
      <w:r w:rsidRPr="00966D98">
        <w:rPr>
          <w:rFonts w:ascii="Garamond" w:hAnsi="Garamond"/>
          <w:i/>
          <w:iCs/>
          <w:lang w:val="en-GB"/>
        </w:rPr>
        <w:t>11</w:t>
      </w:r>
      <w:r w:rsidRPr="00966D98">
        <w:rPr>
          <w:rFonts w:ascii="Garamond" w:hAnsi="Garamond"/>
          <w:lang w:val="en-GB"/>
        </w:rPr>
        <w:t xml:space="preserve">(2), e0006. </w:t>
      </w:r>
      <w:proofErr w:type="spellStart"/>
      <w:r w:rsidRPr="00966D98">
        <w:rPr>
          <w:rFonts w:ascii="Garamond" w:hAnsi="Garamond"/>
          <w:lang w:val="en-GB"/>
        </w:rPr>
        <w:t>Epub</w:t>
      </w:r>
      <w:proofErr w:type="spellEnd"/>
      <w:r w:rsidRPr="00966D98">
        <w:rPr>
          <w:rFonts w:ascii="Garamond" w:hAnsi="Garamond"/>
          <w:lang w:val="en-GB"/>
        </w:rPr>
        <w:t xml:space="preserve"> July 27, 201</w:t>
      </w:r>
    </w:p>
    <w:p w14:paraId="7BDEACD3"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HEFCE. (2011). </w:t>
      </w:r>
      <w:r w:rsidRPr="00966D98">
        <w:rPr>
          <w:rFonts w:ascii="Garamond" w:hAnsi="Garamond"/>
          <w:i/>
          <w:lang w:val="en-GB"/>
        </w:rPr>
        <w:t>Decisions on assessing impact.</w:t>
      </w:r>
      <w:r w:rsidRPr="00966D98">
        <w:rPr>
          <w:rFonts w:ascii="Garamond" w:hAnsi="Garamond"/>
          <w:lang w:val="en-GB"/>
        </w:rPr>
        <w:t xml:space="preserve"> Available at: http://www.ref.ac.uk/media/ref/content/pub/decisionsonassessingresearchimpact/01_11.pdf</w:t>
      </w:r>
    </w:p>
    <w:p w14:paraId="15600D08"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proofErr w:type="spellStart"/>
      <w:r w:rsidRPr="00966D98">
        <w:rPr>
          <w:rFonts w:ascii="Garamond" w:hAnsi="Garamond"/>
          <w:lang w:val="en-GB"/>
        </w:rPr>
        <w:t>Hemlin</w:t>
      </w:r>
      <w:proofErr w:type="spellEnd"/>
      <w:r w:rsidRPr="00966D98">
        <w:rPr>
          <w:rFonts w:ascii="Garamond" w:hAnsi="Garamond"/>
          <w:lang w:val="en-GB"/>
        </w:rPr>
        <w:t xml:space="preserve">, S. (2006). Creative knowledge environments for research groups in biotechnology: The influence of leadership and organisational support in universities and business companies. </w:t>
      </w:r>
      <w:r w:rsidRPr="00966D98">
        <w:rPr>
          <w:rFonts w:ascii="Garamond" w:hAnsi="Garamond"/>
          <w:i/>
          <w:iCs/>
          <w:lang w:val="en-GB"/>
        </w:rPr>
        <w:t>Scientometrics, 67</w:t>
      </w:r>
      <w:r w:rsidRPr="00966D98">
        <w:rPr>
          <w:rFonts w:ascii="Garamond" w:hAnsi="Garamond"/>
          <w:lang w:val="en-GB"/>
        </w:rPr>
        <w:t xml:space="preserve">(1):121–42. </w:t>
      </w:r>
    </w:p>
    <w:p w14:paraId="660150BE" w14:textId="49873ABE"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Hochmüller</w:t>
      </w:r>
      <w:proofErr w:type="spellEnd"/>
      <w:r w:rsidRPr="00966D98">
        <w:rPr>
          <w:rFonts w:ascii="Garamond" w:hAnsi="Garamond"/>
          <w:lang w:val="en-GB"/>
        </w:rPr>
        <w:t>, M.</w:t>
      </w:r>
      <w:r w:rsidR="0095471C" w:rsidRPr="00966D98">
        <w:rPr>
          <w:rFonts w:ascii="Garamond" w:hAnsi="Garamond"/>
          <w:lang w:val="en-GB"/>
        </w:rPr>
        <w:t xml:space="preserve"> </w:t>
      </w:r>
      <w:r w:rsidRPr="00966D98">
        <w:rPr>
          <w:rFonts w:ascii="Garamond" w:hAnsi="Garamond"/>
          <w:lang w:val="en-GB"/>
        </w:rPr>
        <w:t xml:space="preserve">&amp; Müller, M.-M. (2014). Encountering knowledge production: the international crisis group and the making of </w:t>
      </w:r>
      <w:r w:rsidR="00A66C67" w:rsidRPr="00966D98">
        <w:rPr>
          <w:rFonts w:ascii="Garamond" w:hAnsi="Garamond"/>
          <w:lang w:val="en-GB"/>
        </w:rPr>
        <w:t>Mexico’s</w:t>
      </w:r>
      <w:r w:rsidRPr="00966D98">
        <w:rPr>
          <w:rFonts w:ascii="Garamond" w:hAnsi="Garamond"/>
          <w:lang w:val="en-GB"/>
        </w:rPr>
        <w:t xml:space="preserve"> security crisis. </w:t>
      </w:r>
      <w:r w:rsidRPr="00966D98">
        <w:rPr>
          <w:rFonts w:ascii="Garamond" w:hAnsi="Garamond"/>
          <w:i/>
          <w:lang w:val="en-GB"/>
        </w:rPr>
        <w:t>Third World Quarterly</w:t>
      </w:r>
      <w:r w:rsidRPr="00966D98">
        <w:rPr>
          <w:rFonts w:ascii="Garamond" w:hAnsi="Garamond"/>
          <w:lang w:val="en-GB"/>
        </w:rPr>
        <w:t xml:space="preserve">, </w:t>
      </w:r>
      <w:r w:rsidRPr="00966D98">
        <w:rPr>
          <w:rFonts w:ascii="Garamond" w:hAnsi="Garamond"/>
          <w:i/>
          <w:lang w:val="en-GB"/>
        </w:rPr>
        <w:t>35</w:t>
      </w:r>
      <w:r w:rsidRPr="00966D98">
        <w:rPr>
          <w:rFonts w:ascii="Garamond" w:hAnsi="Garamond"/>
          <w:lang w:val="en-GB"/>
        </w:rPr>
        <w:t xml:space="preserve">(4), 705–722. </w:t>
      </w:r>
    </w:p>
    <w:p w14:paraId="6E04C83F" w14:textId="77777777" w:rsidR="00FB7F78" w:rsidRPr="00966D98" w:rsidRDefault="00FB7F78" w:rsidP="00FB7F7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Holbrook, J. B. &amp; </w:t>
      </w:r>
      <w:proofErr w:type="spellStart"/>
      <w:r w:rsidRPr="00966D98">
        <w:rPr>
          <w:rFonts w:ascii="Garamond" w:hAnsi="Garamond"/>
          <w:lang w:val="en-GB"/>
        </w:rPr>
        <w:t>Frodeman</w:t>
      </w:r>
      <w:proofErr w:type="spellEnd"/>
      <w:r w:rsidRPr="00966D98">
        <w:rPr>
          <w:rFonts w:ascii="Garamond" w:hAnsi="Garamond"/>
          <w:lang w:val="en-GB"/>
        </w:rPr>
        <w:t xml:space="preserve">, R. (2011). Peer Review and the Ex Ante Assessment of Societal Impacts, </w:t>
      </w:r>
      <w:r w:rsidRPr="00966D98">
        <w:rPr>
          <w:rFonts w:ascii="Garamond" w:hAnsi="Garamond"/>
          <w:i/>
          <w:lang w:val="en-GB"/>
        </w:rPr>
        <w:t>Research Evaluation</w:t>
      </w:r>
      <w:r w:rsidRPr="00966D98">
        <w:rPr>
          <w:rFonts w:ascii="Garamond" w:hAnsi="Garamond"/>
          <w:lang w:val="en-GB"/>
        </w:rPr>
        <w:t>,</w:t>
      </w:r>
      <w:r w:rsidRPr="00966D98">
        <w:rPr>
          <w:rFonts w:ascii="Garamond" w:hAnsi="Garamond"/>
          <w:i/>
          <w:lang w:val="en-GB"/>
        </w:rPr>
        <w:t xml:space="preserve"> 20</w:t>
      </w:r>
      <w:r w:rsidRPr="00966D98">
        <w:rPr>
          <w:rFonts w:ascii="Garamond" w:hAnsi="Garamond"/>
          <w:lang w:val="en-GB"/>
        </w:rPr>
        <w:t>:239-46.</w:t>
      </w:r>
    </w:p>
    <w:p w14:paraId="5EDE3721" w14:textId="45EC5F89"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Holmberg, K. (2015). </w:t>
      </w:r>
      <w:r w:rsidRPr="00966D98">
        <w:rPr>
          <w:rFonts w:ascii="Garamond" w:hAnsi="Garamond"/>
          <w:i/>
          <w:lang w:val="en-GB"/>
        </w:rPr>
        <w:t>Altmetrics for information professionals: past, present and future</w:t>
      </w:r>
      <w:r w:rsidRPr="00966D98">
        <w:rPr>
          <w:rFonts w:ascii="Garamond" w:hAnsi="Garamond"/>
          <w:lang w:val="en-GB"/>
        </w:rPr>
        <w:t xml:space="preserve">. </w:t>
      </w:r>
      <w:proofErr w:type="spellStart"/>
      <w:r w:rsidRPr="00966D98">
        <w:rPr>
          <w:rFonts w:ascii="Garamond" w:hAnsi="Garamond"/>
          <w:lang w:val="en-GB"/>
        </w:rPr>
        <w:t>Chandos</w:t>
      </w:r>
      <w:proofErr w:type="spellEnd"/>
      <w:r w:rsidRPr="00966D98">
        <w:rPr>
          <w:rFonts w:ascii="Garamond" w:hAnsi="Garamond"/>
          <w:lang w:val="en-GB"/>
        </w:rPr>
        <w:t xml:space="preserve"> Publishing.</w:t>
      </w:r>
    </w:p>
    <w:p w14:paraId="0DF5E46D"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Hood, C. (1991). A public management for all seasons. </w:t>
      </w:r>
      <w:r w:rsidRPr="00966D98">
        <w:rPr>
          <w:rFonts w:ascii="Garamond" w:hAnsi="Garamond"/>
          <w:i/>
          <w:lang w:val="en-GB"/>
        </w:rPr>
        <w:t>Public Administration</w:t>
      </w:r>
      <w:r w:rsidRPr="00966D98">
        <w:rPr>
          <w:rFonts w:ascii="Garamond" w:hAnsi="Garamond"/>
          <w:lang w:val="en-GB"/>
        </w:rPr>
        <w:t xml:space="preserve">, </w:t>
      </w:r>
      <w:r w:rsidRPr="00966D98">
        <w:rPr>
          <w:rFonts w:ascii="Garamond" w:hAnsi="Garamond"/>
          <w:i/>
          <w:lang w:val="en-GB"/>
        </w:rPr>
        <w:t>69</w:t>
      </w:r>
      <w:r w:rsidRPr="00966D98">
        <w:rPr>
          <w:rFonts w:ascii="Garamond" w:hAnsi="Garamond"/>
          <w:lang w:val="en-GB"/>
        </w:rPr>
        <w:t>(1), 3–19.</w:t>
      </w:r>
    </w:p>
    <w:p w14:paraId="2D48F19B" w14:textId="13157749" w:rsidR="00717E66" w:rsidRPr="00966D98" w:rsidRDefault="00717E66" w:rsidP="00DF48B8">
      <w:pPr>
        <w:pStyle w:val="Body"/>
        <w:widowControl w:val="0"/>
        <w:spacing w:before="200" w:after="200" w:line="360" w:lineRule="auto"/>
        <w:ind w:left="480" w:hanging="480"/>
        <w:jc w:val="both"/>
        <w:rPr>
          <w:rFonts w:ascii="Garamond" w:hAnsi="Garamond"/>
          <w:b/>
          <w:lang w:val="en-GB"/>
        </w:rPr>
      </w:pPr>
      <w:proofErr w:type="spellStart"/>
      <w:r w:rsidRPr="00966D98">
        <w:rPr>
          <w:rFonts w:ascii="Garamond" w:hAnsi="Garamond"/>
          <w:lang w:val="en-GB"/>
        </w:rPr>
        <w:t>Keevers</w:t>
      </w:r>
      <w:proofErr w:type="spellEnd"/>
      <w:r w:rsidRPr="00966D98">
        <w:rPr>
          <w:rFonts w:ascii="Garamond" w:hAnsi="Garamond"/>
          <w:lang w:val="en-GB"/>
        </w:rPr>
        <w:t xml:space="preserve">, L., </w:t>
      </w:r>
      <w:proofErr w:type="spellStart"/>
      <w:r w:rsidRPr="00966D98">
        <w:rPr>
          <w:rFonts w:ascii="Garamond" w:hAnsi="Garamond"/>
          <w:lang w:val="en-GB"/>
        </w:rPr>
        <w:t>Treleaven</w:t>
      </w:r>
      <w:proofErr w:type="spellEnd"/>
      <w:r w:rsidRPr="00966D98">
        <w:rPr>
          <w:rFonts w:ascii="Garamond" w:hAnsi="Garamond"/>
          <w:lang w:val="en-GB"/>
        </w:rPr>
        <w:t>, L., Sykes, C.</w:t>
      </w:r>
      <w:r w:rsidR="0095471C" w:rsidRPr="00966D98">
        <w:rPr>
          <w:rFonts w:ascii="Garamond" w:hAnsi="Garamond"/>
          <w:lang w:val="en-GB"/>
        </w:rPr>
        <w:t xml:space="preserve"> &amp; </w:t>
      </w:r>
      <w:r w:rsidRPr="00966D98">
        <w:rPr>
          <w:rFonts w:ascii="Garamond" w:hAnsi="Garamond"/>
          <w:lang w:val="en-GB"/>
        </w:rPr>
        <w:t xml:space="preserve">Darcy, M. (2012). Made to Measure: Taming Practices with Results-based Accountability. </w:t>
      </w:r>
      <w:r w:rsidRPr="00966D98">
        <w:rPr>
          <w:rFonts w:ascii="Garamond" w:hAnsi="Garamond"/>
          <w:i/>
          <w:lang w:val="en-GB"/>
        </w:rPr>
        <w:t>Organisation Studies, 19</w:t>
      </w:r>
      <w:r w:rsidRPr="00966D98">
        <w:rPr>
          <w:rFonts w:ascii="Garamond" w:hAnsi="Garamond"/>
          <w:lang w:val="en-GB"/>
        </w:rPr>
        <w:t xml:space="preserve">(1):97–120. </w:t>
      </w:r>
    </w:p>
    <w:p w14:paraId="62699023" w14:textId="4A0B8575" w:rsidR="00717E66" w:rsidRPr="00966D98" w:rsidRDefault="00717E66" w:rsidP="00DF48B8">
      <w:pPr>
        <w:widowControl w:val="0"/>
        <w:autoSpaceDE w:val="0"/>
        <w:autoSpaceDN w:val="0"/>
        <w:adjustRightInd w:val="0"/>
        <w:spacing w:before="120" w:after="120" w:line="360" w:lineRule="auto"/>
        <w:ind w:left="480" w:hanging="480"/>
        <w:jc w:val="both"/>
        <w:rPr>
          <w:rFonts w:ascii="Garamond" w:hAnsi="Garamond"/>
          <w:noProof/>
        </w:rPr>
      </w:pPr>
      <w:r w:rsidRPr="00966D98">
        <w:rPr>
          <w:rFonts w:ascii="Garamond" w:hAnsi="Garamond"/>
          <w:noProof/>
        </w:rPr>
        <w:t xml:space="preserve">Ladyman, J. </w:t>
      </w:r>
      <w:r w:rsidR="0095471C" w:rsidRPr="00966D98">
        <w:rPr>
          <w:rFonts w:ascii="Garamond" w:hAnsi="Garamond"/>
          <w:noProof/>
        </w:rPr>
        <w:t>(</w:t>
      </w:r>
      <w:r w:rsidRPr="00966D98">
        <w:rPr>
          <w:rFonts w:ascii="Garamond" w:hAnsi="Garamond"/>
          <w:noProof/>
        </w:rPr>
        <w:t>2009</w:t>
      </w:r>
      <w:r w:rsidR="0095471C" w:rsidRPr="00966D98">
        <w:rPr>
          <w:rFonts w:ascii="Garamond" w:hAnsi="Garamond"/>
          <w:noProof/>
        </w:rPr>
        <w:t>)</w:t>
      </w:r>
      <w:r w:rsidRPr="00966D98">
        <w:rPr>
          <w:rFonts w:ascii="Garamond" w:hAnsi="Garamond"/>
          <w:noProof/>
        </w:rPr>
        <w:t xml:space="preserve">. Against impact. </w:t>
      </w:r>
      <w:r w:rsidRPr="00966D98">
        <w:rPr>
          <w:rFonts w:ascii="Garamond" w:hAnsi="Garamond"/>
          <w:i/>
          <w:iCs/>
          <w:noProof/>
        </w:rPr>
        <w:t>Oxford Magazine</w:t>
      </w:r>
      <w:r w:rsidRPr="00966D98">
        <w:rPr>
          <w:rFonts w:ascii="Garamond" w:hAnsi="Garamond"/>
          <w:noProof/>
        </w:rPr>
        <w:t>. Available at: https://scholar.google.co.uk/scholar?hl=en&amp;q=Ladyman%2C+J.+2009.+Against+impact.+Oxford+Magazine+294%3A+4–5.&amp;btnG=&amp;as_sdt=1%2C33&amp;as_sdtp=</w:t>
      </w:r>
    </w:p>
    <w:p w14:paraId="75C9F350"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Lamont, M., &amp; Lareau, A. (1988). Cultural capital: allusions, gaps and glissandos in recent theoretical developments. </w:t>
      </w:r>
      <w:r w:rsidRPr="00966D98">
        <w:rPr>
          <w:rFonts w:ascii="Garamond" w:hAnsi="Garamond"/>
          <w:i/>
          <w:lang w:val="en-GB"/>
        </w:rPr>
        <w:t>Sociological Theory</w:t>
      </w:r>
      <w:r w:rsidRPr="00966D98">
        <w:rPr>
          <w:rFonts w:ascii="Garamond" w:hAnsi="Garamond"/>
          <w:lang w:val="en-GB"/>
        </w:rPr>
        <w:t xml:space="preserve">, </w:t>
      </w:r>
      <w:r w:rsidRPr="00966D98">
        <w:rPr>
          <w:rFonts w:ascii="Garamond" w:hAnsi="Garamond"/>
          <w:i/>
          <w:lang w:val="en-GB"/>
        </w:rPr>
        <w:t>6</w:t>
      </w:r>
      <w:r w:rsidRPr="00966D98">
        <w:rPr>
          <w:rFonts w:ascii="Garamond" w:hAnsi="Garamond"/>
          <w:lang w:val="en-GB"/>
        </w:rPr>
        <w:t xml:space="preserve">(2), 153–168. </w:t>
      </w:r>
    </w:p>
    <w:p w14:paraId="5F882FF5" w14:textId="77777777" w:rsidR="00717E66" w:rsidRPr="00966D98" w:rsidRDefault="00717E66" w:rsidP="00DF48B8">
      <w:pPr>
        <w:pStyle w:val="Body"/>
        <w:widowControl w:val="0"/>
        <w:spacing w:before="200" w:after="200" w:line="360" w:lineRule="auto"/>
        <w:ind w:left="480" w:hanging="480"/>
        <w:jc w:val="both"/>
        <w:rPr>
          <w:rFonts w:ascii="Garamond" w:hAnsi="Garamond"/>
          <w:b/>
          <w:lang w:val="en-GB"/>
        </w:rPr>
      </w:pPr>
      <w:proofErr w:type="spellStart"/>
      <w:r w:rsidRPr="00966D98">
        <w:rPr>
          <w:rFonts w:ascii="Garamond" w:hAnsi="Garamond"/>
          <w:lang w:val="en-GB"/>
        </w:rPr>
        <w:t>Leisyte</w:t>
      </w:r>
      <w:proofErr w:type="spellEnd"/>
      <w:r w:rsidRPr="00966D98">
        <w:rPr>
          <w:rFonts w:ascii="Garamond" w:hAnsi="Garamond"/>
          <w:lang w:val="en-GB"/>
        </w:rPr>
        <w:t>, L. &amp; Dee, JR. (2012).</w:t>
      </w:r>
      <w:r w:rsidRPr="00966D98">
        <w:rPr>
          <w:rFonts w:ascii="Garamond" w:hAnsi="Garamond"/>
          <w:i/>
          <w:lang w:val="en-GB"/>
        </w:rPr>
        <w:t xml:space="preserve"> Understanding Academic Work in a Changing Institutional Environment. </w:t>
      </w:r>
      <w:r w:rsidRPr="00966D98">
        <w:rPr>
          <w:rFonts w:ascii="Garamond" w:hAnsi="Garamond"/>
          <w:lang w:val="en-GB"/>
        </w:rPr>
        <w:t xml:space="preserve">Springer, Dordrecht. </w:t>
      </w:r>
    </w:p>
    <w:p w14:paraId="06A4B96D" w14:textId="27FE459C" w:rsidR="00717E66" w:rsidRPr="00966D98" w:rsidRDefault="00717E66" w:rsidP="00DF48B8">
      <w:pPr>
        <w:widowControl w:val="0"/>
        <w:autoSpaceDE w:val="0"/>
        <w:autoSpaceDN w:val="0"/>
        <w:adjustRightInd w:val="0"/>
        <w:spacing w:before="120" w:after="120" w:line="360" w:lineRule="auto"/>
        <w:ind w:left="480" w:hanging="480"/>
        <w:jc w:val="both"/>
        <w:rPr>
          <w:rFonts w:ascii="Garamond" w:hAnsi="Garamond"/>
          <w:noProof/>
        </w:rPr>
      </w:pPr>
      <w:r w:rsidRPr="00966D98">
        <w:rPr>
          <w:rFonts w:ascii="Garamond" w:hAnsi="Garamond"/>
          <w:noProof/>
        </w:rPr>
        <w:t xml:space="preserve">LSE </w:t>
      </w:r>
      <w:r w:rsidR="0095471C" w:rsidRPr="00966D98">
        <w:rPr>
          <w:rFonts w:ascii="Garamond" w:hAnsi="Garamond"/>
          <w:noProof/>
        </w:rPr>
        <w:t>(</w:t>
      </w:r>
      <w:r w:rsidRPr="00966D98">
        <w:rPr>
          <w:rFonts w:ascii="Garamond" w:hAnsi="Garamond"/>
          <w:noProof/>
        </w:rPr>
        <w:t>2011</w:t>
      </w:r>
      <w:r w:rsidR="0095471C" w:rsidRPr="00966D98">
        <w:rPr>
          <w:rFonts w:ascii="Garamond" w:hAnsi="Garamond"/>
          <w:noProof/>
        </w:rPr>
        <w:t>)</w:t>
      </w:r>
      <w:r w:rsidRPr="00966D98">
        <w:rPr>
          <w:rFonts w:ascii="Garamond" w:hAnsi="Garamond"/>
          <w:noProof/>
        </w:rPr>
        <w:t xml:space="preserve">. Impact of Social Sciences. </w:t>
      </w:r>
      <w:r w:rsidRPr="00966D98">
        <w:rPr>
          <w:rFonts w:ascii="Garamond" w:hAnsi="Garamond"/>
          <w:i/>
          <w:iCs/>
          <w:noProof/>
        </w:rPr>
        <w:t>LSE Impact Blogs</w:t>
      </w:r>
      <w:r w:rsidRPr="00966D98">
        <w:rPr>
          <w:rFonts w:ascii="Garamond" w:hAnsi="Garamond"/>
          <w:noProof/>
        </w:rPr>
        <w:t xml:space="preserve">. Available at: http://blogs.lse.ac.uk/impactofsocialsciences/ </w:t>
      </w:r>
    </w:p>
    <w:p w14:paraId="786A41E4"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Lucas, L. (2001). </w:t>
      </w:r>
      <w:r w:rsidRPr="00966D98">
        <w:rPr>
          <w:rFonts w:ascii="Garamond" w:hAnsi="Garamond"/>
          <w:i/>
          <w:lang w:val="en-GB"/>
        </w:rPr>
        <w:t>The research “game”: a sociological study of academic research work in two universities</w:t>
      </w:r>
      <w:r w:rsidRPr="00966D98">
        <w:rPr>
          <w:rFonts w:ascii="Garamond" w:hAnsi="Garamond"/>
          <w:lang w:val="en-GB"/>
        </w:rPr>
        <w:t>. University of Warwick.</w:t>
      </w:r>
    </w:p>
    <w:p w14:paraId="1F6EC9FB" w14:textId="6290FC68"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lastRenderedPageBreak/>
        <w:t xml:space="preserve">Martin, B. R. (2011). The research excellence framework and the “impact agenda”: are we creating a </w:t>
      </w:r>
      <w:r w:rsidR="0095471C" w:rsidRPr="00966D98">
        <w:rPr>
          <w:rFonts w:ascii="Garamond" w:hAnsi="Garamond"/>
          <w:lang w:val="en-GB"/>
        </w:rPr>
        <w:t>F</w:t>
      </w:r>
      <w:r w:rsidRPr="00966D98">
        <w:rPr>
          <w:rFonts w:ascii="Garamond" w:hAnsi="Garamond"/>
          <w:lang w:val="en-GB"/>
        </w:rPr>
        <w:t xml:space="preserve">rankenstein monster? </w:t>
      </w:r>
      <w:r w:rsidRPr="00966D98">
        <w:rPr>
          <w:rFonts w:ascii="Garamond" w:hAnsi="Garamond"/>
          <w:i/>
          <w:lang w:val="en-GB"/>
        </w:rPr>
        <w:t>Research Evaluation</w:t>
      </w:r>
      <w:r w:rsidRPr="00966D98">
        <w:rPr>
          <w:rFonts w:ascii="Garamond" w:hAnsi="Garamond"/>
          <w:lang w:val="en-GB"/>
        </w:rPr>
        <w:t xml:space="preserve">, </w:t>
      </w:r>
      <w:r w:rsidRPr="00966D98">
        <w:rPr>
          <w:rFonts w:ascii="Garamond" w:hAnsi="Garamond"/>
          <w:i/>
          <w:lang w:val="en-GB"/>
        </w:rPr>
        <w:t>20</w:t>
      </w:r>
      <w:r w:rsidRPr="00966D98">
        <w:rPr>
          <w:rFonts w:ascii="Garamond" w:hAnsi="Garamond"/>
          <w:lang w:val="en-GB"/>
        </w:rPr>
        <w:t xml:space="preserve">(3), 247–254. </w:t>
      </w:r>
    </w:p>
    <w:p w14:paraId="7FC36E8B" w14:textId="0774B785" w:rsidR="003E449C"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Medina, L. R. (2014). </w:t>
      </w:r>
      <w:proofErr w:type="spellStart"/>
      <w:r w:rsidRPr="00966D98">
        <w:rPr>
          <w:rFonts w:ascii="Garamond" w:hAnsi="Garamond"/>
          <w:i/>
          <w:lang w:val="en-GB"/>
        </w:rPr>
        <w:t>Centers</w:t>
      </w:r>
      <w:proofErr w:type="spellEnd"/>
      <w:r w:rsidRPr="00966D98">
        <w:rPr>
          <w:rFonts w:ascii="Garamond" w:hAnsi="Garamond"/>
          <w:i/>
          <w:lang w:val="en-GB"/>
        </w:rPr>
        <w:t xml:space="preserve"> and peripheries in knowledge production (vol. 115).</w:t>
      </w:r>
      <w:r w:rsidRPr="00966D98">
        <w:rPr>
          <w:rFonts w:ascii="Garamond" w:hAnsi="Garamond"/>
          <w:lang w:val="en-GB"/>
        </w:rPr>
        <w:t xml:space="preserve"> New York: Routledge.</w:t>
      </w:r>
    </w:p>
    <w:p w14:paraId="669F242E" w14:textId="0D2F1154"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Medvetz, T. (2012a). Murky power: “think tanks” as boundary organisations. </w:t>
      </w:r>
      <w:r w:rsidRPr="00966D98">
        <w:rPr>
          <w:rFonts w:ascii="Garamond" w:hAnsi="Garamond"/>
          <w:i/>
          <w:lang w:val="en-GB"/>
        </w:rPr>
        <w:t xml:space="preserve">Rethinking Power in </w:t>
      </w:r>
      <w:r w:rsidR="00A66C67" w:rsidRPr="00966D98">
        <w:rPr>
          <w:rFonts w:ascii="Garamond" w:hAnsi="Garamond"/>
          <w:i/>
          <w:lang w:val="en-GB"/>
        </w:rPr>
        <w:t>Organizations</w:t>
      </w:r>
      <w:r w:rsidRPr="00966D98">
        <w:rPr>
          <w:rFonts w:ascii="Garamond" w:hAnsi="Garamond"/>
          <w:i/>
          <w:lang w:val="en-GB"/>
        </w:rPr>
        <w:t>, Institutions, and Markets (Research in the Sociology of Organisations, Volume 43)</w:t>
      </w:r>
      <w:r w:rsidRPr="00966D98">
        <w:rPr>
          <w:rFonts w:ascii="Garamond" w:hAnsi="Garamond"/>
          <w:lang w:val="en-GB"/>
        </w:rPr>
        <w:t xml:space="preserve">, </w:t>
      </w:r>
      <w:r w:rsidRPr="00966D98">
        <w:rPr>
          <w:rFonts w:ascii="Garamond" w:hAnsi="Garamond"/>
          <w:i/>
          <w:lang w:val="en-GB"/>
        </w:rPr>
        <w:t>34</w:t>
      </w:r>
      <w:r w:rsidRPr="00966D98">
        <w:rPr>
          <w:rFonts w:ascii="Garamond" w:hAnsi="Garamond"/>
          <w:lang w:val="en-GB"/>
        </w:rPr>
        <w:t xml:space="preserve">, 113–133. </w:t>
      </w:r>
    </w:p>
    <w:p w14:paraId="023BF2EC"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Medvetz, T. (2012b). </w:t>
      </w:r>
      <w:r w:rsidRPr="00966D98">
        <w:rPr>
          <w:rFonts w:ascii="Garamond" w:hAnsi="Garamond"/>
          <w:i/>
          <w:lang w:val="en-GB"/>
        </w:rPr>
        <w:t xml:space="preserve">Think tanks in </w:t>
      </w:r>
      <w:r w:rsidRPr="00966D98">
        <w:rPr>
          <w:rFonts w:ascii="Garamond" w:hAnsi="Garamond"/>
          <w:i/>
          <w:iCs/>
          <w:lang w:val="en-GB"/>
        </w:rPr>
        <w:t>America</w:t>
      </w:r>
      <w:r w:rsidRPr="00966D98">
        <w:rPr>
          <w:rFonts w:ascii="Garamond" w:hAnsi="Garamond"/>
          <w:lang w:val="en-GB"/>
        </w:rPr>
        <w:t xml:space="preserve">. Chicago: University </w:t>
      </w:r>
      <w:proofErr w:type="gramStart"/>
      <w:r w:rsidRPr="00966D98">
        <w:rPr>
          <w:rFonts w:ascii="Garamond" w:hAnsi="Garamond"/>
          <w:lang w:val="en-GB"/>
        </w:rPr>
        <w:t>Of</w:t>
      </w:r>
      <w:proofErr w:type="gramEnd"/>
      <w:r w:rsidRPr="00966D98">
        <w:rPr>
          <w:rFonts w:ascii="Garamond" w:hAnsi="Garamond"/>
          <w:lang w:val="en-GB"/>
        </w:rPr>
        <w:t xml:space="preserve"> Chicago Press.</w:t>
      </w:r>
    </w:p>
    <w:p w14:paraId="5E53D647" w14:textId="407B5A02" w:rsidR="003E449C" w:rsidRPr="00966D98" w:rsidRDefault="003E449C"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Muhonen</w:t>
      </w:r>
      <w:proofErr w:type="spellEnd"/>
      <w:r w:rsidRPr="00966D98">
        <w:rPr>
          <w:rFonts w:ascii="Garamond" w:hAnsi="Garamond"/>
          <w:lang w:val="en-GB"/>
        </w:rPr>
        <w:t xml:space="preserve">, R., </w:t>
      </w:r>
      <w:proofErr w:type="spellStart"/>
      <w:r w:rsidRPr="00966D98">
        <w:rPr>
          <w:rFonts w:ascii="Garamond" w:hAnsi="Garamond"/>
          <w:lang w:val="en-GB"/>
        </w:rPr>
        <w:t>Benneworth</w:t>
      </w:r>
      <w:proofErr w:type="spellEnd"/>
      <w:r w:rsidRPr="00966D98">
        <w:rPr>
          <w:rFonts w:ascii="Garamond" w:hAnsi="Garamond"/>
          <w:lang w:val="en-GB"/>
        </w:rPr>
        <w:t>, P., &amp; Olmos-</w:t>
      </w:r>
      <w:proofErr w:type="spellStart"/>
      <w:r w:rsidRPr="00966D98">
        <w:rPr>
          <w:rFonts w:ascii="Garamond" w:hAnsi="Garamond"/>
          <w:lang w:val="en-GB"/>
        </w:rPr>
        <w:t>Penuela</w:t>
      </w:r>
      <w:proofErr w:type="spellEnd"/>
      <w:r w:rsidRPr="00966D98">
        <w:rPr>
          <w:rFonts w:ascii="Garamond" w:hAnsi="Garamond"/>
          <w:lang w:val="en-GB"/>
        </w:rPr>
        <w:t xml:space="preserve">, J. (2019). From productive interactions to impact pathways: Understanding the key dimensions in developing SSH research societal impact. </w:t>
      </w:r>
      <w:r w:rsidRPr="00966D98">
        <w:rPr>
          <w:rFonts w:ascii="Garamond" w:hAnsi="Garamond"/>
          <w:i/>
          <w:lang w:val="en-GB"/>
        </w:rPr>
        <w:t>Research Evaluation.</w:t>
      </w:r>
      <w:r w:rsidRPr="00966D98">
        <w:rPr>
          <w:rFonts w:ascii="Garamond" w:hAnsi="Garamond"/>
          <w:lang w:val="en-GB"/>
        </w:rPr>
        <w:t> </w:t>
      </w:r>
      <w:hyperlink r:id="rId11" w:tgtFrame="_blank" w:history="1">
        <w:r w:rsidRPr="00966D98">
          <w:rPr>
            <w:rStyle w:val="Hyperlink"/>
            <w:rFonts w:ascii="Garamond" w:hAnsi="Garamond"/>
            <w:lang w:val="en-GB"/>
          </w:rPr>
          <w:t>10.1093/</w:t>
        </w:r>
        <w:proofErr w:type="spellStart"/>
        <w:r w:rsidRPr="00966D98">
          <w:rPr>
            <w:rStyle w:val="Hyperlink"/>
            <w:rFonts w:ascii="Garamond" w:hAnsi="Garamond"/>
            <w:lang w:val="en-GB"/>
          </w:rPr>
          <w:t>reseval</w:t>
        </w:r>
        <w:proofErr w:type="spellEnd"/>
        <w:r w:rsidRPr="00966D98">
          <w:rPr>
            <w:rStyle w:val="Hyperlink"/>
            <w:rFonts w:ascii="Garamond" w:hAnsi="Garamond"/>
            <w:lang w:val="en-GB"/>
          </w:rPr>
          <w:t>/rvz003</w:t>
        </w:r>
      </w:hyperlink>
    </w:p>
    <w:p w14:paraId="50E30506" w14:textId="23B127E2" w:rsidR="00717E66" w:rsidRPr="00966D98" w:rsidRDefault="00717E66" w:rsidP="00DF48B8">
      <w:pPr>
        <w:pStyle w:val="Body"/>
        <w:widowControl w:val="0"/>
        <w:spacing w:before="200" w:after="200" w:line="360" w:lineRule="auto"/>
        <w:ind w:left="480" w:hanging="480"/>
        <w:jc w:val="both"/>
        <w:rPr>
          <w:rFonts w:ascii="Garamond" w:hAnsi="Garamond"/>
          <w:b/>
          <w:lang w:val="en-GB"/>
        </w:rPr>
      </w:pPr>
      <w:proofErr w:type="spellStart"/>
      <w:r w:rsidRPr="00966D98">
        <w:rPr>
          <w:rFonts w:ascii="Garamond" w:hAnsi="Garamond"/>
          <w:lang w:val="en-GB"/>
        </w:rPr>
        <w:t>Nedeva</w:t>
      </w:r>
      <w:proofErr w:type="spellEnd"/>
      <w:r w:rsidRPr="00966D98">
        <w:rPr>
          <w:rFonts w:ascii="Garamond" w:hAnsi="Garamond"/>
          <w:lang w:val="en-GB"/>
        </w:rPr>
        <w:t xml:space="preserve">, M., Boden, R. &amp;, </w:t>
      </w:r>
      <w:proofErr w:type="spellStart"/>
      <w:r w:rsidRPr="00966D98">
        <w:rPr>
          <w:rFonts w:ascii="Garamond" w:hAnsi="Garamond"/>
          <w:lang w:val="en-GB"/>
        </w:rPr>
        <w:t>Nugroho</w:t>
      </w:r>
      <w:proofErr w:type="spellEnd"/>
      <w:r w:rsidRPr="00966D98">
        <w:rPr>
          <w:rFonts w:ascii="Garamond" w:hAnsi="Garamond"/>
          <w:lang w:val="en-GB"/>
        </w:rPr>
        <w:t xml:space="preserve">, Y. (2012). Rank and file: Managing individual performance in university research. </w:t>
      </w:r>
      <w:r w:rsidRPr="00966D98">
        <w:rPr>
          <w:rFonts w:ascii="Garamond" w:hAnsi="Garamond"/>
          <w:i/>
          <w:lang w:val="en-GB"/>
        </w:rPr>
        <w:t>Higher Education Policy, 25</w:t>
      </w:r>
      <w:r w:rsidRPr="00966D98">
        <w:rPr>
          <w:rFonts w:ascii="Garamond" w:hAnsi="Garamond"/>
          <w:lang w:val="en-GB"/>
        </w:rPr>
        <w:t xml:space="preserve">(3):335–60. </w:t>
      </w:r>
    </w:p>
    <w:p w14:paraId="3044A75A" w14:textId="0CA32591"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Paradeise</w:t>
      </w:r>
      <w:proofErr w:type="spellEnd"/>
      <w:r w:rsidRPr="00966D98">
        <w:rPr>
          <w:rFonts w:ascii="Garamond" w:hAnsi="Garamond"/>
          <w:lang w:val="en-GB"/>
        </w:rPr>
        <w:t xml:space="preserve">, C. &amp; </w:t>
      </w:r>
      <w:proofErr w:type="spellStart"/>
      <w:r w:rsidRPr="00966D98">
        <w:rPr>
          <w:rFonts w:ascii="Garamond" w:hAnsi="Garamond"/>
          <w:lang w:val="en-GB"/>
        </w:rPr>
        <w:t>Thoenig</w:t>
      </w:r>
      <w:proofErr w:type="spellEnd"/>
      <w:r w:rsidRPr="00966D98">
        <w:rPr>
          <w:rFonts w:ascii="Garamond" w:hAnsi="Garamond"/>
          <w:lang w:val="en-GB"/>
        </w:rPr>
        <w:t xml:space="preserve">, J-C. (2013). Academic Institutions in Search of Quality: Local Orders and Global Standards. </w:t>
      </w:r>
      <w:r w:rsidRPr="00966D98">
        <w:rPr>
          <w:rFonts w:ascii="Garamond" w:hAnsi="Garamond"/>
          <w:i/>
          <w:lang w:val="en-GB"/>
        </w:rPr>
        <w:t>Organization Studies</w:t>
      </w:r>
      <w:r w:rsidRPr="00966D98">
        <w:rPr>
          <w:rFonts w:ascii="Garamond" w:hAnsi="Garamond"/>
          <w:lang w:val="en-GB"/>
        </w:rPr>
        <w:t>, 34(2): 189- 218</w:t>
      </w:r>
      <w:proofErr w:type="gramStart"/>
      <w:r w:rsidRPr="00966D98">
        <w:rPr>
          <w:rFonts w:ascii="Garamond" w:hAnsi="Garamond"/>
          <w:lang w:val="en-GB"/>
        </w:rPr>
        <w:t>. .</w:t>
      </w:r>
      <w:proofErr w:type="gramEnd"/>
      <w:r w:rsidRPr="00966D98">
        <w:rPr>
          <w:rFonts w:ascii="Garamond" w:hAnsi="Garamond"/>
          <w:lang w:val="en-GB"/>
        </w:rPr>
        <w:t xml:space="preserve"> </w:t>
      </w:r>
    </w:p>
    <w:p w14:paraId="54D4EEF4" w14:textId="5738C888"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Paradeise</w:t>
      </w:r>
      <w:proofErr w:type="spellEnd"/>
      <w:r w:rsidRPr="00966D98">
        <w:rPr>
          <w:rFonts w:ascii="Garamond" w:hAnsi="Garamond"/>
          <w:lang w:val="en-GB"/>
        </w:rPr>
        <w:t xml:space="preserve">, C. &amp; </w:t>
      </w:r>
      <w:proofErr w:type="spellStart"/>
      <w:r w:rsidRPr="00966D98">
        <w:rPr>
          <w:rFonts w:ascii="Garamond" w:hAnsi="Garamond"/>
          <w:lang w:val="en-GB"/>
        </w:rPr>
        <w:t>Filliatreau</w:t>
      </w:r>
      <w:proofErr w:type="spellEnd"/>
      <w:r w:rsidRPr="00966D98">
        <w:rPr>
          <w:rFonts w:ascii="Garamond" w:hAnsi="Garamond"/>
          <w:lang w:val="en-GB"/>
        </w:rPr>
        <w:t xml:space="preserve">, G. (2016). The emergent action field of metrics: From rankings to altmetrics. </w:t>
      </w:r>
      <w:r w:rsidRPr="00966D98">
        <w:rPr>
          <w:rFonts w:ascii="Garamond" w:hAnsi="Garamond"/>
          <w:i/>
          <w:lang w:val="en-GB"/>
        </w:rPr>
        <w:t>Research in the Sociology of Organisations</w:t>
      </w:r>
      <w:r w:rsidRPr="00966D98">
        <w:rPr>
          <w:rFonts w:ascii="Garamond" w:hAnsi="Garamond"/>
          <w:lang w:val="en-GB"/>
        </w:rPr>
        <w:t xml:space="preserve">, </w:t>
      </w:r>
      <w:r w:rsidRPr="00966D98">
        <w:rPr>
          <w:rFonts w:ascii="Garamond" w:hAnsi="Garamond"/>
          <w:i/>
          <w:lang w:val="en-GB"/>
        </w:rPr>
        <w:t>46</w:t>
      </w:r>
      <w:r w:rsidRPr="00966D98">
        <w:rPr>
          <w:rFonts w:ascii="Garamond" w:hAnsi="Garamond"/>
          <w:lang w:val="en-GB"/>
        </w:rPr>
        <w:t xml:space="preserve">, 87–128. </w:t>
      </w:r>
    </w:p>
    <w:p w14:paraId="07DFD685" w14:textId="3871E006"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Parker, L. D. &amp; Guthrie, J. (1993). The </w:t>
      </w:r>
      <w:r w:rsidR="00C5590B" w:rsidRPr="00966D98">
        <w:rPr>
          <w:rFonts w:ascii="Garamond" w:hAnsi="Garamond"/>
          <w:lang w:val="en-GB"/>
        </w:rPr>
        <w:t>A</w:t>
      </w:r>
      <w:r w:rsidRPr="00966D98">
        <w:rPr>
          <w:rFonts w:ascii="Garamond" w:hAnsi="Garamond"/>
          <w:lang w:val="en-GB"/>
        </w:rPr>
        <w:t xml:space="preserve">ustralian public sector in the 1990s: new accountability regimes in motion. </w:t>
      </w:r>
      <w:r w:rsidRPr="00966D98">
        <w:rPr>
          <w:rFonts w:ascii="Garamond" w:hAnsi="Garamond"/>
          <w:i/>
          <w:lang w:val="en-GB"/>
        </w:rPr>
        <w:t>Journal of International Accounting, Auditing and Taxation</w:t>
      </w:r>
      <w:r w:rsidRPr="00966D98">
        <w:rPr>
          <w:rFonts w:ascii="Garamond" w:hAnsi="Garamond"/>
          <w:lang w:val="en-GB"/>
        </w:rPr>
        <w:t xml:space="preserve">, </w:t>
      </w:r>
      <w:r w:rsidRPr="00966D98">
        <w:rPr>
          <w:rFonts w:ascii="Garamond" w:hAnsi="Garamond"/>
          <w:i/>
          <w:lang w:val="en-GB"/>
        </w:rPr>
        <w:t>2</w:t>
      </w:r>
      <w:r w:rsidRPr="00966D98">
        <w:rPr>
          <w:rFonts w:ascii="Garamond" w:hAnsi="Garamond"/>
          <w:lang w:val="en-GB"/>
        </w:rPr>
        <w:t xml:space="preserve">(1), 59–81. </w:t>
      </w:r>
    </w:p>
    <w:p w14:paraId="3135518F"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Parker, J. &amp; Van </w:t>
      </w:r>
      <w:proofErr w:type="spellStart"/>
      <w:r w:rsidRPr="00966D98">
        <w:rPr>
          <w:rFonts w:ascii="Garamond" w:hAnsi="Garamond"/>
          <w:lang w:val="en-GB"/>
        </w:rPr>
        <w:t>Teijlingen</w:t>
      </w:r>
      <w:proofErr w:type="spellEnd"/>
      <w:r w:rsidRPr="00966D98">
        <w:rPr>
          <w:rFonts w:ascii="Garamond" w:hAnsi="Garamond"/>
          <w:lang w:val="en-GB"/>
        </w:rPr>
        <w:t xml:space="preserve">, E. (2012). The Research Excellence Framework (REF): Assessing the Impact of Social Work Research on Society. </w:t>
      </w:r>
      <w:r w:rsidRPr="00966D98">
        <w:rPr>
          <w:rFonts w:ascii="Garamond" w:hAnsi="Garamond"/>
          <w:i/>
          <w:lang w:val="en-GB"/>
        </w:rPr>
        <w:t>Practice: Social Work in Action, 24</w:t>
      </w:r>
      <w:r w:rsidRPr="00966D98">
        <w:rPr>
          <w:rFonts w:ascii="Garamond" w:hAnsi="Garamond"/>
          <w:lang w:val="en-GB"/>
        </w:rPr>
        <w:t>(1):41–52.</w:t>
      </w:r>
    </w:p>
    <w:p w14:paraId="46D776D2" w14:textId="03AC1F20" w:rsidR="00CE2623" w:rsidRPr="00966D98" w:rsidRDefault="00CE2623"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Petersohn</w:t>
      </w:r>
      <w:proofErr w:type="spellEnd"/>
      <w:r w:rsidRPr="00966D98">
        <w:rPr>
          <w:rFonts w:ascii="Garamond" w:hAnsi="Garamond"/>
          <w:lang w:val="en-GB"/>
        </w:rPr>
        <w:t xml:space="preserve">, S. &amp; Heinze, T. (2017). Professionalization of bibliometric research assessment. Insights from the history of the Leiden Centre for Science and Technology Studies (CWTS), </w:t>
      </w:r>
      <w:r w:rsidRPr="00966D98">
        <w:rPr>
          <w:rFonts w:ascii="Garamond" w:hAnsi="Garamond"/>
          <w:i/>
          <w:lang w:val="en-GB"/>
        </w:rPr>
        <w:t>Science and Public Policy, 45</w:t>
      </w:r>
      <w:r w:rsidRPr="00966D98">
        <w:rPr>
          <w:rFonts w:ascii="Garamond" w:hAnsi="Garamond"/>
          <w:lang w:val="en-GB"/>
        </w:rPr>
        <w:t>(4), 565-578.</w:t>
      </w:r>
    </w:p>
    <w:p w14:paraId="752A3C84" w14:textId="759107AB" w:rsidR="00505905"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Penfield, T., Baker, M., </w:t>
      </w:r>
      <w:proofErr w:type="spellStart"/>
      <w:r w:rsidRPr="00966D98">
        <w:rPr>
          <w:rFonts w:ascii="Garamond" w:hAnsi="Garamond"/>
          <w:lang w:val="en-GB"/>
        </w:rPr>
        <w:t>Scoble</w:t>
      </w:r>
      <w:proofErr w:type="spellEnd"/>
      <w:r w:rsidRPr="00966D98">
        <w:rPr>
          <w:rFonts w:ascii="Garamond" w:hAnsi="Garamond"/>
          <w:lang w:val="en-GB"/>
        </w:rPr>
        <w:t xml:space="preserve">, R. and Wykes, M. (2014). Assessment, evaluations, and definitions of research impact: A review. </w:t>
      </w:r>
      <w:r w:rsidRPr="00966D98">
        <w:rPr>
          <w:rFonts w:ascii="Garamond" w:hAnsi="Garamond"/>
          <w:i/>
          <w:lang w:val="en-GB"/>
        </w:rPr>
        <w:t>Research Evaluation 23</w:t>
      </w:r>
      <w:r w:rsidRPr="00966D98">
        <w:rPr>
          <w:rFonts w:ascii="Garamond" w:hAnsi="Garamond"/>
          <w:lang w:val="en-GB"/>
        </w:rPr>
        <w:t>:21–32.</w:t>
      </w:r>
    </w:p>
    <w:p w14:paraId="77A80B08" w14:textId="0F33A128"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Pettigrew, A. M. (2011). Scholarship with impact. </w:t>
      </w:r>
      <w:r w:rsidRPr="00966D98">
        <w:rPr>
          <w:rFonts w:ascii="Garamond" w:hAnsi="Garamond"/>
          <w:i/>
          <w:lang w:val="en-GB"/>
        </w:rPr>
        <w:t>British Journal of Management</w:t>
      </w:r>
      <w:r w:rsidRPr="00966D98">
        <w:rPr>
          <w:rFonts w:ascii="Garamond" w:hAnsi="Garamond"/>
          <w:lang w:val="en-GB"/>
        </w:rPr>
        <w:t xml:space="preserve">, </w:t>
      </w:r>
      <w:r w:rsidRPr="00966D98">
        <w:rPr>
          <w:rFonts w:ascii="Garamond" w:hAnsi="Garamond"/>
          <w:i/>
          <w:lang w:val="en-GB"/>
        </w:rPr>
        <w:t>22</w:t>
      </w:r>
      <w:r w:rsidRPr="00966D98">
        <w:rPr>
          <w:rFonts w:ascii="Garamond" w:hAnsi="Garamond"/>
          <w:lang w:val="en-GB"/>
        </w:rPr>
        <w:t xml:space="preserve">(3), 347–354. </w:t>
      </w:r>
    </w:p>
    <w:p w14:paraId="2DA6767B" w14:textId="1D0B6B1D" w:rsidR="00E150CB" w:rsidRPr="00966D98" w:rsidRDefault="00E150CB" w:rsidP="00E150CB">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Priem</w:t>
      </w:r>
      <w:proofErr w:type="spellEnd"/>
      <w:r w:rsidRPr="00966D98">
        <w:rPr>
          <w:rFonts w:ascii="Garamond" w:hAnsi="Garamond"/>
          <w:lang w:val="en-GB"/>
        </w:rPr>
        <w:t xml:space="preserve">, J., </w:t>
      </w:r>
      <w:proofErr w:type="spellStart"/>
      <w:r w:rsidRPr="00966D98">
        <w:rPr>
          <w:rFonts w:ascii="Garamond" w:hAnsi="Garamond"/>
          <w:lang w:val="en-GB"/>
        </w:rPr>
        <w:t>Taraborelli</w:t>
      </w:r>
      <w:proofErr w:type="spellEnd"/>
      <w:r w:rsidRPr="00966D98">
        <w:rPr>
          <w:rFonts w:ascii="Garamond" w:hAnsi="Garamond"/>
          <w:lang w:val="en-GB"/>
        </w:rPr>
        <w:t xml:space="preserve">, D., </w:t>
      </w:r>
      <w:proofErr w:type="spellStart"/>
      <w:r w:rsidRPr="00966D98">
        <w:rPr>
          <w:rFonts w:ascii="Garamond" w:hAnsi="Garamond"/>
          <w:lang w:val="en-GB"/>
        </w:rPr>
        <w:t>Groth</w:t>
      </w:r>
      <w:proofErr w:type="spellEnd"/>
      <w:r w:rsidRPr="00966D98">
        <w:rPr>
          <w:rFonts w:ascii="Garamond" w:hAnsi="Garamond"/>
          <w:lang w:val="en-GB"/>
        </w:rPr>
        <w:t xml:space="preserve">, P. &amp; </w:t>
      </w:r>
      <w:proofErr w:type="spellStart"/>
      <w:r w:rsidRPr="00966D98">
        <w:rPr>
          <w:rFonts w:ascii="Garamond" w:hAnsi="Garamond"/>
          <w:lang w:val="en-GB"/>
        </w:rPr>
        <w:t>Neylon</w:t>
      </w:r>
      <w:proofErr w:type="spellEnd"/>
      <w:r w:rsidRPr="00966D98">
        <w:rPr>
          <w:rFonts w:ascii="Garamond" w:hAnsi="Garamond"/>
          <w:lang w:val="en-GB"/>
        </w:rPr>
        <w:t xml:space="preserve">, C. (2010). </w:t>
      </w:r>
      <w:r w:rsidRPr="00966D98">
        <w:rPr>
          <w:rFonts w:ascii="Garamond" w:hAnsi="Garamond"/>
          <w:i/>
          <w:lang w:val="en-GB"/>
        </w:rPr>
        <w:t>Altmetrics: a manifesto.</w:t>
      </w:r>
      <w:r w:rsidRPr="00966D98">
        <w:rPr>
          <w:rFonts w:ascii="Garamond" w:hAnsi="Garamond"/>
          <w:lang w:val="en-GB"/>
        </w:rPr>
        <w:t xml:space="preserve"> Retrieved from http://altmetrics.org/manifesto/</w:t>
      </w:r>
    </w:p>
    <w:p w14:paraId="4C00D44B" w14:textId="77777777" w:rsidR="00EE5258" w:rsidRPr="00966D98" w:rsidRDefault="001531A0" w:rsidP="00DF48B8">
      <w:pPr>
        <w:pStyle w:val="Body"/>
        <w:widowControl w:val="0"/>
        <w:spacing w:before="200" w:after="200" w:line="360" w:lineRule="auto"/>
        <w:ind w:left="480" w:hanging="480"/>
        <w:jc w:val="both"/>
        <w:rPr>
          <w:rFonts w:ascii="Garamond" w:eastAsia="Garamond" w:hAnsi="Garamond" w:cs="Garamond"/>
          <w:bCs/>
          <w:lang w:val="en-GB"/>
        </w:rPr>
      </w:pPr>
      <w:proofErr w:type="spellStart"/>
      <w:r w:rsidRPr="00966D98">
        <w:rPr>
          <w:rFonts w:ascii="Garamond" w:eastAsia="Garamond" w:hAnsi="Garamond" w:cs="Garamond"/>
          <w:bCs/>
          <w:lang w:val="en-GB"/>
        </w:rPr>
        <w:lastRenderedPageBreak/>
        <w:t>Reale</w:t>
      </w:r>
      <w:proofErr w:type="spellEnd"/>
      <w:r w:rsidRPr="00966D98">
        <w:rPr>
          <w:rFonts w:ascii="Garamond" w:eastAsia="Garamond" w:hAnsi="Garamond" w:cs="Garamond"/>
          <w:bCs/>
          <w:lang w:val="en-GB"/>
        </w:rPr>
        <w:t>, E.</w:t>
      </w:r>
      <w:r w:rsidR="0095471C" w:rsidRPr="00966D98">
        <w:rPr>
          <w:rFonts w:ascii="Garamond" w:eastAsia="Garamond" w:hAnsi="Garamond" w:cs="Garamond"/>
          <w:bCs/>
          <w:lang w:val="en-GB"/>
        </w:rPr>
        <w:t xml:space="preserve"> et al.</w:t>
      </w:r>
      <w:r w:rsidRPr="00966D98">
        <w:rPr>
          <w:rFonts w:ascii="Garamond" w:eastAsia="Garamond" w:hAnsi="Garamond" w:cs="Garamond"/>
          <w:bCs/>
          <w:lang w:val="en-GB"/>
        </w:rPr>
        <w:t xml:space="preserve"> (2017). A review of literature on evaluating the scientific, social and political impact of social sciences and humanities research. </w:t>
      </w:r>
      <w:r w:rsidRPr="00966D98">
        <w:rPr>
          <w:rFonts w:ascii="Garamond" w:eastAsia="Garamond" w:hAnsi="Garamond" w:cs="Garamond"/>
          <w:bCs/>
          <w:i/>
          <w:lang w:val="en-GB"/>
        </w:rPr>
        <w:t>Research Evaluation, 27</w:t>
      </w:r>
      <w:r w:rsidRPr="00966D98">
        <w:rPr>
          <w:rFonts w:ascii="Garamond" w:eastAsia="Garamond" w:hAnsi="Garamond" w:cs="Garamond"/>
          <w:bCs/>
          <w:lang w:val="en-GB"/>
        </w:rPr>
        <w:t>(4), 298-308.</w:t>
      </w:r>
    </w:p>
    <w:p w14:paraId="56DD1C35" w14:textId="77777777" w:rsidR="00EE5258" w:rsidRPr="00966D98" w:rsidRDefault="00EE5258" w:rsidP="00EE525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Reale</w:t>
      </w:r>
      <w:proofErr w:type="spellEnd"/>
      <w:r w:rsidRPr="00966D98">
        <w:rPr>
          <w:rFonts w:ascii="Garamond" w:hAnsi="Garamond"/>
          <w:lang w:val="en-GB"/>
        </w:rPr>
        <w:t xml:space="preserve">, E. &amp; </w:t>
      </w:r>
      <w:proofErr w:type="spellStart"/>
      <w:r w:rsidRPr="00966D98">
        <w:rPr>
          <w:rFonts w:ascii="Garamond" w:hAnsi="Garamond"/>
          <w:lang w:val="en-GB"/>
        </w:rPr>
        <w:t>Seeber</w:t>
      </w:r>
      <w:proofErr w:type="spellEnd"/>
      <w:r w:rsidRPr="00966D98">
        <w:rPr>
          <w:rFonts w:ascii="Garamond" w:hAnsi="Garamond"/>
          <w:lang w:val="en-GB"/>
        </w:rPr>
        <w:t xml:space="preserve">, M. (2013). Instruments as empirical evidence for the analysis of Higher Education policies. </w:t>
      </w:r>
      <w:r w:rsidRPr="00966D98">
        <w:rPr>
          <w:rFonts w:ascii="Garamond" w:hAnsi="Garamond"/>
          <w:i/>
          <w:iCs/>
          <w:lang w:val="en-GB"/>
        </w:rPr>
        <w:t>Higher Education, 65</w:t>
      </w:r>
      <w:r w:rsidRPr="00966D98">
        <w:rPr>
          <w:rFonts w:ascii="Garamond" w:hAnsi="Garamond"/>
          <w:lang w:val="en-GB"/>
        </w:rPr>
        <w:t xml:space="preserve">(1):135–51. </w:t>
      </w:r>
    </w:p>
    <w:p w14:paraId="0938CF76" w14:textId="3CF988C5"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REF Impact Case Studies</w:t>
      </w:r>
      <w:r w:rsidR="0013248D" w:rsidRPr="00966D98">
        <w:rPr>
          <w:rFonts w:ascii="Garamond" w:hAnsi="Garamond"/>
          <w:lang w:val="en-GB"/>
        </w:rPr>
        <w:t>. (</w:t>
      </w:r>
      <w:r w:rsidRPr="00966D98">
        <w:rPr>
          <w:rFonts w:ascii="Garamond" w:hAnsi="Garamond"/>
          <w:lang w:val="en-GB"/>
        </w:rPr>
        <w:t>2014</w:t>
      </w:r>
      <w:r w:rsidR="0013248D" w:rsidRPr="00966D98">
        <w:rPr>
          <w:rFonts w:ascii="Garamond" w:hAnsi="Garamond"/>
          <w:lang w:val="en-GB"/>
        </w:rPr>
        <w:t>)</w:t>
      </w:r>
      <w:r w:rsidRPr="00966D98">
        <w:rPr>
          <w:rFonts w:ascii="Garamond" w:hAnsi="Garamond"/>
          <w:lang w:val="en-GB"/>
        </w:rPr>
        <w:t>. Available at: https://impact.ref.ac.uk/casestudies/</w:t>
      </w:r>
    </w:p>
    <w:p w14:paraId="28C103FB" w14:textId="3D21079E" w:rsidR="00E150CB" w:rsidRPr="00966D98" w:rsidRDefault="00E150CB" w:rsidP="00E150CB">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Roemer, R. C. &amp; Borchardt, R. (2012). From bibliometrics to altmetrics: A changing scholarly landscape. </w:t>
      </w:r>
      <w:r w:rsidRPr="00966D98">
        <w:rPr>
          <w:rFonts w:ascii="Garamond" w:hAnsi="Garamond"/>
          <w:i/>
          <w:lang w:val="en-GB"/>
        </w:rPr>
        <w:t>College &amp; Research Library News,</w:t>
      </w:r>
      <w:r w:rsidRPr="00966D98">
        <w:rPr>
          <w:rFonts w:ascii="Garamond" w:hAnsi="Garamond"/>
          <w:lang w:val="en-GB"/>
        </w:rPr>
        <w:t xml:space="preserve"> 73(10), 596-600.</w:t>
      </w:r>
    </w:p>
    <w:p w14:paraId="1556F714" w14:textId="23665B15"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Russell Group. (2011). </w:t>
      </w:r>
      <w:r w:rsidRPr="00966D98">
        <w:rPr>
          <w:rFonts w:ascii="Garamond" w:hAnsi="Garamond"/>
          <w:i/>
          <w:lang w:val="en-GB"/>
        </w:rPr>
        <w:t xml:space="preserve">Russell Group warns that REF impact weighting is still too high. </w:t>
      </w:r>
      <w:r w:rsidRPr="00966D98">
        <w:rPr>
          <w:rFonts w:ascii="Garamond" w:hAnsi="Garamond"/>
          <w:lang w:val="en-GB"/>
        </w:rPr>
        <w:t>Available at: http://russellgroup.ac.uk/news/russell-group-warns-that-ref-impact-weighting-is-still-too-high/</w:t>
      </w:r>
    </w:p>
    <w:p w14:paraId="02B26649"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Samuel, G. &amp; Derrick, G. (2015). Societal impact evaluation: Exploring evaluator perceptions of the characterization of impact under the REF2014, </w:t>
      </w:r>
      <w:r w:rsidRPr="00966D98">
        <w:rPr>
          <w:rFonts w:ascii="Garamond" w:hAnsi="Garamond"/>
          <w:i/>
          <w:iCs/>
          <w:lang w:val="en-GB"/>
        </w:rPr>
        <w:t>Research Evaluation</w:t>
      </w:r>
      <w:r w:rsidRPr="00966D98">
        <w:rPr>
          <w:rFonts w:ascii="Garamond" w:hAnsi="Garamond"/>
          <w:lang w:val="en-GB"/>
        </w:rPr>
        <w:t>, 24(3): 229–241.</w:t>
      </w:r>
    </w:p>
    <w:p w14:paraId="110AB73E" w14:textId="77777777"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Schramm, C. (2008). </w:t>
      </w:r>
      <w:r w:rsidRPr="00966D98">
        <w:rPr>
          <w:rFonts w:ascii="Garamond" w:hAnsi="Garamond"/>
          <w:i/>
          <w:lang w:val="en-GB"/>
        </w:rPr>
        <w:t>Reinvigorating universities in an entrepreneurial age</w:t>
      </w:r>
      <w:r w:rsidRPr="00966D98">
        <w:rPr>
          <w:rFonts w:ascii="Garamond" w:hAnsi="Garamond"/>
          <w:lang w:val="en-GB"/>
        </w:rPr>
        <w:t>. Geneva: Glion Colloquium Series No.5.</w:t>
      </w:r>
    </w:p>
    <w:p w14:paraId="19EF5413" w14:textId="7BD23319" w:rsidR="00717E66" w:rsidRPr="00966D98" w:rsidRDefault="00717E66"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Smith, S., Ward, V. &amp; House, A. (2011). “Impact” in the proposals for the UK’s research excellence framework: shifting the boundaries of academic autonomy. </w:t>
      </w:r>
      <w:r w:rsidRPr="00966D98">
        <w:rPr>
          <w:rFonts w:ascii="Garamond" w:hAnsi="Garamond"/>
          <w:i/>
          <w:lang w:val="en-GB"/>
        </w:rPr>
        <w:t>Research Policy</w:t>
      </w:r>
      <w:r w:rsidRPr="00966D98">
        <w:rPr>
          <w:rFonts w:ascii="Garamond" w:hAnsi="Garamond"/>
          <w:lang w:val="en-GB"/>
        </w:rPr>
        <w:t xml:space="preserve">, </w:t>
      </w:r>
      <w:r w:rsidRPr="00966D98">
        <w:rPr>
          <w:rFonts w:ascii="Garamond" w:hAnsi="Garamond"/>
          <w:i/>
          <w:lang w:val="en-GB"/>
        </w:rPr>
        <w:t>40</w:t>
      </w:r>
      <w:r w:rsidRPr="00966D98">
        <w:rPr>
          <w:rFonts w:ascii="Garamond" w:hAnsi="Garamond"/>
          <w:lang w:val="en-GB"/>
        </w:rPr>
        <w:t>(10), 1369–1379.</w:t>
      </w:r>
    </w:p>
    <w:p w14:paraId="0D791926" w14:textId="612F9094" w:rsidR="00717E66" w:rsidRPr="00966D98" w:rsidRDefault="00717E66" w:rsidP="00DF48B8">
      <w:pPr>
        <w:pStyle w:val="Body"/>
        <w:widowControl w:val="0"/>
        <w:spacing w:before="200" w:after="200" w:line="360" w:lineRule="auto"/>
        <w:ind w:left="480" w:hanging="480"/>
        <w:jc w:val="both"/>
        <w:rPr>
          <w:rFonts w:ascii="Garamond" w:eastAsia="Garamond" w:hAnsi="Garamond" w:cs="Garamond"/>
          <w:b/>
          <w:bCs/>
          <w:lang w:val="en-GB"/>
        </w:rPr>
      </w:pPr>
      <w:proofErr w:type="spellStart"/>
      <w:r w:rsidRPr="00966D98">
        <w:rPr>
          <w:rFonts w:ascii="Garamond" w:hAnsi="Garamond"/>
          <w:lang w:val="en-GB"/>
        </w:rPr>
        <w:t>Spaapen</w:t>
      </w:r>
      <w:proofErr w:type="spellEnd"/>
      <w:r w:rsidRPr="00966D98">
        <w:rPr>
          <w:rFonts w:ascii="Garamond" w:hAnsi="Garamond"/>
          <w:lang w:val="en-GB"/>
        </w:rPr>
        <w:t xml:space="preserve">, J. </w:t>
      </w:r>
      <w:r w:rsidR="0013248D" w:rsidRPr="00966D98">
        <w:rPr>
          <w:rFonts w:ascii="Garamond" w:hAnsi="Garamond"/>
          <w:lang w:val="en-GB"/>
        </w:rPr>
        <w:t>&amp;</w:t>
      </w:r>
      <w:r w:rsidRPr="00966D98">
        <w:rPr>
          <w:rFonts w:ascii="Garamond" w:hAnsi="Garamond"/>
          <w:lang w:val="en-GB"/>
        </w:rPr>
        <w:t xml:space="preserve"> van </w:t>
      </w:r>
      <w:proofErr w:type="spellStart"/>
      <w:r w:rsidRPr="00966D98">
        <w:rPr>
          <w:rFonts w:ascii="Garamond" w:hAnsi="Garamond"/>
          <w:lang w:val="en-GB"/>
        </w:rPr>
        <w:t>Drooge</w:t>
      </w:r>
      <w:proofErr w:type="spellEnd"/>
      <w:r w:rsidRPr="00966D98">
        <w:rPr>
          <w:rFonts w:ascii="Garamond" w:hAnsi="Garamond"/>
          <w:lang w:val="en-GB"/>
        </w:rPr>
        <w:t xml:space="preserve">, L. (2011) Introducing productive interactions in social impact assessment. </w:t>
      </w:r>
      <w:r w:rsidRPr="00966D98">
        <w:rPr>
          <w:rFonts w:ascii="Garamond" w:hAnsi="Garamond"/>
          <w:i/>
          <w:iCs/>
          <w:lang w:val="en-GB"/>
        </w:rPr>
        <w:t>Research Evaluation, 20</w:t>
      </w:r>
      <w:r w:rsidRPr="00966D98">
        <w:rPr>
          <w:rFonts w:ascii="Garamond" w:hAnsi="Garamond"/>
          <w:lang w:val="en-GB"/>
        </w:rPr>
        <w:t xml:space="preserve">(3): 211–18. </w:t>
      </w:r>
    </w:p>
    <w:p w14:paraId="4E876B3E" w14:textId="316B70DB"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Strathern</w:t>
      </w:r>
      <w:proofErr w:type="spellEnd"/>
      <w:r w:rsidRPr="00966D98">
        <w:rPr>
          <w:rFonts w:ascii="Garamond" w:hAnsi="Garamond"/>
          <w:lang w:val="en-GB"/>
        </w:rPr>
        <w:t xml:space="preserve">, M. (2000). The Tyranny of Transparency. </w:t>
      </w:r>
      <w:r w:rsidRPr="00966D98">
        <w:rPr>
          <w:rFonts w:ascii="Garamond" w:hAnsi="Garamond"/>
          <w:i/>
          <w:lang w:val="en-GB"/>
        </w:rPr>
        <w:t>British Educational Research Journal, 26</w:t>
      </w:r>
      <w:r w:rsidRPr="00966D98">
        <w:rPr>
          <w:rFonts w:ascii="Garamond" w:hAnsi="Garamond"/>
          <w:lang w:val="en-GB"/>
        </w:rPr>
        <w:t>(3):309–21.</w:t>
      </w:r>
    </w:p>
    <w:p w14:paraId="7FD2929A" w14:textId="2D0B0BAC" w:rsidR="00CE1080" w:rsidRPr="00966D98" w:rsidRDefault="00CE1080" w:rsidP="00CE1080">
      <w:pPr>
        <w:pStyle w:val="Body"/>
        <w:widowControl w:val="0"/>
        <w:spacing w:before="200" w:after="200" w:line="360" w:lineRule="auto"/>
        <w:ind w:left="480" w:hanging="480"/>
        <w:jc w:val="both"/>
        <w:rPr>
          <w:rFonts w:ascii="Garamond" w:hAnsi="Garamond"/>
          <w:i/>
          <w:lang w:val="en-GB"/>
        </w:rPr>
      </w:pPr>
      <w:r w:rsidRPr="00966D98">
        <w:rPr>
          <w:rFonts w:ascii="Garamond" w:hAnsi="Garamond"/>
          <w:lang w:val="en-GB"/>
        </w:rPr>
        <w:t>UK House of Commons</w:t>
      </w:r>
      <w:r w:rsidR="0013248D" w:rsidRPr="00966D98">
        <w:rPr>
          <w:rFonts w:ascii="Garamond" w:hAnsi="Garamond"/>
          <w:lang w:val="en-GB"/>
        </w:rPr>
        <w:t>.</w:t>
      </w:r>
      <w:r w:rsidRPr="00966D98">
        <w:rPr>
          <w:rFonts w:ascii="Garamond" w:hAnsi="Garamond"/>
          <w:lang w:val="en-GB"/>
        </w:rPr>
        <w:t xml:space="preserve"> (2005). Memorandum from Research Councils UK.</w:t>
      </w:r>
      <w:r w:rsidRPr="00966D98">
        <w:rPr>
          <w:rFonts w:ascii="Garamond" w:hAnsi="Garamond"/>
          <w:i/>
          <w:lang w:val="en-GB"/>
        </w:rPr>
        <w:t xml:space="preserve"> Select Committee on Science and Technology Written Evidence, Session 2004-05. </w:t>
      </w:r>
      <w:hyperlink r:id="rId12" w:history="1">
        <w:r w:rsidRPr="00966D98">
          <w:rPr>
            <w:rStyle w:val="Hyperlink"/>
            <w:rFonts w:ascii="Garamond" w:hAnsi="Garamond"/>
            <w:lang w:val="en-GB"/>
          </w:rPr>
          <w:t>https://publications.parliament.uk/pa/cm200405/cmselect/cmsctech/219/219we01.htm</w:t>
        </w:r>
      </w:hyperlink>
      <w:r w:rsidRPr="00966D98">
        <w:rPr>
          <w:rFonts w:ascii="Garamond" w:hAnsi="Garamond"/>
          <w:lang w:val="en-GB"/>
        </w:rPr>
        <w:t xml:space="preserve"> </w:t>
      </w:r>
    </w:p>
    <w:p w14:paraId="3C5968FB" w14:textId="0758B26C" w:rsidR="00DA242D" w:rsidRPr="00966D98" w:rsidRDefault="00717E66" w:rsidP="00CE1080">
      <w:pPr>
        <w:pStyle w:val="Body"/>
        <w:widowControl w:val="0"/>
        <w:spacing w:before="200" w:after="200" w:line="360" w:lineRule="auto"/>
        <w:ind w:left="480" w:hanging="480"/>
        <w:jc w:val="both"/>
        <w:rPr>
          <w:rFonts w:ascii="Garamond" w:hAnsi="Garamond"/>
          <w:i/>
          <w:lang w:val="en-GB"/>
        </w:rPr>
      </w:pPr>
      <w:proofErr w:type="spellStart"/>
      <w:r w:rsidRPr="00966D98">
        <w:rPr>
          <w:rFonts w:ascii="Garamond" w:hAnsi="Garamond"/>
          <w:lang w:val="en-GB"/>
        </w:rPr>
        <w:t>Vidovich</w:t>
      </w:r>
      <w:proofErr w:type="spellEnd"/>
      <w:r w:rsidRPr="00966D98">
        <w:rPr>
          <w:rFonts w:ascii="Garamond" w:hAnsi="Garamond"/>
          <w:lang w:val="en-GB"/>
        </w:rPr>
        <w:t xml:space="preserve">, L. &amp; Currie, J. (1998). Changing accountability and autonomy at the “coal-face” of academic work in Australia. In J. Currie &amp; J. Newson (Eds.), </w:t>
      </w:r>
      <w:r w:rsidRPr="00966D98">
        <w:rPr>
          <w:rFonts w:ascii="Garamond" w:hAnsi="Garamond"/>
          <w:i/>
          <w:lang w:val="en-GB"/>
        </w:rPr>
        <w:t xml:space="preserve">Universities and globalization: Critical perspectives </w:t>
      </w:r>
      <w:r w:rsidRPr="00966D98">
        <w:rPr>
          <w:rFonts w:ascii="Garamond" w:hAnsi="Garamond"/>
          <w:lang w:val="en-GB"/>
        </w:rPr>
        <w:t xml:space="preserve">(pp. 193–211). Thousand Oaks: Sage. </w:t>
      </w:r>
    </w:p>
    <w:p w14:paraId="5441D171" w14:textId="2A2EC1D4" w:rsidR="00DA242D" w:rsidRPr="00966D98" w:rsidRDefault="00DA242D"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VSNU, NWO </w:t>
      </w:r>
      <w:r w:rsidR="0013248D" w:rsidRPr="00966D98">
        <w:rPr>
          <w:rFonts w:ascii="Garamond" w:hAnsi="Garamond"/>
          <w:lang w:val="en-GB"/>
        </w:rPr>
        <w:t>&amp;</w:t>
      </w:r>
      <w:r w:rsidRPr="00966D98">
        <w:rPr>
          <w:rFonts w:ascii="Garamond" w:hAnsi="Garamond"/>
          <w:lang w:val="en-GB"/>
        </w:rPr>
        <w:t xml:space="preserve"> KNAW. </w:t>
      </w:r>
      <w:r w:rsidR="0013248D" w:rsidRPr="00966D98">
        <w:rPr>
          <w:rFonts w:ascii="Garamond" w:hAnsi="Garamond"/>
          <w:lang w:val="en-GB"/>
        </w:rPr>
        <w:t>(</w:t>
      </w:r>
      <w:r w:rsidRPr="00966D98">
        <w:rPr>
          <w:rFonts w:ascii="Garamond" w:hAnsi="Garamond"/>
          <w:lang w:val="en-GB"/>
        </w:rPr>
        <w:t>2003</w:t>
      </w:r>
      <w:r w:rsidR="0013248D" w:rsidRPr="00966D98">
        <w:rPr>
          <w:rFonts w:ascii="Garamond" w:hAnsi="Garamond"/>
          <w:lang w:val="en-GB"/>
        </w:rPr>
        <w:t>)</w:t>
      </w:r>
      <w:r w:rsidRPr="00966D98">
        <w:rPr>
          <w:rFonts w:ascii="Garamond" w:hAnsi="Garamond"/>
          <w:i/>
          <w:lang w:val="en-GB"/>
        </w:rPr>
        <w:t xml:space="preserve">. Standard Evaluation Protocol 2003–2009 For Public Research </w:t>
      </w:r>
      <w:r w:rsidRPr="00966D98">
        <w:rPr>
          <w:rFonts w:ascii="Garamond" w:hAnsi="Garamond"/>
          <w:i/>
          <w:lang w:val="en-GB"/>
        </w:rPr>
        <w:lastRenderedPageBreak/>
        <w:t>Organisations.</w:t>
      </w:r>
      <w:r w:rsidRPr="00966D98">
        <w:rPr>
          <w:rFonts w:ascii="Garamond" w:hAnsi="Garamond"/>
          <w:lang w:val="en-GB"/>
        </w:rPr>
        <w:t xml:space="preserve"> </w:t>
      </w:r>
      <w:hyperlink r:id="rId13" w:history="1">
        <w:r w:rsidRPr="00966D98">
          <w:rPr>
            <w:rStyle w:val="Hyperlink"/>
            <w:rFonts w:ascii="Garamond" w:hAnsi="Garamond"/>
            <w:lang w:val="en-GB"/>
          </w:rPr>
          <w:t>http://vsnu.nl/files/documenten/Domeinen/Onderzoek/SEP%202003-2009%20archief.pdf</w:t>
        </w:r>
      </w:hyperlink>
      <w:r w:rsidRPr="00966D98">
        <w:rPr>
          <w:rFonts w:ascii="Garamond" w:hAnsi="Garamond"/>
          <w:lang w:val="en-GB"/>
        </w:rPr>
        <w:t xml:space="preserve"> </w:t>
      </w:r>
    </w:p>
    <w:p w14:paraId="31E9E2CE" w14:textId="685A1194"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Vonortas</w:t>
      </w:r>
      <w:proofErr w:type="spellEnd"/>
      <w:r w:rsidRPr="00966D98">
        <w:rPr>
          <w:rFonts w:ascii="Garamond" w:hAnsi="Garamond"/>
          <w:lang w:val="en-GB"/>
        </w:rPr>
        <w:t xml:space="preserve">, N. </w:t>
      </w:r>
      <w:r w:rsidR="0013248D" w:rsidRPr="00966D98">
        <w:rPr>
          <w:rFonts w:ascii="Garamond" w:hAnsi="Garamond"/>
          <w:lang w:val="en-GB"/>
        </w:rPr>
        <w:t>&amp;</w:t>
      </w:r>
      <w:r w:rsidRPr="00966D98">
        <w:rPr>
          <w:rFonts w:ascii="Garamond" w:hAnsi="Garamond"/>
          <w:lang w:val="en-GB"/>
        </w:rPr>
        <w:t xml:space="preserve"> Link, A. (2013). </w:t>
      </w:r>
      <w:r w:rsidRPr="00966D98">
        <w:rPr>
          <w:rFonts w:ascii="Garamond" w:hAnsi="Garamond"/>
          <w:i/>
          <w:lang w:val="en-GB"/>
        </w:rPr>
        <w:t>Handbook on the Theory and Practice of Program Evaluation.</w:t>
      </w:r>
      <w:r w:rsidRPr="00966D98">
        <w:rPr>
          <w:rFonts w:ascii="Garamond" w:hAnsi="Garamond"/>
          <w:lang w:val="en-GB"/>
        </w:rPr>
        <w:t xml:space="preserve"> Cheltenham, UK: Edward Elgar Publishing Limited.</w:t>
      </w:r>
    </w:p>
    <w:p w14:paraId="74AEC2A3" w14:textId="2228F2B5" w:rsidR="00717E66" w:rsidRPr="00966D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Watermeyer</w:t>
      </w:r>
      <w:proofErr w:type="spellEnd"/>
      <w:r w:rsidRPr="00966D98">
        <w:rPr>
          <w:rFonts w:ascii="Garamond" w:hAnsi="Garamond"/>
          <w:lang w:val="en-GB"/>
        </w:rPr>
        <w:t xml:space="preserve">, R. (2012). Studies in higher education issues in the articulation of </w:t>
      </w:r>
      <w:proofErr w:type="gramStart"/>
      <w:r w:rsidRPr="00966D98">
        <w:rPr>
          <w:rFonts w:ascii="Garamond" w:hAnsi="Garamond"/>
          <w:lang w:val="en-GB"/>
        </w:rPr>
        <w:t>“ impact</w:t>
      </w:r>
      <w:proofErr w:type="gramEnd"/>
      <w:r w:rsidRPr="00966D98">
        <w:rPr>
          <w:rFonts w:ascii="Garamond" w:hAnsi="Garamond"/>
          <w:lang w:val="en-GB"/>
        </w:rPr>
        <w:t xml:space="preserve"> ”: the responses of </w:t>
      </w:r>
      <w:r w:rsidR="004C5F88" w:rsidRPr="00966D98">
        <w:rPr>
          <w:rFonts w:ascii="Garamond" w:hAnsi="Garamond"/>
          <w:lang w:val="en-GB"/>
        </w:rPr>
        <w:t>UK</w:t>
      </w:r>
      <w:r w:rsidRPr="00966D98">
        <w:rPr>
          <w:rFonts w:ascii="Garamond" w:hAnsi="Garamond"/>
          <w:lang w:val="en-GB"/>
        </w:rPr>
        <w:t xml:space="preserve"> academics to “ impact ” as a new measure of research assessment. </w:t>
      </w:r>
      <w:r w:rsidRPr="00966D98">
        <w:rPr>
          <w:rFonts w:ascii="Garamond" w:hAnsi="Garamond"/>
          <w:i/>
          <w:lang w:val="en-GB"/>
        </w:rPr>
        <w:t>Studies in Higher Education</w:t>
      </w:r>
      <w:r w:rsidRPr="00966D98">
        <w:rPr>
          <w:rFonts w:ascii="Garamond" w:hAnsi="Garamond"/>
          <w:lang w:val="en-GB"/>
        </w:rPr>
        <w:t xml:space="preserve">, </w:t>
      </w:r>
      <w:r w:rsidRPr="00966D98">
        <w:rPr>
          <w:rFonts w:ascii="Garamond" w:hAnsi="Garamond"/>
          <w:i/>
          <w:lang w:val="en-GB"/>
        </w:rPr>
        <w:t>39</w:t>
      </w:r>
      <w:r w:rsidRPr="00966D98">
        <w:rPr>
          <w:rFonts w:ascii="Garamond" w:hAnsi="Garamond"/>
          <w:lang w:val="en-GB"/>
        </w:rPr>
        <w:t xml:space="preserve">(2), 359–377. </w:t>
      </w:r>
    </w:p>
    <w:p w14:paraId="6F6DE431" w14:textId="77777777"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r w:rsidRPr="00966D98">
        <w:rPr>
          <w:rFonts w:ascii="Garamond" w:hAnsi="Garamond"/>
          <w:lang w:val="en-GB"/>
        </w:rPr>
        <w:t xml:space="preserve">Whitley, R. (2000). </w:t>
      </w:r>
      <w:r w:rsidRPr="00966D98">
        <w:rPr>
          <w:rFonts w:ascii="Garamond" w:hAnsi="Garamond"/>
          <w:i/>
          <w:iCs/>
          <w:lang w:val="en-GB"/>
        </w:rPr>
        <w:t xml:space="preserve">The Intellectual and Social Organisation of the Sciences. </w:t>
      </w:r>
      <w:r w:rsidRPr="00966D98">
        <w:rPr>
          <w:rFonts w:ascii="Garamond" w:hAnsi="Garamond"/>
          <w:lang w:val="en-GB"/>
        </w:rPr>
        <w:t xml:space="preserve">Oxford: Oxford University Press. </w:t>
      </w:r>
    </w:p>
    <w:p w14:paraId="49F6D9F2" w14:textId="7416359A" w:rsidR="00645FD1" w:rsidRPr="00966D98" w:rsidRDefault="00717E66" w:rsidP="00645FD1">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Whitley, R. (2007). Changing governance of the public sciences. In: R Whitley, J Glaser (eds) The Changing Governance of the Sciences: Sociology of the Sciences Yearbook. Dordrecht: Springer, pp. 3–27.</w:t>
      </w:r>
    </w:p>
    <w:p w14:paraId="30FA75AA" w14:textId="337E96B2" w:rsidR="00717E66" w:rsidRPr="00966D98" w:rsidRDefault="00717E66" w:rsidP="00DF48B8">
      <w:pPr>
        <w:pStyle w:val="Body"/>
        <w:widowControl w:val="0"/>
        <w:spacing w:before="200" w:after="200" w:line="360" w:lineRule="auto"/>
        <w:ind w:left="480" w:hanging="480"/>
        <w:jc w:val="both"/>
        <w:rPr>
          <w:rFonts w:ascii="Garamond" w:eastAsia="Garamond" w:hAnsi="Garamond" w:cs="Garamond"/>
          <w:lang w:val="en-GB"/>
        </w:rPr>
      </w:pPr>
      <w:r w:rsidRPr="00966D98">
        <w:rPr>
          <w:rFonts w:ascii="Garamond" w:hAnsi="Garamond"/>
          <w:lang w:val="en-GB"/>
        </w:rPr>
        <w:t xml:space="preserve">Williams, K. &amp; Grant, J. (2018). A comparative review of the how policy and procedures to assess research impact evolved in Australia &amp; the UK. </w:t>
      </w:r>
      <w:r w:rsidRPr="00966D98">
        <w:rPr>
          <w:rFonts w:ascii="Garamond" w:hAnsi="Garamond"/>
          <w:i/>
          <w:iCs/>
          <w:lang w:val="en-GB"/>
        </w:rPr>
        <w:t>Research Evaluation</w:t>
      </w:r>
      <w:r w:rsidRPr="00966D98">
        <w:rPr>
          <w:rFonts w:ascii="Garamond" w:hAnsi="Garamond"/>
          <w:lang w:val="en-GB"/>
        </w:rPr>
        <w:t>, 27(2), 93-105</w:t>
      </w:r>
    </w:p>
    <w:p w14:paraId="4513A609" w14:textId="727DE9F9" w:rsidR="000D36C9" w:rsidRPr="00966D98" w:rsidRDefault="000D36C9" w:rsidP="00DF48B8">
      <w:pPr>
        <w:pStyle w:val="Body"/>
        <w:widowControl w:val="0"/>
        <w:spacing w:before="200" w:after="200" w:line="360" w:lineRule="auto"/>
        <w:ind w:left="480" w:hanging="480"/>
        <w:jc w:val="both"/>
        <w:rPr>
          <w:rFonts w:ascii="Garamond" w:hAnsi="Garamond"/>
          <w:lang w:val="en-GB"/>
        </w:rPr>
      </w:pPr>
      <w:r w:rsidRPr="00966D98">
        <w:rPr>
          <w:rFonts w:ascii="Garamond" w:hAnsi="Garamond"/>
          <w:lang w:val="en-GB"/>
        </w:rPr>
        <w:t xml:space="preserve">Williams, K. (2019). Credibility in </w:t>
      </w:r>
      <w:r w:rsidR="003D2B18" w:rsidRPr="00966D98">
        <w:rPr>
          <w:rFonts w:ascii="Garamond" w:hAnsi="Garamond"/>
          <w:lang w:val="en-GB"/>
        </w:rPr>
        <w:t>p</w:t>
      </w:r>
      <w:r w:rsidRPr="00966D98">
        <w:rPr>
          <w:rFonts w:ascii="Garamond" w:hAnsi="Garamond"/>
          <w:lang w:val="en-GB"/>
        </w:rPr>
        <w:t xml:space="preserve">olicy </w:t>
      </w:r>
      <w:r w:rsidR="003D2B18" w:rsidRPr="00966D98">
        <w:rPr>
          <w:rFonts w:ascii="Garamond" w:hAnsi="Garamond"/>
          <w:lang w:val="en-GB"/>
        </w:rPr>
        <w:t>e</w:t>
      </w:r>
      <w:r w:rsidRPr="00966D98">
        <w:rPr>
          <w:rFonts w:ascii="Garamond" w:hAnsi="Garamond"/>
          <w:lang w:val="en-GB"/>
        </w:rPr>
        <w:t xml:space="preserve">xpertise: The </w:t>
      </w:r>
      <w:r w:rsidR="003D2B18" w:rsidRPr="00966D98">
        <w:rPr>
          <w:rFonts w:ascii="Garamond" w:hAnsi="Garamond"/>
          <w:lang w:val="en-GB"/>
        </w:rPr>
        <w:t>f</w:t>
      </w:r>
      <w:r w:rsidRPr="00966D98">
        <w:rPr>
          <w:rFonts w:ascii="Garamond" w:hAnsi="Garamond"/>
          <w:lang w:val="en-GB"/>
        </w:rPr>
        <w:t xml:space="preserve">unction of </w:t>
      </w:r>
      <w:r w:rsidR="003D2B18" w:rsidRPr="00966D98">
        <w:rPr>
          <w:rFonts w:ascii="Garamond" w:hAnsi="Garamond"/>
          <w:lang w:val="en-GB"/>
        </w:rPr>
        <w:t>b</w:t>
      </w:r>
      <w:r w:rsidRPr="00966D98">
        <w:rPr>
          <w:rFonts w:ascii="Garamond" w:hAnsi="Garamond"/>
          <w:lang w:val="en-GB"/>
        </w:rPr>
        <w:t xml:space="preserve">oundaries </w:t>
      </w:r>
      <w:r w:rsidR="003D2B18" w:rsidRPr="00966D98">
        <w:rPr>
          <w:rFonts w:ascii="Garamond" w:hAnsi="Garamond"/>
          <w:lang w:val="en-GB"/>
        </w:rPr>
        <w:t>b</w:t>
      </w:r>
      <w:r w:rsidRPr="00966D98">
        <w:rPr>
          <w:rFonts w:ascii="Garamond" w:hAnsi="Garamond"/>
          <w:lang w:val="en-GB"/>
        </w:rPr>
        <w:t xml:space="preserve">etween </w:t>
      </w:r>
      <w:r w:rsidR="003D2B18" w:rsidRPr="00966D98">
        <w:rPr>
          <w:rFonts w:ascii="Garamond" w:hAnsi="Garamond"/>
          <w:lang w:val="en-GB"/>
        </w:rPr>
        <w:t>r</w:t>
      </w:r>
      <w:r w:rsidRPr="00966D98">
        <w:rPr>
          <w:rFonts w:ascii="Garamond" w:hAnsi="Garamond"/>
          <w:lang w:val="en-GB"/>
        </w:rPr>
        <w:t xml:space="preserve">esearch and </w:t>
      </w:r>
      <w:r w:rsidR="003D2B18" w:rsidRPr="00966D98">
        <w:rPr>
          <w:rFonts w:ascii="Garamond" w:hAnsi="Garamond"/>
          <w:lang w:val="en-GB"/>
        </w:rPr>
        <w:t>p</w:t>
      </w:r>
      <w:r w:rsidRPr="00966D98">
        <w:rPr>
          <w:rFonts w:ascii="Garamond" w:hAnsi="Garamond"/>
          <w:lang w:val="en-GB"/>
        </w:rPr>
        <w:t xml:space="preserve">olicy. </w:t>
      </w:r>
      <w:r w:rsidRPr="00966D98">
        <w:rPr>
          <w:rFonts w:ascii="Garamond" w:hAnsi="Garamond"/>
          <w:i/>
          <w:lang w:val="en-GB"/>
        </w:rPr>
        <w:t>Policy Studies Journal.</w:t>
      </w:r>
      <w:r w:rsidRPr="00966D98">
        <w:rPr>
          <w:rFonts w:ascii="Garamond" w:hAnsi="Garamond"/>
          <w:lang w:val="en-GB"/>
        </w:rPr>
        <w:t xml:space="preserve"> https://doi.org/10.1111/psj.12342</w:t>
      </w:r>
    </w:p>
    <w:p w14:paraId="550BE226" w14:textId="5DAB1D32" w:rsidR="00F25098" w:rsidRDefault="00717E66" w:rsidP="00DF48B8">
      <w:pPr>
        <w:pStyle w:val="Body"/>
        <w:widowControl w:val="0"/>
        <w:spacing w:before="200" w:after="200" w:line="360" w:lineRule="auto"/>
        <w:ind w:left="480" w:hanging="480"/>
        <w:jc w:val="both"/>
        <w:rPr>
          <w:rFonts w:ascii="Garamond" w:hAnsi="Garamond"/>
          <w:lang w:val="en-GB"/>
        </w:rPr>
      </w:pPr>
      <w:proofErr w:type="spellStart"/>
      <w:r w:rsidRPr="00966D98">
        <w:rPr>
          <w:rFonts w:ascii="Garamond" w:hAnsi="Garamond"/>
          <w:lang w:val="en-GB"/>
        </w:rPr>
        <w:t>Wouters</w:t>
      </w:r>
      <w:proofErr w:type="spellEnd"/>
      <w:r w:rsidRPr="00966D98">
        <w:rPr>
          <w:rFonts w:ascii="Garamond" w:hAnsi="Garamond"/>
          <w:lang w:val="en-GB"/>
        </w:rPr>
        <w:t xml:space="preserve">, P. (2014). The citation: From culture to infrastructure. In B. Cronin, C.R. Sugimoto (eds). </w:t>
      </w:r>
      <w:r w:rsidRPr="00966D98">
        <w:rPr>
          <w:rFonts w:ascii="Garamond" w:hAnsi="Garamond"/>
          <w:i/>
          <w:iCs/>
          <w:lang w:val="en-GB"/>
        </w:rPr>
        <w:t xml:space="preserve">Beyond Bibliometrics: Harnessing Multidimensional Indicators of Scholarly Impact. </w:t>
      </w:r>
      <w:r w:rsidRPr="00966D98">
        <w:rPr>
          <w:rFonts w:ascii="Garamond" w:hAnsi="Garamond"/>
          <w:lang w:val="en-GB"/>
        </w:rPr>
        <w:t xml:space="preserve">Cambridge: MIT press. </w:t>
      </w:r>
      <w:r w:rsidRPr="00966D98">
        <w:rPr>
          <w:rFonts w:ascii="Garamond" w:hAnsi="Garamond"/>
          <w:color w:val="auto"/>
          <w:lang w:val="en-GB"/>
        </w:rPr>
        <w:t xml:space="preserve">pp. </w:t>
      </w:r>
      <w:r w:rsidRPr="00966D98">
        <w:rPr>
          <w:rFonts w:ascii="Garamond" w:hAnsi="Garamond"/>
          <w:lang w:val="en-GB"/>
        </w:rPr>
        <w:t>47–66.</w:t>
      </w:r>
      <w:r w:rsidR="00CE2623" w:rsidRPr="004D3971">
        <w:rPr>
          <w:rFonts w:ascii="Garamond" w:hAnsi="Garamond"/>
          <w:lang w:val="en-GB"/>
        </w:rPr>
        <w:t xml:space="preserve"> </w:t>
      </w:r>
    </w:p>
    <w:p w14:paraId="4D52FE38" w14:textId="77777777" w:rsidR="00C43579" w:rsidRDefault="00C43579" w:rsidP="00DF48B8">
      <w:pPr>
        <w:pStyle w:val="Body"/>
        <w:widowControl w:val="0"/>
        <w:spacing w:before="200" w:after="200" w:line="360" w:lineRule="auto"/>
        <w:ind w:left="480" w:hanging="480"/>
        <w:jc w:val="both"/>
        <w:rPr>
          <w:rFonts w:ascii="Garamond" w:hAnsi="Garamond"/>
          <w:lang w:val="en-GB"/>
        </w:rPr>
        <w:sectPr w:rsidR="00C43579" w:rsidSect="001F7F42">
          <w:pgSz w:w="11900" w:h="16840"/>
          <w:pgMar w:top="1440" w:right="1440" w:bottom="1440" w:left="1440" w:header="708" w:footer="708" w:gutter="0"/>
          <w:cols w:space="708"/>
          <w:docGrid w:linePitch="360"/>
        </w:sectPr>
      </w:pPr>
    </w:p>
    <w:p w14:paraId="03EF9977" w14:textId="77777777" w:rsidR="00C43579" w:rsidRPr="00182E07" w:rsidRDefault="00C43579" w:rsidP="00C43579">
      <w:pPr>
        <w:rPr>
          <w:rFonts w:ascii="Garamond" w:hAnsi="Garamond"/>
          <w:i/>
          <w:sz w:val="22"/>
          <w:szCs w:val="22"/>
        </w:rPr>
      </w:pPr>
      <w:r w:rsidRPr="00182E07">
        <w:rPr>
          <w:rFonts w:ascii="Garamond" w:hAnsi="Garamond"/>
          <w:i/>
          <w:sz w:val="22"/>
          <w:szCs w:val="22"/>
        </w:rPr>
        <w:lastRenderedPageBreak/>
        <w:t xml:space="preserve">Table </w:t>
      </w:r>
      <w:r>
        <w:rPr>
          <w:rFonts w:ascii="Garamond" w:hAnsi="Garamond"/>
          <w:i/>
          <w:sz w:val="22"/>
          <w:szCs w:val="22"/>
        </w:rPr>
        <w:t>1</w:t>
      </w:r>
      <w:r w:rsidRPr="00182E07">
        <w:rPr>
          <w:rFonts w:ascii="Garamond" w:hAnsi="Garamond"/>
          <w:i/>
          <w:sz w:val="22"/>
          <w:szCs w:val="22"/>
        </w:rPr>
        <w:t xml:space="preserve">. Examples of established and emerging </w:t>
      </w:r>
      <w:r>
        <w:rPr>
          <w:rFonts w:ascii="Garamond" w:hAnsi="Garamond"/>
          <w:i/>
          <w:sz w:val="22"/>
          <w:szCs w:val="22"/>
        </w:rPr>
        <w:t>measures</w:t>
      </w:r>
      <w:r w:rsidRPr="00182E07">
        <w:rPr>
          <w:rFonts w:ascii="Garamond" w:hAnsi="Garamond"/>
          <w:i/>
          <w:sz w:val="22"/>
          <w:szCs w:val="22"/>
        </w:rPr>
        <w:t xml:space="preserve"> of </w:t>
      </w:r>
      <w:r>
        <w:rPr>
          <w:rFonts w:ascii="Garamond" w:hAnsi="Garamond"/>
          <w:i/>
          <w:sz w:val="22"/>
          <w:szCs w:val="22"/>
        </w:rPr>
        <w:t xml:space="preserve">research impact </w:t>
      </w:r>
    </w:p>
    <w:p w14:paraId="19DF2C05" w14:textId="77777777" w:rsidR="00C43579" w:rsidRPr="00182E07" w:rsidRDefault="00C43579" w:rsidP="00C43579">
      <w:pPr>
        <w:rPr>
          <w:rFonts w:ascii="Garamond" w:hAnsi="Garamond"/>
          <w:sz w:val="22"/>
          <w:szCs w:val="22"/>
        </w:rPr>
      </w:pPr>
    </w:p>
    <w:tbl>
      <w:tblPr>
        <w:tblW w:w="4062" w:type="pct"/>
        <w:tblBorders>
          <w:top w:val="dashSmallGap" w:sz="4" w:space="0" w:color="auto"/>
          <w:bottom w:val="dashSmallGap" w:sz="4" w:space="0" w:color="auto"/>
          <w:insideH w:val="dashSmallGap" w:sz="4" w:space="0" w:color="auto"/>
        </w:tblBorders>
        <w:shd w:val="clear" w:color="auto" w:fill="CDD4E9"/>
        <w:tblLook w:val="04A0" w:firstRow="1" w:lastRow="0" w:firstColumn="1" w:lastColumn="0" w:noHBand="0" w:noVBand="1"/>
      </w:tblPr>
      <w:tblGrid>
        <w:gridCol w:w="1892"/>
        <w:gridCol w:w="1794"/>
        <w:gridCol w:w="7655"/>
      </w:tblGrid>
      <w:tr w:rsidR="00C43579" w:rsidRPr="00182E07" w14:paraId="7F9011F1" w14:textId="77777777" w:rsidTr="00DD5500">
        <w:trPr>
          <w:trHeight w:val="34"/>
        </w:trPr>
        <w:tc>
          <w:tcPr>
            <w:tcW w:w="834" w:type="pct"/>
            <w:shd w:val="clear" w:color="auto" w:fill="D6D5D5"/>
          </w:tcPr>
          <w:p w14:paraId="21A881BA" w14:textId="77777777" w:rsidR="00C43579" w:rsidRPr="00182E07" w:rsidRDefault="00C43579" w:rsidP="00DD5500">
            <w:pPr>
              <w:rPr>
                <w:rFonts w:ascii="Garamond" w:hAnsi="Garamond"/>
                <w:b/>
                <w:sz w:val="22"/>
                <w:szCs w:val="22"/>
              </w:rPr>
            </w:pPr>
            <w:r>
              <w:rPr>
                <w:rFonts w:ascii="Garamond" w:hAnsi="Garamond"/>
                <w:b/>
                <w:sz w:val="22"/>
                <w:szCs w:val="22"/>
              </w:rPr>
              <w:t>Broad type</w:t>
            </w:r>
          </w:p>
        </w:tc>
        <w:tc>
          <w:tcPr>
            <w:tcW w:w="791" w:type="pct"/>
            <w:shd w:val="clear" w:color="auto" w:fill="D6D5D5"/>
          </w:tcPr>
          <w:p w14:paraId="5885821A" w14:textId="77777777" w:rsidR="00C43579" w:rsidRPr="00182E07" w:rsidRDefault="00C43579" w:rsidP="00DD5500">
            <w:pPr>
              <w:rPr>
                <w:rFonts w:ascii="Garamond" w:hAnsi="Garamond"/>
                <w:b/>
                <w:sz w:val="22"/>
                <w:szCs w:val="22"/>
              </w:rPr>
            </w:pPr>
            <w:r>
              <w:rPr>
                <w:rFonts w:ascii="Garamond" w:hAnsi="Garamond"/>
                <w:b/>
                <w:sz w:val="22"/>
                <w:szCs w:val="22"/>
              </w:rPr>
              <w:t>Credibility</w:t>
            </w:r>
          </w:p>
        </w:tc>
        <w:tc>
          <w:tcPr>
            <w:tcW w:w="3375" w:type="pct"/>
            <w:shd w:val="clear" w:color="auto" w:fill="D6D5D5"/>
            <w:tcMar>
              <w:top w:w="80" w:type="dxa"/>
              <w:left w:w="80" w:type="dxa"/>
              <w:bottom w:w="80" w:type="dxa"/>
              <w:right w:w="80" w:type="dxa"/>
            </w:tcMar>
          </w:tcPr>
          <w:p w14:paraId="14DD0EDE" w14:textId="77777777" w:rsidR="00C43579" w:rsidRPr="00182E07" w:rsidRDefault="00C43579" w:rsidP="00DD5500">
            <w:pPr>
              <w:rPr>
                <w:rFonts w:ascii="Garamond" w:hAnsi="Garamond"/>
                <w:b/>
                <w:sz w:val="22"/>
                <w:szCs w:val="22"/>
              </w:rPr>
            </w:pPr>
            <w:r>
              <w:rPr>
                <w:rFonts w:ascii="Garamond" w:hAnsi="Garamond"/>
                <w:b/>
                <w:sz w:val="22"/>
                <w:szCs w:val="22"/>
              </w:rPr>
              <w:t>M</w:t>
            </w:r>
            <w:r w:rsidRPr="00182E07">
              <w:rPr>
                <w:rFonts w:ascii="Garamond" w:hAnsi="Garamond"/>
                <w:b/>
                <w:sz w:val="22"/>
                <w:szCs w:val="22"/>
              </w:rPr>
              <w:t>e</w:t>
            </w:r>
            <w:r>
              <w:rPr>
                <w:rFonts w:ascii="Garamond" w:hAnsi="Garamond"/>
                <w:b/>
                <w:sz w:val="22"/>
                <w:szCs w:val="22"/>
              </w:rPr>
              <w:t>asures</w:t>
            </w:r>
          </w:p>
        </w:tc>
      </w:tr>
      <w:tr w:rsidR="00C43579" w:rsidRPr="00182E07" w14:paraId="6B9A3988" w14:textId="77777777" w:rsidTr="00DD5500">
        <w:trPr>
          <w:trHeight w:val="79"/>
        </w:trPr>
        <w:tc>
          <w:tcPr>
            <w:tcW w:w="834" w:type="pct"/>
          </w:tcPr>
          <w:p w14:paraId="550D4CB3" w14:textId="77777777" w:rsidR="00C43579" w:rsidRDefault="00C43579" w:rsidP="00DD5500">
            <w:pPr>
              <w:rPr>
                <w:rFonts w:ascii="Garamond" w:hAnsi="Garamond"/>
                <w:sz w:val="22"/>
                <w:szCs w:val="22"/>
              </w:rPr>
            </w:pPr>
            <w:r>
              <w:rPr>
                <w:rFonts w:ascii="Garamond" w:hAnsi="Garamond"/>
                <w:sz w:val="22"/>
                <w:szCs w:val="22"/>
              </w:rPr>
              <w:t>Academic</w:t>
            </w:r>
          </w:p>
          <w:p w14:paraId="7A445C7F" w14:textId="77777777" w:rsidR="00C43579" w:rsidRDefault="00C43579" w:rsidP="00DD5500">
            <w:pPr>
              <w:rPr>
                <w:rFonts w:ascii="Garamond" w:hAnsi="Garamond"/>
                <w:sz w:val="22"/>
                <w:szCs w:val="22"/>
              </w:rPr>
            </w:pPr>
          </w:p>
          <w:p w14:paraId="2B9D5C70" w14:textId="77777777" w:rsidR="00C43579" w:rsidRDefault="00C43579" w:rsidP="00DD5500">
            <w:pPr>
              <w:rPr>
                <w:rFonts w:ascii="Garamond" w:hAnsi="Garamond"/>
                <w:sz w:val="22"/>
                <w:szCs w:val="22"/>
              </w:rPr>
            </w:pPr>
          </w:p>
          <w:p w14:paraId="4EF00888" w14:textId="77777777" w:rsidR="00C43579" w:rsidRDefault="00C43579" w:rsidP="00DD5500">
            <w:pPr>
              <w:rPr>
                <w:rFonts w:ascii="Garamond" w:hAnsi="Garamond"/>
                <w:sz w:val="22"/>
                <w:szCs w:val="22"/>
              </w:rPr>
            </w:pPr>
          </w:p>
          <w:p w14:paraId="69842D0F" w14:textId="77777777" w:rsidR="00C43579" w:rsidRDefault="00C43579" w:rsidP="00DD5500">
            <w:pPr>
              <w:rPr>
                <w:rFonts w:ascii="Garamond" w:hAnsi="Garamond"/>
                <w:sz w:val="22"/>
                <w:szCs w:val="22"/>
              </w:rPr>
            </w:pPr>
          </w:p>
          <w:p w14:paraId="0EC1889F" w14:textId="77777777" w:rsidR="00C43579" w:rsidRPr="00182E07" w:rsidRDefault="00C43579" w:rsidP="00DD5500">
            <w:pPr>
              <w:rPr>
                <w:rFonts w:ascii="Garamond" w:hAnsi="Garamond"/>
                <w:sz w:val="22"/>
                <w:szCs w:val="22"/>
              </w:rPr>
            </w:pPr>
          </w:p>
        </w:tc>
        <w:tc>
          <w:tcPr>
            <w:tcW w:w="791" w:type="pct"/>
          </w:tcPr>
          <w:p w14:paraId="31A2EC04" w14:textId="77777777" w:rsidR="00C43579" w:rsidRDefault="00C43579" w:rsidP="00DD5500">
            <w:pPr>
              <w:rPr>
                <w:rFonts w:ascii="Garamond" w:hAnsi="Garamond"/>
                <w:sz w:val="22"/>
                <w:szCs w:val="22"/>
              </w:rPr>
            </w:pPr>
            <w:r>
              <w:rPr>
                <w:rFonts w:ascii="Garamond" w:hAnsi="Garamond"/>
                <w:sz w:val="22"/>
                <w:szCs w:val="22"/>
              </w:rPr>
              <w:t>More established</w:t>
            </w:r>
          </w:p>
          <w:p w14:paraId="52452E64" w14:textId="77777777" w:rsidR="00C43579" w:rsidRDefault="00C43579" w:rsidP="00DD5500">
            <w:pPr>
              <w:rPr>
                <w:rFonts w:ascii="Garamond" w:hAnsi="Garamond"/>
                <w:sz w:val="22"/>
                <w:szCs w:val="22"/>
              </w:rPr>
            </w:pPr>
            <w:r>
              <w:rPr>
                <w:rFonts w:ascii="Garamond" w:hAnsi="Garamond"/>
                <w:noProof/>
                <w:sz w:val="22"/>
                <w:szCs w:val="22"/>
                <w:lang w:eastAsia="en-GB"/>
              </w:rPr>
              <mc:AlternateContent>
                <mc:Choice Requires="wps">
                  <w:drawing>
                    <wp:anchor distT="0" distB="0" distL="114300" distR="114300" simplePos="0" relativeHeight="251659264" behindDoc="0" locked="0" layoutInCell="1" allowOverlap="1" wp14:anchorId="2E85B722" wp14:editId="5ACF525D">
                      <wp:simplePos x="0" y="0"/>
                      <wp:positionH relativeFrom="column">
                        <wp:posOffset>454025</wp:posOffset>
                      </wp:positionH>
                      <wp:positionV relativeFrom="paragraph">
                        <wp:posOffset>91440</wp:posOffset>
                      </wp:positionV>
                      <wp:extent cx="0" cy="1514475"/>
                      <wp:effectExtent l="76200" t="25400" r="88900" b="34925"/>
                      <wp:wrapNone/>
                      <wp:docPr id="1" name="Straight Connector 1"/>
                      <wp:cNvGraphicFramePr/>
                      <a:graphic xmlns:a="http://schemas.openxmlformats.org/drawingml/2006/main">
                        <a:graphicData uri="http://schemas.microsoft.com/office/word/2010/wordprocessingShape">
                          <wps:wsp>
                            <wps:cNvCnPr/>
                            <wps:spPr>
                              <a:xfrm>
                                <a:off x="0" y="0"/>
                                <a:ext cx="0" cy="1514475"/>
                              </a:xfrm>
                              <a:prstGeom prst="line">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24D0FD"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5pt,7.2pt" to="35.75pt,1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" strokecolor="black [3213]" strokeweight=".5pt">
                      <v:stroke startarrow="open" endarrow="open" joinstyle="miter"/>
                    </v:line>
                  </w:pict>
                </mc:Fallback>
              </mc:AlternateContent>
            </w:r>
          </w:p>
          <w:p w14:paraId="4311A378" w14:textId="77777777" w:rsidR="00C43579" w:rsidRDefault="00C43579" w:rsidP="00DD5500">
            <w:pPr>
              <w:rPr>
                <w:rFonts w:ascii="Garamond" w:hAnsi="Garamond"/>
                <w:sz w:val="22"/>
                <w:szCs w:val="22"/>
              </w:rPr>
            </w:pPr>
          </w:p>
          <w:p w14:paraId="16B91713" w14:textId="77777777" w:rsidR="00C43579" w:rsidRDefault="00C43579" w:rsidP="00DD5500">
            <w:pPr>
              <w:rPr>
                <w:rFonts w:ascii="Garamond" w:hAnsi="Garamond"/>
                <w:sz w:val="22"/>
                <w:szCs w:val="22"/>
              </w:rPr>
            </w:pPr>
          </w:p>
          <w:p w14:paraId="55B6FDA1" w14:textId="77777777" w:rsidR="00C43579" w:rsidRDefault="00C43579" w:rsidP="00DD5500">
            <w:pPr>
              <w:rPr>
                <w:rFonts w:ascii="Garamond" w:hAnsi="Garamond"/>
                <w:sz w:val="22"/>
                <w:szCs w:val="22"/>
              </w:rPr>
            </w:pPr>
          </w:p>
          <w:p w14:paraId="682CFF80" w14:textId="77777777" w:rsidR="00C43579" w:rsidRDefault="00C43579" w:rsidP="00DD5500">
            <w:pPr>
              <w:rPr>
                <w:rFonts w:ascii="Garamond" w:hAnsi="Garamond"/>
                <w:sz w:val="22"/>
                <w:szCs w:val="22"/>
              </w:rPr>
            </w:pPr>
          </w:p>
          <w:p w14:paraId="2152AE90" w14:textId="77777777" w:rsidR="00C43579" w:rsidRDefault="00C43579" w:rsidP="00DD5500">
            <w:pPr>
              <w:rPr>
                <w:rFonts w:ascii="Garamond" w:hAnsi="Garamond"/>
                <w:sz w:val="22"/>
                <w:szCs w:val="22"/>
              </w:rPr>
            </w:pPr>
          </w:p>
          <w:p w14:paraId="7BFF94B7" w14:textId="77777777" w:rsidR="00C43579" w:rsidRDefault="00C43579" w:rsidP="00DD5500">
            <w:pPr>
              <w:rPr>
                <w:rFonts w:ascii="Garamond" w:hAnsi="Garamond"/>
                <w:sz w:val="22"/>
                <w:szCs w:val="22"/>
              </w:rPr>
            </w:pPr>
          </w:p>
          <w:p w14:paraId="16F9187C" w14:textId="77777777" w:rsidR="00C43579" w:rsidRDefault="00C43579" w:rsidP="00DD5500">
            <w:pPr>
              <w:rPr>
                <w:rFonts w:ascii="Garamond" w:hAnsi="Garamond"/>
                <w:sz w:val="22"/>
                <w:szCs w:val="22"/>
              </w:rPr>
            </w:pPr>
          </w:p>
          <w:p w14:paraId="6D2D0504" w14:textId="77777777" w:rsidR="00C43579" w:rsidRDefault="00C43579" w:rsidP="00DD5500">
            <w:pPr>
              <w:rPr>
                <w:rFonts w:ascii="Garamond" w:hAnsi="Garamond"/>
                <w:sz w:val="22"/>
                <w:szCs w:val="22"/>
              </w:rPr>
            </w:pPr>
          </w:p>
          <w:p w14:paraId="73265E97" w14:textId="77777777" w:rsidR="00C43579" w:rsidRDefault="00C43579" w:rsidP="00DD5500">
            <w:pPr>
              <w:rPr>
                <w:rFonts w:ascii="Garamond" w:hAnsi="Garamond"/>
                <w:sz w:val="22"/>
                <w:szCs w:val="22"/>
              </w:rPr>
            </w:pPr>
          </w:p>
          <w:p w14:paraId="2207B5AD" w14:textId="77777777" w:rsidR="00C43579" w:rsidRDefault="00C43579" w:rsidP="00DD5500">
            <w:pPr>
              <w:rPr>
                <w:rFonts w:ascii="Garamond" w:hAnsi="Garamond"/>
                <w:sz w:val="22"/>
                <w:szCs w:val="22"/>
              </w:rPr>
            </w:pPr>
          </w:p>
          <w:p w14:paraId="1CD17A34" w14:textId="77777777" w:rsidR="00C43579" w:rsidRDefault="00C43579" w:rsidP="00DD5500">
            <w:pPr>
              <w:rPr>
                <w:rFonts w:ascii="Garamond" w:hAnsi="Garamond"/>
                <w:sz w:val="22"/>
                <w:szCs w:val="22"/>
              </w:rPr>
            </w:pPr>
            <w:r>
              <w:rPr>
                <w:rFonts w:ascii="Garamond" w:hAnsi="Garamond"/>
                <w:sz w:val="22"/>
                <w:szCs w:val="22"/>
              </w:rPr>
              <w:t>Less established</w:t>
            </w:r>
          </w:p>
        </w:tc>
        <w:tc>
          <w:tcPr>
            <w:tcW w:w="3375" w:type="pct"/>
            <w:shd w:val="clear" w:color="auto" w:fill="auto"/>
            <w:tcMar>
              <w:top w:w="80" w:type="dxa"/>
              <w:left w:w="80" w:type="dxa"/>
              <w:bottom w:w="80" w:type="dxa"/>
              <w:right w:w="80" w:type="dxa"/>
            </w:tcMar>
          </w:tcPr>
          <w:p w14:paraId="2B49D3E4" w14:textId="77777777" w:rsidR="00C43579" w:rsidRPr="00182E07" w:rsidRDefault="00C43579" w:rsidP="00DD5500">
            <w:pPr>
              <w:rPr>
                <w:rFonts w:ascii="Garamond" w:hAnsi="Garamond"/>
                <w:sz w:val="22"/>
                <w:szCs w:val="22"/>
              </w:rPr>
            </w:pPr>
            <w:proofErr w:type="spellStart"/>
            <w:r w:rsidRPr="00182E07">
              <w:rPr>
                <w:rFonts w:ascii="Garamond" w:hAnsi="Garamond"/>
                <w:sz w:val="22"/>
                <w:szCs w:val="22"/>
              </w:rPr>
              <w:t>bibliometrics</w:t>
            </w:r>
            <w:proofErr w:type="spellEnd"/>
          </w:p>
          <w:p w14:paraId="4A5291BE" w14:textId="77777777" w:rsidR="00C43579" w:rsidRPr="00182E07" w:rsidRDefault="00C43579" w:rsidP="00DD5500">
            <w:pPr>
              <w:rPr>
                <w:rFonts w:ascii="Garamond" w:hAnsi="Garamond"/>
                <w:sz w:val="22"/>
                <w:szCs w:val="22"/>
              </w:rPr>
            </w:pPr>
            <w:r>
              <w:rPr>
                <w:rFonts w:ascii="Garamond" w:hAnsi="Garamond"/>
                <w:sz w:val="22"/>
                <w:szCs w:val="22"/>
              </w:rPr>
              <w:t>c</w:t>
            </w:r>
            <w:r w:rsidRPr="00182E07">
              <w:rPr>
                <w:rFonts w:ascii="Garamond" w:hAnsi="Garamond"/>
                <w:sz w:val="22"/>
                <w:szCs w:val="22"/>
              </w:rPr>
              <w:t>itation</w:t>
            </w:r>
            <w:r>
              <w:rPr>
                <w:rFonts w:ascii="Garamond" w:hAnsi="Garamond"/>
                <w:sz w:val="22"/>
                <w:szCs w:val="22"/>
              </w:rPr>
              <w:t>s</w:t>
            </w:r>
          </w:p>
          <w:p w14:paraId="5CADFD8A" w14:textId="77777777" w:rsidR="00C43579" w:rsidRDefault="00C43579" w:rsidP="00DD5500">
            <w:pPr>
              <w:rPr>
                <w:rFonts w:ascii="Garamond" w:hAnsi="Garamond"/>
                <w:sz w:val="22"/>
                <w:szCs w:val="22"/>
              </w:rPr>
            </w:pPr>
            <w:r w:rsidRPr="00182E07">
              <w:rPr>
                <w:rFonts w:ascii="Garamond" w:hAnsi="Garamond"/>
                <w:sz w:val="22"/>
                <w:szCs w:val="22"/>
              </w:rPr>
              <w:t>research grant</w:t>
            </w:r>
            <w:r>
              <w:rPr>
                <w:rFonts w:ascii="Garamond" w:hAnsi="Garamond"/>
                <w:sz w:val="22"/>
                <w:szCs w:val="22"/>
              </w:rPr>
              <w:t>s</w:t>
            </w:r>
          </w:p>
          <w:p w14:paraId="19E476F8" w14:textId="77777777" w:rsidR="00C43579" w:rsidRPr="00182E07" w:rsidRDefault="00C43579" w:rsidP="00DD5500">
            <w:pPr>
              <w:rPr>
                <w:rFonts w:ascii="Garamond" w:hAnsi="Garamond"/>
                <w:sz w:val="22"/>
                <w:szCs w:val="22"/>
              </w:rPr>
            </w:pPr>
            <w:r w:rsidRPr="00182E07">
              <w:rPr>
                <w:rFonts w:ascii="Garamond" w:hAnsi="Garamond"/>
                <w:sz w:val="22"/>
                <w:szCs w:val="22"/>
              </w:rPr>
              <w:t>research incom</w:t>
            </w:r>
            <w:r>
              <w:rPr>
                <w:rFonts w:ascii="Garamond" w:hAnsi="Garamond"/>
                <w:sz w:val="22"/>
                <w:szCs w:val="22"/>
              </w:rPr>
              <w:t>e</w:t>
            </w:r>
          </w:p>
          <w:p w14:paraId="6CB4C7C8" w14:textId="77777777" w:rsidR="00C43579" w:rsidRDefault="00C43579" w:rsidP="00DD5500">
            <w:pPr>
              <w:rPr>
                <w:rFonts w:ascii="Garamond" w:hAnsi="Garamond"/>
                <w:sz w:val="22"/>
                <w:szCs w:val="22"/>
              </w:rPr>
            </w:pPr>
            <w:r w:rsidRPr="00182E07">
              <w:rPr>
                <w:rFonts w:ascii="Garamond" w:hAnsi="Garamond"/>
                <w:sz w:val="22"/>
                <w:szCs w:val="22"/>
              </w:rPr>
              <w:t>PhD completion</w:t>
            </w:r>
            <w:r>
              <w:rPr>
                <w:rFonts w:ascii="Garamond" w:hAnsi="Garamond"/>
                <w:sz w:val="22"/>
                <w:szCs w:val="22"/>
              </w:rPr>
              <w:t>s</w:t>
            </w:r>
          </w:p>
          <w:p w14:paraId="6E612CA1" w14:textId="77777777" w:rsidR="00C43579" w:rsidRPr="00B06F65" w:rsidRDefault="00C43579" w:rsidP="00DD5500">
            <w:pPr>
              <w:rPr>
                <w:rFonts w:ascii="Garamond" w:hAnsi="Garamond"/>
                <w:sz w:val="22"/>
                <w:szCs w:val="22"/>
              </w:rPr>
            </w:pPr>
            <w:r w:rsidRPr="00B06F65">
              <w:rPr>
                <w:rFonts w:ascii="Garamond" w:hAnsi="Garamond"/>
                <w:sz w:val="22"/>
                <w:szCs w:val="22"/>
              </w:rPr>
              <w:t>google scholar citations</w:t>
            </w:r>
          </w:p>
          <w:p w14:paraId="20FA08C3" w14:textId="77777777" w:rsidR="00C43579" w:rsidRDefault="00C43579" w:rsidP="00DD5500">
            <w:pPr>
              <w:rPr>
                <w:rFonts w:ascii="Garamond" w:hAnsi="Garamond"/>
                <w:sz w:val="22"/>
                <w:szCs w:val="22"/>
              </w:rPr>
            </w:pPr>
            <w:r w:rsidRPr="00B06F65">
              <w:rPr>
                <w:rFonts w:ascii="Garamond" w:hAnsi="Garamond"/>
                <w:sz w:val="22"/>
                <w:szCs w:val="22"/>
              </w:rPr>
              <w:t>download</w:t>
            </w:r>
            <w:r>
              <w:rPr>
                <w:rFonts w:ascii="Garamond" w:hAnsi="Garamond"/>
                <w:sz w:val="22"/>
                <w:szCs w:val="22"/>
              </w:rPr>
              <w:t>s</w:t>
            </w:r>
          </w:p>
          <w:p w14:paraId="332EE673" w14:textId="77777777" w:rsidR="00C43579" w:rsidRDefault="00C43579" w:rsidP="00DD5500">
            <w:pPr>
              <w:rPr>
                <w:rFonts w:ascii="Garamond" w:hAnsi="Garamond"/>
                <w:sz w:val="22"/>
                <w:szCs w:val="22"/>
              </w:rPr>
            </w:pPr>
            <w:r>
              <w:rPr>
                <w:rFonts w:ascii="Garamond" w:hAnsi="Garamond"/>
                <w:sz w:val="22"/>
                <w:szCs w:val="22"/>
              </w:rPr>
              <w:t xml:space="preserve">conference </w:t>
            </w:r>
            <w:r w:rsidRPr="00B06F65">
              <w:rPr>
                <w:rFonts w:ascii="Garamond" w:hAnsi="Garamond"/>
                <w:sz w:val="22"/>
                <w:szCs w:val="22"/>
              </w:rPr>
              <w:t>presentations</w:t>
            </w:r>
          </w:p>
          <w:p w14:paraId="294B99CD" w14:textId="77777777" w:rsidR="00C43579" w:rsidRDefault="00C43579" w:rsidP="00DD5500">
            <w:pPr>
              <w:rPr>
                <w:rFonts w:ascii="Garamond" w:hAnsi="Garamond"/>
                <w:sz w:val="22"/>
                <w:szCs w:val="22"/>
              </w:rPr>
            </w:pPr>
            <w:r w:rsidRPr="00B06F65">
              <w:rPr>
                <w:rFonts w:ascii="Garamond" w:hAnsi="Garamond"/>
                <w:sz w:val="22"/>
                <w:szCs w:val="22"/>
              </w:rPr>
              <w:t>use counts for specialist blogs</w:t>
            </w:r>
          </w:p>
          <w:p w14:paraId="54582703" w14:textId="77777777" w:rsidR="00C43579" w:rsidRPr="00B06F65" w:rsidRDefault="00C43579" w:rsidP="00DD5500">
            <w:pPr>
              <w:rPr>
                <w:rFonts w:ascii="Garamond" w:hAnsi="Garamond"/>
                <w:sz w:val="22"/>
                <w:szCs w:val="22"/>
              </w:rPr>
            </w:pPr>
            <w:r w:rsidRPr="00B06F65">
              <w:rPr>
                <w:rFonts w:ascii="Garamond" w:hAnsi="Garamond"/>
                <w:sz w:val="22"/>
                <w:szCs w:val="22"/>
              </w:rPr>
              <w:t>data/text mining of academic outputs</w:t>
            </w:r>
          </w:p>
          <w:p w14:paraId="54DD7A40" w14:textId="77777777" w:rsidR="00C43579" w:rsidRPr="00B06F65" w:rsidRDefault="00C43579" w:rsidP="00DD5500">
            <w:pPr>
              <w:rPr>
                <w:rFonts w:ascii="Garamond" w:hAnsi="Garamond"/>
                <w:sz w:val="22"/>
                <w:szCs w:val="22"/>
              </w:rPr>
            </w:pPr>
            <w:r w:rsidRPr="00B06F65">
              <w:rPr>
                <w:rFonts w:ascii="Garamond" w:hAnsi="Garamond"/>
                <w:sz w:val="22"/>
                <w:szCs w:val="22"/>
              </w:rPr>
              <w:t>mentions in syllabi, Wikipedia and academic</w:t>
            </w:r>
            <w:r>
              <w:rPr>
                <w:rFonts w:ascii="Garamond" w:hAnsi="Garamond"/>
                <w:sz w:val="22"/>
                <w:szCs w:val="22"/>
              </w:rPr>
              <w:t xml:space="preserve"> sources</w:t>
            </w:r>
            <w:r w:rsidRPr="00B06F65">
              <w:rPr>
                <w:rFonts w:ascii="Garamond" w:hAnsi="Garamond"/>
                <w:sz w:val="22"/>
                <w:szCs w:val="22"/>
              </w:rPr>
              <w:t xml:space="preserve"> </w:t>
            </w:r>
          </w:p>
          <w:p w14:paraId="4FA7D31F" w14:textId="77777777" w:rsidR="00C43579" w:rsidRPr="00B06F65" w:rsidRDefault="00C43579" w:rsidP="00DD5500">
            <w:pPr>
              <w:rPr>
                <w:rFonts w:ascii="Garamond" w:hAnsi="Garamond"/>
                <w:sz w:val="22"/>
                <w:szCs w:val="22"/>
              </w:rPr>
            </w:pPr>
            <w:r w:rsidRPr="00B06F65">
              <w:rPr>
                <w:rFonts w:ascii="Garamond" w:hAnsi="Garamond"/>
                <w:sz w:val="22"/>
                <w:szCs w:val="22"/>
              </w:rPr>
              <w:t>abstract, PDF, HTML views of books and journal articles</w:t>
            </w:r>
          </w:p>
          <w:p w14:paraId="745B3F59" w14:textId="77777777" w:rsidR="00C43579" w:rsidRPr="00182E07" w:rsidRDefault="00C43579" w:rsidP="00DD5500">
            <w:pPr>
              <w:rPr>
                <w:rFonts w:ascii="Garamond" w:hAnsi="Garamond"/>
                <w:sz w:val="22"/>
                <w:szCs w:val="22"/>
              </w:rPr>
            </w:pPr>
            <w:r w:rsidRPr="00B06F65">
              <w:rPr>
                <w:rFonts w:ascii="Garamond" w:hAnsi="Garamond"/>
                <w:sz w:val="22"/>
                <w:szCs w:val="22"/>
              </w:rPr>
              <w:t xml:space="preserve">export saves and readers in </w:t>
            </w:r>
            <w:proofErr w:type="spellStart"/>
            <w:r w:rsidRPr="00B06F65">
              <w:rPr>
                <w:rFonts w:ascii="Garamond" w:hAnsi="Garamond"/>
                <w:sz w:val="22"/>
                <w:szCs w:val="22"/>
              </w:rPr>
              <w:t>Mendeley</w:t>
            </w:r>
            <w:proofErr w:type="spellEnd"/>
            <w:r w:rsidRPr="00B06F65">
              <w:rPr>
                <w:rFonts w:ascii="Garamond" w:hAnsi="Garamond"/>
                <w:sz w:val="22"/>
                <w:szCs w:val="22"/>
              </w:rPr>
              <w:t>, Endnote</w:t>
            </w:r>
          </w:p>
        </w:tc>
      </w:tr>
      <w:tr w:rsidR="00C43579" w:rsidRPr="00182E07" w14:paraId="40BEF54A" w14:textId="77777777" w:rsidTr="00DD5500">
        <w:trPr>
          <w:trHeight w:val="79"/>
        </w:trPr>
        <w:tc>
          <w:tcPr>
            <w:tcW w:w="834" w:type="pct"/>
          </w:tcPr>
          <w:p w14:paraId="169E0E85" w14:textId="77777777" w:rsidR="00C43579" w:rsidRDefault="00C43579" w:rsidP="00DD5500">
            <w:pPr>
              <w:rPr>
                <w:rFonts w:ascii="Garamond" w:hAnsi="Garamond"/>
                <w:sz w:val="22"/>
                <w:szCs w:val="22"/>
              </w:rPr>
            </w:pPr>
            <w:r>
              <w:rPr>
                <w:rFonts w:ascii="Garamond" w:hAnsi="Garamond"/>
                <w:sz w:val="22"/>
                <w:szCs w:val="22"/>
              </w:rPr>
              <w:t>External</w:t>
            </w:r>
          </w:p>
        </w:tc>
        <w:tc>
          <w:tcPr>
            <w:tcW w:w="791" w:type="pct"/>
          </w:tcPr>
          <w:p w14:paraId="489FBE63" w14:textId="77777777" w:rsidR="00C43579" w:rsidRDefault="00C43579" w:rsidP="00DD5500">
            <w:pPr>
              <w:rPr>
                <w:rFonts w:ascii="Garamond" w:hAnsi="Garamond"/>
                <w:sz w:val="22"/>
                <w:szCs w:val="22"/>
              </w:rPr>
            </w:pPr>
            <w:r>
              <w:rPr>
                <w:rFonts w:ascii="Garamond" w:hAnsi="Garamond"/>
                <w:sz w:val="22"/>
                <w:szCs w:val="22"/>
              </w:rPr>
              <w:t>More established</w:t>
            </w:r>
          </w:p>
          <w:p w14:paraId="3357AD0A" w14:textId="77777777" w:rsidR="00C43579" w:rsidRDefault="00C43579" w:rsidP="00DD5500">
            <w:pPr>
              <w:rPr>
                <w:rFonts w:ascii="Garamond" w:hAnsi="Garamond"/>
                <w:sz w:val="22"/>
                <w:szCs w:val="22"/>
              </w:rPr>
            </w:pPr>
            <w:r>
              <w:rPr>
                <w:rFonts w:ascii="Garamond" w:hAnsi="Garamond"/>
                <w:noProof/>
                <w:sz w:val="22"/>
                <w:szCs w:val="22"/>
                <w:lang w:eastAsia="en-GB"/>
              </w:rPr>
              <mc:AlternateContent>
                <mc:Choice Requires="wps">
                  <w:drawing>
                    <wp:anchor distT="0" distB="0" distL="114300" distR="114300" simplePos="0" relativeHeight="251660288" behindDoc="0" locked="0" layoutInCell="1" allowOverlap="1" wp14:anchorId="5E97B0C5" wp14:editId="7C65607C">
                      <wp:simplePos x="0" y="0"/>
                      <wp:positionH relativeFrom="column">
                        <wp:posOffset>454025</wp:posOffset>
                      </wp:positionH>
                      <wp:positionV relativeFrom="paragraph">
                        <wp:posOffset>83820</wp:posOffset>
                      </wp:positionV>
                      <wp:extent cx="0" cy="2562225"/>
                      <wp:effectExtent l="76200" t="25400" r="38100" b="15875"/>
                      <wp:wrapNone/>
                      <wp:docPr id="3" name="Straight Connector 3"/>
                      <wp:cNvGraphicFramePr/>
                      <a:graphic xmlns:a="http://schemas.openxmlformats.org/drawingml/2006/main">
                        <a:graphicData uri="http://schemas.microsoft.com/office/word/2010/wordprocessingShape">
                          <wps:wsp>
                            <wps:cNvCnPr/>
                            <wps:spPr>
                              <a:xfrm>
                                <a:off x="0" y="0"/>
                                <a:ext cx="0" cy="2562225"/>
                              </a:xfrm>
                              <a:prstGeom prst="line">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C940FF"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5pt,6.6pt" to="35.75pt,20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" strokecolor="black [3213]" strokeweight=".5pt">
                      <v:stroke startarrow="open" joinstyle="miter"/>
                    </v:line>
                  </w:pict>
                </mc:Fallback>
              </mc:AlternateContent>
            </w:r>
          </w:p>
          <w:p w14:paraId="459620A4" w14:textId="77777777" w:rsidR="00C43579" w:rsidRDefault="00C43579" w:rsidP="00DD5500">
            <w:pPr>
              <w:rPr>
                <w:rFonts w:ascii="Garamond" w:hAnsi="Garamond"/>
                <w:sz w:val="22"/>
                <w:szCs w:val="22"/>
              </w:rPr>
            </w:pPr>
          </w:p>
          <w:p w14:paraId="2B6EFC69" w14:textId="77777777" w:rsidR="00C43579" w:rsidRDefault="00C43579" w:rsidP="00DD5500">
            <w:pPr>
              <w:rPr>
                <w:rFonts w:ascii="Garamond" w:hAnsi="Garamond"/>
                <w:sz w:val="22"/>
                <w:szCs w:val="22"/>
              </w:rPr>
            </w:pPr>
          </w:p>
          <w:p w14:paraId="5BD610E6" w14:textId="77777777" w:rsidR="00C43579" w:rsidRDefault="00C43579" w:rsidP="00DD5500">
            <w:pPr>
              <w:rPr>
                <w:rFonts w:ascii="Garamond" w:hAnsi="Garamond"/>
                <w:sz w:val="22"/>
                <w:szCs w:val="22"/>
              </w:rPr>
            </w:pPr>
          </w:p>
          <w:p w14:paraId="3E532FB5" w14:textId="77777777" w:rsidR="00C43579" w:rsidRDefault="00C43579" w:rsidP="00DD5500">
            <w:pPr>
              <w:rPr>
                <w:rFonts w:ascii="Garamond" w:hAnsi="Garamond"/>
                <w:sz w:val="22"/>
                <w:szCs w:val="22"/>
              </w:rPr>
            </w:pPr>
          </w:p>
          <w:p w14:paraId="1859F8AA" w14:textId="77777777" w:rsidR="00C43579" w:rsidRDefault="00C43579" w:rsidP="00DD5500">
            <w:pPr>
              <w:rPr>
                <w:rFonts w:ascii="Garamond" w:hAnsi="Garamond"/>
                <w:sz w:val="22"/>
                <w:szCs w:val="22"/>
              </w:rPr>
            </w:pPr>
          </w:p>
          <w:p w14:paraId="4EA5574A" w14:textId="77777777" w:rsidR="00C43579" w:rsidRDefault="00C43579" w:rsidP="00DD5500">
            <w:pPr>
              <w:rPr>
                <w:rFonts w:ascii="Garamond" w:hAnsi="Garamond"/>
                <w:sz w:val="22"/>
                <w:szCs w:val="22"/>
              </w:rPr>
            </w:pPr>
          </w:p>
          <w:p w14:paraId="3812A14D" w14:textId="77777777" w:rsidR="00C43579" w:rsidRDefault="00C43579" w:rsidP="00DD5500">
            <w:pPr>
              <w:rPr>
                <w:rFonts w:ascii="Garamond" w:hAnsi="Garamond"/>
                <w:sz w:val="22"/>
                <w:szCs w:val="22"/>
              </w:rPr>
            </w:pPr>
          </w:p>
          <w:p w14:paraId="3DC2E4A2" w14:textId="77777777" w:rsidR="00C43579" w:rsidRDefault="00C43579" w:rsidP="00DD5500">
            <w:pPr>
              <w:rPr>
                <w:rFonts w:ascii="Garamond" w:hAnsi="Garamond"/>
                <w:sz w:val="22"/>
                <w:szCs w:val="22"/>
              </w:rPr>
            </w:pPr>
          </w:p>
          <w:p w14:paraId="78C9F6A3" w14:textId="77777777" w:rsidR="00C43579" w:rsidRDefault="00C43579" w:rsidP="00DD5500">
            <w:pPr>
              <w:rPr>
                <w:rFonts w:ascii="Garamond" w:hAnsi="Garamond"/>
                <w:sz w:val="22"/>
                <w:szCs w:val="22"/>
              </w:rPr>
            </w:pPr>
          </w:p>
          <w:p w14:paraId="7707B89B" w14:textId="77777777" w:rsidR="00C43579" w:rsidRDefault="00C43579" w:rsidP="00DD5500">
            <w:pPr>
              <w:rPr>
                <w:rFonts w:ascii="Garamond" w:hAnsi="Garamond"/>
                <w:sz w:val="22"/>
                <w:szCs w:val="22"/>
              </w:rPr>
            </w:pPr>
          </w:p>
          <w:p w14:paraId="7E421A00" w14:textId="77777777" w:rsidR="00C43579" w:rsidRDefault="00C43579" w:rsidP="00DD5500">
            <w:pPr>
              <w:rPr>
                <w:rFonts w:ascii="Garamond" w:hAnsi="Garamond"/>
                <w:sz w:val="22"/>
                <w:szCs w:val="22"/>
              </w:rPr>
            </w:pPr>
          </w:p>
          <w:p w14:paraId="48EC7067" w14:textId="77777777" w:rsidR="00C43579" w:rsidRDefault="00C43579" w:rsidP="00DD5500">
            <w:pPr>
              <w:rPr>
                <w:rFonts w:ascii="Garamond" w:hAnsi="Garamond"/>
                <w:sz w:val="22"/>
                <w:szCs w:val="22"/>
              </w:rPr>
            </w:pPr>
          </w:p>
          <w:p w14:paraId="31A109BE" w14:textId="77777777" w:rsidR="00C43579" w:rsidRDefault="00C43579" w:rsidP="00DD5500">
            <w:pPr>
              <w:rPr>
                <w:rFonts w:ascii="Garamond" w:hAnsi="Garamond"/>
                <w:sz w:val="22"/>
                <w:szCs w:val="22"/>
              </w:rPr>
            </w:pPr>
          </w:p>
          <w:p w14:paraId="09FF8E33" w14:textId="77777777" w:rsidR="00C43579" w:rsidRDefault="00C43579" w:rsidP="00DD5500">
            <w:pPr>
              <w:rPr>
                <w:rFonts w:ascii="Garamond" w:hAnsi="Garamond"/>
                <w:sz w:val="22"/>
                <w:szCs w:val="22"/>
              </w:rPr>
            </w:pPr>
          </w:p>
          <w:p w14:paraId="2BFEFBA4" w14:textId="77777777" w:rsidR="00C43579" w:rsidRDefault="00C43579" w:rsidP="00DD5500">
            <w:pPr>
              <w:rPr>
                <w:rFonts w:ascii="Garamond" w:hAnsi="Garamond"/>
                <w:sz w:val="22"/>
                <w:szCs w:val="22"/>
              </w:rPr>
            </w:pPr>
          </w:p>
          <w:p w14:paraId="7008967F" w14:textId="77777777" w:rsidR="00C43579" w:rsidRDefault="00C43579" w:rsidP="00DD5500">
            <w:pPr>
              <w:rPr>
                <w:rFonts w:ascii="Garamond" w:hAnsi="Garamond"/>
                <w:sz w:val="22"/>
                <w:szCs w:val="22"/>
              </w:rPr>
            </w:pPr>
          </w:p>
          <w:p w14:paraId="148270C3" w14:textId="77777777" w:rsidR="00C43579" w:rsidRDefault="00C43579" w:rsidP="00DD5500">
            <w:pPr>
              <w:rPr>
                <w:rFonts w:ascii="Garamond" w:hAnsi="Garamond"/>
                <w:sz w:val="22"/>
                <w:szCs w:val="22"/>
              </w:rPr>
            </w:pPr>
            <w:r>
              <w:rPr>
                <w:rFonts w:ascii="Garamond" w:hAnsi="Garamond"/>
                <w:noProof/>
                <w:sz w:val="22"/>
                <w:szCs w:val="22"/>
                <w:lang w:eastAsia="en-GB"/>
              </w:rPr>
              <w:lastRenderedPageBreak/>
              <mc:AlternateContent>
                <mc:Choice Requires="wps">
                  <w:drawing>
                    <wp:anchor distT="0" distB="0" distL="114300" distR="114300" simplePos="0" relativeHeight="251661312" behindDoc="0" locked="0" layoutInCell="1" allowOverlap="1" wp14:anchorId="58337CF7" wp14:editId="4A4DFCC0">
                      <wp:simplePos x="0" y="0"/>
                      <wp:positionH relativeFrom="column">
                        <wp:posOffset>501650</wp:posOffset>
                      </wp:positionH>
                      <wp:positionV relativeFrom="paragraph">
                        <wp:posOffset>47625</wp:posOffset>
                      </wp:positionV>
                      <wp:extent cx="0" cy="1438275"/>
                      <wp:effectExtent l="76200" t="0" r="50800" b="34925"/>
                      <wp:wrapNone/>
                      <wp:docPr id="4" name="Straight Connector 4"/>
                      <wp:cNvGraphicFramePr/>
                      <a:graphic xmlns:a="http://schemas.openxmlformats.org/drawingml/2006/main">
                        <a:graphicData uri="http://schemas.microsoft.com/office/word/2010/wordprocessingShape">
                          <wps:wsp>
                            <wps:cNvCnPr/>
                            <wps:spPr>
                              <a:xfrm>
                                <a:off x="0" y="0"/>
                                <a:ext cx="0" cy="1438275"/>
                              </a:xfrm>
                              <a:prstGeom prst="line">
                                <a:avLst/>
                              </a:prstGeom>
                              <a:ln>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E34763"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5pt,3.75pt" to="39.5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" strokecolor="black [3213]" strokeweight=".5pt">
                      <v:stroke endarrow="open" joinstyle="miter"/>
                    </v:line>
                  </w:pict>
                </mc:Fallback>
              </mc:AlternateContent>
            </w:r>
          </w:p>
          <w:p w14:paraId="6B2CAE99" w14:textId="77777777" w:rsidR="00C43579" w:rsidRDefault="00C43579" w:rsidP="00DD5500">
            <w:pPr>
              <w:rPr>
                <w:rFonts w:ascii="Garamond" w:hAnsi="Garamond"/>
                <w:sz w:val="22"/>
                <w:szCs w:val="22"/>
              </w:rPr>
            </w:pPr>
          </w:p>
          <w:p w14:paraId="2C33018B" w14:textId="77777777" w:rsidR="00C43579" w:rsidRDefault="00C43579" w:rsidP="00DD5500">
            <w:pPr>
              <w:rPr>
                <w:rFonts w:ascii="Garamond" w:hAnsi="Garamond"/>
                <w:sz w:val="22"/>
                <w:szCs w:val="22"/>
              </w:rPr>
            </w:pPr>
          </w:p>
          <w:p w14:paraId="3BCF02F2" w14:textId="77777777" w:rsidR="00C43579" w:rsidRDefault="00C43579" w:rsidP="00DD5500">
            <w:pPr>
              <w:rPr>
                <w:rFonts w:ascii="Garamond" w:hAnsi="Garamond"/>
                <w:sz w:val="22"/>
                <w:szCs w:val="22"/>
              </w:rPr>
            </w:pPr>
          </w:p>
          <w:p w14:paraId="0FB0C267" w14:textId="77777777" w:rsidR="00C43579" w:rsidRDefault="00C43579" w:rsidP="00DD5500">
            <w:pPr>
              <w:rPr>
                <w:rFonts w:ascii="Garamond" w:hAnsi="Garamond"/>
                <w:sz w:val="22"/>
                <w:szCs w:val="22"/>
              </w:rPr>
            </w:pPr>
          </w:p>
          <w:p w14:paraId="0B1E9DA6" w14:textId="77777777" w:rsidR="00C43579" w:rsidRDefault="00C43579" w:rsidP="00DD5500">
            <w:pPr>
              <w:rPr>
                <w:rFonts w:ascii="Garamond" w:hAnsi="Garamond"/>
                <w:sz w:val="22"/>
                <w:szCs w:val="22"/>
              </w:rPr>
            </w:pPr>
          </w:p>
          <w:p w14:paraId="30928D92" w14:textId="77777777" w:rsidR="00C43579" w:rsidRDefault="00C43579" w:rsidP="00DD5500">
            <w:pPr>
              <w:rPr>
                <w:rFonts w:ascii="Garamond" w:hAnsi="Garamond"/>
                <w:sz w:val="22"/>
                <w:szCs w:val="22"/>
              </w:rPr>
            </w:pPr>
          </w:p>
          <w:p w14:paraId="014DF096" w14:textId="77777777" w:rsidR="00C43579" w:rsidRDefault="00C43579" w:rsidP="00DD5500">
            <w:pPr>
              <w:rPr>
                <w:rFonts w:ascii="Garamond" w:hAnsi="Garamond"/>
                <w:sz w:val="22"/>
                <w:szCs w:val="22"/>
              </w:rPr>
            </w:pPr>
          </w:p>
          <w:p w14:paraId="2613561A" w14:textId="77777777" w:rsidR="00C43579" w:rsidRDefault="00C43579" w:rsidP="00DD5500">
            <w:pPr>
              <w:rPr>
                <w:rFonts w:ascii="Garamond" w:hAnsi="Garamond"/>
                <w:sz w:val="22"/>
                <w:szCs w:val="22"/>
              </w:rPr>
            </w:pPr>
          </w:p>
          <w:p w14:paraId="4EDAF258" w14:textId="77777777" w:rsidR="00C43579" w:rsidRDefault="00C43579" w:rsidP="00DD5500">
            <w:pPr>
              <w:rPr>
                <w:rFonts w:ascii="Garamond" w:hAnsi="Garamond"/>
                <w:sz w:val="22"/>
                <w:szCs w:val="22"/>
              </w:rPr>
            </w:pPr>
          </w:p>
          <w:p w14:paraId="40900993" w14:textId="77777777" w:rsidR="00C43579" w:rsidRPr="00182E07" w:rsidRDefault="00C43579" w:rsidP="00DD5500">
            <w:pPr>
              <w:rPr>
                <w:rFonts w:ascii="Garamond" w:hAnsi="Garamond"/>
                <w:sz w:val="22"/>
                <w:szCs w:val="22"/>
              </w:rPr>
            </w:pPr>
            <w:r>
              <w:rPr>
                <w:rFonts w:ascii="Garamond" w:hAnsi="Garamond"/>
                <w:sz w:val="22"/>
                <w:szCs w:val="22"/>
              </w:rPr>
              <w:t>Less established</w:t>
            </w:r>
          </w:p>
        </w:tc>
        <w:tc>
          <w:tcPr>
            <w:tcW w:w="3375" w:type="pct"/>
            <w:shd w:val="clear" w:color="auto" w:fill="auto"/>
            <w:tcMar>
              <w:top w:w="80" w:type="dxa"/>
              <w:left w:w="80" w:type="dxa"/>
              <w:bottom w:w="80" w:type="dxa"/>
              <w:right w:w="80" w:type="dxa"/>
            </w:tcMar>
          </w:tcPr>
          <w:p w14:paraId="70CC2843" w14:textId="77777777" w:rsidR="00C43579" w:rsidRDefault="00C43579" w:rsidP="00DD5500">
            <w:pPr>
              <w:rPr>
                <w:rFonts w:ascii="Garamond" w:hAnsi="Garamond"/>
                <w:sz w:val="22"/>
                <w:szCs w:val="22"/>
              </w:rPr>
            </w:pPr>
            <w:r>
              <w:rPr>
                <w:rFonts w:ascii="Garamond" w:hAnsi="Garamond"/>
                <w:sz w:val="22"/>
                <w:szCs w:val="22"/>
              </w:rPr>
              <w:lastRenderedPageBreak/>
              <w:t>expert judgement</w:t>
            </w:r>
          </w:p>
          <w:p w14:paraId="633186B4" w14:textId="77777777" w:rsidR="00C43579" w:rsidRDefault="00C43579" w:rsidP="00DD5500">
            <w:pPr>
              <w:rPr>
                <w:rFonts w:ascii="Garamond" w:hAnsi="Garamond"/>
                <w:sz w:val="22"/>
                <w:szCs w:val="22"/>
              </w:rPr>
            </w:pPr>
            <w:r>
              <w:rPr>
                <w:rFonts w:ascii="Garamond" w:hAnsi="Garamond"/>
                <w:sz w:val="22"/>
                <w:szCs w:val="22"/>
              </w:rPr>
              <w:t>case studies</w:t>
            </w:r>
          </w:p>
          <w:p w14:paraId="7E0984AC" w14:textId="77777777" w:rsidR="00C43579" w:rsidRDefault="00C43579" w:rsidP="00DD5500">
            <w:pPr>
              <w:rPr>
                <w:rFonts w:ascii="Garamond" w:hAnsi="Garamond"/>
                <w:sz w:val="22"/>
                <w:szCs w:val="22"/>
              </w:rPr>
            </w:pPr>
            <w:r>
              <w:rPr>
                <w:rFonts w:ascii="Garamond" w:hAnsi="Garamond"/>
                <w:sz w:val="22"/>
                <w:szCs w:val="22"/>
              </w:rPr>
              <w:t>surveys</w:t>
            </w:r>
          </w:p>
          <w:p w14:paraId="4E33C028" w14:textId="77777777" w:rsidR="00C43579" w:rsidRDefault="00C43579" w:rsidP="00DD5500">
            <w:pPr>
              <w:rPr>
                <w:rFonts w:ascii="Garamond" w:hAnsi="Garamond"/>
                <w:sz w:val="22"/>
                <w:szCs w:val="22"/>
              </w:rPr>
            </w:pPr>
            <w:r>
              <w:rPr>
                <w:rFonts w:ascii="Garamond" w:hAnsi="Garamond"/>
                <w:sz w:val="22"/>
                <w:szCs w:val="22"/>
              </w:rPr>
              <w:t>interviews</w:t>
            </w:r>
          </w:p>
          <w:p w14:paraId="325F9A2B" w14:textId="77777777" w:rsidR="00C43579" w:rsidRDefault="00C43579" w:rsidP="00DD5500">
            <w:pPr>
              <w:rPr>
                <w:rFonts w:ascii="Garamond" w:hAnsi="Garamond"/>
                <w:sz w:val="22"/>
                <w:szCs w:val="22"/>
              </w:rPr>
            </w:pPr>
            <w:r>
              <w:rPr>
                <w:rFonts w:ascii="Garamond" w:hAnsi="Garamond"/>
                <w:sz w:val="22"/>
                <w:szCs w:val="22"/>
              </w:rPr>
              <w:t>portfolio analysis</w:t>
            </w:r>
          </w:p>
          <w:p w14:paraId="18AA4315" w14:textId="77777777" w:rsidR="00C43579" w:rsidRDefault="00C43579" w:rsidP="00DD5500">
            <w:pPr>
              <w:rPr>
                <w:rFonts w:ascii="Garamond" w:hAnsi="Garamond"/>
                <w:sz w:val="22"/>
                <w:szCs w:val="22"/>
              </w:rPr>
            </w:pPr>
            <w:r>
              <w:rPr>
                <w:rFonts w:ascii="Garamond" w:hAnsi="Garamond"/>
                <w:sz w:val="22"/>
                <w:szCs w:val="22"/>
              </w:rPr>
              <w:t>q</w:t>
            </w:r>
            <w:r w:rsidRPr="00182E07">
              <w:rPr>
                <w:rFonts w:ascii="Garamond" w:hAnsi="Garamond"/>
                <w:sz w:val="22"/>
                <w:szCs w:val="22"/>
              </w:rPr>
              <w:t>uestionnaires</w:t>
            </w:r>
          </w:p>
          <w:p w14:paraId="56DC3FD7" w14:textId="77777777" w:rsidR="00C43579" w:rsidRPr="00182E07" w:rsidRDefault="00C43579" w:rsidP="00DD5500">
            <w:pPr>
              <w:rPr>
                <w:rFonts w:ascii="Garamond" w:hAnsi="Garamond"/>
                <w:sz w:val="22"/>
                <w:szCs w:val="22"/>
              </w:rPr>
            </w:pPr>
            <w:r w:rsidRPr="00182E07">
              <w:rPr>
                <w:rFonts w:ascii="Garamond" w:hAnsi="Garamond"/>
                <w:sz w:val="22"/>
                <w:szCs w:val="22"/>
              </w:rPr>
              <w:t>clinical citations</w:t>
            </w:r>
          </w:p>
          <w:p w14:paraId="5A89F252" w14:textId="77777777" w:rsidR="00C43579" w:rsidRDefault="00C43579" w:rsidP="00DD5500">
            <w:pPr>
              <w:rPr>
                <w:rFonts w:ascii="Garamond" w:hAnsi="Garamond"/>
                <w:sz w:val="22"/>
                <w:szCs w:val="22"/>
              </w:rPr>
            </w:pPr>
            <w:r w:rsidRPr="00182E07">
              <w:rPr>
                <w:rFonts w:ascii="Garamond" w:hAnsi="Garamond"/>
                <w:sz w:val="22"/>
                <w:szCs w:val="22"/>
              </w:rPr>
              <w:t>patent citations</w:t>
            </w:r>
          </w:p>
          <w:p w14:paraId="79221E1C" w14:textId="77777777" w:rsidR="00C43579" w:rsidRPr="00182E07" w:rsidRDefault="00C43579" w:rsidP="00DD5500">
            <w:pPr>
              <w:rPr>
                <w:rFonts w:ascii="Garamond" w:hAnsi="Garamond"/>
                <w:sz w:val="22"/>
                <w:szCs w:val="22"/>
              </w:rPr>
            </w:pPr>
            <w:r w:rsidRPr="00B06F65">
              <w:rPr>
                <w:rFonts w:ascii="Garamond" w:hAnsi="Garamond"/>
                <w:sz w:val="22"/>
                <w:szCs w:val="22"/>
              </w:rPr>
              <w:t>news citations</w:t>
            </w:r>
          </w:p>
          <w:p w14:paraId="2CEA0EB6" w14:textId="77777777" w:rsidR="00C43579" w:rsidRDefault="00C43579" w:rsidP="00DD5500">
            <w:pPr>
              <w:rPr>
                <w:rFonts w:ascii="Garamond" w:hAnsi="Garamond"/>
                <w:sz w:val="22"/>
                <w:szCs w:val="22"/>
              </w:rPr>
            </w:pPr>
            <w:r w:rsidRPr="00182E07">
              <w:rPr>
                <w:rFonts w:ascii="Garamond" w:hAnsi="Garamond"/>
                <w:sz w:val="22"/>
                <w:szCs w:val="22"/>
              </w:rPr>
              <w:t>performance</w:t>
            </w:r>
            <w:r>
              <w:rPr>
                <w:rFonts w:ascii="Garamond" w:hAnsi="Garamond"/>
                <w:sz w:val="22"/>
                <w:szCs w:val="22"/>
              </w:rPr>
              <w:t>/</w:t>
            </w:r>
            <w:r w:rsidRPr="00182E07">
              <w:rPr>
                <w:rFonts w:ascii="Garamond" w:hAnsi="Garamond"/>
                <w:sz w:val="22"/>
                <w:szCs w:val="22"/>
              </w:rPr>
              <w:t>exhibition metrics</w:t>
            </w:r>
          </w:p>
          <w:p w14:paraId="2A431D62" w14:textId="77777777" w:rsidR="00C43579" w:rsidRPr="00182E07" w:rsidRDefault="00C43579" w:rsidP="00DD5500">
            <w:pPr>
              <w:rPr>
                <w:rFonts w:ascii="Garamond" w:hAnsi="Garamond"/>
                <w:sz w:val="22"/>
                <w:szCs w:val="22"/>
              </w:rPr>
            </w:pPr>
            <w:r>
              <w:rPr>
                <w:rFonts w:ascii="Garamond" w:hAnsi="Garamond"/>
                <w:sz w:val="22"/>
                <w:szCs w:val="22"/>
              </w:rPr>
              <w:t>events/stakeholder attendance</w:t>
            </w:r>
          </w:p>
          <w:p w14:paraId="6BCAF418" w14:textId="77777777" w:rsidR="00C43579" w:rsidRPr="00182E07" w:rsidRDefault="00C43579" w:rsidP="00DD5500">
            <w:pPr>
              <w:rPr>
                <w:rFonts w:ascii="Garamond" w:hAnsi="Garamond"/>
                <w:sz w:val="22"/>
                <w:szCs w:val="22"/>
              </w:rPr>
            </w:pPr>
            <w:r w:rsidRPr="00182E07">
              <w:rPr>
                <w:rFonts w:ascii="Garamond" w:hAnsi="Garamond"/>
                <w:sz w:val="22"/>
                <w:szCs w:val="22"/>
              </w:rPr>
              <w:t>document</w:t>
            </w:r>
            <w:r>
              <w:rPr>
                <w:rFonts w:ascii="Garamond" w:hAnsi="Garamond"/>
                <w:sz w:val="22"/>
                <w:szCs w:val="22"/>
              </w:rPr>
              <w:t xml:space="preserve"> counts</w:t>
            </w:r>
          </w:p>
          <w:p w14:paraId="64031F19" w14:textId="77777777" w:rsidR="00C43579" w:rsidRPr="00182E07" w:rsidRDefault="00C43579" w:rsidP="00DD5500">
            <w:pPr>
              <w:rPr>
                <w:rFonts w:ascii="Garamond" w:hAnsi="Garamond"/>
                <w:sz w:val="22"/>
                <w:szCs w:val="22"/>
              </w:rPr>
            </w:pPr>
            <w:r w:rsidRPr="00182E07">
              <w:rPr>
                <w:rFonts w:ascii="Garamond" w:hAnsi="Garamond"/>
                <w:sz w:val="22"/>
                <w:szCs w:val="22"/>
              </w:rPr>
              <w:t>news</w:t>
            </w:r>
            <w:r>
              <w:rPr>
                <w:rFonts w:ascii="Garamond" w:hAnsi="Garamond"/>
                <w:sz w:val="22"/>
                <w:szCs w:val="22"/>
              </w:rPr>
              <w:t>/</w:t>
            </w:r>
            <w:r w:rsidRPr="00182E07">
              <w:rPr>
                <w:rFonts w:ascii="Garamond" w:hAnsi="Garamond"/>
                <w:sz w:val="22"/>
                <w:szCs w:val="22"/>
              </w:rPr>
              <w:t xml:space="preserve">magazine </w:t>
            </w:r>
            <w:r>
              <w:rPr>
                <w:rFonts w:ascii="Garamond" w:hAnsi="Garamond"/>
                <w:sz w:val="22"/>
                <w:szCs w:val="22"/>
              </w:rPr>
              <w:t>citations</w:t>
            </w:r>
          </w:p>
          <w:p w14:paraId="66CCEEF3" w14:textId="77777777" w:rsidR="00C43579" w:rsidRPr="00182E07" w:rsidRDefault="00C43579" w:rsidP="00DD5500">
            <w:pPr>
              <w:rPr>
                <w:rFonts w:ascii="Garamond" w:hAnsi="Garamond"/>
                <w:sz w:val="22"/>
                <w:szCs w:val="22"/>
              </w:rPr>
            </w:pPr>
            <w:r w:rsidRPr="00182E07">
              <w:rPr>
                <w:rFonts w:ascii="Garamond" w:hAnsi="Garamond"/>
                <w:sz w:val="22"/>
                <w:szCs w:val="22"/>
              </w:rPr>
              <w:t>commercial revenue</w:t>
            </w:r>
          </w:p>
          <w:p w14:paraId="5EF7DD8E" w14:textId="77777777" w:rsidR="00C43579" w:rsidRDefault="00C43579" w:rsidP="00DD5500">
            <w:pPr>
              <w:rPr>
                <w:rFonts w:ascii="Garamond" w:hAnsi="Garamond"/>
                <w:sz w:val="22"/>
                <w:szCs w:val="22"/>
              </w:rPr>
            </w:pPr>
            <w:r w:rsidRPr="00182E07">
              <w:rPr>
                <w:rFonts w:ascii="Garamond" w:hAnsi="Garamond"/>
                <w:sz w:val="22"/>
                <w:szCs w:val="22"/>
              </w:rPr>
              <w:t xml:space="preserve">intellectual property </w:t>
            </w:r>
          </w:p>
          <w:p w14:paraId="65FB8566" w14:textId="77777777" w:rsidR="00C43579" w:rsidRPr="00182E07" w:rsidRDefault="00C43579" w:rsidP="00DD5500">
            <w:pPr>
              <w:rPr>
                <w:rFonts w:ascii="Garamond" w:hAnsi="Garamond"/>
                <w:sz w:val="22"/>
                <w:szCs w:val="22"/>
              </w:rPr>
            </w:pPr>
            <w:r w:rsidRPr="00182E07">
              <w:rPr>
                <w:rFonts w:ascii="Garamond" w:hAnsi="Garamond"/>
                <w:sz w:val="22"/>
                <w:szCs w:val="22"/>
              </w:rPr>
              <w:t>econometrics and statistic</w:t>
            </w:r>
            <w:r>
              <w:rPr>
                <w:rFonts w:ascii="Garamond" w:hAnsi="Garamond"/>
                <w:sz w:val="22"/>
                <w:szCs w:val="22"/>
              </w:rPr>
              <w:t>s</w:t>
            </w:r>
          </w:p>
          <w:p w14:paraId="7D397AB5" w14:textId="77777777" w:rsidR="00C43579" w:rsidRDefault="00C43579" w:rsidP="00DD5500">
            <w:pPr>
              <w:rPr>
                <w:rFonts w:ascii="Garamond" w:hAnsi="Garamond"/>
                <w:sz w:val="22"/>
                <w:szCs w:val="22"/>
              </w:rPr>
            </w:pPr>
            <w:r>
              <w:rPr>
                <w:rFonts w:ascii="Garamond" w:hAnsi="Garamond"/>
                <w:sz w:val="22"/>
                <w:szCs w:val="22"/>
              </w:rPr>
              <w:t>sales</w:t>
            </w:r>
          </w:p>
          <w:p w14:paraId="21257E19" w14:textId="77777777" w:rsidR="00C43579" w:rsidRDefault="00C43579" w:rsidP="00DD5500">
            <w:pPr>
              <w:rPr>
                <w:rFonts w:ascii="Garamond" w:hAnsi="Garamond"/>
                <w:sz w:val="22"/>
                <w:szCs w:val="22"/>
              </w:rPr>
            </w:pPr>
            <w:r>
              <w:rPr>
                <w:rFonts w:ascii="Garamond" w:hAnsi="Garamond"/>
                <w:sz w:val="22"/>
                <w:szCs w:val="22"/>
              </w:rPr>
              <w:t>content analysis</w:t>
            </w:r>
          </w:p>
          <w:p w14:paraId="366340CD" w14:textId="77777777" w:rsidR="00C43579" w:rsidRDefault="00C43579" w:rsidP="00DD5500">
            <w:pPr>
              <w:rPr>
                <w:rFonts w:ascii="Garamond" w:hAnsi="Garamond"/>
                <w:sz w:val="22"/>
                <w:szCs w:val="22"/>
              </w:rPr>
            </w:pPr>
            <w:r w:rsidRPr="00B06F65">
              <w:rPr>
                <w:rFonts w:ascii="Garamond" w:hAnsi="Garamond"/>
                <w:sz w:val="22"/>
                <w:szCs w:val="22"/>
              </w:rPr>
              <w:lastRenderedPageBreak/>
              <w:t>social media shares, posts</w:t>
            </w:r>
          </w:p>
          <w:p w14:paraId="18B9C966" w14:textId="77777777" w:rsidR="00C43579" w:rsidRPr="00B06F65" w:rsidRDefault="00C43579" w:rsidP="00DD5500">
            <w:pPr>
              <w:rPr>
                <w:rFonts w:ascii="Garamond" w:hAnsi="Garamond"/>
                <w:sz w:val="22"/>
                <w:szCs w:val="22"/>
              </w:rPr>
            </w:pPr>
            <w:r w:rsidRPr="00B06F65">
              <w:rPr>
                <w:rFonts w:ascii="Garamond" w:hAnsi="Garamond"/>
                <w:sz w:val="22"/>
                <w:szCs w:val="22"/>
              </w:rPr>
              <w:t>data/text mining of outputs, briefs, reports, grey literature and policy documents</w:t>
            </w:r>
          </w:p>
          <w:p w14:paraId="2A700820" w14:textId="77777777" w:rsidR="00C43579" w:rsidRPr="00B06F65" w:rsidRDefault="00C43579" w:rsidP="00DD5500">
            <w:pPr>
              <w:rPr>
                <w:rFonts w:ascii="Garamond" w:hAnsi="Garamond"/>
                <w:sz w:val="22"/>
                <w:szCs w:val="22"/>
              </w:rPr>
            </w:pPr>
            <w:r w:rsidRPr="00B06F65">
              <w:rPr>
                <w:rFonts w:ascii="Garamond" w:hAnsi="Garamond"/>
                <w:sz w:val="22"/>
                <w:szCs w:val="22"/>
              </w:rPr>
              <w:t>downloads, export saves and readers of briefs, working papers, books</w:t>
            </w:r>
          </w:p>
          <w:p w14:paraId="26F484B3" w14:textId="77777777" w:rsidR="00C43579" w:rsidRDefault="00C43579" w:rsidP="00DD5500">
            <w:pPr>
              <w:rPr>
                <w:rFonts w:ascii="Garamond" w:hAnsi="Garamond"/>
                <w:sz w:val="22"/>
                <w:szCs w:val="22"/>
              </w:rPr>
            </w:pPr>
            <w:r w:rsidRPr="00B06F65">
              <w:rPr>
                <w:rFonts w:ascii="Garamond" w:hAnsi="Garamond"/>
                <w:sz w:val="22"/>
                <w:szCs w:val="22"/>
              </w:rPr>
              <w:t>mentions in Wikipedia, Facebook public pages, cultural sources</w:t>
            </w:r>
          </w:p>
          <w:p w14:paraId="0D938F09" w14:textId="77777777" w:rsidR="00C43579" w:rsidRDefault="00C43579" w:rsidP="00DD5500">
            <w:pPr>
              <w:rPr>
                <w:rFonts w:ascii="Garamond" w:hAnsi="Garamond"/>
                <w:sz w:val="22"/>
                <w:szCs w:val="22"/>
              </w:rPr>
            </w:pPr>
            <w:r w:rsidRPr="00B06F65">
              <w:rPr>
                <w:rFonts w:ascii="Garamond" w:hAnsi="Garamond"/>
                <w:sz w:val="22"/>
                <w:szCs w:val="22"/>
              </w:rPr>
              <w:t xml:space="preserve">HTML views of data visualisations and blogs </w:t>
            </w:r>
          </w:p>
          <w:p w14:paraId="70E31519" w14:textId="77777777" w:rsidR="00C43579" w:rsidRPr="00B06F65" w:rsidRDefault="00C43579" w:rsidP="00DD5500">
            <w:pPr>
              <w:rPr>
                <w:rFonts w:ascii="Garamond" w:hAnsi="Garamond"/>
                <w:sz w:val="22"/>
                <w:szCs w:val="22"/>
              </w:rPr>
            </w:pPr>
            <w:r w:rsidRPr="00B06F65">
              <w:rPr>
                <w:rFonts w:ascii="Garamond" w:hAnsi="Garamond"/>
                <w:sz w:val="22"/>
                <w:szCs w:val="22"/>
              </w:rPr>
              <w:t>abstract, PDF, HTML views of outputs, briefs, reports</w:t>
            </w:r>
          </w:p>
          <w:p w14:paraId="52AD4F33" w14:textId="77777777" w:rsidR="00C43579" w:rsidRPr="00B06F65" w:rsidRDefault="00C43579" w:rsidP="00DD5500">
            <w:pPr>
              <w:rPr>
                <w:rFonts w:ascii="Garamond" w:hAnsi="Garamond"/>
                <w:sz w:val="22"/>
                <w:szCs w:val="22"/>
              </w:rPr>
            </w:pPr>
            <w:r w:rsidRPr="00B06F65">
              <w:rPr>
                <w:rFonts w:ascii="Garamond" w:hAnsi="Garamond"/>
                <w:sz w:val="22"/>
                <w:szCs w:val="22"/>
              </w:rPr>
              <w:t>knowledge exchange/stakeholder events via e-calendars</w:t>
            </w:r>
          </w:p>
          <w:p w14:paraId="5DC43FC0" w14:textId="77777777" w:rsidR="00C43579" w:rsidRPr="00B06F65" w:rsidRDefault="00C43579" w:rsidP="00DD5500">
            <w:pPr>
              <w:rPr>
                <w:rFonts w:ascii="Garamond" w:hAnsi="Garamond"/>
                <w:sz w:val="22"/>
                <w:szCs w:val="22"/>
              </w:rPr>
            </w:pPr>
            <w:r w:rsidRPr="00B06F65">
              <w:rPr>
                <w:rFonts w:ascii="Garamond" w:hAnsi="Garamond"/>
                <w:sz w:val="22"/>
                <w:szCs w:val="22"/>
              </w:rPr>
              <w:t>aggregate measures in altmetric.com, plum analytics</w:t>
            </w:r>
          </w:p>
          <w:p w14:paraId="4CCE9BFD" w14:textId="77777777" w:rsidR="00C43579" w:rsidRDefault="00C43579" w:rsidP="00DD5500">
            <w:pPr>
              <w:rPr>
                <w:rFonts w:ascii="Garamond" w:hAnsi="Garamond"/>
                <w:sz w:val="22"/>
                <w:szCs w:val="22"/>
              </w:rPr>
            </w:pPr>
            <w:r w:rsidRPr="00B06F65">
              <w:rPr>
                <w:rFonts w:ascii="Garamond" w:hAnsi="Garamond"/>
                <w:sz w:val="22"/>
                <w:szCs w:val="22"/>
              </w:rPr>
              <w:t>downloads, export saves, readers of press briefings</w:t>
            </w:r>
          </w:p>
          <w:p w14:paraId="2D4320B0" w14:textId="77777777" w:rsidR="00C43579" w:rsidRPr="00B06F65" w:rsidRDefault="00C43579" w:rsidP="00DD5500">
            <w:pPr>
              <w:rPr>
                <w:rFonts w:ascii="Garamond" w:hAnsi="Garamond"/>
                <w:sz w:val="22"/>
                <w:szCs w:val="22"/>
              </w:rPr>
            </w:pPr>
            <w:r w:rsidRPr="00B06F65">
              <w:rPr>
                <w:rFonts w:ascii="Garamond" w:hAnsi="Garamond"/>
                <w:sz w:val="22"/>
                <w:szCs w:val="22"/>
              </w:rPr>
              <w:t>abstract, PDF, HTML views of consulting/contracted reports</w:t>
            </w:r>
          </w:p>
          <w:p w14:paraId="0349C95F" w14:textId="77777777" w:rsidR="00C43579" w:rsidRDefault="00C43579" w:rsidP="00DD5500">
            <w:pPr>
              <w:rPr>
                <w:rFonts w:ascii="Garamond" w:hAnsi="Garamond"/>
                <w:sz w:val="22"/>
                <w:szCs w:val="22"/>
              </w:rPr>
            </w:pPr>
            <w:r w:rsidRPr="00B06F65">
              <w:rPr>
                <w:rFonts w:ascii="Garamond" w:hAnsi="Garamond"/>
                <w:sz w:val="22"/>
                <w:szCs w:val="22"/>
              </w:rPr>
              <w:t>download counts, export saves, readers of consulting/contracted reports</w:t>
            </w:r>
          </w:p>
        </w:tc>
      </w:tr>
    </w:tbl>
    <w:p w14:paraId="78D4DF10" w14:textId="77777777" w:rsidR="00C43579" w:rsidRDefault="00C43579" w:rsidP="00C43579">
      <w:pPr>
        <w:pStyle w:val="Body"/>
        <w:spacing w:before="120" w:after="120"/>
        <w:outlineLvl w:val="0"/>
        <w:rPr>
          <w:rFonts w:ascii="Garamond" w:hAnsi="Garamond"/>
          <w:i/>
          <w:iCs/>
          <w:color w:val="000000" w:themeColor="text1"/>
          <w:sz w:val="22"/>
          <w:szCs w:val="22"/>
          <w:lang w:val="en-GB"/>
        </w:rPr>
      </w:pPr>
    </w:p>
    <w:p w14:paraId="197E6F16" w14:textId="77777777" w:rsidR="00C43579" w:rsidRDefault="00C43579" w:rsidP="00C43579">
      <w:pPr>
        <w:pStyle w:val="Body"/>
        <w:spacing w:before="120" w:after="120"/>
        <w:outlineLvl w:val="0"/>
        <w:rPr>
          <w:rFonts w:ascii="Garamond" w:hAnsi="Garamond"/>
          <w:i/>
          <w:iCs/>
          <w:color w:val="000000" w:themeColor="text1"/>
          <w:sz w:val="22"/>
          <w:szCs w:val="22"/>
          <w:lang w:val="en-GB"/>
        </w:rPr>
        <w:sectPr w:rsidR="00C43579" w:rsidSect="004147E7">
          <w:headerReference w:type="first" r:id="rId14"/>
          <w:pgSz w:w="16840" w:h="11900" w:orient="landscape"/>
          <w:pgMar w:top="1440" w:right="1440" w:bottom="1440" w:left="1440" w:header="709" w:footer="709" w:gutter="0"/>
          <w:cols w:space="708"/>
          <w:titlePg/>
          <w:docGrid w:linePitch="360"/>
        </w:sectPr>
      </w:pPr>
    </w:p>
    <w:p w14:paraId="227865A7" w14:textId="77777777" w:rsidR="00C43579" w:rsidRPr="00182E07" w:rsidRDefault="00C43579" w:rsidP="00C43579">
      <w:pPr>
        <w:pStyle w:val="Body"/>
        <w:spacing w:before="120" w:after="120"/>
        <w:outlineLvl w:val="0"/>
        <w:rPr>
          <w:rFonts w:ascii="Garamond" w:hAnsi="Garamond"/>
          <w:color w:val="000000" w:themeColor="text1"/>
          <w:sz w:val="22"/>
          <w:szCs w:val="22"/>
          <w:lang w:val="en-GB"/>
        </w:rPr>
      </w:pPr>
      <w:r w:rsidRPr="00182E07">
        <w:rPr>
          <w:rFonts w:ascii="Garamond" w:hAnsi="Garamond"/>
          <w:i/>
          <w:iCs/>
          <w:color w:val="000000" w:themeColor="text1"/>
          <w:sz w:val="22"/>
          <w:szCs w:val="22"/>
          <w:lang w:val="en-GB"/>
        </w:rPr>
        <w:lastRenderedPageBreak/>
        <w:t xml:space="preserve">Table </w:t>
      </w:r>
      <w:r>
        <w:rPr>
          <w:rFonts w:ascii="Garamond" w:hAnsi="Garamond"/>
          <w:i/>
          <w:iCs/>
          <w:color w:val="000000" w:themeColor="text1"/>
          <w:sz w:val="22"/>
          <w:szCs w:val="22"/>
          <w:lang w:val="en-GB"/>
        </w:rPr>
        <w:t>2</w:t>
      </w:r>
      <w:r w:rsidRPr="00182E07">
        <w:rPr>
          <w:rFonts w:ascii="Garamond" w:hAnsi="Garamond"/>
          <w:i/>
          <w:iCs/>
          <w:color w:val="000000" w:themeColor="text1"/>
          <w:sz w:val="22"/>
          <w:szCs w:val="22"/>
          <w:lang w:val="en-GB"/>
        </w:rPr>
        <w:t>. Fields, capitals and affordances involved in demonstrating research impact</w:t>
      </w:r>
    </w:p>
    <w:tbl>
      <w:tblPr>
        <w:tblW w:w="5000" w:type="pct"/>
        <w:tblBorders>
          <w:top w:val="dashSmallGap" w:sz="4" w:space="0" w:color="auto"/>
          <w:bottom w:val="dashSmallGap" w:sz="4" w:space="0" w:color="auto"/>
          <w:insideH w:val="dashSmallGap" w:sz="4" w:space="0" w:color="auto"/>
        </w:tblBorders>
        <w:tblCellMar>
          <w:left w:w="0" w:type="dxa"/>
          <w:right w:w="0" w:type="dxa"/>
        </w:tblCellMar>
        <w:tblLook w:val="04A0" w:firstRow="1" w:lastRow="0" w:firstColumn="1" w:lastColumn="0" w:noHBand="0" w:noVBand="1"/>
      </w:tblPr>
      <w:tblGrid>
        <w:gridCol w:w="1701"/>
        <w:gridCol w:w="3686"/>
        <w:gridCol w:w="6663"/>
        <w:gridCol w:w="1910"/>
      </w:tblGrid>
      <w:tr w:rsidR="00C43579" w:rsidRPr="00182E07" w14:paraId="7D69C009" w14:textId="77777777" w:rsidTr="00DD5500">
        <w:trPr>
          <w:trHeight w:val="121"/>
        </w:trPr>
        <w:tc>
          <w:tcPr>
            <w:tcW w:w="609" w:type="pct"/>
            <w:shd w:val="clear" w:color="auto" w:fill="F5F4F4" w:themeFill="background2" w:themeFillTint="66"/>
            <w:vAlign w:val="center"/>
          </w:tcPr>
          <w:p w14:paraId="7FE07628" w14:textId="77777777" w:rsidR="00C43579" w:rsidRPr="00182E07" w:rsidRDefault="00C43579" w:rsidP="00DD5500">
            <w:pPr>
              <w:spacing w:line="360" w:lineRule="auto"/>
              <w:rPr>
                <w:rFonts w:ascii="Garamond" w:hAnsi="Garamond"/>
                <w:b/>
                <w:color w:val="000000" w:themeColor="text1"/>
                <w:sz w:val="22"/>
                <w:szCs w:val="22"/>
              </w:rPr>
            </w:pPr>
            <w:r w:rsidRPr="00182E07">
              <w:rPr>
                <w:rFonts w:ascii="Garamond" w:hAnsi="Garamond"/>
                <w:b/>
                <w:color w:val="000000" w:themeColor="text1"/>
                <w:sz w:val="22"/>
                <w:szCs w:val="22"/>
              </w:rPr>
              <w:t>Field</w:t>
            </w:r>
          </w:p>
        </w:tc>
        <w:tc>
          <w:tcPr>
            <w:tcW w:w="1320" w:type="pct"/>
            <w:shd w:val="clear" w:color="auto" w:fill="F5F4F4" w:themeFill="background2" w:themeFillTint="66"/>
          </w:tcPr>
          <w:p w14:paraId="6121C91A" w14:textId="77777777" w:rsidR="00C43579" w:rsidRPr="00182E07" w:rsidRDefault="00C43579" w:rsidP="00DD5500">
            <w:pPr>
              <w:spacing w:line="360" w:lineRule="auto"/>
              <w:rPr>
                <w:rFonts w:ascii="Garamond" w:hAnsi="Garamond"/>
                <w:b/>
                <w:color w:val="000000" w:themeColor="text1"/>
                <w:sz w:val="22"/>
                <w:szCs w:val="22"/>
              </w:rPr>
            </w:pPr>
            <w:r w:rsidRPr="00182E07">
              <w:rPr>
                <w:rFonts w:ascii="Garamond" w:hAnsi="Garamond"/>
                <w:b/>
                <w:color w:val="000000" w:themeColor="text1"/>
                <w:sz w:val="22"/>
                <w:szCs w:val="22"/>
              </w:rPr>
              <w:t>Impact</w:t>
            </w:r>
          </w:p>
        </w:tc>
        <w:tc>
          <w:tcPr>
            <w:tcW w:w="2386" w:type="pct"/>
            <w:shd w:val="clear" w:color="auto" w:fill="F5F4F4" w:themeFill="background2" w:themeFillTint="66"/>
            <w:vAlign w:val="center"/>
          </w:tcPr>
          <w:p w14:paraId="682CCBED" w14:textId="77777777" w:rsidR="00C43579" w:rsidRPr="00054ED5" w:rsidRDefault="00C43579" w:rsidP="00DD5500">
            <w:pPr>
              <w:spacing w:line="360" w:lineRule="auto"/>
              <w:rPr>
                <w:rFonts w:ascii="Garamond" w:hAnsi="Garamond"/>
                <w:b/>
                <w:color w:val="000000" w:themeColor="text1"/>
                <w:sz w:val="22"/>
                <w:szCs w:val="22"/>
              </w:rPr>
            </w:pPr>
            <w:r w:rsidRPr="00054ED5">
              <w:rPr>
                <w:rFonts w:ascii="Garamond" w:hAnsi="Garamond"/>
                <w:b/>
                <w:color w:val="000000" w:themeColor="text1"/>
                <w:sz w:val="22"/>
                <w:szCs w:val="22"/>
              </w:rPr>
              <w:t>Means to gain symbolic power</w:t>
            </w:r>
          </w:p>
        </w:tc>
        <w:tc>
          <w:tcPr>
            <w:tcW w:w="684" w:type="pct"/>
            <w:shd w:val="clear" w:color="auto" w:fill="F5F4F4" w:themeFill="background2" w:themeFillTint="66"/>
            <w:vAlign w:val="center"/>
          </w:tcPr>
          <w:p w14:paraId="19982901" w14:textId="77777777" w:rsidR="00C43579" w:rsidRPr="00054ED5" w:rsidRDefault="00C43579" w:rsidP="00DD5500">
            <w:pPr>
              <w:spacing w:line="360" w:lineRule="auto"/>
              <w:rPr>
                <w:rFonts w:ascii="Garamond" w:hAnsi="Garamond"/>
                <w:b/>
                <w:color w:val="000000" w:themeColor="text1"/>
                <w:sz w:val="22"/>
                <w:szCs w:val="22"/>
              </w:rPr>
            </w:pPr>
            <w:r w:rsidRPr="00054ED5">
              <w:rPr>
                <w:rFonts w:ascii="Garamond" w:hAnsi="Garamond"/>
                <w:b/>
                <w:color w:val="000000" w:themeColor="text1"/>
                <w:sz w:val="22"/>
                <w:szCs w:val="22"/>
              </w:rPr>
              <w:t>Affordance</w:t>
            </w:r>
          </w:p>
        </w:tc>
      </w:tr>
      <w:tr w:rsidR="00C43579" w:rsidRPr="00182E07" w14:paraId="7A865507" w14:textId="77777777" w:rsidTr="00DD5500">
        <w:trPr>
          <w:trHeight w:val="200"/>
        </w:trPr>
        <w:tc>
          <w:tcPr>
            <w:tcW w:w="609" w:type="pct"/>
            <w:vAlign w:val="center"/>
          </w:tcPr>
          <w:p w14:paraId="5CF90DB5"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Scholarly</w:t>
            </w:r>
          </w:p>
        </w:tc>
        <w:tc>
          <w:tcPr>
            <w:tcW w:w="1320" w:type="pct"/>
          </w:tcPr>
          <w:p w14:paraId="598FBD15"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sz w:val="22"/>
                <w:szCs w:val="22"/>
                <w:lang w:val="en-US"/>
              </w:rPr>
              <w:t>Advancing knowledge</w:t>
            </w:r>
          </w:p>
        </w:tc>
        <w:tc>
          <w:tcPr>
            <w:tcW w:w="2386" w:type="pct"/>
            <w:vAlign w:val="center"/>
          </w:tcPr>
          <w:p w14:paraId="7A55B0C8" w14:textId="77777777" w:rsidR="00C43579" w:rsidRPr="00182E07" w:rsidRDefault="00C43579" w:rsidP="00DD5500">
            <w:pPr>
              <w:spacing w:line="360" w:lineRule="auto"/>
              <w:rPr>
                <w:rFonts w:ascii="Garamond" w:hAnsi="Garamond"/>
                <w:color w:val="000000" w:themeColor="text1"/>
                <w:sz w:val="22"/>
                <w:szCs w:val="22"/>
              </w:rPr>
            </w:pPr>
            <w:r w:rsidRPr="00182E07">
              <w:rPr>
                <w:rFonts w:ascii="Garamond" w:hAnsi="Garamond"/>
                <w:sz w:val="22"/>
                <w:szCs w:val="22"/>
                <w:lang w:val="en-US"/>
              </w:rPr>
              <w:t>Proficiency in academic language and conventions</w:t>
            </w:r>
          </w:p>
        </w:tc>
        <w:tc>
          <w:tcPr>
            <w:tcW w:w="684" w:type="pct"/>
            <w:vAlign w:val="center"/>
          </w:tcPr>
          <w:p w14:paraId="446BE6E9"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Credibility</w:t>
            </w:r>
          </w:p>
        </w:tc>
      </w:tr>
      <w:tr w:rsidR="00C43579" w:rsidRPr="00182E07" w14:paraId="1A2644A0" w14:textId="77777777" w:rsidTr="00DD5500">
        <w:trPr>
          <w:trHeight w:val="200"/>
        </w:trPr>
        <w:tc>
          <w:tcPr>
            <w:tcW w:w="609" w:type="pct"/>
            <w:vAlign w:val="center"/>
          </w:tcPr>
          <w:p w14:paraId="0E78EC53"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Politics</w:t>
            </w:r>
          </w:p>
        </w:tc>
        <w:tc>
          <w:tcPr>
            <w:tcW w:w="1320" w:type="pct"/>
          </w:tcPr>
          <w:p w14:paraId="500EEC84"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sz w:val="22"/>
                <w:szCs w:val="22"/>
                <w:lang w:val="en-US"/>
              </w:rPr>
              <w:t>Changing policy and governance</w:t>
            </w:r>
          </w:p>
        </w:tc>
        <w:tc>
          <w:tcPr>
            <w:tcW w:w="2386" w:type="pct"/>
            <w:vAlign w:val="center"/>
          </w:tcPr>
          <w:p w14:paraId="67945EEA" w14:textId="77777777" w:rsidR="00C43579" w:rsidRPr="00182E07" w:rsidRDefault="00C43579" w:rsidP="00DD5500">
            <w:pPr>
              <w:spacing w:line="360" w:lineRule="auto"/>
              <w:rPr>
                <w:rFonts w:ascii="Garamond" w:hAnsi="Garamond"/>
                <w:color w:val="000000" w:themeColor="text1"/>
                <w:sz w:val="22"/>
                <w:szCs w:val="22"/>
              </w:rPr>
            </w:pPr>
            <w:r w:rsidRPr="00182E07">
              <w:rPr>
                <w:rFonts w:ascii="Garamond" w:hAnsi="Garamond"/>
                <w:sz w:val="22"/>
                <w:szCs w:val="22"/>
                <w:lang w:val="en-US"/>
              </w:rPr>
              <w:t>Language and skills to influence political, policy and governance actors</w:t>
            </w:r>
          </w:p>
        </w:tc>
        <w:tc>
          <w:tcPr>
            <w:tcW w:w="684" w:type="pct"/>
            <w:vAlign w:val="center"/>
          </w:tcPr>
          <w:p w14:paraId="420A247A" w14:textId="77777777" w:rsidR="00C43579" w:rsidRPr="00182E07" w:rsidRDefault="00C43579" w:rsidP="00DD5500">
            <w:pPr>
              <w:spacing w:line="360" w:lineRule="auto"/>
              <w:rPr>
                <w:rFonts w:ascii="Garamond" w:hAnsi="Garamond"/>
                <w:sz w:val="22"/>
                <w:szCs w:val="22"/>
                <w:lang w:val="en-US"/>
              </w:rPr>
            </w:pPr>
            <w:r>
              <w:rPr>
                <w:rFonts w:ascii="Garamond" w:hAnsi="Garamond"/>
                <w:color w:val="000000" w:themeColor="text1"/>
                <w:sz w:val="22"/>
                <w:szCs w:val="22"/>
              </w:rPr>
              <w:t>Authority</w:t>
            </w:r>
          </w:p>
        </w:tc>
      </w:tr>
      <w:tr w:rsidR="00C43579" w:rsidRPr="00182E07" w14:paraId="707B85C6" w14:textId="77777777" w:rsidTr="00DD5500">
        <w:trPr>
          <w:trHeight w:val="214"/>
        </w:trPr>
        <w:tc>
          <w:tcPr>
            <w:tcW w:w="609" w:type="pct"/>
            <w:vAlign w:val="center"/>
          </w:tcPr>
          <w:p w14:paraId="49235B9B"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Application</w:t>
            </w:r>
          </w:p>
        </w:tc>
        <w:tc>
          <w:tcPr>
            <w:tcW w:w="1320" w:type="pct"/>
          </w:tcPr>
          <w:p w14:paraId="6C7E2CF6"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sz w:val="22"/>
                <w:szCs w:val="22"/>
                <w:lang w:val="en-US"/>
              </w:rPr>
              <w:t>Changing processes and practices</w:t>
            </w:r>
          </w:p>
        </w:tc>
        <w:tc>
          <w:tcPr>
            <w:tcW w:w="2386" w:type="pct"/>
            <w:vAlign w:val="center"/>
          </w:tcPr>
          <w:p w14:paraId="3F8FC989" w14:textId="77777777" w:rsidR="00C43579" w:rsidRPr="00182E07" w:rsidRDefault="00C43579" w:rsidP="00DD5500">
            <w:pPr>
              <w:spacing w:line="360" w:lineRule="auto"/>
              <w:rPr>
                <w:rFonts w:ascii="Garamond" w:hAnsi="Garamond"/>
                <w:color w:val="000000" w:themeColor="text1"/>
                <w:sz w:val="22"/>
                <w:szCs w:val="22"/>
              </w:rPr>
            </w:pPr>
            <w:r w:rsidRPr="00182E07">
              <w:rPr>
                <w:rFonts w:ascii="Garamond" w:hAnsi="Garamond"/>
                <w:sz w:val="22"/>
                <w:szCs w:val="22"/>
                <w:lang w:val="en-US"/>
              </w:rPr>
              <w:t>Language and skills to influence practitioners, processes and practices</w:t>
            </w:r>
          </w:p>
        </w:tc>
        <w:tc>
          <w:tcPr>
            <w:tcW w:w="684" w:type="pct"/>
            <w:vAlign w:val="center"/>
          </w:tcPr>
          <w:p w14:paraId="0A336377"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Utility</w:t>
            </w:r>
          </w:p>
        </w:tc>
      </w:tr>
      <w:tr w:rsidR="00C43579" w:rsidRPr="00182E07" w14:paraId="5F279732" w14:textId="77777777" w:rsidTr="00DD5500">
        <w:trPr>
          <w:trHeight w:val="214"/>
        </w:trPr>
        <w:tc>
          <w:tcPr>
            <w:tcW w:w="609" w:type="pct"/>
            <w:vAlign w:val="center"/>
          </w:tcPr>
          <w:p w14:paraId="4DC7E9F3"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Media</w:t>
            </w:r>
          </w:p>
        </w:tc>
        <w:tc>
          <w:tcPr>
            <w:tcW w:w="1320" w:type="pct"/>
          </w:tcPr>
          <w:p w14:paraId="0966F436"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sz w:val="22"/>
                <w:szCs w:val="22"/>
                <w:lang w:val="en-US"/>
              </w:rPr>
              <w:t>Changing public debate and perception</w:t>
            </w:r>
          </w:p>
        </w:tc>
        <w:tc>
          <w:tcPr>
            <w:tcW w:w="2386" w:type="pct"/>
            <w:vAlign w:val="center"/>
          </w:tcPr>
          <w:p w14:paraId="4DB3626E" w14:textId="77777777" w:rsidR="00C43579" w:rsidRPr="00182E07" w:rsidRDefault="00C43579" w:rsidP="00DD5500">
            <w:pPr>
              <w:spacing w:line="360" w:lineRule="auto"/>
              <w:rPr>
                <w:rFonts w:ascii="Garamond" w:hAnsi="Garamond"/>
                <w:color w:val="000000" w:themeColor="text1"/>
                <w:sz w:val="22"/>
                <w:szCs w:val="22"/>
              </w:rPr>
            </w:pPr>
            <w:r w:rsidRPr="00182E07">
              <w:rPr>
                <w:rFonts w:ascii="Garamond" w:hAnsi="Garamond"/>
                <w:sz w:val="22"/>
                <w:szCs w:val="22"/>
                <w:lang w:val="en-US"/>
              </w:rPr>
              <w:t>Skills and technology to harness publicity and media coverage</w:t>
            </w:r>
          </w:p>
        </w:tc>
        <w:tc>
          <w:tcPr>
            <w:tcW w:w="684" w:type="pct"/>
            <w:vAlign w:val="center"/>
          </w:tcPr>
          <w:p w14:paraId="75D3F33E"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Visibility</w:t>
            </w:r>
          </w:p>
        </w:tc>
      </w:tr>
      <w:tr w:rsidR="00C43579" w:rsidRPr="00182E07" w14:paraId="6F978A5E" w14:textId="77777777" w:rsidTr="00DD5500">
        <w:trPr>
          <w:trHeight w:val="200"/>
        </w:trPr>
        <w:tc>
          <w:tcPr>
            <w:tcW w:w="609" w:type="pct"/>
            <w:vAlign w:val="center"/>
          </w:tcPr>
          <w:p w14:paraId="0CE034CE"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color w:val="000000" w:themeColor="text1"/>
                <w:sz w:val="22"/>
                <w:szCs w:val="22"/>
              </w:rPr>
              <w:t>Economic</w:t>
            </w:r>
          </w:p>
        </w:tc>
        <w:tc>
          <w:tcPr>
            <w:tcW w:w="1320" w:type="pct"/>
          </w:tcPr>
          <w:p w14:paraId="10567BEF" w14:textId="77777777" w:rsidR="00C43579" w:rsidRPr="00182E07" w:rsidRDefault="00C43579" w:rsidP="00DD5500">
            <w:pPr>
              <w:spacing w:line="360" w:lineRule="auto"/>
              <w:rPr>
                <w:rFonts w:ascii="Garamond" w:hAnsi="Garamond"/>
                <w:sz w:val="22"/>
                <w:szCs w:val="22"/>
                <w:lang w:val="en-US"/>
              </w:rPr>
            </w:pPr>
            <w:r w:rsidRPr="00182E07">
              <w:rPr>
                <w:rFonts w:ascii="Garamond" w:hAnsi="Garamond"/>
                <w:sz w:val="22"/>
                <w:szCs w:val="22"/>
                <w:lang w:val="en-US"/>
              </w:rPr>
              <w:t>Economic changes</w:t>
            </w:r>
          </w:p>
        </w:tc>
        <w:tc>
          <w:tcPr>
            <w:tcW w:w="2386" w:type="pct"/>
            <w:vAlign w:val="center"/>
          </w:tcPr>
          <w:p w14:paraId="60DD4309" w14:textId="77777777" w:rsidR="00C43579" w:rsidRPr="00182E07" w:rsidRDefault="00C43579" w:rsidP="00DD5500">
            <w:pPr>
              <w:spacing w:line="360" w:lineRule="auto"/>
              <w:rPr>
                <w:rFonts w:ascii="Garamond" w:hAnsi="Garamond"/>
                <w:color w:val="000000" w:themeColor="text1"/>
                <w:sz w:val="22"/>
                <w:szCs w:val="22"/>
              </w:rPr>
            </w:pPr>
            <w:r w:rsidRPr="00182E07">
              <w:rPr>
                <w:rFonts w:ascii="Garamond" w:hAnsi="Garamond"/>
                <w:sz w:val="22"/>
                <w:szCs w:val="22"/>
                <w:lang w:val="en-US"/>
              </w:rPr>
              <w:t>Proficiency in gaining and generating scarce resources</w:t>
            </w:r>
          </w:p>
        </w:tc>
        <w:tc>
          <w:tcPr>
            <w:tcW w:w="684" w:type="pct"/>
            <w:vAlign w:val="center"/>
          </w:tcPr>
          <w:p w14:paraId="2361877D" w14:textId="77777777" w:rsidR="00C43579" w:rsidRPr="00182E07" w:rsidRDefault="00C43579" w:rsidP="00DD5500">
            <w:pPr>
              <w:spacing w:line="360" w:lineRule="auto"/>
              <w:rPr>
                <w:rFonts w:ascii="Garamond" w:hAnsi="Garamond"/>
                <w:sz w:val="22"/>
                <w:szCs w:val="22"/>
                <w:lang w:val="en-US"/>
              </w:rPr>
            </w:pPr>
            <w:r>
              <w:rPr>
                <w:rFonts w:ascii="Garamond" w:hAnsi="Garamond"/>
                <w:color w:val="000000" w:themeColor="text1"/>
                <w:sz w:val="22"/>
                <w:szCs w:val="22"/>
              </w:rPr>
              <w:t>Weight</w:t>
            </w:r>
          </w:p>
        </w:tc>
      </w:tr>
    </w:tbl>
    <w:p w14:paraId="23A42EB0" w14:textId="77777777" w:rsidR="00C43579" w:rsidRDefault="00C43579" w:rsidP="00C43579">
      <w:pPr>
        <w:rPr>
          <w:rFonts w:ascii="Garamond" w:hAnsi="Garamond"/>
          <w:i/>
          <w:sz w:val="22"/>
          <w:szCs w:val="22"/>
        </w:rPr>
        <w:sectPr w:rsidR="00C43579" w:rsidSect="00082236">
          <w:pgSz w:w="16840" w:h="11900" w:orient="landscape"/>
          <w:pgMar w:top="1440" w:right="1440" w:bottom="1440" w:left="1440" w:header="709" w:footer="709" w:gutter="0"/>
          <w:cols w:space="708"/>
          <w:docGrid w:linePitch="360"/>
        </w:sectPr>
      </w:pPr>
    </w:p>
    <w:p w14:paraId="6C9FD733" w14:textId="77777777" w:rsidR="00C43579" w:rsidRPr="00182E07" w:rsidRDefault="00C43579" w:rsidP="00C43579">
      <w:pPr>
        <w:rPr>
          <w:rFonts w:ascii="Garamond" w:hAnsi="Garamond"/>
          <w:i/>
          <w:sz w:val="22"/>
          <w:szCs w:val="22"/>
        </w:rPr>
      </w:pPr>
      <w:r w:rsidRPr="00182E07">
        <w:rPr>
          <w:rFonts w:ascii="Garamond" w:hAnsi="Garamond"/>
          <w:i/>
          <w:sz w:val="22"/>
          <w:szCs w:val="22"/>
        </w:rPr>
        <w:lastRenderedPageBreak/>
        <w:t xml:space="preserve">Table 3. </w:t>
      </w:r>
      <w:r>
        <w:rPr>
          <w:rFonts w:ascii="Garamond" w:hAnsi="Garamond"/>
          <w:i/>
          <w:sz w:val="22"/>
          <w:szCs w:val="22"/>
        </w:rPr>
        <w:t>C</w:t>
      </w:r>
      <w:r w:rsidRPr="00182E07">
        <w:rPr>
          <w:rFonts w:ascii="Garamond" w:hAnsi="Garamond"/>
          <w:i/>
          <w:sz w:val="22"/>
          <w:szCs w:val="22"/>
        </w:rPr>
        <w:t>omponents of research production and evaluation by stage and potential steering effects</w:t>
      </w:r>
    </w:p>
    <w:p w14:paraId="4B0FA162" w14:textId="77777777" w:rsidR="00C43579" w:rsidRPr="00182E07" w:rsidRDefault="00C43579" w:rsidP="00C43579">
      <w:pPr>
        <w:rPr>
          <w:rFonts w:ascii="Garamond" w:hAnsi="Garamond"/>
          <w:sz w:val="22"/>
          <w:szCs w:val="22"/>
        </w:rPr>
      </w:pPr>
    </w:p>
    <w:tbl>
      <w:tblPr>
        <w:tblW w:w="14601" w:type="dxa"/>
        <w:tblLook w:val="04A0" w:firstRow="1" w:lastRow="0" w:firstColumn="1" w:lastColumn="0" w:noHBand="0" w:noVBand="1"/>
      </w:tblPr>
      <w:tblGrid>
        <w:gridCol w:w="1211"/>
        <w:gridCol w:w="1430"/>
        <w:gridCol w:w="1612"/>
        <w:gridCol w:w="2568"/>
        <w:gridCol w:w="4717"/>
        <w:gridCol w:w="3063"/>
      </w:tblGrid>
      <w:tr w:rsidR="00C43579" w:rsidRPr="00182E07" w14:paraId="65428B32" w14:textId="77777777" w:rsidTr="00DD5500">
        <w:trPr>
          <w:trHeight w:val="328"/>
        </w:trPr>
        <w:tc>
          <w:tcPr>
            <w:tcW w:w="1211" w:type="dxa"/>
            <w:tcBorders>
              <w:top w:val="dashSmallGap" w:sz="4" w:space="0" w:color="auto"/>
              <w:left w:val="nil"/>
              <w:bottom w:val="dotted" w:sz="4" w:space="0" w:color="000000"/>
              <w:right w:val="nil"/>
            </w:tcBorders>
            <w:shd w:val="clear" w:color="auto" w:fill="auto"/>
            <w:vAlign w:val="center"/>
            <w:hideMark/>
          </w:tcPr>
          <w:p w14:paraId="31AF0F22" w14:textId="77777777" w:rsidR="00C43579" w:rsidRPr="00242DD5" w:rsidRDefault="00C43579" w:rsidP="00DD5500">
            <w:pPr>
              <w:contextualSpacing/>
              <w:rPr>
                <w:rFonts w:ascii="Garamond" w:hAnsi="Garamond" w:cs="Calibri"/>
                <w:b/>
                <w:bCs/>
                <w:color w:val="000000"/>
                <w:sz w:val="22"/>
                <w:szCs w:val="22"/>
              </w:rPr>
            </w:pPr>
            <w:r w:rsidRPr="00242DD5">
              <w:rPr>
                <w:rFonts w:ascii="Garamond" w:hAnsi="Garamond" w:cs="Calibri"/>
                <w:b/>
                <w:bCs/>
                <w:color w:val="000000"/>
                <w:sz w:val="22"/>
                <w:szCs w:val="22"/>
              </w:rPr>
              <w:t>Field</w:t>
            </w:r>
          </w:p>
        </w:tc>
        <w:tc>
          <w:tcPr>
            <w:tcW w:w="1430" w:type="dxa"/>
            <w:tcBorders>
              <w:top w:val="dashSmallGap" w:sz="4" w:space="0" w:color="auto"/>
              <w:left w:val="nil"/>
              <w:bottom w:val="dotted" w:sz="4" w:space="0" w:color="000000"/>
              <w:right w:val="nil"/>
            </w:tcBorders>
            <w:shd w:val="clear" w:color="auto" w:fill="auto"/>
            <w:vAlign w:val="center"/>
            <w:hideMark/>
          </w:tcPr>
          <w:p w14:paraId="23E45FB9" w14:textId="77777777" w:rsidR="00C43579" w:rsidRPr="00242DD5" w:rsidRDefault="00C43579" w:rsidP="00DD5500">
            <w:pPr>
              <w:contextualSpacing/>
              <w:rPr>
                <w:rFonts w:ascii="Garamond" w:hAnsi="Garamond" w:cs="Calibri"/>
                <w:b/>
                <w:bCs/>
                <w:color w:val="000000"/>
                <w:sz w:val="22"/>
                <w:szCs w:val="22"/>
              </w:rPr>
            </w:pPr>
            <w:r w:rsidRPr="00242DD5">
              <w:rPr>
                <w:rFonts w:ascii="Garamond" w:hAnsi="Garamond" w:cs="Calibri"/>
                <w:b/>
                <w:bCs/>
                <w:color w:val="000000"/>
                <w:sz w:val="22"/>
                <w:szCs w:val="22"/>
              </w:rPr>
              <w:t>Affordance</w:t>
            </w:r>
          </w:p>
        </w:tc>
        <w:tc>
          <w:tcPr>
            <w:tcW w:w="1612" w:type="dxa"/>
            <w:tcBorders>
              <w:top w:val="dashSmallGap" w:sz="4" w:space="0" w:color="auto"/>
              <w:left w:val="nil"/>
              <w:bottom w:val="dotted" w:sz="4" w:space="0" w:color="000000"/>
              <w:right w:val="nil"/>
            </w:tcBorders>
            <w:vAlign w:val="center"/>
          </w:tcPr>
          <w:p w14:paraId="0B3903EB" w14:textId="77777777" w:rsidR="00C43579" w:rsidRPr="00DF575F" w:rsidRDefault="00C43579" w:rsidP="00DD5500">
            <w:pPr>
              <w:contextualSpacing/>
              <w:rPr>
                <w:rFonts w:ascii="Garamond" w:hAnsi="Garamond" w:cs="Calibri"/>
                <w:b/>
                <w:bCs/>
                <w:color w:val="000000"/>
                <w:sz w:val="22"/>
                <w:szCs w:val="22"/>
              </w:rPr>
            </w:pPr>
            <w:r w:rsidRPr="00DF575F">
              <w:rPr>
                <w:rFonts w:ascii="Garamond" w:hAnsi="Garamond" w:cs="Calibri"/>
                <w:b/>
                <w:bCs/>
                <w:color w:val="000000"/>
                <w:sz w:val="22"/>
                <w:szCs w:val="22"/>
              </w:rPr>
              <w:t>Timeline</w:t>
            </w:r>
          </w:p>
        </w:tc>
        <w:tc>
          <w:tcPr>
            <w:tcW w:w="2568" w:type="dxa"/>
            <w:tcBorders>
              <w:top w:val="dashSmallGap" w:sz="4" w:space="0" w:color="auto"/>
              <w:left w:val="nil"/>
              <w:bottom w:val="dotted" w:sz="4" w:space="0" w:color="000000"/>
              <w:right w:val="nil"/>
            </w:tcBorders>
            <w:shd w:val="clear" w:color="auto" w:fill="auto"/>
            <w:vAlign w:val="center"/>
            <w:hideMark/>
          </w:tcPr>
          <w:p w14:paraId="2557FB54" w14:textId="77777777" w:rsidR="00C43579" w:rsidRPr="00242DD5" w:rsidRDefault="00C43579" w:rsidP="00DD5500">
            <w:pPr>
              <w:contextualSpacing/>
              <w:rPr>
                <w:rFonts w:ascii="Garamond" w:hAnsi="Garamond" w:cs="Calibri"/>
                <w:b/>
                <w:bCs/>
                <w:color w:val="000000"/>
                <w:sz w:val="22"/>
                <w:szCs w:val="22"/>
              </w:rPr>
            </w:pPr>
            <w:r>
              <w:rPr>
                <w:rFonts w:ascii="Garamond" w:hAnsi="Garamond" w:cs="Calibri"/>
                <w:b/>
                <w:bCs/>
                <w:color w:val="000000"/>
                <w:sz w:val="22"/>
                <w:szCs w:val="22"/>
              </w:rPr>
              <w:t>Element</w:t>
            </w:r>
          </w:p>
        </w:tc>
        <w:tc>
          <w:tcPr>
            <w:tcW w:w="4717" w:type="dxa"/>
            <w:tcBorders>
              <w:top w:val="dashSmallGap" w:sz="4" w:space="0" w:color="auto"/>
              <w:left w:val="nil"/>
              <w:bottom w:val="dotted" w:sz="4" w:space="0" w:color="000000"/>
              <w:right w:val="nil"/>
            </w:tcBorders>
            <w:shd w:val="clear" w:color="auto" w:fill="auto"/>
            <w:vAlign w:val="center"/>
            <w:hideMark/>
          </w:tcPr>
          <w:p w14:paraId="3B519EC1" w14:textId="77777777" w:rsidR="00C43579" w:rsidRPr="00242DD5" w:rsidRDefault="00C43579" w:rsidP="00DD5500">
            <w:pPr>
              <w:contextualSpacing/>
              <w:rPr>
                <w:rFonts w:ascii="Garamond" w:hAnsi="Garamond" w:cs="Calibri"/>
                <w:b/>
                <w:bCs/>
                <w:color w:val="000000"/>
                <w:sz w:val="22"/>
                <w:szCs w:val="22"/>
              </w:rPr>
            </w:pPr>
            <w:r>
              <w:rPr>
                <w:rFonts w:ascii="Garamond" w:hAnsi="Garamond" w:cs="Calibri"/>
                <w:b/>
                <w:bCs/>
                <w:color w:val="000000"/>
                <w:sz w:val="22"/>
                <w:szCs w:val="22"/>
              </w:rPr>
              <w:t>C</w:t>
            </w:r>
            <w:r w:rsidRPr="00242DD5">
              <w:rPr>
                <w:rFonts w:ascii="Garamond" w:hAnsi="Garamond" w:cs="Calibri"/>
                <w:b/>
                <w:bCs/>
                <w:color w:val="000000"/>
                <w:sz w:val="22"/>
                <w:szCs w:val="22"/>
              </w:rPr>
              <w:t>omponent</w:t>
            </w:r>
            <w:r>
              <w:rPr>
                <w:rFonts w:ascii="Garamond" w:hAnsi="Garamond" w:cs="Calibri"/>
                <w:b/>
                <w:bCs/>
                <w:color w:val="000000"/>
                <w:sz w:val="22"/>
                <w:szCs w:val="22"/>
              </w:rPr>
              <w:t>s</w:t>
            </w:r>
          </w:p>
        </w:tc>
        <w:tc>
          <w:tcPr>
            <w:tcW w:w="3063" w:type="dxa"/>
            <w:tcBorders>
              <w:top w:val="dashSmallGap" w:sz="4" w:space="0" w:color="auto"/>
              <w:left w:val="nil"/>
              <w:bottom w:val="dotted" w:sz="4" w:space="0" w:color="000000"/>
              <w:right w:val="nil"/>
            </w:tcBorders>
            <w:shd w:val="clear" w:color="auto" w:fill="auto"/>
            <w:vAlign w:val="center"/>
            <w:hideMark/>
          </w:tcPr>
          <w:p w14:paraId="454438C4" w14:textId="77777777" w:rsidR="00C43579" w:rsidRPr="00242DD5" w:rsidRDefault="00C43579" w:rsidP="00DD5500">
            <w:pPr>
              <w:contextualSpacing/>
              <w:rPr>
                <w:rFonts w:ascii="Garamond" w:hAnsi="Garamond" w:cs="Calibri"/>
                <w:b/>
                <w:bCs/>
                <w:color w:val="000000"/>
                <w:sz w:val="22"/>
                <w:szCs w:val="22"/>
              </w:rPr>
            </w:pPr>
            <w:r>
              <w:rPr>
                <w:rFonts w:ascii="Garamond" w:hAnsi="Garamond" w:cs="Calibri"/>
                <w:b/>
                <w:bCs/>
                <w:color w:val="000000"/>
                <w:sz w:val="22"/>
                <w:szCs w:val="22"/>
              </w:rPr>
              <w:t>Mode of steering</w:t>
            </w:r>
          </w:p>
        </w:tc>
      </w:tr>
      <w:tr w:rsidR="00C43579" w:rsidRPr="00182E07" w14:paraId="1CE1C84F" w14:textId="77777777" w:rsidTr="00DD5500">
        <w:trPr>
          <w:trHeight w:val="328"/>
        </w:trPr>
        <w:tc>
          <w:tcPr>
            <w:tcW w:w="1211" w:type="dxa"/>
            <w:vMerge w:val="restart"/>
            <w:tcBorders>
              <w:top w:val="dotted" w:sz="4" w:space="0" w:color="000000"/>
              <w:left w:val="nil"/>
              <w:right w:val="nil"/>
            </w:tcBorders>
            <w:shd w:val="clear" w:color="auto" w:fill="auto"/>
            <w:vAlign w:val="center"/>
          </w:tcPr>
          <w:p w14:paraId="44E2EEC1"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Scholarly</w:t>
            </w:r>
          </w:p>
        </w:tc>
        <w:tc>
          <w:tcPr>
            <w:tcW w:w="1430" w:type="dxa"/>
            <w:vMerge w:val="restart"/>
            <w:tcBorders>
              <w:top w:val="dotted" w:sz="4" w:space="0" w:color="000000"/>
              <w:left w:val="nil"/>
              <w:right w:val="nil"/>
            </w:tcBorders>
            <w:shd w:val="clear" w:color="auto" w:fill="auto"/>
            <w:vAlign w:val="center"/>
          </w:tcPr>
          <w:p w14:paraId="50EE4A0A"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Credibility</w:t>
            </w:r>
          </w:p>
        </w:tc>
        <w:tc>
          <w:tcPr>
            <w:tcW w:w="1612" w:type="dxa"/>
            <w:tcBorders>
              <w:top w:val="dotted" w:sz="4" w:space="0" w:color="000000"/>
              <w:left w:val="nil"/>
              <w:right w:val="nil"/>
            </w:tcBorders>
            <w:vAlign w:val="center"/>
          </w:tcPr>
          <w:p w14:paraId="609B38FF"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Design</w:t>
            </w:r>
          </w:p>
        </w:tc>
        <w:tc>
          <w:tcPr>
            <w:tcW w:w="2568" w:type="dxa"/>
            <w:tcBorders>
              <w:top w:val="dotted" w:sz="4" w:space="0" w:color="000000"/>
              <w:left w:val="nil"/>
              <w:bottom w:val="nil"/>
              <w:right w:val="nil"/>
            </w:tcBorders>
            <w:shd w:val="clear" w:color="auto" w:fill="auto"/>
            <w:vAlign w:val="center"/>
          </w:tcPr>
          <w:p w14:paraId="3DE686E6"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Aim</w:t>
            </w:r>
          </w:p>
        </w:tc>
        <w:tc>
          <w:tcPr>
            <w:tcW w:w="4717" w:type="dxa"/>
            <w:tcBorders>
              <w:top w:val="dotted" w:sz="4" w:space="0" w:color="000000"/>
              <w:left w:val="nil"/>
              <w:bottom w:val="nil"/>
              <w:right w:val="nil"/>
            </w:tcBorders>
            <w:shd w:val="clear" w:color="auto" w:fill="auto"/>
            <w:vAlign w:val="center"/>
          </w:tcPr>
          <w:p w14:paraId="4FD1ED7C"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Produce research that a</w:t>
            </w:r>
            <w:r w:rsidRPr="00242DD5">
              <w:rPr>
                <w:rFonts w:ascii="Garamond" w:hAnsi="Garamond" w:cs="Calibri"/>
                <w:color w:val="000000"/>
                <w:sz w:val="22"/>
                <w:szCs w:val="22"/>
              </w:rPr>
              <w:t>dvances knowledge</w:t>
            </w:r>
          </w:p>
        </w:tc>
        <w:tc>
          <w:tcPr>
            <w:tcW w:w="3063" w:type="dxa"/>
            <w:tcBorders>
              <w:top w:val="dotted" w:sz="4" w:space="0" w:color="000000"/>
              <w:left w:val="nil"/>
              <w:bottom w:val="nil"/>
              <w:right w:val="nil"/>
            </w:tcBorders>
            <w:shd w:val="clear" w:color="auto" w:fill="auto"/>
            <w:vAlign w:val="center"/>
          </w:tcPr>
          <w:p w14:paraId="43909646"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r</w:t>
            </w:r>
            <w:r w:rsidRPr="00242DD5">
              <w:rPr>
                <w:rFonts w:ascii="Garamond" w:hAnsi="Garamond" w:cs="Calibri"/>
                <w:color w:val="000000"/>
                <w:sz w:val="22"/>
                <w:szCs w:val="22"/>
              </w:rPr>
              <w:t>esearch agenda</w:t>
            </w:r>
          </w:p>
        </w:tc>
      </w:tr>
      <w:tr w:rsidR="00C43579" w:rsidRPr="00182E07" w14:paraId="5F2F1B5E" w14:textId="77777777" w:rsidTr="00DD5500">
        <w:trPr>
          <w:trHeight w:val="328"/>
        </w:trPr>
        <w:tc>
          <w:tcPr>
            <w:tcW w:w="1211" w:type="dxa"/>
            <w:vMerge/>
            <w:tcBorders>
              <w:left w:val="nil"/>
              <w:right w:val="nil"/>
            </w:tcBorders>
            <w:shd w:val="clear" w:color="auto" w:fill="auto"/>
            <w:vAlign w:val="center"/>
          </w:tcPr>
          <w:p w14:paraId="1CCE401D"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2F7E61F7"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val="restart"/>
            <w:tcBorders>
              <w:top w:val="nil"/>
              <w:left w:val="nil"/>
              <w:right w:val="nil"/>
            </w:tcBorders>
            <w:vAlign w:val="center"/>
          </w:tcPr>
          <w:p w14:paraId="1E811ADF"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Production</w:t>
            </w:r>
          </w:p>
        </w:tc>
        <w:tc>
          <w:tcPr>
            <w:tcW w:w="2568" w:type="dxa"/>
            <w:tcBorders>
              <w:top w:val="nil"/>
              <w:left w:val="nil"/>
              <w:bottom w:val="nil"/>
              <w:right w:val="nil"/>
            </w:tcBorders>
            <w:shd w:val="clear" w:color="auto" w:fill="auto"/>
            <w:vAlign w:val="center"/>
          </w:tcPr>
          <w:p w14:paraId="59F0A431"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Outputs</w:t>
            </w:r>
          </w:p>
        </w:tc>
        <w:tc>
          <w:tcPr>
            <w:tcW w:w="4717" w:type="dxa"/>
            <w:tcBorders>
              <w:top w:val="nil"/>
              <w:left w:val="nil"/>
              <w:bottom w:val="nil"/>
              <w:right w:val="nil"/>
            </w:tcBorders>
            <w:shd w:val="clear" w:color="auto" w:fill="auto"/>
            <w:vAlign w:val="center"/>
          </w:tcPr>
          <w:p w14:paraId="7FD7DB11"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Conference presentations and journal articles</w:t>
            </w:r>
            <w:r>
              <w:rPr>
                <w:rFonts w:ascii="Garamond" w:hAnsi="Garamond" w:cs="Calibri"/>
                <w:color w:val="000000"/>
                <w:sz w:val="22"/>
                <w:szCs w:val="22"/>
              </w:rPr>
              <w:t>, specialist blogs</w:t>
            </w:r>
          </w:p>
        </w:tc>
        <w:tc>
          <w:tcPr>
            <w:tcW w:w="3063" w:type="dxa"/>
            <w:tcBorders>
              <w:top w:val="nil"/>
              <w:left w:val="nil"/>
              <w:bottom w:val="nil"/>
              <w:right w:val="nil"/>
            </w:tcBorders>
            <w:shd w:val="clear" w:color="auto" w:fill="auto"/>
            <w:vAlign w:val="center"/>
          </w:tcPr>
          <w:p w14:paraId="16FC1144"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r w:rsidRPr="00242DD5">
              <w:rPr>
                <w:rFonts w:ascii="Garamond" w:hAnsi="Garamond" w:cs="Calibri"/>
                <w:color w:val="000000"/>
                <w:sz w:val="22"/>
                <w:szCs w:val="22"/>
              </w:rPr>
              <w:t xml:space="preserve"> </w:t>
            </w:r>
          </w:p>
        </w:tc>
      </w:tr>
      <w:tr w:rsidR="00C43579" w:rsidRPr="00182E07" w14:paraId="046DA5BA" w14:textId="77777777" w:rsidTr="00DD5500">
        <w:trPr>
          <w:trHeight w:val="328"/>
        </w:trPr>
        <w:tc>
          <w:tcPr>
            <w:tcW w:w="1211" w:type="dxa"/>
            <w:vMerge/>
            <w:tcBorders>
              <w:left w:val="nil"/>
              <w:right w:val="nil"/>
            </w:tcBorders>
            <w:shd w:val="clear" w:color="auto" w:fill="auto"/>
            <w:vAlign w:val="center"/>
          </w:tcPr>
          <w:p w14:paraId="2D39D1CC"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1E324120"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08F91D14"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57DD416F"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Communication</w:t>
            </w:r>
          </w:p>
        </w:tc>
        <w:tc>
          <w:tcPr>
            <w:tcW w:w="4717" w:type="dxa"/>
            <w:tcBorders>
              <w:top w:val="nil"/>
              <w:left w:val="nil"/>
              <w:bottom w:val="nil"/>
              <w:right w:val="nil"/>
            </w:tcBorders>
            <w:shd w:val="clear" w:color="auto" w:fill="auto"/>
            <w:vAlign w:val="center"/>
          </w:tcPr>
          <w:p w14:paraId="5E242FDD"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Invited talks, workshops, seminars</w:t>
            </w:r>
            <w:r>
              <w:rPr>
                <w:rFonts w:ascii="Garamond" w:hAnsi="Garamond" w:cs="Calibri"/>
                <w:color w:val="000000"/>
                <w:sz w:val="22"/>
                <w:szCs w:val="22"/>
              </w:rPr>
              <w:t>, d</w:t>
            </w:r>
            <w:r w:rsidRPr="00242DD5">
              <w:rPr>
                <w:rFonts w:ascii="Garamond" w:hAnsi="Garamond" w:cs="Calibri"/>
                <w:color w:val="000000"/>
                <w:sz w:val="22"/>
                <w:szCs w:val="22"/>
              </w:rPr>
              <w:t xml:space="preserve">issemination via </w:t>
            </w:r>
            <w:r>
              <w:rPr>
                <w:rFonts w:ascii="Garamond" w:hAnsi="Garamond" w:cs="Calibri"/>
                <w:color w:val="000000"/>
                <w:sz w:val="22"/>
                <w:szCs w:val="22"/>
              </w:rPr>
              <w:t xml:space="preserve">social media and networks (e.g. Twitter, </w:t>
            </w:r>
            <w:proofErr w:type="spellStart"/>
            <w:r>
              <w:rPr>
                <w:rFonts w:ascii="Garamond" w:hAnsi="Garamond" w:cs="Calibri"/>
                <w:color w:val="000000"/>
                <w:sz w:val="22"/>
                <w:szCs w:val="22"/>
              </w:rPr>
              <w:t>Mendeley</w:t>
            </w:r>
            <w:proofErr w:type="spellEnd"/>
            <w:r>
              <w:rPr>
                <w:rFonts w:ascii="Garamond" w:hAnsi="Garamond" w:cs="Calibri"/>
                <w:color w:val="000000"/>
                <w:sz w:val="22"/>
                <w:szCs w:val="22"/>
              </w:rPr>
              <w:t>)</w:t>
            </w:r>
          </w:p>
        </w:tc>
        <w:tc>
          <w:tcPr>
            <w:tcW w:w="3063" w:type="dxa"/>
            <w:tcBorders>
              <w:top w:val="nil"/>
              <w:left w:val="nil"/>
              <w:bottom w:val="nil"/>
              <w:right w:val="nil"/>
            </w:tcBorders>
            <w:shd w:val="clear" w:color="auto" w:fill="auto"/>
            <w:vAlign w:val="center"/>
          </w:tcPr>
          <w:p w14:paraId="2D4D2ABF"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3DF314C1" w14:textId="77777777" w:rsidTr="00DD5500">
        <w:trPr>
          <w:trHeight w:val="328"/>
        </w:trPr>
        <w:tc>
          <w:tcPr>
            <w:tcW w:w="1211" w:type="dxa"/>
            <w:vMerge/>
            <w:tcBorders>
              <w:left w:val="nil"/>
              <w:right w:val="nil"/>
            </w:tcBorders>
            <w:shd w:val="clear" w:color="auto" w:fill="auto"/>
            <w:vAlign w:val="center"/>
          </w:tcPr>
          <w:p w14:paraId="7D7B76DB"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048BA8CC"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7CD749AF"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6A32CBE3"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Feedback mechanisms</w:t>
            </w:r>
          </w:p>
        </w:tc>
        <w:tc>
          <w:tcPr>
            <w:tcW w:w="4717" w:type="dxa"/>
            <w:tcBorders>
              <w:top w:val="nil"/>
              <w:left w:val="nil"/>
              <w:bottom w:val="nil"/>
              <w:right w:val="nil"/>
            </w:tcBorders>
            <w:shd w:val="clear" w:color="auto" w:fill="auto"/>
            <w:vAlign w:val="center"/>
          </w:tcPr>
          <w:p w14:paraId="39C4B37C"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Collegial input, peer review feedback</w:t>
            </w:r>
            <w:r>
              <w:rPr>
                <w:rFonts w:ascii="Garamond" w:hAnsi="Garamond" w:cs="Calibri"/>
                <w:color w:val="000000"/>
                <w:sz w:val="22"/>
                <w:szCs w:val="22"/>
              </w:rPr>
              <w:t>, f</w:t>
            </w:r>
            <w:r w:rsidRPr="00242DD5">
              <w:rPr>
                <w:rFonts w:ascii="Garamond" w:hAnsi="Garamond" w:cs="Calibri"/>
                <w:color w:val="000000"/>
                <w:sz w:val="22"/>
                <w:szCs w:val="22"/>
              </w:rPr>
              <w:t>eedback on academic blogs,</w:t>
            </w:r>
            <w:r>
              <w:rPr>
                <w:rFonts w:ascii="Garamond" w:hAnsi="Garamond" w:cs="Calibri"/>
                <w:color w:val="000000"/>
                <w:sz w:val="22"/>
                <w:szCs w:val="22"/>
              </w:rPr>
              <w:t xml:space="preserve"> social networks</w:t>
            </w:r>
          </w:p>
        </w:tc>
        <w:tc>
          <w:tcPr>
            <w:tcW w:w="3063" w:type="dxa"/>
            <w:tcBorders>
              <w:top w:val="nil"/>
              <w:left w:val="nil"/>
              <w:bottom w:val="nil"/>
              <w:right w:val="nil"/>
            </w:tcBorders>
            <w:shd w:val="clear" w:color="auto" w:fill="auto"/>
            <w:vAlign w:val="center"/>
          </w:tcPr>
          <w:p w14:paraId="4A2664BA"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3183E07C" w14:textId="77777777" w:rsidTr="00DD5500">
        <w:trPr>
          <w:trHeight w:val="328"/>
        </w:trPr>
        <w:tc>
          <w:tcPr>
            <w:tcW w:w="1211" w:type="dxa"/>
            <w:vMerge/>
            <w:tcBorders>
              <w:left w:val="nil"/>
              <w:right w:val="nil"/>
            </w:tcBorders>
            <w:shd w:val="clear" w:color="auto" w:fill="auto"/>
            <w:vAlign w:val="center"/>
            <w:hideMark/>
          </w:tcPr>
          <w:p w14:paraId="316FFA25"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right w:val="nil"/>
            </w:tcBorders>
            <w:shd w:val="clear" w:color="auto" w:fill="auto"/>
            <w:vAlign w:val="center"/>
            <w:hideMark/>
          </w:tcPr>
          <w:p w14:paraId="2FDC229A" w14:textId="77777777" w:rsidR="00C43579" w:rsidRPr="00242DD5" w:rsidRDefault="00C43579" w:rsidP="00DD5500">
            <w:pPr>
              <w:contextualSpacing/>
              <w:rPr>
                <w:rFonts w:ascii="Garamond" w:hAnsi="Garamond" w:cs="Calibri"/>
                <w:color w:val="000000"/>
                <w:sz w:val="22"/>
                <w:szCs w:val="22"/>
              </w:rPr>
            </w:pPr>
          </w:p>
        </w:tc>
        <w:tc>
          <w:tcPr>
            <w:tcW w:w="1612" w:type="dxa"/>
            <w:vMerge w:val="restart"/>
            <w:tcBorders>
              <w:top w:val="nil"/>
              <w:left w:val="nil"/>
              <w:right w:val="nil"/>
            </w:tcBorders>
            <w:vAlign w:val="center"/>
          </w:tcPr>
          <w:p w14:paraId="2B283A86"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Evaluation</w:t>
            </w:r>
          </w:p>
        </w:tc>
        <w:tc>
          <w:tcPr>
            <w:tcW w:w="2568" w:type="dxa"/>
            <w:tcBorders>
              <w:top w:val="nil"/>
              <w:left w:val="nil"/>
              <w:bottom w:val="nil"/>
              <w:right w:val="nil"/>
            </w:tcBorders>
            <w:shd w:val="clear" w:color="auto" w:fill="auto"/>
            <w:vAlign w:val="center"/>
          </w:tcPr>
          <w:p w14:paraId="4159F295"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Outcome measures</w:t>
            </w:r>
          </w:p>
        </w:tc>
        <w:tc>
          <w:tcPr>
            <w:tcW w:w="4717" w:type="dxa"/>
            <w:tcBorders>
              <w:top w:val="nil"/>
              <w:left w:val="nil"/>
              <w:bottom w:val="nil"/>
              <w:right w:val="nil"/>
            </w:tcBorders>
            <w:shd w:val="clear" w:color="auto" w:fill="auto"/>
            <w:vAlign w:val="center"/>
          </w:tcPr>
          <w:p w14:paraId="32BC180B"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Citations</w:t>
            </w:r>
            <w:r>
              <w:rPr>
                <w:rFonts w:ascii="Garamond" w:hAnsi="Garamond" w:cs="Calibri"/>
                <w:color w:val="000000"/>
                <w:sz w:val="22"/>
                <w:szCs w:val="22"/>
              </w:rPr>
              <w:t>, publication data</w:t>
            </w:r>
            <w:r w:rsidRPr="00242DD5">
              <w:rPr>
                <w:rFonts w:ascii="Garamond" w:hAnsi="Garamond" w:cs="Calibri"/>
                <w:color w:val="000000"/>
                <w:sz w:val="22"/>
                <w:szCs w:val="22"/>
              </w:rPr>
              <w:t xml:space="preserve"> from academic databases (e.g. Scopus, </w:t>
            </w:r>
            <w:proofErr w:type="spellStart"/>
            <w:r w:rsidRPr="00242DD5">
              <w:rPr>
                <w:rFonts w:ascii="Garamond" w:hAnsi="Garamond" w:cs="Calibri"/>
                <w:color w:val="000000"/>
                <w:sz w:val="22"/>
                <w:szCs w:val="22"/>
              </w:rPr>
              <w:t>WoS</w:t>
            </w:r>
            <w:proofErr w:type="spellEnd"/>
            <w:r w:rsidRPr="00242DD5">
              <w:rPr>
                <w:rFonts w:ascii="Garamond" w:hAnsi="Garamond" w:cs="Calibri"/>
                <w:color w:val="000000"/>
                <w:sz w:val="22"/>
                <w:szCs w:val="22"/>
              </w:rPr>
              <w:t>)</w:t>
            </w:r>
            <w:r>
              <w:rPr>
                <w:rFonts w:ascii="Garamond" w:hAnsi="Garamond" w:cs="Calibri"/>
                <w:color w:val="000000"/>
                <w:sz w:val="22"/>
                <w:szCs w:val="22"/>
              </w:rPr>
              <w:t xml:space="preserve"> and google scholar, mentions in academic sources and specialist blogs</w:t>
            </w:r>
            <w:r w:rsidRPr="00242DD5">
              <w:rPr>
                <w:rFonts w:ascii="Garamond" w:hAnsi="Garamond" w:cs="Calibri"/>
                <w:color w:val="000000"/>
                <w:sz w:val="22"/>
                <w:szCs w:val="22"/>
              </w:rPr>
              <w:t xml:space="preserve"> </w:t>
            </w:r>
          </w:p>
        </w:tc>
        <w:tc>
          <w:tcPr>
            <w:tcW w:w="3063" w:type="dxa"/>
            <w:tcBorders>
              <w:top w:val="nil"/>
              <w:left w:val="nil"/>
              <w:bottom w:val="nil"/>
              <w:right w:val="nil"/>
            </w:tcBorders>
            <w:shd w:val="clear" w:color="auto" w:fill="auto"/>
            <w:vAlign w:val="center"/>
          </w:tcPr>
          <w:p w14:paraId="74F336A2"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792AE5C1" w14:textId="77777777" w:rsidTr="00DD5500">
        <w:trPr>
          <w:trHeight w:val="656"/>
        </w:trPr>
        <w:tc>
          <w:tcPr>
            <w:tcW w:w="1211" w:type="dxa"/>
            <w:vMerge/>
            <w:tcBorders>
              <w:left w:val="nil"/>
              <w:bottom w:val="dashSmallGap" w:sz="4" w:space="0" w:color="auto"/>
              <w:right w:val="nil"/>
            </w:tcBorders>
            <w:shd w:val="clear" w:color="auto" w:fill="auto"/>
            <w:vAlign w:val="center"/>
            <w:hideMark/>
          </w:tcPr>
          <w:p w14:paraId="2B47C3CC"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bottom w:val="dashSmallGap" w:sz="4" w:space="0" w:color="auto"/>
              <w:right w:val="nil"/>
            </w:tcBorders>
            <w:shd w:val="clear" w:color="auto" w:fill="auto"/>
            <w:vAlign w:val="center"/>
            <w:hideMark/>
          </w:tcPr>
          <w:p w14:paraId="7B2F3F46" w14:textId="77777777" w:rsidR="00C43579" w:rsidRPr="00242DD5" w:rsidRDefault="00C43579" w:rsidP="00DD5500">
            <w:pPr>
              <w:contextualSpacing/>
              <w:rPr>
                <w:rFonts w:ascii="Garamond" w:hAnsi="Garamond" w:cs="Calibri"/>
                <w:color w:val="000000"/>
                <w:sz w:val="22"/>
                <w:szCs w:val="22"/>
              </w:rPr>
            </w:pPr>
          </w:p>
        </w:tc>
        <w:tc>
          <w:tcPr>
            <w:tcW w:w="1612" w:type="dxa"/>
            <w:vMerge/>
            <w:tcBorders>
              <w:left w:val="nil"/>
              <w:bottom w:val="dashSmallGap" w:sz="4" w:space="0" w:color="auto"/>
              <w:right w:val="nil"/>
            </w:tcBorders>
            <w:vAlign w:val="center"/>
          </w:tcPr>
          <w:p w14:paraId="5E9B5C49"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dashSmallGap" w:sz="4" w:space="0" w:color="auto"/>
              <w:right w:val="nil"/>
            </w:tcBorders>
            <w:shd w:val="clear" w:color="auto" w:fill="auto"/>
            <w:vAlign w:val="center"/>
          </w:tcPr>
          <w:p w14:paraId="0930401A"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Impact assessment</w:t>
            </w:r>
          </w:p>
        </w:tc>
        <w:tc>
          <w:tcPr>
            <w:tcW w:w="4717" w:type="dxa"/>
            <w:tcBorders>
              <w:top w:val="nil"/>
              <w:left w:val="nil"/>
              <w:bottom w:val="dashSmallGap" w:sz="4" w:space="0" w:color="auto"/>
              <w:right w:val="nil"/>
            </w:tcBorders>
            <w:shd w:val="clear" w:color="auto" w:fill="auto"/>
            <w:vAlign w:val="center"/>
          </w:tcPr>
          <w:p w14:paraId="1B17E849"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Literature review, citation analysis</w:t>
            </w:r>
            <w:r>
              <w:rPr>
                <w:rFonts w:ascii="Garamond" w:hAnsi="Garamond" w:cs="Calibri"/>
                <w:color w:val="000000"/>
                <w:sz w:val="22"/>
                <w:szCs w:val="22"/>
              </w:rPr>
              <w:t>, c</w:t>
            </w:r>
            <w:r w:rsidRPr="00242DD5">
              <w:rPr>
                <w:rFonts w:ascii="Garamond" w:hAnsi="Garamond" w:cs="Calibri"/>
                <w:color w:val="000000"/>
                <w:sz w:val="22"/>
                <w:szCs w:val="22"/>
              </w:rPr>
              <w:t>itation networks, science maps</w:t>
            </w:r>
          </w:p>
        </w:tc>
        <w:tc>
          <w:tcPr>
            <w:tcW w:w="3063" w:type="dxa"/>
            <w:tcBorders>
              <w:top w:val="nil"/>
              <w:left w:val="nil"/>
              <w:bottom w:val="dashSmallGap" w:sz="4" w:space="0" w:color="auto"/>
              <w:right w:val="nil"/>
            </w:tcBorders>
            <w:shd w:val="clear" w:color="auto" w:fill="auto"/>
            <w:vAlign w:val="center"/>
          </w:tcPr>
          <w:p w14:paraId="7F36ECE4"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1CE997D4" w14:textId="77777777" w:rsidTr="00DD5500">
        <w:trPr>
          <w:trHeight w:val="328"/>
        </w:trPr>
        <w:tc>
          <w:tcPr>
            <w:tcW w:w="1211" w:type="dxa"/>
            <w:vMerge w:val="restart"/>
            <w:tcBorders>
              <w:top w:val="dashSmallGap" w:sz="4" w:space="0" w:color="auto"/>
              <w:left w:val="nil"/>
              <w:right w:val="nil"/>
            </w:tcBorders>
            <w:shd w:val="clear" w:color="auto" w:fill="auto"/>
            <w:vAlign w:val="center"/>
          </w:tcPr>
          <w:p w14:paraId="7DBD11EC"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Politics</w:t>
            </w:r>
          </w:p>
        </w:tc>
        <w:tc>
          <w:tcPr>
            <w:tcW w:w="1430" w:type="dxa"/>
            <w:vMerge w:val="restart"/>
            <w:tcBorders>
              <w:top w:val="dashSmallGap" w:sz="4" w:space="0" w:color="auto"/>
              <w:left w:val="nil"/>
              <w:right w:val="nil"/>
            </w:tcBorders>
            <w:shd w:val="clear" w:color="auto" w:fill="auto"/>
            <w:vAlign w:val="center"/>
          </w:tcPr>
          <w:p w14:paraId="596591D4" w14:textId="77777777" w:rsidR="00C43579" w:rsidRDefault="00C43579" w:rsidP="00DD5500">
            <w:pPr>
              <w:contextualSpacing/>
              <w:rPr>
                <w:rFonts w:ascii="Garamond" w:hAnsi="Garamond" w:cs="Calibri"/>
                <w:color w:val="000000" w:themeColor="text1"/>
                <w:sz w:val="22"/>
                <w:szCs w:val="22"/>
              </w:rPr>
            </w:pPr>
            <w:r>
              <w:rPr>
                <w:rFonts w:ascii="Garamond" w:hAnsi="Garamond" w:cs="Calibri"/>
                <w:color w:val="000000" w:themeColor="text1"/>
                <w:sz w:val="22"/>
                <w:szCs w:val="22"/>
              </w:rPr>
              <w:t>Authority</w:t>
            </w:r>
          </w:p>
        </w:tc>
        <w:tc>
          <w:tcPr>
            <w:tcW w:w="1612" w:type="dxa"/>
            <w:tcBorders>
              <w:top w:val="dashSmallGap" w:sz="4" w:space="0" w:color="auto"/>
              <w:left w:val="nil"/>
              <w:right w:val="nil"/>
            </w:tcBorders>
            <w:vAlign w:val="center"/>
          </w:tcPr>
          <w:p w14:paraId="28985F0A"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Design</w:t>
            </w:r>
          </w:p>
        </w:tc>
        <w:tc>
          <w:tcPr>
            <w:tcW w:w="2568" w:type="dxa"/>
            <w:tcBorders>
              <w:top w:val="dashSmallGap" w:sz="4" w:space="0" w:color="auto"/>
              <w:left w:val="nil"/>
              <w:bottom w:val="nil"/>
              <w:right w:val="nil"/>
            </w:tcBorders>
            <w:shd w:val="clear" w:color="auto" w:fill="auto"/>
            <w:vAlign w:val="center"/>
          </w:tcPr>
          <w:p w14:paraId="7882C11F"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Aim</w:t>
            </w:r>
          </w:p>
        </w:tc>
        <w:tc>
          <w:tcPr>
            <w:tcW w:w="4717" w:type="dxa"/>
            <w:tcBorders>
              <w:top w:val="dashSmallGap" w:sz="4" w:space="0" w:color="auto"/>
              <w:left w:val="nil"/>
              <w:bottom w:val="nil"/>
              <w:right w:val="nil"/>
            </w:tcBorders>
            <w:shd w:val="clear" w:color="auto" w:fill="auto"/>
            <w:vAlign w:val="center"/>
          </w:tcPr>
          <w:p w14:paraId="4B37AED5"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 xml:space="preserve">Produce research that facilitates public </w:t>
            </w:r>
            <w:r w:rsidRPr="00182E07">
              <w:rPr>
                <w:rFonts w:ascii="Garamond" w:hAnsi="Garamond" w:cs="Calibri"/>
                <w:color w:val="000000"/>
                <w:sz w:val="22"/>
                <w:szCs w:val="22"/>
              </w:rPr>
              <w:t>debate and perception</w:t>
            </w:r>
            <w:r w:rsidRPr="00242DD5">
              <w:rPr>
                <w:rFonts w:ascii="Garamond" w:hAnsi="Garamond" w:cs="Calibri"/>
                <w:color w:val="000000"/>
                <w:sz w:val="22"/>
                <w:szCs w:val="22"/>
              </w:rPr>
              <w:t xml:space="preserve"> in policy </w:t>
            </w:r>
          </w:p>
        </w:tc>
        <w:tc>
          <w:tcPr>
            <w:tcW w:w="3063" w:type="dxa"/>
            <w:tcBorders>
              <w:top w:val="dashSmallGap" w:sz="4" w:space="0" w:color="auto"/>
              <w:left w:val="nil"/>
              <w:bottom w:val="nil"/>
              <w:right w:val="nil"/>
            </w:tcBorders>
            <w:shd w:val="clear" w:color="auto" w:fill="auto"/>
            <w:vAlign w:val="center"/>
          </w:tcPr>
          <w:p w14:paraId="323B02DD"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r</w:t>
            </w:r>
            <w:r w:rsidRPr="00242DD5">
              <w:rPr>
                <w:rFonts w:ascii="Garamond" w:hAnsi="Garamond" w:cs="Calibri"/>
                <w:color w:val="000000"/>
                <w:sz w:val="22"/>
                <w:szCs w:val="22"/>
              </w:rPr>
              <w:t>esearch agenda</w:t>
            </w:r>
          </w:p>
        </w:tc>
      </w:tr>
      <w:tr w:rsidR="00C43579" w:rsidRPr="00182E07" w14:paraId="1C9871E5" w14:textId="77777777" w:rsidTr="00DD5500">
        <w:trPr>
          <w:trHeight w:val="328"/>
        </w:trPr>
        <w:tc>
          <w:tcPr>
            <w:tcW w:w="1211" w:type="dxa"/>
            <w:vMerge/>
            <w:tcBorders>
              <w:left w:val="nil"/>
              <w:right w:val="nil"/>
            </w:tcBorders>
            <w:shd w:val="clear" w:color="auto" w:fill="auto"/>
            <w:vAlign w:val="center"/>
          </w:tcPr>
          <w:p w14:paraId="487254B1"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6527D860" w14:textId="77777777" w:rsidR="00C43579" w:rsidRDefault="00C43579" w:rsidP="00DD5500">
            <w:pPr>
              <w:contextualSpacing/>
              <w:rPr>
                <w:rFonts w:ascii="Garamond" w:hAnsi="Garamond" w:cs="Calibri"/>
                <w:color w:val="000000" w:themeColor="text1"/>
                <w:sz w:val="22"/>
                <w:szCs w:val="22"/>
              </w:rPr>
            </w:pPr>
          </w:p>
        </w:tc>
        <w:tc>
          <w:tcPr>
            <w:tcW w:w="1612" w:type="dxa"/>
            <w:vMerge w:val="restart"/>
            <w:tcBorders>
              <w:top w:val="nil"/>
              <w:left w:val="nil"/>
              <w:right w:val="nil"/>
            </w:tcBorders>
            <w:vAlign w:val="center"/>
          </w:tcPr>
          <w:p w14:paraId="44A4BF0E"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Production</w:t>
            </w:r>
          </w:p>
        </w:tc>
        <w:tc>
          <w:tcPr>
            <w:tcW w:w="2568" w:type="dxa"/>
            <w:tcBorders>
              <w:top w:val="nil"/>
              <w:left w:val="nil"/>
              <w:bottom w:val="nil"/>
              <w:right w:val="nil"/>
            </w:tcBorders>
            <w:shd w:val="clear" w:color="auto" w:fill="auto"/>
            <w:vAlign w:val="center"/>
          </w:tcPr>
          <w:p w14:paraId="7F42504D"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Outputs</w:t>
            </w:r>
          </w:p>
        </w:tc>
        <w:tc>
          <w:tcPr>
            <w:tcW w:w="4717" w:type="dxa"/>
            <w:tcBorders>
              <w:top w:val="nil"/>
              <w:left w:val="nil"/>
              <w:bottom w:val="nil"/>
              <w:right w:val="nil"/>
            </w:tcBorders>
            <w:shd w:val="clear" w:color="auto" w:fill="auto"/>
            <w:vAlign w:val="center"/>
          </w:tcPr>
          <w:p w14:paraId="2E0FA078"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Policy briefs and presentations, working papers</w:t>
            </w:r>
            <w:r>
              <w:rPr>
                <w:rFonts w:ascii="Garamond" w:hAnsi="Garamond" w:cs="Calibri"/>
                <w:color w:val="000000"/>
                <w:sz w:val="22"/>
                <w:szCs w:val="22"/>
              </w:rPr>
              <w:t>,</w:t>
            </w:r>
            <w:r w:rsidRPr="00242DD5">
              <w:rPr>
                <w:rFonts w:ascii="Garamond" w:hAnsi="Garamond" w:cs="Calibri"/>
                <w:color w:val="000000"/>
                <w:sz w:val="22"/>
                <w:szCs w:val="22"/>
              </w:rPr>
              <w:t xml:space="preserve"> policy briefs</w:t>
            </w:r>
          </w:p>
        </w:tc>
        <w:tc>
          <w:tcPr>
            <w:tcW w:w="3063" w:type="dxa"/>
            <w:tcBorders>
              <w:top w:val="nil"/>
              <w:left w:val="nil"/>
              <w:bottom w:val="nil"/>
              <w:right w:val="nil"/>
            </w:tcBorders>
            <w:shd w:val="clear" w:color="auto" w:fill="auto"/>
            <w:vAlign w:val="center"/>
          </w:tcPr>
          <w:p w14:paraId="288BF73C"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r w:rsidRPr="00242DD5">
              <w:rPr>
                <w:rFonts w:ascii="Garamond" w:hAnsi="Garamond" w:cs="Calibri"/>
                <w:color w:val="000000"/>
                <w:sz w:val="22"/>
                <w:szCs w:val="22"/>
              </w:rPr>
              <w:t xml:space="preserve"> </w:t>
            </w:r>
          </w:p>
        </w:tc>
      </w:tr>
      <w:tr w:rsidR="00C43579" w:rsidRPr="00182E07" w14:paraId="6F020608" w14:textId="77777777" w:rsidTr="00DD5500">
        <w:trPr>
          <w:trHeight w:val="328"/>
        </w:trPr>
        <w:tc>
          <w:tcPr>
            <w:tcW w:w="1211" w:type="dxa"/>
            <w:vMerge/>
            <w:tcBorders>
              <w:left w:val="nil"/>
              <w:right w:val="nil"/>
            </w:tcBorders>
            <w:shd w:val="clear" w:color="auto" w:fill="auto"/>
            <w:vAlign w:val="center"/>
          </w:tcPr>
          <w:p w14:paraId="1F562168"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464C43A2" w14:textId="77777777" w:rsidR="00C43579"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76CB882C"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7933F685"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Communication</w:t>
            </w:r>
          </w:p>
        </w:tc>
        <w:tc>
          <w:tcPr>
            <w:tcW w:w="4717" w:type="dxa"/>
            <w:tcBorders>
              <w:top w:val="nil"/>
              <w:left w:val="nil"/>
              <w:bottom w:val="nil"/>
              <w:right w:val="nil"/>
            </w:tcBorders>
            <w:shd w:val="clear" w:color="auto" w:fill="auto"/>
            <w:vAlign w:val="center"/>
          </w:tcPr>
          <w:p w14:paraId="598533F1"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Policy talks, think tank workshops</w:t>
            </w:r>
            <w:r>
              <w:rPr>
                <w:rFonts w:ascii="Garamond" w:hAnsi="Garamond" w:cs="Calibri"/>
                <w:color w:val="000000"/>
                <w:sz w:val="22"/>
                <w:szCs w:val="22"/>
              </w:rPr>
              <w:t>, d</w:t>
            </w:r>
            <w:r w:rsidRPr="008921BB">
              <w:rPr>
                <w:rFonts w:ascii="Garamond" w:hAnsi="Garamond" w:cs="Calibri"/>
                <w:color w:val="000000"/>
                <w:sz w:val="22"/>
                <w:szCs w:val="22"/>
              </w:rPr>
              <w:t xml:space="preserve">issemination via </w:t>
            </w:r>
            <w:r>
              <w:rPr>
                <w:rFonts w:ascii="Garamond" w:hAnsi="Garamond" w:cs="Calibri"/>
                <w:color w:val="000000"/>
                <w:sz w:val="22"/>
                <w:szCs w:val="22"/>
              </w:rPr>
              <w:t xml:space="preserve">social networks and </w:t>
            </w:r>
            <w:r w:rsidRPr="008921BB">
              <w:rPr>
                <w:rFonts w:ascii="Garamond" w:hAnsi="Garamond" w:cs="Calibri"/>
                <w:color w:val="000000"/>
                <w:sz w:val="22"/>
                <w:szCs w:val="22"/>
              </w:rPr>
              <w:t>blogs</w:t>
            </w:r>
          </w:p>
        </w:tc>
        <w:tc>
          <w:tcPr>
            <w:tcW w:w="3063" w:type="dxa"/>
            <w:tcBorders>
              <w:top w:val="nil"/>
              <w:left w:val="nil"/>
              <w:bottom w:val="nil"/>
              <w:right w:val="nil"/>
            </w:tcBorders>
            <w:shd w:val="clear" w:color="auto" w:fill="auto"/>
            <w:vAlign w:val="center"/>
          </w:tcPr>
          <w:p w14:paraId="6626867B"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43459621" w14:textId="77777777" w:rsidTr="00DD5500">
        <w:trPr>
          <w:trHeight w:val="328"/>
        </w:trPr>
        <w:tc>
          <w:tcPr>
            <w:tcW w:w="1211" w:type="dxa"/>
            <w:vMerge/>
            <w:tcBorders>
              <w:left w:val="nil"/>
              <w:right w:val="nil"/>
            </w:tcBorders>
            <w:shd w:val="clear" w:color="auto" w:fill="auto"/>
            <w:vAlign w:val="center"/>
          </w:tcPr>
          <w:p w14:paraId="3BAE4995"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2849A987" w14:textId="77777777" w:rsidR="00C43579"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2CF97610"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79330B5E"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Feedback mechanisms</w:t>
            </w:r>
          </w:p>
        </w:tc>
        <w:tc>
          <w:tcPr>
            <w:tcW w:w="4717" w:type="dxa"/>
            <w:tcBorders>
              <w:top w:val="nil"/>
              <w:left w:val="nil"/>
              <w:bottom w:val="nil"/>
              <w:right w:val="nil"/>
            </w:tcBorders>
            <w:shd w:val="clear" w:color="auto" w:fill="auto"/>
            <w:vAlign w:val="center"/>
          </w:tcPr>
          <w:p w14:paraId="364800E5"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Collegial input, feedback from stakeholders</w:t>
            </w:r>
            <w:r>
              <w:rPr>
                <w:rFonts w:ascii="Garamond" w:hAnsi="Garamond" w:cs="Calibri"/>
                <w:color w:val="000000"/>
                <w:sz w:val="22"/>
                <w:szCs w:val="22"/>
              </w:rPr>
              <w:t>, o</w:t>
            </w:r>
            <w:r w:rsidRPr="00242DD5">
              <w:rPr>
                <w:rFonts w:ascii="Garamond" w:hAnsi="Garamond" w:cs="Calibri"/>
                <w:color w:val="000000"/>
                <w:sz w:val="22"/>
                <w:szCs w:val="22"/>
              </w:rPr>
              <w:t>nline feedback</w:t>
            </w:r>
          </w:p>
        </w:tc>
        <w:tc>
          <w:tcPr>
            <w:tcW w:w="3063" w:type="dxa"/>
            <w:tcBorders>
              <w:top w:val="nil"/>
              <w:left w:val="nil"/>
              <w:bottom w:val="nil"/>
              <w:right w:val="nil"/>
            </w:tcBorders>
            <w:shd w:val="clear" w:color="auto" w:fill="auto"/>
            <w:vAlign w:val="center"/>
          </w:tcPr>
          <w:p w14:paraId="035732D4"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67B0EF6D" w14:textId="77777777" w:rsidTr="00DD5500">
        <w:trPr>
          <w:trHeight w:val="328"/>
        </w:trPr>
        <w:tc>
          <w:tcPr>
            <w:tcW w:w="1211" w:type="dxa"/>
            <w:vMerge/>
            <w:tcBorders>
              <w:left w:val="nil"/>
              <w:right w:val="nil"/>
            </w:tcBorders>
            <w:shd w:val="clear" w:color="auto" w:fill="auto"/>
            <w:vAlign w:val="center"/>
            <w:hideMark/>
          </w:tcPr>
          <w:p w14:paraId="5F9D42C8"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right w:val="nil"/>
            </w:tcBorders>
            <w:shd w:val="clear" w:color="auto" w:fill="auto"/>
            <w:vAlign w:val="center"/>
            <w:hideMark/>
          </w:tcPr>
          <w:p w14:paraId="2F17E7D8" w14:textId="77777777" w:rsidR="00C43579" w:rsidRPr="00242DD5" w:rsidRDefault="00C43579" w:rsidP="00DD5500">
            <w:pPr>
              <w:contextualSpacing/>
              <w:rPr>
                <w:rFonts w:ascii="Garamond" w:hAnsi="Garamond" w:cs="Calibri"/>
                <w:color w:val="000000"/>
                <w:sz w:val="22"/>
                <w:szCs w:val="22"/>
              </w:rPr>
            </w:pPr>
          </w:p>
        </w:tc>
        <w:tc>
          <w:tcPr>
            <w:tcW w:w="1612" w:type="dxa"/>
            <w:vMerge w:val="restart"/>
            <w:tcBorders>
              <w:top w:val="nil"/>
              <w:left w:val="nil"/>
              <w:right w:val="nil"/>
            </w:tcBorders>
            <w:vAlign w:val="center"/>
          </w:tcPr>
          <w:p w14:paraId="4326269B"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Evaluation</w:t>
            </w:r>
          </w:p>
        </w:tc>
        <w:tc>
          <w:tcPr>
            <w:tcW w:w="2568" w:type="dxa"/>
            <w:tcBorders>
              <w:top w:val="nil"/>
              <w:left w:val="nil"/>
              <w:bottom w:val="nil"/>
              <w:right w:val="nil"/>
            </w:tcBorders>
            <w:shd w:val="clear" w:color="auto" w:fill="auto"/>
            <w:vAlign w:val="center"/>
          </w:tcPr>
          <w:p w14:paraId="29A3D9AF"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Outcome measures</w:t>
            </w:r>
          </w:p>
        </w:tc>
        <w:tc>
          <w:tcPr>
            <w:tcW w:w="4717" w:type="dxa"/>
            <w:tcBorders>
              <w:top w:val="nil"/>
              <w:left w:val="nil"/>
              <w:bottom w:val="nil"/>
              <w:right w:val="nil"/>
            </w:tcBorders>
            <w:shd w:val="clear" w:color="auto" w:fill="auto"/>
            <w:vAlign w:val="center"/>
          </w:tcPr>
          <w:p w14:paraId="0DE2CC18"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 xml:space="preserve">Policymaker </w:t>
            </w:r>
            <w:r w:rsidRPr="00242DD5">
              <w:rPr>
                <w:rFonts w:ascii="Garamond" w:hAnsi="Garamond" w:cs="Calibri"/>
                <w:color w:val="000000"/>
                <w:sz w:val="22"/>
                <w:szCs w:val="22"/>
              </w:rPr>
              <w:t>engage</w:t>
            </w:r>
            <w:r>
              <w:rPr>
                <w:rFonts w:ascii="Garamond" w:hAnsi="Garamond" w:cs="Calibri"/>
                <w:color w:val="000000"/>
                <w:sz w:val="22"/>
                <w:szCs w:val="22"/>
              </w:rPr>
              <w:t xml:space="preserve">ment and stakeholder </w:t>
            </w:r>
            <w:r w:rsidRPr="00242DD5">
              <w:rPr>
                <w:rFonts w:ascii="Garamond" w:hAnsi="Garamond" w:cs="Calibri"/>
                <w:color w:val="000000"/>
                <w:sz w:val="22"/>
                <w:szCs w:val="22"/>
              </w:rPr>
              <w:t>events</w:t>
            </w:r>
            <w:r>
              <w:rPr>
                <w:rFonts w:ascii="Garamond" w:hAnsi="Garamond" w:cs="Calibri"/>
                <w:color w:val="000000"/>
                <w:sz w:val="22"/>
                <w:szCs w:val="22"/>
              </w:rPr>
              <w:t xml:space="preserve">, </w:t>
            </w:r>
            <w:r w:rsidRPr="0060367C">
              <w:rPr>
                <w:rFonts w:ascii="Garamond" w:hAnsi="Garamond" w:cs="Calibri"/>
                <w:color w:val="000000"/>
                <w:sz w:val="22"/>
                <w:szCs w:val="22"/>
              </w:rPr>
              <w:t>document</w:t>
            </w:r>
            <w:r>
              <w:rPr>
                <w:rFonts w:ascii="Garamond" w:hAnsi="Garamond" w:cs="Calibri"/>
                <w:color w:val="000000"/>
                <w:sz w:val="22"/>
                <w:szCs w:val="22"/>
              </w:rPr>
              <w:t xml:space="preserve"> counts, b</w:t>
            </w:r>
            <w:r w:rsidRPr="00242DD5">
              <w:rPr>
                <w:rFonts w:ascii="Garamond" w:hAnsi="Garamond" w:cs="Calibri"/>
                <w:color w:val="000000"/>
                <w:sz w:val="22"/>
                <w:szCs w:val="22"/>
              </w:rPr>
              <w:t>log usag</w:t>
            </w:r>
            <w:r>
              <w:rPr>
                <w:rFonts w:ascii="Garamond" w:hAnsi="Garamond" w:cs="Calibri"/>
                <w:color w:val="000000"/>
                <w:sz w:val="22"/>
                <w:szCs w:val="22"/>
              </w:rPr>
              <w:t>e</w:t>
            </w:r>
            <w:r w:rsidRPr="00242DD5">
              <w:rPr>
                <w:rFonts w:ascii="Garamond" w:hAnsi="Garamond" w:cs="Calibri"/>
                <w:color w:val="000000"/>
                <w:sz w:val="22"/>
                <w:szCs w:val="22"/>
              </w:rPr>
              <w:t>, download</w:t>
            </w:r>
            <w:r>
              <w:rPr>
                <w:rFonts w:ascii="Garamond" w:hAnsi="Garamond" w:cs="Calibri"/>
                <w:color w:val="000000"/>
                <w:sz w:val="22"/>
                <w:szCs w:val="22"/>
              </w:rPr>
              <w:t>s</w:t>
            </w:r>
            <w:r w:rsidRPr="00242DD5">
              <w:rPr>
                <w:rFonts w:ascii="Garamond" w:hAnsi="Garamond" w:cs="Calibri"/>
                <w:color w:val="000000"/>
                <w:sz w:val="22"/>
                <w:szCs w:val="22"/>
              </w:rPr>
              <w:t>, mentions in grey-literature</w:t>
            </w:r>
            <w:r>
              <w:rPr>
                <w:rFonts w:ascii="Garamond" w:hAnsi="Garamond" w:cs="Calibri"/>
                <w:color w:val="000000"/>
                <w:sz w:val="22"/>
                <w:szCs w:val="22"/>
              </w:rPr>
              <w:t xml:space="preserve"> </w:t>
            </w:r>
          </w:p>
        </w:tc>
        <w:tc>
          <w:tcPr>
            <w:tcW w:w="3063" w:type="dxa"/>
            <w:tcBorders>
              <w:top w:val="nil"/>
              <w:left w:val="nil"/>
              <w:bottom w:val="nil"/>
              <w:right w:val="nil"/>
            </w:tcBorders>
            <w:shd w:val="clear" w:color="auto" w:fill="auto"/>
            <w:vAlign w:val="center"/>
          </w:tcPr>
          <w:p w14:paraId="50BC6D10"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236AD4BB" w14:textId="77777777" w:rsidTr="00DD5500">
        <w:trPr>
          <w:trHeight w:val="328"/>
        </w:trPr>
        <w:tc>
          <w:tcPr>
            <w:tcW w:w="1211" w:type="dxa"/>
            <w:vMerge/>
            <w:tcBorders>
              <w:left w:val="nil"/>
              <w:bottom w:val="dashSmallGap" w:sz="4" w:space="0" w:color="auto"/>
              <w:right w:val="nil"/>
            </w:tcBorders>
            <w:shd w:val="clear" w:color="auto" w:fill="auto"/>
            <w:vAlign w:val="center"/>
            <w:hideMark/>
          </w:tcPr>
          <w:p w14:paraId="09DE2907"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bottom w:val="dashSmallGap" w:sz="4" w:space="0" w:color="auto"/>
              <w:right w:val="nil"/>
            </w:tcBorders>
            <w:shd w:val="clear" w:color="auto" w:fill="auto"/>
            <w:vAlign w:val="center"/>
            <w:hideMark/>
          </w:tcPr>
          <w:p w14:paraId="2AD8B1C2" w14:textId="77777777" w:rsidR="00C43579" w:rsidRPr="00242DD5" w:rsidRDefault="00C43579" w:rsidP="00DD5500">
            <w:pPr>
              <w:contextualSpacing/>
              <w:rPr>
                <w:rFonts w:ascii="Garamond" w:hAnsi="Garamond" w:cs="Calibri"/>
                <w:color w:val="000000"/>
                <w:sz w:val="22"/>
                <w:szCs w:val="22"/>
              </w:rPr>
            </w:pPr>
          </w:p>
        </w:tc>
        <w:tc>
          <w:tcPr>
            <w:tcW w:w="1612" w:type="dxa"/>
            <w:vMerge/>
            <w:tcBorders>
              <w:left w:val="nil"/>
              <w:bottom w:val="dashSmallGap" w:sz="4" w:space="0" w:color="auto"/>
              <w:right w:val="nil"/>
            </w:tcBorders>
            <w:vAlign w:val="center"/>
          </w:tcPr>
          <w:p w14:paraId="56282C80"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dashSmallGap" w:sz="4" w:space="0" w:color="auto"/>
              <w:right w:val="nil"/>
            </w:tcBorders>
            <w:shd w:val="clear" w:color="auto" w:fill="auto"/>
            <w:vAlign w:val="center"/>
          </w:tcPr>
          <w:p w14:paraId="5E402036"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Impact assessment</w:t>
            </w:r>
          </w:p>
        </w:tc>
        <w:tc>
          <w:tcPr>
            <w:tcW w:w="4717" w:type="dxa"/>
            <w:tcBorders>
              <w:top w:val="nil"/>
              <w:left w:val="nil"/>
              <w:bottom w:val="dashSmallGap" w:sz="4" w:space="0" w:color="auto"/>
              <w:right w:val="nil"/>
            </w:tcBorders>
            <w:shd w:val="clear" w:color="auto" w:fill="auto"/>
            <w:vAlign w:val="center"/>
          </w:tcPr>
          <w:p w14:paraId="5D209F2B"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Document analysis, policy analysis, impact case studies</w:t>
            </w:r>
            <w:r>
              <w:rPr>
                <w:rFonts w:ascii="Garamond" w:hAnsi="Garamond" w:cs="Calibri"/>
                <w:color w:val="000000"/>
                <w:sz w:val="22"/>
                <w:szCs w:val="22"/>
              </w:rPr>
              <w:t>, n</w:t>
            </w:r>
            <w:r w:rsidRPr="00242DD5">
              <w:rPr>
                <w:rFonts w:ascii="Garamond" w:hAnsi="Garamond" w:cs="Calibri"/>
                <w:color w:val="000000"/>
                <w:sz w:val="22"/>
                <w:szCs w:val="22"/>
              </w:rPr>
              <w:t>etwork analysis, text mining</w:t>
            </w:r>
          </w:p>
        </w:tc>
        <w:tc>
          <w:tcPr>
            <w:tcW w:w="3063" w:type="dxa"/>
            <w:tcBorders>
              <w:top w:val="nil"/>
              <w:left w:val="nil"/>
              <w:bottom w:val="dashSmallGap" w:sz="4" w:space="0" w:color="auto"/>
              <w:right w:val="nil"/>
            </w:tcBorders>
            <w:shd w:val="clear" w:color="auto" w:fill="auto"/>
            <w:vAlign w:val="center"/>
          </w:tcPr>
          <w:p w14:paraId="47870F82"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0448FDCF" w14:textId="77777777" w:rsidTr="00DD5500">
        <w:trPr>
          <w:trHeight w:val="328"/>
        </w:trPr>
        <w:tc>
          <w:tcPr>
            <w:tcW w:w="1211" w:type="dxa"/>
            <w:vMerge w:val="restart"/>
            <w:tcBorders>
              <w:top w:val="dashSmallGap" w:sz="4" w:space="0" w:color="auto"/>
              <w:left w:val="nil"/>
              <w:right w:val="nil"/>
            </w:tcBorders>
            <w:shd w:val="clear" w:color="auto" w:fill="auto"/>
            <w:vAlign w:val="center"/>
          </w:tcPr>
          <w:p w14:paraId="546FCFFE"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Application</w:t>
            </w:r>
          </w:p>
        </w:tc>
        <w:tc>
          <w:tcPr>
            <w:tcW w:w="1430" w:type="dxa"/>
            <w:vMerge w:val="restart"/>
            <w:tcBorders>
              <w:top w:val="dashSmallGap" w:sz="4" w:space="0" w:color="auto"/>
              <w:left w:val="nil"/>
              <w:right w:val="nil"/>
            </w:tcBorders>
            <w:shd w:val="clear" w:color="auto" w:fill="auto"/>
            <w:vAlign w:val="center"/>
          </w:tcPr>
          <w:p w14:paraId="608B16BE"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Utility</w:t>
            </w:r>
          </w:p>
        </w:tc>
        <w:tc>
          <w:tcPr>
            <w:tcW w:w="1612" w:type="dxa"/>
            <w:tcBorders>
              <w:top w:val="dashSmallGap" w:sz="4" w:space="0" w:color="auto"/>
              <w:left w:val="nil"/>
              <w:right w:val="nil"/>
            </w:tcBorders>
            <w:vAlign w:val="center"/>
          </w:tcPr>
          <w:p w14:paraId="52F45E33"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Design</w:t>
            </w:r>
          </w:p>
        </w:tc>
        <w:tc>
          <w:tcPr>
            <w:tcW w:w="2568" w:type="dxa"/>
            <w:tcBorders>
              <w:top w:val="dashSmallGap" w:sz="4" w:space="0" w:color="auto"/>
              <w:left w:val="nil"/>
              <w:bottom w:val="nil"/>
              <w:right w:val="nil"/>
            </w:tcBorders>
            <w:shd w:val="clear" w:color="auto" w:fill="auto"/>
            <w:vAlign w:val="center"/>
          </w:tcPr>
          <w:p w14:paraId="03CEA8F1"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Desired impact</w:t>
            </w:r>
          </w:p>
        </w:tc>
        <w:tc>
          <w:tcPr>
            <w:tcW w:w="4717" w:type="dxa"/>
            <w:tcBorders>
              <w:top w:val="dashSmallGap" w:sz="4" w:space="0" w:color="auto"/>
              <w:left w:val="nil"/>
              <w:bottom w:val="nil"/>
              <w:right w:val="nil"/>
            </w:tcBorders>
            <w:shd w:val="clear" w:color="auto" w:fill="auto"/>
            <w:vAlign w:val="center"/>
          </w:tcPr>
          <w:p w14:paraId="2A33D3EF"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Produce research that facilitates c</w:t>
            </w:r>
            <w:r w:rsidRPr="00242DD5">
              <w:rPr>
                <w:rFonts w:ascii="Garamond" w:hAnsi="Garamond" w:cs="Calibri"/>
                <w:color w:val="000000"/>
                <w:sz w:val="22"/>
                <w:szCs w:val="22"/>
              </w:rPr>
              <w:t>hanges in practice</w:t>
            </w:r>
          </w:p>
        </w:tc>
        <w:tc>
          <w:tcPr>
            <w:tcW w:w="3063" w:type="dxa"/>
            <w:tcBorders>
              <w:top w:val="dashSmallGap" w:sz="4" w:space="0" w:color="auto"/>
              <w:left w:val="nil"/>
              <w:bottom w:val="nil"/>
              <w:right w:val="nil"/>
            </w:tcBorders>
            <w:shd w:val="clear" w:color="auto" w:fill="auto"/>
            <w:vAlign w:val="center"/>
          </w:tcPr>
          <w:p w14:paraId="21563C03"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r</w:t>
            </w:r>
            <w:r w:rsidRPr="00242DD5">
              <w:rPr>
                <w:rFonts w:ascii="Garamond" w:hAnsi="Garamond" w:cs="Calibri"/>
                <w:color w:val="000000"/>
                <w:sz w:val="22"/>
                <w:szCs w:val="22"/>
              </w:rPr>
              <w:t>esearch agenda</w:t>
            </w:r>
          </w:p>
        </w:tc>
      </w:tr>
      <w:tr w:rsidR="00C43579" w:rsidRPr="00182E07" w14:paraId="3D634C6A" w14:textId="77777777" w:rsidTr="00DD5500">
        <w:trPr>
          <w:trHeight w:val="328"/>
        </w:trPr>
        <w:tc>
          <w:tcPr>
            <w:tcW w:w="1211" w:type="dxa"/>
            <w:vMerge/>
            <w:tcBorders>
              <w:left w:val="nil"/>
              <w:right w:val="nil"/>
            </w:tcBorders>
            <w:shd w:val="clear" w:color="auto" w:fill="auto"/>
            <w:vAlign w:val="center"/>
          </w:tcPr>
          <w:p w14:paraId="7F3DA2F2"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7AA11951"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val="restart"/>
            <w:tcBorders>
              <w:top w:val="nil"/>
              <w:left w:val="nil"/>
              <w:right w:val="nil"/>
            </w:tcBorders>
            <w:vAlign w:val="center"/>
          </w:tcPr>
          <w:p w14:paraId="11553EED"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Production</w:t>
            </w:r>
          </w:p>
        </w:tc>
        <w:tc>
          <w:tcPr>
            <w:tcW w:w="2568" w:type="dxa"/>
            <w:tcBorders>
              <w:top w:val="nil"/>
              <w:left w:val="nil"/>
              <w:bottom w:val="nil"/>
              <w:right w:val="nil"/>
            </w:tcBorders>
            <w:shd w:val="clear" w:color="auto" w:fill="auto"/>
            <w:vAlign w:val="center"/>
          </w:tcPr>
          <w:p w14:paraId="0E5BBF60"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Outputs</w:t>
            </w:r>
          </w:p>
        </w:tc>
        <w:tc>
          <w:tcPr>
            <w:tcW w:w="4717" w:type="dxa"/>
            <w:tcBorders>
              <w:top w:val="nil"/>
              <w:left w:val="nil"/>
              <w:bottom w:val="nil"/>
              <w:right w:val="nil"/>
            </w:tcBorders>
            <w:shd w:val="clear" w:color="auto" w:fill="auto"/>
            <w:vAlign w:val="center"/>
          </w:tcPr>
          <w:p w14:paraId="70C97EF8"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Datasets, presentations, reports, working papers</w:t>
            </w:r>
          </w:p>
        </w:tc>
        <w:tc>
          <w:tcPr>
            <w:tcW w:w="3063" w:type="dxa"/>
            <w:tcBorders>
              <w:top w:val="nil"/>
              <w:left w:val="nil"/>
              <w:bottom w:val="nil"/>
              <w:right w:val="nil"/>
            </w:tcBorders>
            <w:shd w:val="clear" w:color="auto" w:fill="auto"/>
            <w:vAlign w:val="center"/>
          </w:tcPr>
          <w:p w14:paraId="7D18D9AA"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r w:rsidRPr="00242DD5">
              <w:rPr>
                <w:rFonts w:ascii="Garamond" w:hAnsi="Garamond" w:cs="Calibri"/>
                <w:color w:val="000000"/>
                <w:sz w:val="22"/>
                <w:szCs w:val="22"/>
              </w:rPr>
              <w:t xml:space="preserve"> </w:t>
            </w:r>
          </w:p>
        </w:tc>
      </w:tr>
      <w:tr w:rsidR="00C43579" w:rsidRPr="00182E07" w14:paraId="6FBFAA8E" w14:textId="77777777" w:rsidTr="00DD5500">
        <w:trPr>
          <w:trHeight w:val="328"/>
        </w:trPr>
        <w:tc>
          <w:tcPr>
            <w:tcW w:w="1211" w:type="dxa"/>
            <w:vMerge/>
            <w:tcBorders>
              <w:left w:val="nil"/>
              <w:right w:val="nil"/>
            </w:tcBorders>
            <w:shd w:val="clear" w:color="auto" w:fill="auto"/>
            <w:vAlign w:val="center"/>
          </w:tcPr>
          <w:p w14:paraId="25774983"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6C4BF99C"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39B3B967"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3EDC7544"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Communication</w:t>
            </w:r>
          </w:p>
        </w:tc>
        <w:tc>
          <w:tcPr>
            <w:tcW w:w="4717" w:type="dxa"/>
            <w:tcBorders>
              <w:top w:val="nil"/>
              <w:left w:val="nil"/>
              <w:bottom w:val="nil"/>
              <w:right w:val="nil"/>
            </w:tcBorders>
            <w:shd w:val="clear" w:color="auto" w:fill="auto"/>
            <w:vAlign w:val="center"/>
          </w:tcPr>
          <w:p w14:paraId="2A8B8B2B"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Training courses, practical workshops</w:t>
            </w:r>
            <w:r>
              <w:rPr>
                <w:rFonts w:ascii="Garamond" w:hAnsi="Garamond" w:cs="Calibri"/>
                <w:color w:val="000000"/>
                <w:sz w:val="22"/>
                <w:szCs w:val="22"/>
              </w:rPr>
              <w:t>, d</w:t>
            </w:r>
            <w:r w:rsidRPr="00242DD5">
              <w:rPr>
                <w:rFonts w:ascii="Garamond" w:hAnsi="Garamond" w:cs="Calibri"/>
                <w:color w:val="000000"/>
                <w:sz w:val="22"/>
                <w:szCs w:val="22"/>
              </w:rPr>
              <w:t xml:space="preserve">issemination via </w:t>
            </w:r>
            <w:r>
              <w:rPr>
                <w:rFonts w:ascii="Garamond" w:hAnsi="Garamond" w:cs="Calibri"/>
                <w:color w:val="000000"/>
                <w:sz w:val="22"/>
                <w:szCs w:val="22"/>
              </w:rPr>
              <w:t>social networ</w:t>
            </w:r>
            <w:r w:rsidRPr="00242DD5">
              <w:rPr>
                <w:rFonts w:ascii="Garamond" w:hAnsi="Garamond" w:cs="Calibri"/>
                <w:color w:val="000000"/>
                <w:sz w:val="22"/>
                <w:szCs w:val="22"/>
              </w:rPr>
              <w:t>k</w:t>
            </w:r>
            <w:r>
              <w:rPr>
                <w:rFonts w:ascii="Garamond" w:hAnsi="Garamond" w:cs="Calibri"/>
                <w:color w:val="000000"/>
                <w:sz w:val="22"/>
                <w:szCs w:val="22"/>
              </w:rPr>
              <w:t>s, online forums and courses</w:t>
            </w:r>
            <w:r w:rsidRPr="00242DD5">
              <w:rPr>
                <w:rFonts w:ascii="Garamond" w:hAnsi="Garamond" w:cs="Calibri"/>
                <w:color w:val="000000"/>
                <w:sz w:val="22"/>
                <w:szCs w:val="22"/>
              </w:rPr>
              <w:t xml:space="preserve"> </w:t>
            </w:r>
          </w:p>
        </w:tc>
        <w:tc>
          <w:tcPr>
            <w:tcW w:w="3063" w:type="dxa"/>
            <w:tcBorders>
              <w:top w:val="nil"/>
              <w:left w:val="nil"/>
              <w:bottom w:val="nil"/>
              <w:right w:val="nil"/>
            </w:tcBorders>
            <w:shd w:val="clear" w:color="auto" w:fill="auto"/>
            <w:vAlign w:val="center"/>
          </w:tcPr>
          <w:p w14:paraId="4666C5D1"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6CB98DE9" w14:textId="77777777" w:rsidTr="00DD5500">
        <w:trPr>
          <w:trHeight w:val="328"/>
        </w:trPr>
        <w:tc>
          <w:tcPr>
            <w:tcW w:w="1211" w:type="dxa"/>
            <w:vMerge/>
            <w:tcBorders>
              <w:left w:val="nil"/>
              <w:right w:val="nil"/>
            </w:tcBorders>
            <w:shd w:val="clear" w:color="auto" w:fill="auto"/>
            <w:vAlign w:val="center"/>
          </w:tcPr>
          <w:p w14:paraId="26FEFC4E"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1F21F369"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7483CA06"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7EEA41EF"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Feedback mechanisms</w:t>
            </w:r>
          </w:p>
        </w:tc>
        <w:tc>
          <w:tcPr>
            <w:tcW w:w="4717" w:type="dxa"/>
            <w:tcBorders>
              <w:top w:val="nil"/>
              <w:left w:val="nil"/>
              <w:bottom w:val="nil"/>
              <w:right w:val="nil"/>
            </w:tcBorders>
            <w:shd w:val="clear" w:color="auto" w:fill="auto"/>
            <w:vAlign w:val="center"/>
          </w:tcPr>
          <w:p w14:paraId="7BF07478"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Collegial input, feedback from practitioners, stakeholders</w:t>
            </w:r>
            <w:r>
              <w:rPr>
                <w:rFonts w:ascii="Garamond" w:hAnsi="Garamond" w:cs="Calibri"/>
                <w:color w:val="000000"/>
                <w:sz w:val="22"/>
                <w:szCs w:val="22"/>
              </w:rPr>
              <w:t>, o</w:t>
            </w:r>
            <w:r w:rsidRPr="00242DD5">
              <w:rPr>
                <w:rFonts w:ascii="Garamond" w:hAnsi="Garamond" w:cs="Calibri"/>
                <w:color w:val="000000"/>
                <w:sz w:val="22"/>
                <w:szCs w:val="22"/>
              </w:rPr>
              <w:t>nline feedback</w:t>
            </w:r>
          </w:p>
        </w:tc>
        <w:tc>
          <w:tcPr>
            <w:tcW w:w="3063" w:type="dxa"/>
            <w:tcBorders>
              <w:top w:val="nil"/>
              <w:left w:val="nil"/>
              <w:bottom w:val="nil"/>
              <w:right w:val="nil"/>
            </w:tcBorders>
            <w:shd w:val="clear" w:color="auto" w:fill="auto"/>
            <w:vAlign w:val="center"/>
          </w:tcPr>
          <w:p w14:paraId="52B1092B"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31A879B4" w14:textId="77777777" w:rsidTr="00DD5500">
        <w:trPr>
          <w:trHeight w:val="328"/>
        </w:trPr>
        <w:tc>
          <w:tcPr>
            <w:tcW w:w="1211" w:type="dxa"/>
            <w:vMerge/>
            <w:tcBorders>
              <w:left w:val="nil"/>
              <w:right w:val="nil"/>
            </w:tcBorders>
            <w:shd w:val="clear" w:color="auto" w:fill="auto"/>
            <w:vAlign w:val="center"/>
            <w:hideMark/>
          </w:tcPr>
          <w:p w14:paraId="258614F0"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right w:val="nil"/>
            </w:tcBorders>
            <w:shd w:val="clear" w:color="auto" w:fill="auto"/>
            <w:vAlign w:val="center"/>
            <w:hideMark/>
          </w:tcPr>
          <w:p w14:paraId="23DE073E" w14:textId="77777777" w:rsidR="00C43579" w:rsidRPr="00242DD5" w:rsidRDefault="00C43579" w:rsidP="00DD5500">
            <w:pPr>
              <w:contextualSpacing/>
              <w:rPr>
                <w:rFonts w:ascii="Garamond" w:hAnsi="Garamond" w:cs="Calibri"/>
                <w:color w:val="000000"/>
                <w:sz w:val="22"/>
                <w:szCs w:val="22"/>
              </w:rPr>
            </w:pPr>
          </w:p>
        </w:tc>
        <w:tc>
          <w:tcPr>
            <w:tcW w:w="1612" w:type="dxa"/>
            <w:vMerge w:val="restart"/>
            <w:tcBorders>
              <w:top w:val="nil"/>
              <w:left w:val="nil"/>
              <w:right w:val="nil"/>
            </w:tcBorders>
            <w:vAlign w:val="center"/>
          </w:tcPr>
          <w:p w14:paraId="17C89703"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Evaluation</w:t>
            </w:r>
          </w:p>
        </w:tc>
        <w:tc>
          <w:tcPr>
            <w:tcW w:w="2568" w:type="dxa"/>
            <w:tcBorders>
              <w:top w:val="nil"/>
              <w:left w:val="nil"/>
              <w:bottom w:val="nil"/>
              <w:right w:val="nil"/>
            </w:tcBorders>
            <w:shd w:val="clear" w:color="auto" w:fill="auto"/>
            <w:vAlign w:val="center"/>
          </w:tcPr>
          <w:p w14:paraId="05561E7E"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Outcome measures</w:t>
            </w:r>
          </w:p>
        </w:tc>
        <w:tc>
          <w:tcPr>
            <w:tcW w:w="4717" w:type="dxa"/>
            <w:tcBorders>
              <w:top w:val="nil"/>
              <w:left w:val="nil"/>
              <w:bottom w:val="nil"/>
              <w:right w:val="nil"/>
            </w:tcBorders>
            <w:shd w:val="clear" w:color="auto" w:fill="auto"/>
            <w:vAlign w:val="center"/>
          </w:tcPr>
          <w:p w14:paraId="53DC776D"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P</w:t>
            </w:r>
            <w:r w:rsidRPr="00242DD5">
              <w:rPr>
                <w:rFonts w:ascii="Garamond" w:hAnsi="Garamond" w:cs="Calibri"/>
                <w:color w:val="000000"/>
                <w:sz w:val="22"/>
                <w:szCs w:val="22"/>
              </w:rPr>
              <w:t>ractitioner</w:t>
            </w:r>
            <w:r>
              <w:rPr>
                <w:rFonts w:ascii="Garamond" w:hAnsi="Garamond" w:cs="Calibri"/>
                <w:color w:val="000000"/>
                <w:sz w:val="22"/>
                <w:szCs w:val="22"/>
              </w:rPr>
              <w:t xml:space="preserve"> </w:t>
            </w:r>
            <w:r w:rsidRPr="00242DD5">
              <w:rPr>
                <w:rFonts w:ascii="Garamond" w:hAnsi="Garamond" w:cs="Calibri"/>
                <w:color w:val="000000"/>
                <w:sz w:val="22"/>
                <w:szCs w:val="22"/>
              </w:rPr>
              <w:t>engage</w:t>
            </w:r>
            <w:r>
              <w:rPr>
                <w:rFonts w:ascii="Garamond" w:hAnsi="Garamond" w:cs="Calibri"/>
                <w:color w:val="000000"/>
                <w:sz w:val="22"/>
                <w:szCs w:val="22"/>
              </w:rPr>
              <w:t xml:space="preserve">ment and stakeholder </w:t>
            </w:r>
            <w:r w:rsidRPr="00242DD5">
              <w:rPr>
                <w:rFonts w:ascii="Garamond" w:hAnsi="Garamond" w:cs="Calibri"/>
                <w:color w:val="000000"/>
                <w:sz w:val="22"/>
                <w:szCs w:val="22"/>
              </w:rPr>
              <w:t>events, clinical practice citations, patent citations</w:t>
            </w:r>
            <w:r>
              <w:rPr>
                <w:rFonts w:ascii="Garamond" w:hAnsi="Garamond" w:cs="Calibri"/>
                <w:color w:val="000000"/>
                <w:sz w:val="22"/>
                <w:szCs w:val="22"/>
              </w:rPr>
              <w:t>, g</w:t>
            </w:r>
            <w:r w:rsidRPr="00242DD5">
              <w:rPr>
                <w:rFonts w:ascii="Garamond" w:hAnsi="Garamond" w:cs="Calibri"/>
                <w:color w:val="000000"/>
                <w:sz w:val="22"/>
                <w:szCs w:val="22"/>
              </w:rPr>
              <w:t>rey-literature citations, mentions in cultural sources and Wikipedia</w:t>
            </w:r>
            <w:r>
              <w:rPr>
                <w:rFonts w:ascii="Garamond" w:hAnsi="Garamond" w:cs="Calibri"/>
                <w:color w:val="000000"/>
                <w:sz w:val="22"/>
                <w:szCs w:val="22"/>
              </w:rPr>
              <w:t>, a</w:t>
            </w:r>
            <w:r w:rsidRPr="00242DD5">
              <w:rPr>
                <w:rFonts w:ascii="Garamond" w:hAnsi="Garamond" w:cs="Calibri"/>
                <w:color w:val="000000"/>
                <w:sz w:val="22"/>
                <w:szCs w:val="22"/>
              </w:rPr>
              <w:t xml:space="preserve">ggregate </w:t>
            </w:r>
            <w:r>
              <w:rPr>
                <w:rFonts w:ascii="Garamond" w:hAnsi="Garamond" w:cs="Calibri"/>
                <w:color w:val="000000"/>
                <w:sz w:val="22"/>
                <w:szCs w:val="22"/>
              </w:rPr>
              <w:t>‘alternative metrics’</w:t>
            </w:r>
          </w:p>
        </w:tc>
        <w:tc>
          <w:tcPr>
            <w:tcW w:w="3063" w:type="dxa"/>
            <w:tcBorders>
              <w:top w:val="nil"/>
              <w:left w:val="nil"/>
              <w:bottom w:val="nil"/>
              <w:right w:val="nil"/>
            </w:tcBorders>
            <w:shd w:val="clear" w:color="auto" w:fill="auto"/>
            <w:vAlign w:val="center"/>
          </w:tcPr>
          <w:p w14:paraId="4BDE7E84"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1192F5E4" w14:textId="77777777" w:rsidTr="00DD5500">
        <w:trPr>
          <w:trHeight w:val="328"/>
        </w:trPr>
        <w:tc>
          <w:tcPr>
            <w:tcW w:w="1211" w:type="dxa"/>
            <w:vMerge/>
            <w:tcBorders>
              <w:left w:val="nil"/>
              <w:bottom w:val="dashSmallGap" w:sz="4" w:space="0" w:color="auto"/>
              <w:right w:val="nil"/>
            </w:tcBorders>
            <w:shd w:val="clear" w:color="auto" w:fill="auto"/>
            <w:vAlign w:val="center"/>
            <w:hideMark/>
          </w:tcPr>
          <w:p w14:paraId="2751A983"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bottom w:val="dashSmallGap" w:sz="4" w:space="0" w:color="auto"/>
              <w:right w:val="nil"/>
            </w:tcBorders>
            <w:shd w:val="clear" w:color="auto" w:fill="auto"/>
            <w:vAlign w:val="center"/>
            <w:hideMark/>
          </w:tcPr>
          <w:p w14:paraId="02E0C622" w14:textId="77777777" w:rsidR="00C43579" w:rsidRPr="00242DD5" w:rsidRDefault="00C43579" w:rsidP="00DD5500">
            <w:pPr>
              <w:contextualSpacing/>
              <w:rPr>
                <w:rFonts w:ascii="Garamond" w:hAnsi="Garamond" w:cs="Calibri"/>
                <w:color w:val="000000"/>
                <w:sz w:val="22"/>
                <w:szCs w:val="22"/>
              </w:rPr>
            </w:pPr>
          </w:p>
        </w:tc>
        <w:tc>
          <w:tcPr>
            <w:tcW w:w="1612" w:type="dxa"/>
            <w:vMerge/>
            <w:tcBorders>
              <w:left w:val="nil"/>
              <w:bottom w:val="dashSmallGap" w:sz="4" w:space="0" w:color="auto"/>
              <w:right w:val="nil"/>
            </w:tcBorders>
            <w:vAlign w:val="center"/>
          </w:tcPr>
          <w:p w14:paraId="041DBB08"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dashSmallGap" w:sz="4" w:space="0" w:color="auto"/>
              <w:right w:val="nil"/>
            </w:tcBorders>
            <w:shd w:val="clear" w:color="auto" w:fill="auto"/>
            <w:vAlign w:val="center"/>
          </w:tcPr>
          <w:p w14:paraId="039CC9A0"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Impact assessment</w:t>
            </w:r>
          </w:p>
        </w:tc>
        <w:tc>
          <w:tcPr>
            <w:tcW w:w="4717" w:type="dxa"/>
            <w:tcBorders>
              <w:top w:val="nil"/>
              <w:left w:val="nil"/>
              <w:bottom w:val="dashSmallGap" w:sz="4" w:space="0" w:color="auto"/>
              <w:right w:val="nil"/>
            </w:tcBorders>
            <w:shd w:val="clear" w:color="auto" w:fill="auto"/>
            <w:vAlign w:val="center"/>
          </w:tcPr>
          <w:p w14:paraId="30EFAD93"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Document analysis, interview analysis, impact case studies</w:t>
            </w:r>
            <w:r>
              <w:rPr>
                <w:rFonts w:ascii="Garamond" w:hAnsi="Garamond" w:cs="Calibri"/>
                <w:color w:val="000000"/>
                <w:sz w:val="22"/>
                <w:szCs w:val="22"/>
              </w:rPr>
              <w:t>, n</w:t>
            </w:r>
            <w:r w:rsidRPr="00242DD5">
              <w:rPr>
                <w:rFonts w:ascii="Garamond" w:hAnsi="Garamond" w:cs="Calibri"/>
                <w:color w:val="000000"/>
                <w:sz w:val="22"/>
                <w:szCs w:val="22"/>
              </w:rPr>
              <w:t>etwork analysis, text mining</w:t>
            </w:r>
          </w:p>
        </w:tc>
        <w:tc>
          <w:tcPr>
            <w:tcW w:w="3063" w:type="dxa"/>
            <w:tcBorders>
              <w:top w:val="nil"/>
              <w:left w:val="nil"/>
              <w:bottom w:val="dashSmallGap" w:sz="4" w:space="0" w:color="auto"/>
              <w:right w:val="nil"/>
            </w:tcBorders>
            <w:shd w:val="clear" w:color="auto" w:fill="auto"/>
            <w:vAlign w:val="center"/>
          </w:tcPr>
          <w:p w14:paraId="75E29C4C"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6CC6B23A" w14:textId="77777777" w:rsidTr="00DD5500">
        <w:trPr>
          <w:trHeight w:val="311"/>
        </w:trPr>
        <w:tc>
          <w:tcPr>
            <w:tcW w:w="1211" w:type="dxa"/>
            <w:vMerge w:val="restart"/>
            <w:tcBorders>
              <w:top w:val="dashSmallGap" w:sz="4" w:space="0" w:color="auto"/>
              <w:left w:val="nil"/>
              <w:right w:val="nil"/>
            </w:tcBorders>
            <w:shd w:val="clear" w:color="auto" w:fill="auto"/>
            <w:vAlign w:val="center"/>
          </w:tcPr>
          <w:p w14:paraId="4DEFDD0E"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Media</w:t>
            </w:r>
          </w:p>
        </w:tc>
        <w:tc>
          <w:tcPr>
            <w:tcW w:w="1430" w:type="dxa"/>
            <w:vMerge w:val="restart"/>
            <w:tcBorders>
              <w:top w:val="dashSmallGap" w:sz="4" w:space="0" w:color="auto"/>
              <w:left w:val="nil"/>
              <w:right w:val="nil"/>
            </w:tcBorders>
            <w:shd w:val="clear" w:color="auto" w:fill="auto"/>
            <w:vAlign w:val="center"/>
          </w:tcPr>
          <w:p w14:paraId="060048E4"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Visibility</w:t>
            </w:r>
          </w:p>
        </w:tc>
        <w:tc>
          <w:tcPr>
            <w:tcW w:w="1612" w:type="dxa"/>
            <w:tcBorders>
              <w:top w:val="dashSmallGap" w:sz="4" w:space="0" w:color="auto"/>
              <w:left w:val="nil"/>
              <w:right w:val="nil"/>
            </w:tcBorders>
            <w:vAlign w:val="center"/>
          </w:tcPr>
          <w:p w14:paraId="53F90E65"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Design</w:t>
            </w:r>
          </w:p>
        </w:tc>
        <w:tc>
          <w:tcPr>
            <w:tcW w:w="2568" w:type="dxa"/>
            <w:tcBorders>
              <w:top w:val="dashSmallGap" w:sz="4" w:space="0" w:color="auto"/>
              <w:left w:val="nil"/>
              <w:bottom w:val="nil"/>
              <w:right w:val="nil"/>
            </w:tcBorders>
            <w:shd w:val="clear" w:color="auto" w:fill="auto"/>
            <w:vAlign w:val="center"/>
          </w:tcPr>
          <w:p w14:paraId="14AA220B"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Aim</w:t>
            </w:r>
          </w:p>
        </w:tc>
        <w:tc>
          <w:tcPr>
            <w:tcW w:w="4717" w:type="dxa"/>
            <w:tcBorders>
              <w:top w:val="dashSmallGap" w:sz="4" w:space="0" w:color="auto"/>
              <w:left w:val="nil"/>
              <w:bottom w:val="nil"/>
              <w:right w:val="nil"/>
            </w:tcBorders>
            <w:shd w:val="clear" w:color="auto" w:fill="auto"/>
            <w:vAlign w:val="center"/>
          </w:tcPr>
          <w:p w14:paraId="5DE8C24E"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Produce research that facilitates c</w:t>
            </w:r>
            <w:r w:rsidRPr="00182E07">
              <w:rPr>
                <w:rFonts w:ascii="Garamond" w:hAnsi="Garamond" w:cs="Calibri"/>
                <w:color w:val="000000"/>
                <w:sz w:val="22"/>
                <w:szCs w:val="22"/>
              </w:rPr>
              <w:t>hanges in public debate and perception</w:t>
            </w:r>
          </w:p>
        </w:tc>
        <w:tc>
          <w:tcPr>
            <w:tcW w:w="3063" w:type="dxa"/>
            <w:tcBorders>
              <w:top w:val="dashSmallGap" w:sz="4" w:space="0" w:color="auto"/>
              <w:left w:val="nil"/>
              <w:bottom w:val="nil"/>
              <w:right w:val="nil"/>
            </w:tcBorders>
            <w:shd w:val="clear" w:color="auto" w:fill="auto"/>
            <w:vAlign w:val="center"/>
          </w:tcPr>
          <w:p w14:paraId="45732106"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r</w:t>
            </w:r>
            <w:r w:rsidRPr="00242DD5">
              <w:rPr>
                <w:rFonts w:ascii="Garamond" w:hAnsi="Garamond" w:cs="Calibri"/>
                <w:color w:val="000000"/>
                <w:sz w:val="22"/>
                <w:szCs w:val="22"/>
              </w:rPr>
              <w:t>esearch agenda</w:t>
            </w:r>
          </w:p>
        </w:tc>
      </w:tr>
      <w:tr w:rsidR="00C43579" w:rsidRPr="00182E07" w14:paraId="420D7AB4" w14:textId="77777777" w:rsidTr="00DD5500">
        <w:trPr>
          <w:trHeight w:val="311"/>
        </w:trPr>
        <w:tc>
          <w:tcPr>
            <w:tcW w:w="1211" w:type="dxa"/>
            <w:vMerge/>
            <w:tcBorders>
              <w:left w:val="nil"/>
              <w:right w:val="nil"/>
            </w:tcBorders>
            <w:shd w:val="clear" w:color="auto" w:fill="auto"/>
            <w:vAlign w:val="center"/>
          </w:tcPr>
          <w:p w14:paraId="1DB04D1D"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0F8B16B2"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val="restart"/>
            <w:tcBorders>
              <w:top w:val="nil"/>
              <w:left w:val="nil"/>
              <w:right w:val="nil"/>
            </w:tcBorders>
            <w:vAlign w:val="center"/>
          </w:tcPr>
          <w:p w14:paraId="65F2773D"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Production</w:t>
            </w:r>
          </w:p>
        </w:tc>
        <w:tc>
          <w:tcPr>
            <w:tcW w:w="2568" w:type="dxa"/>
            <w:tcBorders>
              <w:top w:val="nil"/>
              <w:left w:val="nil"/>
              <w:bottom w:val="nil"/>
              <w:right w:val="nil"/>
            </w:tcBorders>
            <w:shd w:val="clear" w:color="auto" w:fill="auto"/>
            <w:vAlign w:val="center"/>
          </w:tcPr>
          <w:p w14:paraId="21D5516E"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Outputs</w:t>
            </w:r>
          </w:p>
        </w:tc>
        <w:tc>
          <w:tcPr>
            <w:tcW w:w="4717" w:type="dxa"/>
            <w:tcBorders>
              <w:top w:val="nil"/>
              <w:left w:val="nil"/>
              <w:bottom w:val="nil"/>
              <w:right w:val="nil"/>
            </w:tcBorders>
            <w:shd w:val="clear" w:color="auto" w:fill="auto"/>
            <w:vAlign w:val="center"/>
          </w:tcPr>
          <w:p w14:paraId="0FA19C84"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 xml:space="preserve">Presentations, op </w:t>
            </w:r>
            <w:proofErr w:type="spellStart"/>
            <w:r w:rsidRPr="00242DD5">
              <w:rPr>
                <w:rFonts w:ascii="Garamond" w:hAnsi="Garamond" w:cs="Calibri"/>
                <w:color w:val="000000"/>
                <w:sz w:val="22"/>
                <w:szCs w:val="22"/>
              </w:rPr>
              <w:t>eds</w:t>
            </w:r>
            <w:proofErr w:type="spellEnd"/>
            <w:r w:rsidRPr="00242DD5">
              <w:rPr>
                <w:rFonts w:ascii="Garamond" w:hAnsi="Garamond" w:cs="Calibri"/>
                <w:color w:val="000000"/>
                <w:sz w:val="22"/>
                <w:szCs w:val="22"/>
              </w:rPr>
              <w:t>, magazine/newsletter articles, blogs</w:t>
            </w:r>
            <w:r>
              <w:rPr>
                <w:rFonts w:ascii="Garamond" w:hAnsi="Garamond" w:cs="Calibri"/>
                <w:color w:val="000000"/>
                <w:sz w:val="22"/>
                <w:szCs w:val="22"/>
              </w:rPr>
              <w:t>, d</w:t>
            </w:r>
            <w:r w:rsidRPr="00242DD5">
              <w:rPr>
                <w:rFonts w:ascii="Garamond" w:hAnsi="Garamond" w:cs="Calibri"/>
                <w:color w:val="000000"/>
                <w:sz w:val="22"/>
                <w:szCs w:val="22"/>
              </w:rPr>
              <w:t>ata visualisations and blogs</w:t>
            </w:r>
          </w:p>
        </w:tc>
        <w:tc>
          <w:tcPr>
            <w:tcW w:w="3063" w:type="dxa"/>
            <w:tcBorders>
              <w:top w:val="nil"/>
              <w:left w:val="nil"/>
              <w:bottom w:val="nil"/>
              <w:right w:val="nil"/>
            </w:tcBorders>
            <w:shd w:val="clear" w:color="auto" w:fill="auto"/>
            <w:vAlign w:val="center"/>
          </w:tcPr>
          <w:p w14:paraId="45FE263B"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r w:rsidRPr="00242DD5">
              <w:rPr>
                <w:rFonts w:ascii="Garamond" w:hAnsi="Garamond" w:cs="Calibri"/>
                <w:color w:val="000000"/>
                <w:sz w:val="22"/>
                <w:szCs w:val="22"/>
              </w:rPr>
              <w:t xml:space="preserve"> </w:t>
            </w:r>
          </w:p>
        </w:tc>
      </w:tr>
      <w:tr w:rsidR="00C43579" w:rsidRPr="00182E07" w14:paraId="65961AEA" w14:textId="77777777" w:rsidTr="00DD5500">
        <w:trPr>
          <w:trHeight w:val="311"/>
        </w:trPr>
        <w:tc>
          <w:tcPr>
            <w:tcW w:w="1211" w:type="dxa"/>
            <w:vMerge/>
            <w:tcBorders>
              <w:left w:val="nil"/>
              <w:right w:val="nil"/>
            </w:tcBorders>
            <w:shd w:val="clear" w:color="auto" w:fill="auto"/>
            <w:vAlign w:val="center"/>
          </w:tcPr>
          <w:p w14:paraId="1A2919FE"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35D6ED81"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11624B9A"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02FB0F57"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Communication</w:t>
            </w:r>
          </w:p>
        </w:tc>
        <w:tc>
          <w:tcPr>
            <w:tcW w:w="4717" w:type="dxa"/>
            <w:tcBorders>
              <w:top w:val="nil"/>
              <w:left w:val="nil"/>
              <w:bottom w:val="nil"/>
              <w:right w:val="nil"/>
            </w:tcBorders>
            <w:shd w:val="clear" w:color="auto" w:fill="auto"/>
            <w:vAlign w:val="center"/>
          </w:tcPr>
          <w:p w14:paraId="74883F83"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Blogs, press releases</w:t>
            </w:r>
            <w:r>
              <w:rPr>
                <w:rFonts w:ascii="Garamond" w:hAnsi="Garamond" w:cs="Calibri"/>
                <w:color w:val="000000"/>
                <w:sz w:val="22"/>
                <w:szCs w:val="22"/>
              </w:rPr>
              <w:t>, d</w:t>
            </w:r>
            <w:r w:rsidRPr="00242DD5">
              <w:rPr>
                <w:rFonts w:ascii="Garamond" w:hAnsi="Garamond" w:cs="Calibri"/>
                <w:color w:val="000000"/>
                <w:sz w:val="22"/>
                <w:szCs w:val="22"/>
              </w:rPr>
              <w:t xml:space="preserve">issemination via </w:t>
            </w:r>
            <w:r>
              <w:rPr>
                <w:rFonts w:ascii="Garamond" w:hAnsi="Garamond" w:cs="Calibri"/>
                <w:color w:val="000000"/>
                <w:sz w:val="22"/>
                <w:szCs w:val="22"/>
              </w:rPr>
              <w:t>social networks</w:t>
            </w:r>
          </w:p>
        </w:tc>
        <w:tc>
          <w:tcPr>
            <w:tcW w:w="3063" w:type="dxa"/>
            <w:tcBorders>
              <w:top w:val="nil"/>
              <w:left w:val="nil"/>
              <w:bottom w:val="nil"/>
              <w:right w:val="nil"/>
            </w:tcBorders>
            <w:shd w:val="clear" w:color="auto" w:fill="auto"/>
            <w:vAlign w:val="center"/>
          </w:tcPr>
          <w:p w14:paraId="29F98CAA"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6AB3C459" w14:textId="77777777" w:rsidTr="00DD5500">
        <w:trPr>
          <w:trHeight w:val="311"/>
        </w:trPr>
        <w:tc>
          <w:tcPr>
            <w:tcW w:w="1211" w:type="dxa"/>
            <w:vMerge/>
            <w:tcBorders>
              <w:left w:val="nil"/>
              <w:right w:val="nil"/>
            </w:tcBorders>
            <w:shd w:val="clear" w:color="auto" w:fill="auto"/>
            <w:vAlign w:val="center"/>
          </w:tcPr>
          <w:p w14:paraId="4A9375F3"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1620B72F" w14:textId="77777777" w:rsidR="00C43579" w:rsidRPr="00242DD5"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002039A1"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6F4F87C3"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Feedback mechanisms</w:t>
            </w:r>
          </w:p>
        </w:tc>
        <w:tc>
          <w:tcPr>
            <w:tcW w:w="4717" w:type="dxa"/>
            <w:tcBorders>
              <w:top w:val="nil"/>
              <w:left w:val="nil"/>
              <w:bottom w:val="nil"/>
              <w:right w:val="nil"/>
            </w:tcBorders>
            <w:shd w:val="clear" w:color="auto" w:fill="auto"/>
            <w:vAlign w:val="center"/>
          </w:tcPr>
          <w:p w14:paraId="59183F79"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Collegial input, feedback from readers, communications staff</w:t>
            </w:r>
            <w:r>
              <w:rPr>
                <w:rFonts w:ascii="Garamond" w:hAnsi="Garamond" w:cs="Calibri"/>
                <w:color w:val="000000"/>
                <w:sz w:val="22"/>
                <w:szCs w:val="22"/>
              </w:rPr>
              <w:t>, o</w:t>
            </w:r>
            <w:r w:rsidRPr="00242DD5">
              <w:rPr>
                <w:rFonts w:ascii="Garamond" w:hAnsi="Garamond" w:cs="Calibri"/>
                <w:color w:val="000000"/>
                <w:sz w:val="22"/>
                <w:szCs w:val="22"/>
              </w:rPr>
              <w:t>nline feedback</w:t>
            </w:r>
          </w:p>
        </w:tc>
        <w:tc>
          <w:tcPr>
            <w:tcW w:w="3063" w:type="dxa"/>
            <w:tcBorders>
              <w:top w:val="nil"/>
              <w:left w:val="nil"/>
              <w:bottom w:val="nil"/>
              <w:right w:val="nil"/>
            </w:tcBorders>
            <w:shd w:val="clear" w:color="auto" w:fill="auto"/>
            <w:vAlign w:val="center"/>
          </w:tcPr>
          <w:p w14:paraId="1247E1F2"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3963B63B" w14:textId="77777777" w:rsidTr="00DD5500">
        <w:trPr>
          <w:trHeight w:val="311"/>
        </w:trPr>
        <w:tc>
          <w:tcPr>
            <w:tcW w:w="1211" w:type="dxa"/>
            <w:vMerge/>
            <w:tcBorders>
              <w:left w:val="nil"/>
              <w:right w:val="nil"/>
            </w:tcBorders>
            <w:shd w:val="clear" w:color="auto" w:fill="auto"/>
            <w:vAlign w:val="center"/>
            <w:hideMark/>
          </w:tcPr>
          <w:p w14:paraId="0D807675"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right w:val="nil"/>
            </w:tcBorders>
            <w:shd w:val="clear" w:color="auto" w:fill="auto"/>
            <w:vAlign w:val="center"/>
            <w:hideMark/>
          </w:tcPr>
          <w:p w14:paraId="144D1E1B" w14:textId="77777777" w:rsidR="00C43579" w:rsidRPr="00242DD5" w:rsidRDefault="00C43579" w:rsidP="00DD5500">
            <w:pPr>
              <w:contextualSpacing/>
              <w:rPr>
                <w:rFonts w:ascii="Garamond" w:hAnsi="Garamond" w:cs="Calibri"/>
                <w:color w:val="000000"/>
                <w:sz w:val="22"/>
                <w:szCs w:val="22"/>
              </w:rPr>
            </w:pPr>
          </w:p>
        </w:tc>
        <w:tc>
          <w:tcPr>
            <w:tcW w:w="1612" w:type="dxa"/>
            <w:vMerge w:val="restart"/>
            <w:tcBorders>
              <w:top w:val="nil"/>
              <w:left w:val="nil"/>
              <w:right w:val="nil"/>
            </w:tcBorders>
            <w:vAlign w:val="center"/>
          </w:tcPr>
          <w:p w14:paraId="6D889CBD"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Evaluation</w:t>
            </w:r>
          </w:p>
        </w:tc>
        <w:tc>
          <w:tcPr>
            <w:tcW w:w="2568" w:type="dxa"/>
            <w:tcBorders>
              <w:top w:val="nil"/>
              <w:left w:val="nil"/>
              <w:bottom w:val="nil"/>
              <w:right w:val="nil"/>
            </w:tcBorders>
            <w:shd w:val="clear" w:color="auto" w:fill="auto"/>
            <w:vAlign w:val="center"/>
          </w:tcPr>
          <w:p w14:paraId="2CF201F0"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Outcome measures</w:t>
            </w:r>
          </w:p>
        </w:tc>
        <w:tc>
          <w:tcPr>
            <w:tcW w:w="4717" w:type="dxa"/>
            <w:tcBorders>
              <w:top w:val="nil"/>
              <w:left w:val="nil"/>
              <w:bottom w:val="nil"/>
              <w:right w:val="nil"/>
            </w:tcBorders>
            <w:shd w:val="clear" w:color="auto" w:fill="auto"/>
            <w:vAlign w:val="center"/>
          </w:tcPr>
          <w:p w14:paraId="5B4110A7"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News clippings</w:t>
            </w:r>
            <w:r>
              <w:rPr>
                <w:rFonts w:ascii="Garamond" w:hAnsi="Garamond" w:cs="Calibri"/>
                <w:color w:val="000000"/>
                <w:sz w:val="22"/>
                <w:szCs w:val="22"/>
              </w:rPr>
              <w:t>, d</w:t>
            </w:r>
            <w:r w:rsidRPr="00242DD5">
              <w:rPr>
                <w:rFonts w:ascii="Garamond" w:hAnsi="Garamond" w:cs="Calibri"/>
                <w:color w:val="000000"/>
                <w:sz w:val="22"/>
                <w:szCs w:val="22"/>
              </w:rPr>
              <w:t>ownload</w:t>
            </w:r>
            <w:r>
              <w:rPr>
                <w:rFonts w:ascii="Garamond" w:hAnsi="Garamond" w:cs="Calibri"/>
                <w:color w:val="000000"/>
                <w:sz w:val="22"/>
                <w:szCs w:val="22"/>
              </w:rPr>
              <w:t>s</w:t>
            </w:r>
            <w:r w:rsidRPr="00242DD5">
              <w:rPr>
                <w:rFonts w:ascii="Garamond" w:hAnsi="Garamond" w:cs="Calibri"/>
                <w:color w:val="000000"/>
                <w:sz w:val="22"/>
                <w:szCs w:val="22"/>
              </w:rPr>
              <w:t xml:space="preserve"> of press briefings, news citations, social media</w:t>
            </w:r>
          </w:p>
        </w:tc>
        <w:tc>
          <w:tcPr>
            <w:tcW w:w="3063" w:type="dxa"/>
            <w:tcBorders>
              <w:top w:val="nil"/>
              <w:left w:val="nil"/>
              <w:bottom w:val="nil"/>
              <w:right w:val="nil"/>
            </w:tcBorders>
            <w:shd w:val="clear" w:color="auto" w:fill="auto"/>
            <w:vAlign w:val="center"/>
          </w:tcPr>
          <w:p w14:paraId="6A28C6E9"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1641DBBC" w14:textId="77777777" w:rsidTr="00DD5500">
        <w:trPr>
          <w:trHeight w:val="328"/>
        </w:trPr>
        <w:tc>
          <w:tcPr>
            <w:tcW w:w="1211" w:type="dxa"/>
            <w:vMerge/>
            <w:tcBorders>
              <w:left w:val="nil"/>
              <w:bottom w:val="dashSmallGap" w:sz="4" w:space="0" w:color="auto"/>
              <w:right w:val="nil"/>
            </w:tcBorders>
            <w:shd w:val="clear" w:color="auto" w:fill="auto"/>
            <w:vAlign w:val="center"/>
            <w:hideMark/>
          </w:tcPr>
          <w:p w14:paraId="4152CA41"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bottom w:val="dashSmallGap" w:sz="4" w:space="0" w:color="auto"/>
              <w:right w:val="nil"/>
            </w:tcBorders>
            <w:shd w:val="clear" w:color="auto" w:fill="auto"/>
            <w:vAlign w:val="center"/>
            <w:hideMark/>
          </w:tcPr>
          <w:p w14:paraId="2025EAC5" w14:textId="77777777" w:rsidR="00C43579" w:rsidRPr="00242DD5" w:rsidRDefault="00C43579" w:rsidP="00DD5500">
            <w:pPr>
              <w:contextualSpacing/>
              <w:rPr>
                <w:rFonts w:ascii="Garamond" w:hAnsi="Garamond" w:cs="Calibri"/>
                <w:color w:val="000000"/>
                <w:sz w:val="22"/>
                <w:szCs w:val="22"/>
              </w:rPr>
            </w:pPr>
          </w:p>
        </w:tc>
        <w:tc>
          <w:tcPr>
            <w:tcW w:w="1612" w:type="dxa"/>
            <w:vMerge/>
            <w:tcBorders>
              <w:left w:val="nil"/>
              <w:bottom w:val="dashSmallGap" w:sz="4" w:space="0" w:color="auto"/>
              <w:right w:val="nil"/>
            </w:tcBorders>
            <w:vAlign w:val="center"/>
          </w:tcPr>
          <w:p w14:paraId="69AC4228"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dashSmallGap" w:sz="4" w:space="0" w:color="auto"/>
              <w:right w:val="nil"/>
            </w:tcBorders>
            <w:shd w:val="clear" w:color="auto" w:fill="auto"/>
            <w:vAlign w:val="center"/>
          </w:tcPr>
          <w:p w14:paraId="1072FA63"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Impact assessment</w:t>
            </w:r>
          </w:p>
        </w:tc>
        <w:tc>
          <w:tcPr>
            <w:tcW w:w="4717" w:type="dxa"/>
            <w:tcBorders>
              <w:top w:val="nil"/>
              <w:left w:val="nil"/>
              <w:bottom w:val="dashSmallGap" w:sz="4" w:space="0" w:color="auto"/>
              <w:right w:val="nil"/>
            </w:tcBorders>
            <w:shd w:val="clear" w:color="auto" w:fill="auto"/>
            <w:vAlign w:val="center"/>
          </w:tcPr>
          <w:p w14:paraId="25FC5320"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Media analysis</w:t>
            </w:r>
            <w:r>
              <w:rPr>
                <w:rFonts w:ascii="Garamond" w:hAnsi="Garamond" w:cs="Calibri"/>
                <w:color w:val="000000"/>
                <w:sz w:val="22"/>
                <w:szCs w:val="22"/>
              </w:rPr>
              <w:t>, n</w:t>
            </w:r>
            <w:r w:rsidRPr="00242DD5">
              <w:rPr>
                <w:rFonts w:ascii="Garamond" w:hAnsi="Garamond" w:cs="Calibri"/>
                <w:color w:val="000000"/>
                <w:sz w:val="22"/>
                <w:szCs w:val="22"/>
              </w:rPr>
              <w:t>etwork analysis, text mining</w:t>
            </w:r>
          </w:p>
        </w:tc>
        <w:tc>
          <w:tcPr>
            <w:tcW w:w="3063" w:type="dxa"/>
            <w:tcBorders>
              <w:top w:val="nil"/>
              <w:left w:val="nil"/>
              <w:bottom w:val="dashSmallGap" w:sz="4" w:space="0" w:color="auto"/>
              <w:right w:val="nil"/>
            </w:tcBorders>
            <w:shd w:val="clear" w:color="auto" w:fill="auto"/>
            <w:vAlign w:val="center"/>
          </w:tcPr>
          <w:p w14:paraId="5C0DBE14"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2FEF6A15" w14:textId="77777777" w:rsidTr="00DD5500">
        <w:trPr>
          <w:trHeight w:val="328"/>
        </w:trPr>
        <w:tc>
          <w:tcPr>
            <w:tcW w:w="1211" w:type="dxa"/>
            <w:vMerge w:val="restart"/>
            <w:tcBorders>
              <w:top w:val="dashSmallGap" w:sz="4" w:space="0" w:color="auto"/>
              <w:left w:val="nil"/>
              <w:right w:val="nil"/>
            </w:tcBorders>
            <w:shd w:val="clear" w:color="auto" w:fill="auto"/>
            <w:vAlign w:val="center"/>
          </w:tcPr>
          <w:p w14:paraId="7797864C" w14:textId="77777777" w:rsidR="00C43579" w:rsidRPr="00242DD5" w:rsidRDefault="00C43579" w:rsidP="00DD5500">
            <w:pPr>
              <w:contextualSpacing/>
              <w:rPr>
                <w:rFonts w:ascii="Garamond" w:hAnsi="Garamond" w:cs="Calibri"/>
                <w:color w:val="000000" w:themeColor="text1"/>
                <w:sz w:val="22"/>
                <w:szCs w:val="22"/>
              </w:rPr>
            </w:pPr>
            <w:r w:rsidRPr="00242DD5">
              <w:rPr>
                <w:rFonts w:ascii="Garamond" w:hAnsi="Garamond" w:cs="Calibri"/>
                <w:color w:val="000000" w:themeColor="text1"/>
                <w:sz w:val="22"/>
                <w:szCs w:val="22"/>
              </w:rPr>
              <w:t>Economic</w:t>
            </w:r>
          </w:p>
        </w:tc>
        <w:tc>
          <w:tcPr>
            <w:tcW w:w="1430" w:type="dxa"/>
            <w:vMerge w:val="restart"/>
            <w:tcBorders>
              <w:top w:val="dashSmallGap" w:sz="4" w:space="0" w:color="auto"/>
              <w:left w:val="nil"/>
              <w:right w:val="nil"/>
            </w:tcBorders>
            <w:shd w:val="clear" w:color="auto" w:fill="auto"/>
            <w:vAlign w:val="center"/>
          </w:tcPr>
          <w:p w14:paraId="0B080AFF" w14:textId="77777777" w:rsidR="00C43579" w:rsidRDefault="00C43579" w:rsidP="00DD5500">
            <w:pPr>
              <w:contextualSpacing/>
              <w:rPr>
                <w:rFonts w:ascii="Garamond" w:hAnsi="Garamond" w:cs="Calibri"/>
                <w:color w:val="000000" w:themeColor="text1"/>
                <w:sz w:val="22"/>
                <w:szCs w:val="22"/>
              </w:rPr>
            </w:pPr>
            <w:r>
              <w:rPr>
                <w:rFonts w:ascii="Garamond" w:hAnsi="Garamond" w:cs="Calibri"/>
                <w:color w:val="000000" w:themeColor="text1"/>
                <w:sz w:val="22"/>
                <w:szCs w:val="22"/>
              </w:rPr>
              <w:t>Weight</w:t>
            </w:r>
          </w:p>
        </w:tc>
        <w:tc>
          <w:tcPr>
            <w:tcW w:w="1612" w:type="dxa"/>
            <w:tcBorders>
              <w:top w:val="dashSmallGap" w:sz="4" w:space="0" w:color="auto"/>
              <w:left w:val="nil"/>
              <w:right w:val="nil"/>
            </w:tcBorders>
            <w:vAlign w:val="center"/>
          </w:tcPr>
          <w:p w14:paraId="4E9A9601"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Design</w:t>
            </w:r>
          </w:p>
        </w:tc>
        <w:tc>
          <w:tcPr>
            <w:tcW w:w="2568" w:type="dxa"/>
            <w:tcBorders>
              <w:top w:val="dashSmallGap" w:sz="4" w:space="0" w:color="auto"/>
              <w:left w:val="nil"/>
              <w:bottom w:val="nil"/>
              <w:right w:val="nil"/>
            </w:tcBorders>
            <w:shd w:val="clear" w:color="auto" w:fill="auto"/>
            <w:vAlign w:val="center"/>
          </w:tcPr>
          <w:p w14:paraId="1B797523"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Aim</w:t>
            </w:r>
          </w:p>
        </w:tc>
        <w:tc>
          <w:tcPr>
            <w:tcW w:w="4717" w:type="dxa"/>
            <w:tcBorders>
              <w:top w:val="dashSmallGap" w:sz="4" w:space="0" w:color="auto"/>
              <w:left w:val="nil"/>
              <w:bottom w:val="nil"/>
              <w:right w:val="nil"/>
            </w:tcBorders>
            <w:shd w:val="clear" w:color="auto" w:fill="auto"/>
            <w:vAlign w:val="center"/>
          </w:tcPr>
          <w:p w14:paraId="1D8F9237"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Produce research that facilitates e</w:t>
            </w:r>
            <w:r w:rsidRPr="00242DD5">
              <w:rPr>
                <w:rFonts w:ascii="Garamond" w:hAnsi="Garamond" w:cs="Calibri"/>
                <w:color w:val="000000"/>
                <w:sz w:val="22"/>
                <w:szCs w:val="22"/>
              </w:rPr>
              <w:t>conomic changes</w:t>
            </w:r>
          </w:p>
        </w:tc>
        <w:tc>
          <w:tcPr>
            <w:tcW w:w="3063" w:type="dxa"/>
            <w:tcBorders>
              <w:top w:val="dashSmallGap" w:sz="4" w:space="0" w:color="auto"/>
              <w:left w:val="nil"/>
              <w:bottom w:val="nil"/>
              <w:right w:val="nil"/>
            </w:tcBorders>
            <w:shd w:val="clear" w:color="auto" w:fill="auto"/>
            <w:vAlign w:val="center"/>
          </w:tcPr>
          <w:p w14:paraId="27E8FAEF"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r</w:t>
            </w:r>
            <w:r w:rsidRPr="00242DD5">
              <w:rPr>
                <w:rFonts w:ascii="Garamond" w:hAnsi="Garamond" w:cs="Calibri"/>
                <w:color w:val="000000"/>
                <w:sz w:val="22"/>
                <w:szCs w:val="22"/>
              </w:rPr>
              <w:t>esearch agenda</w:t>
            </w:r>
          </w:p>
        </w:tc>
      </w:tr>
      <w:tr w:rsidR="00C43579" w:rsidRPr="00182E07" w14:paraId="07DE586D" w14:textId="77777777" w:rsidTr="00DD5500">
        <w:trPr>
          <w:trHeight w:val="328"/>
        </w:trPr>
        <w:tc>
          <w:tcPr>
            <w:tcW w:w="1211" w:type="dxa"/>
            <w:vMerge/>
            <w:tcBorders>
              <w:left w:val="nil"/>
              <w:right w:val="nil"/>
            </w:tcBorders>
            <w:shd w:val="clear" w:color="auto" w:fill="auto"/>
            <w:vAlign w:val="center"/>
          </w:tcPr>
          <w:p w14:paraId="0EC57781"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48865B77" w14:textId="77777777" w:rsidR="00C43579" w:rsidRDefault="00C43579" w:rsidP="00DD5500">
            <w:pPr>
              <w:contextualSpacing/>
              <w:rPr>
                <w:rFonts w:ascii="Garamond" w:hAnsi="Garamond" w:cs="Calibri"/>
                <w:color w:val="000000" w:themeColor="text1"/>
                <w:sz w:val="22"/>
                <w:szCs w:val="22"/>
              </w:rPr>
            </w:pPr>
          </w:p>
        </w:tc>
        <w:tc>
          <w:tcPr>
            <w:tcW w:w="1612" w:type="dxa"/>
            <w:vMerge w:val="restart"/>
            <w:tcBorders>
              <w:top w:val="nil"/>
              <w:left w:val="nil"/>
              <w:right w:val="nil"/>
            </w:tcBorders>
            <w:vAlign w:val="center"/>
          </w:tcPr>
          <w:p w14:paraId="656FC8A2"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Production</w:t>
            </w:r>
          </w:p>
        </w:tc>
        <w:tc>
          <w:tcPr>
            <w:tcW w:w="2568" w:type="dxa"/>
            <w:tcBorders>
              <w:top w:val="nil"/>
              <w:left w:val="nil"/>
              <w:bottom w:val="nil"/>
              <w:right w:val="nil"/>
            </w:tcBorders>
            <w:shd w:val="clear" w:color="auto" w:fill="auto"/>
            <w:vAlign w:val="center"/>
          </w:tcPr>
          <w:p w14:paraId="0C70D7FB"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Outputs</w:t>
            </w:r>
          </w:p>
        </w:tc>
        <w:tc>
          <w:tcPr>
            <w:tcW w:w="4717" w:type="dxa"/>
            <w:tcBorders>
              <w:top w:val="nil"/>
              <w:left w:val="nil"/>
              <w:bottom w:val="nil"/>
              <w:right w:val="nil"/>
            </w:tcBorders>
            <w:shd w:val="clear" w:color="auto" w:fill="auto"/>
            <w:vAlign w:val="center"/>
          </w:tcPr>
          <w:p w14:paraId="601A6597"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Consultant/contracted reports, presentations</w:t>
            </w:r>
            <w:r>
              <w:rPr>
                <w:rFonts w:ascii="Garamond" w:hAnsi="Garamond" w:cs="Calibri"/>
                <w:color w:val="000000"/>
                <w:sz w:val="22"/>
                <w:szCs w:val="22"/>
              </w:rPr>
              <w:t>, d</w:t>
            </w:r>
            <w:r w:rsidRPr="00242DD5">
              <w:rPr>
                <w:rFonts w:ascii="Garamond" w:hAnsi="Garamond" w:cs="Calibri"/>
                <w:color w:val="000000"/>
                <w:sz w:val="22"/>
                <w:szCs w:val="22"/>
              </w:rPr>
              <w:t>atasets, software, online products</w:t>
            </w:r>
            <w:r>
              <w:rPr>
                <w:rFonts w:ascii="Garamond" w:hAnsi="Garamond" w:cs="Calibri"/>
                <w:color w:val="000000"/>
                <w:sz w:val="22"/>
                <w:szCs w:val="22"/>
              </w:rPr>
              <w:t>, apps</w:t>
            </w:r>
          </w:p>
        </w:tc>
        <w:tc>
          <w:tcPr>
            <w:tcW w:w="3063" w:type="dxa"/>
            <w:tcBorders>
              <w:top w:val="nil"/>
              <w:left w:val="nil"/>
              <w:bottom w:val="nil"/>
              <w:right w:val="nil"/>
            </w:tcBorders>
            <w:shd w:val="clear" w:color="auto" w:fill="auto"/>
            <w:vAlign w:val="center"/>
          </w:tcPr>
          <w:p w14:paraId="6FB82E8A"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r w:rsidRPr="00242DD5">
              <w:rPr>
                <w:rFonts w:ascii="Garamond" w:hAnsi="Garamond" w:cs="Calibri"/>
                <w:color w:val="000000"/>
                <w:sz w:val="22"/>
                <w:szCs w:val="22"/>
              </w:rPr>
              <w:t xml:space="preserve"> </w:t>
            </w:r>
          </w:p>
        </w:tc>
      </w:tr>
      <w:tr w:rsidR="00C43579" w:rsidRPr="00182E07" w14:paraId="7FAA3A6C" w14:textId="77777777" w:rsidTr="00DD5500">
        <w:trPr>
          <w:trHeight w:val="328"/>
        </w:trPr>
        <w:tc>
          <w:tcPr>
            <w:tcW w:w="1211" w:type="dxa"/>
            <w:vMerge/>
            <w:tcBorders>
              <w:left w:val="nil"/>
              <w:right w:val="nil"/>
            </w:tcBorders>
            <w:shd w:val="clear" w:color="auto" w:fill="auto"/>
            <w:vAlign w:val="center"/>
          </w:tcPr>
          <w:p w14:paraId="77F2FD79"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3FF30DC8" w14:textId="77777777" w:rsidR="00C43579"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6A649130"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2F22CEFB"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 xml:space="preserve">Communications </w:t>
            </w:r>
          </w:p>
        </w:tc>
        <w:tc>
          <w:tcPr>
            <w:tcW w:w="4717" w:type="dxa"/>
            <w:tcBorders>
              <w:top w:val="nil"/>
              <w:left w:val="nil"/>
              <w:bottom w:val="nil"/>
              <w:right w:val="nil"/>
            </w:tcBorders>
            <w:shd w:val="clear" w:color="auto" w:fill="auto"/>
            <w:vAlign w:val="center"/>
          </w:tcPr>
          <w:p w14:paraId="656B4647"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Consulting, training courses, briefings for clients</w:t>
            </w:r>
            <w:r>
              <w:rPr>
                <w:rFonts w:ascii="Garamond" w:hAnsi="Garamond" w:cs="Calibri"/>
                <w:color w:val="000000"/>
                <w:sz w:val="22"/>
                <w:szCs w:val="22"/>
              </w:rPr>
              <w:t>, o</w:t>
            </w:r>
            <w:r w:rsidRPr="00242DD5">
              <w:rPr>
                <w:rFonts w:ascii="Garamond" w:hAnsi="Garamond" w:cs="Calibri"/>
                <w:color w:val="000000"/>
                <w:sz w:val="22"/>
                <w:szCs w:val="22"/>
              </w:rPr>
              <w:t>nline dissemination</w:t>
            </w:r>
          </w:p>
        </w:tc>
        <w:tc>
          <w:tcPr>
            <w:tcW w:w="3063" w:type="dxa"/>
            <w:tcBorders>
              <w:top w:val="nil"/>
              <w:left w:val="nil"/>
              <w:bottom w:val="nil"/>
              <w:right w:val="nil"/>
            </w:tcBorders>
            <w:shd w:val="clear" w:color="auto" w:fill="auto"/>
            <w:vAlign w:val="center"/>
          </w:tcPr>
          <w:p w14:paraId="5F73FC7D"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3D662DEE" w14:textId="77777777" w:rsidTr="00DD5500">
        <w:trPr>
          <w:trHeight w:val="328"/>
        </w:trPr>
        <w:tc>
          <w:tcPr>
            <w:tcW w:w="1211" w:type="dxa"/>
            <w:vMerge/>
            <w:tcBorders>
              <w:left w:val="nil"/>
              <w:right w:val="nil"/>
            </w:tcBorders>
            <w:shd w:val="clear" w:color="auto" w:fill="auto"/>
            <w:vAlign w:val="center"/>
          </w:tcPr>
          <w:p w14:paraId="40903A78" w14:textId="77777777" w:rsidR="00C43579" w:rsidRPr="00242DD5" w:rsidRDefault="00C43579" w:rsidP="00DD5500">
            <w:pPr>
              <w:contextualSpacing/>
              <w:rPr>
                <w:rFonts w:ascii="Garamond" w:hAnsi="Garamond" w:cs="Calibri"/>
                <w:color w:val="000000" w:themeColor="text1"/>
                <w:sz w:val="22"/>
                <w:szCs w:val="22"/>
              </w:rPr>
            </w:pPr>
          </w:p>
        </w:tc>
        <w:tc>
          <w:tcPr>
            <w:tcW w:w="1430" w:type="dxa"/>
            <w:vMerge/>
            <w:tcBorders>
              <w:left w:val="nil"/>
              <w:right w:val="nil"/>
            </w:tcBorders>
            <w:shd w:val="clear" w:color="auto" w:fill="auto"/>
            <w:vAlign w:val="center"/>
          </w:tcPr>
          <w:p w14:paraId="781FE389" w14:textId="77777777" w:rsidR="00C43579" w:rsidRDefault="00C43579" w:rsidP="00DD5500">
            <w:pPr>
              <w:contextualSpacing/>
              <w:rPr>
                <w:rFonts w:ascii="Garamond" w:hAnsi="Garamond" w:cs="Calibri"/>
                <w:color w:val="000000" w:themeColor="text1"/>
                <w:sz w:val="22"/>
                <w:szCs w:val="22"/>
              </w:rPr>
            </w:pPr>
          </w:p>
        </w:tc>
        <w:tc>
          <w:tcPr>
            <w:tcW w:w="1612" w:type="dxa"/>
            <w:vMerge/>
            <w:tcBorders>
              <w:left w:val="nil"/>
              <w:right w:val="nil"/>
            </w:tcBorders>
            <w:vAlign w:val="center"/>
          </w:tcPr>
          <w:p w14:paraId="7A68E5B8"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nil"/>
              <w:right w:val="nil"/>
            </w:tcBorders>
            <w:shd w:val="clear" w:color="auto" w:fill="auto"/>
            <w:vAlign w:val="center"/>
          </w:tcPr>
          <w:p w14:paraId="2541B3DD"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Feedback mechanisms</w:t>
            </w:r>
          </w:p>
        </w:tc>
        <w:tc>
          <w:tcPr>
            <w:tcW w:w="4717" w:type="dxa"/>
            <w:tcBorders>
              <w:top w:val="nil"/>
              <w:left w:val="nil"/>
              <w:bottom w:val="nil"/>
              <w:right w:val="nil"/>
            </w:tcBorders>
            <w:shd w:val="clear" w:color="auto" w:fill="auto"/>
            <w:vAlign w:val="center"/>
          </w:tcPr>
          <w:p w14:paraId="649DEE0A" w14:textId="77777777" w:rsidR="00C43579"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Collegial input, feedback from clients, m</w:t>
            </w:r>
            <w:r>
              <w:rPr>
                <w:rFonts w:ascii="Garamond" w:hAnsi="Garamond" w:cs="Calibri"/>
                <w:color w:val="000000"/>
                <w:sz w:val="22"/>
                <w:szCs w:val="22"/>
              </w:rPr>
              <w:t>anagement, o</w:t>
            </w:r>
            <w:r w:rsidRPr="00242DD5">
              <w:rPr>
                <w:rFonts w:ascii="Garamond" w:hAnsi="Garamond" w:cs="Calibri"/>
                <w:color w:val="000000"/>
                <w:sz w:val="22"/>
                <w:szCs w:val="22"/>
              </w:rPr>
              <w:t>nline feedback</w:t>
            </w:r>
          </w:p>
        </w:tc>
        <w:tc>
          <w:tcPr>
            <w:tcW w:w="3063" w:type="dxa"/>
            <w:tcBorders>
              <w:top w:val="nil"/>
              <w:left w:val="nil"/>
              <w:bottom w:val="nil"/>
              <w:right w:val="nil"/>
            </w:tcBorders>
            <w:shd w:val="clear" w:color="auto" w:fill="auto"/>
            <w:vAlign w:val="center"/>
          </w:tcPr>
          <w:p w14:paraId="19C1DDC9" w14:textId="77777777" w:rsidR="00C43579" w:rsidRPr="00242DD5" w:rsidRDefault="00C43579" w:rsidP="00DD5500">
            <w:pPr>
              <w:contextualSpacing/>
              <w:rPr>
                <w:rFonts w:ascii="Garamond" w:hAnsi="Garamond" w:cs="Calibri"/>
                <w:color w:val="000000"/>
                <w:sz w:val="22"/>
                <w:szCs w:val="22"/>
              </w:rPr>
            </w:pPr>
            <w:r>
              <w:rPr>
                <w:rFonts w:ascii="Garamond" w:hAnsi="Garamond" w:cs="Calibri"/>
                <w:color w:val="000000"/>
                <w:sz w:val="22"/>
                <w:szCs w:val="22"/>
              </w:rPr>
              <w:t>Concern with investment</w:t>
            </w:r>
          </w:p>
        </w:tc>
      </w:tr>
      <w:tr w:rsidR="00C43579" w:rsidRPr="00182E07" w14:paraId="0BE10991" w14:textId="77777777" w:rsidTr="00DD5500">
        <w:trPr>
          <w:trHeight w:val="328"/>
        </w:trPr>
        <w:tc>
          <w:tcPr>
            <w:tcW w:w="1211" w:type="dxa"/>
            <w:vMerge/>
            <w:tcBorders>
              <w:left w:val="nil"/>
              <w:right w:val="nil"/>
            </w:tcBorders>
            <w:shd w:val="clear" w:color="auto" w:fill="auto"/>
            <w:vAlign w:val="center"/>
            <w:hideMark/>
          </w:tcPr>
          <w:p w14:paraId="13FCC8FF"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right w:val="nil"/>
            </w:tcBorders>
            <w:shd w:val="clear" w:color="auto" w:fill="auto"/>
            <w:vAlign w:val="center"/>
            <w:hideMark/>
          </w:tcPr>
          <w:p w14:paraId="63B7A7B1" w14:textId="77777777" w:rsidR="00C43579" w:rsidRPr="00242DD5" w:rsidRDefault="00C43579" w:rsidP="00DD5500">
            <w:pPr>
              <w:contextualSpacing/>
              <w:rPr>
                <w:rFonts w:ascii="Garamond" w:hAnsi="Garamond" w:cs="Calibri"/>
                <w:color w:val="000000"/>
                <w:sz w:val="22"/>
                <w:szCs w:val="22"/>
              </w:rPr>
            </w:pPr>
          </w:p>
        </w:tc>
        <w:tc>
          <w:tcPr>
            <w:tcW w:w="1612" w:type="dxa"/>
            <w:vMerge w:val="restart"/>
            <w:tcBorders>
              <w:top w:val="nil"/>
              <w:left w:val="nil"/>
              <w:right w:val="nil"/>
            </w:tcBorders>
            <w:vAlign w:val="center"/>
          </w:tcPr>
          <w:p w14:paraId="17A90EF7" w14:textId="77777777" w:rsidR="00C43579" w:rsidRPr="00DF575F" w:rsidRDefault="00C43579" w:rsidP="00DD5500">
            <w:pPr>
              <w:contextualSpacing/>
              <w:rPr>
                <w:rFonts w:ascii="Garamond" w:hAnsi="Garamond" w:cs="Calibri"/>
                <w:color w:val="000000"/>
                <w:sz w:val="22"/>
                <w:szCs w:val="22"/>
              </w:rPr>
            </w:pPr>
            <w:r w:rsidRPr="00DF575F">
              <w:rPr>
                <w:rFonts w:ascii="Garamond" w:hAnsi="Garamond" w:cs="Calibri"/>
                <w:color w:val="000000"/>
                <w:sz w:val="22"/>
                <w:szCs w:val="22"/>
              </w:rPr>
              <w:t>Evaluation</w:t>
            </w:r>
          </w:p>
        </w:tc>
        <w:tc>
          <w:tcPr>
            <w:tcW w:w="2568" w:type="dxa"/>
            <w:tcBorders>
              <w:top w:val="nil"/>
              <w:left w:val="nil"/>
              <w:bottom w:val="nil"/>
              <w:right w:val="nil"/>
            </w:tcBorders>
            <w:shd w:val="clear" w:color="auto" w:fill="auto"/>
            <w:vAlign w:val="center"/>
          </w:tcPr>
          <w:p w14:paraId="4BAFCF27"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Outcome measures</w:t>
            </w:r>
          </w:p>
        </w:tc>
        <w:tc>
          <w:tcPr>
            <w:tcW w:w="4717" w:type="dxa"/>
            <w:tcBorders>
              <w:top w:val="nil"/>
              <w:left w:val="nil"/>
              <w:bottom w:val="nil"/>
              <w:right w:val="nil"/>
            </w:tcBorders>
            <w:shd w:val="clear" w:color="auto" w:fill="auto"/>
            <w:vAlign w:val="center"/>
          </w:tcPr>
          <w:p w14:paraId="32AAF890" w14:textId="77777777" w:rsidR="00C43579" w:rsidRDefault="00C43579" w:rsidP="00DD5500">
            <w:pPr>
              <w:contextualSpacing/>
              <w:rPr>
                <w:rFonts w:ascii="Garamond" w:hAnsi="Garamond" w:cs="Calibri"/>
                <w:color w:val="000000"/>
                <w:sz w:val="22"/>
                <w:szCs w:val="22"/>
              </w:rPr>
            </w:pPr>
            <w:r>
              <w:rPr>
                <w:rFonts w:ascii="Garamond" w:hAnsi="Garamond" w:cs="Calibri"/>
                <w:color w:val="000000"/>
                <w:sz w:val="22"/>
                <w:szCs w:val="22"/>
              </w:rPr>
              <w:t>E</w:t>
            </w:r>
            <w:r w:rsidRPr="0060367C">
              <w:rPr>
                <w:rFonts w:ascii="Garamond" w:hAnsi="Garamond" w:cs="Calibri"/>
                <w:color w:val="000000"/>
                <w:sz w:val="22"/>
                <w:szCs w:val="22"/>
              </w:rPr>
              <w:t>conometrics and statistic</w:t>
            </w:r>
            <w:r>
              <w:rPr>
                <w:rFonts w:ascii="Garamond" w:hAnsi="Garamond" w:cs="Calibri"/>
                <w:color w:val="000000"/>
                <w:sz w:val="22"/>
                <w:szCs w:val="22"/>
              </w:rPr>
              <w:t xml:space="preserve">s, </w:t>
            </w:r>
            <w:r w:rsidRPr="0060367C">
              <w:rPr>
                <w:rFonts w:ascii="Garamond" w:hAnsi="Garamond" w:cs="Calibri"/>
                <w:color w:val="000000"/>
                <w:sz w:val="22"/>
                <w:szCs w:val="22"/>
              </w:rPr>
              <w:t>revenue</w:t>
            </w:r>
            <w:r>
              <w:rPr>
                <w:rFonts w:ascii="Garamond" w:hAnsi="Garamond" w:cs="Calibri"/>
                <w:color w:val="000000"/>
                <w:sz w:val="22"/>
                <w:szCs w:val="22"/>
              </w:rPr>
              <w:t xml:space="preserve">, </w:t>
            </w:r>
            <w:r w:rsidRPr="0060367C">
              <w:rPr>
                <w:rFonts w:ascii="Garamond" w:hAnsi="Garamond" w:cs="Calibri"/>
                <w:color w:val="000000"/>
                <w:sz w:val="22"/>
                <w:szCs w:val="22"/>
              </w:rPr>
              <w:t>intellectual property</w:t>
            </w:r>
            <w:r>
              <w:rPr>
                <w:rFonts w:ascii="Garamond" w:hAnsi="Garamond" w:cs="Calibri"/>
                <w:color w:val="000000"/>
                <w:sz w:val="22"/>
                <w:szCs w:val="22"/>
              </w:rPr>
              <w:t xml:space="preserve"> and sales, download counts of reports</w:t>
            </w:r>
            <w:r w:rsidRPr="00242DD5">
              <w:rPr>
                <w:rFonts w:ascii="Garamond" w:hAnsi="Garamond" w:cs="Calibri"/>
                <w:color w:val="000000"/>
                <w:sz w:val="22"/>
                <w:szCs w:val="22"/>
              </w:rPr>
              <w:t xml:space="preserve">, usage counts for datasets, software, and products, </w:t>
            </w:r>
            <w:r>
              <w:rPr>
                <w:rFonts w:ascii="Garamond" w:hAnsi="Garamond" w:cs="Calibri"/>
                <w:color w:val="000000"/>
                <w:sz w:val="22"/>
                <w:szCs w:val="22"/>
              </w:rPr>
              <w:t>administrative data, a</w:t>
            </w:r>
            <w:r w:rsidRPr="00242DD5">
              <w:rPr>
                <w:rFonts w:ascii="Garamond" w:hAnsi="Garamond" w:cs="Calibri"/>
                <w:color w:val="000000"/>
                <w:sz w:val="22"/>
                <w:szCs w:val="22"/>
              </w:rPr>
              <w:t xml:space="preserve">ggregate </w:t>
            </w:r>
            <w:r>
              <w:rPr>
                <w:rFonts w:ascii="Garamond" w:hAnsi="Garamond" w:cs="Calibri"/>
                <w:color w:val="000000"/>
                <w:sz w:val="22"/>
                <w:szCs w:val="22"/>
              </w:rPr>
              <w:t>‘alternative metrics’</w:t>
            </w:r>
          </w:p>
          <w:p w14:paraId="640E8DA4" w14:textId="77777777" w:rsidR="00C43579" w:rsidRPr="00242DD5" w:rsidRDefault="00C43579" w:rsidP="00DD5500">
            <w:pPr>
              <w:contextualSpacing/>
              <w:rPr>
                <w:rFonts w:ascii="Garamond" w:hAnsi="Garamond" w:cs="Calibri"/>
                <w:color w:val="000000"/>
                <w:sz w:val="22"/>
                <w:szCs w:val="22"/>
              </w:rPr>
            </w:pPr>
          </w:p>
        </w:tc>
        <w:tc>
          <w:tcPr>
            <w:tcW w:w="3063" w:type="dxa"/>
            <w:tcBorders>
              <w:top w:val="nil"/>
              <w:left w:val="nil"/>
              <w:bottom w:val="nil"/>
              <w:right w:val="nil"/>
            </w:tcBorders>
            <w:shd w:val="clear" w:color="auto" w:fill="auto"/>
            <w:vAlign w:val="center"/>
          </w:tcPr>
          <w:p w14:paraId="1D5CCAE9"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r w:rsidR="00C43579" w:rsidRPr="00182E07" w14:paraId="3AA5DD43" w14:textId="77777777" w:rsidTr="00DD5500">
        <w:trPr>
          <w:trHeight w:val="328"/>
        </w:trPr>
        <w:tc>
          <w:tcPr>
            <w:tcW w:w="1211" w:type="dxa"/>
            <w:vMerge/>
            <w:tcBorders>
              <w:left w:val="nil"/>
              <w:bottom w:val="dashSmallGap" w:sz="4" w:space="0" w:color="auto"/>
              <w:right w:val="nil"/>
            </w:tcBorders>
            <w:shd w:val="clear" w:color="auto" w:fill="auto"/>
            <w:vAlign w:val="center"/>
            <w:hideMark/>
          </w:tcPr>
          <w:p w14:paraId="5338A6A3" w14:textId="77777777" w:rsidR="00C43579" w:rsidRPr="00242DD5" w:rsidRDefault="00C43579" w:rsidP="00DD5500">
            <w:pPr>
              <w:contextualSpacing/>
              <w:rPr>
                <w:rFonts w:ascii="Garamond" w:hAnsi="Garamond" w:cs="Calibri"/>
                <w:color w:val="000000"/>
                <w:sz w:val="22"/>
                <w:szCs w:val="22"/>
              </w:rPr>
            </w:pPr>
          </w:p>
        </w:tc>
        <w:tc>
          <w:tcPr>
            <w:tcW w:w="1430" w:type="dxa"/>
            <w:vMerge/>
            <w:tcBorders>
              <w:left w:val="nil"/>
              <w:bottom w:val="dashSmallGap" w:sz="4" w:space="0" w:color="auto"/>
              <w:right w:val="nil"/>
            </w:tcBorders>
            <w:shd w:val="clear" w:color="auto" w:fill="auto"/>
            <w:vAlign w:val="center"/>
            <w:hideMark/>
          </w:tcPr>
          <w:p w14:paraId="3F5DA670" w14:textId="77777777" w:rsidR="00C43579" w:rsidRPr="00242DD5" w:rsidRDefault="00C43579" w:rsidP="00DD5500">
            <w:pPr>
              <w:contextualSpacing/>
              <w:rPr>
                <w:rFonts w:ascii="Garamond" w:hAnsi="Garamond" w:cs="Calibri"/>
                <w:color w:val="000000"/>
                <w:sz w:val="22"/>
                <w:szCs w:val="22"/>
              </w:rPr>
            </w:pPr>
          </w:p>
        </w:tc>
        <w:tc>
          <w:tcPr>
            <w:tcW w:w="1612" w:type="dxa"/>
            <w:vMerge/>
            <w:tcBorders>
              <w:left w:val="nil"/>
              <w:bottom w:val="dashSmallGap" w:sz="4" w:space="0" w:color="auto"/>
              <w:right w:val="nil"/>
            </w:tcBorders>
            <w:vAlign w:val="center"/>
          </w:tcPr>
          <w:p w14:paraId="06C6EDC2" w14:textId="77777777" w:rsidR="00C43579" w:rsidRPr="00DF575F" w:rsidRDefault="00C43579" w:rsidP="00DD5500">
            <w:pPr>
              <w:contextualSpacing/>
              <w:rPr>
                <w:rFonts w:ascii="Garamond" w:hAnsi="Garamond" w:cs="Calibri"/>
                <w:color w:val="000000"/>
                <w:sz w:val="22"/>
                <w:szCs w:val="22"/>
              </w:rPr>
            </w:pPr>
          </w:p>
        </w:tc>
        <w:tc>
          <w:tcPr>
            <w:tcW w:w="2568" w:type="dxa"/>
            <w:tcBorders>
              <w:top w:val="nil"/>
              <w:left w:val="nil"/>
              <w:bottom w:val="dashSmallGap" w:sz="4" w:space="0" w:color="auto"/>
              <w:right w:val="nil"/>
            </w:tcBorders>
            <w:shd w:val="clear" w:color="auto" w:fill="auto"/>
            <w:vAlign w:val="center"/>
          </w:tcPr>
          <w:p w14:paraId="189BE181"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Impact assessment</w:t>
            </w:r>
          </w:p>
        </w:tc>
        <w:tc>
          <w:tcPr>
            <w:tcW w:w="4717" w:type="dxa"/>
            <w:tcBorders>
              <w:top w:val="nil"/>
              <w:left w:val="nil"/>
              <w:bottom w:val="dashSmallGap" w:sz="4" w:space="0" w:color="auto"/>
              <w:right w:val="nil"/>
            </w:tcBorders>
            <w:shd w:val="clear" w:color="auto" w:fill="auto"/>
            <w:vAlign w:val="center"/>
          </w:tcPr>
          <w:p w14:paraId="2F26C3EB"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Return on investment/economic analysis</w:t>
            </w:r>
          </w:p>
        </w:tc>
        <w:tc>
          <w:tcPr>
            <w:tcW w:w="3063" w:type="dxa"/>
            <w:tcBorders>
              <w:top w:val="nil"/>
              <w:left w:val="nil"/>
              <w:bottom w:val="dashSmallGap" w:sz="4" w:space="0" w:color="auto"/>
              <w:right w:val="nil"/>
            </w:tcBorders>
            <w:shd w:val="clear" w:color="auto" w:fill="auto"/>
            <w:vAlign w:val="center"/>
          </w:tcPr>
          <w:p w14:paraId="7D36CEBB" w14:textId="77777777" w:rsidR="00C43579" w:rsidRPr="00242DD5" w:rsidRDefault="00C43579" w:rsidP="00DD5500">
            <w:pPr>
              <w:contextualSpacing/>
              <w:rPr>
                <w:rFonts w:ascii="Garamond" w:hAnsi="Garamond" w:cs="Calibri"/>
                <w:color w:val="000000"/>
                <w:sz w:val="22"/>
                <w:szCs w:val="22"/>
              </w:rPr>
            </w:pPr>
            <w:r w:rsidRPr="00242DD5">
              <w:rPr>
                <w:rFonts w:ascii="Garamond" w:hAnsi="Garamond" w:cs="Calibri"/>
                <w:color w:val="000000"/>
                <w:sz w:val="22"/>
                <w:szCs w:val="22"/>
              </w:rPr>
              <w:t>Concern with measures</w:t>
            </w:r>
          </w:p>
        </w:tc>
      </w:tr>
    </w:tbl>
    <w:p w14:paraId="38D72F75" w14:textId="77777777" w:rsidR="00C43579" w:rsidRDefault="00C43579" w:rsidP="00C43579">
      <w:pPr>
        <w:rPr>
          <w:rFonts w:ascii="Garamond" w:hAnsi="Garamond"/>
          <w:i/>
          <w:sz w:val="22"/>
          <w:szCs w:val="22"/>
        </w:rPr>
      </w:pPr>
    </w:p>
    <w:p w14:paraId="3244671C" w14:textId="77777777" w:rsidR="00C43579" w:rsidRDefault="00C43579" w:rsidP="00C43579">
      <w:pPr>
        <w:rPr>
          <w:rFonts w:ascii="Garamond" w:hAnsi="Garamond"/>
          <w:i/>
          <w:sz w:val="22"/>
          <w:szCs w:val="22"/>
        </w:rPr>
        <w:sectPr w:rsidR="00C43579" w:rsidSect="00082236">
          <w:pgSz w:w="16840" w:h="11900" w:orient="landscape"/>
          <w:pgMar w:top="1440" w:right="1440" w:bottom="1440" w:left="1440" w:header="709" w:footer="709" w:gutter="0"/>
          <w:cols w:space="708"/>
          <w:docGrid w:linePitch="360"/>
        </w:sectPr>
      </w:pPr>
    </w:p>
    <w:p w14:paraId="05345B37" w14:textId="77777777" w:rsidR="00C43579" w:rsidRDefault="00C43579" w:rsidP="00C43579">
      <w:pPr>
        <w:rPr>
          <w:rFonts w:ascii="Garamond" w:hAnsi="Garamond"/>
          <w:i/>
          <w:sz w:val="22"/>
          <w:szCs w:val="22"/>
        </w:rPr>
      </w:pPr>
      <w:r w:rsidRPr="00182E07">
        <w:rPr>
          <w:rFonts w:ascii="Garamond" w:hAnsi="Garamond"/>
          <w:i/>
          <w:sz w:val="22"/>
          <w:szCs w:val="22"/>
        </w:rPr>
        <w:lastRenderedPageBreak/>
        <w:t>Table 4. Examples of established and emerging measures of research impact by field</w:t>
      </w:r>
    </w:p>
    <w:p w14:paraId="449C0FBE" w14:textId="77777777" w:rsidR="00C43579" w:rsidRDefault="00C43579" w:rsidP="00C43579">
      <w:pPr>
        <w:rPr>
          <w:rFonts w:ascii="Garamond" w:hAnsi="Garamond"/>
          <w:sz w:val="22"/>
          <w:szCs w:val="22"/>
        </w:rPr>
      </w:pPr>
    </w:p>
    <w:tbl>
      <w:tblPr>
        <w:tblW w:w="4867" w:type="pct"/>
        <w:tblBorders>
          <w:top w:val="dashSmallGap" w:sz="4" w:space="0" w:color="auto"/>
          <w:bottom w:val="dashSmallGap" w:sz="4" w:space="0" w:color="auto"/>
          <w:insideH w:val="dashSmallGap" w:sz="4" w:space="0" w:color="auto"/>
        </w:tblBorders>
        <w:tblLook w:val="04A0" w:firstRow="1" w:lastRow="0" w:firstColumn="1" w:lastColumn="0" w:noHBand="0" w:noVBand="1"/>
      </w:tblPr>
      <w:tblGrid>
        <w:gridCol w:w="1324"/>
        <w:gridCol w:w="1796"/>
        <w:gridCol w:w="7689"/>
        <w:gridCol w:w="2780"/>
      </w:tblGrid>
      <w:tr w:rsidR="005C4781" w:rsidRPr="004C7137" w14:paraId="28219E3D" w14:textId="77777777" w:rsidTr="005C4781">
        <w:trPr>
          <w:trHeight w:val="248"/>
        </w:trPr>
        <w:tc>
          <w:tcPr>
            <w:tcW w:w="487" w:type="pct"/>
            <w:shd w:val="clear" w:color="auto" w:fill="D9D9D9" w:themeFill="background1" w:themeFillShade="D9"/>
            <w:vAlign w:val="center"/>
          </w:tcPr>
          <w:p w14:paraId="3214BFCB" w14:textId="77777777" w:rsidR="00C43579" w:rsidRPr="004C7137" w:rsidRDefault="00C43579" w:rsidP="00DD5500">
            <w:pPr>
              <w:rPr>
                <w:rFonts w:ascii="Garamond" w:hAnsi="Garamond" w:cs="Calibri"/>
                <w:color w:val="000000"/>
                <w:sz w:val="22"/>
                <w:szCs w:val="22"/>
              </w:rPr>
            </w:pPr>
            <w:r w:rsidRPr="004C7137">
              <w:rPr>
                <w:rFonts w:ascii="Garamond" w:hAnsi="Garamond" w:cs="Calibri"/>
                <w:color w:val="000000"/>
                <w:sz w:val="22"/>
                <w:szCs w:val="22"/>
              </w:rPr>
              <w:t>Field</w:t>
            </w:r>
          </w:p>
        </w:tc>
        <w:tc>
          <w:tcPr>
            <w:tcW w:w="661" w:type="pct"/>
            <w:shd w:val="clear" w:color="auto" w:fill="D9D9D9" w:themeFill="background1" w:themeFillShade="D9"/>
            <w:vAlign w:val="center"/>
          </w:tcPr>
          <w:p w14:paraId="610EAB6E" w14:textId="77777777" w:rsidR="00C43579" w:rsidRPr="00FF6FD2" w:rsidRDefault="00C43579" w:rsidP="00DD5500">
            <w:pPr>
              <w:rPr>
                <w:rFonts w:ascii="Garamond" w:hAnsi="Garamond" w:cs="Calibri"/>
                <w:color w:val="000000"/>
                <w:sz w:val="22"/>
                <w:szCs w:val="22"/>
              </w:rPr>
            </w:pPr>
            <w:r w:rsidRPr="00FF6FD2">
              <w:rPr>
                <w:rFonts w:ascii="Garamond" w:hAnsi="Garamond"/>
                <w:color w:val="000000" w:themeColor="text1"/>
                <w:sz w:val="22"/>
                <w:szCs w:val="22"/>
              </w:rPr>
              <w:t>Impact</w:t>
            </w:r>
          </w:p>
        </w:tc>
        <w:tc>
          <w:tcPr>
            <w:tcW w:w="2829" w:type="pct"/>
            <w:shd w:val="clear" w:color="auto" w:fill="D9D9D9" w:themeFill="background1" w:themeFillShade="D9"/>
            <w:vAlign w:val="center"/>
          </w:tcPr>
          <w:p w14:paraId="0AD38F41" w14:textId="77777777" w:rsidR="00C43579" w:rsidRPr="004C7137" w:rsidRDefault="00C43579" w:rsidP="00DD5500">
            <w:pPr>
              <w:rPr>
                <w:rFonts w:ascii="Garamond" w:hAnsi="Garamond" w:cs="Calibri"/>
                <w:color w:val="000000"/>
                <w:sz w:val="22"/>
                <w:szCs w:val="22"/>
              </w:rPr>
            </w:pPr>
            <w:r w:rsidRPr="004122B7">
              <w:rPr>
                <w:rFonts w:ascii="Garamond" w:hAnsi="Garamond" w:cs="Calibri"/>
                <w:color w:val="000000"/>
                <w:sz w:val="22"/>
                <w:szCs w:val="22"/>
              </w:rPr>
              <w:t xml:space="preserve">Underlying values of worth </w:t>
            </w:r>
          </w:p>
        </w:tc>
        <w:tc>
          <w:tcPr>
            <w:tcW w:w="1023" w:type="pct"/>
            <w:shd w:val="clear" w:color="auto" w:fill="D9D9D9" w:themeFill="background1" w:themeFillShade="D9"/>
            <w:vAlign w:val="center"/>
          </w:tcPr>
          <w:p w14:paraId="712B607D" w14:textId="77777777" w:rsidR="00C43579" w:rsidRPr="004C7137" w:rsidRDefault="00C43579" w:rsidP="00DD5500">
            <w:pPr>
              <w:rPr>
                <w:rFonts w:ascii="Garamond" w:hAnsi="Garamond" w:cs="Calibri"/>
                <w:color w:val="000000"/>
                <w:sz w:val="22"/>
                <w:szCs w:val="22"/>
              </w:rPr>
            </w:pPr>
            <w:r>
              <w:rPr>
                <w:rFonts w:ascii="Garamond" w:hAnsi="Garamond" w:cs="Calibri"/>
                <w:color w:val="000000"/>
                <w:sz w:val="22"/>
                <w:szCs w:val="22"/>
              </w:rPr>
              <w:t xml:space="preserve">Affordance </w:t>
            </w:r>
          </w:p>
        </w:tc>
      </w:tr>
      <w:tr w:rsidR="005C4781" w:rsidRPr="004C7137" w14:paraId="47B325D1" w14:textId="77777777" w:rsidTr="005C4781">
        <w:trPr>
          <w:trHeight w:val="1686"/>
        </w:trPr>
        <w:tc>
          <w:tcPr>
            <w:tcW w:w="487" w:type="pct"/>
            <w:shd w:val="clear" w:color="auto" w:fill="auto"/>
            <w:vAlign w:val="center"/>
            <w:hideMark/>
          </w:tcPr>
          <w:p w14:paraId="2CC04355" w14:textId="77777777" w:rsidR="00C43579" w:rsidRPr="004C7137" w:rsidRDefault="00C43579" w:rsidP="00DD5500">
            <w:pPr>
              <w:rPr>
                <w:rFonts w:ascii="Garamond" w:hAnsi="Garamond" w:cs="Calibri"/>
                <w:color w:val="000000"/>
                <w:sz w:val="22"/>
                <w:szCs w:val="22"/>
              </w:rPr>
            </w:pPr>
            <w:r w:rsidRPr="004C7137">
              <w:rPr>
                <w:rFonts w:ascii="Garamond" w:hAnsi="Garamond" w:cs="Calibri"/>
                <w:color w:val="000000"/>
                <w:sz w:val="22"/>
                <w:szCs w:val="22"/>
              </w:rPr>
              <w:t>Academic</w:t>
            </w:r>
          </w:p>
        </w:tc>
        <w:tc>
          <w:tcPr>
            <w:tcW w:w="661" w:type="pct"/>
            <w:vAlign w:val="center"/>
          </w:tcPr>
          <w:p w14:paraId="66E3DE0E" w14:textId="77777777" w:rsidR="00C43579" w:rsidRDefault="00C43579" w:rsidP="00DD5500">
            <w:pPr>
              <w:rPr>
                <w:rFonts w:ascii="Garamond" w:hAnsi="Garamond" w:cs="Calibri"/>
                <w:color w:val="000000"/>
                <w:sz w:val="22"/>
                <w:szCs w:val="22"/>
              </w:rPr>
            </w:pPr>
            <w:r w:rsidRPr="00182E07">
              <w:rPr>
                <w:rFonts w:ascii="Garamond" w:hAnsi="Garamond"/>
                <w:sz w:val="22"/>
                <w:szCs w:val="22"/>
                <w:lang w:val="en-US"/>
              </w:rPr>
              <w:t>Advancing knowledge</w:t>
            </w:r>
          </w:p>
        </w:tc>
        <w:tc>
          <w:tcPr>
            <w:tcW w:w="2829" w:type="pct"/>
            <w:shd w:val="clear" w:color="auto" w:fill="auto"/>
            <w:vAlign w:val="center"/>
          </w:tcPr>
          <w:p w14:paraId="4ECAB88B" w14:textId="77777777" w:rsidR="00C43579" w:rsidRPr="006941E1" w:rsidRDefault="00C43579" w:rsidP="00DD5500">
            <w:pPr>
              <w:rPr>
                <w:rFonts w:ascii="Garamond" w:hAnsi="Garamond" w:cs="Palatino"/>
                <w:sz w:val="22"/>
                <w:szCs w:val="22"/>
                <w:lang w:val="en-US"/>
              </w:rPr>
            </w:pPr>
            <w:r>
              <w:rPr>
                <w:rFonts w:ascii="Garamond" w:hAnsi="Garamond" w:cs="Palatino"/>
                <w:sz w:val="22"/>
                <w:szCs w:val="22"/>
                <w:lang w:val="en-US"/>
              </w:rPr>
              <w:t xml:space="preserve">Positive </w:t>
            </w:r>
            <w:r w:rsidRPr="00632140">
              <w:rPr>
                <w:rFonts w:ascii="Garamond" w:hAnsi="Garamond" w:cs="Palatino"/>
                <w:sz w:val="22"/>
                <w:szCs w:val="22"/>
                <w:lang w:val="en-US"/>
              </w:rPr>
              <w:t xml:space="preserve">peer </w:t>
            </w:r>
            <w:r>
              <w:rPr>
                <w:rFonts w:ascii="Garamond" w:hAnsi="Garamond" w:cs="Palatino"/>
                <w:sz w:val="22"/>
                <w:szCs w:val="22"/>
                <w:lang w:val="en-US"/>
              </w:rPr>
              <w:t>judgment or prestige</w:t>
            </w:r>
            <w:r w:rsidRPr="00632140">
              <w:rPr>
                <w:rFonts w:ascii="Garamond" w:hAnsi="Garamond" w:cs="Palatino"/>
                <w:sz w:val="22"/>
                <w:szCs w:val="22"/>
                <w:lang w:val="en-US"/>
              </w:rPr>
              <w:t xml:space="preserve">, </w:t>
            </w:r>
            <w:r>
              <w:rPr>
                <w:rFonts w:ascii="Garamond" w:hAnsi="Garamond" w:cs="Palatino"/>
                <w:sz w:val="22"/>
                <w:szCs w:val="22"/>
                <w:lang w:val="en-US"/>
              </w:rPr>
              <w:t xml:space="preserve">demonstration of </w:t>
            </w:r>
            <w:r w:rsidRPr="00632140">
              <w:rPr>
                <w:rFonts w:ascii="Garamond" w:hAnsi="Garamond" w:cs="Palatino"/>
                <w:sz w:val="22"/>
                <w:szCs w:val="22"/>
                <w:lang w:val="en-US"/>
              </w:rPr>
              <w:t>cognitive independence, rigor</w:t>
            </w:r>
            <w:r>
              <w:rPr>
                <w:rFonts w:ascii="Garamond" w:hAnsi="Garamond" w:cs="Palatino"/>
                <w:sz w:val="22"/>
                <w:szCs w:val="22"/>
                <w:lang w:val="en-US"/>
              </w:rPr>
              <w:t>, expertise</w:t>
            </w:r>
          </w:p>
        </w:tc>
        <w:tc>
          <w:tcPr>
            <w:tcW w:w="1023" w:type="pct"/>
            <w:vAlign w:val="center"/>
          </w:tcPr>
          <w:p w14:paraId="52169731" w14:textId="77777777" w:rsidR="00C43579" w:rsidRPr="0060367C" w:rsidRDefault="00C43579" w:rsidP="00DD5500">
            <w:pPr>
              <w:rPr>
                <w:rFonts w:ascii="Garamond" w:hAnsi="Garamond" w:cs="Calibri"/>
                <w:color w:val="000000"/>
                <w:sz w:val="22"/>
                <w:szCs w:val="22"/>
              </w:rPr>
            </w:pPr>
            <w:r w:rsidRPr="00182E07">
              <w:rPr>
                <w:rFonts w:ascii="Garamond" w:hAnsi="Garamond"/>
                <w:color w:val="000000" w:themeColor="text1"/>
                <w:sz w:val="22"/>
                <w:szCs w:val="22"/>
              </w:rPr>
              <w:t>Credibility</w:t>
            </w:r>
          </w:p>
        </w:tc>
      </w:tr>
      <w:tr w:rsidR="005C4781" w:rsidRPr="004C7137" w14:paraId="7D16E965" w14:textId="77777777" w:rsidTr="005C4781">
        <w:trPr>
          <w:trHeight w:val="1175"/>
        </w:trPr>
        <w:tc>
          <w:tcPr>
            <w:tcW w:w="487" w:type="pct"/>
            <w:shd w:val="clear" w:color="auto" w:fill="auto"/>
            <w:vAlign w:val="center"/>
            <w:hideMark/>
          </w:tcPr>
          <w:p w14:paraId="3EBE95CC" w14:textId="77777777" w:rsidR="00C43579" w:rsidRPr="004C7137" w:rsidRDefault="00C43579" w:rsidP="00DD5500">
            <w:pPr>
              <w:rPr>
                <w:rFonts w:ascii="Garamond" w:hAnsi="Garamond" w:cs="Calibri"/>
                <w:color w:val="000000"/>
                <w:sz w:val="22"/>
                <w:szCs w:val="22"/>
              </w:rPr>
            </w:pPr>
            <w:r w:rsidRPr="004C7137">
              <w:rPr>
                <w:rFonts w:ascii="Garamond" w:hAnsi="Garamond" w:cs="Calibri"/>
                <w:color w:val="000000"/>
                <w:sz w:val="22"/>
                <w:szCs w:val="22"/>
              </w:rPr>
              <w:t>Politic</w:t>
            </w:r>
            <w:r>
              <w:rPr>
                <w:rFonts w:ascii="Garamond" w:hAnsi="Garamond" w:cs="Calibri"/>
                <w:color w:val="000000"/>
                <w:sz w:val="22"/>
                <w:szCs w:val="22"/>
              </w:rPr>
              <w:t>s</w:t>
            </w:r>
          </w:p>
        </w:tc>
        <w:tc>
          <w:tcPr>
            <w:tcW w:w="661" w:type="pct"/>
            <w:vAlign w:val="center"/>
          </w:tcPr>
          <w:p w14:paraId="308588E7" w14:textId="77777777" w:rsidR="00C43579" w:rsidRPr="0060367C" w:rsidRDefault="00C43579" w:rsidP="00DD5500">
            <w:pPr>
              <w:rPr>
                <w:rFonts w:ascii="Garamond" w:hAnsi="Garamond" w:cs="Calibri"/>
                <w:color w:val="000000"/>
                <w:sz w:val="22"/>
                <w:szCs w:val="22"/>
              </w:rPr>
            </w:pPr>
            <w:r w:rsidRPr="00182E07">
              <w:rPr>
                <w:rFonts w:ascii="Garamond" w:hAnsi="Garamond"/>
                <w:sz w:val="22"/>
                <w:szCs w:val="22"/>
                <w:lang w:val="en-US"/>
              </w:rPr>
              <w:t>Changing policy and governance</w:t>
            </w:r>
          </w:p>
        </w:tc>
        <w:tc>
          <w:tcPr>
            <w:tcW w:w="2829" w:type="pct"/>
            <w:shd w:val="clear" w:color="auto" w:fill="auto"/>
            <w:vAlign w:val="center"/>
          </w:tcPr>
          <w:p w14:paraId="0DE1DEF0" w14:textId="77777777" w:rsidR="00C43579" w:rsidRPr="004C7137" w:rsidRDefault="00C43579" w:rsidP="00DD5500">
            <w:pPr>
              <w:rPr>
                <w:rFonts w:ascii="Garamond" w:hAnsi="Garamond" w:cs="Calibri"/>
                <w:color w:val="000000"/>
                <w:sz w:val="22"/>
                <w:szCs w:val="22"/>
              </w:rPr>
            </w:pPr>
            <w:r>
              <w:rPr>
                <w:rFonts w:ascii="Garamond" w:hAnsi="Garamond" w:cs="Palatino"/>
                <w:sz w:val="22"/>
                <w:szCs w:val="22"/>
                <w:lang w:val="en-US"/>
              </w:rPr>
              <w:t>Inclusion of idea on policy agenda, provision of useful p</w:t>
            </w:r>
            <w:r w:rsidRPr="00632140">
              <w:rPr>
                <w:rFonts w:ascii="Garamond" w:hAnsi="Garamond" w:cs="Palatino"/>
                <w:sz w:val="22"/>
                <w:szCs w:val="22"/>
                <w:lang w:val="en-US"/>
              </w:rPr>
              <w:t>olicy</w:t>
            </w:r>
            <w:r>
              <w:rPr>
                <w:rFonts w:ascii="Garamond" w:hAnsi="Garamond" w:cs="Palatino"/>
                <w:sz w:val="22"/>
                <w:szCs w:val="22"/>
                <w:lang w:val="en-US"/>
              </w:rPr>
              <w:t xml:space="preserve"> recommendations, improved policy outcomes</w:t>
            </w:r>
            <w:r w:rsidRPr="00632140">
              <w:rPr>
                <w:rFonts w:ascii="Garamond" w:hAnsi="Garamond" w:cs="Palatino"/>
                <w:sz w:val="22"/>
                <w:szCs w:val="22"/>
                <w:lang w:val="en-US"/>
              </w:rPr>
              <w:t xml:space="preserve">, </w:t>
            </w:r>
            <w:r>
              <w:rPr>
                <w:rFonts w:ascii="Garamond" w:hAnsi="Garamond" w:cs="Palatino"/>
                <w:sz w:val="22"/>
                <w:szCs w:val="22"/>
                <w:lang w:val="en-US"/>
              </w:rPr>
              <w:t xml:space="preserve">attention/positive </w:t>
            </w:r>
            <w:r w:rsidRPr="00632140">
              <w:rPr>
                <w:rFonts w:ascii="Garamond" w:hAnsi="Garamond" w:cs="Palatino"/>
                <w:sz w:val="22"/>
                <w:szCs w:val="22"/>
                <w:lang w:val="en-US"/>
              </w:rPr>
              <w:t>feedback from policymakers</w:t>
            </w:r>
          </w:p>
        </w:tc>
        <w:tc>
          <w:tcPr>
            <w:tcW w:w="1023" w:type="pct"/>
            <w:vAlign w:val="center"/>
          </w:tcPr>
          <w:p w14:paraId="2D324893" w14:textId="77777777" w:rsidR="00C43579" w:rsidRPr="0060367C" w:rsidRDefault="00C43579" w:rsidP="00DD5500">
            <w:pPr>
              <w:rPr>
                <w:rFonts w:ascii="Garamond" w:hAnsi="Garamond" w:cs="Calibri"/>
                <w:color w:val="000000"/>
                <w:sz w:val="22"/>
                <w:szCs w:val="22"/>
              </w:rPr>
            </w:pPr>
            <w:r>
              <w:rPr>
                <w:rFonts w:ascii="Garamond" w:hAnsi="Garamond"/>
                <w:color w:val="000000" w:themeColor="text1"/>
                <w:sz w:val="22"/>
                <w:szCs w:val="22"/>
              </w:rPr>
              <w:t>Authority</w:t>
            </w:r>
          </w:p>
        </w:tc>
      </w:tr>
      <w:tr w:rsidR="005C4781" w:rsidRPr="004C7137" w14:paraId="5C6AB242" w14:textId="77777777" w:rsidTr="005C4781">
        <w:trPr>
          <w:trHeight w:val="1438"/>
        </w:trPr>
        <w:tc>
          <w:tcPr>
            <w:tcW w:w="487" w:type="pct"/>
            <w:shd w:val="clear" w:color="auto" w:fill="auto"/>
            <w:vAlign w:val="center"/>
            <w:hideMark/>
          </w:tcPr>
          <w:p w14:paraId="7304B828" w14:textId="77777777" w:rsidR="00C43579" w:rsidRPr="004C7137" w:rsidRDefault="00C43579" w:rsidP="00DD5500">
            <w:pPr>
              <w:rPr>
                <w:rFonts w:ascii="Garamond" w:hAnsi="Garamond" w:cs="Calibri"/>
                <w:color w:val="000000"/>
                <w:sz w:val="22"/>
                <w:szCs w:val="22"/>
              </w:rPr>
            </w:pPr>
            <w:r>
              <w:rPr>
                <w:rFonts w:ascii="Garamond" w:hAnsi="Garamond" w:cs="Calibri"/>
                <w:color w:val="000000"/>
                <w:sz w:val="22"/>
                <w:szCs w:val="22"/>
              </w:rPr>
              <w:t>Application</w:t>
            </w:r>
            <w:r w:rsidRPr="004C7137">
              <w:rPr>
                <w:rFonts w:ascii="Garamond" w:hAnsi="Garamond" w:cs="Calibri"/>
                <w:color w:val="000000"/>
                <w:sz w:val="22"/>
                <w:szCs w:val="22"/>
              </w:rPr>
              <w:t xml:space="preserve"> </w:t>
            </w:r>
          </w:p>
        </w:tc>
        <w:tc>
          <w:tcPr>
            <w:tcW w:w="661" w:type="pct"/>
            <w:vAlign w:val="center"/>
          </w:tcPr>
          <w:p w14:paraId="1719C919" w14:textId="77777777" w:rsidR="00C43579" w:rsidRPr="0060367C" w:rsidRDefault="00C43579" w:rsidP="00DD5500">
            <w:pPr>
              <w:rPr>
                <w:rFonts w:ascii="Garamond" w:hAnsi="Garamond" w:cs="Calibri"/>
                <w:color w:val="000000"/>
                <w:sz w:val="22"/>
                <w:szCs w:val="22"/>
              </w:rPr>
            </w:pPr>
            <w:r w:rsidRPr="00182E07">
              <w:rPr>
                <w:rFonts w:ascii="Garamond" w:hAnsi="Garamond"/>
                <w:sz w:val="22"/>
                <w:szCs w:val="22"/>
                <w:lang w:val="en-US"/>
              </w:rPr>
              <w:t>Changing processes and practices</w:t>
            </w:r>
          </w:p>
        </w:tc>
        <w:tc>
          <w:tcPr>
            <w:tcW w:w="2829" w:type="pct"/>
            <w:shd w:val="clear" w:color="auto" w:fill="auto"/>
            <w:vAlign w:val="center"/>
          </w:tcPr>
          <w:p w14:paraId="53449395" w14:textId="77777777" w:rsidR="00C43579" w:rsidRPr="006941E1" w:rsidRDefault="00C43579" w:rsidP="00DD5500">
            <w:pPr>
              <w:rPr>
                <w:rFonts w:ascii="Garamond" w:hAnsi="Garamond" w:cs="Palatino"/>
                <w:sz w:val="22"/>
                <w:szCs w:val="22"/>
                <w:lang w:val="en-US"/>
              </w:rPr>
            </w:pPr>
            <w:r>
              <w:rPr>
                <w:rFonts w:ascii="Garamond" w:hAnsi="Garamond" w:cs="Palatino"/>
                <w:sz w:val="22"/>
                <w:szCs w:val="22"/>
                <w:lang w:val="en-US"/>
              </w:rPr>
              <w:t xml:space="preserve">Provision of recommendations and guidance, enable improved </w:t>
            </w:r>
            <w:r w:rsidRPr="00632140">
              <w:rPr>
                <w:rFonts w:ascii="Garamond" w:hAnsi="Garamond" w:cs="Palatino"/>
                <w:sz w:val="22"/>
                <w:szCs w:val="22"/>
                <w:lang w:val="en-US"/>
              </w:rPr>
              <w:t xml:space="preserve">practices or processes, </w:t>
            </w:r>
            <w:r>
              <w:rPr>
                <w:rFonts w:ascii="Garamond" w:hAnsi="Garamond" w:cs="Palatino"/>
                <w:sz w:val="22"/>
                <w:szCs w:val="22"/>
                <w:lang w:val="en-US"/>
              </w:rPr>
              <w:t xml:space="preserve">improved implementation of ideas or policies, positive </w:t>
            </w:r>
            <w:r w:rsidRPr="00632140">
              <w:rPr>
                <w:rFonts w:ascii="Garamond" w:hAnsi="Garamond" w:cs="Palatino"/>
                <w:sz w:val="22"/>
                <w:szCs w:val="22"/>
                <w:lang w:val="en-US"/>
              </w:rPr>
              <w:t xml:space="preserve">feedback from </w:t>
            </w:r>
            <w:r>
              <w:rPr>
                <w:rFonts w:ascii="Garamond" w:hAnsi="Garamond" w:cs="Palatino"/>
                <w:sz w:val="22"/>
                <w:szCs w:val="22"/>
                <w:lang w:val="en-US"/>
              </w:rPr>
              <w:t>practitioners</w:t>
            </w:r>
          </w:p>
        </w:tc>
        <w:tc>
          <w:tcPr>
            <w:tcW w:w="1023" w:type="pct"/>
            <w:vAlign w:val="center"/>
          </w:tcPr>
          <w:p w14:paraId="08DE8A42" w14:textId="77777777" w:rsidR="00C43579" w:rsidRPr="004C7137" w:rsidRDefault="00C43579" w:rsidP="00DD5500">
            <w:pPr>
              <w:rPr>
                <w:rFonts w:ascii="Garamond" w:hAnsi="Garamond" w:cs="Calibri"/>
                <w:color w:val="000000"/>
                <w:sz w:val="22"/>
                <w:szCs w:val="22"/>
              </w:rPr>
            </w:pPr>
            <w:r w:rsidRPr="00182E07">
              <w:rPr>
                <w:rFonts w:ascii="Garamond" w:hAnsi="Garamond"/>
                <w:color w:val="000000" w:themeColor="text1"/>
                <w:sz w:val="22"/>
                <w:szCs w:val="22"/>
              </w:rPr>
              <w:t>Utility</w:t>
            </w:r>
          </w:p>
        </w:tc>
      </w:tr>
      <w:tr w:rsidR="005C4781" w:rsidRPr="004C7137" w14:paraId="26D9BE61" w14:textId="77777777" w:rsidTr="005C4781">
        <w:trPr>
          <w:trHeight w:val="1022"/>
        </w:trPr>
        <w:tc>
          <w:tcPr>
            <w:tcW w:w="487" w:type="pct"/>
            <w:shd w:val="clear" w:color="auto" w:fill="auto"/>
            <w:vAlign w:val="center"/>
            <w:hideMark/>
          </w:tcPr>
          <w:p w14:paraId="0445753B" w14:textId="77777777" w:rsidR="00C43579" w:rsidRPr="004C7137" w:rsidRDefault="00C43579" w:rsidP="00DD5500">
            <w:pPr>
              <w:rPr>
                <w:rFonts w:ascii="Garamond" w:hAnsi="Garamond" w:cs="Calibri"/>
                <w:color w:val="000000"/>
                <w:sz w:val="22"/>
                <w:szCs w:val="22"/>
              </w:rPr>
            </w:pPr>
            <w:r w:rsidRPr="004C7137">
              <w:rPr>
                <w:rFonts w:ascii="Garamond" w:hAnsi="Garamond" w:cs="Calibri"/>
                <w:color w:val="000000"/>
                <w:sz w:val="22"/>
                <w:szCs w:val="22"/>
              </w:rPr>
              <w:t>Media</w:t>
            </w:r>
          </w:p>
        </w:tc>
        <w:tc>
          <w:tcPr>
            <w:tcW w:w="661" w:type="pct"/>
            <w:vAlign w:val="center"/>
          </w:tcPr>
          <w:p w14:paraId="77AF1772" w14:textId="77777777" w:rsidR="00C43579" w:rsidRDefault="00C43579" w:rsidP="00DD5500">
            <w:pPr>
              <w:rPr>
                <w:rFonts w:ascii="Garamond" w:hAnsi="Garamond" w:cs="Calibri"/>
                <w:color w:val="000000"/>
                <w:sz w:val="22"/>
                <w:szCs w:val="22"/>
              </w:rPr>
            </w:pPr>
            <w:r w:rsidRPr="00182E07">
              <w:rPr>
                <w:rFonts w:ascii="Garamond" w:hAnsi="Garamond"/>
                <w:sz w:val="22"/>
                <w:szCs w:val="22"/>
                <w:lang w:val="en-US"/>
              </w:rPr>
              <w:t>Changing public debate and perception</w:t>
            </w:r>
          </w:p>
        </w:tc>
        <w:tc>
          <w:tcPr>
            <w:tcW w:w="2829" w:type="pct"/>
            <w:shd w:val="clear" w:color="auto" w:fill="auto"/>
            <w:vAlign w:val="center"/>
          </w:tcPr>
          <w:p w14:paraId="13236767" w14:textId="77777777" w:rsidR="00C43579" w:rsidRPr="004C7137" w:rsidRDefault="00C43579" w:rsidP="00DD5500">
            <w:pPr>
              <w:rPr>
                <w:rFonts w:ascii="Garamond" w:hAnsi="Garamond" w:cs="Calibri"/>
                <w:color w:val="000000"/>
                <w:sz w:val="22"/>
                <w:szCs w:val="22"/>
              </w:rPr>
            </w:pPr>
            <w:r w:rsidRPr="00632140">
              <w:rPr>
                <w:rFonts w:ascii="Garamond" w:hAnsi="Garamond" w:cs="Palatino"/>
                <w:sz w:val="22"/>
                <w:szCs w:val="22"/>
                <w:lang w:val="en-US"/>
              </w:rPr>
              <w:t>Accessibility of work, broader reach of outputs to public</w:t>
            </w:r>
            <w:r>
              <w:rPr>
                <w:rFonts w:ascii="Garamond" w:hAnsi="Garamond" w:cs="Palatino"/>
                <w:sz w:val="22"/>
                <w:szCs w:val="22"/>
                <w:lang w:val="en-US"/>
              </w:rPr>
              <w:t>, greater attention to a topic or idea</w:t>
            </w:r>
          </w:p>
        </w:tc>
        <w:tc>
          <w:tcPr>
            <w:tcW w:w="1023" w:type="pct"/>
            <w:vAlign w:val="center"/>
          </w:tcPr>
          <w:p w14:paraId="50429EFA" w14:textId="77777777" w:rsidR="00C43579" w:rsidRDefault="00C43579" w:rsidP="00DD5500">
            <w:pPr>
              <w:rPr>
                <w:rFonts w:ascii="Garamond" w:hAnsi="Garamond" w:cs="Calibri"/>
                <w:color w:val="000000"/>
                <w:sz w:val="22"/>
                <w:szCs w:val="22"/>
              </w:rPr>
            </w:pPr>
            <w:r w:rsidRPr="00182E07">
              <w:rPr>
                <w:rFonts w:ascii="Garamond" w:hAnsi="Garamond"/>
                <w:color w:val="000000" w:themeColor="text1"/>
                <w:sz w:val="22"/>
                <w:szCs w:val="22"/>
              </w:rPr>
              <w:t>Visibility</w:t>
            </w:r>
          </w:p>
        </w:tc>
      </w:tr>
      <w:tr w:rsidR="005C4781" w:rsidRPr="004C7137" w14:paraId="681116F9" w14:textId="77777777" w:rsidTr="005C4781">
        <w:trPr>
          <w:trHeight w:val="1199"/>
        </w:trPr>
        <w:tc>
          <w:tcPr>
            <w:tcW w:w="487" w:type="pct"/>
            <w:shd w:val="clear" w:color="auto" w:fill="auto"/>
            <w:vAlign w:val="center"/>
            <w:hideMark/>
          </w:tcPr>
          <w:p w14:paraId="0A6955C0" w14:textId="77777777" w:rsidR="00C43579" w:rsidRPr="004C7137" w:rsidRDefault="00C43579" w:rsidP="00DD5500">
            <w:pPr>
              <w:rPr>
                <w:rFonts w:ascii="Garamond" w:hAnsi="Garamond" w:cs="Calibri"/>
                <w:color w:val="000000"/>
                <w:sz w:val="22"/>
                <w:szCs w:val="22"/>
              </w:rPr>
            </w:pPr>
            <w:r w:rsidRPr="004C7137">
              <w:rPr>
                <w:rFonts w:ascii="Garamond" w:hAnsi="Garamond" w:cs="Calibri"/>
                <w:color w:val="000000"/>
                <w:sz w:val="22"/>
                <w:szCs w:val="22"/>
              </w:rPr>
              <w:t>Economic</w:t>
            </w:r>
          </w:p>
        </w:tc>
        <w:tc>
          <w:tcPr>
            <w:tcW w:w="661" w:type="pct"/>
            <w:vAlign w:val="center"/>
          </w:tcPr>
          <w:p w14:paraId="060B574F" w14:textId="77777777" w:rsidR="00C43579" w:rsidRPr="0060367C" w:rsidRDefault="00C43579" w:rsidP="00DD5500">
            <w:pPr>
              <w:rPr>
                <w:rFonts w:ascii="Garamond" w:hAnsi="Garamond" w:cs="Calibri"/>
                <w:color w:val="000000"/>
                <w:sz w:val="22"/>
                <w:szCs w:val="22"/>
              </w:rPr>
            </w:pPr>
            <w:r w:rsidRPr="00182E07">
              <w:rPr>
                <w:rFonts w:ascii="Garamond" w:hAnsi="Garamond"/>
                <w:sz w:val="22"/>
                <w:szCs w:val="22"/>
                <w:lang w:val="en-US"/>
              </w:rPr>
              <w:t>Economic changes</w:t>
            </w:r>
          </w:p>
        </w:tc>
        <w:tc>
          <w:tcPr>
            <w:tcW w:w="2829" w:type="pct"/>
            <w:shd w:val="clear" w:color="auto" w:fill="auto"/>
            <w:vAlign w:val="center"/>
          </w:tcPr>
          <w:p w14:paraId="7C2119C8" w14:textId="77777777" w:rsidR="00C43579" w:rsidRPr="004C7137" w:rsidRDefault="00C43579" w:rsidP="00DD5500">
            <w:pPr>
              <w:rPr>
                <w:rFonts w:ascii="Garamond" w:hAnsi="Garamond" w:cs="Calibri"/>
                <w:color w:val="000000"/>
                <w:sz w:val="22"/>
                <w:szCs w:val="22"/>
              </w:rPr>
            </w:pPr>
            <w:r w:rsidRPr="00632140">
              <w:rPr>
                <w:rFonts w:ascii="Garamond" w:hAnsi="Garamond" w:cs="Palatino"/>
                <w:sz w:val="22"/>
                <w:szCs w:val="22"/>
                <w:lang w:val="en-US"/>
              </w:rPr>
              <w:t>Value to colleagues</w:t>
            </w:r>
            <w:r>
              <w:rPr>
                <w:rFonts w:ascii="Garamond" w:hAnsi="Garamond" w:cs="Palatino"/>
                <w:sz w:val="22"/>
                <w:szCs w:val="22"/>
                <w:lang w:val="en-US"/>
              </w:rPr>
              <w:t xml:space="preserve"> and </w:t>
            </w:r>
            <w:r w:rsidRPr="00632140">
              <w:rPr>
                <w:rFonts w:ascii="Garamond" w:hAnsi="Garamond" w:cs="Palatino"/>
                <w:sz w:val="22"/>
                <w:szCs w:val="22"/>
                <w:lang w:val="en-US"/>
              </w:rPr>
              <w:t>clients</w:t>
            </w:r>
            <w:r>
              <w:rPr>
                <w:rFonts w:ascii="Garamond" w:hAnsi="Garamond" w:cs="Palatino"/>
                <w:sz w:val="22"/>
                <w:szCs w:val="22"/>
                <w:lang w:val="en-US"/>
              </w:rPr>
              <w:t xml:space="preserve">, contribution to economic system </w:t>
            </w:r>
          </w:p>
        </w:tc>
        <w:tc>
          <w:tcPr>
            <w:tcW w:w="1023" w:type="pct"/>
            <w:vAlign w:val="center"/>
          </w:tcPr>
          <w:p w14:paraId="1CE714AE" w14:textId="77777777" w:rsidR="00C43579" w:rsidRDefault="00C43579" w:rsidP="00DD5500">
            <w:pPr>
              <w:rPr>
                <w:rFonts w:ascii="Garamond" w:hAnsi="Garamond" w:cs="Calibri"/>
                <w:color w:val="000000"/>
                <w:sz w:val="22"/>
                <w:szCs w:val="22"/>
              </w:rPr>
            </w:pPr>
            <w:r>
              <w:rPr>
                <w:rFonts w:ascii="Garamond" w:hAnsi="Garamond"/>
                <w:color w:val="000000" w:themeColor="text1"/>
                <w:sz w:val="22"/>
                <w:szCs w:val="22"/>
              </w:rPr>
              <w:t>Weight</w:t>
            </w:r>
          </w:p>
        </w:tc>
      </w:tr>
    </w:tbl>
    <w:p w14:paraId="16F204B4" w14:textId="6F027BC4" w:rsidR="00717E66" w:rsidRPr="004D3971" w:rsidRDefault="00717E66" w:rsidP="00C43579">
      <w:pPr>
        <w:pStyle w:val="Body"/>
        <w:widowControl w:val="0"/>
        <w:spacing w:before="200" w:after="200" w:line="360" w:lineRule="auto"/>
        <w:jc w:val="both"/>
        <w:rPr>
          <w:rFonts w:ascii="Garamond" w:hAnsi="Garamond"/>
          <w:lang w:val="en-GB"/>
        </w:rPr>
      </w:pPr>
    </w:p>
    <w:sectPr w:rsidR="00717E66" w:rsidRPr="004D3971" w:rsidSect="00082236">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E9940" w14:textId="77777777" w:rsidR="002A01E2" w:rsidRDefault="002A01E2">
      <w:r>
        <w:separator/>
      </w:r>
    </w:p>
  </w:endnote>
  <w:endnote w:type="continuationSeparator" w:id="0">
    <w:p w14:paraId="180F85CD" w14:textId="77777777" w:rsidR="002A01E2" w:rsidRDefault="002A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96891906"/>
      <w:docPartObj>
        <w:docPartGallery w:val="Page Numbers (Bottom of Page)"/>
        <w:docPartUnique/>
      </w:docPartObj>
    </w:sdtPr>
    <w:sdtEndPr>
      <w:rPr>
        <w:rStyle w:val="PageNumber"/>
      </w:rPr>
    </w:sdtEndPr>
    <w:sdtContent>
      <w:p w14:paraId="5064145B" w14:textId="50CFFABE" w:rsidR="009F173C" w:rsidRDefault="009F173C" w:rsidP="009575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7F2A2" w14:textId="77777777" w:rsidR="009F173C" w:rsidRDefault="009F173C" w:rsidP="00D54E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Garamond" w:hAnsi="Garamond"/>
        <w:sz w:val="20"/>
        <w:szCs w:val="20"/>
      </w:rPr>
      <w:id w:val="-1825883410"/>
      <w:docPartObj>
        <w:docPartGallery w:val="Page Numbers (Bottom of Page)"/>
        <w:docPartUnique/>
      </w:docPartObj>
    </w:sdtPr>
    <w:sdtEndPr>
      <w:rPr>
        <w:rStyle w:val="PageNumber"/>
      </w:rPr>
    </w:sdtEndPr>
    <w:sdtContent>
      <w:p w14:paraId="2434EC45" w14:textId="6A98D4B3" w:rsidR="009575DB" w:rsidRPr="009575DB" w:rsidRDefault="009575DB" w:rsidP="00E477AE">
        <w:pPr>
          <w:pStyle w:val="Footer"/>
          <w:framePr w:wrap="none" w:vAnchor="text" w:hAnchor="margin" w:xAlign="right" w:y="1"/>
          <w:rPr>
            <w:rStyle w:val="PageNumber"/>
            <w:rFonts w:ascii="Garamond" w:hAnsi="Garamond"/>
            <w:sz w:val="20"/>
            <w:szCs w:val="20"/>
          </w:rPr>
        </w:pPr>
        <w:r w:rsidRPr="009575DB">
          <w:rPr>
            <w:rStyle w:val="PageNumber"/>
            <w:rFonts w:ascii="Garamond" w:hAnsi="Garamond"/>
            <w:sz w:val="20"/>
            <w:szCs w:val="20"/>
          </w:rPr>
          <w:fldChar w:fldCharType="begin"/>
        </w:r>
        <w:r w:rsidRPr="009575DB">
          <w:rPr>
            <w:rStyle w:val="PageNumber"/>
            <w:rFonts w:ascii="Garamond" w:hAnsi="Garamond"/>
            <w:sz w:val="20"/>
            <w:szCs w:val="20"/>
          </w:rPr>
          <w:instrText xml:space="preserve"> PAGE </w:instrText>
        </w:r>
        <w:r w:rsidRPr="009575DB">
          <w:rPr>
            <w:rStyle w:val="PageNumber"/>
            <w:rFonts w:ascii="Garamond" w:hAnsi="Garamond"/>
            <w:sz w:val="20"/>
            <w:szCs w:val="20"/>
          </w:rPr>
          <w:fldChar w:fldCharType="separate"/>
        </w:r>
        <w:r w:rsidR="00DC79D7">
          <w:rPr>
            <w:rStyle w:val="PageNumber"/>
            <w:rFonts w:ascii="Garamond" w:hAnsi="Garamond"/>
            <w:noProof/>
            <w:sz w:val="20"/>
            <w:szCs w:val="20"/>
          </w:rPr>
          <w:t>1</w:t>
        </w:r>
        <w:r w:rsidRPr="009575DB">
          <w:rPr>
            <w:rStyle w:val="PageNumber"/>
            <w:rFonts w:ascii="Garamond" w:hAnsi="Garamond"/>
            <w:sz w:val="20"/>
            <w:szCs w:val="20"/>
          </w:rPr>
          <w:fldChar w:fldCharType="end"/>
        </w:r>
      </w:p>
    </w:sdtContent>
  </w:sdt>
  <w:p w14:paraId="6DB1B774" w14:textId="516EE609" w:rsidR="009F173C" w:rsidRDefault="00176D75" w:rsidP="00D54E4B">
    <w:pPr>
      <w:pStyle w:val="Footer"/>
      <w:ind w:right="360"/>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DC28B" w14:textId="77777777" w:rsidR="002A01E2" w:rsidRDefault="002A01E2">
      <w:r>
        <w:separator/>
      </w:r>
    </w:p>
  </w:footnote>
  <w:footnote w:type="continuationSeparator" w:id="0">
    <w:p w14:paraId="0EADFBEC" w14:textId="77777777" w:rsidR="002A01E2" w:rsidRDefault="002A01E2">
      <w:r>
        <w:continuationSeparator/>
      </w:r>
    </w:p>
  </w:footnote>
  <w:footnote w:id="1">
    <w:p w14:paraId="460EBB56" w14:textId="323C89C5" w:rsidR="009F173C" w:rsidRDefault="009F173C">
      <w:pPr>
        <w:pStyle w:val="FootnoteText"/>
      </w:pPr>
      <w:r>
        <w:rPr>
          <w:rStyle w:val="FootnoteReference"/>
        </w:rPr>
        <w:footnoteRef/>
      </w:r>
      <w:r>
        <w:t xml:space="preserve"> </w:t>
      </w:r>
      <w:r>
        <w:rPr>
          <w:rFonts w:ascii="Garamond" w:hAnsi="Garamond"/>
        </w:rPr>
        <w:t xml:space="preserve">Emerging </w:t>
      </w:r>
      <w:r w:rsidRPr="00B95CED">
        <w:rPr>
          <w:rFonts w:ascii="Garamond" w:hAnsi="Garamond"/>
        </w:rPr>
        <w:t xml:space="preserve">digital tools </w:t>
      </w:r>
      <w:r>
        <w:rPr>
          <w:rFonts w:ascii="Garamond" w:hAnsi="Garamond"/>
        </w:rPr>
        <w:t xml:space="preserve">(e.g. Altmetrics.com or Plum Analytics) </w:t>
      </w:r>
      <w:r w:rsidRPr="00B95CED">
        <w:rPr>
          <w:rFonts w:ascii="Garamond" w:hAnsi="Garamond"/>
        </w:rPr>
        <w:t xml:space="preserve">are </w:t>
      </w:r>
      <w:r>
        <w:rPr>
          <w:rFonts w:ascii="Garamond" w:hAnsi="Garamond"/>
        </w:rPr>
        <w:t xml:space="preserve">also </w:t>
      </w:r>
      <w:r w:rsidRPr="00B95CED">
        <w:rPr>
          <w:rFonts w:ascii="Garamond" w:hAnsi="Garamond"/>
        </w:rPr>
        <w:t xml:space="preserve">being designed to </w:t>
      </w:r>
      <w:r>
        <w:rPr>
          <w:rFonts w:ascii="Garamond" w:hAnsi="Garamond"/>
        </w:rPr>
        <w:t xml:space="preserve">try to </w:t>
      </w:r>
      <w:r w:rsidRPr="00B95CED">
        <w:rPr>
          <w:rFonts w:ascii="Garamond" w:hAnsi="Garamond"/>
        </w:rPr>
        <w:t xml:space="preserve">measure </w:t>
      </w:r>
      <w:r>
        <w:rPr>
          <w:rFonts w:ascii="Garamond" w:hAnsi="Garamond"/>
        </w:rPr>
        <w:t xml:space="preserve">online engagement and </w:t>
      </w:r>
      <w:r w:rsidRPr="00B95CED">
        <w:rPr>
          <w:rFonts w:ascii="Garamond" w:hAnsi="Garamond"/>
        </w:rPr>
        <w:t>impact beyond academi</w:t>
      </w:r>
      <w:r>
        <w:rPr>
          <w:rFonts w:ascii="Garamond" w:hAnsi="Garamond"/>
        </w:rPr>
        <w:t xml:space="preserve">c circles </w:t>
      </w:r>
      <w:r w:rsidRPr="00B95CED">
        <w:rPr>
          <w:rFonts w:ascii="Garamond" w:hAnsi="Garamond"/>
        </w:rPr>
        <w:t>(Franzen 2015; Paradeise &amp; Filliatreau 2016)</w:t>
      </w:r>
      <w:r>
        <w:rPr>
          <w:rFonts w:ascii="Garamond" w:hAnsi="Garamond"/>
        </w:rPr>
        <w:t xml:space="preserve">, but which </w:t>
      </w:r>
      <w:r w:rsidRPr="00B95CED">
        <w:rPr>
          <w:rFonts w:ascii="Garamond" w:hAnsi="Garamond"/>
        </w:rPr>
        <w:t>have largely lacked credibility (Andrews 2018).</w:t>
      </w:r>
    </w:p>
  </w:footnote>
  <w:footnote w:id="2">
    <w:p w14:paraId="6E9A38DC" w14:textId="17B17FF8" w:rsidR="009F173C" w:rsidRDefault="009F173C">
      <w:pPr>
        <w:pStyle w:val="FootnoteText"/>
      </w:pPr>
      <w:r w:rsidRPr="00C7748E">
        <w:rPr>
          <w:rStyle w:val="FootnoteReference"/>
          <w:rFonts w:ascii="Garamond" w:hAnsi="Garamond"/>
        </w:rPr>
        <w:footnoteRef/>
      </w:r>
      <w:r w:rsidRPr="00C7748E">
        <w:rPr>
          <w:rFonts w:ascii="Garamond" w:hAnsi="Garamond"/>
        </w:rPr>
        <w:t xml:space="preserve"> A minimum of two impact case studies</w:t>
      </w:r>
      <w:r>
        <w:rPr>
          <w:rFonts w:ascii="Garamond" w:hAnsi="Garamond"/>
        </w:rPr>
        <w:t xml:space="preserve"> are required, </w:t>
      </w:r>
      <w:r w:rsidRPr="00C7748E">
        <w:rPr>
          <w:rFonts w:ascii="Garamond" w:hAnsi="Garamond"/>
        </w:rPr>
        <w:t>with those over 20 F</w:t>
      </w:r>
      <w:r>
        <w:rPr>
          <w:rFonts w:ascii="Garamond" w:hAnsi="Garamond"/>
        </w:rPr>
        <w:t xml:space="preserve">ull </w:t>
      </w:r>
      <w:r w:rsidRPr="00C7748E">
        <w:rPr>
          <w:rFonts w:ascii="Garamond" w:hAnsi="Garamond"/>
        </w:rPr>
        <w:t>T</w:t>
      </w:r>
      <w:r>
        <w:rPr>
          <w:rFonts w:ascii="Garamond" w:hAnsi="Garamond"/>
        </w:rPr>
        <w:t xml:space="preserve">ime </w:t>
      </w:r>
      <w:r w:rsidRPr="00C7748E">
        <w:rPr>
          <w:rFonts w:ascii="Garamond" w:hAnsi="Garamond"/>
        </w:rPr>
        <w:t>E</w:t>
      </w:r>
      <w:r>
        <w:rPr>
          <w:rFonts w:ascii="Garamond" w:hAnsi="Garamond"/>
        </w:rPr>
        <w:t>mployees (FTEs)</w:t>
      </w:r>
      <w:r w:rsidRPr="00C7748E">
        <w:rPr>
          <w:rFonts w:ascii="Garamond" w:hAnsi="Garamond"/>
        </w:rPr>
        <w:t xml:space="preserve"> </w:t>
      </w:r>
      <w:r>
        <w:rPr>
          <w:rFonts w:ascii="Garamond" w:hAnsi="Garamond"/>
        </w:rPr>
        <w:t xml:space="preserve">requiring an </w:t>
      </w:r>
      <w:r w:rsidRPr="00C7748E">
        <w:rPr>
          <w:rFonts w:ascii="Garamond" w:hAnsi="Garamond"/>
        </w:rPr>
        <w:t>additional case study per 15 FTE for the first 110 FTE submitted, then decreasing to one per 50 FTE.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6369B" w14:textId="77777777" w:rsidR="00C43579" w:rsidRPr="004147E7" w:rsidRDefault="00C43579" w:rsidP="004147E7">
    <w:pPr>
      <w:jc w:val="center"/>
      <w:rPr>
        <w:rFonts w:ascii="Garamond" w:hAnsi="Garamond"/>
        <w:b/>
        <w:sz w:val="22"/>
        <w:szCs w:val="22"/>
      </w:rPr>
    </w:pPr>
    <w:r w:rsidRPr="00F21F25">
      <w:rPr>
        <w:rFonts w:ascii="Garamond" w:hAnsi="Garamond"/>
        <w:b/>
        <w:sz w:val="22"/>
        <w:szCs w:val="22"/>
      </w:rPr>
      <w:t xml:space="preserve">TABLES </w:t>
    </w:r>
  </w:p>
  <w:p w14:paraId="16C99E85" w14:textId="77777777" w:rsidR="00C43579" w:rsidRDefault="00C43579" w:rsidP="004147E7">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17F5"/>
    <w:multiLevelType w:val="hybridMultilevel"/>
    <w:tmpl w:val="6B4A627E"/>
    <w:lvl w:ilvl="0" w:tplc="E2FEB1CE">
      <w:start w:val="1"/>
      <w:numFmt w:val="bullet"/>
      <w:lvlText w:val="-"/>
      <w:lvlJc w:val="left"/>
      <w:pPr>
        <w:ind w:left="360" w:hanging="360"/>
      </w:pPr>
      <w:rPr>
        <w:rFonts w:ascii="Garamond" w:eastAsia="Arial Unicode MS" w:hAnsi="Garamond"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9F1051"/>
    <w:multiLevelType w:val="hybridMultilevel"/>
    <w:tmpl w:val="FEA257C6"/>
    <w:lvl w:ilvl="0" w:tplc="E2FEB1CE">
      <w:start w:val="1"/>
      <w:numFmt w:val="bullet"/>
      <w:lvlText w:val="-"/>
      <w:lvlJc w:val="left"/>
      <w:pPr>
        <w:ind w:left="360" w:hanging="360"/>
      </w:pPr>
      <w:rPr>
        <w:rFonts w:ascii="Garamond" w:eastAsia="Arial Unicode MS" w:hAnsi="Garamond"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FC21D7"/>
    <w:multiLevelType w:val="hybridMultilevel"/>
    <w:tmpl w:val="5526EE14"/>
    <w:lvl w:ilvl="0" w:tplc="E2FEB1CE">
      <w:start w:val="1"/>
      <w:numFmt w:val="bullet"/>
      <w:lvlText w:val="-"/>
      <w:lvlJc w:val="left"/>
      <w:pPr>
        <w:ind w:left="360" w:hanging="360"/>
      </w:pPr>
      <w:rPr>
        <w:rFonts w:ascii="Garamond" w:eastAsia="Arial Unicode MS" w:hAnsi="Garamond" w:cs="Arial Unicode MS" w:hint="default"/>
      </w:rPr>
    </w:lvl>
    <w:lvl w:ilvl="1" w:tplc="E2FEB1CE">
      <w:start w:val="1"/>
      <w:numFmt w:val="bullet"/>
      <w:lvlText w:val="-"/>
      <w:lvlJc w:val="left"/>
      <w:pPr>
        <w:ind w:left="785" w:hanging="360"/>
      </w:pPr>
      <w:rPr>
        <w:rFonts w:ascii="Garamond" w:eastAsia="Arial Unicode MS" w:hAnsi="Garamond"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B873CF"/>
    <w:multiLevelType w:val="hybridMultilevel"/>
    <w:tmpl w:val="1686634C"/>
    <w:lvl w:ilvl="0" w:tplc="E2FEB1CE">
      <w:start w:val="1"/>
      <w:numFmt w:val="bullet"/>
      <w:lvlText w:val="-"/>
      <w:lvlJc w:val="left"/>
      <w:pPr>
        <w:ind w:left="360" w:hanging="360"/>
      </w:pPr>
      <w:rPr>
        <w:rFonts w:ascii="Garamond" w:eastAsia="Arial Unicode MS" w:hAnsi="Garamond"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8B"/>
    <w:rsid w:val="00000830"/>
    <w:rsid w:val="00001D29"/>
    <w:rsid w:val="00003953"/>
    <w:rsid w:val="000039C6"/>
    <w:rsid w:val="000065A4"/>
    <w:rsid w:val="00006F46"/>
    <w:rsid w:val="000119A9"/>
    <w:rsid w:val="0001422F"/>
    <w:rsid w:val="00014EB7"/>
    <w:rsid w:val="0001524D"/>
    <w:rsid w:val="00016720"/>
    <w:rsid w:val="000168FE"/>
    <w:rsid w:val="00023195"/>
    <w:rsid w:val="0002405E"/>
    <w:rsid w:val="000244B8"/>
    <w:rsid w:val="0002457A"/>
    <w:rsid w:val="000248AC"/>
    <w:rsid w:val="00024F81"/>
    <w:rsid w:val="000255FD"/>
    <w:rsid w:val="000256EE"/>
    <w:rsid w:val="0002645C"/>
    <w:rsid w:val="00026837"/>
    <w:rsid w:val="00030606"/>
    <w:rsid w:val="000379F4"/>
    <w:rsid w:val="00041255"/>
    <w:rsid w:val="0004185D"/>
    <w:rsid w:val="000504CC"/>
    <w:rsid w:val="00051BC8"/>
    <w:rsid w:val="000568CB"/>
    <w:rsid w:val="00056B50"/>
    <w:rsid w:val="000575A4"/>
    <w:rsid w:val="000630D6"/>
    <w:rsid w:val="00063355"/>
    <w:rsid w:val="000640AD"/>
    <w:rsid w:val="0006422E"/>
    <w:rsid w:val="00064804"/>
    <w:rsid w:val="00066165"/>
    <w:rsid w:val="00066196"/>
    <w:rsid w:val="00067A62"/>
    <w:rsid w:val="00067EA9"/>
    <w:rsid w:val="0007196B"/>
    <w:rsid w:val="00072301"/>
    <w:rsid w:val="00072EE7"/>
    <w:rsid w:val="00074796"/>
    <w:rsid w:val="000760D0"/>
    <w:rsid w:val="0007739E"/>
    <w:rsid w:val="00077BFA"/>
    <w:rsid w:val="000801BB"/>
    <w:rsid w:val="000810DE"/>
    <w:rsid w:val="00081123"/>
    <w:rsid w:val="00083610"/>
    <w:rsid w:val="00084E4F"/>
    <w:rsid w:val="00085058"/>
    <w:rsid w:val="00090FEE"/>
    <w:rsid w:val="000A0D60"/>
    <w:rsid w:val="000A1575"/>
    <w:rsid w:val="000A2171"/>
    <w:rsid w:val="000A3455"/>
    <w:rsid w:val="000A38CE"/>
    <w:rsid w:val="000A44DE"/>
    <w:rsid w:val="000A56A5"/>
    <w:rsid w:val="000A5AB3"/>
    <w:rsid w:val="000B1B8F"/>
    <w:rsid w:val="000B20E6"/>
    <w:rsid w:val="000B25D6"/>
    <w:rsid w:val="000B5120"/>
    <w:rsid w:val="000B640D"/>
    <w:rsid w:val="000B66D3"/>
    <w:rsid w:val="000B6A1F"/>
    <w:rsid w:val="000B7455"/>
    <w:rsid w:val="000C1F69"/>
    <w:rsid w:val="000C2839"/>
    <w:rsid w:val="000C2F49"/>
    <w:rsid w:val="000C311C"/>
    <w:rsid w:val="000C6190"/>
    <w:rsid w:val="000C66FA"/>
    <w:rsid w:val="000D11C1"/>
    <w:rsid w:val="000D25B0"/>
    <w:rsid w:val="000D36C9"/>
    <w:rsid w:val="000D5AA9"/>
    <w:rsid w:val="000D5FB2"/>
    <w:rsid w:val="000E021C"/>
    <w:rsid w:val="000E025C"/>
    <w:rsid w:val="000E0BE9"/>
    <w:rsid w:val="000E1EB1"/>
    <w:rsid w:val="000E1EC6"/>
    <w:rsid w:val="000E31A4"/>
    <w:rsid w:val="000E3222"/>
    <w:rsid w:val="000E365F"/>
    <w:rsid w:val="000E5B1A"/>
    <w:rsid w:val="000E7112"/>
    <w:rsid w:val="000E739C"/>
    <w:rsid w:val="000F172D"/>
    <w:rsid w:val="000F33FA"/>
    <w:rsid w:val="000F38D9"/>
    <w:rsid w:val="000F3AA5"/>
    <w:rsid w:val="000F468B"/>
    <w:rsid w:val="00100B88"/>
    <w:rsid w:val="00113298"/>
    <w:rsid w:val="0011590E"/>
    <w:rsid w:val="00117278"/>
    <w:rsid w:val="00121197"/>
    <w:rsid w:val="0012176A"/>
    <w:rsid w:val="00122009"/>
    <w:rsid w:val="00122B8C"/>
    <w:rsid w:val="00122EE7"/>
    <w:rsid w:val="0012410D"/>
    <w:rsid w:val="00130414"/>
    <w:rsid w:val="001320E1"/>
    <w:rsid w:val="0013248D"/>
    <w:rsid w:val="001340D9"/>
    <w:rsid w:val="00134F40"/>
    <w:rsid w:val="00135038"/>
    <w:rsid w:val="00135E8D"/>
    <w:rsid w:val="00136303"/>
    <w:rsid w:val="00140903"/>
    <w:rsid w:val="0014122A"/>
    <w:rsid w:val="00141937"/>
    <w:rsid w:val="00141BFC"/>
    <w:rsid w:val="00143A85"/>
    <w:rsid w:val="001451A6"/>
    <w:rsid w:val="001473E2"/>
    <w:rsid w:val="00150021"/>
    <w:rsid w:val="00152B25"/>
    <w:rsid w:val="001531A0"/>
    <w:rsid w:val="00153846"/>
    <w:rsid w:val="00154B2C"/>
    <w:rsid w:val="00155FEC"/>
    <w:rsid w:val="0016077B"/>
    <w:rsid w:val="00161A56"/>
    <w:rsid w:val="00165204"/>
    <w:rsid w:val="00165CEA"/>
    <w:rsid w:val="00165EB0"/>
    <w:rsid w:val="001701C4"/>
    <w:rsid w:val="00171DC2"/>
    <w:rsid w:val="00174C7A"/>
    <w:rsid w:val="00176004"/>
    <w:rsid w:val="00176D75"/>
    <w:rsid w:val="001773E6"/>
    <w:rsid w:val="0018010B"/>
    <w:rsid w:val="001805EB"/>
    <w:rsid w:val="001806F4"/>
    <w:rsid w:val="00180777"/>
    <w:rsid w:val="00181192"/>
    <w:rsid w:val="0018149B"/>
    <w:rsid w:val="00181997"/>
    <w:rsid w:val="00185ED4"/>
    <w:rsid w:val="00185FCF"/>
    <w:rsid w:val="00193B95"/>
    <w:rsid w:val="001962D5"/>
    <w:rsid w:val="00197A12"/>
    <w:rsid w:val="001A1183"/>
    <w:rsid w:val="001A1D9E"/>
    <w:rsid w:val="001A3065"/>
    <w:rsid w:val="001A3CB4"/>
    <w:rsid w:val="001A3D27"/>
    <w:rsid w:val="001A5566"/>
    <w:rsid w:val="001A6081"/>
    <w:rsid w:val="001A6356"/>
    <w:rsid w:val="001A646A"/>
    <w:rsid w:val="001B063E"/>
    <w:rsid w:val="001B1C45"/>
    <w:rsid w:val="001B2C85"/>
    <w:rsid w:val="001C0330"/>
    <w:rsid w:val="001C11F1"/>
    <w:rsid w:val="001C362D"/>
    <w:rsid w:val="001C7AFA"/>
    <w:rsid w:val="001D10AD"/>
    <w:rsid w:val="001D159A"/>
    <w:rsid w:val="001D17E2"/>
    <w:rsid w:val="001D38B2"/>
    <w:rsid w:val="001D4805"/>
    <w:rsid w:val="001D48DC"/>
    <w:rsid w:val="001D724D"/>
    <w:rsid w:val="001E02CC"/>
    <w:rsid w:val="001E0361"/>
    <w:rsid w:val="001E2DE5"/>
    <w:rsid w:val="001E3A25"/>
    <w:rsid w:val="001E5D37"/>
    <w:rsid w:val="001E6707"/>
    <w:rsid w:val="001E6B10"/>
    <w:rsid w:val="001E6E69"/>
    <w:rsid w:val="001F092F"/>
    <w:rsid w:val="001F139F"/>
    <w:rsid w:val="001F1D0E"/>
    <w:rsid w:val="001F2E8F"/>
    <w:rsid w:val="001F3022"/>
    <w:rsid w:val="001F3332"/>
    <w:rsid w:val="001F4C5F"/>
    <w:rsid w:val="001F5FEE"/>
    <w:rsid w:val="001F6756"/>
    <w:rsid w:val="001F7F42"/>
    <w:rsid w:val="00201759"/>
    <w:rsid w:val="00202CD5"/>
    <w:rsid w:val="002033A3"/>
    <w:rsid w:val="0020473C"/>
    <w:rsid w:val="002053E4"/>
    <w:rsid w:val="00206834"/>
    <w:rsid w:val="00206BB1"/>
    <w:rsid w:val="00207013"/>
    <w:rsid w:val="00207EC9"/>
    <w:rsid w:val="00210A9F"/>
    <w:rsid w:val="00213E2A"/>
    <w:rsid w:val="0022114A"/>
    <w:rsid w:val="0022295C"/>
    <w:rsid w:val="00223AC2"/>
    <w:rsid w:val="00223DCB"/>
    <w:rsid w:val="00224AB3"/>
    <w:rsid w:val="00225C0F"/>
    <w:rsid w:val="002277FB"/>
    <w:rsid w:val="00230E45"/>
    <w:rsid w:val="002323B1"/>
    <w:rsid w:val="00234114"/>
    <w:rsid w:val="00234A91"/>
    <w:rsid w:val="00235B77"/>
    <w:rsid w:val="00237DB0"/>
    <w:rsid w:val="00240386"/>
    <w:rsid w:val="00240711"/>
    <w:rsid w:val="002414C2"/>
    <w:rsid w:val="00241957"/>
    <w:rsid w:val="00241B86"/>
    <w:rsid w:val="0024306D"/>
    <w:rsid w:val="00243EA9"/>
    <w:rsid w:val="002466B4"/>
    <w:rsid w:val="0025110F"/>
    <w:rsid w:val="0025185B"/>
    <w:rsid w:val="002541C7"/>
    <w:rsid w:val="00260D57"/>
    <w:rsid w:val="00266731"/>
    <w:rsid w:val="00273E62"/>
    <w:rsid w:val="002753F5"/>
    <w:rsid w:val="002757A4"/>
    <w:rsid w:val="002835AD"/>
    <w:rsid w:val="0028426E"/>
    <w:rsid w:val="0028576C"/>
    <w:rsid w:val="00290A18"/>
    <w:rsid w:val="002918EE"/>
    <w:rsid w:val="00291A65"/>
    <w:rsid w:val="00294A30"/>
    <w:rsid w:val="002951C2"/>
    <w:rsid w:val="00297609"/>
    <w:rsid w:val="00297AE2"/>
    <w:rsid w:val="002A01E2"/>
    <w:rsid w:val="002A056C"/>
    <w:rsid w:val="002A3178"/>
    <w:rsid w:val="002A3755"/>
    <w:rsid w:val="002A4065"/>
    <w:rsid w:val="002A66A4"/>
    <w:rsid w:val="002A6AE3"/>
    <w:rsid w:val="002A70D1"/>
    <w:rsid w:val="002B2E71"/>
    <w:rsid w:val="002B4F20"/>
    <w:rsid w:val="002B5172"/>
    <w:rsid w:val="002C283D"/>
    <w:rsid w:val="002C3D16"/>
    <w:rsid w:val="002C79E5"/>
    <w:rsid w:val="002C7A57"/>
    <w:rsid w:val="002C7EEB"/>
    <w:rsid w:val="002D0354"/>
    <w:rsid w:val="002D6E12"/>
    <w:rsid w:val="002E03A1"/>
    <w:rsid w:val="002E7957"/>
    <w:rsid w:val="002F1D79"/>
    <w:rsid w:val="002F1E57"/>
    <w:rsid w:val="002F3B2F"/>
    <w:rsid w:val="002F3D39"/>
    <w:rsid w:val="002F4100"/>
    <w:rsid w:val="002F58BF"/>
    <w:rsid w:val="002F5DCA"/>
    <w:rsid w:val="00301B93"/>
    <w:rsid w:val="0030488E"/>
    <w:rsid w:val="00307E6F"/>
    <w:rsid w:val="003116EA"/>
    <w:rsid w:val="00313831"/>
    <w:rsid w:val="00313F77"/>
    <w:rsid w:val="00321347"/>
    <w:rsid w:val="003222EE"/>
    <w:rsid w:val="00323CAE"/>
    <w:rsid w:val="0032408F"/>
    <w:rsid w:val="00326992"/>
    <w:rsid w:val="00327966"/>
    <w:rsid w:val="00327E7D"/>
    <w:rsid w:val="00330694"/>
    <w:rsid w:val="003311AF"/>
    <w:rsid w:val="003339E8"/>
    <w:rsid w:val="003342CF"/>
    <w:rsid w:val="0033524E"/>
    <w:rsid w:val="003360BD"/>
    <w:rsid w:val="00341057"/>
    <w:rsid w:val="0034257A"/>
    <w:rsid w:val="0034367E"/>
    <w:rsid w:val="00345882"/>
    <w:rsid w:val="003475D7"/>
    <w:rsid w:val="0035080C"/>
    <w:rsid w:val="00350A9E"/>
    <w:rsid w:val="00351EB3"/>
    <w:rsid w:val="00352992"/>
    <w:rsid w:val="00353759"/>
    <w:rsid w:val="0035403B"/>
    <w:rsid w:val="0035508F"/>
    <w:rsid w:val="00357960"/>
    <w:rsid w:val="00360687"/>
    <w:rsid w:val="00361266"/>
    <w:rsid w:val="00362364"/>
    <w:rsid w:val="003631CB"/>
    <w:rsid w:val="00365DEF"/>
    <w:rsid w:val="003715E8"/>
    <w:rsid w:val="00371883"/>
    <w:rsid w:val="00371DCD"/>
    <w:rsid w:val="0037326D"/>
    <w:rsid w:val="00373857"/>
    <w:rsid w:val="003820D3"/>
    <w:rsid w:val="00383A3C"/>
    <w:rsid w:val="00387A45"/>
    <w:rsid w:val="003929F3"/>
    <w:rsid w:val="00393F3F"/>
    <w:rsid w:val="00395188"/>
    <w:rsid w:val="00396206"/>
    <w:rsid w:val="0039689D"/>
    <w:rsid w:val="003A0973"/>
    <w:rsid w:val="003A205D"/>
    <w:rsid w:val="003A4CF0"/>
    <w:rsid w:val="003A7BA4"/>
    <w:rsid w:val="003A7F53"/>
    <w:rsid w:val="003B1F38"/>
    <w:rsid w:val="003B38BB"/>
    <w:rsid w:val="003B3B14"/>
    <w:rsid w:val="003B408B"/>
    <w:rsid w:val="003B4DDC"/>
    <w:rsid w:val="003B53FA"/>
    <w:rsid w:val="003B5F76"/>
    <w:rsid w:val="003C08D0"/>
    <w:rsid w:val="003C0C2E"/>
    <w:rsid w:val="003C29F8"/>
    <w:rsid w:val="003C2BB2"/>
    <w:rsid w:val="003C3806"/>
    <w:rsid w:val="003C6A7E"/>
    <w:rsid w:val="003C6B87"/>
    <w:rsid w:val="003C70EB"/>
    <w:rsid w:val="003C7D4A"/>
    <w:rsid w:val="003D0690"/>
    <w:rsid w:val="003D18D3"/>
    <w:rsid w:val="003D2B18"/>
    <w:rsid w:val="003D2C4D"/>
    <w:rsid w:val="003D31AF"/>
    <w:rsid w:val="003D3A92"/>
    <w:rsid w:val="003D3B6D"/>
    <w:rsid w:val="003D3CB7"/>
    <w:rsid w:val="003D4A59"/>
    <w:rsid w:val="003D6546"/>
    <w:rsid w:val="003D6AC0"/>
    <w:rsid w:val="003D7F83"/>
    <w:rsid w:val="003E00C7"/>
    <w:rsid w:val="003E0694"/>
    <w:rsid w:val="003E449C"/>
    <w:rsid w:val="003E5E98"/>
    <w:rsid w:val="003E6365"/>
    <w:rsid w:val="003E6720"/>
    <w:rsid w:val="003E7C18"/>
    <w:rsid w:val="003F07FB"/>
    <w:rsid w:val="003F2B63"/>
    <w:rsid w:val="003F5637"/>
    <w:rsid w:val="003F65CF"/>
    <w:rsid w:val="003F73E7"/>
    <w:rsid w:val="003F75EA"/>
    <w:rsid w:val="00400034"/>
    <w:rsid w:val="004001FF"/>
    <w:rsid w:val="00401F3A"/>
    <w:rsid w:val="00402285"/>
    <w:rsid w:val="004029D6"/>
    <w:rsid w:val="0040354D"/>
    <w:rsid w:val="00403B42"/>
    <w:rsid w:val="004042B2"/>
    <w:rsid w:val="0040632D"/>
    <w:rsid w:val="00407308"/>
    <w:rsid w:val="00407747"/>
    <w:rsid w:val="0040779B"/>
    <w:rsid w:val="00407EBC"/>
    <w:rsid w:val="00407FE5"/>
    <w:rsid w:val="00410997"/>
    <w:rsid w:val="004130FB"/>
    <w:rsid w:val="00414997"/>
    <w:rsid w:val="0041610A"/>
    <w:rsid w:val="004165BD"/>
    <w:rsid w:val="00416EF0"/>
    <w:rsid w:val="00422B7D"/>
    <w:rsid w:val="00422C17"/>
    <w:rsid w:val="00424F71"/>
    <w:rsid w:val="00425522"/>
    <w:rsid w:val="0043064D"/>
    <w:rsid w:val="00430AAB"/>
    <w:rsid w:val="004310B2"/>
    <w:rsid w:val="00435D76"/>
    <w:rsid w:val="0043685C"/>
    <w:rsid w:val="00441E81"/>
    <w:rsid w:val="00444B90"/>
    <w:rsid w:val="00445316"/>
    <w:rsid w:val="00445967"/>
    <w:rsid w:val="00445C69"/>
    <w:rsid w:val="00446C39"/>
    <w:rsid w:val="0044766D"/>
    <w:rsid w:val="004476D9"/>
    <w:rsid w:val="0045020E"/>
    <w:rsid w:val="004527DF"/>
    <w:rsid w:val="00452D31"/>
    <w:rsid w:val="004548D9"/>
    <w:rsid w:val="004561F0"/>
    <w:rsid w:val="004565B8"/>
    <w:rsid w:val="004570C8"/>
    <w:rsid w:val="004605DB"/>
    <w:rsid w:val="00461922"/>
    <w:rsid w:val="00461B73"/>
    <w:rsid w:val="00461FDA"/>
    <w:rsid w:val="00470003"/>
    <w:rsid w:val="004712F2"/>
    <w:rsid w:val="00472812"/>
    <w:rsid w:val="00472CB9"/>
    <w:rsid w:val="00473458"/>
    <w:rsid w:val="00474C0B"/>
    <w:rsid w:val="00475725"/>
    <w:rsid w:val="00476DC1"/>
    <w:rsid w:val="00480F56"/>
    <w:rsid w:val="00481DD7"/>
    <w:rsid w:val="004836E5"/>
    <w:rsid w:val="00483990"/>
    <w:rsid w:val="00493524"/>
    <w:rsid w:val="00493C16"/>
    <w:rsid w:val="00494133"/>
    <w:rsid w:val="00495F27"/>
    <w:rsid w:val="00496D9F"/>
    <w:rsid w:val="004A0894"/>
    <w:rsid w:val="004A2B31"/>
    <w:rsid w:val="004A57EB"/>
    <w:rsid w:val="004A6BE7"/>
    <w:rsid w:val="004A703E"/>
    <w:rsid w:val="004B1382"/>
    <w:rsid w:val="004B17FF"/>
    <w:rsid w:val="004B46FE"/>
    <w:rsid w:val="004B4E90"/>
    <w:rsid w:val="004B6C44"/>
    <w:rsid w:val="004C0944"/>
    <w:rsid w:val="004C0B16"/>
    <w:rsid w:val="004C0FEB"/>
    <w:rsid w:val="004C17FA"/>
    <w:rsid w:val="004C2DEB"/>
    <w:rsid w:val="004C4A16"/>
    <w:rsid w:val="004C5F88"/>
    <w:rsid w:val="004C622E"/>
    <w:rsid w:val="004C740F"/>
    <w:rsid w:val="004D2F70"/>
    <w:rsid w:val="004D3971"/>
    <w:rsid w:val="004D5EF2"/>
    <w:rsid w:val="004D741F"/>
    <w:rsid w:val="004D7A0B"/>
    <w:rsid w:val="004E1E34"/>
    <w:rsid w:val="004E2B3A"/>
    <w:rsid w:val="004E39B4"/>
    <w:rsid w:val="004E441F"/>
    <w:rsid w:val="004E548E"/>
    <w:rsid w:val="004E5E92"/>
    <w:rsid w:val="004E6068"/>
    <w:rsid w:val="004F0B55"/>
    <w:rsid w:val="004F1EAD"/>
    <w:rsid w:val="004F274D"/>
    <w:rsid w:val="004F31F3"/>
    <w:rsid w:val="004F556D"/>
    <w:rsid w:val="004F58A3"/>
    <w:rsid w:val="004F678B"/>
    <w:rsid w:val="004F6F68"/>
    <w:rsid w:val="004F7B9C"/>
    <w:rsid w:val="00500176"/>
    <w:rsid w:val="005015A9"/>
    <w:rsid w:val="00502725"/>
    <w:rsid w:val="005027C3"/>
    <w:rsid w:val="00505905"/>
    <w:rsid w:val="00506816"/>
    <w:rsid w:val="005077BF"/>
    <w:rsid w:val="00510CE9"/>
    <w:rsid w:val="00511882"/>
    <w:rsid w:val="0051228F"/>
    <w:rsid w:val="00517BC7"/>
    <w:rsid w:val="00523406"/>
    <w:rsid w:val="0052354C"/>
    <w:rsid w:val="00523E59"/>
    <w:rsid w:val="00524AB8"/>
    <w:rsid w:val="0052715C"/>
    <w:rsid w:val="005348A0"/>
    <w:rsid w:val="00534970"/>
    <w:rsid w:val="0053516B"/>
    <w:rsid w:val="00543D48"/>
    <w:rsid w:val="00544944"/>
    <w:rsid w:val="005530C5"/>
    <w:rsid w:val="00553643"/>
    <w:rsid w:val="00553D87"/>
    <w:rsid w:val="00555B08"/>
    <w:rsid w:val="00555C68"/>
    <w:rsid w:val="00556379"/>
    <w:rsid w:val="00560E68"/>
    <w:rsid w:val="00565EC7"/>
    <w:rsid w:val="00570F4A"/>
    <w:rsid w:val="00572573"/>
    <w:rsid w:val="00572848"/>
    <w:rsid w:val="005733C3"/>
    <w:rsid w:val="00576CD3"/>
    <w:rsid w:val="005771FB"/>
    <w:rsid w:val="00577A46"/>
    <w:rsid w:val="0058450C"/>
    <w:rsid w:val="00584E43"/>
    <w:rsid w:val="00584F0F"/>
    <w:rsid w:val="00585852"/>
    <w:rsid w:val="00587FF0"/>
    <w:rsid w:val="0059208D"/>
    <w:rsid w:val="00592697"/>
    <w:rsid w:val="00592A87"/>
    <w:rsid w:val="005938EA"/>
    <w:rsid w:val="00594A55"/>
    <w:rsid w:val="00594B70"/>
    <w:rsid w:val="00596750"/>
    <w:rsid w:val="005969C2"/>
    <w:rsid w:val="005A2967"/>
    <w:rsid w:val="005A32C5"/>
    <w:rsid w:val="005A355F"/>
    <w:rsid w:val="005A5B01"/>
    <w:rsid w:val="005B25A5"/>
    <w:rsid w:val="005B3610"/>
    <w:rsid w:val="005B3C8F"/>
    <w:rsid w:val="005B3D14"/>
    <w:rsid w:val="005B60EE"/>
    <w:rsid w:val="005B6407"/>
    <w:rsid w:val="005B6749"/>
    <w:rsid w:val="005B6EB3"/>
    <w:rsid w:val="005C06ED"/>
    <w:rsid w:val="005C14D6"/>
    <w:rsid w:val="005C21F3"/>
    <w:rsid w:val="005C25DC"/>
    <w:rsid w:val="005C34F5"/>
    <w:rsid w:val="005C4781"/>
    <w:rsid w:val="005C5BDA"/>
    <w:rsid w:val="005C685A"/>
    <w:rsid w:val="005D016B"/>
    <w:rsid w:val="005D0D71"/>
    <w:rsid w:val="005D1952"/>
    <w:rsid w:val="005D6D53"/>
    <w:rsid w:val="005D72EC"/>
    <w:rsid w:val="005E0812"/>
    <w:rsid w:val="005E0CC7"/>
    <w:rsid w:val="005E4310"/>
    <w:rsid w:val="005E4BE5"/>
    <w:rsid w:val="005F04DA"/>
    <w:rsid w:val="005F113C"/>
    <w:rsid w:val="005F12FD"/>
    <w:rsid w:val="005F4576"/>
    <w:rsid w:val="005F4BD0"/>
    <w:rsid w:val="005F6622"/>
    <w:rsid w:val="005F730E"/>
    <w:rsid w:val="005F74D1"/>
    <w:rsid w:val="005F79A8"/>
    <w:rsid w:val="006017F0"/>
    <w:rsid w:val="00606485"/>
    <w:rsid w:val="00607710"/>
    <w:rsid w:val="00613086"/>
    <w:rsid w:val="00617DDE"/>
    <w:rsid w:val="006216E5"/>
    <w:rsid w:val="00624737"/>
    <w:rsid w:val="00626A3B"/>
    <w:rsid w:val="00627136"/>
    <w:rsid w:val="00627408"/>
    <w:rsid w:val="00631FAC"/>
    <w:rsid w:val="0063297B"/>
    <w:rsid w:val="00632B88"/>
    <w:rsid w:val="0063495C"/>
    <w:rsid w:val="00634F5F"/>
    <w:rsid w:val="00635289"/>
    <w:rsid w:val="00635BE7"/>
    <w:rsid w:val="00637C7F"/>
    <w:rsid w:val="00641B44"/>
    <w:rsid w:val="00645550"/>
    <w:rsid w:val="00645A7F"/>
    <w:rsid w:val="00645FD1"/>
    <w:rsid w:val="006503F1"/>
    <w:rsid w:val="0065242A"/>
    <w:rsid w:val="006524E9"/>
    <w:rsid w:val="0065464E"/>
    <w:rsid w:val="006557AB"/>
    <w:rsid w:val="00660F37"/>
    <w:rsid w:val="00660F46"/>
    <w:rsid w:val="006625B6"/>
    <w:rsid w:val="006626A1"/>
    <w:rsid w:val="00662D02"/>
    <w:rsid w:val="0066309A"/>
    <w:rsid w:val="0066358B"/>
    <w:rsid w:val="0066491E"/>
    <w:rsid w:val="00666D1A"/>
    <w:rsid w:val="00667519"/>
    <w:rsid w:val="00672BA5"/>
    <w:rsid w:val="006740BF"/>
    <w:rsid w:val="00674A73"/>
    <w:rsid w:val="0067536D"/>
    <w:rsid w:val="00676050"/>
    <w:rsid w:val="00676686"/>
    <w:rsid w:val="00676F1D"/>
    <w:rsid w:val="00681202"/>
    <w:rsid w:val="00681801"/>
    <w:rsid w:val="00681C51"/>
    <w:rsid w:val="006847A2"/>
    <w:rsid w:val="00685768"/>
    <w:rsid w:val="006903B1"/>
    <w:rsid w:val="006907BA"/>
    <w:rsid w:val="00690AC7"/>
    <w:rsid w:val="00690AEF"/>
    <w:rsid w:val="00694E90"/>
    <w:rsid w:val="00695EA4"/>
    <w:rsid w:val="006961B8"/>
    <w:rsid w:val="006972B2"/>
    <w:rsid w:val="006A0DBF"/>
    <w:rsid w:val="006A35F7"/>
    <w:rsid w:val="006A5BF7"/>
    <w:rsid w:val="006A7557"/>
    <w:rsid w:val="006A7AD5"/>
    <w:rsid w:val="006B06C4"/>
    <w:rsid w:val="006B18AA"/>
    <w:rsid w:val="006B4076"/>
    <w:rsid w:val="006B432F"/>
    <w:rsid w:val="006B5AD3"/>
    <w:rsid w:val="006B692B"/>
    <w:rsid w:val="006B749E"/>
    <w:rsid w:val="006B76C1"/>
    <w:rsid w:val="006C2A6C"/>
    <w:rsid w:val="006D2E4B"/>
    <w:rsid w:val="006D405C"/>
    <w:rsid w:val="006D46D0"/>
    <w:rsid w:val="006D56AC"/>
    <w:rsid w:val="006D5FE8"/>
    <w:rsid w:val="006D73A5"/>
    <w:rsid w:val="006D7BFE"/>
    <w:rsid w:val="006E0638"/>
    <w:rsid w:val="006E1207"/>
    <w:rsid w:val="006E1BF9"/>
    <w:rsid w:val="006E37BD"/>
    <w:rsid w:val="006E776C"/>
    <w:rsid w:val="006F75F6"/>
    <w:rsid w:val="007004C1"/>
    <w:rsid w:val="00700F47"/>
    <w:rsid w:val="00701BFE"/>
    <w:rsid w:val="007046B2"/>
    <w:rsid w:val="00704B8B"/>
    <w:rsid w:val="00705A32"/>
    <w:rsid w:val="00710F97"/>
    <w:rsid w:val="00712997"/>
    <w:rsid w:val="00713378"/>
    <w:rsid w:val="00714956"/>
    <w:rsid w:val="0071593A"/>
    <w:rsid w:val="00716D88"/>
    <w:rsid w:val="00717874"/>
    <w:rsid w:val="00717E66"/>
    <w:rsid w:val="0072043D"/>
    <w:rsid w:val="0072186B"/>
    <w:rsid w:val="00722362"/>
    <w:rsid w:val="007250E6"/>
    <w:rsid w:val="0072739E"/>
    <w:rsid w:val="007307C5"/>
    <w:rsid w:val="00731602"/>
    <w:rsid w:val="00733AFC"/>
    <w:rsid w:val="0073530F"/>
    <w:rsid w:val="00735916"/>
    <w:rsid w:val="00735D71"/>
    <w:rsid w:val="00737D2A"/>
    <w:rsid w:val="007417E1"/>
    <w:rsid w:val="00741E09"/>
    <w:rsid w:val="007433BA"/>
    <w:rsid w:val="007436D3"/>
    <w:rsid w:val="007443B0"/>
    <w:rsid w:val="00744B86"/>
    <w:rsid w:val="00744BE0"/>
    <w:rsid w:val="007450BD"/>
    <w:rsid w:val="0074586D"/>
    <w:rsid w:val="00752A4D"/>
    <w:rsid w:val="00753CFE"/>
    <w:rsid w:val="007545C4"/>
    <w:rsid w:val="00754CC1"/>
    <w:rsid w:val="00755699"/>
    <w:rsid w:val="00755C25"/>
    <w:rsid w:val="007571DB"/>
    <w:rsid w:val="00757771"/>
    <w:rsid w:val="00762309"/>
    <w:rsid w:val="00762A4D"/>
    <w:rsid w:val="0076384C"/>
    <w:rsid w:val="00763E57"/>
    <w:rsid w:val="0076442B"/>
    <w:rsid w:val="007644BA"/>
    <w:rsid w:val="00764B54"/>
    <w:rsid w:val="00765875"/>
    <w:rsid w:val="00765AD3"/>
    <w:rsid w:val="00765BCE"/>
    <w:rsid w:val="00767522"/>
    <w:rsid w:val="007700AE"/>
    <w:rsid w:val="00770B76"/>
    <w:rsid w:val="00771A51"/>
    <w:rsid w:val="00772C5A"/>
    <w:rsid w:val="007735E2"/>
    <w:rsid w:val="007751D6"/>
    <w:rsid w:val="00776E01"/>
    <w:rsid w:val="0077710D"/>
    <w:rsid w:val="0077735F"/>
    <w:rsid w:val="00777B1B"/>
    <w:rsid w:val="00777E92"/>
    <w:rsid w:val="007846A0"/>
    <w:rsid w:val="00785B63"/>
    <w:rsid w:val="00785E39"/>
    <w:rsid w:val="007879B9"/>
    <w:rsid w:val="00787A27"/>
    <w:rsid w:val="007923E2"/>
    <w:rsid w:val="00792BD4"/>
    <w:rsid w:val="007940A7"/>
    <w:rsid w:val="007941D6"/>
    <w:rsid w:val="007941D7"/>
    <w:rsid w:val="00797727"/>
    <w:rsid w:val="007A0B4E"/>
    <w:rsid w:val="007A157A"/>
    <w:rsid w:val="007A2C48"/>
    <w:rsid w:val="007A3968"/>
    <w:rsid w:val="007A3D18"/>
    <w:rsid w:val="007A3EC3"/>
    <w:rsid w:val="007A41EF"/>
    <w:rsid w:val="007A72F0"/>
    <w:rsid w:val="007A7381"/>
    <w:rsid w:val="007A7CA7"/>
    <w:rsid w:val="007B1DC6"/>
    <w:rsid w:val="007B5BA3"/>
    <w:rsid w:val="007B7253"/>
    <w:rsid w:val="007B77A9"/>
    <w:rsid w:val="007C0684"/>
    <w:rsid w:val="007C0B41"/>
    <w:rsid w:val="007C26BB"/>
    <w:rsid w:val="007C2B7E"/>
    <w:rsid w:val="007C2E0C"/>
    <w:rsid w:val="007C3355"/>
    <w:rsid w:val="007C544A"/>
    <w:rsid w:val="007C6057"/>
    <w:rsid w:val="007D03BA"/>
    <w:rsid w:val="007D0CE1"/>
    <w:rsid w:val="007D1450"/>
    <w:rsid w:val="007D1B8A"/>
    <w:rsid w:val="007D31AC"/>
    <w:rsid w:val="007D6A1D"/>
    <w:rsid w:val="007E0162"/>
    <w:rsid w:val="007E167C"/>
    <w:rsid w:val="007E1D48"/>
    <w:rsid w:val="007E2999"/>
    <w:rsid w:val="007E2EF5"/>
    <w:rsid w:val="007E3AE8"/>
    <w:rsid w:val="007E71AD"/>
    <w:rsid w:val="007E71EB"/>
    <w:rsid w:val="007F039C"/>
    <w:rsid w:val="007F0E89"/>
    <w:rsid w:val="007F3FD6"/>
    <w:rsid w:val="007F4B59"/>
    <w:rsid w:val="007F741C"/>
    <w:rsid w:val="0080088C"/>
    <w:rsid w:val="00802FEA"/>
    <w:rsid w:val="008035A9"/>
    <w:rsid w:val="00803C2B"/>
    <w:rsid w:val="00804354"/>
    <w:rsid w:val="00807432"/>
    <w:rsid w:val="00813CC7"/>
    <w:rsid w:val="0082181C"/>
    <w:rsid w:val="00821D48"/>
    <w:rsid w:val="00822900"/>
    <w:rsid w:val="00824ECD"/>
    <w:rsid w:val="008269DC"/>
    <w:rsid w:val="008303B4"/>
    <w:rsid w:val="00830503"/>
    <w:rsid w:val="00831428"/>
    <w:rsid w:val="0083176E"/>
    <w:rsid w:val="0083245C"/>
    <w:rsid w:val="00832704"/>
    <w:rsid w:val="00833344"/>
    <w:rsid w:val="00833CBF"/>
    <w:rsid w:val="0083630D"/>
    <w:rsid w:val="008365F5"/>
    <w:rsid w:val="008367FB"/>
    <w:rsid w:val="008372D8"/>
    <w:rsid w:val="00837557"/>
    <w:rsid w:val="008401D5"/>
    <w:rsid w:val="008404C7"/>
    <w:rsid w:val="00840FEB"/>
    <w:rsid w:val="008418EF"/>
    <w:rsid w:val="00841F21"/>
    <w:rsid w:val="0084225F"/>
    <w:rsid w:val="00842F64"/>
    <w:rsid w:val="00843FC4"/>
    <w:rsid w:val="0084641D"/>
    <w:rsid w:val="00850A36"/>
    <w:rsid w:val="00850B9F"/>
    <w:rsid w:val="008518C9"/>
    <w:rsid w:val="00851EAE"/>
    <w:rsid w:val="00853C8F"/>
    <w:rsid w:val="008557FD"/>
    <w:rsid w:val="00855D0D"/>
    <w:rsid w:val="00855D4B"/>
    <w:rsid w:val="008575A5"/>
    <w:rsid w:val="00860BC2"/>
    <w:rsid w:val="00864B31"/>
    <w:rsid w:val="00865DAA"/>
    <w:rsid w:val="00866837"/>
    <w:rsid w:val="008668B4"/>
    <w:rsid w:val="0086771E"/>
    <w:rsid w:val="008679B2"/>
    <w:rsid w:val="00870745"/>
    <w:rsid w:val="0087177E"/>
    <w:rsid w:val="00873FBF"/>
    <w:rsid w:val="00874169"/>
    <w:rsid w:val="0087755B"/>
    <w:rsid w:val="00881475"/>
    <w:rsid w:val="00883A45"/>
    <w:rsid w:val="00884766"/>
    <w:rsid w:val="00884E33"/>
    <w:rsid w:val="008867E1"/>
    <w:rsid w:val="008915E0"/>
    <w:rsid w:val="00892782"/>
    <w:rsid w:val="00893355"/>
    <w:rsid w:val="008937DD"/>
    <w:rsid w:val="00894D6B"/>
    <w:rsid w:val="00895C12"/>
    <w:rsid w:val="008A0BAE"/>
    <w:rsid w:val="008A18A8"/>
    <w:rsid w:val="008A1FD3"/>
    <w:rsid w:val="008A23F9"/>
    <w:rsid w:val="008A2878"/>
    <w:rsid w:val="008A3EA0"/>
    <w:rsid w:val="008A6059"/>
    <w:rsid w:val="008A7343"/>
    <w:rsid w:val="008B155E"/>
    <w:rsid w:val="008B4E14"/>
    <w:rsid w:val="008C244B"/>
    <w:rsid w:val="008C425F"/>
    <w:rsid w:val="008C4299"/>
    <w:rsid w:val="008C48D5"/>
    <w:rsid w:val="008C55DF"/>
    <w:rsid w:val="008C692C"/>
    <w:rsid w:val="008C717D"/>
    <w:rsid w:val="008D279A"/>
    <w:rsid w:val="008D49AC"/>
    <w:rsid w:val="008E1F21"/>
    <w:rsid w:val="008E32D4"/>
    <w:rsid w:val="008E4730"/>
    <w:rsid w:val="008E4B24"/>
    <w:rsid w:val="008F0BB6"/>
    <w:rsid w:val="008F1CD2"/>
    <w:rsid w:val="008F2E06"/>
    <w:rsid w:val="008F3293"/>
    <w:rsid w:val="008F4C6B"/>
    <w:rsid w:val="008F572E"/>
    <w:rsid w:val="008F5F1B"/>
    <w:rsid w:val="0090057A"/>
    <w:rsid w:val="00900835"/>
    <w:rsid w:val="00901D96"/>
    <w:rsid w:val="009055F7"/>
    <w:rsid w:val="00907B96"/>
    <w:rsid w:val="00911365"/>
    <w:rsid w:val="0091470C"/>
    <w:rsid w:val="00917513"/>
    <w:rsid w:val="00921EAE"/>
    <w:rsid w:val="00921EDE"/>
    <w:rsid w:val="00922687"/>
    <w:rsid w:val="00923395"/>
    <w:rsid w:val="0092718D"/>
    <w:rsid w:val="00930644"/>
    <w:rsid w:val="00930F3E"/>
    <w:rsid w:val="00931794"/>
    <w:rsid w:val="009319DB"/>
    <w:rsid w:val="00935B8F"/>
    <w:rsid w:val="009363E5"/>
    <w:rsid w:val="009372FC"/>
    <w:rsid w:val="00937558"/>
    <w:rsid w:val="009375B4"/>
    <w:rsid w:val="009400B9"/>
    <w:rsid w:val="00940513"/>
    <w:rsid w:val="00940FB6"/>
    <w:rsid w:val="0094197D"/>
    <w:rsid w:val="00942461"/>
    <w:rsid w:val="009429B9"/>
    <w:rsid w:val="00943B16"/>
    <w:rsid w:val="00944C7E"/>
    <w:rsid w:val="009459D9"/>
    <w:rsid w:val="009502DB"/>
    <w:rsid w:val="009514BF"/>
    <w:rsid w:val="009522E6"/>
    <w:rsid w:val="00953214"/>
    <w:rsid w:val="0095471C"/>
    <w:rsid w:val="00955EC8"/>
    <w:rsid w:val="009561C6"/>
    <w:rsid w:val="009575DB"/>
    <w:rsid w:val="00960A27"/>
    <w:rsid w:val="00961368"/>
    <w:rsid w:val="00961CD3"/>
    <w:rsid w:val="00962244"/>
    <w:rsid w:val="009639A4"/>
    <w:rsid w:val="00965429"/>
    <w:rsid w:val="00966194"/>
    <w:rsid w:val="00966D98"/>
    <w:rsid w:val="00967ADF"/>
    <w:rsid w:val="00967EB6"/>
    <w:rsid w:val="009706DC"/>
    <w:rsid w:val="009706E4"/>
    <w:rsid w:val="00976210"/>
    <w:rsid w:val="009767B8"/>
    <w:rsid w:val="009777C5"/>
    <w:rsid w:val="00977E99"/>
    <w:rsid w:val="0098007B"/>
    <w:rsid w:val="0098036B"/>
    <w:rsid w:val="00980DEB"/>
    <w:rsid w:val="00981EE9"/>
    <w:rsid w:val="009821F7"/>
    <w:rsid w:val="00984701"/>
    <w:rsid w:val="00984E77"/>
    <w:rsid w:val="00991D04"/>
    <w:rsid w:val="0099356D"/>
    <w:rsid w:val="009937FC"/>
    <w:rsid w:val="00994298"/>
    <w:rsid w:val="00995ECB"/>
    <w:rsid w:val="00996FDB"/>
    <w:rsid w:val="009A0712"/>
    <w:rsid w:val="009A08DC"/>
    <w:rsid w:val="009A1602"/>
    <w:rsid w:val="009A1B8E"/>
    <w:rsid w:val="009A2AE9"/>
    <w:rsid w:val="009A317D"/>
    <w:rsid w:val="009A4184"/>
    <w:rsid w:val="009A5A05"/>
    <w:rsid w:val="009A5FBB"/>
    <w:rsid w:val="009A6845"/>
    <w:rsid w:val="009B0B70"/>
    <w:rsid w:val="009B1F7A"/>
    <w:rsid w:val="009B2025"/>
    <w:rsid w:val="009C110E"/>
    <w:rsid w:val="009C2105"/>
    <w:rsid w:val="009C677D"/>
    <w:rsid w:val="009D06CA"/>
    <w:rsid w:val="009D09C4"/>
    <w:rsid w:val="009D2ABE"/>
    <w:rsid w:val="009D2E9D"/>
    <w:rsid w:val="009D3F91"/>
    <w:rsid w:val="009D4492"/>
    <w:rsid w:val="009D4954"/>
    <w:rsid w:val="009D5092"/>
    <w:rsid w:val="009D5201"/>
    <w:rsid w:val="009D5C47"/>
    <w:rsid w:val="009E207C"/>
    <w:rsid w:val="009E5275"/>
    <w:rsid w:val="009E5968"/>
    <w:rsid w:val="009E6778"/>
    <w:rsid w:val="009E6AF8"/>
    <w:rsid w:val="009E7FD7"/>
    <w:rsid w:val="009F173C"/>
    <w:rsid w:val="009F21F9"/>
    <w:rsid w:val="009F3AC2"/>
    <w:rsid w:val="009F3D88"/>
    <w:rsid w:val="009F49DD"/>
    <w:rsid w:val="009F49E7"/>
    <w:rsid w:val="009F75CA"/>
    <w:rsid w:val="00A01D03"/>
    <w:rsid w:val="00A02CCE"/>
    <w:rsid w:val="00A0346F"/>
    <w:rsid w:val="00A04408"/>
    <w:rsid w:val="00A04710"/>
    <w:rsid w:val="00A04E89"/>
    <w:rsid w:val="00A05659"/>
    <w:rsid w:val="00A058B9"/>
    <w:rsid w:val="00A05E2D"/>
    <w:rsid w:val="00A0676C"/>
    <w:rsid w:val="00A103AE"/>
    <w:rsid w:val="00A11BBB"/>
    <w:rsid w:val="00A14720"/>
    <w:rsid w:val="00A1514B"/>
    <w:rsid w:val="00A1571F"/>
    <w:rsid w:val="00A158C9"/>
    <w:rsid w:val="00A2140D"/>
    <w:rsid w:val="00A217A4"/>
    <w:rsid w:val="00A21810"/>
    <w:rsid w:val="00A22FF8"/>
    <w:rsid w:val="00A245B0"/>
    <w:rsid w:val="00A2690F"/>
    <w:rsid w:val="00A2693A"/>
    <w:rsid w:val="00A304AC"/>
    <w:rsid w:val="00A31A0D"/>
    <w:rsid w:val="00A33F0E"/>
    <w:rsid w:val="00A343D9"/>
    <w:rsid w:val="00A34F55"/>
    <w:rsid w:val="00A34FDE"/>
    <w:rsid w:val="00A35406"/>
    <w:rsid w:val="00A3585B"/>
    <w:rsid w:val="00A378AB"/>
    <w:rsid w:val="00A401BA"/>
    <w:rsid w:val="00A433E3"/>
    <w:rsid w:val="00A441A4"/>
    <w:rsid w:val="00A45429"/>
    <w:rsid w:val="00A46995"/>
    <w:rsid w:val="00A46DEC"/>
    <w:rsid w:val="00A46FCE"/>
    <w:rsid w:val="00A504E7"/>
    <w:rsid w:val="00A50F88"/>
    <w:rsid w:val="00A521FD"/>
    <w:rsid w:val="00A524CC"/>
    <w:rsid w:val="00A53BA1"/>
    <w:rsid w:val="00A53EF7"/>
    <w:rsid w:val="00A55903"/>
    <w:rsid w:val="00A56EF2"/>
    <w:rsid w:val="00A6003E"/>
    <w:rsid w:val="00A601BE"/>
    <w:rsid w:val="00A61992"/>
    <w:rsid w:val="00A6256A"/>
    <w:rsid w:val="00A626BA"/>
    <w:rsid w:val="00A63C43"/>
    <w:rsid w:val="00A66981"/>
    <w:rsid w:val="00A66C67"/>
    <w:rsid w:val="00A717CF"/>
    <w:rsid w:val="00A73DCB"/>
    <w:rsid w:val="00A74445"/>
    <w:rsid w:val="00A74AC3"/>
    <w:rsid w:val="00A76222"/>
    <w:rsid w:val="00A76487"/>
    <w:rsid w:val="00A80329"/>
    <w:rsid w:val="00A812A3"/>
    <w:rsid w:val="00A81803"/>
    <w:rsid w:val="00A82707"/>
    <w:rsid w:val="00A82BBF"/>
    <w:rsid w:val="00A84EC1"/>
    <w:rsid w:val="00A85744"/>
    <w:rsid w:val="00A859F5"/>
    <w:rsid w:val="00A90C27"/>
    <w:rsid w:val="00A923A6"/>
    <w:rsid w:val="00A958CE"/>
    <w:rsid w:val="00A9625D"/>
    <w:rsid w:val="00AB0EEA"/>
    <w:rsid w:val="00AB1F9B"/>
    <w:rsid w:val="00AB30AB"/>
    <w:rsid w:val="00AB3135"/>
    <w:rsid w:val="00AB5AA9"/>
    <w:rsid w:val="00AB6661"/>
    <w:rsid w:val="00AB7065"/>
    <w:rsid w:val="00AB76F6"/>
    <w:rsid w:val="00AB7BB9"/>
    <w:rsid w:val="00AC337F"/>
    <w:rsid w:val="00AC50B6"/>
    <w:rsid w:val="00AC53BD"/>
    <w:rsid w:val="00AC5940"/>
    <w:rsid w:val="00AC5ACC"/>
    <w:rsid w:val="00AD0326"/>
    <w:rsid w:val="00AD1D6D"/>
    <w:rsid w:val="00AD42E7"/>
    <w:rsid w:val="00AD5EA2"/>
    <w:rsid w:val="00AE1292"/>
    <w:rsid w:val="00AE4BE4"/>
    <w:rsid w:val="00AE4D0F"/>
    <w:rsid w:val="00AE4DB0"/>
    <w:rsid w:val="00AE5FD1"/>
    <w:rsid w:val="00AE6CDC"/>
    <w:rsid w:val="00AF0869"/>
    <w:rsid w:val="00AF1543"/>
    <w:rsid w:val="00AF29DB"/>
    <w:rsid w:val="00AF2F12"/>
    <w:rsid w:val="00AF31F1"/>
    <w:rsid w:val="00AF5860"/>
    <w:rsid w:val="00AF5AB7"/>
    <w:rsid w:val="00AF5E7E"/>
    <w:rsid w:val="00AF7934"/>
    <w:rsid w:val="00AF7CFD"/>
    <w:rsid w:val="00B008DD"/>
    <w:rsid w:val="00B00ADB"/>
    <w:rsid w:val="00B01EC1"/>
    <w:rsid w:val="00B06342"/>
    <w:rsid w:val="00B07C4C"/>
    <w:rsid w:val="00B07EF4"/>
    <w:rsid w:val="00B10890"/>
    <w:rsid w:val="00B10988"/>
    <w:rsid w:val="00B11475"/>
    <w:rsid w:val="00B13EF8"/>
    <w:rsid w:val="00B15A56"/>
    <w:rsid w:val="00B1678E"/>
    <w:rsid w:val="00B208C9"/>
    <w:rsid w:val="00B2099B"/>
    <w:rsid w:val="00B216F6"/>
    <w:rsid w:val="00B219E6"/>
    <w:rsid w:val="00B22229"/>
    <w:rsid w:val="00B227FD"/>
    <w:rsid w:val="00B23C9C"/>
    <w:rsid w:val="00B247B2"/>
    <w:rsid w:val="00B24BE4"/>
    <w:rsid w:val="00B24F1C"/>
    <w:rsid w:val="00B264B0"/>
    <w:rsid w:val="00B26B18"/>
    <w:rsid w:val="00B26E94"/>
    <w:rsid w:val="00B275C9"/>
    <w:rsid w:val="00B30459"/>
    <w:rsid w:val="00B308A3"/>
    <w:rsid w:val="00B3091E"/>
    <w:rsid w:val="00B3179F"/>
    <w:rsid w:val="00B3187E"/>
    <w:rsid w:val="00B31B35"/>
    <w:rsid w:val="00B330C1"/>
    <w:rsid w:val="00B33271"/>
    <w:rsid w:val="00B339C7"/>
    <w:rsid w:val="00B3424F"/>
    <w:rsid w:val="00B34883"/>
    <w:rsid w:val="00B35308"/>
    <w:rsid w:val="00B35CAC"/>
    <w:rsid w:val="00B37C9B"/>
    <w:rsid w:val="00B405BF"/>
    <w:rsid w:val="00B40851"/>
    <w:rsid w:val="00B41B62"/>
    <w:rsid w:val="00B426C3"/>
    <w:rsid w:val="00B42D4B"/>
    <w:rsid w:val="00B43D7B"/>
    <w:rsid w:val="00B45635"/>
    <w:rsid w:val="00B46178"/>
    <w:rsid w:val="00B51DE5"/>
    <w:rsid w:val="00B52514"/>
    <w:rsid w:val="00B52EC5"/>
    <w:rsid w:val="00B535FA"/>
    <w:rsid w:val="00B552E3"/>
    <w:rsid w:val="00B55951"/>
    <w:rsid w:val="00B569EB"/>
    <w:rsid w:val="00B57028"/>
    <w:rsid w:val="00B573A5"/>
    <w:rsid w:val="00B57CD5"/>
    <w:rsid w:val="00B601F2"/>
    <w:rsid w:val="00B60E57"/>
    <w:rsid w:val="00B620FE"/>
    <w:rsid w:val="00B62875"/>
    <w:rsid w:val="00B64158"/>
    <w:rsid w:val="00B64E83"/>
    <w:rsid w:val="00B6587C"/>
    <w:rsid w:val="00B71708"/>
    <w:rsid w:val="00B725F5"/>
    <w:rsid w:val="00B80964"/>
    <w:rsid w:val="00B81767"/>
    <w:rsid w:val="00B847E4"/>
    <w:rsid w:val="00B869C8"/>
    <w:rsid w:val="00B90548"/>
    <w:rsid w:val="00B91C41"/>
    <w:rsid w:val="00B92379"/>
    <w:rsid w:val="00B92969"/>
    <w:rsid w:val="00B92B47"/>
    <w:rsid w:val="00B95383"/>
    <w:rsid w:val="00B95CED"/>
    <w:rsid w:val="00BA00CF"/>
    <w:rsid w:val="00BA031E"/>
    <w:rsid w:val="00BA0BB7"/>
    <w:rsid w:val="00BA0DC0"/>
    <w:rsid w:val="00BA3FD1"/>
    <w:rsid w:val="00BA5909"/>
    <w:rsid w:val="00BA5DB5"/>
    <w:rsid w:val="00BA61F6"/>
    <w:rsid w:val="00BA6B88"/>
    <w:rsid w:val="00BA6C04"/>
    <w:rsid w:val="00BB0154"/>
    <w:rsid w:val="00BB1F09"/>
    <w:rsid w:val="00BB2C7E"/>
    <w:rsid w:val="00BB52BA"/>
    <w:rsid w:val="00BB668B"/>
    <w:rsid w:val="00BC0FD7"/>
    <w:rsid w:val="00BC21B1"/>
    <w:rsid w:val="00BC54DC"/>
    <w:rsid w:val="00BC66FE"/>
    <w:rsid w:val="00BC77C3"/>
    <w:rsid w:val="00BD0438"/>
    <w:rsid w:val="00BD0CF3"/>
    <w:rsid w:val="00BD407D"/>
    <w:rsid w:val="00BD6642"/>
    <w:rsid w:val="00BD70E1"/>
    <w:rsid w:val="00BD756D"/>
    <w:rsid w:val="00BE1397"/>
    <w:rsid w:val="00BE26CC"/>
    <w:rsid w:val="00BE2B9B"/>
    <w:rsid w:val="00BE5498"/>
    <w:rsid w:val="00BE6F7E"/>
    <w:rsid w:val="00BE795B"/>
    <w:rsid w:val="00BF0420"/>
    <w:rsid w:val="00BF1197"/>
    <w:rsid w:val="00BF2218"/>
    <w:rsid w:val="00BF57FA"/>
    <w:rsid w:val="00BF6E79"/>
    <w:rsid w:val="00BF7C2F"/>
    <w:rsid w:val="00C002EF"/>
    <w:rsid w:val="00C02E6B"/>
    <w:rsid w:val="00C03276"/>
    <w:rsid w:val="00C03FB0"/>
    <w:rsid w:val="00C0515D"/>
    <w:rsid w:val="00C05EB4"/>
    <w:rsid w:val="00C07D78"/>
    <w:rsid w:val="00C11576"/>
    <w:rsid w:val="00C1246C"/>
    <w:rsid w:val="00C13705"/>
    <w:rsid w:val="00C147CB"/>
    <w:rsid w:val="00C156CC"/>
    <w:rsid w:val="00C16268"/>
    <w:rsid w:val="00C26735"/>
    <w:rsid w:val="00C3045F"/>
    <w:rsid w:val="00C31EA9"/>
    <w:rsid w:val="00C3208B"/>
    <w:rsid w:val="00C334F4"/>
    <w:rsid w:val="00C3447A"/>
    <w:rsid w:val="00C3655D"/>
    <w:rsid w:val="00C3773D"/>
    <w:rsid w:val="00C40F1A"/>
    <w:rsid w:val="00C41680"/>
    <w:rsid w:val="00C42CE2"/>
    <w:rsid w:val="00C43579"/>
    <w:rsid w:val="00C43A0B"/>
    <w:rsid w:val="00C443A7"/>
    <w:rsid w:val="00C4652A"/>
    <w:rsid w:val="00C5012B"/>
    <w:rsid w:val="00C517A6"/>
    <w:rsid w:val="00C5421B"/>
    <w:rsid w:val="00C55793"/>
    <w:rsid w:val="00C5590B"/>
    <w:rsid w:val="00C56CEE"/>
    <w:rsid w:val="00C60504"/>
    <w:rsid w:val="00C65053"/>
    <w:rsid w:val="00C6755E"/>
    <w:rsid w:val="00C67941"/>
    <w:rsid w:val="00C711A8"/>
    <w:rsid w:val="00C729B5"/>
    <w:rsid w:val="00C75454"/>
    <w:rsid w:val="00C7748E"/>
    <w:rsid w:val="00C80249"/>
    <w:rsid w:val="00C816CF"/>
    <w:rsid w:val="00C82318"/>
    <w:rsid w:val="00C836E7"/>
    <w:rsid w:val="00C84CE8"/>
    <w:rsid w:val="00C85072"/>
    <w:rsid w:val="00C85B37"/>
    <w:rsid w:val="00C86A36"/>
    <w:rsid w:val="00C8770D"/>
    <w:rsid w:val="00C910D7"/>
    <w:rsid w:val="00C940F8"/>
    <w:rsid w:val="00C956AF"/>
    <w:rsid w:val="00CA0143"/>
    <w:rsid w:val="00CA29F4"/>
    <w:rsid w:val="00CA475F"/>
    <w:rsid w:val="00CA6DD9"/>
    <w:rsid w:val="00CA7305"/>
    <w:rsid w:val="00CA73C8"/>
    <w:rsid w:val="00CA7AF8"/>
    <w:rsid w:val="00CB248C"/>
    <w:rsid w:val="00CB27D3"/>
    <w:rsid w:val="00CB2A50"/>
    <w:rsid w:val="00CB39D2"/>
    <w:rsid w:val="00CB39FE"/>
    <w:rsid w:val="00CB5365"/>
    <w:rsid w:val="00CB62C3"/>
    <w:rsid w:val="00CB6410"/>
    <w:rsid w:val="00CB6622"/>
    <w:rsid w:val="00CB745E"/>
    <w:rsid w:val="00CC00B5"/>
    <w:rsid w:val="00CC16FB"/>
    <w:rsid w:val="00CC28BE"/>
    <w:rsid w:val="00CC40A7"/>
    <w:rsid w:val="00CC4189"/>
    <w:rsid w:val="00CC5921"/>
    <w:rsid w:val="00CC618A"/>
    <w:rsid w:val="00CD0810"/>
    <w:rsid w:val="00CD130B"/>
    <w:rsid w:val="00CD3D4B"/>
    <w:rsid w:val="00CD45DC"/>
    <w:rsid w:val="00CD57A7"/>
    <w:rsid w:val="00CD5F49"/>
    <w:rsid w:val="00CD6309"/>
    <w:rsid w:val="00CD7F12"/>
    <w:rsid w:val="00CE060A"/>
    <w:rsid w:val="00CE1080"/>
    <w:rsid w:val="00CE1121"/>
    <w:rsid w:val="00CE1388"/>
    <w:rsid w:val="00CE13F0"/>
    <w:rsid w:val="00CE1863"/>
    <w:rsid w:val="00CE2623"/>
    <w:rsid w:val="00CE4210"/>
    <w:rsid w:val="00CE4C26"/>
    <w:rsid w:val="00CE5B54"/>
    <w:rsid w:val="00CE637A"/>
    <w:rsid w:val="00CE6EB5"/>
    <w:rsid w:val="00CF494D"/>
    <w:rsid w:val="00CF5A50"/>
    <w:rsid w:val="00CF7AEC"/>
    <w:rsid w:val="00D01141"/>
    <w:rsid w:val="00D03B84"/>
    <w:rsid w:val="00D05ABC"/>
    <w:rsid w:val="00D0737B"/>
    <w:rsid w:val="00D10635"/>
    <w:rsid w:val="00D11E01"/>
    <w:rsid w:val="00D12468"/>
    <w:rsid w:val="00D140F3"/>
    <w:rsid w:val="00D1564C"/>
    <w:rsid w:val="00D168A9"/>
    <w:rsid w:val="00D16CD7"/>
    <w:rsid w:val="00D21810"/>
    <w:rsid w:val="00D21F43"/>
    <w:rsid w:val="00D2249A"/>
    <w:rsid w:val="00D25C5E"/>
    <w:rsid w:val="00D2761B"/>
    <w:rsid w:val="00D27BC1"/>
    <w:rsid w:val="00D30B75"/>
    <w:rsid w:val="00D30C70"/>
    <w:rsid w:val="00D30E1C"/>
    <w:rsid w:val="00D33DB8"/>
    <w:rsid w:val="00D41341"/>
    <w:rsid w:val="00D41F01"/>
    <w:rsid w:val="00D42729"/>
    <w:rsid w:val="00D42CBE"/>
    <w:rsid w:val="00D4632B"/>
    <w:rsid w:val="00D5018F"/>
    <w:rsid w:val="00D51F08"/>
    <w:rsid w:val="00D52B7E"/>
    <w:rsid w:val="00D5351E"/>
    <w:rsid w:val="00D53D33"/>
    <w:rsid w:val="00D54E4B"/>
    <w:rsid w:val="00D55B50"/>
    <w:rsid w:val="00D56E21"/>
    <w:rsid w:val="00D57F37"/>
    <w:rsid w:val="00D60989"/>
    <w:rsid w:val="00D60C1F"/>
    <w:rsid w:val="00D614C9"/>
    <w:rsid w:val="00D61928"/>
    <w:rsid w:val="00D64894"/>
    <w:rsid w:val="00D6547A"/>
    <w:rsid w:val="00D67358"/>
    <w:rsid w:val="00D6765F"/>
    <w:rsid w:val="00D67A0F"/>
    <w:rsid w:val="00D67BCA"/>
    <w:rsid w:val="00D67F0E"/>
    <w:rsid w:val="00D708AE"/>
    <w:rsid w:val="00D70EDC"/>
    <w:rsid w:val="00D71340"/>
    <w:rsid w:val="00D717A3"/>
    <w:rsid w:val="00D7532F"/>
    <w:rsid w:val="00D75F44"/>
    <w:rsid w:val="00D77CA9"/>
    <w:rsid w:val="00D81634"/>
    <w:rsid w:val="00D81AA2"/>
    <w:rsid w:val="00D821E7"/>
    <w:rsid w:val="00D84182"/>
    <w:rsid w:val="00D86116"/>
    <w:rsid w:val="00D8643D"/>
    <w:rsid w:val="00D866C9"/>
    <w:rsid w:val="00D873F9"/>
    <w:rsid w:val="00D87C91"/>
    <w:rsid w:val="00D9141C"/>
    <w:rsid w:val="00D91F3A"/>
    <w:rsid w:val="00D92ED1"/>
    <w:rsid w:val="00D93C65"/>
    <w:rsid w:val="00D93F9A"/>
    <w:rsid w:val="00D94323"/>
    <w:rsid w:val="00D9532F"/>
    <w:rsid w:val="00D96B61"/>
    <w:rsid w:val="00D97B1A"/>
    <w:rsid w:val="00DA242D"/>
    <w:rsid w:val="00DA2D90"/>
    <w:rsid w:val="00DA397F"/>
    <w:rsid w:val="00DA3B32"/>
    <w:rsid w:val="00DA6B43"/>
    <w:rsid w:val="00DA7359"/>
    <w:rsid w:val="00DA786D"/>
    <w:rsid w:val="00DB0969"/>
    <w:rsid w:val="00DB0FE8"/>
    <w:rsid w:val="00DB3FFB"/>
    <w:rsid w:val="00DB4392"/>
    <w:rsid w:val="00DB641B"/>
    <w:rsid w:val="00DB7C09"/>
    <w:rsid w:val="00DC06AF"/>
    <w:rsid w:val="00DC0F40"/>
    <w:rsid w:val="00DC17E6"/>
    <w:rsid w:val="00DC34E0"/>
    <w:rsid w:val="00DC48DD"/>
    <w:rsid w:val="00DC632C"/>
    <w:rsid w:val="00DC79D7"/>
    <w:rsid w:val="00DC7B63"/>
    <w:rsid w:val="00DD0BCB"/>
    <w:rsid w:val="00DD180E"/>
    <w:rsid w:val="00DD2067"/>
    <w:rsid w:val="00DD28C9"/>
    <w:rsid w:val="00DD2F27"/>
    <w:rsid w:val="00DD337F"/>
    <w:rsid w:val="00DD5137"/>
    <w:rsid w:val="00DD6922"/>
    <w:rsid w:val="00DD73BC"/>
    <w:rsid w:val="00DE0A09"/>
    <w:rsid w:val="00DE2C58"/>
    <w:rsid w:val="00DE465E"/>
    <w:rsid w:val="00DE49E0"/>
    <w:rsid w:val="00DE5FE3"/>
    <w:rsid w:val="00DE65DF"/>
    <w:rsid w:val="00DE68F8"/>
    <w:rsid w:val="00DE79A4"/>
    <w:rsid w:val="00DF48B8"/>
    <w:rsid w:val="00DF5ADC"/>
    <w:rsid w:val="00DF6575"/>
    <w:rsid w:val="00DF6983"/>
    <w:rsid w:val="00DF6F12"/>
    <w:rsid w:val="00DF7178"/>
    <w:rsid w:val="00E02641"/>
    <w:rsid w:val="00E02813"/>
    <w:rsid w:val="00E037E5"/>
    <w:rsid w:val="00E0496F"/>
    <w:rsid w:val="00E07E0F"/>
    <w:rsid w:val="00E106EB"/>
    <w:rsid w:val="00E12525"/>
    <w:rsid w:val="00E12AEA"/>
    <w:rsid w:val="00E13321"/>
    <w:rsid w:val="00E150CB"/>
    <w:rsid w:val="00E168C3"/>
    <w:rsid w:val="00E16CBA"/>
    <w:rsid w:val="00E16EA9"/>
    <w:rsid w:val="00E17BB2"/>
    <w:rsid w:val="00E20170"/>
    <w:rsid w:val="00E206C9"/>
    <w:rsid w:val="00E210D3"/>
    <w:rsid w:val="00E22261"/>
    <w:rsid w:val="00E245C0"/>
    <w:rsid w:val="00E24BA3"/>
    <w:rsid w:val="00E25047"/>
    <w:rsid w:val="00E25307"/>
    <w:rsid w:val="00E269E5"/>
    <w:rsid w:val="00E30E44"/>
    <w:rsid w:val="00E336E6"/>
    <w:rsid w:val="00E3436D"/>
    <w:rsid w:val="00E35755"/>
    <w:rsid w:val="00E35960"/>
    <w:rsid w:val="00E371F9"/>
    <w:rsid w:val="00E37C67"/>
    <w:rsid w:val="00E41CE1"/>
    <w:rsid w:val="00E43884"/>
    <w:rsid w:val="00E43988"/>
    <w:rsid w:val="00E47570"/>
    <w:rsid w:val="00E5071E"/>
    <w:rsid w:val="00E51C89"/>
    <w:rsid w:val="00E53955"/>
    <w:rsid w:val="00E54158"/>
    <w:rsid w:val="00E549BD"/>
    <w:rsid w:val="00E578D9"/>
    <w:rsid w:val="00E654F1"/>
    <w:rsid w:val="00E6788A"/>
    <w:rsid w:val="00E72616"/>
    <w:rsid w:val="00E72D16"/>
    <w:rsid w:val="00E72E9A"/>
    <w:rsid w:val="00E736E5"/>
    <w:rsid w:val="00E73DD2"/>
    <w:rsid w:val="00E74061"/>
    <w:rsid w:val="00E74B4E"/>
    <w:rsid w:val="00E7647D"/>
    <w:rsid w:val="00E76BE3"/>
    <w:rsid w:val="00E80AAF"/>
    <w:rsid w:val="00E84E1B"/>
    <w:rsid w:val="00E850D6"/>
    <w:rsid w:val="00E86B1D"/>
    <w:rsid w:val="00E87A96"/>
    <w:rsid w:val="00E91860"/>
    <w:rsid w:val="00E92F90"/>
    <w:rsid w:val="00EA0B71"/>
    <w:rsid w:val="00EA182F"/>
    <w:rsid w:val="00EA1D56"/>
    <w:rsid w:val="00EB0C55"/>
    <w:rsid w:val="00EB21A7"/>
    <w:rsid w:val="00EB2CE3"/>
    <w:rsid w:val="00EB5C5D"/>
    <w:rsid w:val="00EB6F5E"/>
    <w:rsid w:val="00EB79C3"/>
    <w:rsid w:val="00EC0681"/>
    <w:rsid w:val="00EC0D1E"/>
    <w:rsid w:val="00EC16C6"/>
    <w:rsid w:val="00EC19F8"/>
    <w:rsid w:val="00EC4D05"/>
    <w:rsid w:val="00EC5269"/>
    <w:rsid w:val="00EC75A7"/>
    <w:rsid w:val="00ED1A31"/>
    <w:rsid w:val="00EE11D0"/>
    <w:rsid w:val="00EE127F"/>
    <w:rsid w:val="00EE1462"/>
    <w:rsid w:val="00EE1A69"/>
    <w:rsid w:val="00EE39BA"/>
    <w:rsid w:val="00EE5258"/>
    <w:rsid w:val="00EE55C9"/>
    <w:rsid w:val="00EE5F9B"/>
    <w:rsid w:val="00EE6568"/>
    <w:rsid w:val="00EE79E8"/>
    <w:rsid w:val="00EF111B"/>
    <w:rsid w:val="00EF3CD9"/>
    <w:rsid w:val="00EF480D"/>
    <w:rsid w:val="00EF4E17"/>
    <w:rsid w:val="00EF6E96"/>
    <w:rsid w:val="00F001F1"/>
    <w:rsid w:val="00F0506D"/>
    <w:rsid w:val="00F0572A"/>
    <w:rsid w:val="00F05F81"/>
    <w:rsid w:val="00F07759"/>
    <w:rsid w:val="00F07AE7"/>
    <w:rsid w:val="00F10BDC"/>
    <w:rsid w:val="00F10CEE"/>
    <w:rsid w:val="00F13BE6"/>
    <w:rsid w:val="00F13BF1"/>
    <w:rsid w:val="00F1416F"/>
    <w:rsid w:val="00F14262"/>
    <w:rsid w:val="00F14457"/>
    <w:rsid w:val="00F14C63"/>
    <w:rsid w:val="00F16FBE"/>
    <w:rsid w:val="00F1713A"/>
    <w:rsid w:val="00F17BFE"/>
    <w:rsid w:val="00F20345"/>
    <w:rsid w:val="00F20719"/>
    <w:rsid w:val="00F22109"/>
    <w:rsid w:val="00F22DBA"/>
    <w:rsid w:val="00F25098"/>
    <w:rsid w:val="00F257A6"/>
    <w:rsid w:val="00F32170"/>
    <w:rsid w:val="00F34065"/>
    <w:rsid w:val="00F42D44"/>
    <w:rsid w:val="00F44221"/>
    <w:rsid w:val="00F44952"/>
    <w:rsid w:val="00F4793D"/>
    <w:rsid w:val="00F50AC9"/>
    <w:rsid w:val="00F50E90"/>
    <w:rsid w:val="00F5728E"/>
    <w:rsid w:val="00F6019F"/>
    <w:rsid w:val="00F60597"/>
    <w:rsid w:val="00F60625"/>
    <w:rsid w:val="00F61332"/>
    <w:rsid w:val="00F639B5"/>
    <w:rsid w:val="00F65026"/>
    <w:rsid w:val="00F7064F"/>
    <w:rsid w:val="00F71F86"/>
    <w:rsid w:val="00F7700E"/>
    <w:rsid w:val="00F804EB"/>
    <w:rsid w:val="00F80960"/>
    <w:rsid w:val="00F82067"/>
    <w:rsid w:val="00F83DC8"/>
    <w:rsid w:val="00F90389"/>
    <w:rsid w:val="00F92E0A"/>
    <w:rsid w:val="00F952B2"/>
    <w:rsid w:val="00F954E7"/>
    <w:rsid w:val="00F96732"/>
    <w:rsid w:val="00FA327A"/>
    <w:rsid w:val="00FA4C25"/>
    <w:rsid w:val="00FA60CE"/>
    <w:rsid w:val="00FA7464"/>
    <w:rsid w:val="00FA75B0"/>
    <w:rsid w:val="00FA7649"/>
    <w:rsid w:val="00FB1123"/>
    <w:rsid w:val="00FB1E8F"/>
    <w:rsid w:val="00FB429F"/>
    <w:rsid w:val="00FB48AD"/>
    <w:rsid w:val="00FB5DFC"/>
    <w:rsid w:val="00FB635D"/>
    <w:rsid w:val="00FB7993"/>
    <w:rsid w:val="00FB7F78"/>
    <w:rsid w:val="00FC1A00"/>
    <w:rsid w:val="00FC1E47"/>
    <w:rsid w:val="00FC436C"/>
    <w:rsid w:val="00FC4C33"/>
    <w:rsid w:val="00FC5752"/>
    <w:rsid w:val="00FC60BE"/>
    <w:rsid w:val="00FD09BF"/>
    <w:rsid w:val="00FD1AA3"/>
    <w:rsid w:val="00FD1C19"/>
    <w:rsid w:val="00FD2BA7"/>
    <w:rsid w:val="00FD3902"/>
    <w:rsid w:val="00FD4CB6"/>
    <w:rsid w:val="00FD53E3"/>
    <w:rsid w:val="00FD54CE"/>
    <w:rsid w:val="00FD6E23"/>
    <w:rsid w:val="00FD78F5"/>
    <w:rsid w:val="00FE05D1"/>
    <w:rsid w:val="00FE0C37"/>
    <w:rsid w:val="00FE2633"/>
    <w:rsid w:val="00FE3820"/>
    <w:rsid w:val="00FE4203"/>
    <w:rsid w:val="00FE4C63"/>
    <w:rsid w:val="00FE7B4D"/>
    <w:rsid w:val="00FF0026"/>
    <w:rsid w:val="00FF2C25"/>
    <w:rsid w:val="00FF76CE"/>
    <w:rsid w:val="00FF79AE"/>
    <w:rsid w:val="00FF7EE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67C09"/>
  <w15:chartTrackingRefBased/>
  <w15:docId w15:val="{4A349A79-68FF-C84C-AA8D-911B9716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0143"/>
    <w:rPr>
      <w:rFonts w:ascii="Times New Roman" w:eastAsia="Times New Roman" w:hAnsi="Times New Roman" w:cs="Times New Roman"/>
    </w:rPr>
  </w:style>
  <w:style w:type="paragraph" w:styleId="Heading1">
    <w:name w:val="heading 1"/>
    <w:basedOn w:val="Normal"/>
    <w:link w:val="Heading1Char"/>
    <w:uiPriority w:val="9"/>
    <w:qFormat/>
    <w:rsid w:val="00EF48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F678B"/>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paragraph" w:styleId="Footer">
    <w:name w:val="footer"/>
    <w:link w:val="FooterChar"/>
    <w:uiPriority w:val="99"/>
    <w:rsid w:val="00FC1E47"/>
    <w:pPr>
      <w:pBdr>
        <w:top w:val="nil"/>
        <w:left w:val="nil"/>
        <w:bottom w:val="nil"/>
        <w:right w:val="nil"/>
        <w:between w:val="nil"/>
        <w:bar w:val="nil"/>
      </w:pBdr>
      <w:tabs>
        <w:tab w:val="center" w:pos="4513"/>
        <w:tab w:val="right" w:pos="9026"/>
      </w:tabs>
    </w:pPr>
    <w:rPr>
      <w:rFonts w:ascii="Calibri" w:eastAsia="Calibri" w:hAnsi="Calibri" w:cs="Calibri"/>
      <w:color w:val="000000"/>
      <w:u w:color="000000"/>
      <w:bdr w:val="nil"/>
      <w:lang w:val="en-US" w:eastAsia="en-GB"/>
    </w:rPr>
  </w:style>
  <w:style w:type="character" w:customStyle="1" w:styleId="FooterChar">
    <w:name w:val="Footer Char"/>
    <w:basedOn w:val="DefaultParagraphFont"/>
    <w:link w:val="Footer"/>
    <w:uiPriority w:val="99"/>
    <w:rsid w:val="00FC1E47"/>
    <w:rPr>
      <w:rFonts w:ascii="Calibri" w:eastAsia="Calibri" w:hAnsi="Calibri" w:cs="Calibri"/>
      <w:color w:val="000000"/>
      <w:u w:color="000000"/>
      <w:bdr w:val="nil"/>
      <w:lang w:val="en-US" w:eastAsia="en-GB"/>
    </w:rPr>
  </w:style>
  <w:style w:type="paragraph" w:styleId="Header">
    <w:name w:val="header"/>
    <w:basedOn w:val="Normal"/>
    <w:link w:val="HeaderChar"/>
    <w:uiPriority w:val="99"/>
    <w:unhideWhenUsed/>
    <w:rsid w:val="00FC1E47"/>
    <w:pPr>
      <w:tabs>
        <w:tab w:val="center" w:pos="4513"/>
        <w:tab w:val="right" w:pos="9026"/>
      </w:tabs>
    </w:pPr>
  </w:style>
  <w:style w:type="character" w:customStyle="1" w:styleId="HeaderChar">
    <w:name w:val="Header Char"/>
    <w:basedOn w:val="DefaultParagraphFont"/>
    <w:link w:val="Header"/>
    <w:uiPriority w:val="99"/>
    <w:rsid w:val="00FC1E47"/>
  </w:style>
  <w:style w:type="paragraph" w:customStyle="1" w:styleId="HeaderFooter">
    <w:name w:val="Header &amp; Footer"/>
    <w:rsid w:val="00DD73BC"/>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rPr>
  </w:style>
  <w:style w:type="paragraph" w:styleId="ListParagraph">
    <w:name w:val="List Paragraph"/>
    <w:basedOn w:val="Normal"/>
    <w:uiPriority w:val="34"/>
    <w:qFormat/>
    <w:rsid w:val="00DD73BC"/>
    <w:pPr>
      <w:ind w:left="720"/>
      <w:contextualSpacing/>
    </w:pPr>
  </w:style>
  <w:style w:type="table" w:styleId="TableGrid">
    <w:name w:val="Table Grid"/>
    <w:basedOn w:val="TableNormal"/>
    <w:uiPriority w:val="39"/>
    <w:rsid w:val="0018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140F3"/>
    <w:rPr>
      <w:sz w:val="16"/>
      <w:szCs w:val="16"/>
    </w:rPr>
  </w:style>
  <w:style w:type="paragraph" w:styleId="CommentText">
    <w:name w:val="annotation text"/>
    <w:basedOn w:val="Normal"/>
    <w:link w:val="CommentTextChar"/>
    <w:uiPriority w:val="99"/>
    <w:semiHidden/>
    <w:unhideWhenUsed/>
    <w:rsid w:val="00D140F3"/>
    <w:rPr>
      <w:sz w:val="20"/>
      <w:szCs w:val="20"/>
    </w:rPr>
  </w:style>
  <w:style w:type="character" w:customStyle="1" w:styleId="CommentTextChar">
    <w:name w:val="Comment Text Char"/>
    <w:basedOn w:val="DefaultParagraphFont"/>
    <w:link w:val="CommentText"/>
    <w:uiPriority w:val="99"/>
    <w:semiHidden/>
    <w:rsid w:val="00D140F3"/>
    <w:rPr>
      <w:sz w:val="20"/>
      <w:szCs w:val="20"/>
    </w:rPr>
  </w:style>
  <w:style w:type="paragraph" w:styleId="CommentSubject">
    <w:name w:val="annotation subject"/>
    <w:basedOn w:val="CommentText"/>
    <w:next w:val="CommentText"/>
    <w:link w:val="CommentSubjectChar"/>
    <w:uiPriority w:val="99"/>
    <w:semiHidden/>
    <w:unhideWhenUsed/>
    <w:rsid w:val="00D140F3"/>
    <w:rPr>
      <w:b/>
      <w:bCs/>
    </w:rPr>
  </w:style>
  <w:style w:type="character" w:customStyle="1" w:styleId="CommentSubjectChar">
    <w:name w:val="Comment Subject Char"/>
    <w:basedOn w:val="CommentTextChar"/>
    <w:link w:val="CommentSubject"/>
    <w:uiPriority w:val="99"/>
    <w:semiHidden/>
    <w:rsid w:val="00D140F3"/>
    <w:rPr>
      <w:b/>
      <w:bCs/>
      <w:sz w:val="20"/>
      <w:szCs w:val="20"/>
    </w:rPr>
  </w:style>
  <w:style w:type="paragraph" w:styleId="BalloonText">
    <w:name w:val="Balloon Text"/>
    <w:basedOn w:val="Normal"/>
    <w:link w:val="BalloonTextChar"/>
    <w:uiPriority w:val="99"/>
    <w:semiHidden/>
    <w:unhideWhenUsed/>
    <w:rsid w:val="00D140F3"/>
    <w:rPr>
      <w:sz w:val="18"/>
      <w:szCs w:val="18"/>
    </w:rPr>
  </w:style>
  <w:style w:type="character" w:customStyle="1" w:styleId="BalloonTextChar">
    <w:name w:val="Balloon Text Char"/>
    <w:basedOn w:val="DefaultParagraphFont"/>
    <w:link w:val="BalloonText"/>
    <w:uiPriority w:val="99"/>
    <w:semiHidden/>
    <w:rsid w:val="00D140F3"/>
    <w:rPr>
      <w:rFonts w:ascii="Times New Roman" w:hAnsi="Times New Roman" w:cs="Times New Roman"/>
      <w:sz w:val="18"/>
      <w:szCs w:val="18"/>
    </w:rPr>
  </w:style>
  <w:style w:type="paragraph" w:styleId="NormalWeb">
    <w:name w:val="Normal (Web)"/>
    <w:basedOn w:val="Normal"/>
    <w:uiPriority w:val="99"/>
    <w:unhideWhenUsed/>
    <w:rsid w:val="00D67F0E"/>
  </w:style>
  <w:style w:type="character" w:styleId="Hyperlink">
    <w:name w:val="Hyperlink"/>
    <w:basedOn w:val="DefaultParagraphFont"/>
    <w:uiPriority w:val="99"/>
    <w:unhideWhenUsed/>
    <w:rsid w:val="003E449C"/>
    <w:rPr>
      <w:color w:val="0563C1" w:themeColor="hyperlink"/>
      <w:u w:val="single"/>
    </w:rPr>
  </w:style>
  <w:style w:type="character" w:customStyle="1" w:styleId="UnresolvedMention">
    <w:name w:val="Unresolved Mention"/>
    <w:basedOn w:val="DefaultParagraphFont"/>
    <w:uiPriority w:val="99"/>
    <w:semiHidden/>
    <w:unhideWhenUsed/>
    <w:rsid w:val="003E449C"/>
    <w:rPr>
      <w:color w:val="605E5C"/>
      <w:shd w:val="clear" w:color="auto" w:fill="E1DFDD"/>
    </w:rPr>
  </w:style>
  <w:style w:type="character" w:styleId="PageNumber">
    <w:name w:val="page number"/>
    <w:basedOn w:val="DefaultParagraphFont"/>
    <w:uiPriority w:val="99"/>
    <w:semiHidden/>
    <w:unhideWhenUsed/>
    <w:rsid w:val="00D54E4B"/>
  </w:style>
  <w:style w:type="character" w:customStyle="1" w:styleId="Heading1Char">
    <w:name w:val="Heading 1 Char"/>
    <w:basedOn w:val="DefaultParagraphFont"/>
    <w:link w:val="Heading1"/>
    <w:uiPriority w:val="9"/>
    <w:rsid w:val="00EF480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D9532F"/>
    <w:rPr>
      <w:color w:val="954F72" w:themeColor="followedHyperlink"/>
      <w:u w:val="single"/>
    </w:rPr>
  </w:style>
  <w:style w:type="paragraph" w:styleId="FootnoteText">
    <w:name w:val="footnote text"/>
    <w:basedOn w:val="Normal"/>
    <w:link w:val="FootnoteTextChar"/>
    <w:uiPriority w:val="99"/>
    <w:semiHidden/>
    <w:unhideWhenUsed/>
    <w:rsid w:val="00C7748E"/>
    <w:rPr>
      <w:sz w:val="20"/>
      <w:szCs w:val="20"/>
    </w:rPr>
  </w:style>
  <w:style w:type="character" w:customStyle="1" w:styleId="FootnoteTextChar">
    <w:name w:val="Footnote Text Char"/>
    <w:basedOn w:val="DefaultParagraphFont"/>
    <w:link w:val="FootnoteText"/>
    <w:uiPriority w:val="99"/>
    <w:semiHidden/>
    <w:rsid w:val="00C7748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748E"/>
    <w:rPr>
      <w:vertAlign w:val="superscript"/>
    </w:rPr>
  </w:style>
  <w:style w:type="paragraph" w:styleId="Revision">
    <w:name w:val="Revision"/>
    <w:hidden/>
    <w:uiPriority w:val="99"/>
    <w:semiHidden/>
    <w:rsid w:val="00DF5A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227">
      <w:bodyDiv w:val="1"/>
      <w:marLeft w:val="0"/>
      <w:marRight w:val="0"/>
      <w:marTop w:val="0"/>
      <w:marBottom w:val="0"/>
      <w:divBdr>
        <w:top w:val="none" w:sz="0" w:space="0" w:color="auto"/>
        <w:left w:val="none" w:sz="0" w:space="0" w:color="auto"/>
        <w:bottom w:val="none" w:sz="0" w:space="0" w:color="auto"/>
        <w:right w:val="none" w:sz="0" w:space="0" w:color="auto"/>
      </w:divBdr>
    </w:div>
    <w:div w:id="33047039">
      <w:bodyDiv w:val="1"/>
      <w:marLeft w:val="0"/>
      <w:marRight w:val="0"/>
      <w:marTop w:val="0"/>
      <w:marBottom w:val="0"/>
      <w:divBdr>
        <w:top w:val="none" w:sz="0" w:space="0" w:color="auto"/>
        <w:left w:val="none" w:sz="0" w:space="0" w:color="auto"/>
        <w:bottom w:val="none" w:sz="0" w:space="0" w:color="auto"/>
        <w:right w:val="none" w:sz="0" w:space="0" w:color="auto"/>
      </w:divBdr>
      <w:divsChild>
        <w:div w:id="1805274941">
          <w:marLeft w:val="0"/>
          <w:marRight w:val="0"/>
          <w:marTop w:val="0"/>
          <w:marBottom w:val="0"/>
          <w:divBdr>
            <w:top w:val="none" w:sz="0" w:space="0" w:color="auto"/>
            <w:left w:val="none" w:sz="0" w:space="0" w:color="auto"/>
            <w:bottom w:val="none" w:sz="0" w:space="0" w:color="auto"/>
            <w:right w:val="none" w:sz="0" w:space="0" w:color="auto"/>
          </w:divBdr>
          <w:divsChild>
            <w:div w:id="844443057">
              <w:marLeft w:val="0"/>
              <w:marRight w:val="0"/>
              <w:marTop w:val="0"/>
              <w:marBottom w:val="0"/>
              <w:divBdr>
                <w:top w:val="none" w:sz="0" w:space="0" w:color="auto"/>
                <w:left w:val="none" w:sz="0" w:space="0" w:color="auto"/>
                <w:bottom w:val="none" w:sz="0" w:space="0" w:color="auto"/>
                <w:right w:val="none" w:sz="0" w:space="0" w:color="auto"/>
              </w:divBdr>
              <w:divsChild>
                <w:div w:id="7784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4443">
      <w:bodyDiv w:val="1"/>
      <w:marLeft w:val="0"/>
      <w:marRight w:val="0"/>
      <w:marTop w:val="0"/>
      <w:marBottom w:val="0"/>
      <w:divBdr>
        <w:top w:val="none" w:sz="0" w:space="0" w:color="auto"/>
        <w:left w:val="none" w:sz="0" w:space="0" w:color="auto"/>
        <w:bottom w:val="none" w:sz="0" w:space="0" w:color="auto"/>
        <w:right w:val="none" w:sz="0" w:space="0" w:color="auto"/>
      </w:divBdr>
    </w:div>
    <w:div w:id="98067300">
      <w:bodyDiv w:val="1"/>
      <w:marLeft w:val="0"/>
      <w:marRight w:val="0"/>
      <w:marTop w:val="0"/>
      <w:marBottom w:val="0"/>
      <w:divBdr>
        <w:top w:val="none" w:sz="0" w:space="0" w:color="auto"/>
        <w:left w:val="none" w:sz="0" w:space="0" w:color="auto"/>
        <w:bottom w:val="none" w:sz="0" w:space="0" w:color="auto"/>
        <w:right w:val="none" w:sz="0" w:space="0" w:color="auto"/>
      </w:divBdr>
    </w:div>
    <w:div w:id="126556719">
      <w:bodyDiv w:val="1"/>
      <w:marLeft w:val="0"/>
      <w:marRight w:val="0"/>
      <w:marTop w:val="0"/>
      <w:marBottom w:val="0"/>
      <w:divBdr>
        <w:top w:val="none" w:sz="0" w:space="0" w:color="auto"/>
        <w:left w:val="none" w:sz="0" w:space="0" w:color="auto"/>
        <w:bottom w:val="none" w:sz="0" w:space="0" w:color="auto"/>
        <w:right w:val="none" w:sz="0" w:space="0" w:color="auto"/>
      </w:divBdr>
    </w:div>
    <w:div w:id="146822285">
      <w:bodyDiv w:val="1"/>
      <w:marLeft w:val="0"/>
      <w:marRight w:val="0"/>
      <w:marTop w:val="0"/>
      <w:marBottom w:val="0"/>
      <w:divBdr>
        <w:top w:val="none" w:sz="0" w:space="0" w:color="auto"/>
        <w:left w:val="none" w:sz="0" w:space="0" w:color="auto"/>
        <w:bottom w:val="none" w:sz="0" w:space="0" w:color="auto"/>
        <w:right w:val="none" w:sz="0" w:space="0" w:color="auto"/>
      </w:divBdr>
    </w:div>
    <w:div w:id="155464647">
      <w:bodyDiv w:val="1"/>
      <w:marLeft w:val="0"/>
      <w:marRight w:val="0"/>
      <w:marTop w:val="0"/>
      <w:marBottom w:val="0"/>
      <w:divBdr>
        <w:top w:val="none" w:sz="0" w:space="0" w:color="auto"/>
        <w:left w:val="none" w:sz="0" w:space="0" w:color="auto"/>
        <w:bottom w:val="none" w:sz="0" w:space="0" w:color="auto"/>
        <w:right w:val="none" w:sz="0" w:space="0" w:color="auto"/>
      </w:divBdr>
      <w:divsChild>
        <w:div w:id="1578247551">
          <w:marLeft w:val="0"/>
          <w:marRight w:val="0"/>
          <w:marTop w:val="0"/>
          <w:marBottom w:val="0"/>
          <w:divBdr>
            <w:top w:val="none" w:sz="0" w:space="0" w:color="auto"/>
            <w:left w:val="none" w:sz="0" w:space="0" w:color="auto"/>
            <w:bottom w:val="none" w:sz="0" w:space="0" w:color="auto"/>
            <w:right w:val="none" w:sz="0" w:space="0" w:color="auto"/>
          </w:divBdr>
          <w:divsChild>
            <w:div w:id="792017326">
              <w:marLeft w:val="0"/>
              <w:marRight w:val="0"/>
              <w:marTop w:val="0"/>
              <w:marBottom w:val="0"/>
              <w:divBdr>
                <w:top w:val="none" w:sz="0" w:space="0" w:color="auto"/>
                <w:left w:val="none" w:sz="0" w:space="0" w:color="auto"/>
                <w:bottom w:val="none" w:sz="0" w:space="0" w:color="auto"/>
                <w:right w:val="none" w:sz="0" w:space="0" w:color="auto"/>
              </w:divBdr>
              <w:divsChild>
                <w:div w:id="15823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2246">
      <w:bodyDiv w:val="1"/>
      <w:marLeft w:val="0"/>
      <w:marRight w:val="0"/>
      <w:marTop w:val="0"/>
      <w:marBottom w:val="0"/>
      <w:divBdr>
        <w:top w:val="none" w:sz="0" w:space="0" w:color="auto"/>
        <w:left w:val="none" w:sz="0" w:space="0" w:color="auto"/>
        <w:bottom w:val="none" w:sz="0" w:space="0" w:color="auto"/>
        <w:right w:val="none" w:sz="0" w:space="0" w:color="auto"/>
      </w:divBdr>
    </w:div>
    <w:div w:id="263270065">
      <w:bodyDiv w:val="1"/>
      <w:marLeft w:val="0"/>
      <w:marRight w:val="0"/>
      <w:marTop w:val="0"/>
      <w:marBottom w:val="0"/>
      <w:divBdr>
        <w:top w:val="none" w:sz="0" w:space="0" w:color="auto"/>
        <w:left w:val="none" w:sz="0" w:space="0" w:color="auto"/>
        <w:bottom w:val="none" w:sz="0" w:space="0" w:color="auto"/>
        <w:right w:val="none" w:sz="0" w:space="0" w:color="auto"/>
      </w:divBdr>
    </w:div>
    <w:div w:id="357202396">
      <w:bodyDiv w:val="1"/>
      <w:marLeft w:val="0"/>
      <w:marRight w:val="0"/>
      <w:marTop w:val="0"/>
      <w:marBottom w:val="0"/>
      <w:divBdr>
        <w:top w:val="none" w:sz="0" w:space="0" w:color="auto"/>
        <w:left w:val="none" w:sz="0" w:space="0" w:color="auto"/>
        <w:bottom w:val="none" w:sz="0" w:space="0" w:color="auto"/>
        <w:right w:val="none" w:sz="0" w:space="0" w:color="auto"/>
      </w:divBdr>
    </w:div>
    <w:div w:id="369568917">
      <w:bodyDiv w:val="1"/>
      <w:marLeft w:val="0"/>
      <w:marRight w:val="0"/>
      <w:marTop w:val="0"/>
      <w:marBottom w:val="0"/>
      <w:divBdr>
        <w:top w:val="none" w:sz="0" w:space="0" w:color="auto"/>
        <w:left w:val="none" w:sz="0" w:space="0" w:color="auto"/>
        <w:bottom w:val="none" w:sz="0" w:space="0" w:color="auto"/>
        <w:right w:val="none" w:sz="0" w:space="0" w:color="auto"/>
      </w:divBdr>
      <w:divsChild>
        <w:div w:id="1998611363">
          <w:marLeft w:val="0"/>
          <w:marRight w:val="0"/>
          <w:marTop w:val="0"/>
          <w:marBottom w:val="0"/>
          <w:divBdr>
            <w:top w:val="none" w:sz="0" w:space="0" w:color="auto"/>
            <w:left w:val="none" w:sz="0" w:space="0" w:color="auto"/>
            <w:bottom w:val="none" w:sz="0" w:space="0" w:color="auto"/>
            <w:right w:val="none" w:sz="0" w:space="0" w:color="auto"/>
          </w:divBdr>
          <w:divsChild>
            <w:div w:id="1687631152">
              <w:marLeft w:val="0"/>
              <w:marRight w:val="0"/>
              <w:marTop w:val="0"/>
              <w:marBottom w:val="0"/>
              <w:divBdr>
                <w:top w:val="none" w:sz="0" w:space="0" w:color="auto"/>
                <w:left w:val="none" w:sz="0" w:space="0" w:color="auto"/>
                <w:bottom w:val="none" w:sz="0" w:space="0" w:color="auto"/>
                <w:right w:val="none" w:sz="0" w:space="0" w:color="auto"/>
              </w:divBdr>
              <w:divsChild>
                <w:div w:id="7424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36763">
      <w:bodyDiv w:val="1"/>
      <w:marLeft w:val="0"/>
      <w:marRight w:val="0"/>
      <w:marTop w:val="0"/>
      <w:marBottom w:val="0"/>
      <w:divBdr>
        <w:top w:val="none" w:sz="0" w:space="0" w:color="auto"/>
        <w:left w:val="none" w:sz="0" w:space="0" w:color="auto"/>
        <w:bottom w:val="none" w:sz="0" w:space="0" w:color="auto"/>
        <w:right w:val="none" w:sz="0" w:space="0" w:color="auto"/>
      </w:divBdr>
    </w:div>
    <w:div w:id="436950187">
      <w:bodyDiv w:val="1"/>
      <w:marLeft w:val="0"/>
      <w:marRight w:val="0"/>
      <w:marTop w:val="0"/>
      <w:marBottom w:val="0"/>
      <w:divBdr>
        <w:top w:val="none" w:sz="0" w:space="0" w:color="auto"/>
        <w:left w:val="none" w:sz="0" w:space="0" w:color="auto"/>
        <w:bottom w:val="none" w:sz="0" w:space="0" w:color="auto"/>
        <w:right w:val="none" w:sz="0" w:space="0" w:color="auto"/>
      </w:divBdr>
    </w:div>
    <w:div w:id="450369040">
      <w:bodyDiv w:val="1"/>
      <w:marLeft w:val="0"/>
      <w:marRight w:val="0"/>
      <w:marTop w:val="0"/>
      <w:marBottom w:val="0"/>
      <w:divBdr>
        <w:top w:val="none" w:sz="0" w:space="0" w:color="auto"/>
        <w:left w:val="none" w:sz="0" w:space="0" w:color="auto"/>
        <w:bottom w:val="none" w:sz="0" w:space="0" w:color="auto"/>
        <w:right w:val="none" w:sz="0" w:space="0" w:color="auto"/>
      </w:divBdr>
    </w:div>
    <w:div w:id="455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7223120">
          <w:marLeft w:val="0"/>
          <w:marRight w:val="0"/>
          <w:marTop w:val="0"/>
          <w:marBottom w:val="0"/>
          <w:divBdr>
            <w:top w:val="none" w:sz="0" w:space="0" w:color="auto"/>
            <w:left w:val="none" w:sz="0" w:space="0" w:color="auto"/>
            <w:bottom w:val="none" w:sz="0" w:space="0" w:color="auto"/>
            <w:right w:val="none" w:sz="0" w:space="0" w:color="auto"/>
          </w:divBdr>
        </w:div>
      </w:divsChild>
    </w:div>
    <w:div w:id="474690131">
      <w:bodyDiv w:val="1"/>
      <w:marLeft w:val="0"/>
      <w:marRight w:val="0"/>
      <w:marTop w:val="0"/>
      <w:marBottom w:val="0"/>
      <w:divBdr>
        <w:top w:val="none" w:sz="0" w:space="0" w:color="auto"/>
        <w:left w:val="none" w:sz="0" w:space="0" w:color="auto"/>
        <w:bottom w:val="none" w:sz="0" w:space="0" w:color="auto"/>
        <w:right w:val="none" w:sz="0" w:space="0" w:color="auto"/>
      </w:divBdr>
      <w:divsChild>
        <w:div w:id="1599295454">
          <w:marLeft w:val="0"/>
          <w:marRight w:val="0"/>
          <w:marTop w:val="0"/>
          <w:marBottom w:val="0"/>
          <w:divBdr>
            <w:top w:val="none" w:sz="0" w:space="0" w:color="auto"/>
            <w:left w:val="none" w:sz="0" w:space="0" w:color="auto"/>
            <w:bottom w:val="none" w:sz="0" w:space="0" w:color="auto"/>
            <w:right w:val="none" w:sz="0" w:space="0" w:color="auto"/>
          </w:divBdr>
          <w:divsChild>
            <w:div w:id="1078403554">
              <w:marLeft w:val="0"/>
              <w:marRight w:val="0"/>
              <w:marTop w:val="0"/>
              <w:marBottom w:val="0"/>
              <w:divBdr>
                <w:top w:val="none" w:sz="0" w:space="0" w:color="auto"/>
                <w:left w:val="none" w:sz="0" w:space="0" w:color="auto"/>
                <w:bottom w:val="none" w:sz="0" w:space="0" w:color="auto"/>
                <w:right w:val="none" w:sz="0" w:space="0" w:color="auto"/>
              </w:divBdr>
              <w:divsChild>
                <w:div w:id="6165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7475">
      <w:bodyDiv w:val="1"/>
      <w:marLeft w:val="0"/>
      <w:marRight w:val="0"/>
      <w:marTop w:val="0"/>
      <w:marBottom w:val="0"/>
      <w:divBdr>
        <w:top w:val="none" w:sz="0" w:space="0" w:color="auto"/>
        <w:left w:val="none" w:sz="0" w:space="0" w:color="auto"/>
        <w:bottom w:val="none" w:sz="0" w:space="0" w:color="auto"/>
        <w:right w:val="none" w:sz="0" w:space="0" w:color="auto"/>
      </w:divBdr>
    </w:div>
    <w:div w:id="480001064">
      <w:bodyDiv w:val="1"/>
      <w:marLeft w:val="0"/>
      <w:marRight w:val="0"/>
      <w:marTop w:val="0"/>
      <w:marBottom w:val="0"/>
      <w:divBdr>
        <w:top w:val="none" w:sz="0" w:space="0" w:color="auto"/>
        <w:left w:val="none" w:sz="0" w:space="0" w:color="auto"/>
        <w:bottom w:val="none" w:sz="0" w:space="0" w:color="auto"/>
        <w:right w:val="none" w:sz="0" w:space="0" w:color="auto"/>
      </w:divBdr>
      <w:divsChild>
        <w:div w:id="1382632140">
          <w:marLeft w:val="0"/>
          <w:marRight w:val="0"/>
          <w:marTop w:val="0"/>
          <w:marBottom w:val="0"/>
          <w:divBdr>
            <w:top w:val="none" w:sz="0" w:space="0" w:color="auto"/>
            <w:left w:val="none" w:sz="0" w:space="0" w:color="auto"/>
            <w:bottom w:val="none" w:sz="0" w:space="0" w:color="auto"/>
            <w:right w:val="none" w:sz="0" w:space="0" w:color="auto"/>
          </w:divBdr>
          <w:divsChild>
            <w:div w:id="1815104483">
              <w:marLeft w:val="0"/>
              <w:marRight w:val="0"/>
              <w:marTop w:val="0"/>
              <w:marBottom w:val="0"/>
              <w:divBdr>
                <w:top w:val="none" w:sz="0" w:space="0" w:color="auto"/>
                <w:left w:val="none" w:sz="0" w:space="0" w:color="auto"/>
                <w:bottom w:val="none" w:sz="0" w:space="0" w:color="auto"/>
                <w:right w:val="none" w:sz="0" w:space="0" w:color="auto"/>
              </w:divBdr>
              <w:divsChild>
                <w:div w:id="12851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40525">
      <w:bodyDiv w:val="1"/>
      <w:marLeft w:val="0"/>
      <w:marRight w:val="0"/>
      <w:marTop w:val="0"/>
      <w:marBottom w:val="0"/>
      <w:divBdr>
        <w:top w:val="none" w:sz="0" w:space="0" w:color="auto"/>
        <w:left w:val="none" w:sz="0" w:space="0" w:color="auto"/>
        <w:bottom w:val="none" w:sz="0" w:space="0" w:color="auto"/>
        <w:right w:val="none" w:sz="0" w:space="0" w:color="auto"/>
      </w:divBdr>
      <w:divsChild>
        <w:div w:id="1033312375">
          <w:marLeft w:val="0"/>
          <w:marRight w:val="0"/>
          <w:marTop w:val="0"/>
          <w:marBottom w:val="0"/>
          <w:divBdr>
            <w:top w:val="none" w:sz="0" w:space="0" w:color="auto"/>
            <w:left w:val="none" w:sz="0" w:space="0" w:color="auto"/>
            <w:bottom w:val="none" w:sz="0" w:space="0" w:color="auto"/>
            <w:right w:val="none" w:sz="0" w:space="0" w:color="auto"/>
          </w:divBdr>
          <w:divsChild>
            <w:div w:id="2125537761">
              <w:marLeft w:val="0"/>
              <w:marRight w:val="0"/>
              <w:marTop w:val="0"/>
              <w:marBottom w:val="0"/>
              <w:divBdr>
                <w:top w:val="none" w:sz="0" w:space="0" w:color="auto"/>
                <w:left w:val="none" w:sz="0" w:space="0" w:color="auto"/>
                <w:bottom w:val="none" w:sz="0" w:space="0" w:color="auto"/>
                <w:right w:val="none" w:sz="0" w:space="0" w:color="auto"/>
              </w:divBdr>
              <w:divsChild>
                <w:div w:id="990673692">
                  <w:marLeft w:val="0"/>
                  <w:marRight w:val="0"/>
                  <w:marTop w:val="0"/>
                  <w:marBottom w:val="0"/>
                  <w:divBdr>
                    <w:top w:val="none" w:sz="0" w:space="0" w:color="auto"/>
                    <w:left w:val="none" w:sz="0" w:space="0" w:color="auto"/>
                    <w:bottom w:val="none" w:sz="0" w:space="0" w:color="auto"/>
                    <w:right w:val="none" w:sz="0" w:space="0" w:color="auto"/>
                  </w:divBdr>
                  <w:divsChild>
                    <w:div w:id="13960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6034">
      <w:bodyDiv w:val="1"/>
      <w:marLeft w:val="0"/>
      <w:marRight w:val="0"/>
      <w:marTop w:val="0"/>
      <w:marBottom w:val="0"/>
      <w:divBdr>
        <w:top w:val="none" w:sz="0" w:space="0" w:color="auto"/>
        <w:left w:val="none" w:sz="0" w:space="0" w:color="auto"/>
        <w:bottom w:val="none" w:sz="0" w:space="0" w:color="auto"/>
        <w:right w:val="none" w:sz="0" w:space="0" w:color="auto"/>
      </w:divBdr>
    </w:div>
    <w:div w:id="494686752">
      <w:bodyDiv w:val="1"/>
      <w:marLeft w:val="0"/>
      <w:marRight w:val="0"/>
      <w:marTop w:val="0"/>
      <w:marBottom w:val="0"/>
      <w:divBdr>
        <w:top w:val="none" w:sz="0" w:space="0" w:color="auto"/>
        <w:left w:val="none" w:sz="0" w:space="0" w:color="auto"/>
        <w:bottom w:val="none" w:sz="0" w:space="0" w:color="auto"/>
        <w:right w:val="none" w:sz="0" w:space="0" w:color="auto"/>
      </w:divBdr>
    </w:div>
    <w:div w:id="499783578">
      <w:bodyDiv w:val="1"/>
      <w:marLeft w:val="0"/>
      <w:marRight w:val="0"/>
      <w:marTop w:val="0"/>
      <w:marBottom w:val="0"/>
      <w:divBdr>
        <w:top w:val="none" w:sz="0" w:space="0" w:color="auto"/>
        <w:left w:val="none" w:sz="0" w:space="0" w:color="auto"/>
        <w:bottom w:val="none" w:sz="0" w:space="0" w:color="auto"/>
        <w:right w:val="none" w:sz="0" w:space="0" w:color="auto"/>
      </w:divBdr>
      <w:divsChild>
        <w:div w:id="21128538">
          <w:marLeft w:val="0"/>
          <w:marRight w:val="0"/>
          <w:marTop w:val="0"/>
          <w:marBottom w:val="0"/>
          <w:divBdr>
            <w:top w:val="none" w:sz="0" w:space="0" w:color="auto"/>
            <w:left w:val="none" w:sz="0" w:space="0" w:color="auto"/>
            <w:bottom w:val="none" w:sz="0" w:space="0" w:color="auto"/>
            <w:right w:val="none" w:sz="0" w:space="0" w:color="auto"/>
          </w:divBdr>
        </w:div>
      </w:divsChild>
    </w:div>
    <w:div w:id="501438143">
      <w:bodyDiv w:val="1"/>
      <w:marLeft w:val="0"/>
      <w:marRight w:val="0"/>
      <w:marTop w:val="0"/>
      <w:marBottom w:val="0"/>
      <w:divBdr>
        <w:top w:val="none" w:sz="0" w:space="0" w:color="auto"/>
        <w:left w:val="none" w:sz="0" w:space="0" w:color="auto"/>
        <w:bottom w:val="none" w:sz="0" w:space="0" w:color="auto"/>
        <w:right w:val="none" w:sz="0" w:space="0" w:color="auto"/>
      </w:divBdr>
      <w:divsChild>
        <w:div w:id="1807116539">
          <w:marLeft w:val="0"/>
          <w:marRight w:val="0"/>
          <w:marTop w:val="0"/>
          <w:marBottom w:val="0"/>
          <w:divBdr>
            <w:top w:val="none" w:sz="0" w:space="0" w:color="auto"/>
            <w:left w:val="none" w:sz="0" w:space="0" w:color="auto"/>
            <w:bottom w:val="none" w:sz="0" w:space="0" w:color="auto"/>
            <w:right w:val="none" w:sz="0" w:space="0" w:color="auto"/>
          </w:divBdr>
          <w:divsChild>
            <w:div w:id="1091774573">
              <w:marLeft w:val="0"/>
              <w:marRight w:val="0"/>
              <w:marTop w:val="0"/>
              <w:marBottom w:val="0"/>
              <w:divBdr>
                <w:top w:val="none" w:sz="0" w:space="0" w:color="auto"/>
                <w:left w:val="none" w:sz="0" w:space="0" w:color="auto"/>
                <w:bottom w:val="none" w:sz="0" w:space="0" w:color="auto"/>
                <w:right w:val="none" w:sz="0" w:space="0" w:color="auto"/>
              </w:divBdr>
              <w:divsChild>
                <w:div w:id="14496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4743">
      <w:bodyDiv w:val="1"/>
      <w:marLeft w:val="0"/>
      <w:marRight w:val="0"/>
      <w:marTop w:val="0"/>
      <w:marBottom w:val="0"/>
      <w:divBdr>
        <w:top w:val="none" w:sz="0" w:space="0" w:color="auto"/>
        <w:left w:val="none" w:sz="0" w:space="0" w:color="auto"/>
        <w:bottom w:val="none" w:sz="0" w:space="0" w:color="auto"/>
        <w:right w:val="none" w:sz="0" w:space="0" w:color="auto"/>
      </w:divBdr>
      <w:divsChild>
        <w:div w:id="1968969914">
          <w:marLeft w:val="0"/>
          <w:marRight w:val="0"/>
          <w:marTop w:val="0"/>
          <w:marBottom w:val="0"/>
          <w:divBdr>
            <w:top w:val="none" w:sz="0" w:space="0" w:color="auto"/>
            <w:left w:val="none" w:sz="0" w:space="0" w:color="auto"/>
            <w:bottom w:val="none" w:sz="0" w:space="0" w:color="auto"/>
            <w:right w:val="none" w:sz="0" w:space="0" w:color="auto"/>
          </w:divBdr>
          <w:divsChild>
            <w:div w:id="839975395">
              <w:marLeft w:val="0"/>
              <w:marRight w:val="0"/>
              <w:marTop w:val="0"/>
              <w:marBottom w:val="0"/>
              <w:divBdr>
                <w:top w:val="none" w:sz="0" w:space="0" w:color="auto"/>
                <w:left w:val="none" w:sz="0" w:space="0" w:color="auto"/>
                <w:bottom w:val="none" w:sz="0" w:space="0" w:color="auto"/>
                <w:right w:val="none" w:sz="0" w:space="0" w:color="auto"/>
              </w:divBdr>
              <w:divsChild>
                <w:div w:id="2054041157">
                  <w:marLeft w:val="0"/>
                  <w:marRight w:val="0"/>
                  <w:marTop w:val="0"/>
                  <w:marBottom w:val="0"/>
                  <w:divBdr>
                    <w:top w:val="none" w:sz="0" w:space="0" w:color="auto"/>
                    <w:left w:val="none" w:sz="0" w:space="0" w:color="auto"/>
                    <w:bottom w:val="none" w:sz="0" w:space="0" w:color="auto"/>
                    <w:right w:val="none" w:sz="0" w:space="0" w:color="auto"/>
                  </w:divBdr>
                  <w:divsChild>
                    <w:div w:id="194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80875">
      <w:bodyDiv w:val="1"/>
      <w:marLeft w:val="0"/>
      <w:marRight w:val="0"/>
      <w:marTop w:val="0"/>
      <w:marBottom w:val="0"/>
      <w:divBdr>
        <w:top w:val="none" w:sz="0" w:space="0" w:color="auto"/>
        <w:left w:val="none" w:sz="0" w:space="0" w:color="auto"/>
        <w:bottom w:val="none" w:sz="0" w:space="0" w:color="auto"/>
        <w:right w:val="none" w:sz="0" w:space="0" w:color="auto"/>
      </w:divBdr>
      <w:divsChild>
        <w:div w:id="26874555">
          <w:marLeft w:val="0"/>
          <w:marRight w:val="0"/>
          <w:marTop w:val="0"/>
          <w:marBottom w:val="0"/>
          <w:divBdr>
            <w:top w:val="none" w:sz="0" w:space="0" w:color="auto"/>
            <w:left w:val="none" w:sz="0" w:space="0" w:color="auto"/>
            <w:bottom w:val="none" w:sz="0" w:space="0" w:color="auto"/>
            <w:right w:val="none" w:sz="0" w:space="0" w:color="auto"/>
          </w:divBdr>
          <w:divsChild>
            <w:div w:id="940988732">
              <w:marLeft w:val="0"/>
              <w:marRight w:val="0"/>
              <w:marTop w:val="0"/>
              <w:marBottom w:val="0"/>
              <w:divBdr>
                <w:top w:val="none" w:sz="0" w:space="0" w:color="auto"/>
                <w:left w:val="none" w:sz="0" w:space="0" w:color="auto"/>
                <w:bottom w:val="none" w:sz="0" w:space="0" w:color="auto"/>
                <w:right w:val="none" w:sz="0" w:space="0" w:color="auto"/>
              </w:divBdr>
              <w:divsChild>
                <w:div w:id="772702058">
                  <w:marLeft w:val="0"/>
                  <w:marRight w:val="0"/>
                  <w:marTop w:val="0"/>
                  <w:marBottom w:val="0"/>
                  <w:divBdr>
                    <w:top w:val="none" w:sz="0" w:space="0" w:color="auto"/>
                    <w:left w:val="none" w:sz="0" w:space="0" w:color="auto"/>
                    <w:bottom w:val="none" w:sz="0" w:space="0" w:color="auto"/>
                    <w:right w:val="none" w:sz="0" w:space="0" w:color="auto"/>
                  </w:divBdr>
                  <w:divsChild>
                    <w:div w:id="16184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70165">
      <w:bodyDiv w:val="1"/>
      <w:marLeft w:val="0"/>
      <w:marRight w:val="0"/>
      <w:marTop w:val="0"/>
      <w:marBottom w:val="0"/>
      <w:divBdr>
        <w:top w:val="none" w:sz="0" w:space="0" w:color="auto"/>
        <w:left w:val="none" w:sz="0" w:space="0" w:color="auto"/>
        <w:bottom w:val="none" w:sz="0" w:space="0" w:color="auto"/>
        <w:right w:val="none" w:sz="0" w:space="0" w:color="auto"/>
      </w:divBdr>
    </w:div>
    <w:div w:id="671645604">
      <w:bodyDiv w:val="1"/>
      <w:marLeft w:val="0"/>
      <w:marRight w:val="0"/>
      <w:marTop w:val="0"/>
      <w:marBottom w:val="0"/>
      <w:divBdr>
        <w:top w:val="none" w:sz="0" w:space="0" w:color="auto"/>
        <w:left w:val="none" w:sz="0" w:space="0" w:color="auto"/>
        <w:bottom w:val="none" w:sz="0" w:space="0" w:color="auto"/>
        <w:right w:val="none" w:sz="0" w:space="0" w:color="auto"/>
      </w:divBdr>
    </w:div>
    <w:div w:id="686445663">
      <w:bodyDiv w:val="1"/>
      <w:marLeft w:val="0"/>
      <w:marRight w:val="0"/>
      <w:marTop w:val="0"/>
      <w:marBottom w:val="0"/>
      <w:divBdr>
        <w:top w:val="none" w:sz="0" w:space="0" w:color="auto"/>
        <w:left w:val="none" w:sz="0" w:space="0" w:color="auto"/>
        <w:bottom w:val="none" w:sz="0" w:space="0" w:color="auto"/>
        <w:right w:val="none" w:sz="0" w:space="0" w:color="auto"/>
      </w:divBdr>
      <w:divsChild>
        <w:div w:id="1817450469">
          <w:marLeft w:val="0"/>
          <w:marRight w:val="0"/>
          <w:marTop w:val="0"/>
          <w:marBottom w:val="0"/>
          <w:divBdr>
            <w:top w:val="none" w:sz="0" w:space="0" w:color="auto"/>
            <w:left w:val="none" w:sz="0" w:space="0" w:color="auto"/>
            <w:bottom w:val="none" w:sz="0" w:space="0" w:color="auto"/>
            <w:right w:val="none" w:sz="0" w:space="0" w:color="auto"/>
          </w:divBdr>
          <w:divsChild>
            <w:div w:id="1443576489">
              <w:marLeft w:val="0"/>
              <w:marRight w:val="0"/>
              <w:marTop w:val="0"/>
              <w:marBottom w:val="0"/>
              <w:divBdr>
                <w:top w:val="none" w:sz="0" w:space="0" w:color="auto"/>
                <w:left w:val="none" w:sz="0" w:space="0" w:color="auto"/>
                <w:bottom w:val="none" w:sz="0" w:space="0" w:color="auto"/>
                <w:right w:val="none" w:sz="0" w:space="0" w:color="auto"/>
              </w:divBdr>
              <w:divsChild>
                <w:div w:id="730999012">
                  <w:marLeft w:val="0"/>
                  <w:marRight w:val="0"/>
                  <w:marTop w:val="0"/>
                  <w:marBottom w:val="0"/>
                  <w:divBdr>
                    <w:top w:val="none" w:sz="0" w:space="0" w:color="auto"/>
                    <w:left w:val="none" w:sz="0" w:space="0" w:color="auto"/>
                    <w:bottom w:val="none" w:sz="0" w:space="0" w:color="auto"/>
                    <w:right w:val="none" w:sz="0" w:space="0" w:color="auto"/>
                  </w:divBdr>
                  <w:divsChild>
                    <w:div w:id="843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73561">
      <w:bodyDiv w:val="1"/>
      <w:marLeft w:val="0"/>
      <w:marRight w:val="0"/>
      <w:marTop w:val="0"/>
      <w:marBottom w:val="0"/>
      <w:divBdr>
        <w:top w:val="none" w:sz="0" w:space="0" w:color="auto"/>
        <w:left w:val="none" w:sz="0" w:space="0" w:color="auto"/>
        <w:bottom w:val="none" w:sz="0" w:space="0" w:color="auto"/>
        <w:right w:val="none" w:sz="0" w:space="0" w:color="auto"/>
      </w:divBdr>
      <w:divsChild>
        <w:div w:id="1427576061">
          <w:marLeft w:val="0"/>
          <w:marRight w:val="0"/>
          <w:marTop w:val="0"/>
          <w:marBottom w:val="0"/>
          <w:divBdr>
            <w:top w:val="none" w:sz="0" w:space="0" w:color="auto"/>
            <w:left w:val="none" w:sz="0" w:space="0" w:color="auto"/>
            <w:bottom w:val="none" w:sz="0" w:space="0" w:color="auto"/>
            <w:right w:val="none" w:sz="0" w:space="0" w:color="auto"/>
          </w:divBdr>
          <w:divsChild>
            <w:div w:id="800802503">
              <w:marLeft w:val="0"/>
              <w:marRight w:val="0"/>
              <w:marTop w:val="0"/>
              <w:marBottom w:val="0"/>
              <w:divBdr>
                <w:top w:val="none" w:sz="0" w:space="0" w:color="auto"/>
                <w:left w:val="none" w:sz="0" w:space="0" w:color="auto"/>
                <w:bottom w:val="none" w:sz="0" w:space="0" w:color="auto"/>
                <w:right w:val="none" w:sz="0" w:space="0" w:color="auto"/>
              </w:divBdr>
              <w:divsChild>
                <w:div w:id="15086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9892">
      <w:bodyDiv w:val="1"/>
      <w:marLeft w:val="0"/>
      <w:marRight w:val="0"/>
      <w:marTop w:val="0"/>
      <w:marBottom w:val="0"/>
      <w:divBdr>
        <w:top w:val="none" w:sz="0" w:space="0" w:color="auto"/>
        <w:left w:val="none" w:sz="0" w:space="0" w:color="auto"/>
        <w:bottom w:val="none" w:sz="0" w:space="0" w:color="auto"/>
        <w:right w:val="none" w:sz="0" w:space="0" w:color="auto"/>
      </w:divBdr>
      <w:divsChild>
        <w:div w:id="1592010459">
          <w:marLeft w:val="0"/>
          <w:marRight w:val="0"/>
          <w:marTop w:val="0"/>
          <w:marBottom w:val="0"/>
          <w:divBdr>
            <w:top w:val="none" w:sz="0" w:space="0" w:color="auto"/>
            <w:left w:val="none" w:sz="0" w:space="0" w:color="auto"/>
            <w:bottom w:val="none" w:sz="0" w:space="0" w:color="auto"/>
            <w:right w:val="none" w:sz="0" w:space="0" w:color="auto"/>
          </w:divBdr>
          <w:divsChild>
            <w:div w:id="1247692817">
              <w:marLeft w:val="0"/>
              <w:marRight w:val="0"/>
              <w:marTop w:val="0"/>
              <w:marBottom w:val="0"/>
              <w:divBdr>
                <w:top w:val="none" w:sz="0" w:space="0" w:color="auto"/>
                <w:left w:val="none" w:sz="0" w:space="0" w:color="auto"/>
                <w:bottom w:val="none" w:sz="0" w:space="0" w:color="auto"/>
                <w:right w:val="none" w:sz="0" w:space="0" w:color="auto"/>
              </w:divBdr>
              <w:divsChild>
                <w:div w:id="868681283">
                  <w:marLeft w:val="0"/>
                  <w:marRight w:val="0"/>
                  <w:marTop w:val="0"/>
                  <w:marBottom w:val="0"/>
                  <w:divBdr>
                    <w:top w:val="none" w:sz="0" w:space="0" w:color="auto"/>
                    <w:left w:val="none" w:sz="0" w:space="0" w:color="auto"/>
                    <w:bottom w:val="none" w:sz="0" w:space="0" w:color="auto"/>
                    <w:right w:val="none" w:sz="0" w:space="0" w:color="auto"/>
                  </w:divBdr>
                  <w:divsChild>
                    <w:div w:id="7509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8682">
      <w:bodyDiv w:val="1"/>
      <w:marLeft w:val="0"/>
      <w:marRight w:val="0"/>
      <w:marTop w:val="0"/>
      <w:marBottom w:val="0"/>
      <w:divBdr>
        <w:top w:val="none" w:sz="0" w:space="0" w:color="auto"/>
        <w:left w:val="none" w:sz="0" w:space="0" w:color="auto"/>
        <w:bottom w:val="none" w:sz="0" w:space="0" w:color="auto"/>
        <w:right w:val="none" w:sz="0" w:space="0" w:color="auto"/>
      </w:divBdr>
      <w:divsChild>
        <w:div w:id="79525600">
          <w:marLeft w:val="0"/>
          <w:marRight w:val="0"/>
          <w:marTop w:val="0"/>
          <w:marBottom w:val="0"/>
          <w:divBdr>
            <w:top w:val="none" w:sz="0" w:space="0" w:color="auto"/>
            <w:left w:val="none" w:sz="0" w:space="0" w:color="auto"/>
            <w:bottom w:val="none" w:sz="0" w:space="0" w:color="auto"/>
            <w:right w:val="none" w:sz="0" w:space="0" w:color="auto"/>
          </w:divBdr>
          <w:divsChild>
            <w:div w:id="795833052">
              <w:marLeft w:val="0"/>
              <w:marRight w:val="0"/>
              <w:marTop w:val="0"/>
              <w:marBottom w:val="0"/>
              <w:divBdr>
                <w:top w:val="none" w:sz="0" w:space="0" w:color="auto"/>
                <w:left w:val="none" w:sz="0" w:space="0" w:color="auto"/>
                <w:bottom w:val="none" w:sz="0" w:space="0" w:color="auto"/>
                <w:right w:val="none" w:sz="0" w:space="0" w:color="auto"/>
              </w:divBdr>
              <w:divsChild>
                <w:div w:id="527180860">
                  <w:marLeft w:val="0"/>
                  <w:marRight w:val="0"/>
                  <w:marTop w:val="0"/>
                  <w:marBottom w:val="0"/>
                  <w:divBdr>
                    <w:top w:val="none" w:sz="0" w:space="0" w:color="auto"/>
                    <w:left w:val="none" w:sz="0" w:space="0" w:color="auto"/>
                    <w:bottom w:val="none" w:sz="0" w:space="0" w:color="auto"/>
                    <w:right w:val="none" w:sz="0" w:space="0" w:color="auto"/>
                  </w:divBdr>
                  <w:divsChild>
                    <w:div w:id="15073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357271">
      <w:bodyDiv w:val="1"/>
      <w:marLeft w:val="0"/>
      <w:marRight w:val="0"/>
      <w:marTop w:val="0"/>
      <w:marBottom w:val="0"/>
      <w:divBdr>
        <w:top w:val="none" w:sz="0" w:space="0" w:color="auto"/>
        <w:left w:val="none" w:sz="0" w:space="0" w:color="auto"/>
        <w:bottom w:val="none" w:sz="0" w:space="0" w:color="auto"/>
        <w:right w:val="none" w:sz="0" w:space="0" w:color="auto"/>
      </w:divBdr>
    </w:div>
    <w:div w:id="885262936">
      <w:bodyDiv w:val="1"/>
      <w:marLeft w:val="0"/>
      <w:marRight w:val="0"/>
      <w:marTop w:val="0"/>
      <w:marBottom w:val="0"/>
      <w:divBdr>
        <w:top w:val="none" w:sz="0" w:space="0" w:color="auto"/>
        <w:left w:val="none" w:sz="0" w:space="0" w:color="auto"/>
        <w:bottom w:val="none" w:sz="0" w:space="0" w:color="auto"/>
        <w:right w:val="none" w:sz="0" w:space="0" w:color="auto"/>
      </w:divBdr>
      <w:divsChild>
        <w:div w:id="272203019">
          <w:marLeft w:val="0"/>
          <w:marRight w:val="0"/>
          <w:marTop w:val="0"/>
          <w:marBottom w:val="0"/>
          <w:divBdr>
            <w:top w:val="none" w:sz="0" w:space="0" w:color="auto"/>
            <w:left w:val="none" w:sz="0" w:space="0" w:color="auto"/>
            <w:bottom w:val="none" w:sz="0" w:space="0" w:color="auto"/>
            <w:right w:val="none" w:sz="0" w:space="0" w:color="auto"/>
          </w:divBdr>
          <w:divsChild>
            <w:div w:id="418868412">
              <w:marLeft w:val="0"/>
              <w:marRight w:val="0"/>
              <w:marTop w:val="0"/>
              <w:marBottom w:val="0"/>
              <w:divBdr>
                <w:top w:val="none" w:sz="0" w:space="0" w:color="auto"/>
                <w:left w:val="none" w:sz="0" w:space="0" w:color="auto"/>
                <w:bottom w:val="none" w:sz="0" w:space="0" w:color="auto"/>
                <w:right w:val="none" w:sz="0" w:space="0" w:color="auto"/>
              </w:divBdr>
              <w:divsChild>
                <w:div w:id="295990798">
                  <w:marLeft w:val="0"/>
                  <w:marRight w:val="0"/>
                  <w:marTop w:val="0"/>
                  <w:marBottom w:val="0"/>
                  <w:divBdr>
                    <w:top w:val="none" w:sz="0" w:space="0" w:color="auto"/>
                    <w:left w:val="none" w:sz="0" w:space="0" w:color="auto"/>
                    <w:bottom w:val="none" w:sz="0" w:space="0" w:color="auto"/>
                    <w:right w:val="none" w:sz="0" w:space="0" w:color="auto"/>
                  </w:divBdr>
                  <w:divsChild>
                    <w:div w:id="21153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5823">
      <w:bodyDiv w:val="1"/>
      <w:marLeft w:val="0"/>
      <w:marRight w:val="0"/>
      <w:marTop w:val="0"/>
      <w:marBottom w:val="0"/>
      <w:divBdr>
        <w:top w:val="none" w:sz="0" w:space="0" w:color="auto"/>
        <w:left w:val="none" w:sz="0" w:space="0" w:color="auto"/>
        <w:bottom w:val="none" w:sz="0" w:space="0" w:color="auto"/>
        <w:right w:val="none" w:sz="0" w:space="0" w:color="auto"/>
      </w:divBdr>
      <w:divsChild>
        <w:div w:id="700934473">
          <w:marLeft w:val="0"/>
          <w:marRight w:val="0"/>
          <w:marTop w:val="0"/>
          <w:marBottom w:val="0"/>
          <w:divBdr>
            <w:top w:val="none" w:sz="0" w:space="0" w:color="auto"/>
            <w:left w:val="none" w:sz="0" w:space="0" w:color="auto"/>
            <w:bottom w:val="none" w:sz="0" w:space="0" w:color="auto"/>
            <w:right w:val="none" w:sz="0" w:space="0" w:color="auto"/>
          </w:divBdr>
          <w:divsChild>
            <w:div w:id="622425317">
              <w:marLeft w:val="0"/>
              <w:marRight w:val="0"/>
              <w:marTop w:val="0"/>
              <w:marBottom w:val="0"/>
              <w:divBdr>
                <w:top w:val="none" w:sz="0" w:space="0" w:color="auto"/>
                <w:left w:val="none" w:sz="0" w:space="0" w:color="auto"/>
                <w:bottom w:val="none" w:sz="0" w:space="0" w:color="auto"/>
                <w:right w:val="none" w:sz="0" w:space="0" w:color="auto"/>
              </w:divBdr>
              <w:divsChild>
                <w:div w:id="872230927">
                  <w:marLeft w:val="0"/>
                  <w:marRight w:val="0"/>
                  <w:marTop w:val="0"/>
                  <w:marBottom w:val="0"/>
                  <w:divBdr>
                    <w:top w:val="none" w:sz="0" w:space="0" w:color="auto"/>
                    <w:left w:val="none" w:sz="0" w:space="0" w:color="auto"/>
                    <w:bottom w:val="none" w:sz="0" w:space="0" w:color="auto"/>
                    <w:right w:val="none" w:sz="0" w:space="0" w:color="auto"/>
                  </w:divBdr>
                </w:div>
                <w:div w:id="12296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1109">
      <w:bodyDiv w:val="1"/>
      <w:marLeft w:val="0"/>
      <w:marRight w:val="0"/>
      <w:marTop w:val="0"/>
      <w:marBottom w:val="0"/>
      <w:divBdr>
        <w:top w:val="none" w:sz="0" w:space="0" w:color="auto"/>
        <w:left w:val="none" w:sz="0" w:space="0" w:color="auto"/>
        <w:bottom w:val="none" w:sz="0" w:space="0" w:color="auto"/>
        <w:right w:val="none" w:sz="0" w:space="0" w:color="auto"/>
      </w:divBdr>
      <w:divsChild>
        <w:div w:id="671297531">
          <w:marLeft w:val="0"/>
          <w:marRight w:val="0"/>
          <w:marTop w:val="0"/>
          <w:marBottom w:val="0"/>
          <w:divBdr>
            <w:top w:val="none" w:sz="0" w:space="0" w:color="auto"/>
            <w:left w:val="none" w:sz="0" w:space="0" w:color="auto"/>
            <w:bottom w:val="none" w:sz="0" w:space="0" w:color="auto"/>
            <w:right w:val="none" w:sz="0" w:space="0" w:color="auto"/>
          </w:divBdr>
          <w:divsChild>
            <w:div w:id="1577284524">
              <w:marLeft w:val="0"/>
              <w:marRight w:val="0"/>
              <w:marTop w:val="0"/>
              <w:marBottom w:val="0"/>
              <w:divBdr>
                <w:top w:val="none" w:sz="0" w:space="0" w:color="auto"/>
                <w:left w:val="none" w:sz="0" w:space="0" w:color="auto"/>
                <w:bottom w:val="none" w:sz="0" w:space="0" w:color="auto"/>
                <w:right w:val="none" w:sz="0" w:space="0" w:color="auto"/>
              </w:divBdr>
              <w:divsChild>
                <w:div w:id="1800949217">
                  <w:marLeft w:val="0"/>
                  <w:marRight w:val="0"/>
                  <w:marTop w:val="0"/>
                  <w:marBottom w:val="0"/>
                  <w:divBdr>
                    <w:top w:val="none" w:sz="0" w:space="0" w:color="auto"/>
                    <w:left w:val="none" w:sz="0" w:space="0" w:color="auto"/>
                    <w:bottom w:val="none" w:sz="0" w:space="0" w:color="auto"/>
                    <w:right w:val="none" w:sz="0" w:space="0" w:color="auto"/>
                  </w:divBdr>
                  <w:divsChild>
                    <w:div w:id="7974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5147">
      <w:bodyDiv w:val="1"/>
      <w:marLeft w:val="0"/>
      <w:marRight w:val="0"/>
      <w:marTop w:val="0"/>
      <w:marBottom w:val="0"/>
      <w:divBdr>
        <w:top w:val="none" w:sz="0" w:space="0" w:color="auto"/>
        <w:left w:val="none" w:sz="0" w:space="0" w:color="auto"/>
        <w:bottom w:val="none" w:sz="0" w:space="0" w:color="auto"/>
        <w:right w:val="none" w:sz="0" w:space="0" w:color="auto"/>
      </w:divBdr>
    </w:div>
    <w:div w:id="1005716140">
      <w:bodyDiv w:val="1"/>
      <w:marLeft w:val="0"/>
      <w:marRight w:val="0"/>
      <w:marTop w:val="0"/>
      <w:marBottom w:val="0"/>
      <w:divBdr>
        <w:top w:val="none" w:sz="0" w:space="0" w:color="auto"/>
        <w:left w:val="none" w:sz="0" w:space="0" w:color="auto"/>
        <w:bottom w:val="none" w:sz="0" w:space="0" w:color="auto"/>
        <w:right w:val="none" w:sz="0" w:space="0" w:color="auto"/>
      </w:divBdr>
    </w:div>
    <w:div w:id="1021859263">
      <w:bodyDiv w:val="1"/>
      <w:marLeft w:val="0"/>
      <w:marRight w:val="0"/>
      <w:marTop w:val="0"/>
      <w:marBottom w:val="0"/>
      <w:divBdr>
        <w:top w:val="none" w:sz="0" w:space="0" w:color="auto"/>
        <w:left w:val="none" w:sz="0" w:space="0" w:color="auto"/>
        <w:bottom w:val="none" w:sz="0" w:space="0" w:color="auto"/>
        <w:right w:val="none" w:sz="0" w:space="0" w:color="auto"/>
      </w:divBdr>
      <w:divsChild>
        <w:div w:id="1272594778">
          <w:marLeft w:val="0"/>
          <w:marRight w:val="0"/>
          <w:marTop w:val="0"/>
          <w:marBottom w:val="0"/>
          <w:divBdr>
            <w:top w:val="none" w:sz="0" w:space="0" w:color="auto"/>
            <w:left w:val="none" w:sz="0" w:space="0" w:color="auto"/>
            <w:bottom w:val="none" w:sz="0" w:space="0" w:color="auto"/>
            <w:right w:val="none" w:sz="0" w:space="0" w:color="auto"/>
          </w:divBdr>
          <w:divsChild>
            <w:div w:id="573197863">
              <w:marLeft w:val="0"/>
              <w:marRight w:val="0"/>
              <w:marTop w:val="0"/>
              <w:marBottom w:val="0"/>
              <w:divBdr>
                <w:top w:val="none" w:sz="0" w:space="0" w:color="auto"/>
                <w:left w:val="none" w:sz="0" w:space="0" w:color="auto"/>
                <w:bottom w:val="none" w:sz="0" w:space="0" w:color="auto"/>
                <w:right w:val="none" w:sz="0" w:space="0" w:color="auto"/>
              </w:divBdr>
              <w:divsChild>
                <w:div w:id="918908476">
                  <w:marLeft w:val="0"/>
                  <w:marRight w:val="0"/>
                  <w:marTop w:val="0"/>
                  <w:marBottom w:val="0"/>
                  <w:divBdr>
                    <w:top w:val="none" w:sz="0" w:space="0" w:color="auto"/>
                    <w:left w:val="none" w:sz="0" w:space="0" w:color="auto"/>
                    <w:bottom w:val="none" w:sz="0" w:space="0" w:color="auto"/>
                    <w:right w:val="none" w:sz="0" w:space="0" w:color="auto"/>
                  </w:divBdr>
                  <w:divsChild>
                    <w:div w:id="14924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8548">
      <w:bodyDiv w:val="1"/>
      <w:marLeft w:val="0"/>
      <w:marRight w:val="0"/>
      <w:marTop w:val="0"/>
      <w:marBottom w:val="0"/>
      <w:divBdr>
        <w:top w:val="none" w:sz="0" w:space="0" w:color="auto"/>
        <w:left w:val="none" w:sz="0" w:space="0" w:color="auto"/>
        <w:bottom w:val="none" w:sz="0" w:space="0" w:color="auto"/>
        <w:right w:val="none" w:sz="0" w:space="0" w:color="auto"/>
      </w:divBdr>
      <w:divsChild>
        <w:div w:id="82191117">
          <w:marLeft w:val="0"/>
          <w:marRight w:val="0"/>
          <w:marTop w:val="0"/>
          <w:marBottom w:val="0"/>
          <w:divBdr>
            <w:top w:val="none" w:sz="0" w:space="0" w:color="auto"/>
            <w:left w:val="none" w:sz="0" w:space="0" w:color="auto"/>
            <w:bottom w:val="none" w:sz="0" w:space="0" w:color="auto"/>
            <w:right w:val="none" w:sz="0" w:space="0" w:color="auto"/>
          </w:divBdr>
          <w:divsChild>
            <w:div w:id="1383477708">
              <w:marLeft w:val="0"/>
              <w:marRight w:val="0"/>
              <w:marTop w:val="0"/>
              <w:marBottom w:val="0"/>
              <w:divBdr>
                <w:top w:val="none" w:sz="0" w:space="0" w:color="auto"/>
                <w:left w:val="none" w:sz="0" w:space="0" w:color="auto"/>
                <w:bottom w:val="none" w:sz="0" w:space="0" w:color="auto"/>
                <w:right w:val="none" w:sz="0" w:space="0" w:color="auto"/>
              </w:divBdr>
              <w:divsChild>
                <w:div w:id="10768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0096">
      <w:bodyDiv w:val="1"/>
      <w:marLeft w:val="0"/>
      <w:marRight w:val="0"/>
      <w:marTop w:val="0"/>
      <w:marBottom w:val="0"/>
      <w:divBdr>
        <w:top w:val="none" w:sz="0" w:space="0" w:color="auto"/>
        <w:left w:val="none" w:sz="0" w:space="0" w:color="auto"/>
        <w:bottom w:val="none" w:sz="0" w:space="0" w:color="auto"/>
        <w:right w:val="none" w:sz="0" w:space="0" w:color="auto"/>
      </w:divBdr>
    </w:div>
    <w:div w:id="1159151982">
      <w:bodyDiv w:val="1"/>
      <w:marLeft w:val="0"/>
      <w:marRight w:val="0"/>
      <w:marTop w:val="0"/>
      <w:marBottom w:val="0"/>
      <w:divBdr>
        <w:top w:val="none" w:sz="0" w:space="0" w:color="auto"/>
        <w:left w:val="none" w:sz="0" w:space="0" w:color="auto"/>
        <w:bottom w:val="none" w:sz="0" w:space="0" w:color="auto"/>
        <w:right w:val="none" w:sz="0" w:space="0" w:color="auto"/>
      </w:divBdr>
    </w:div>
    <w:div w:id="1161701525">
      <w:bodyDiv w:val="1"/>
      <w:marLeft w:val="0"/>
      <w:marRight w:val="0"/>
      <w:marTop w:val="0"/>
      <w:marBottom w:val="0"/>
      <w:divBdr>
        <w:top w:val="none" w:sz="0" w:space="0" w:color="auto"/>
        <w:left w:val="none" w:sz="0" w:space="0" w:color="auto"/>
        <w:bottom w:val="none" w:sz="0" w:space="0" w:color="auto"/>
        <w:right w:val="none" w:sz="0" w:space="0" w:color="auto"/>
      </w:divBdr>
      <w:divsChild>
        <w:div w:id="1736588124">
          <w:marLeft w:val="0"/>
          <w:marRight w:val="0"/>
          <w:marTop w:val="0"/>
          <w:marBottom w:val="0"/>
          <w:divBdr>
            <w:top w:val="none" w:sz="0" w:space="0" w:color="auto"/>
            <w:left w:val="none" w:sz="0" w:space="0" w:color="auto"/>
            <w:bottom w:val="none" w:sz="0" w:space="0" w:color="auto"/>
            <w:right w:val="none" w:sz="0" w:space="0" w:color="auto"/>
          </w:divBdr>
          <w:divsChild>
            <w:div w:id="176428410">
              <w:marLeft w:val="0"/>
              <w:marRight w:val="0"/>
              <w:marTop w:val="0"/>
              <w:marBottom w:val="0"/>
              <w:divBdr>
                <w:top w:val="none" w:sz="0" w:space="0" w:color="auto"/>
                <w:left w:val="none" w:sz="0" w:space="0" w:color="auto"/>
                <w:bottom w:val="none" w:sz="0" w:space="0" w:color="auto"/>
                <w:right w:val="none" w:sz="0" w:space="0" w:color="auto"/>
              </w:divBdr>
              <w:divsChild>
                <w:div w:id="1960068671">
                  <w:marLeft w:val="0"/>
                  <w:marRight w:val="0"/>
                  <w:marTop w:val="0"/>
                  <w:marBottom w:val="0"/>
                  <w:divBdr>
                    <w:top w:val="none" w:sz="0" w:space="0" w:color="auto"/>
                    <w:left w:val="none" w:sz="0" w:space="0" w:color="auto"/>
                    <w:bottom w:val="none" w:sz="0" w:space="0" w:color="auto"/>
                    <w:right w:val="none" w:sz="0" w:space="0" w:color="auto"/>
                  </w:divBdr>
                  <w:divsChild>
                    <w:div w:id="1897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8765">
      <w:bodyDiv w:val="1"/>
      <w:marLeft w:val="0"/>
      <w:marRight w:val="0"/>
      <w:marTop w:val="0"/>
      <w:marBottom w:val="0"/>
      <w:divBdr>
        <w:top w:val="none" w:sz="0" w:space="0" w:color="auto"/>
        <w:left w:val="none" w:sz="0" w:space="0" w:color="auto"/>
        <w:bottom w:val="none" w:sz="0" w:space="0" w:color="auto"/>
        <w:right w:val="none" w:sz="0" w:space="0" w:color="auto"/>
      </w:divBdr>
    </w:div>
    <w:div w:id="1168784491">
      <w:bodyDiv w:val="1"/>
      <w:marLeft w:val="0"/>
      <w:marRight w:val="0"/>
      <w:marTop w:val="0"/>
      <w:marBottom w:val="0"/>
      <w:divBdr>
        <w:top w:val="none" w:sz="0" w:space="0" w:color="auto"/>
        <w:left w:val="none" w:sz="0" w:space="0" w:color="auto"/>
        <w:bottom w:val="none" w:sz="0" w:space="0" w:color="auto"/>
        <w:right w:val="none" w:sz="0" w:space="0" w:color="auto"/>
      </w:divBdr>
      <w:divsChild>
        <w:div w:id="355740166">
          <w:marLeft w:val="0"/>
          <w:marRight w:val="0"/>
          <w:marTop w:val="0"/>
          <w:marBottom w:val="0"/>
          <w:divBdr>
            <w:top w:val="none" w:sz="0" w:space="0" w:color="auto"/>
            <w:left w:val="none" w:sz="0" w:space="0" w:color="auto"/>
            <w:bottom w:val="none" w:sz="0" w:space="0" w:color="auto"/>
            <w:right w:val="none" w:sz="0" w:space="0" w:color="auto"/>
          </w:divBdr>
          <w:divsChild>
            <w:div w:id="109593038">
              <w:marLeft w:val="0"/>
              <w:marRight w:val="0"/>
              <w:marTop w:val="0"/>
              <w:marBottom w:val="0"/>
              <w:divBdr>
                <w:top w:val="none" w:sz="0" w:space="0" w:color="auto"/>
                <w:left w:val="none" w:sz="0" w:space="0" w:color="auto"/>
                <w:bottom w:val="none" w:sz="0" w:space="0" w:color="auto"/>
                <w:right w:val="none" w:sz="0" w:space="0" w:color="auto"/>
              </w:divBdr>
              <w:divsChild>
                <w:div w:id="1821997922">
                  <w:marLeft w:val="0"/>
                  <w:marRight w:val="0"/>
                  <w:marTop w:val="0"/>
                  <w:marBottom w:val="0"/>
                  <w:divBdr>
                    <w:top w:val="none" w:sz="0" w:space="0" w:color="auto"/>
                    <w:left w:val="none" w:sz="0" w:space="0" w:color="auto"/>
                    <w:bottom w:val="none" w:sz="0" w:space="0" w:color="auto"/>
                    <w:right w:val="none" w:sz="0" w:space="0" w:color="auto"/>
                  </w:divBdr>
                  <w:divsChild>
                    <w:div w:id="1354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870224">
      <w:bodyDiv w:val="1"/>
      <w:marLeft w:val="0"/>
      <w:marRight w:val="0"/>
      <w:marTop w:val="0"/>
      <w:marBottom w:val="0"/>
      <w:divBdr>
        <w:top w:val="none" w:sz="0" w:space="0" w:color="auto"/>
        <w:left w:val="none" w:sz="0" w:space="0" w:color="auto"/>
        <w:bottom w:val="none" w:sz="0" w:space="0" w:color="auto"/>
        <w:right w:val="none" w:sz="0" w:space="0" w:color="auto"/>
      </w:divBdr>
      <w:divsChild>
        <w:div w:id="1991325668">
          <w:marLeft w:val="0"/>
          <w:marRight w:val="0"/>
          <w:marTop w:val="0"/>
          <w:marBottom w:val="0"/>
          <w:divBdr>
            <w:top w:val="none" w:sz="0" w:space="0" w:color="auto"/>
            <w:left w:val="none" w:sz="0" w:space="0" w:color="auto"/>
            <w:bottom w:val="none" w:sz="0" w:space="0" w:color="auto"/>
            <w:right w:val="none" w:sz="0" w:space="0" w:color="auto"/>
          </w:divBdr>
          <w:divsChild>
            <w:div w:id="901864644">
              <w:marLeft w:val="0"/>
              <w:marRight w:val="0"/>
              <w:marTop w:val="0"/>
              <w:marBottom w:val="0"/>
              <w:divBdr>
                <w:top w:val="none" w:sz="0" w:space="0" w:color="auto"/>
                <w:left w:val="none" w:sz="0" w:space="0" w:color="auto"/>
                <w:bottom w:val="none" w:sz="0" w:space="0" w:color="auto"/>
                <w:right w:val="none" w:sz="0" w:space="0" w:color="auto"/>
              </w:divBdr>
              <w:divsChild>
                <w:div w:id="2050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00537">
      <w:bodyDiv w:val="1"/>
      <w:marLeft w:val="0"/>
      <w:marRight w:val="0"/>
      <w:marTop w:val="0"/>
      <w:marBottom w:val="0"/>
      <w:divBdr>
        <w:top w:val="none" w:sz="0" w:space="0" w:color="auto"/>
        <w:left w:val="none" w:sz="0" w:space="0" w:color="auto"/>
        <w:bottom w:val="none" w:sz="0" w:space="0" w:color="auto"/>
        <w:right w:val="none" w:sz="0" w:space="0" w:color="auto"/>
      </w:divBdr>
      <w:divsChild>
        <w:div w:id="1974097488">
          <w:marLeft w:val="0"/>
          <w:marRight w:val="0"/>
          <w:marTop w:val="0"/>
          <w:marBottom w:val="0"/>
          <w:divBdr>
            <w:top w:val="none" w:sz="0" w:space="0" w:color="auto"/>
            <w:left w:val="none" w:sz="0" w:space="0" w:color="auto"/>
            <w:bottom w:val="none" w:sz="0" w:space="0" w:color="auto"/>
            <w:right w:val="none" w:sz="0" w:space="0" w:color="auto"/>
          </w:divBdr>
          <w:divsChild>
            <w:div w:id="2019305691">
              <w:marLeft w:val="0"/>
              <w:marRight w:val="0"/>
              <w:marTop w:val="0"/>
              <w:marBottom w:val="0"/>
              <w:divBdr>
                <w:top w:val="none" w:sz="0" w:space="0" w:color="auto"/>
                <w:left w:val="none" w:sz="0" w:space="0" w:color="auto"/>
                <w:bottom w:val="none" w:sz="0" w:space="0" w:color="auto"/>
                <w:right w:val="none" w:sz="0" w:space="0" w:color="auto"/>
              </w:divBdr>
              <w:divsChild>
                <w:div w:id="10159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5953">
      <w:bodyDiv w:val="1"/>
      <w:marLeft w:val="0"/>
      <w:marRight w:val="0"/>
      <w:marTop w:val="0"/>
      <w:marBottom w:val="0"/>
      <w:divBdr>
        <w:top w:val="none" w:sz="0" w:space="0" w:color="auto"/>
        <w:left w:val="none" w:sz="0" w:space="0" w:color="auto"/>
        <w:bottom w:val="none" w:sz="0" w:space="0" w:color="auto"/>
        <w:right w:val="none" w:sz="0" w:space="0" w:color="auto"/>
      </w:divBdr>
      <w:divsChild>
        <w:div w:id="236742755">
          <w:marLeft w:val="0"/>
          <w:marRight w:val="0"/>
          <w:marTop w:val="0"/>
          <w:marBottom w:val="0"/>
          <w:divBdr>
            <w:top w:val="none" w:sz="0" w:space="0" w:color="auto"/>
            <w:left w:val="none" w:sz="0" w:space="0" w:color="auto"/>
            <w:bottom w:val="none" w:sz="0" w:space="0" w:color="auto"/>
            <w:right w:val="none" w:sz="0" w:space="0" w:color="auto"/>
          </w:divBdr>
          <w:divsChild>
            <w:div w:id="1222794350">
              <w:marLeft w:val="0"/>
              <w:marRight w:val="0"/>
              <w:marTop w:val="0"/>
              <w:marBottom w:val="0"/>
              <w:divBdr>
                <w:top w:val="none" w:sz="0" w:space="0" w:color="auto"/>
                <w:left w:val="none" w:sz="0" w:space="0" w:color="auto"/>
                <w:bottom w:val="none" w:sz="0" w:space="0" w:color="auto"/>
                <w:right w:val="none" w:sz="0" w:space="0" w:color="auto"/>
              </w:divBdr>
              <w:divsChild>
                <w:div w:id="137459665">
                  <w:marLeft w:val="0"/>
                  <w:marRight w:val="0"/>
                  <w:marTop w:val="0"/>
                  <w:marBottom w:val="0"/>
                  <w:divBdr>
                    <w:top w:val="none" w:sz="0" w:space="0" w:color="auto"/>
                    <w:left w:val="none" w:sz="0" w:space="0" w:color="auto"/>
                    <w:bottom w:val="none" w:sz="0" w:space="0" w:color="auto"/>
                    <w:right w:val="none" w:sz="0" w:space="0" w:color="auto"/>
                  </w:divBdr>
                </w:div>
                <w:div w:id="1228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4246">
      <w:bodyDiv w:val="1"/>
      <w:marLeft w:val="0"/>
      <w:marRight w:val="0"/>
      <w:marTop w:val="0"/>
      <w:marBottom w:val="0"/>
      <w:divBdr>
        <w:top w:val="none" w:sz="0" w:space="0" w:color="auto"/>
        <w:left w:val="none" w:sz="0" w:space="0" w:color="auto"/>
        <w:bottom w:val="none" w:sz="0" w:space="0" w:color="auto"/>
        <w:right w:val="none" w:sz="0" w:space="0" w:color="auto"/>
      </w:divBdr>
      <w:divsChild>
        <w:div w:id="836651625">
          <w:marLeft w:val="0"/>
          <w:marRight w:val="0"/>
          <w:marTop w:val="0"/>
          <w:marBottom w:val="0"/>
          <w:divBdr>
            <w:top w:val="none" w:sz="0" w:space="0" w:color="auto"/>
            <w:left w:val="none" w:sz="0" w:space="0" w:color="auto"/>
            <w:bottom w:val="none" w:sz="0" w:space="0" w:color="auto"/>
            <w:right w:val="none" w:sz="0" w:space="0" w:color="auto"/>
          </w:divBdr>
          <w:divsChild>
            <w:div w:id="1866671558">
              <w:marLeft w:val="0"/>
              <w:marRight w:val="0"/>
              <w:marTop w:val="0"/>
              <w:marBottom w:val="0"/>
              <w:divBdr>
                <w:top w:val="none" w:sz="0" w:space="0" w:color="auto"/>
                <w:left w:val="none" w:sz="0" w:space="0" w:color="auto"/>
                <w:bottom w:val="none" w:sz="0" w:space="0" w:color="auto"/>
                <w:right w:val="none" w:sz="0" w:space="0" w:color="auto"/>
              </w:divBdr>
              <w:divsChild>
                <w:div w:id="1425567091">
                  <w:marLeft w:val="0"/>
                  <w:marRight w:val="0"/>
                  <w:marTop w:val="0"/>
                  <w:marBottom w:val="0"/>
                  <w:divBdr>
                    <w:top w:val="none" w:sz="0" w:space="0" w:color="auto"/>
                    <w:left w:val="none" w:sz="0" w:space="0" w:color="auto"/>
                    <w:bottom w:val="none" w:sz="0" w:space="0" w:color="auto"/>
                    <w:right w:val="none" w:sz="0" w:space="0" w:color="auto"/>
                  </w:divBdr>
                  <w:divsChild>
                    <w:div w:id="465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04791">
      <w:bodyDiv w:val="1"/>
      <w:marLeft w:val="0"/>
      <w:marRight w:val="0"/>
      <w:marTop w:val="0"/>
      <w:marBottom w:val="0"/>
      <w:divBdr>
        <w:top w:val="none" w:sz="0" w:space="0" w:color="auto"/>
        <w:left w:val="none" w:sz="0" w:space="0" w:color="auto"/>
        <w:bottom w:val="none" w:sz="0" w:space="0" w:color="auto"/>
        <w:right w:val="none" w:sz="0" w:space="0" w:color="auto"/>
      </w:divBdr>
    </w:div>
    <w:div w:id="1295871029">
      <w:bodyDiv w:val="1"/>
      <w:marLeft w:val="0"/>
      <w:marRight w:val="0"/>
      <w:marTop w:val="0"/>
      <w:marBottom w:val="0"/>
      <w:divBdr>
        <w:top w:val="none" w:sz="0" w:space="0" w:color="auto"/>
        <w:left w:val="none" w:sz="0" w:space="0" w:color="auto"/>
        <w:bottom w:val="none" w:sz="0" w:space="0" w:color="auto"/>
        <w:right w:val="none" w:sz="0" w:space="0" w:color="auto"/>
      </w:divBdr>
      <w:divsChild>
        <w:div w:id="464585807">
          <w:marLeft w:val="0"/>
          <w:marRight w:val="0"/>
          <w:marTop w:val="0"/>
          <w:marBottom w:val="0"/>
          <w:divBdr>
            <w:top w:val="none" w:sz="0" w:space="0" w:color="auto"/>
            <w:left w:val="none" w:sz="0" w:space="0" w:color="auto"/>
            <w:bottom w:val="none" w:sz="0" w:space="0" w:color="auto"/>
            <w:right w:val="none" w:sz="0" w:space="0" w:color="auto"/>
          </w:divBdr>
          <w:divsChild>
            <w:div w:id="656425285">
              <w:marLeft w:val="0"/>
              <w:marRight w:val="0"/>
              <w:marTop w:val="0"/>
              <w:marBottom w:val="0"/>
              <w:divBdr>
                <w:top w:val="none" w:sz="0" w:space="0" w:color="auto"/>
                <w:left w:val="none" w:sz="0" w:space="0" w:color="auto"/>
                <w:bottom w:val="none" w:sz="0" w:space="0" w:color="auto"/>
                <w:right w:val="none" w:sz="0" w:space="0" w:color="auto"/>
              </w:divBdr>
              <w:divsChild>
                <w:div w:id="715661202">
                  <w:marLeft w:val="0"/>
                  <w:marRight w:val="0"/>
                  <w:marTop w:val="0"/>
                  <w:marBottom w:val="0"/>
                  <w:divBdr>
                    <w:top w:val="none" w:sz="0" w:space="0" w:color="auto"/>
                    <w:left w:val="none" w:sz="0" w:space="0" w:color="auto"/>
                    <w:bottom w:val="none" w:sz="0" w:space="0" w:color="auto"/>
                    <w:right w:val="none" w:sz="0" w:space="0" w:color="auto"/>
                  </w:divBdr>
                  <w:divsChild>
                    <w:div w:id="4529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967553">
      <w:bodyDiv w:val="1"/>
      <w:marLeft w:val="0"/>
      <w:marRight w:val="0"/>
      <w:marTop w:val="0"/>
      <w:marBottom w:val="0"/>
      <w:divBdr>
        <w:top w:val="none" w:sz="0" w:space="0" w:color="auto"/>
        <w:left w:val="none" w:sz="0" w:space="0" w:color="auto"/>
        <w:bottom w:val="none" w:sz="0" w:space="0" w:color="auto"/>
        <w:right w:val="none" w:sz="0" w:space="0" w:color="auto"/>
      </w:divBdr>
    </w:div>
    <w:div w:id="1403288683">
      <w:bodyDiv w:val="1"/>
      <w:marLeft w:val="0"/>
      <w:marRight w:val="0"/>
      <w:marTop w:val="0"/>
      <w:marBottom w:val="0"/>
      <w:divBdr>
        <w:top w:val="none" w:sz="0" w:space="0" w:color="auto"/>
        <w:left w:val="none" w:sz="0" w:space="0" w:color="auto"/>
        <w:bottom w:val="none" w:sz="0" w:space="0" w:color="auto"/>
        <w:right w:val="none" w:sz="0" w:space="0" w:color="auto"/>
      </w:divBdr>
      <w:divsChild>
        <w:div w:id="1831486754">
          <w:marLeft w:val="0"/>
          <w:marRight w:val="0"/>
          <w:marTop w:val="0"/>
          <w:marBottom w:val="0"/>
          <w:divBdr>
            <w:top w:val="none" w:sz="0" w:space="0" w:color="auto"/>
            <w:left w:val="none" w:sz="0" w:space="0" w:color="auto"/>
            <w:bottom w:val="none" w:sz="0" w:space="0" w:color="auto"/>
            <w:right w:val="none" w:sz="0" w:space="0" w:color="auto"/>
          </w:divBdr>
          <w:divsChild>
            <w:div w:id="1780375118">
              <w:marLeft w:val="0"/>
              <w:marRight w:val="0"/>
              <w:marTop w:val="0"/>
              <w:marBottom w:val="0"/>
              <w:divBdr>
                <w:top w:val="none" w:sz="0" w:space="0" w:color="auto"/>
                <w:left w:val="none" w:sz="0" w:space="0" w:color="auto"/>
                <w:bottom w:val="none" w:sz="0" w:space="0" w:color="auto"/>
                <w:right w:val="none" w:sz="0" w:space="0" w:color="auto"/>
              </w:divBdr>
              <w:divsChild>
                <w:div w:id="549997426">
                  <w:marLeft w:val="0"/>
                  <w:marRight w:val="0"/>
                  <w:marTop w:val="0"/>
                  <w:marBottom w:val="0"/>
                  <w:divBdr>
                    <w:top w:val="none" w:sz="0" w:space="0" w:color="auto"/>
                    <w:left w:val="none" w:sz="0" w:space="0" w:color="auto"/>
                    <w:bottom w:val="none" w:sz="0" w:space="0" w:color="auto"/>
                    <w:right w:val="none" w:sz="0" w:space="0" w:color="auto"/>
                  </w:divBdr>
                  <w:divsChild>
                    <w:div w:id="11510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74237">
      <w:bodyDiv w:val="1"/>
      <w:marLeft w:val="0"/>
      <w:marRight w:val="0"/>
      <w:marTop w:val="0"/>
      <w:marBottom w:val="0"/>
      <w:divBdr>
        <w:top w:val="none" w:sz="0" w:space="0" w:color="auto"/>
        <w:left w:val="none" w:sz="0" w:space="0" w:color="auto"/>
        <w:bottom w:val="none" w:sz="0" w:space="0" w:color="auto"/>
        <w:right w:val="none" w:sz="0" w:space="0" w:color="auto"/>
      </w:divBdr>
      <w:divsChild>
        <w:div w:id="1471633773">
          <w:marLeft w:val="0"/>
          <w:marRight w:val="0"/>
          <w:marTop w:val="0"/>
          <w:marBottom w:val="0"/>
          <w:divBdr>
            <w:top w:val="none" w:sz="0" w:space="0" w:color="auto"/>
            <w:left w:val="none" w:sz="0" w:space="0" w:color="auto"/>
            <w:bottom w:val="none" w:sz="0" w:space="0" w:color="auto"/>
            <w:right w:val="none" w:sz="0" w:space="0" w:color="auto"/>
          </w:divBdr>
          <w:divsChild>
            <w:div w:id="1425884717">
              <w:marLeft w:val="0"/>
              <w:marRight w:val="0"/>
              <w:marTop w:val="0"/>
              <w:marBottom w:val="0"/>
              <w:divBdr>
                <w:top w:val="none" w:sz="0" w:space="0" w:color="auto"/>
                <w:left w:val="none" w:sz="0" w:space="0" w:color="auto"/>
                <w:bottom w:val="none" w:sz="0" w:space="0" w:color="auto"/>
                <w:right w:val="none" w:sz="0" w:space="0" w:color="auto"/>
              </w:divBdr>
              <w:divsChild>
                <w:div w:id="8757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00114">
      <w:bodyDiv w:val="1"/>
      <w:marLeft w:val="0"/>
      <w:marRight w:val="0"/>
      <w:marTop w:val="0"/>
      <w:marBottom w:val="0"/>
      <w:divBdr>
        <w:top w:val="none" w:sz="0" w:space="0" w:color="auto"/>
        <w:left w:val="none" w:sz="0" w:space="0" w:color="auto"/>
        <w:bottom w:val="none" w:sz="0" w:space="0" w:color="auto"/>
        <w:right w:val="none" w:sz="0" w:space="0" w:color="auto"/>
      </w:divBdr>
      <w:divsChild>
        <w:div w:id="1509978489">
          <w:marLeft w:val="0"/>
          <w:marRight w:val="0"/>
          <w:marTop w:val="0"/>
          <w:marBottom w:val="0"/>
          <w:divBdr>
            <w:top w:val="none" w:sz="0" w:space="0" w:color="auto"/>
            <w:left w:val="none" w:sz="0" w:space="0" w:color="auto"/>
            <w:bottom w:val="none" w:sz="0" w:space="0" w:color="auto"/>
            <w:right w:val="none" w:sz="0" w:space="0" w:color="auto"/>
          </w:divBdr>
          <w:divsChild>
            <w:div w:id="12415423">
              <w:marLeft w:val="0"/>
              <w:marRight w:val="0"/>
              <w:marTop w:val="0"/>
              <w:marBottom w:val="0"/>
              <w:divBdr>
                <w:top w:val="none" w:sz="0" w:space="0" w:color="auto"/>
                <w:left w:val="none" w:sz="0" w:space="0" w:color="auto"/>
                <w:bottom w:val="none" w:sz="0" w:space="0" w:color="auto"/>
                <w:right w:val="none" w:sz="0" w:space="0" w:color="auto"/>
              </w:divBdr>
              <w:divsChild>
                <w:div w:id="2026243599">
                  <w:marLeft w:val="0"/>
                  <w:marRight w:val="0"/>
                  <w:marTop w:val="0"/>
                  <w:marBottom w:val="0"/>
                  <w:divBdr>
                    <w:top w:val="none" w:sz="0" w:space="0" w:color="auto"/>
                    <w:left w:val="none" w:sz="0" w:space="0" w:color="auto"/>
                    <w:bottom w:val="none" w:sz="0" w:space="0" w:color="auto"/>
                    <w:right w:val="none" w:sz="0" w:space="0" w:color="auto"/>
                  </w:divBdr>
                  <w:divsChild>
                    <w:div w:id="15154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7902">
      <w:bodyDiv w:val="1"/>
      <w:marLeft w:val="0"/>
      <w:marRight w:val="0"/>
      <w:marTop w:val="0"/>
      <w:marBottom w:val="0"/>
      <w:divBdr>
        <w:top w:val="none" w:sz="0" w:space="0" w:color="auto"/>
        <w:left w:val="none" w:sz="0" w:space="0" w:color="auto"/>
        <w:bottom w:val="none" w:sz="0" w:space="0" w:color="auto"/>
        <w:right w:val="none" w:sz="0" w:space="0" w:color="auto"/>
      </w:divBdr>
    </w:div>
    <w:div w:id="1577134194">
      <w:bodyDiv w:val="1"/>
      <w:marLeft w:val="0"/>
      <w:marRight w:val="0"/>
      <w:marTop w:val="0"/>
      <w:marBottom w:val="0"/>
      <w:divBdr>
        <w:top w:val="none" w:sz="0" w:space="0" w:color="auto"/>
        <w:left w:val="none" w:sz="0" w:space="0" w:color="auto"/>
        <w:bottom w:val="none" w:sz="0" w:space="0" w:color="auto"/>
        <w:right w:val="none" w:sz="0" w:space="0" w:color="auto"/>
      </w:divBdr>
      <w:divsChild>
        <w:div w:id="1091703785">
          <w:marLeft w:val="0"/>
          <w:marRight w:val="0"/>
          <w:marTop w:val="0"/>
          <w:marBottom w:val="0"/>
          <w:divBdr>
            <w:top w:val="none" w:sz="0" w:space="0" w:color="auto"/>
            <w:left w:val="none" w:sz="0" w:space="0" w:color="auto"/>
            <w:bottom w:val="none" w:sz="0" w:space="0" w:color="auto"/>
            <w:right w:val="none" w:sz="0" w:space="0" w:color="auto"/>
          </w:divBdr>
          <w:divsChild>
            <w:div w:id="886526223">
              <w:marLeft w:val="0"/>
              <w:marRight w:val="0"/>
              <w:marTop w:val="0"/>
              <w:marBottom w:val="0"/>
              <w:divBdr>
                <w:top w:val="none" w:sz="0" w:space="0" w:color="auto"/>
                <w:left w:val="none" w:sz="0" w:space="0" w:color="auto"/>
                <w:bottom w:val="none" w:sz="0" w:space="0" w:color="auto"/>
                <w:right w:val="none" w:sz="0" w:space="0" w:color="auto"/>
              </w:divBdr>
              <w:divsChild>
                <w:div w:id="1337733315">
                  <w:marLeft w:val="0"/>
                  <w:marRight w:val="0"/>
                  <w:marTop w:val="0"/>
                  <w:marBottom w:val="0"/>
                  <w:divBdr>
                    <w:top w:val="none" w:sz="0" w:space="0" w:color="auto"/>
                    <w:left w:val="none" w:sz="0" w:space="0" w:color="auto"/>
                    <w:bottom w:val="none" w:sz="0" w:space="0" w:color="auto"/>
                    <w:right w:val="none" w:sz="0" w:space="0" w:color="auto"/>
                  </w:divBdr>
                  <w:divsChild>
                    <w:div w:id="12431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196009">
      <w:bodyDiv w:val="1"/>
      <w:marLeft w:val="0"/>
      <w:marRight w:val="0"/>
      <w:marTop w:val="0"/>
      <w:marBottom w:val="0"/>
      <w:divBdr>
        <w:top w:val="none" w:sz="0" w:space="0" w:color="auto"/>
        <w:left w:val="none" w:sz="0" w:space="0" w:color="auto"/>
        <w:bottom w:val="none" w:sz="0" w:space="0" w:color="auto"/>
        <w:right w:val="none" w:sz="0" w:space="0" w:color="auto"/>
      </w:divBdr>
    </w:div>
    <w:div w:id="1645161384">
      <w:bodyDiv w:val="1"/>
      <w:marLeft w:val="0"/>
      <w:marRight w:val="0"/>
      <w:marTop w:val="0"/>
      <w:marBottom w:val="0"/>
      <w:divBdr>
        <w:top w:val="none" w:sz="0" w:space="0" w:color="auto"/>
        <w:left w:val="none" w:sz="0" w:space="0" w:color="auto"/>
        <w:bottom w:val="none" w:sz="0" w:space="0" w:color="auto"/>
        <w:right w:val="none" w:sz="0" w:space="0" w:color="auto"/>
      </w:divBdr>
      <w:divsChild>
        <w:div w:id="1844470763">
          <w:marLeft w:val="0"/>
          <w:marRight w:val="0"/>
          <w:marTop w:val="0"/>
          <w:marBottom w:val="0"/>
          <w:divBdr>
            <w:top w:val="none" w:sz="0" w:space="0" w:color="auto"/>
            <w:left w:val="none" w:sz="0" w:space="0" w:color="auto"/>
            <w:bottom w:val="none" w:sz="0" w:space="0" w:color="auto"/>
            <w:right w:val="none" w:sz="0" w:space="0" w:color="auto"/>
          </w:divBdr>
          <w:divsChild>
            <w:div w:id="1984890219">
              <w:marLeft w:val="0"/>
              <w:marRight w:val="0"/>
              <w:marTop w:val="0"/>
              <w:marBottom w:val="0"/>
              <w:divBdr>
                <w:top w:val="none" w:sz="0" w:space="0" w:color="auto"/>
                <w:left w:val="none" w:sz="0" w:space="0" w:color="auto"/>
                <w:bottom w:val="none" w:sz="0" w:space="0" w:color="auto"/>
                <w:right w:val="none" w:sz="0" w:space="0" w:color="auto"/>
              </w:divBdr>
              <w:divsChild>
                <w:div w:id="925043022">
                  <w:marLeft w:val="0"/>
                  <w:marRight w:val="0"/>
                  <w:marTop w:val="0"/>
                  <w:marBottom w:val="0"/>
                  <w:divBdr>
                    <w:top w:val="none" w:sz="0" w:space="0" w:color="auto"/>
                    <w:left w:val="none" w:sz="0" w:space="0" w:color="auto"/>
                    <w:bottom w:val="none" w:sz="0" w:space="0" w:color="auto"/>
                    <w:right w:val="none" w:sz="0" w:space="0" w:color="auto"/>
                  </w:divBdr>
                  <w:divsChild>
                    <w:div w:id="1570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56625">
      <w:bodyDiv w:val="1"/>
      <w:marLeft w:val="0"/>
      <w:marRight w:val="0"/>
      <w:marTop w:val="0"/>
      <w:marBottom w:val="0"/>
      <w:divBdr>
        <w:top w:val="none" w:sz="0" w:space="0" w:color="auto"/>
        <w:left w:val="none" w:sz="0" w:space="0" w:color="auto"/>
        <w:bottom w:val="none" w:sz="0" w:space="0" w:color="auto"/>
        <w:right w:val="none" w:sz="0" w:space="0" w:color="auto"/>
      </w:divBdr>
    </w:div>
    <w:div w:id="1688021114">
      <w:bodyDiv w:val="1"/>
      <w:marLeft w:val="0"/>
      <w:marRight w:val="0"/>
      <w:marTop w:val="0"/>
      <w:marBottom w:val="0"/>
      <w:divBdr>
        <w:top w:val="none" w:sz="0" w:space="0" w:color="auto"/>
        <w:left w:val="none" w:sz="0" w:space="0" w:color="auto"/>
        <w:bottom w:val="none" w:sz="0" w:space="0" w:color="auto"/>
        <w:right w:val="none" w:sz="0" w:space="0" w:color="auto"/>
      </w:divBdr>
      <w:divsChild>
        <w:div w:id="2005279442">
          <w:marLeft w:val="0"/>
          <w:marRight w:val="0"/>
          <w:marTop w:val="0"/>
          <w:marBottom w:val="0"/>
          <w:divBdr>
            <w:top w:val="none" w:sz="0" w:space="0" w:color="auto"/>
            <w:left w:val="none" w:sz="0" w:space="0" w:color="auto"/>
            <w:bottom w:val="none" w:sz="0" w:space="0" w:color="auto"/>
            <w:right w:val="none" w:sz="0" w:space="0" w:color="auto"/>
          </w:divBdr>
          <w:divsChild>
            <w:div w:id="470636139">
              <w:marLeft w:val="0"/>
              <w:marRight w:val="0"/>
              <w:marTop w:val="0"/>
              <w:marBottom w:val="0"/>
              <w:divBdr>
                <w:top w:val="none" w:sz="0" w:space="0" w:color="auto"/>
                <w:left w:val="none" w:sz="0" w:space="0" w:color="auto"/>
                <w:bottom w:val="none" w:sz="0" w:space="0" w:color="auto"/>
                <w:right w:val="none" w:sz="0" w:space="0" w:color="auto"/>
              </w:divBdr>
              <w:divsChild>
                <w:div w:id="456065365">
                  <w:marLeft w:val="0"/>
                  <w:marRight w:val="0"/>
                  <w:marTop w:val="0"/>
                  <w:marBottom w:val="0"/>
                  <w:divBdr>
                    <w:top w:val="none" w:sz="0" w:space="0" w:color="auto"/>
                    <w:left w:val="none" w:sz="0" w:space="0" w:color="auto"/>
                    <w:bottom w:val="none" w:sz="0" w:space="0" w:color="auto"/>
                    <w:right w:val="none" w:sz="0" w:space="0" w:color="auto"/>
                  </w:divBdr>
                  <w:divsChild>
                    <w:div w:id="13849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0327">
      <w:bodyDiv w:val="1"/>
      <w:marLeft w:val="0"/>
      <w:marRight w:val="0"/>
      <w:marTop w:val="0"/>
      <w:marBottom w:val="0"/>
      <w:divBdr>
        <w:top w:val="none" w:sz="0" w:space="0" w:color="auto"/>
        <w:left w:val="none" w:sz="0" w:space="0" w:color="auto"/>
        <w:bottom w:val="none" w:sz="0" w:space="0" w:color="auto"/>
        <w:right w:val="none" w:sz="0" w:space="0" w:color="auto"/>
      </w:divBdr>
    </w:div>
    <w:div w:id="1709447984">
      <w:bodyDiv w:val="1"/>
      <w:marLeft w:val="0"/>
      <w:marRight w:val="0"/>
      <w:marTop w:val="0"/>
      <w:marBottom w:val="0"/>
      <w:divBdr>
        <w:top w:val="none" w:sz="0" w:space="0" w:color="auto"/>
        <w:left w:val="none" w:sz="0" w:space="0" w:color="auto"/>
        <w:bottom w:val="none" w:sz="0" w:space="0" w:color="auto"/>
        <w:right w:val="none" w:sz="0" w:space="0" w:color="auto"/>
      </w:divBdr>
      <w:divsChild>
        <w:div w:id="2017414666">
          <w:marLeft w:val="0"/>
          <w:marRight w:val="0"/>
          <w:marTop w:val="0"/>
          <w:marBottom w:val="0"/>
          <w:divBdr>
            <w:top w:val="none" w:sz="0" w:space="0" w:color="auto"/>
            <w:left w:val="none" w:sz="0" w:space="0" w:color="auto"/>
            <w:bottom w:val="none" w:sz="0" w:space="0" w:color="auto"/>
            <w:right w:val="none" w:sz="0" w:space="0" w:color="auto"/>
          </w:divBdr>
          <w:divsChild>
            <w:div w:id="1887639570">
              <w:marLeft w:val="0"/>
              <w:marRight w:val="0"/>
              <w:marTop w:val="0"/>
              <w:marBottom w:val="0"/>
              <w:divBdr>
                <w:top w:val="none" w:sz="0" w:space="0" w:color="auto"/>
                <w:left w:val="none" w:sz="0" w:space="0" w:color="auto"/>
                <w:bottom w:val="none" w:sz="0" w:space="0" w:color="auto"/>
                <w:right w:val="none" w:sz="0" w:space="0" w:color="auto"/>
              </w:divBdr>
              <w:divsChild>
                <w:div w:id="880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2022">
      <w:bodyDiv w:val="1"/>
      <w:marLeft w:val="0"/>
      <w:marRight w:val="0"/>
      <w:marTop w:val="0"/>
      <w:marBottom w:val="0"/>
      <w:divBdr>
        <w:top w:val="none" w:sz="0" w:space="0" w:color="auto"/>
        <w:left w:val="none" w:sz="0" w:space="0" w:color="auto"/>
        <w:bottom w:val="none" w:sz="0" w:space="0" w:color="auto"/>
        <w:right w:val="none" w:sz="0" w:space="0" w:color="auto"/>
      </w:divBdr>
    </w:div>
    <w:div w:id="1763334073">
      <w:bodyDiv w:val="1"/>
      <w:marLeft w:val="0"/>
      <w:marRight w:val="0"/>
      <w:marTop w:val="0"/>
      <w:marBottom w:val="0"/>
      <w:divBdr>
        <w:top w:val="none" w:sz="0" w:space="0" w:color="auto"/>
        <w:left w:val="none" w:sz="0" w:space="0" w:color="auto"/>
        <w:bottom w:val="none" w:sz="0" w:space="0" w:color="auto"/>
        <w:right w:val="none" w:sz="0" w:space="0" w:color="auto"/>
      </w:divBdr>
      <w:divsChild>
        <w:div w:id="123085565">
          <w:marLeft w:val="0"/>
          <w:marRight w:val="0"/>
          <w:marTop w:val="0"/>
          <w:marBottom w:val="0"/>
          <w:divBdr>
            <w:top w:val="none" w:sz="0" w:space="0" w:color="auto"/>
            <w:left w:val="none" w:sz="0" w:space="0" w:color="auto"/>
            <w:bottom w:val="none" w:sz="0" w:space="0" w:color="auto"/>
            <w:right w:val="none" w:sz="0" w:space="0" w:color="auto"/>
          </w:divBdr>
          <w:divsChild>
            <w:div w:id="769202768">
              <w:marLeft w:val="0"/>
              <w:marRight w:val="0"/>
              <w:marTop w:val="0"/>
              <w:marBottom w:val="0"/>
              <w:divBdr>
                <w:top w:val="none" w:sz="0" w:space="0" w:color="auto"/>
                <w:left w:val="none" w:sz="0" w:space="0" w:color="auto"/>
                <w:bottom w:val="none" w:sz="0" w:space="0" w:color="auto"/>
                <w:right w:val="none" w:sz="0" w:space="0" w:color="auto"/>
              </w:divBdr>
              <w:divsChild>
                <w:div w:id="6387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7518">
      <w:bodyDiv w:val="1"/>
      <w:marLeft w:val="0"/>
      <w:marRight w:val="0"/>
      <w:marTop w:val="0"/>
      <w:marBottom w:val="0"/>
      <w:divBdr>
        <w:top w:val="none" w:sz="0" w:space="0" w:color="auto"/>
        <w:left w:val="none" w:sz="0" w:space="0" w:color="auto"/>
        <w:bottom w:val="none" w:sz="0" w:space="0" w:color="auto"/>
        <w:right w:val="none" w:sz="0" w:space="0" w:color="auto"/>
      </w:divBdr>
    </w:div>
    <w:div w:id="1860468612">
      <w:bodyDiv w:val="1"/>
      <w:marLeft w:val="0"/>
      <w:marRight w:val="0"/>
      <w:marTop w:val="0"/>
      <w:marBottom w:val="0"/>
      <w:divBdr>
        <w:top w:val="none" w:sz="0" w:space="0" w:color="auto"/>
        <w:left w:val="none" w:sz="0" w:space="0" w:color="auto"/>
        <w:bottom w:val="none" w:sz="0" w:space="0" w:color="auto"/>
        <w:right w:val="none" w:sz="0" w:space="0" w:color="auto"/>
      </w:divBdr>
      <w:divsChild>
        <w:div w:id="813066524">
          <w:marLeft w:val="0"/>
          <w:marRight w:val="0"/>
          <w:marTop w:val="0"/>
          <w:marBottom w:val="0"/>
          <w:divBdr>
            <w:top w:val="none" w:sz="0" w:space="0" w:color="auto"/>
            <w:left w:val="none" w:sz="0" w:space="0" w:color="auto"/>
            <w:bottom w:val="none" w:sz="0" w:space="0" w:color="auto"/>
            <w:right w:val="none" w:sz="0" w:space="0" w:color="auto"/>
          </w:divBdr>
          <w:divsChild>
            <w:div w:id="1406755982">
              <w:marLeft w:val="0"/>
              <w:marRight w:val="0"/>
              <w:marTop w:val="0"/>
              <w:marBottom w:val="0"/>
              <w:divBdr>
                <w:top w:val="none" w:sz="0" w:space="0" w:color="auto"/>
                <w:left w:val="none" w:sz="0" w:space="0" w:color="auto"/>
                <w:bottom w:val="none" w:sz="0" w:space="0" w:color="auto"/>
                <w:right w:val="none" w:sz="0" w:space="0" w:color="auto"/>
              </w:divBdr>
              <w:divsChild>
                <w:div w:id="1208642940">
                  <w:marLeft w:val="0"/>
                  <w:marRight w:val="0"/>
                  <w:marTop w:val="0"/>
                  <w:marBottom w:val="0"/>
                  <w:divBdr>
                    <w:top w:val="none" w:sz="0" w:space="0" w:color="auto"/>
                    <w:left w:val="none" w:sz="0" w:space="0" w:color="auto"/>
                    <w:bottom w:val="none" w:sz="0" w:space="0" w:color="auto"/>
                    <w:right w:val="none" w:sz="0" w:space="0" w:color="auto"/>
                  </w:divBdr>
                  <w:divsChild>
                    <w:div w:id="1837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9839">
      <w:bodyDiv w:val="1"/>
      <w:marLeft w:val="0"/>
      <w:marRight w:val="0"/>
      <w:marTop w:val="0"/>
      <w:marBottom w:val="0"/>
      <w:divBdr>
        <w:top w:val="none" w:sz="0" w:space="0" w:color="auto"/>
        <w:left w:val="none" w:sz="0" w:space="0" w:color="auto"/>
        <w:bottom w:val="none" w:sz="0" w:space="0" w:color="auto"/>
        <w:right w:val="none" w:sz="0" w:space="0" w:color="auto"/>
      </w:divBdr>
    </w:div>
    <w:div w:id="1942225979">
      <w:bodyDiv w:val="1"/>
      <w:marLeft w:val="0"/>
      <w:marRight w:val="0"/>
      <w:marTop w:val="0"/>
      <w:marBottom w:val="0"/>
      <w:divBdr>
        <w:top w:val="none" w:sz="0" w:space="0" w:color="auto"/>
        <w:left w:val="none" w:sz="0" w:space="0" w:color="auto"/>
        <w:bottom w:val="none" w:sz="0" w:space="0" w:color="auto"/>
        <w:right w:val="none" w:sz="0" w:space="0" w:color="auto"/>
      </w:divBdr>
    </w:div>
    <w:div w:id="1952668520">
      <w:bodyDiv w:val="1"/>
      <w:marLeft w:val="0"/>
      <w:marRight w:val="0"/>
      <w:marTop w:val="0"/>
      <w:marBottom w:val="0"/>
      <w:divBdr>
        <w:top w:val="none" w:sz="0" w:space="0" w:color="auto"/>
        <w:left w:val="none" w:sz="0" w:space="0" w:color="auto"/>
        <w:bottom w:val="none" w:sz="0" w:space="0" w:color="auto"/>
        <w:right w:val="none" w:sz="0" w:space="0" w:color="auto"/>
      </w:divBdr>
    </w:div>
    <w:div w:id="1953394471">
      <w:bodyDiv w:val="1"/>
      <w:marLeft w:val="0"/>
      <w:marRight w:val="0"/>
      <w:marTop w:val="0"/>
      <w:marBottom w:val="0"/>
      <w:divBdr>
        <w:top w:val="none" w:sz="0" w:space="0" w:color="auto"/>
        <w:left w:val="none" w:sz="0" w:space="0" w:color="auto"/>
        <w:bottom w:val="none" w:sz="0" w:space="0" w:color="auto"/>
        <w:right w:val="none" w:sz="0" w:space="0" w:color="auto"/>
      </w:divBdr>
    </w:div>
    <w:div w:id="1997298045">
      <w:bodyDiv w:val="1"/>
      <w:marLeft w:val="0"/>
      <w:marRight w:val="0"/>
      <w:marTop w:val="0"/>
      <w:marBottom w:val="0"/>
      <w:divBdr>
        <w:top w:val="none" w:sz="0" w:space="0" w:color="auto"/>
        <w:left w:val="none" w:sz="0" w:space="0" w:color="auto"/>
        <w:bottom w:val="none" w:sz="0" w:space="0" w:color="auto"/>
        <w:right w:val="none" w:sz="0" w:space="0" w:color="auto"/>
      </w:divBdr>
    </w:div>
    <w:div w:id="1999571677">
      <w:bodyDiv w:val="1"/>
      <w:marLeft w:val="0"/>
      <w:marRight w:val="0"/>
      <w:marTop w:val="0"/>
      <w:marBottom w:val="0"/>
      <w:divBdr>
        <w:top w:val="none" w:sz="0" w:space="0" w:color="auto"/>
        <w:left w:val="none" w:sz="0" w:space="0" w:color="auto"/>
        <w:bottom w:val="none" w:sz="0" w:space="0" w:color="auto"/>
        <w:right w:val="none" w:sz="0" w:space="0" w:color="auto"/>
      </w:divBdr>
      <w:divsChild>
        <w:div w:id="598224529">
          <w:marLeft w:val="0"/>
          <w:marRight w:val="0"/>
          <w:marTop w:val="0"/>
          <w:marBottom w:val="0"/>
          <w:divBdr>
            <w:top w:val="none" w:sz="0" w:space="0" w:color="auto"/>
            <w:left w:val="none" w:sz="0" w:space="0" w:color="auto"/>
            <w:bottom w:val="none" w:sz="0" w:space="0" w:color="auto"/>
            <w:right w:val="none" w:sz="0" w:space="0" w:color="auto"/>
          </w:divBdr>
          <w:divsChild>
            <w:div w:id="170997641">
              <w:marLeft w:val="0"/>
              <w:marRight w:val="0"/>
              <w:marTop w:val="0"/>
              <w:marBottom w:val="0"/>
              <w:divBdr>
                <w:top w:val="none" w:sz="0" w:space="0" w:color="auto"/>
                <w:left w:val="none" w:sz="0" w:space="0" w:color="auto"/>
                <w:bottom w:val="none" w:sz="0" w:space="0" w:color="auto"/>
                <w:right w:val="none" w:sz="0" w:space="0" w:color="auto"/>
              </w:divBdr>
              <w:divsChild>
                <w:div w:id="1391342095">
                  <w:marLeft w:val="0"/>
                  <w:marRight w:val="0"/>
                  <w:marTop w:val="0"/>
                  <w:marBottom w:val="0"/>
                  <w:divBdr>
                    <w:top w:val="none" w:sz="0" w:space="0" w:color="auto"/>
                    <w:left w:val="none" w:sz="0" w:space="0" w:color="auto"/>
                    <w:bottom w:val="none" w:sz="0" w:space="0" w:color="auto"/>
                    <w:right w:val="none" w:sz="0" w:space="0" w:color="auto"/>
                  </w:divBdr>
                  <w:divsChild>
                    <w:div w:id="14239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8288">
      <w:bodyDiv w:val="1"/>
      <w:marLeft w:val="0"/>
      <w:marRight w:val="0"/>
      <w:marTop w:val="0"/>
      <w:marBottom w:val="0"/>
      <w:divBdr>
        <w:top w:val="none" w:sz="0" w:space="0" w:color="auto"/>
        <w:left w:val="none" w:sz="0" w:space="0" w:color="auto"/>
        <w:bottom w:val="none" w:sz="0" w:space="0" w:color="auto"/>
        <w:right w:val="none" w:sz="0" w:space="0" w:color="auto"/>
      </w:divBdr>
    </w:div>
    <w:div w:id="2067680467">
      <w:bodyDiv w:val="1"/>
      <w:marLeft w:val="0"/>
      <w:marRight w:val="0"/>
      <w:marTop w:val="0"/>
      <w:marBottom w:val="0"/>
      <w:divBdr>
        <w:top w:val="none" w:sz="0" w:space="0" w:color="auto"/>
        <w:left w:val="none" w:sz="0" w:space="0" w:color="auto"/>
        <w:bottom w:val="none" w:sz="0" w:space="0" w:color="auto"/>
        <w:right w:val="none" w:sz="0" w:space="0" w:color="auto"/>
      </w:divBdr>
      <w:divsChild>
        <w:div w:id="1343163089">
          <w:marLeft w:val="0"/>
          <w:marRight w:val="0"/>
          <w:marTop w:val="0"/>
          <w:marBottom w:val="0"/>
          <w:divBdr>
            <w:top w:val="none" w:sz="0" w:space="0" w:color="auto"/>
            <w:left w:val="none" w:sz="0" w:space="0" w:color="auto"/>
            <w:bottom w:val="none" w:sz="0" w:space="0" w:color="auto"/>
            <w:right w:val="none" w:sz="0" w:space="0" w:color="auto"/>
          </w:divBdr>
          <w:divsChild>
            <w:div w:id="1350907039">
              <w:marLeft w:val="0"/>
              <w:marRight w:val="0"/>
              <w:marTop w:val="0"/>
              <w:marBottom w:val="0"/>
              <w:divBdr>
                <w:top w:val="none" w:sz="0" w:space="0" w:color="auto"/>
                <w:left w:val="none" w:sz="0" w:space="0" w:color="auto"/>
                <w:bottom w:val="none" w:sz="0" w:space="0" w:color="auto"/>
                <w:right w:val="none" w:sz="0" w:space="0" w:color="auto"/>
              </w:divBdr>
              <w:divsChild>
                <w:div w:id="823662742">
                  <w:marLeft w:val="0"/>
                  <w:marRight w:val="0"/>
                  <w:marTop w:val="0"/>
                  <w:marBottom w:val="0"/>
                  <w:divBdr>
                    <w:top w:val="none" w:sz="0" w:space="0" w:color="auto"/>
                    <w:left w:val="none" w:sz="0" w:space="0" w:color="auto"/>
                    <w:bottom w:val="none" w:sz="0" w:space="0" w:color="auto"/>
                    <w:right w:val="none" w:sz="0" w:space="0" w:color="auto"/>
                  </w:divBdr>
                  <w:divsChild>
                    <w:div w:id="20301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38463">
      <w:bodyDiv w:val="1"/>
      <w:marLeft w:val="0"/>
      <w:marRight w:val="0"/>
      <w:marTop w:val="0"/>
      <w:marBottom w:val="0"/>
      <w:divBdr>
        <w:top w:val="none" w:sz="0" w:space="0" w:color="auto"/>
        <w:left w:val="none" w:sz="0" w:space="0" w:color="auto"/>
        <w:bottom w:val="none" w:sz="0" w:space="0" w:color="auto"/>
        <w:right w:val="none" w:sz="0" w:space="0" w:color="auto"/>
      </w:divBdr>
    </w:div>
    <w:div w:id="21469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093/reseval/rvz003" TargetMode="External"/><Relationship Id="rId12" Type="http://schemas.openxmlformats.org/officeDocument/2006/relationships/hyperlink" Target="https://publications.parliament.uk/pa/cm200405/cmselect/cmsctech/219/219we01.htm" TargetMode="External"/><Relationship Id="rId13" Type="http://schemas.openxmlformats.org/officeDocument/2006/relationships/hyperlink" Target="http://vsnu.nl/files/documenten/Domeinen/Onderzoek/SEP%202003-2009%20archief.pdf"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e.williams@york.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DBBD-9420-1949-BE92-63F7937E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11141</Words>
  <Characters>63509</Characters>
  <Application>Microsoft Macintosh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Williams</dc:creator>
  <cp:keywords/>
  <dc:description/>
  <cp:lastModifiedBy>Kate Williams</cp:lastModifiedBy>
  <cp:revision>21</cp:revision>
  <dcterms:created xsi:type="dcterms:W3CDTF">2019-12-30T16:51:00Z</dcterms:created>
  <dcterms:modified xsi:type="dcterms:W3CDTF">2020-01-06T11:49:00Z</dcterms:modified>
</cp:coreProperties>
</file>