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AAB" w:rsidRDefault="00DE01E2" w:rsidP="00A349DB">
      <w:pPr>
        <w:rPr>
          <w:b/>
        </w:rPr>
      </w:pPr>
      <w:bookmarkStart w:id="0" w:name="_Ref486236038"/>
      <w:bookmarkStart w:id="1" w:name="_Ref485997448"/>
      <w:r w:rsidRPr="00D844CF">
        <w:rPr>
          <w:b/>
        </w:rPr>
        <w:t>Recognition of the need for palliative care among non-cancer conditions</w:t>
      </w:r>
      <w:r w:rsidR="00A349DB">
        <w:rPr>
          <w:b/>
        </w:rPr>
        <w:t xml:space="preserve"> in primary care</w:t>
      </w:r>
      <w:r w:rsidRPr="00D844CF">
        <w:rPr>
          <w:b/>
        </w:rPr>
        <w:t>: a time trend analysis</w:t>
      </w:r>
      <w:r w:rsidR="00A349DB">
        <w:rPr>
          <w:b/>
        </w:rPr>
        <w:t xml:space="preserve"> in the United Kingdom (2009-2014)</w:t>
      </w:r>
    </w:p>
    <w:p w:rsidR="009C23EB" w:rsidRPr="00323AAB" w:rsidRDefault="009C23EB" w:rsidP="00641DA6">
      <w:pPr>
        <w:rPr>
          <w:b/>
        </w:rPr>
      </w:pPr>
    </w:p>
    <w:p w:rsidR="00A773E5" w:rsidRDefault="007D5AD8" w:rsidP="007D5AD8">
      <w:r>
        <w:t xml:space="preserve">Amy Gadoud, </w:t>
      </w:r>
      <w:r w:rsidR="00E63913">
        <w:t xml:space="preserve">Eleanor Kane, </w:t>
      </w:r>
      <w:r>
        <w:t>Ste</w:t>
      </w:r>
      <w:r w:rsidR="005A0EEE">
        <w:t xml:space="preserve">ven </w:t>
      </w:r>
      <w:r w:rsidR="0075682F">
        <w:t xml:space="preserve">Edward </w:t>
      </w:r>
      <w:r>
        <w:t xml:space="preserve">Oliver, Miriam Johnson, Una </w:t>
      </w:r>
      <w:r w:rsidR="0051294D">
        <w:t>Macleod</w:t>
      </w:r>
      <w:r w:rsidR="005A0EEE">
        <w:t>,</w:t>
      </w:r>
      <w:r>
        <w:t xml:space="preserve"> </w:t>
      </w:r>
      <w:r w:rsidR="002D145D" w:rsidRPr="002D145D">
        <w:t xml:space="preserve">Victoria </w:t>
      </w:r>
      <w:proofErr w:type="spellStart"/>
      <w:r w:rsidR="002D145D" w:rsidRPr="002D145D">
        <w:t>Allgar</w:t>
      </w:r>
      <w:proofErr w:type="spellEnd"/>
    </w:p>
    <w:p w:rsidR="007D5AD8" w:rsidRDefault="007D5AD8" w:rsidP="007D5AD8"/>
    <w:p w:rsidR="007D5AD8" w:rsidRDefault="007D5AD8" w:rsidP="007D5AD8">
      <w:r>
        <w:t>Affiliations</w:t>
      </w:r>
    </w:p>
    <w:p w:rsidR="007D5AD8" w:rsidRDefault="007D5AD8" w:rsidP="007D5AD8">
      <w:r>
        <w:t>International Observatory on End of Life Care, Division of Health Research C83, Lancaster University, Lancaster</w:t>
      </w:r>
      <w:r w:rsidR="00850615">
        <w:t>, UK</w:t>
      </w:r>
      <w:r>
        <w:t xml:space="preserve"> (AG).</w:t>
      </w:r>
    </w:p>
    <w:p w:rsidR="007D5AD8" w:rsidRDefault="007D5AD8" w:rsidP="007D5AD8">
      <w:r>
        <w:t>Hull</w:t>
      </w:r>
      <w:r w:rsidR="0075682F">
        <w:t xml:space="preserve"> </w:t>
      </w:r>
      <w:r>
        <w:t>York Medical School</w:t>
      </w:r>
      <w:r w:rsidR="0051294D">
        <w:t>, University of York</w:t>
      </w:r>
      <w:r>
        <w:t xml:space="preserve"> (VA, SO)</w:t>
      </w:r>
    </w:p>
    <w:p w:rsidR="0051294D" w:rsidRDefault="0051294D" w:rsidP="007D5AD8">
      <w:r>
        <w:t>Hull York Medical School, University of Hull (UM)</w:t>
      </w:r>
    </w:p>
    <w:p w:rsidR="00323AAB" w:rsidRDefault="00323AAB" w:rsidP="007D5AD8">
      <w:r>
        <w:t xml:space="preserve">Wolfson Palliative Care Research Centre, Hull York Medical School, University of Hull (MJ) </w:t>
      </w:r>
    </w:p>
    <w:p w:rsidR="007D5AD8" w:rsidRDefault="007D5AD8" w:rsidP="007D5AD8">
      <w:pPr>
        <w:rPr>
          <w:color w:val="500050"/>
          <w:sz w:val="19"/>
          <w:szCs w:val="19"/>
        </w:rPr>
      </w:pPr>
      <w:r>
        <w:t>Department of Health Sciences, University of York, York</w:t>
      </w:r>
      <w:r w:rsidR="00850615">
        <w:t>, UK</w:t>
      </w:r>
      <w:r>
        <w:t xml:space="preserve"> (</w:t>
      </w:r>
      <w:r w:rsidR="005A0EEE">
        <w:t xml:space="preserve">VA, </w:t>
      </w:r>
      <w:r>
        <w:t>SO, EK)</w:t>
      </w:r>
    </w:p>
    <w:p w:rsidR="007D5AD8" w:rsidRDefault="007D5AD8" w:rsidP="007D5AD8"/>
    <w:p w:rsidR="007D5AD8" w:rsidRDefault="007D5AD8" w:rsidP="007D5AD8">
      <w:r>
        <w:t>Author for Correspondence</w:t>
      </w:r>
    </w:p>
    <w:p w:rsidR="007D5AD8" w:rsidRDefault="007D5AD8" w:rsidP="00C43850">
      <w:r>
        <w:t>Amy Gadoud</w:t>
      </w:r>
    </w:p>
    <w:p w:rsidR="007D5AD8" w:rsidRDefault="007D5AD8" w:rsidP="00C43850">
      <w:r>
        <w:t xml:space="preserve">International Observatory on End of Life Care, </w:t>
      </w:r>
    </w:p>
    <w:p w:rsidR="007D5AD8" w:rsidRDefault="007D5AD8" w:rsidP="00C43850">
      <w:r>
        <w:t xml:space="preserve">Division of Health Research C83, </w:t>
      </w:r>
    </w:p>
    <w:p w:rsidR="007D5AD8" w:rsidRDefault="007D5AD8" w:rsidP="00C43850">
      <w:r>
        <w:t xml:space="preserve">Furness Building, </w:t>
      </w:r>
    </w:p>
    <w:p w:rsidR="00C43850" w:rsidRDefault="007D5AD8" w:rsidP="00C43850">
      <w:r>
        <w:t xml:space="preserve">Lancaster University, </w:t>
      </w:r>
    </w:p>
    <w:p w:rsidR="00C43850" w:rsidRDefault="007D5AD8" w:rsidP="00C43850">
      <w:proofErr w:type="spellStart"/>
      <w:r>
        <w:t>Bailrigg</w:t>
      </w:r>
      <w:proofErr w:type="spellEnd"/>
      <w:r>
        <w:t xml:space="preserve">, </w:t>
      </w:r>
    </w:p>
    <w:p w:rsidR="007D5AD8" w:rsidRPr="00A349DB" w:rsidRDefault="00A71F85" w:rsidP="00C43850">
      <w:pPr>
        <w:rPr>
          <w:color w:val="500050"/>
          <w:sz w:val="19"/>
          <w:szCs w:val="19"/>
          <w:lang w:val="it-IT"/>
        </w:rPr>
      </w:pPr>
      <w:r w:rsidRPr="00A71F85">
        <w:rPr>
          <w:lang w:val="it-IT"/>
        </w:rPr>
        <w:t>Lancaster, LA1 4YG.</w:t>
      </w:r>
    </w:p>
    <w:p w:rsidR="007D5AD8" w:rsidRPr="00A349DB" w:rsidRDefault="00445458" w:rsidP="007D5AD8">
      <w:pPr>
        <w:shd w:val="clear" w:color="auto" w:fill="FFFFFF"/>
        <w:rPr>
          <w:rFonts w:cstheme="minorHAnsi"/>
          <w:color w:val="500050"/>
          <w:lang w:val="it-IT"/>
        </w:rPr>
      </w:pPr>
      <w:hyperlink r:id="rId8" w:tgtFrame="_blank" w:history="1">
        <w:r w:rsidR="00A71F85" w:rsidRPr="00A71F85">
          <w:rPr>
            <w:rStyle w:val="Hyperlink"/>
            <w:rFonts w:cstheme="minorHAnsi"/>
            <w:color w:val="1155CC"/>
            <w:lang w:val="it-IT"/>
          </w:rPr>
          <w:t>a.gadoud@lancaster.ac.uk</w:t>
        </w:r>
      </w:hyperlink>
      <w:r w:rsidR="00A71F85" w:rsidRPr="00A71F85">
        <w:rPr>
          <w:rFonts w:cstheme="minorHAnsi"/>
          <w:color w:val="1F497D"/>
          <w:lang w:val="it-IT"/>
        </w:rPr>
        <w:t>  </w:t>
      </w:r>
    </w:p>
    <w:p w:rsidR="007D5AD8" w:rsidRPr="00A349DB" w:rsidRDefault="007D5AD8" w:rsidP="007D5AD8">
      <w:pPr>
        <w:rPr>
          <w:lang w:val="it-IT"/>
        </w:rPr>
      </w:pPr>
    </w:p>
    <w:p w:rsidR="0018176D" w:rsidRDefault="00580554" w:rsidP="00590FD9">
      <w:pPr>
        <w:pStyle w:val="Heading2"/>
        <w:sectPr w:rsidR="0018176D" w:rsidSect="00723F63">
          <w:footerReference w:type="default" r:id="rId9"/>
          <w:pgSz w:w="11906" w:h="16838"/>
          <w:pgMar w:top="1440" w:right="1440" w:bottom="1440" w:left="1440" w:header="708" w:footer="708" w:gutter="0"/>
          <w:cols w:space="708"/>
          <w:docGrid w:linePitch="360"/>
        </w:sectPr>
      </w:pPr>
      <w:r>
        <w:t xml:space="preserve">Word Count: </w:t>
      </w:r>
      <w:r w:rsidR="00D53082">
        <w:t>currently 2</w:t>
      </w:r>
      <w:r w:rsidR="003A3978">
        <w:t>948</w:t>
      </w:r>
      <w:r>
        <w:t xml:space="preserve"> words</w:t>
      </w:r>
    </w:p>
    <w:p w:rsidR="0018176D" w:rsidRDefault="0018176D" w:rsidP="00590FD9">
      <w:pPr>
        <w:pStyle w:val="Heading2"/>
      </w:pPr>
      <w:r>
        <w:lastRenderedPageBreak/>
        <w:t>Abstract</w:t>
      </w:r>
      <w:r w:rsidR="00183162">
        <w:t xml:space="preserve"> </w:t>
      </w:r>
      <w:r w:rsidR="00704760">
        <w:t>(2</w:t>
      </w:r>
      <w:r w:rsidR="00302043">
        <w:t>5</w:t>
      </w:r>
      <w:r w:rsidR="00C227D9">
        <w:t>0</w:t>
      </w:r>
      <w:r w:rsidR="00704760">
        <w:t xml:space="preserve"> words)</w:t>
      </w:r>
    </w:p>
    <w:p w:rsidR="00D33F62" w:rsidRDefault="00E36C01" w:rsidP="00E64A7E">
      <w:pPr>
        <w:rPr>
          <w:b/>
        </w:rPr>
      </w:pPr>
      <w:r>
        <w:rPr>
          <w:b/>
        </w:rPr>
        <w:t>Objectives</w:t>
      </w:r>
    </w:p>
    <w:p w:rsidR="004D2E0E" w:rsidRDefault="00960A24" w:rsidP="00E64A7E">
      <w:r>
        <w:t>Whilst g</w:t>
      </w:r>
      <w:r w:rsidR="00E03357" w:rsidRPr="00E03357">
        <w:t xml:space="preserve">uidelines </w:t>
      </w:r>
      <w:r w:rsidR="00E03357">
        <w:t xml:space="preserve">recommend </w:t>
      </w:r>
      <w:r w:rsidR="00E03357" w:rsidRPr="00E03357">
        <w:t xml:space="preserve">palliative care in </w:t>
      </w:r>
      <w:r w:rsidR="00E03357">
        <w:t>non-</w:t>
      </w:r>
      <w:r w:rsidR="00E03357" w:rsidRPr="00E03357">
        <w:t>cancer</w:t>
      </w:r>
      <w:r w:rsidR="00E03357">
        <w:t xml:space="preserve"> conditions</w:t>
      </w:r>
      <w:r w:rsidR="00E03357" w:rsidRPr="00E03357">
        <w:t>, this has not been widely implemented.</w:t>
      </w:r>
      <w:r w:rsidR="00E36C01">
        <w:t xml:space="preserve"> We </w:t>
      </w:r>
      <w:r w:rsidR="00B4436B">
        <w:t>examined</w:t>
      </w:r>
      <w:r w:rsidR="00B4436B" w:rsidRPr="00C728FA">
        <w:t xml:space="preserve"> </w:t>
      </w:r>
      <w:r w:rsidR="004D2E0E" w:rsidRPr="00C728FA">
        <w:t xml:space="preserve">whether the </w:t>
      </w:r>
      <w:r w:rsidR="004D2E0E">
        <w:t xml:space="preserve">recording of </w:t>
      </w:r>
      <w:r w:rsidR="00C357A5">
        <w:t xml:space="preserve">a </w:t>
      </w:r>
      <w:r w:rsidR="004D2E0E" w:rsidRPr="00C728FA">
        <w:t xml:space="preserve">palliative care </w:t>
      </w:r>
      <w:r w:rsidR="004D2E0E">
        <w:t xml:space="preserve">approach </w:t>
      </w:r>
      <w:r w:rsidR="00457833">
        <w:t xml:space="preserve">and </w:t>
      </w:r>
      <w:r w:rsidR="00BE0EFA">
        <w:t xml:space="preserve">the numbers of hospital </w:t>
      </w:r>
      <w:r w:rsidR="00457833">
        <w:t>deaths</w:t>
      </w:r>
      <w:r w:rsidR="004D2E0E" w:rsidRPr="00C728FA">
        <w:t xml:space="preserve"> for</w:t>
      </w:r>
      <w:r w:rsidR="00E469A6">
        <w:t xml:space="preserve"> deceased</w:t>
      </w:r>
      <w:r w:rsidR="004D2E0E" w:rsidRPr="00C728FA">
        <w:t xml:space="preserve"> patients</w:t>
      </w:r>
      <w:r w:rsidR="004D2E0E">
        <w:t xml:space="preserve"> with heart failure, dementia</w:t>
      </w:r>
      <w:r w:rsidR="00E768C5">
        <w:t xml:space="preserve">, </w:t>
      </w:r>
      <w:r w:rsidR="00E469A6">
        <w:t>chronic obstructive pulmonary disease (</w:t>
      </w:r>
      <w:r w:rsidR="004D2E0E">
        <w:t>COPD</w:t>
      </w:r>
      <w:r w:rsidR="00E469A6">
        <w:t>)</w:t>
      </w:r>
      <w:r w:rsidR="00E768C5">
        <w:t xml:space="preserve"> and cancer</w:t>
      </w:r>
      <w:r w:rsidR="009B6F78">
        <w:t xml:space="preserve"> ha</w:t>
      </w:r>
      <w:r w:rsidR="004C6EFF">
        <w:t>ve</w:t>
      </w:r>
      <w:r w:rsidR="004D2E0E" w:rsidRPr="00C728FA">
        <w:t xml:space="preserve"> </w:t>
      </w:r>
      <w:r w:rsidR="004D2E0E">
        <w:t xml:space="preserve">changed since </w:t>
      </w:r>
      <w:r w:rsidR="004D2E0E" w:rsidRPr="004D2E0E">
        <w:t xml:space="preserve">the UK </w:t>
      </w:r>
      <w:r w:rsidR="009B6F78">
        <w:t>E</w:t>
      </w:r>
      <w:r w:rsidR="004D2E0E" w:rsidRPr="004D2E0E">
        <w:t xml:space="preserve">nd of </w:t>
      </w:r>
      <w:r w:rsidR="009B6F78">
        <w:t>L</w:t>
      </w:r>
      <w:r w:rsidR="004D2E0E" w:rsidRPr="004D2E0E">
        <w:t xml:space="preserve">ife </w:t>
      </w:r>
      <w:r w:rsidR="009B6F78">
        <w:t>C</w:t>
      </w:r>
      <w:r w:rsidR="004D2E0E" w:rsidRPr="004D2E0E">
        <w:t xml:space="preserve">are </w:t>
      </w:r>
      <w:r w:rsidR="009B6F78">
        <w:t>S</w:t>
      </w:r>
      <w:r w:rsidR="004D2E0E" w:rsidRPr="004D2E0E">
        <w:t>trategy</w:t>
      </w:r>
      <w:r w:rsidR="00656B09">
        <w:t xml:space="preserve"> was introduced</w:t>
      </w:r>
      <w:r w:rsidR="00DB4B65">
        <w:t>.</w:t>
      </w:r>
    </w:p>
    <w:p w:rsidR="00393D7D" w:rsidRPr="004D2E0E" w:rsidRDefault="00E36C01" w:rsidP="00E64A7E">
      <w:pPr>
        <w:rPr>
          <w:b/>
        </w:rPr>
      </w:pPr>
      <w:r>
        <w:rPr>
          <w:b/>
        </w:rPr>
        <w:t>Methods</w:t>
      </w:r>
    </w:p>
    <w:p w:rsidR="00DB4B65" w:rsidRPr="00D33F62" w:rsidRDefault="00E36C01" w:rsidP="00E64A7E">
      <w:r w:rsidRPr="00D96F27">
        <w:t>We conducted s</w:t>
      </w:r>
      <w:r w:rsidR="0075682F" w:rsidRPr="00D96F27">
        <w:t>equential c</w:t>
      </w:r>
      <w:r w:rsidR="00E469A6" w:rsidRPr="00D96F27">
        <w:t>ross-sectional stud</w:t>
      </w:r>
      <w:r w:rsidR="0075682F" w:rsidRPr="00B4436B">
        <w:t>ies</w:t>
      </w:r>
      <w:r w:rsidR="00E469A6" w:rsidRPr="00B4436B">
        <w:t xml:space="preserve"> </w:t>
      </w:r>
      <w:r w:rsidR="00CB6344">
        <w:t xml:space="preserve">of decedents </w:t>
      </w:r>
      <w:r w:rsidR="0075682F" w:rsidRPr="00B4436B">
        <w:t xml:space="preserve">within the </w:t>
      </w:r>
      <w:r w:rsidR="00DF1398" w:rsidRPr="00B4436B">
        <w:t>UK’s Clinical Practice Research Datalink</w:t>
      </w:r>
      <w:r w:rsidR="00DF1398" w:rsidRPr="00B4436B">
        <w:rPr>
          <w:lang w:eastAsia="en-GB"/>
        </w:rPr>
        <w:t xml:space="preserve"> </w:t>
      </w:r>
      <w:r w:rsidR="00A47206" w:rsidRPr="00B4436B">
        <w:rPr>
          <w:lang w:eastAsia="en-GB"/>
        </w:rPr>
        <w:t>and Hospital Episode Statistics.</w:t>
      </w:r>
      <w:r w:rsidRPr="00B4436B">
        <w:rPr>
          <w:lang w:eastAsia="en-GB"/>
        </w:rPr>
        <w:t xml:space="preserve"> </w:t>
      </w:r>
      <w:r w:rsidR="00CB6344">
        <w:rPr>
          <w:lang w:eastAsia="en-GB"/>
        </w:rPr>
        <w:t xml:space="preserve"> </w:t>
      </w:r>
      <w:r w:rsidR="00014736" w:rsidRPr="000539CB">
        <w:rPr>
          <w:lang w:eastAsia="en-GB"/>
        </w:rPr>
        <w:t>All a</w:t>
      </w:r>
      <w:r w:rsidR="00992DB3" w:rsidRPr="00D96F27">
        <w:rPr>
          <w:lang w:eastAsia="en-GB"/>
        </w:rPr>
        <w:t>dults</w:t>
      </w:r>
      <w:r w:rsidR="003B548D" w:rsidRPr="00D96F27">
        <w:rPr>
          <w:lang w:eastAsia="en-GB"/>
        </w:rPr>
        <w:t xml:space="preserve"> </w:t>
      </w:r>
      <w:r w:rsidR="00B4436B">
        <w:rPr>
          <w:lang w:eastAsia="en-GB"/>
        </w:rPr>
        <w:t>with</w:t>
      </w:r>
      <w:r w:rsidR="003B548D" w:rsidRPr="00D96F27">
        <w:rPr>
          <w:lang w:eastAsia="en-GB"/>
        </w:rPr>
        <w:t xml:space="preserve"> </w:t>
      </w:r>
      <w:r w:rsidR="00C227D9">
        <w:rPr>
          <w:lang w:eastAsia="en-GB"/>
        </w:rPr>
        <w:t>a</w:t>
      </w:r>
      <w:r w:rsidR="003B548D" w:rsidRPr="00D96F27">
        <w:rPr>
          <w:lang w:eastAsia="en-GB"/>
        </w:rPr>
        <w:t xml:space="preserve"> primary care record of COPD</w:t>
      </w:r>
      <w:r w:rsidR="004271E6">
        <w:rPr>
          <w:lang w:eastAsia="en-GB"/>
        </w:rPr>
        <w:t xml:space="preserve"> (N=5</w:t>
      </w:r>
      <w:r w:rsidR="009959C4">
        <w:rPr>
          <w:lang w:eastAsia="en-GB"/>
        </w:rPr>
        <w:t>,</w:t>
      </w:r>
      <w:r w:rsidR="004271E6">
        <w:rPr>
          <w:lang w:eastAsia="en-GB"/>
        </w:rPr>
        <w:t>426)</w:t>
      </w:r>
      <w:r w:rsidR="003B548D" w:rsidRPr="00D96F27">
        <w:rPr>
          <w:lang w:eastAsia="en-GB"/>
        </w:rPr>
        <w:t>, dementia</w:t>
      </w:r>
      <w:r w:rsidR="004271E6">
        <w:rPr>
          <w:lang w:eastAsia="en-GB"/>
        </w:rPr>
        <w:t xml:space="preserve"> (N=7</w:t>
      </w:r>
      <w:r w:rsidR="009959C4">
        <w:rPr>
          <w:lang w:eastAsia="en-GB"/>
        </w:rPr>
        <w:t>,</w:t>
      </w:r>
      <w:r w:rsidR="004271E6">
        <w:rPr>
          <w:lang w:eastAsia="en-GB"/>
        </w:rPr>
        <w:t>339)</w:t>
      </w:r>
      <w:r w:rsidR="003B548D" w:rsidRPr="00D96F27">
        <w:rPr>
          <w:lang w:eastAsia="en-GB"/>
        </w:rPr>
        <w:t>, heart failure</w:t>
      </w:r>
      <w:r w:rsidR="004271E6">
        <w:rPr>
          <w:lang w:eastAsia="en-GB"/>
        </w:rPr>
        <w:t xml:space="preserve"> (N=6</w:t>
      </w:r>
      <w:r w:rsidR="009959C4">
        <w:rPr>
          <w:lang w:eastAsia="en-GB"/>
        </w:rPr>
        <w:t>,</w:t>
      </w:r>
      <w:r w:rsidR="004271E6">
        <w:rPr>
          <w:lang w:eastAsia="en-GB"/>
        </w:rPr>
        <w:t>409)</w:t>
      </w:r>
      <w:r w:rsidR="003B548D" w:rsidRPr="00D96F27">
        <w:rPr>
          <w:lang w:eastAsia="en-GB"/>
        </w:rPr>
        <w:t xml:space="preserve"> or cancer </w:t>
      </w:r>
      <w:r w:rsidR="004271E6">
        <w:rPr>
          <w:lang w:eastAsia="en-GB"/>
        </w:rPr>
        <w:t>(N=18</w:t>
      </w:r>
      <w:r w:rsidR="009959C4">
        <w:rPr>
          <w:lang w:eastAsia="en-GB"/>
        </w:rPr>
        <w:t>,</w:t>
      </w:r>
      <w:r w:rsidR="004271E6">
        <w:rPr>
          <w:lang w:eastAsia="en-GB"/>
        </w:rPr>
        <w:t xml:space="preserve">668) </w:t>
      </w:r>
      <w:r w:rsidR="00A47206" w:rsidRPr="00B4436B">
        <w:rPr>
          <w:lang w:eastAsia="en-GB"/>
        </w:rPr>
        <w:t xml:space="preserve">who died during </w:t>
      </w:r>
      <w:r w:rsidR="0075682F" w:rsidRPr="00B4436B">
        <w:rPr>
          <w:lang w:eastAsia="en-GB"/>
        </w:rPr>
        <w:t>three one-year periods (</w:t>
      </w:r>
      <w:r w:rsidR="00A47206" w:rsidRPr="00B4436B">
        <w:rPr>
          <w:lang w:eastAsia="en-GB"/>
        </w:rPr>
        <w:t>April 2009</w:t>
      </w:r>
      <w:r w:rsidR="00014736" w:rsidRPr="000539CB">
        <w:rPr>
          <w:lang w:eastAsia="en-GB"/>
        </w:rPr>
        <w:t>-</w:t>
      </w:r>
      <w:r w:rsidR="00A47206" w:rsidRPr="00D96F27">
        <w:rPr>
          <w:lang w:eastAsia="en-GB"/>
        </w:rPr>
        <w:t>March 2014</w:t>
      </w:r>
      <w:r w:rsidR="00014736" w:rsidRPr="000539CB">
        <w:rPr>
          <w:lang w:eastAsia="en-GB"/>
        </w:rPr>
        <w:t>) were included</w:t>
      </w:r>
      <w:r w:rsidR="00A47206" w:rsidRPr="00D96F27">
        <w:rPr>
          <w:lang w:eastAsia="en-GB"/>
        </w:rPr>
        <w:t>.</w:t>
      </w:r>
      <w:r w:rsidR="00B4436B" w:rsidRPr="00D96F27">
        <w:rPr>
          <w:lang w:eastAsia="en-GB"/>
        </w:rPr>
        <w:t xml:space="preserve"> Evidence of a palliative care approach was identified</w:t>
      </w:r>
      <w:r w:rsidR="00B4436B" w:rsidRPr="00B4436B">
        <w:rPr>
          <w:lang w:eastAsia="en-GB"/>
        </w:rPr>
        <w:t xml:space="preserve"> from primary care record</w:t>
      </w:r>
      <w:r w:rsidR="00656B09">
        <w:rPr>
          <w:lang w:eastAsia="en-GB"/>
        </w:rPr>
        <w:t>s</w:t>
      </w:r>
      <w:r w:rsidR="00CB6344">
        <w:rPr>
          <w:lang w:eastAsia="en-GB"/>
        </w:rPr>
        <w:t>, and death in hospital from secondary care data</w:t>
      </w:r>
      <w:r w:rsidR="00B4436B" w:rsidRPr="00B4436B">
        <w:rPr>
          <w:lang w:eastAsia="en-GB"/>
        </w:rPr>
        <w:t>.</w:t>
      </w:r>
      <w:r w:rsidR="00B4436B">
        <w:rPr>
          <w:lang w:eastAsia="en-GB"/>
        </w:rPr>
        <w:t xml:space="preserve">  </w:t>
      </w:r>
    </w:p>
    <w:p w:rsidR="00393D7D" w:rsidRDefault="00393D7D" w:rsidP="00E64A7E">
      <w:pPr>
        <w:rPr>
          <w:b/>
        </w:rPr>
      </w:pPr>
      <w:r w:rsidRPr="004D2E0E">
        <w:rPr>
          <w:b/>
        </w:rPr>
        <w:t>Results</w:t>
      </w:r>
    </w:p>
    <w:p w:rsidR="00C357A5" w:rsidRPr="00C357A5" w:rsidRDefault="00D267B6" w:rsidP="00E64A7E">
      <w:r>
        <w:t xml:space="preserve">From 2009 to 2014, </w:t>
      </w:r>
      <w:r w:rsidR="00C357A5" w:rsidRPr="00C357A5">
        <w:t>proportion</w:t>
      </w:r>
      <w:r w:rsidR="00031623">
        <w:t>s</w:t>
      </w:r>
      <w:r w:rsidR="00C357A5" w:rsidRPr="00C357A5">
        <w:t xml:space="preserve"> </w:t>
      </w:r>
      <w:r w:rsidR="00C35898">
        <w:t>with a primary care record of</w:t>
      </w:r>
      <w:r w:rsidR="00CB6344">
        <w:t xml:space="preserve"> </w:t>
      </w:r>
      <w:r w:rsidR="00C357A5" w:rsidRPr="00C357A5">
        <w:t>palliative care increased</w:t>
      </w:r>
      <w:r w:rsidR="004C6EFF">
        <w:t xml:space="preserve"> </w:t>
      </w:r>
      <w:r w:rsidR="0075682F" w:rsidRPr="00C357A5">
        <w:t>for</w:t>
      </w:r>
      <w:r w:rsidR="0075682F">
        <w:t xml:space="preserve"> </w:t>
      </w:r>
      <w:r w:rsidR="0075682F" w:rsidRPr="00C357A5">
        <w:t>COPD</w:t>
      </w:r>
      <w:r w:rsidR="0075682F">
        <w:t xml:space="preserve"> </w:t>
      </w:r>
      <w:r w:rsidR="00EE3EA0">
        <w:t>from</w:t>
      </w:r>
      <w:r w:rsidR="00B969A5">
        <w:t xml:space="preserve"> 13.6% to 21.2%;</w:t>
      </w:r>
      <w:r w:rsidR="0075682F" w:rsidRPr="0075682F">
        <w:t xml:space="preserve"> </w:t>
      </w:r>
      <w:r w:rsidR="0075682F" w:rsidRPr="00C357A5">
        <w:t>dementia</w:t>
      </w:r>
      <w:r w:rsidR="0075682F">
        <w:t xml:space="preserve"> </w:t>
      </w:r>
      <w:r w:rsidR="00EE3EA0">
        <w:t>from</w:t>
      </w:r>
      <w:r w:rsidR="004C6EFF">
        <w:t xml:space="preserve"> </w:t>
      </w:r>
      <w:r w:rsidR="00B969A5">
        <w:t>20.9% to 40.7%</w:t>
      </w:r>
      <w:r w:rsidR="00CB6344">
        <w:t>;</w:t>
      </w:r>
      <w:r w:rsidR="00E03357">
        <w:t xml:space="preserve"> and </w:t>
      </w:r>
      <w:r w:rsidR="0054064D">
        <w:t xml:space="preserve">heart failure </w:t>
      </w:r>
      <w:r w:rsidR="00EE3EA0">
        <w:t xml:space="preserve">from </w:t>
      </w:r>
      <w:r w:rsidR="00B969A5">
        <w:t>12.6% to 21.2%</w:t>
      </w:r>
      <w:r w:rsidR="00656B09">
        <w:t>; but</w:t>
      </w:r>
      <w:r w:rsidR="004C6EFF">
        <w:t xml:space="preserve"> </w:t>
      </w:r>
      <w:r w:rsidR="0054064D">
        <w:t xml:space="preserve">remained </w:t>
      </w:r>
      <w:r w:rsidR="00CB6344">
        <w:t xml:space="preserve">substantially </w:t>
      </w:r>
      <w:r w:rsidR="0054064D">
        <w:t>lower</w:t>
      </w:r>
      <w:r w:rsidR="00CD3C5A">
        <w:t xml:space="preserve"> </w:t>
      </w:r>
      <w:r w:rsidR="00EE3EA0">
        <w:t xml:space="preserve">than </w:t>
      </w:r>
      <w:r w:rsidR="00302043">
        <w:t>for</w:t>
      </w:r>
      <w:r w:rsidR="0054064D">
        <w:t xml:space="preserve"> </w:t>
      </w:r>
      <w:r w:rsidR="00D00D13">
        <w:t xml:space="preserve">cancer </w:t>
      </w:r>
      <w:r w:rsidR="0054064D">
        <w:t>(</w:t>
      </w:r>
      <w:r w:rsidR="00CD3C5A">
        <w:t>57.6% to 61.9%</w:t>
      </w:r>
      <w:r w:rsidR="0054064D">
        <w:t>)</w:t>
      </w:r>
      <w:r w:rsidR="00E03357">
        <w:t xml:space="preserve">. </w:t>
      </w:r>
      <w:r w:rsidR="00CB6344">
        <w:t xml:space="preserve"> </w:t>
      </w:r>
      <w:r w:rsidR="00302043">
        <w:t>Median days before death of r</w:t>
      </w:r>
      <w:r w:rsidR="008A491D">
        <w:t xml:space="preserve">ecording </w:t>
      </w:r>
      <w:r w:rsidR="00302043">
        <w:t xml:space="preserve">improved </w:t>
      </w:r>
      <w:r w:rsidR="008A491D">
        <w:t>for COPD (</w:t>
      </w:r>
      <w:r w:rsidR="000D655A">
        <w:t>145 to 224</w:t>
      </w:r>
      <w:r w:rsidR="008A491D">
        <w:t>) and dementia (</w:t>
      </w:r>
      <w:r w:rsidR="000D655A">
        <w:t>44 to 209</w:t>
      </w:r>
      <w:r w:rsidR="008A491D">
        <w:t>);</w:t>
      </w:r>
      <w:r w:rsidR="00302043">
        <w:t xml:space="preserve"> but </w:t>
      </w:r>
      <w:r w:rsidR="00566651">
        <w:t>not</w:t>
      </w:r>
      <w:r w:rsidR="00302043">
        <w:t xml:space="preserve"> f</w:t>
      </w:r>
      <w:r w:rsidR="008A491D">
        <w:t>or heart failure (</w:t>
      </w:r>
      <w:r w:rsidR="000D655A">
        <w:t>168.5 to 153</w:t>
      </w:r>
      <w:r w:rsidR="008A491D">
        <w:t>)</w:t>
      </w:r>
      <w:r w:rsidR="00302043">
        <w:t xml:space="preserve"> and</w:t>
      </w:r>
      <w:r w:rsidR="008A491D">
        <w:t xml:space="preserve"> cancer (123 to 114). </w:t>
      </w:r>
      <w:r w:rsidR="00302043">
        <w:t xml:space="preserve"> T</w:t>
      </w:r>
      <w:r w:rsidR="00C36F2A">
        <w:t>rend</w:t>
      </w:r>
      <w:r w:rsidR="007624B7">
        <w:t>s</w:t>
      </w:r>
      <w:r w:rsidR="00C36F2A">
        <w:t xml:space="preserve"> </w:t>
      </w:r>
      <w:r w:rsidR="00212661">
        <w:t>in hospital deaths</w:t>
      </w:r>
      <w:r w:rsidR="00CB6344">
        <w:t xml:space="preserve"> were not consistently</w:t>
      </w:r>
      <w:r w:rsidR="00E63FBA" w:rsidRPr="00E63FBA">
        <w:t xml:space="preserve"> </w:t>
      </w:r>
      <w:r w:rsidR="00E63FBA">
        <w:t>downward</w:t>
      </w:r>
      <w:r w:rsidR="00CB6344">
        <w:t>,</w:t>
      </w:r>
      <w:r w:rsidR="00212661">
        <w:t xml:space="preserve"> although</w:t>
      </w:r>
      <w:r w:rsidR="00C36F2A">
        <w:t xml:space="preserve"> the proportions of patients dying in hospital were lower in the last period compared to the first.</w:t>
      </w:r>
    </w:p>
    <w:p w:rsidR="00C357A5" w:rsidRDefault="00393D7D" w:rsidP="00C357A5">
      <w:pPr>
        <w:rPr>
          <w:b/>
        </w:rPr>
      </w:pPr>
      <w:r w:rsidRPr="004D2E0E">
        <w:rPr>
          <w:b/>
        </w:rPr>
        <w:t>Conclusion</w:t>
      </w:r>
      <w:r w:rsidR="00D33F62">
        <w:rPr>
          <w:b/>
        </w:rPr>
        <w:t>s</w:t>
      </w:r>
    </w:p>
    <w:p w:rsidR="003B1002" w:rsidRDefault="0054064D" w:rsidP="00C357A5">
      <w:r>
        <w:t xml:space="preserve">Recording of a </w:t>
      </w:r>
      <w:r w:rsidR="003B1002" w:rsidRPr="00CE76C8">
        <w:t>palliative care</w:t>
      </w:r>
      <w:r w:rsidR="003B1002">
        <w:t xml:space="preserve"> approach</w:t>
      </w:r>
      <w:r w:rsidR="00D96F27" w:rsidRPr="00D96F27">
        <w:t xml:space="preserve"> </w:t>
      </w:r>
      <w:r w:rsidR="00D96F27">
        <w:t>for non-cancer conditions</w:t>
      </w:r>
      <w:r w:rsidR="003B1002" w:rsidRPr="00CE76C8">
        <w:t xml:space="preserve"> has increased</w:t>
      </w:r>
      <w:r w:rsidR="00D96F27" w:rsidRPr="00D96F27">
        <w:t xml:space="preserve"> </w:t>
      </w:r>
      <w:r w:rsidR="00D96F27" w:rsidRPr="00CE76C8">
        <w:t xml:space="preserve">since the introduction of the </w:t>
      </w:r>
      <w:r w:rsidR="00D96F27">
        <w:t>UK E</w:t>
      </w:r>
      <w:r w:rsidR="00D96F27" w:rsidRPr="00CE76C8">
        <w:t xml:space="preserve">nd of </w:t>
      </w:r>
      <w:r w:rsidR="00D96F27">
        <w:t>L</w:t>
      </w:r>
      <w:r w:rsidR="00D96F27" w:rsidRPr="00CE76C8">
        <w:t xml:space="preserve">ife </w:t>
      </w:r>
      <w:r w:rsidR="00D96F27">
        <w:t>C</w:t>
      </w:r>
      <w:r w:rsidR="00D96F27" w:rsidRPr="00CE76C8">
        <w:t xml:space="preserve">are </w:t>
      </w:r>
      <w:r w:rsidR="00D96F27">
        <w:t>S</w:t>
      </w:r>
      <w:r w:rsidR="00D96F27" w:rsidRPr="00CE76C8">
        <w:t>trategy</w:t>
      </w:r>
      <w:r w:rsidR="00D96F27">
        <w:t>,</w:t>
      </w:r>
      <w:r w:rsidR="00D96F27" w:rsidRPr="00CE76C8">
        <w:t xml:space="preserve"> </w:t>
      </w:r>
      <w:r w:rsidR="00D96F27">
        <w:t>but remains inadequate</w:t>
      </w:r>
      <w:r w:rsidR="00992DB3">
        <w:t xml:space="preserve">. </w:t>
      </w:r>
    </w:p>
    <w:p w:rsidR="00D33F62" w:rsidRDefault="00D33F62" w:rsidP="00C357A5"/>
    <w:p w:rsidR="00FC57A7" w:rsidRPr="00FC57A7" w:rsidRDefault="00FC57A7" w:rsidP="00C357A5"/>
    <w:p w:rsidR="00FC57A7" w:rsidRPr="004D2E0E" w:rsidRDefault="00FC57A7" w:rsidP="00C357A5">
      <w:pPr>
        <w:rPr>
          <w:b/>
        </w:rPr>
        <w:sectPr w:rsidR="00FC57A7" w:rsidRPr="004D2E0E" w:rsidSect="00723F63">
          <w:pgSz w:w="11906" w:h="16838"/>
          <w:pgMar w:top="1440" w:right="1440" w:bottom="1440" w:left="1440" w:header="708" w:footer="708" w:gutter="0"/>
          <w:cols w:space="708"/>
          <w:docGrid w:linePitch="360"/>
        </w:sectPr>
      </w:pPr>
      <w:r>
        <w:rPr>
          <w:b/>
        </w:rPr>
        <w:tab/>
      </w:r>
    </w:p>
    <w:p w:rsidR="00590FD9" w:rsidRDefault="00590FD9" w:rsidP="00590FD9">
      <w:pPr>
        <w:pStyle w:val="Heading2"/>
      </w:pPr>
      <w:r>
        <w:lastRenderedPageBreak/>
        <w:t>Introduction</w:t>
      </w:r>
    </w:p>
    <w:p w:rsidR="00E36B9C" w:rsidRDefault="00C728FA" w:rsidP="00C728FA">
      <w:r w:rsidRPr="00C728FA">
        <w:t xml:space="preserve">A palliative approach to care is important not only in cancer but </w:t>
      </w:r>
      <w:r w:rsidR="00264CA6">
        <w:t xml:space="preserve">in </w:t>
      </w:r>
      <w:r w:rsidRPr="00C728FA">
        <w:t>non-malignant</w:t>
      </w:r>
      <w:r w:rsidR="00D46C5F">
        <w:t xml:space="preserve"> conditions</w:t>
      </w:r>
      <w:r w:rsidR="0053438C">
        <w:t xml:space="preserve"> </w:t>
      </w:r>
      <w:r w:rsidRPr="00C728FA">
        <w:t>where patients have palliative care needs comparab</w:t>
      </w:r>
      <w:r w:rsidR="00E02D6E">
        <w:t>le to those of cancer patients</w:t>
      </w:r>
      <w:r w:rsidR="005247C0">
        <w:t xml:space="preserve"> </w:t>
      </w:r>
      <w:r w:rsidR="00B01833">
        <w:fldChar w:fldCharType="begin"/>
      </w:r>
      <w:r w:rsidR="005E40A7">
        <w:instrText xml:space="preserve"> ADDIN ZOTERO_ITEM CSL_CITATION {"citationID":"YowktF0L","properties":{"formattedCitation":"[1]","plainCitation":"[1]","noteIndex":0},"citationItems":[{"id":17454,"uris":["http://zotero.org/groups/23637/items/U4UFYR63"],"uri":["http://zotero.org/groups/23637/items/U4UFYR63"],"itemData":{"id":17454,"type":"article-journal","title":"Are There Differences in the Prevalence of Palliative Care-Related Problems in People Living With Advanced Cancer and Eight Non-Cancer Conditions? A Systematic Review","container-title":"JOURNAL OF PAIN AND SYMPTOM MANAGEMENT","page":"660-677","volume":"48","issue":"4","abstract":"Context. If access to effective palliative care is to extend beyond cancer patients, an understanding of the comparative prevalence of palliative care problems among cancer and non-cancer patients is necessary. Objectives. This systematic review aimed to describe and compare the prevalence of seventeen palliative care-related problems across the four palliative care domains among adults with advanced cancer, acquired immune deficiency syndrome, chronic heart failure, end-stage renal disease (ESRD), chronic obstructive pulmonary disease, multiple sclerosis, motor neuron disease, Parkinson's disease, and dementia. Methods. Three databases were searched using three groups of keywords. The results of the extraction of the prevalence figures were summarized. Results. The electronic searches yielded 4697 hits after the removal of 1784 duplicates. Of these hits, 143 met the review criteria. The greatest number of studies were found for advanced cancer (n = 57) and ESRD patients (n = 47), and 75 of the 143 studies used validated scales. Few data were available for people living with multiple sclerosis (n = 2) and motor neuron disease (n = 3). The problems with a prevalence of 50% or more found across most of the nine studied diagnostic groups were: pain, fatigue, anorexia, dyspnea, and worry. Conclusion. There are commonalities in the prevalence of problems across cancer and non-cancer patients, highlighting the need for palliative care to be provided irrespective of diagnosis. The methodological heterogeneity across the studies and the lack of non-cancer studies need to be addressed in future research. (C) 2014 American Academy of Hospice and Palliative Medicine. Published by Elsevier Inc. All rights reserved.","DOI":"10.1016/j.jpainsymman.2013.11.009","ISSN":"0885-3924","author":[{"family":"Moens","given":"Katrien"},{"family":"Higginson","given":"Irene J."},{"family":"Harding","given":"Richard"},{"family":"IMPACT","given":"EURO"}],"issued":{"date-parts":[["2014",10]]}}}],"schema":"https://github.com/citation-style-language/schema/raw/master/csl-citation.json"} </w:instrText>
      </w:r>
      <w:r w:rsidR="00B01833">
        <w:fldChar w:fldCharType="separate"/>
      </w:r>
      <w:r w:rsidR="005247C0" w:rsidRPr="005247C0">
        <w:rPr>
          <w:rFonts w:ascii="Calibri" w:hAnsi="Calibri" w:cs="Calibri"/>
        </w:rPr>
        <w:t>[1]</w:t>
      </w:r>
      <w:r w:rsidR="00B01833">
        <w:fldChar w:fldCharType="end"/>
      </w:r>
      <w:r w:rsidR="00E02D6E">
        <w:t>.</w:t>
      </w:r>
      <w:r w:rsidRPr="00C728FA">
        <w:t xml:space="preserve"> </w:t>
      </w:r>
      <w:r w:rsidR="00711615">
        <w:t xml:space="preserve"> </w:t>
      </w:r>
      <w:r w:rsidR="00DE01E2">
        <w:t>Among the most common conditions identified by t</w:t>
      </w:r>
      <w:r w:rsidR="00DE01E2" w:rsidRPr="00D46C5F">
        <w:t xml:space="preserve">he World Health Organisation </w:t>
      </w:r>
      <w:r w:rsidR="00DE01E2">
        <w:t xml:space="preserve">as diseases that would benefit from palliative care are </w:t>
      </w:r>
      <w:r w:rsidR="00DE01E2" w:rsidRPr="00D46C5F">
        <w:t>heart failure (HF), dementia and chronic ob</w:t>
      </w:r>
      <w:r w:rsidR="00DE01E2">
        <w:t xml:space="preserve">structive pulmonary disease (COPD) </w:t>
      </w:r>
      <w:r w:rsidR="00B01833">
        <w:fldChar w:fldCharType="begin"/>
      </w:r>
      <w:r w:rsidR="005E40A7">
        <w:instrText xml:space="preserve"> ADDIN ZOTERO_ITEM CSL_CITATION {"citationID":"eWkhYfNv","properties":{"formattedCitation":"[2]","plainCitation":"[2]","noteIndex":0},"citationItems":[{"id":19473,"uris":["http://zotero.org/groups/23637/items/T6WRL76Y"],"uri":["http://zotero.org/groups/23637/items/T6WRL76Y"],"itemData":{"id":19473,"type":"report","title":"Global atlas of palliative care at the end of life","publisher":"World Health Organization","abstract":"There is increased awareness of the need for palliative care for chronic diseases. However, there remains a huge unmet need for palliative care for chronic life-limiting health problems in most parts of the world. The purpose of this Atlas is to shine a light on the need for palliative care globally and to provide useful information for those wishing to increase access. This document addresses the following questions:\n\nWhat is palliative care? Why is palliative care a human rights issue? What are the main diseases requiring palliative care? What is the need for palliative care? What are the barriers to palliative care? Where is palliative care currently available? What are the models of palliative care worldwide? What resources are devoted to palliative care? What is the way forward?","URL":"http://www.who.int/ncds/management/palliative-care/palliative-care-atlas/en/","author":[{"literal":"World Palliative Care Alliance"},{"literal":"WHO"}],"issued":{"date-parts":[["2014",1]]},"accessed":{"date-parts":[["2019",1,29]]}}}],"schema":"https://github.com/citation-style-language/schema/raw/master/csl-citation.json"} </w:instrText>
      </w:r>
      <w:r w:rsidR="00B01833">
        <w:fldChar w:fldCharType="separate"/>
      </w:r>
      <w:r w:rsidR="00DE01E2" w:rsidRPr="005247C0">
        <w:rPr>
          <w:rFonts w:ascii="Calibri" w:hAnsi="Calibri" w:cs="Calibri"/>
        </w:rPr>
        <w:t>[2]</w:t>
      </w:r>
      <w:r w:rsidR="00B01833">
        <w:fldChar w:fldCharType="end"/>
      </w:r>
      <w:r w:rsidR="00DE01E2">
        <w:t xml:space="preserve">. </w:t>
      </w:r>
      <w:r w:rsidR="00264CA6">
        <w:t>Such conditions carry a</w:t>
      </w:r>
      <w:r w:rsidR="00264CA6" w:rsidRPr="00C728FA">
        <w:t xml:space="preserve"> </w:t>
      </w:r>
      <w:r w:rsidR="00E70868">
        <w:t xml:space="preserve">similar </w:t>
      </w:r>
      <w:r w:rsidR="00D46C5F">
        <w:t xml:space="preserve">symptom burden and </w:t>
      </w:r>
      <w:r w:rsidRPr="00C728FA">
        <w:t>po</w:t>
      </w:r>
      <w:r w:rsidR="00641618">
        <w:t>or quality of life for patients</w:t>
      </w:r>
      <w:r w:rsidRPr="00C728FA">
        <w:t xml:space="preserve"> and </w:t>
      </w:r>
      <w:r w:rsidR="002E6492">
        <w:t>their families and friends</w:t>
      </w:r>
      <w:r w:rsidRPr="00C728FA">
        <w:t xml:space="preserve">, </w:t>
      </w:r>
      <w:r w:rsidR="00DE01E2" w:rsidRPr="007C4B11">
        <w:t>but there is evidence from the United States</w:t>
      </w:r>
      <w:r w:rsidR="00225C7C" w:rsidRPr="007C4B11">
        <w:t xml:space="preserve"> </w:t>
      </w:r>
      <w:r w:rsidR="00B01833" w:rsidRPr="007C4B11">
        <w:fldChar w:fldCharType="begin"/>
      </w:r>
      <w:r w:rsidR="005E40A7">
        <w:instrText xml:space="preserve"> ADDIN ZOTERO_ITEM CSL_CITATION {"citationID":"TcnmUeDy","properties":{"formattedCitation":"[3,4]","plainCitation":"[3,4]","noteIndex":0},"citationItems":[{"id":19857,"uris":["http://zotero.org/groups/23637/items/6MYNAFY5"],"uri":["http://zotero.org/groups/23637/items/6MYNAFY5"],"itemData":{"id":19857,"type":"article-journal","title":"Resource use in the last 6 months of life among medicare beneficiaries with heart failure, 2000-2007","container-title":"Archives of Internal Medicine","page":"196-203","volume":"171","issue":"3","source":"PubMed","abstract":"BACKGROUND: Heart failure is a common cause of death among Medicare beneficiaries, but little is known about health care resource use at the end of life.\nMETHODS: In a retrospective cohort study of 229,543 Medicare beneficiaries with heart failure who died between January 1, 2000, and December 31, 2007, we examined resource use in the last 180 days of life, including all-cause hospitalizations, intensive care unit days, skilled nursing facility stays, home health, hospice, durable medical equipment, outpatient physician visits, and cardiac procedures. We calculated overall costs to Medicare and predictors of costs.\nRESULTS: Approximately 80% of patients were hospitalized in the last 6 months of life; days in intensive care increased from 3.5 to 4.6 (P&lt;.001). Use of hospice increased from 19% to nearly 40% of patients (P&lt;.001). Unadjusted mean costs to Medicare per patient rose 26% from $28,766 to $36,216 (P&lt;.001). After adjustment for age, sex, race, comorbid conditions, and geographic region, costs increased by 11% (cost ratio, 1.11; 95% confidence interval, 1.10-1.13). Increasing age was strongly and independently associated with lower costs. Renal disease, chronic obstructive pulmonary disease, and black race were independent predictors of higher costs.\nCONCLUSIONS: Among Medicare beneficiaries with heart failure, health care resource use at the end of life increased over time with higher rates of intensive care and higher costs. However, the use of hospice services also increased markedly, representing a shift in patterns of care at the end of life.","DOI":"10.1001/archinternmed.2010.371","ISSN":"1538-3679","note":"PMID: 20937916","journalAbbreviation":"Arch. Intern. Med.","language":"eng","author":[{"family":"Unroe","given":"Kathleen T."},{"family":"Greiner","given":"Melissa A."},{"family":"Hernandez","given":"Adrian F."},{"family":"Whellan","given":"David J."},{"family":"Kaul","given":"Padma"},{"family":"Schulman","given":"Kevin A."},{"family":"Peterson","given":"Eric D."},{"family":"Curtis","given":"Lesley H."}],"issued":{"date-parts":[["2011",2,14]]}},"label":"page"},{"id":19856,"uris":["http://zotero.org/groups/23637/items/7SHPT28A"],"uri":["http://zotero.org/groups/23637/items/7SHPT28A"],"itemData":{"id":19856,"type":"article-journal","title":"Hospice Care for Patients With Dementia in the United States: A Longitudinal Cohort Study","container-title":"Journal of the American Medical Directors Association","page":"633-638","volume":"19","issue":"7","source":"PubMed","abstract":"BACKGROUND: Patients with dementia form an increasing proportion of those entering hospice care. Little is known about the types of hospices serving patients with dementia and the patterns of hospice use, including timing of hospice disenrollment between patients with and without dementia.\nOBJECTIVES: To characterize the hospices that serve patients with dementia, to compare patterns of hospice disenrollment for patients with dementia and without dementia, and to evaluate patient-level and hospice-level characteristics associated with hospice disenrollment.\nMETHODS: We used data from a longitudinal cohort study (2008-2011) of Medicare beneficiaries (n = 149,814) newly enrolled in a national random sample of hospices (n = 577) from the National Hospice Survey and followed until death (84% response rate).\nRESULTS: A total of 7328 patients (4.9%) had a primary diagnosis of dementia. Hospices caring for patients with dementia were more likely to be for-profit, larger sized, provide care for more than 5 years, and serve a large (&gt;30%) percentage of nursing home patients. Patients with dementia were less likely to disenroll from hospice in conjunction with an acute hospitalization or emergency department visit and more likely to disenroll from hospice after long enrollment periods (more than 165 days) as compared with patients without dementia. No significant difference was found between patients with and without dementia for disenrollment after shorter enrollment periods (less than 165 days). In the multivariable analyses, patients were more likely to be disenrolled after 165 days if they were served by smaller hospices and hospices that served a small percentage of nursing home patients.\nCONCLUSION: Patients with dementia are significantly more likely to be disenrolled from hospice following a long enrollment period compared with patients without dementia. As the number of individuals with dementia choosing hospice care continues to grow, it is critical to address potential barriers to the provision of quality palliative care for this population near the end of life.","DOI":"10.1016/j.jamda.2017.10.003","ISSN":"1538-9375","note":"PMID: 29153752\nPMCID: PMC5966338","title-short":"Hospice Care for Patients With Dementia in the United States","journalAbbreviation":"J Am Med Dir Assoc","language":"eng","author":[{"family":"De Vleminck","given":"Aline"},{"family":"Morrison","given":"R. Sean"},{"family":"Meier","given":"Diane E."},{"family":"Aldridge","given":"Melissa D."}],"issued":{"date-parts":[["2018",7]]}},"label":"page"}],"schema":"https://github.com/citation-style-language/schema/raw/master/csl-citation.json"} </w:instrText>
      </w:r>
      <w:r w:rsidR="00B01833" w:rsidRPr="007C4B11">
        <w:fldChar w:fldCharType="separate"/>
      </w:r>
      <w:r w:rsidR="00225C7C" w:rsidRPr="007C4B11">
        <w:rPr>
          <w:rFonts w:ascii="Calibri" w:hAnsi="Calibri" w:cs="Calibri"/>
        </w:rPr>
        <w:t>[3,4]</w:t>
      </w:r>
      <w:r w:rsidR="00B01833" w:rsidRPr="007C4B11">
        <w:fldChar w:fldCharType="end"/>
      </w:r>
      <w:r w:rsidR="00DE01E2" w:rsidRPr="007C4B11">
        <w:t>, and the U</w:t>
      </w:r>
      <w:r w:rsidR="0010082B" w:rsidRPr="007C4B11">
        <w:t>nited Kingdom (UK)</w:t>
      </w:r>
      <w:r w:rsidR="00DE01E2" w:rsidRPr="007C4B11">
        <w:t xml:space="preserve"> </w:t>
      </w:r>
      <w:r w:rsidR="00B01833" w:rsidRPr="007C4B11">
        <w:fldChar w:fldCharType="begin"/>
      </w:r>
      <w:r w:rsidR="005E40A7">
        <w:instrText xml:space="preserve"> ADDIN ZOTERO_ITEM CSL_CITATION {"citationID":"FlTzokbL","properties":{"formattedCitation":"[5]","plainCitation":"[5]","noteIndex":0},"citationItems":[{"id":19469,"uris":["http://zotero.org/groups/23637/items/727IYN7T"],"uri":["http://zotero.org/groups/23637/items/727IYN7T"],"itemData":{"id":19469,"type":"report","title":"Equity in the Provision of Palliative Care in the UK: Review of Evidence","publisher":"Personal Social Services Research Unit, London School of Economics and Political Science","publisher-place":"London","event-place":"London","URL":"https://www.pssru.ac.uk/publications/pub-4962/","author":[{"family":"Dixon","given":"Josie"},{"family":"King","given":"Derek"},{"family":"Matosevic","given":"Tihana"},{"family":"Clark","given":"Michael"},{"family":"Knapp","given":"Martin"}],"issued":{"date-parts":[["2015"]]},"accessed":{"date-parts":[["2018",3,20]]}}}],"schema":"https://github.com/citation-style-language/schema/raw/master/csl-citation.json"} </w:instrText>
      </w:r>
      <w:r w:rsidR="00B01833" w:rsidRPr="007C4B11">
        <w:fldChar w:fldCharType="separate"/>
      </w:r>
      <w:r w:rsidR="00225C7C" w:rsidRPr="007C4B11">
        <w:rPr>
          <w:rFonts w:ascii="Calibri" w:hAnsi="Calibri" w:cs="Calibri"/>
        </w:rPr>
        <w:t>[5]</w:t>
      </w:r>
      <w:r w:rsidR="00B01833" w:rsidRPr="007C4B11">
        <w:fldChar w:fldCharType="end"/>
      </w:r>
      <w:r w:rsidR="00DE01E2" w:rsidRPr="007C4B11">
        <w:t xml:space="preserve"> that these needs are less likely to be met</w:t>
      </w:r>
      <w:r w:rsidR="0070374E" w:rsidRPr="007C4B11">
        <w:t>.</w:t>
      </w:r>
      <w:r w:rsidRPr="00C728FA">
        <w:t xml:space="preserve"> </w:t>
      </w:r>
      <w:r w:rsidR="00E63FBA">
        <w:t xml:space="preserve"> </w:t>
      </w:r>
    </w:p>
    <w:p w:rsidR="00E128A0" w:rsidRPr="00C728FA" w:rsidRDefault="00E128A0" w:rsidP="00C728FA"/>
    <w:p w:rsidR="00C728FA" w:rsidRDefault="00A57BF1" w:rsidP="00C91433">
      <w:r w:rsidRPr="00C728FA">
        <w:t>In</w:t>
      </w:r>
      <w:r>
        <w:t xml:space="preserve"> the UK, the introduction  of a national</w:t>
      </w:r>
      <w:r w:rsidRPr="00C728FA">
        <w:t xml:space="preserve"> End-of-Life Care Strategy</w:t>
      </w:r>
      <w:r>
        <w:t xml:space="preserve"> in 2008</w:t>
      </w:r>
      <w:r w:rsidRPr="00C728FA">
        <w:t xml:space="preserve"> </w:t>
      </w:r>
      <w:r w:rsidR="00B01833">
        <w:fldChar w:fldCharType="begin"/>
      </w:r>
      <w:r w:rsidR="005E40A7">
        <w:instrText xml:space="preserve"> ADDIN ZOTERO_ITEM CSL_CITATION {"citationID":"TFcPxE54","properties":{"formattedCitation":"[6]","plainCitation":"[6]","noteIndex":0},"citationItems":[{"id":1909,"uris":["http://zotero.org/groups/23637/items/UUZINR9S"],"uri":["http://zotero.org/groups/23637/items/UUZINR9S"],"itemData":{"id":1909,"type":"report","title":"End of Life Care Strategy: promoting high quality care for adults at the end of their life","publisher":"Department of Health","abstract":"This publication sets out a vision for giving people approaching the end of life more choice about where they would like to live and die.","title-short":"End of Life Care Strategy","author":[{"family":"Department of Health","given":""}],"issued":{"date-parts":[["2008",7,16]]}}}],"schema":"https://github.com/citation-style-language/schema/raw/master/csl-citation.json"} </w:instrText>
      </w:r>
      <w:r w:rsidR="00B01833">
        <w:fldChar w:fldCharType="separate"/>
      </w:r>
      <w:r w:rsidR="00225C7C" w:rsidRPr="00225C7C">
        <w:rPr>
          <w:rFonts w:ascii="Calibri" w:hAnsi="Calibri" w:cs="Calibri"/>
        </w:rPr>
        <w:t>[6]</w:t>
      </w:r>
      <w:r w:rsidR="00B01833">
        <w:fldChar w:fldCharType="end"/>
      </w:r>
      <w:r>
        <w:t xml:space="preserve"> </w:t>
      </w:r>
      <w:r w:rsidRPr="00C728FA">
        <w:t xml:space="preserve">represented a major </w:t>
      </w:r>
      <w:r>
        <w:t xml:space="preserve">policy shift to extend </w:t>
      </w:r>
      <w:r w:rsidRPr="00C728FA">
        <w:t xml:space="preserve">specialist palliative care </w:t>
      </w:r>
      <w:r w:rsidRPr="0098732E">
        <w:rPr>
          <w:i/>
        </w:rPr>
        <w:t>regardless of diagnosis</w:t>
      </w:r>
      <w:r>
        <w:t>,</w:t>
      </w:r>
      <w:r w:rsidRPr="00C728FA">
        <w:t xml:space="preserve"> </w:t>
      </w:r>
      <w:r>
        <w:t>to be delivered primarily</w:t>
      </w:r>
      <w:r w:rsidRPr="00C728FA">
        <w:t xml:space="preserve"> by generalists</w:t>
      </w:r>
      <w:r>
        <w:t>,</w:t>
      </w:r>
      <w:r w:rsidRPr="00C728FA">
        <w:t xml:space="preserve"> with access to specialist palliative care services for persistent or complex problems.</w:t>
      </w:r>
      <w:r>
        <w:t xml:space="preserve">  Although the role of primary care is central to providing palliative care to those nearing the end of life, information on whether the need is being met in the UK is sparse, despite maintenance of a palliative care register by general practitioners being incentivised as part of the Quality and Outcomes Framework (QOF) since 2006 </w:t>
      </w:r>
      <w:r w:rsidR="00B01833">
        <w:fldChar w:fldCharType="begin"/>
      </w:r>
      <w:r w:rsidR="005E40A7">
        <w:instrText xml:space="preserve"> ADDIN ZOTERO_ITEM CSL_CITATION {"citationID":"kXN0yDrJ","properties":{"formattedCitation":"[7]","plainCitation":"[7]","noteIndex":0},"citationItems":[{"id":19489,"uris":["http://zotero.org/groups/23637/items/BDVIK2T8"],"uri":["http://zotero.org/groups/23637/items/BDVIK2T8"],"itemData":{"id":19489,"type":"report","title":"2014/15 General Medical Services (GMS) Contract Quality and Outcomes Framework (QOF).  Guidance for GMS Contract 2014/15","abstract":"The full set of indicators of achievement are outlined in the latest QOF guidance, published by NHS Employers, which is updated for each year.","URL":"https://www.nhsemployers.org/your-workforce/primary-care-contacts/general-medical-services/quality-and-outcomes-framework","number":"NHS England Gateway reference: 01264","author":[{"literal":"NHS Employers"}],"issued":{"date-parts":[["2014",3]]},"accessed":{"date-parts":[["2019",1,29]]}}}],"schema":"https://github.com/citation-style-language/schema/raw/master/csl-citation.json"} </w:instrText>
      </w:r>
      <w:r w:rsidR="00B01833">
        <w:fldChar w:fldCharType="separate"/>
      </w:r>
      <w:r w:rsidR="00225C7C" w:rsidRPr="00225C7C">
        <w:rPr>
          <w:rFonts w:ascii="Calibri" w:hAnsi="Calibri" w:cs="Calibri"/>
        </w:rPr>
        <w:t>[7]</w:t>
      </w:r>
      <w:r w:rsidR="00B01833">
        <w:fldChar w:fldCharType="end"/>
      </w:r>
      <w:r>
        <w:t>.  Using</w:t>
      </w:r>
      <w:r w:rsidRPr="00C728FA">
        <w:t xml:space="preserve"> </w:t>
      </w:r>
      <w:r>
        <w:t xml:space="preserve">general practice-based registers of palliative care, one study conducted shortly after the Strategy’s introduction, found patients with HF </w:t>
      </w:r>
      <w:r w:rsidRPr="00C728FA">
        <w:t>were poorly represented</w:t>
      </w:r>
      <w:r>
        <w:t xml:space="preserve"> on the register, and when recorded, registration was often </w:t>
      </w:r>
      <w:r w:rsidRPr="00C728FA">
        <w:t>within a week of death</w:t>
      </w:r>
      <w:r>
        <w:t xml:space="preserve"> </w:t>
      </w:r>
      <w:r w:rsidR="00B01833">
        <w:fldChar w:fldCharType="begin"/>
      </w:r>
      <w:r w:rsidR="005E40A7">
        <w:instrText xml:space="preserve"> ADDIN ZOTERO_ITEM CSL_CITATION {"citationID":"8pyxVRUh","properties":{"formattedCitation":"[8]","plainCitation":"[8]","noteIndex":0},"citationItems":[{"id":3437,"uris":["http://zotero.org/groups/23637/items/9RHBJSEK"],"uri":["http://zotero.org/groups/23637/items/9RHBJSEK"],"itemData":{"id":3437,"type":"article-journal","title":"Palliative care among heart failure patients in primary care: a comparison to cancer patients using English family practice data","container-title":"PloS One","page":"e113188","volume":"9","issue":"11","source":"PubMed","abstract":"INTRODUCTION: Patients with heart failure have a significant symptom burden and other palliative care needs often over a longer period than patients with cancer. It is acknowledged that this need may be unmet but by how much has not been quantified in primary care data at the population level.\nMETHODS: This was the first use of Clinical Practice Research Datalink, the world's largest primary care database to explore recognition of the need for palliative care. Heart failure and cancer patients who had died in 2009 aged 18 or over and had at least one year of primary care records were identified. A palliative approach to care among patients with heart failure was compared to that among patients with cancer using entry onto a palliative care register as a marker for a palliative approach to care.\nRESULTS: Among patients with heart failure, 7% (234/3 122) were entered on the palliative care register compared to 48% (3 669/7 608) of cancer patients. Of heart failure patients on the palliative care register, 29% (69/234) were entered onto the register within a week of their death.\nCONCLUSIONS: This confirms that the stark inequity in recognition of palliative care needs for people with heart failure in a large primary care dataset. We recommend a move away from prognosis based criteria for palliative care towards a patient centred approach, with assessment of and attention to palliative needs including advance care planning throughout the disease trajectory.","DOI":"10.1371/journal.pone.0113188","ISSN":"1932-6203","note":"PMID: 25423169\nPMCID: PMC4244094","title-short":"Palliative care among heart failure patients in primary care","journalAbbreviation":"PLoS ONE","language":"eng","author":[{"family":"Gadoud","given":"Amy"},{"family":"Kane","given":"Eleanor"},{"family":"Macleod","given":"Una"},{"family":"Ansell","given":"Pat"},{"family":"Oliver","given":"Steven"},{"family":"Johnson","given":"Miriam"}],"issued":{"date-parts":[["2014"]]}}}],"schema":"https://github.com/citation-style-language/schema/raw/master/csl-citation.json"} </w:instrText>
      </w:r>
      <w:r w:rsidR="00B01833">
        <w:fldChar w:fldCharType="separate"/>
      </w:r>
      <w:r w:rsidR="00225C7C" w:rsidRPr="00225C7C">
        <w:rPr>
          <w:rFonts w:ascii="Calibri" w:hAnsi="Calibri" w:cs="Calibri"/>
        </w:rPr>
        <w:t>[8]</w:t>
      </w:r>
      <w:r w:rsidR="00B01833">
        <w:fldChar w:fldCharType="end"/>
      </w:r>
      <w:r w:rsidRPr="00C728FA">
        <w:t xml:space="preserve">. </w:t>
      </w:r>
      <w:r>
        <w:t xml:space="preserve"> Using the same electronic </w:t>
      </w:r>
      <w:proofErr w:type="spellStart"/>
      <w:r>
        <w:t>datasource</w:t>
      </w:r>
      <w:proofErr w:type="spellEnd"/>
      <w:r>
        <w:t xml:space="preserve">, Bloom and colleagues showed that whilst the proportion of people dying from COPD and receiving palliative care increased between 2005 and 2015, this remained disproportionately low in those dying with COPD only (16.5%) compared with those dying with COPD and cancer (56.5%) </w:t>
      </w:r>
      <w:r w:rsidR="00B01833">
        <w:fldChar w:fldCharType="begin"/>
      </w:r>
      <w:r w:rsidR="005E40A7">
        <w:instrText xml:space="preserve"> ADDIN ZOTERO_ITEM CSL_CITATION {"citationID":"IdhZ9uuX","properties":{"formattedCitation":"[9]","plainCitation":"[9]","noteIndex":0},"citationItems":[{"id":19492,"uris":["http://zotero.org/groups/23637/items/PE7G5KPF"],"uri":["http://zotero.org/groups/23637/items/PE7G5KPF"],"itemData":{"id":19492,"type":"article-journal","title":"Low uptake of palliative care for COPD patients within primary care in the UK","container-title":"The European Respiratory Journal","volume":"51","issue":"2","source":"PubMed Central","abstract":"Mortality and symptom burden from chronic obstructive pulmonary disease (COPD) and lung cancer are similar but there is thought to be an inequality in palliative care support (PCS) between diseases. This nationally representative study assessed PCS for COPD patients within primary care in the UK., This was a cohort study using electronic healthcare records (2004–2015). Factors associated with receiving PCS were assessed using logistic regression for the whole cohort and deceased patients., There were 92 365 eligible COPD patients, of which 26 135 died. Only 7.8% of the whole cohort and 21.4% of deceased patients received PCS. Lung cancer had a strong association with PCS compared with other patient characteristics, including Global Initiative for Chronic Obstructive Lung Disease stage and Medical Research Council Dyspnoea score (whole cohort, lung cancer: OR 14.1, 95% CI 13.1–15; deceased patients, lung cancer: OR 6.5, 95% CI 6–7). Only 16.7% of deceased COPD patients without lung cancer received PCS compared with 56.5% of deceased patients with lung cancer. In patients that received PCS, lung cancer co-diagnosis significantly increased the chances of receiving PCS before the last month of life (1–6 versus ≤1 month pre-death: risk ratio 1.4, 95% CI 1.3–1.7)., Provision of PCS for COPD patients in the UK is inadequate. Lung cancer, not COPD, was the dominant driver for COPD patients to receive PCS., Palliative care provision for COPD patients without lung cancer is poor in the UK\nhttp://ow.ly/IIC230gWOOV","URL":"https://www.ncbi.nlm.nih.gov/pmc/articles/PMC5898942/","DOI":"10.1183/13993003.01879-2017","ISSN":"0903-1936","note":"PMID: 29444916\nPMCID: PMC5898942","journalAbbreviation":"Eur Respir J","author":[{"family":"Bloom","given":"Chloe I."},{"family":"Slaich","given":"Bhavan"},{"family":"Morales","given":"Daniel R."},{"family":"Smeeth","given":"Liam"},{"family":"Stone","given":"Patrick"},{"family":"Quint","given":"Jennifer K."}],"issued":{"date-parts":[["2018",2,15]]},"accessed":{"date-parts":[["2019",1,29]]}}}],"schema":"https://github.com/citation-style-language/schema/raw/master/csl-citation.json"} </w:instrText>
      </w:r>
      <w:r w:rsidR="00B01833">
        <w:fldChar w:fldCharType="separate"/>
      </w:r>
      <w:r w:rsidR="00225C7C" w:rsidRPr="00225C7C">
        <w:rPr>
          <w:rFonts w:ascii="Calibri" w:hAnsi="Calibri" w:cs="Calibri"/>
        </w:rPr>
        <w:t>[9]</w:t>
      </w:r>
      <w:r w:rsidR="00B01833">
        <w:fldChar w:fldCharType="end"/>
      </w:r>
      <w:r>
        <w:t>.  Although from simple observation, the rate of change appears to increase from 2011</w:t>
      </w:r>
      <w:r w:rsidR="00672AA8">
        <w:t xml:space="preserve">. </w:t>
      </w:r>
    </w:p>
    <w:p w:rsidR="00E128A0" w:rsidRDefault="00E128A0" w:rsidP="00C728FA"/>
    <w:p w:rsidR="001379C4" w:rsidRPr="00C728FA" w:rsidRDefault="001379C4" w:rsidP="00C728FA">
      <w:r>
        <w:t xml:space="preserve">With the aim of exploring whether recording of palliative care in primary care has changed for non-cancer conditions since 2008, </w:t>
      </w:r>
      <w:r w:rsidR="00AB39FB">
        <w:t>patients who died with HF, dementia, or COPD</w:t>
      </w:r>
      <w:r w:rsidR="00781EDF">
        <w:t>,</w:t>
      </w:r>
      <w:r w:rsidR="00AB39FB">
        <w:t xml:space="preserve"> and for comparison, patients who died with cancer</w:t>
      </w:r>
      <w:r w:rsidR="00781EDF">
        <w:t>,</w:t>
      </w:r>
      <w:r w:rsidR="00AB39FB">
        <w:t xml:space="preserve"> in three different years were identified in </w:t>
      </w:r>
      <w:r>
        <w:t>UK’s Clinical Practice Research Datalink (CPRD)</w:t>
      </w:r>
      <w:r w:rsidR="00856AB2">
        <w:t xml:space="preserve"> </w:t>
      </w:r>
      <w:r w:rsidR="00B01833">
        <w:fldChar w:fldCharType="begin"/>
      </w:r>
      <w:r w:rsidR="005E40A7">
        <w:instrText xml:space="preserve"> ADDIN ZOTERO_ITEM CSL_CITATION {"citationID":"dJKSo6WZ","properties":{"formattedCitation":"[10]","plainCitation":"[10]","noteIndex":0},"citationItems":[{"id":19477,"uris":["http://zotero.org/groups/23637/items/I4GDU3ZS"],"uri":["http://zotero.org/groups/23637/items/I4GDU3ZS"],"itemData":{"id":19477,"type":"article-journal","title":"Data Resource Profile: Clinical Practice Research Datalink (CPRD)","container-title":"International Journal of Epidemiology","page":"827-836","volume":"44","issue":"3","source":"PubMed Central","abstract":"The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research.","DOI":"10.1093/ije/dyv098","ISSN":"0300-5771","note":"PMID: 26050254\nPMCID: PMC4521131","title-short":"Data Resource Profile","journalAbbreviation":"Int J Epidemiol","author":[{"family":"Herrett","given":"Emily"},{"family":"Gallagher","given":"Arlene M"},{"family":"Bhaskaran","given":"Krishnan"},{"family":"Forbes","given":"Harriet"},{"family":"Mathur","given":"Rohini"},{"family":"Staa","given":"Tjeerd","non-dropping-particle":"van"},{"family":"Smeeth","given":"Liam"}],"issued":{"date-parts":[["2015",6]]}}}],"schema":"https://github.com/citation-style-language/schema/raw/master/csl-citation.json"} </w:instrText>
      </w:r>
      <w:r w:rsidR="00B01833">
        <w:fldChar w:fldCharType="separate"/>
      </w:r>
      <w:r w:rsidR="00225C7C" w:rsidRPr="00225C7C">
        <w:rPr>
          <w:rFonts w:ascii="Calibri" w:hAnsi="Calibri" w:cs="Calibri"/>
        </w:rPr>
        <w:t>[10]</w:t>
      </w:r>
      <w:r w:rsidR="00B01833">
        <w:fldChar w:fldCharType="end"/>
      </w:r>
      <w:r w:rsidR="00AB39FB">
        <w:t>.  Using information in their healthcare</w:t>
      </w:r>
      <w:r w:rsidR="00781EDF">
        <w:t xml:space="preserve"> records, potential changes in</w:t>
      </w:r>
      <w:r w:rsidR="00AB39FB">
        <w:t xml:space="preserve"> palliative care recording </w:t>
      </w:r>
      <w:r w:rsidR="00781EDF">
        <w:t>as well as the prevalence of hospital deaths were explored.</w:t>
      </w:r>
      <w:r>
        <w:t xml:space="preserve"> </w:t>
      </w:r>
    </w:p>
    <w:p w:rsidR="00E128A0" w:rsidRDefault="00E128A0" w:rsidP="00EA7D2C"/>
    <w:p w:rsidR="009A11D5" w:rsidRDefault="009A11D5">
      <w:pPr>
        <w:spacing w:after="160" w:line="259" w:lineRule="auto"/>
        <w:rPr>
          <w:rFonts w:asciiTheme="majorHAnsi" w:eastAsia="Times New Roman" w:hAnsiTheme="majorHAnsi" w:cstheme="majorBidi"/>
          <w:color w:val="2E74B5" w:themeColor="accent1" w:themeShade="BF"/>
          <w:sz w:val="26"/>
          <w:szCs w:val="26"/>
        </w:rPr>
      </w:pPr>
      <w:r>
        <w:rPr>
          <w:rFonts w:eastAsia="Times New Roman"/>
        </w:rPr>
        <w:br w:type="page"/>
      </w:r>
    </w:p>
    <w:p w:rsidR="00590FD9" w:rsidRDefault="00BA4D61" w:rsidP="00590FD9">
      <w:pPr>
        <w:pStyle w:val="Heading2"/>
        <w:rPr>
          <w:rFonts w:eastAsia="Times New Roman"/>
        </w:rPr>
      </w:pPr>
      <w:r>
        <w:rPr>
          <w:rFonts w:eastAsia="Times New Roman"/>
        </w:rPr>
        <w:lastRenderedPageBreak/>
        <w:t xml:space="preserve">Materials and </w:t>
      </w:r>
      <w:r w:rsidR="00590FD9" w:rsidRPr="00985142">
        <w:rPr>
          <w:rFonts w:eastAsia="Times New Roman"/>
        </w:rPr>
        <w:t>Methods</w:t>
      </w:r>
    </w:p>
    <w:p w:rsidR="00B34438" w:rsidRPr="009C23B5" w:rsidRDefault="00856AB2" w:rsidP="00B34438">
      <w:bookmarkStart w:id="2" w:name="article1.body1.sec2.sec1.p1"/>
      <w:bookmarkEnd w:id="2"/>
      <w:r>
        <w:rPr>
          <w:lang w:eastAsia="en-GB"/>
        </w:rPr>
        <w:t>P</w:t>
      </w:r>
      <w:r w:rsidR="00A76302">
        <w:rPr>
          <w:lang w:eastAsia="en-GB"/>
        </w:rPr>
        <w:t xml:space="preserve">atients aged 18 or over </w:t>
      </w:r>
      <w:r w:rsidR="00D54CBF">
        <w:rPr>
          <w:lang w:eastAsia="en-GB"/>
        </w:rPr>
        <w:t xml:space="preserve">with </w:t>
      </w:r>
      <w:r w:rsidR="00A76302">
        <w:rPr>
          <w:lang w:eastAsia="en-GB"/>
        </w:rPr>
        <w:t xml:space="preserve">at least one clinical record of </w:t>
      </w:r>
      <w:r>
        <w:rPr>
          <w:lang w:eastAsia="en-GB"/>
        </w:rPr>
        <w:t>COPD; dementia; heart failure; or cancer (excluding non-melanoma skin cancer)</w:t>
      </w:r>
      <w:r w:rsidR="00D54CBF">
        <w:rPr>
          <w:lang w:eastAsia="en-GB"/>
        </w:rPr>
        <w:t xml:space="preserve"> who died in </w:t>
      </w:r>
      <w:r w:rsidR="00543DC7">
        <w:rPr>
          <w:lang w:eastAsia="en-GB"/>
        </w:rPr>
        <w:t xml:space="preserve">the periods </w:t>
      </w:r>
      <w:r w:rsidR="00D54CBF">
        <w:rPr>
          <w:lang w:eastAsia="en-GB"/>
        </w:rPr>
        <w:t>1 April 2009 to 31 March 2010</w:t>
      </w:r>
      <w:r w:rsidR="00543DC7">
        <w:rPr>
          <w:lang w:eastAsia="en-GB"/>
        </w:rPr>
        <w:t>;</w:t>
      </w:r>
      <w:r w:rsidR="00D54CBF">
        <w:rPr>
          <w:lang w:eastAsia="en-GB"/>
        </w:rPr>
        <w:t xml:space="preserve"> 1 April 2011 to 31 March 2012</w:t>
      </w:r>
      <w:r w:rsidR="00543DC7">
        <w:rPr>
          <w:lang w:eastAsia="en-GB"/>
        </w:rPr>
        <w:t>;</w:t>
      </w:r>
      <w:r w:rsidR="00D54CBF">
        <w:rPr>
          <w:lang w:eastAsia="en-GB"/>
        </w:rPr>
        <w:t xml:space="preserve"> </w:t>
      </w:r>
      <w:r w:rsidR="00BA4D61">
        <w:rPr>
          <w:lang w:eastAsia="en-GB"/>
        </w:rPr>
        <w:t xml:space="preserve">or </w:t>
      </w:r>
      <w:r w:rsidR="00D54CBF">
        <w:rPr>
          <w:lang w:eastAsia="en-GB"/>
        </w:rPr>
        <w:t>1 April 2013 to 31 March 2014</w:t>
      </w:r>
      <w:r w:rsidR="00543DC7">
        <w:rPr>
          <w:lang w:eastAsia="en-GB"/>
        </w:rPr>
        <w:t>,</w:t>
      </w:r>
      <w:r w:rsidR="00FE4B7F">
        <w:rPr>
          <w:lang w:eastAsia="en-GB"/>
        </w:rPr>
        <w:t xml:space="preserve"> were </w:t>
      </w:r>
      <w:r w:rsidR="00F013C3">
        <w:rPr>
          <w:lang w:eastAsia="en-GB"/>
        </w:rPr>
        <w:t>identified</w:t>
      </w:r>
      <w:r>
        <w:rPr>
          <w:lang w:eastAsia="en-GB"/>
        </w:rPr>
        <w:t xml:space="preserve"> in CPRD</w:t>
      </w:r>
      <w:r w:rsidR="001B595E">
        <w:rPr>
          <w:lang w:eastAsia="en-GB"/>
        </w:rPr>
        <w:t xml:space="preserve"> using Read codes described in t</w:t>
      </w:r>
      <w:r w:rsidR="001B595E" w:rsidDel="008F457D">
        <w:rPr>
          <w:lang w:eastAsia="en-GB"/>
        </w:rPr>
        <w:t>he NHS’s Quality and Outcomes Framework (QOF)</w:t>
      </w:r>
      <w:r w:rsidR="001B595E">
        <w:rPr>
          <w:lang w:eastAsia="en-GB"/>
        </w:rPr>
        <w:t xml:space="preserve"> </w:t>
      </w:r>
      <w:r w:rsidR="001B595E" w:rsidDel="008F457D">
        <w:rPr>
          <w:lang w:eastAsia="en-GB"/>
        </w:rPr>
        <w:t>(</w:t>
      </w:r>
      <w:r w:rsidR="001B595E">
        <w:rPr>
          <w:lang w:eastAsia="en-GB"/>
        </w:rPr>
        <w:t xml:space="preserve">QOF version 29, June 2014) </w:t>
      </w:r>
      <w:r w:rsidR="00B01833">
        <w:rPr>
          <w:lang w:eastAsia="en-GB"/>
        </w:rPr>
        <w:fldChar w:fldCharType="begin"/>
      </w:r>
      <w:r w:rsidR="005E40A7">
        <w:rPr>
          <w:lang w:eastAsia="en-GB"/>
        </w:rPr>
        <w:instrText xml:space="preserve"> ADDIN ZOTERO_ITEM CSL_CITATION {"citationID":"chxX3JBe","properties":{"formattedCitation":"[11]","plainCitation":"[11]","noteIndex":0},"citationItems":[{"id":19484,"uris":["http://zotero.org/groups/23637/items/679WDEB5"],"uri":["http://zotero.org/groups/23637/items/679WDEB5"],"itemData":{"id":19484,"type":"webpage","title":"Retired QOF business rules v29.0","genre":"standard","abstract":"The Health and Social Care Information Centre has released v29.0 of the QOF business rules.","URL":"https://webarchive.nationalarchives.gov.uk/20161026171656/http://content.digital.nhs.uk/article/5275/Retired-QOF-business-rules-v290","language":"EN","author":[{"family":"NHS Digital","given":""}],"issued":{"date-parts":[["2014",12,10]]},"accessed":{"date-parts":[["2019",1,29]]}}}],"schema":"https://github.com/citation-style-language/schema/raw/master/csl-citation.json"} </w:instrText>
      </w:r>
      <w:r w:rsidR="00B01833">
        <w:rPr>
          <w:lang w:eastAsia="en-GB"/>
        </w:rPr>
        <w:fldChar w:fldCharType="separate"/>
      </w:r>
      <w:r w:rsidR="00225C7C" w:rsidRPr="00225C7C">
        <w:rPr>
          <w:rFonts w:ascii="Calibri" w:hAnsi="Calibri" w:cs="Calibri"/>
        </w:rPr>
        <w:t>[11]</w:t>
      </w:r>
      <w:r w:rsidR="00B01833">
        <w:rPr>
          <w:lang w:eastAsia="en-GB"/>
        </w:rPr>
        <w:fldChar w:fldCharType="end"/>
      </w:r>
      <w:r w:rsidR="001B595E">
        <w:rPr>
          <w:lang w:eastAsia="en-GB"/>
        </w:rPr>
        <w:t xml:space="preserve">. </w:t>
      </w:r>
      <w:r w:rsidR="003F29D8" w:rsidRPr="003F29D8">
        <w:rPr>
          <w:lang w:eastAsia="en-GB"/>
        </w:rPr>
        <w:t>The CPRD is a database of contemporaneous medical records from UK primary care and is demographically representative, covering around c.7% of the UK population</w:t>
      </w:r>
      <w:r w:rsidR="003F29D8">
        <w:rPr>
          <w:lang w:eastAsia="en-GB"/>
        </w:rPr>
        <w:t xml:space="preserve"> </w:t>
      </w:r>
      <w:r w:rsidR="00B01833">
        <w:fldChar w:fldCharType="begin"/>
      </w:r>
      <w:r w:rsidR="005E40A7">
        <w:instrText xml:space="preserve"> ADDIN ZOTERO_ITEM CSL_CITATION {"citationID":"A5doyPEa","properties":{"formattedCitation":"[10]","plainCitation":"[10]","noteIndex":0},"citationItems":[{"id":19477,"uris":["http://zotero.org/groups/23637/items/I4GDU3ZS"],"uri":["http://zotero.org/groups/23637/items/I4GDU3ZS"],"itemData":{"id":19477,"type":"article-journal","title":"Data Resource Profile: Clinical Practice Research Datalink (CPRD)","container-title":"International Journal of Epidemiology","page":"827-836","volume":"44","issue":"3","source":"PubMed Central","abstract":"The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research.","DOI":"10.1093/ije/dyv098","ISSN":"0300-5771","note":"PMID: 26050254\nPMCID: PMC4521131","title-short":"Data Resource Profile","journalAbbreviation":"Int J Epidemiol","author":[{"family":"Herrett","given":"Emily"},{"family":"Gallagher","given":"Arlene M"},{"family":"Bhaskaran","given":"Krishnan"},{"family":"Forbes","given":"Harriet"},{"family":"Mathur","given":"Rohini"},{"family":"Staa","given":"Tjeerd","non-dropping-particle":"van"},{"family":"Smeeth","given":"Liam"}],"issued":{"date-parts":[["2015",6]]}}}],"schema":"https://github.com/citation-style-language/schema/raw/master/csl-citation.json"} </w:instrText>
      </w:r>
      <w:r w:rsidR="00B01833">
        <w:fldChar w:fldCharType="separate"/>
      </w:r>
      <w:r w:rsidR="00225C7C" w:rsidRPr="00225C7C">
        <w:rPr>
          <w:rFonts w:ascii="Calibri" w:hAnsi="Calibri" w:cs="Calibri"/>
        </w:rPr>
        <w:t>[10]</w:t>
      </w:r>
      <w:r w:rsidR="00B01833">
        <w:fldChar w:fldCharType="end"/>
      </w:r>
      <w:r w:rsidR="003F29D8">
        <w:t xml:space="preserve">; the QOF is a voluntary incentive scheme for general practitioners in the UK </w:t>
      </w:r>
      <w:r w:rsidR="00B01833">
        <w:fldChar w:fldCharType="begin"/>
      </w:r>
      <w:r w:rsidR="005E40A7">
        <w:instrText xml:space="preserve"> ADDIN ZOTERO_ITEM CSL_CITATION {"citationID":"acB6OduE","properties":{"formattedCitation":"[7]","plainCitation":"[7]","noteIndex":0},"citationItems":[{"id":19489,"uris":["http://zotero.org/groups/23637/items/BDVIK2T8"],"uri":["http://zotero.org/groups/23637/items/BDVIK2T8"],"itemData":{"id":19489,"type":"report","title":"2014/15 General Medical Services (GMS) Contract Quality and Outcomes Framework (QOF).  Guidance for GMS Contract 2014/15","abstract":"The full set of indicators of achievement are outlined in the latest QOF guidance, published by NHS Employers, which is updated for each year.","URL":"https://www.nhsemployers.org/your-workforce/primary-care-contacts/general-medical-services/quality-and-outcomes-framework","number":"NHS England Gateway reference: 01264","author":[{"literal":"NHS Employers"}],"issued":{"date-parts":[["2014",3]]},"accessed":{"date-parts":[["2019",1,29]]}}}],"schema":"https://github.com/citation-style-language/schema/raw/master/csl-citation.json"} </w:instrText>
      </w:r>
      <w:r w:rsidR="00B01833">
        <w:fldChar w:fldCharType="separate"/>
      </w:r>
      <w:r w:rsidR="00225C7C" w:rsidRPr="00225C7C">
        <w:rPr>
          <w:rFonts w:ascii="Calibri" w:hAnsi="Calibri" w:cs="Calibri"/>
        </w:rPr>
        <w:t>[7]</w:t>
      </w:r>
      <w:r w:rsidR="00B01833">
        <w:fldChar w:fldCharType="end"/>
      </w:r>
      <w:r w:rsidR="003F29D8">
        <w:t>.</w:t>
      </w:r>
      <w:r w:rsidR="001B595E">
        <w:rPr>
          <w:lang w:eastAsia="en-GB"/>
        </w:rPr>
        <w:t xml:space="preserve"> </w:t>
      </w:r>
      <w:r w:rsidR="00BD161B">
        <w:rPr>
          <w:lang w:eastAsia="en-GB"/>
        </w:rPr>
        <w:t xml:space="preserve"> </w:t>
      </w:r>
      <w:bookmarkStart w:id="3" w:name="_Hlk23342966"/>
      <w:r w:rsidR="00BD161B">
        <w:rPr>
          <w:lang w:eastAsia="en-GB"/>
        </w:rPr>
        <w:t xml:space="preserve">Fact and date of death recorded in primary care records, which have shown </w:t>
      </w:r>
      <w:r w:rsidR="00114E53">
        <w:rPr>
          <w:lang w:eastAsia="en-GB"/>
        </w:rPr>
        <w:t xml:space="preserve">a high level of </w:t>
      </w:r>
      <w:r w:rsidR="00BD161B">
        <w:rPr>
          <w:lang w:eastAsia="en-GB"/>
        </w:rPr>
        <w:t xml:space="preserve">agreement with national death certification, were used to identify </w:t>
      </w:r>
      <w:r w:rsidR="005C2C0D">
        <w:rPr>
          <w:lang w:eastAsia="en-GB"/>
        </w:rPr>
        <w:t>patients who had died</w:t>
      </w:r>
      <w:r w:rsidR="00BD161B">
        <w:rPr>
          <w:lang w:eastAsia="en-GB"/>
        </w:rPr>
        <w:t xml:space="preserve"> </w:t>
      </w:r>
      <w:r w:rsidR="00B01833">
        <w:rPr>
          <w:lang w:eastAsia="en-GB"/>
        </w:rPr>
        <w:fldChar w:fldCharType="begin"/>
      </w:r>
      <w:r w:rsidR="005E40A7">
        <w:rPr>
          <w:lang w:eastAsia="en-GB"/>
        </w:rPr>
        <w:instrText xml:space="preserve"> ADDIN ZOTERO_ITEM CSL_CITATION {"citationID":"BWRQAGP3","properties":{"formattedCitation":"[12]","plainCitation":"[12]","noteIndex":0},"citationItems":[{"id":21156,"uris":["http://zotero.org/groups/23637/items/QPYYE7H9"],"uri":["http://zotero.org/groups/23637/items/QPYYE7H9"],"itemData":{"id":21156,"type":"article-journal","title":"The accuracy of date of death recording in the Clinical Practice Research Datalink GOLD database in England compared with the Office for National Statistics death registrations","container-title":"Pharmacoepidemiology and Drug Safety","page":"563-569","volume":"28","issue":"5","source":"Wiley Online Library","abstract":"Purpose It is not clear whether all deaths are recorded in the Clinical Practice Research Datalink (CPRD) or how accurate a recorded date of death is. Individual-level linkage with national data from the Office for National Statistics (ONS) and Hospital Episode Statistics (HES) in England offers the opportunity to compare death information across different data sources. Methods Age-standardised mortality rates (ASMRs) standardised to the European Standard Population (ESP) 2013 for CPRD were compared with figures published by the ONS, and crude mortality rates were calculated for a sample population with individual linkage between CPRD, ONS, and HES data. Agreement on the fact of death between CPRD and ONS was assessed and presented over time from 1998 to 2013. Results There were 33 997 patients with a record of death in the ONS data; 33 389 (98.2%) of these were also identified in CPRD. Exact agreement on the death date between CPRD and the ONS was 69.7% across the whole study period, increasing from 53.4% in 1998 to 78.0% in 2013. By 2013, 98.8% of deaths were in agreement within ±30 days. Conclusions For censoring follow-up and calculating mortality rates, CPRD data are likely to be sufficient, as a delay in death recording of up to 1 month is unlikely to impact results significantly. Where the exact date of death or the cause is important, it may be advisable to include the individually linked death registration data from the ONS.","DOI":"10.1002/pds.4747","ISSN":"1099-1557","language":"en","author":[{"family":"Gallagher","given":"Arlene M."},{"family":"Dedman","given":"Daniel"},{"family":"Padmanabhan","given":"Shivani"},{"family":"Leufkens","given":"Hubert G. M."},{"family":"Vries","given":"Frank","dropping-particle":"de"}],"issued":{"date-parts":[["2019"]]}}}],"schema":"https://github.com/citation-style-language/schema/raw/master/csl-citation.json"} </w:instrText>
      </w:r>
      <w:r w:rsidR="00B01833">
        <w:rPr>
          <w:lang w:eastAsia="en-GB"/>
        </w:rPr>
        <w:fldChar w:fldCharType="separate"/>
      </w:r>
      <w:r w:rsidR="005E40A7" w:rsidRPr="005E40A7">
        <w:rPr>
          <w:rFonts w:ascii="Calibri" w:hAnsi="Calibri" w:cs="Calibri"/>
        </w:rPr>
        <w:t>[12]</w:t>
      </w:r>
      <w:r w:rsidR="00B01833">
        <w:rPr>
          <w:lang w:eastAsia="en-GB"/>
        </w:rPr>
        <w:fldChar w:fldCharType="end"/>
      </w:r>
      <w:r w:rsidR="00BD161B">
        <w:rPr>
          <w:lang w:eastAsia="en-GB"/>
        </w:rPr>
        <w:t>.</w:t>
      </w:r>
      <w:bookmarkEnd w:id="3"/>
      <w:r w:rsidR="00BD161B">
        <w:rPr>
          <w:lang w:eastAsia="en-GB"/>
        </w:rPr>
        <w:t xml:space="preserve">  </w:t>
      </w:r>
      <w:r w:rsidR="00D9708E">
        <w:rPr>
          <w:lang w:eastAsia="en-GB"/>
        </w:rPr>
        <w:t xml:space="preserve">Focus was primarily on patients who had only one of these conditions; where </w:t>
      </w:r>
      <w:r w:rsidR="00BA4D61">
        <w:rPr>
          <w:lang w:eastAsia="en-GB"/>
        </w:rPr>
        <w:t xml:space="preserve">two or </w:t>
      </w:r>
      <w:r w:rsidR="00D9708E">
        <w:rPr>
          <w:lang w:eastAsia="en-GB"/>
        </w:rPr>
        <w:t xml:space="preserve">more </w:t>
      </w:r>
      <w:r w:rsidR="00BA4D61">
        <w:rPr>
          <w:lang w:eastAsia="en-GB"/>
        </w:rPr>
        <w:t>were</w:t>
      </w:r>
      <w:r w:rsidR="00D9708E">
        <w:rPr>
          <w:lang w:eastAsia="en-GB"/>
        </w:rPr>
        <w:t xml:space="preserve"> recorded, patients were considered in two additional groups based on whether or not they had cancer.  </w:t>
      </w:r>
      <w:r w:rsidR="00F013C3">
        <w:rPr>
          <w:lang w:eastAsia="en-GB"/>
        </w:rPr>
        <w:t>Patients</w:t>
      </w:r>
      <w:r w:rsidR="00B34438">
        <w:rPr>
          <w:lang w:eastAsia="en-GB"/>
        </w:rPr>
        <w:t xml:space="preserve"> were included if they</w:t>
      </w:r>
      <w:r w:rsidR="00B34438" w:rsidRPr="00865007">
        <w:rPr>
          <w:lang w:eastAsia="en-GB"/>
        </w:rPr>
        <w:t xml:space="preserve"> </w:t>
      </w:r>
      <w:r w:rsidR="00B34438" w:rsidRPr="00985142">
        <w:rPr>
          <w:lang w:eastAsia="en-GB"/>
        </w:rPr>
        <w:t xml:space="preserve">had </w:t>
      </w:r>
      <w:r w:rsidR="00543DC7">
        <w:rPr>
          <w:lang w:eastAsia="en-GB"/>
        </w:rPr>
        <w:t>at least</w:t>
      </w:r>
      <w:r w:rsidR="00B34438" w:rsidRPr="00985142">
        <w:rPr>
          <w:lang w:eastAsia="en-GB"/>
        </w:rPr>
        <w:t xml:space="preserve"> one year </w:t>
      </w:r>
      <w:r w:rsidR="00B34438">
        <w:rPr>
          <w:lang w:eastAsia="en-GB"/>
        </w:rPr>
        <w:t>of</w:t>
      </w:r>
      <w:r w:rsidR="00B34438" w:rsidRPr="00985142">
        <w:rPr>
          <w:lang w:eastAsia="en-GB"/>
        </w:rPr>
        <w:t xml:space="preserve"> records </w:t>
      </w:r>
      <w:r w:rsidR="00543DC7">
        <w:rPr>
          <w:lang w:eastAsia="en-GB"/>
        </w:rPr>
        <w:t>and</w:t>
      </w:r>
      <w:r w:rsidR="00B34438">
        <w:rPr>
          <w:lang w:eastAsia="en-GB"/>
        </w:rPr>
        <w:t xml:space="preserve"> </w:t>
      </w:r>
      <w:r w:rsidR="00B34438" w:rsidRPr="00985142">
        <w:rPr>
          <w:lang w:eastAsia="en-GB"/>
        </w:rPr>
        <w:t xml:space="preserve">met CPRD acceptability criteria for </w:t>
      </w:r>
      <w:r w:rsidR="004F5D5D">
        <w:rPr>
          <w:lang w:eastAsia="en-GB"/>
        </w:rPr>
        <w:t>data quality</w:t>
      </w:r>
      <w:r w:rsidR="00543DC7">
        <w:rPr>
          <w:lang w:eastAsia="en-GB"/>
        </w:rPr>
        <w:t>;</w:t>
      </w:r>
      <w:r w:rsidR="00B34438">
        <w:rPr>
          <w:lang w:eastAsia="en-GB"/>
        </w:rPr>
        <w:t xml:space="preserve"> for sensitivity analyses, subgroups of patients were </w:t>
      </w:r>
      <w:r w:rsidR="004F5D5D">
        <w:rPr>
          <w:lang w:eastAsia="en-GB"/>
        </w:rPr>
        <w:t>established</w:t>
      </w:r>
      <w:r w:rsidR="00B34438">
        <w:rPr>
          <w:lang w:eastAsia="en-GB"/>
        </w:rPr>
        <w:t xml:space="preserve"> based on whether conditions were recorded </w:t>
      </w:r>
      <w:r w:rsidR="00543DC7">
        <w:rPr>
          <w:lang w:eastAsia="en-GB"/>
        </w:rPr>
        <w:t xml:space="preserve">either </w:t>
      </w:r>
      <w:r w:rsidR="00B34438">
        <w:rPr>
          <w:lang w:eastAsia="en-GB"/>
        </w:rPr>
        <w:t>within five years</w:t>
      </w:r>
      <w:r w:rsidR="00543DC7">
        <w:rPr>
          <w:lang w:eastAsia="en-GB"/>
        </w:rPr>
        <w:t xml:space="preserve"> of</w:t>
      </w:r>
      <w:r w:rsidR="00B34438">
        <w:rPr>
          <w:lang w:eastAsia="en-GB"/>
        </w:rPr>
        <w:t>, or in the year before</w:t>
      </w:r>
      <w:r w:rsidR="00543DC7">
        <w:rPr>
          <w:lang w:eastAsia="en-GB"/>
        </w:rPr>
        <w:t>,</w:t>
      </w:r>
      <w:r w:rsidR="00B34438">
        <w:rPr>
          <w:lang w:eastAsia="en-GB"/>
        </w:rPr>
        <w:t xml:space="preserve"> death.</w:t>
      </w:r>
    </w:p>
    <w:p w:rsidR="006A5F9E" w:rsidRDefault="006A5F9E" w:rsidP="00590FD9">
      <w:pPr>
        <w:rPr>
          <w:lang w:eastAsia="en-GB"/>
        </w:rPr>
      </w:pPr>
    </w:p>
    <w:p w:rsidR="005C56BC" w:rsidRDefault="008B2ECB" w:rsidP="005C56BC">
      <w:pPr>
        <w:rPr>
          <w:lang w:eastAsia="en-GB"/>
        </w:rPr>
      </w:pPr>
      <w:r>
        <w:rPr>
          <w:lang w:eastAsia="en-GB"/>
        </w:rPr>
        <w:t xml:space="preserve">The </w:t>
      </w:r>
      <w:r w:rsidR="005C56BC">
        <w:rPr>
          <w:lang w:eastAsia="en-GB"/>
        </w:rPr>
        <w:t xml:space="preserve">palliative care register </w:t>
      </w:r>
      <w:r w:rsidR="00980191">
        <w:rPr>
          <w:lang w:eastAsia="en-GB"/>
        </w:rPr>
        <w:t xml:space="preserve">that </w:t>
      </w:r>
      <w:r w:rsidR="009054A0">
        <w:rPr>
          <w:lang w:eastAsia="en-GB"/>
        </w:rPr>
        <w:t xml:space="preserve">has been part of QOF </w:t>
      </w:r>
      <w:r w:rsidR="005C56BC">
        <w:rPr>
          <w:lang w:eastAsia="en-GB"/>
        </w:rPr>
        <w:t>since 2006</w:t>
      </w:r>
      <w:r w:rsidR="00980191">
        <w:rPr>
          <w:lang w:eastAsia="en-GB"/>
        </w:rPr>
        <w:t xml:space="preserve"> covers clinical terms relating to palliative care services; </w:t>
      </w:r>
      <w:r w:rsidR="00D57C57">
        <w:rPr>
          <w:lang w:eastAsia="en-GB"/>
        </w:rPr>
        <w:t>advance care directives, recording of preferred place of death, indication of terminal illness</w:t>
      </w:r>
      <w:r w:rsidR="009054A0">
        <w:rPr>
          <w:lang w:eastAsia="en-GB"/>
        </w:rPr>
        <w:t xml:space="preserve"> and </w:t>
      </w:r>
      <w:r w:rsidR="00804D26">
        <w:rPr>
          <w:lang w:eastAsia="en-GB"/>
        </w:rPr>
        <w:t>similar</w:t>
      </w:r>
      <w:r w:rsidR="009054A0">
        <w:rPr>
          <w:lang w:eastAsia="en-GB"/>
        </w:rPr>
        <w:t xml:space="preserve"> </w:t>
      </w:r>
      <w:r w:rsidR="00804D26">
        <w:rPr>
          <w:lang w:eastAsia="en-GB"/>
        </w:rPr>
        <w:t>care near the end of life</w:t>
      </w:r>
      <w:r w:rsidR="00D57C57">
        <w:rPr>
          <w:lang w:eastAsia="en-GB"/>
        </w:rPr>
        <w:t xml:space="preserve"> </w:t>
      </w:r>
      <w:r w:rsidR="005C56BC">
        <w:rPr>
          <w:lang w:eastAsia="en-GB"/>
        </w:rPr>
        <w:t>are not covered</w:t>
      </w:r>
      <w:r w:rsidR="00980191">
        <w:rPr>
          <w:lang w:eastAsia="en-GB"/>
        </w:rPr>
        <w:t>.  Therefore,</w:t>
      </w:r>
      <w:r w:rsidR="005C56BC">
        <w:rPr>
          <w:lang w:eastAsia="en-GB"/>
        </w:rPr>
        <w:t xml:space="preserve"> a </w:t>
      </w:r>
      <w:r w:rsidR="00990ADF">
        <w:rPr>
          <w:lang w:eastAsia="en-GB"/>
        </w:rPr>
        <w:t xml:space="preserve">comprehensive </w:t>
      </w:r>
      <w:r w:rsidR="005C56BC">
        <w:rPr>
          <w:lang w:eastAsia="en-GB"/>
        </w:rPr>
        <w:t xml:space="preserve">list of Read codes </w:t>
      </w:r>
      <w:r w:rsidR="00980191">
        <w:rPr>
          <w:lang w:eastAsia="en-GB"/>
        </w:rPr>
        <w:t xml:space="preserve">that reflected recognition of the need for end of life care </w:t>
      </w:r>
      <w:r w:rsidR="005C56BC">
        <w:rPr>
          <w:lang w:eastAsia="en-GB"/>
        </w:rPr>
        <w:t xml:space="preserve">was developed (Supplementary Table </w:t>
      </w:r>
      <w:r w:rsidR="002751FF">
        <w:rPr>
          <w:lang w:eastAsia="en-GB"/>
        </w:rPr>
        <w:t>1</w:t>
      </w:r>
      <w:r w:rsidR="005C56BC">
        <w:rPr>
          <w:lang w:eastAsia="en-GB"/>
        </w:rPr>
        <w:t xml:space="preserve">).  Patients were </w:t>
      </w:r>
      <w:r w:rsidR="00B22377">
        <w:rPr>
          <w:lang w:eastAsia="en-GB"/>
        </w:rPr>
        <w:t xml:space="preserve">considered as </w:t>
      </w:r>
      <w:r w:rsidR="005C56BC">
        <w:rPr>
          <w:lang w:eastAsia="en-GB"/>
        </w:rPr>
        <w:t>recognised as</w:t>
      </w:r>
      <w:r w:rsidR="00D57C57">
        <w:rPr>
          <w:lang w:eastAsia="en-GB"/>
        </w:rPr>
        <w:t xml:space="preserve"> needing palliative approach </w:t>
      </w:r>
      <w:r w:rsidR="005C56BC">
        <w:rPr>
          <w:lang w:eastAsia="en-GB"/>
        </w:rPr>
        <w:t xml:space="preserve">if any of these codes appeared in their primary care records; in addition, the time between the earliest recording of any </w:t>
      </w:r>
      <w:r w:rsidR="00F91B2D">
        <w:rPr>
          <w:lang w:eastAsia="en-GB"/>
        </w:rPr>
        <w:t>palliative care</w:t>
      </w:r>
      <w:r w:rsidR="005C56BC">
        <w:rPr>
          <w:lang w:eastAsia="en-GB"/>
        </w:rPr>
        <w:t xml:space="preserve"> code and their death was calculated.  Where no </w:t>
      </w:r>
      <w:r w:rsidR="00D57C57">
        <w:rPr>
          <w:lang w:eastAsia="en-GB"/>
        </w:rPr>
        <w:t>palliative care</w:t>
      </w:r>
      <w:r w:rsidR="005C56BC">
        <w:rPr>
          <w:lang w:eastAsia="en-GB"/>
        </w:rPr>
        <w:t xml:space="preserve"> codes were recorded</w:t>
      </w:r>
      <w:r w:rsidR="004C1E56">
        <w:rPr>
          <w:lang w:eastAsia="en-GB"/>
        </w:rPr>
        <w:t>,</w:t>
      </w:r>
      <w:r w:rsidR="005C56BC">
        <w:rPr>
          <w:lang w:eastAsia="en-GB"/>
        </w:rPr>
        <w:t xml:space="preserve"> patients were considered as not </w:t>
      </w:r>
      <w:r w:rsidR="00D9708E">
        <w:rPr>
          <w:lang w:eastAsia="en-GB"/>
        </w:rPr>
        <w:t xml:space="preserve">being </w:t>
      </w:r>
      <w:r w:rsidR="005C56BC">
        <w:rPr>
          <w:lang w:eastAsia="en-GB"/>
        </w:rPr>
        <w:t xml:space="preserve">recognised as </w:t>
      </w:r>
      <w:r w:rsidR="00D57C57">
        <w:rPr>
          <w:lang w:eastAsia="en-GB"/>
        </w:rPr>
        <w:t>needing palliative approach</w:t>
      </w:r>
      <w:r w:rsidR="005C56BC">
        <w:rPr>
          <w:lang w:eastAsia="en-GB"/>
        </w:rPr>
        <w:t>.</w:t>
      </w:r>
    </w:p>
    <w:p w:rsidR="00E2654B" w:rsidRDefault="00E2654B" w:rsidP="00590FD9">
      <w:pPr>
        <w:rPr>
          <w:lang w:eastAsia="en-GB"/>
        </w:rPr>
      </w:pPr>
      <w:bookmarkStart w:id="4" w:name="pone-0113188-t001"/>
      <w:bookmarkStart w:id="5" w:name="article1.body1.sec2.sec2.p2"/>
      <w:bookmarkEnd w:id="4"/>
      <w:bookmarkEnd w:id="5"/>
    </w:p>
    <w:p w:rsidR="00B80394" w:rsidRDefault="0037576B" w:rsidP="00B80394">
      <w:pPr>
        <w:rPr>
          <w:lang w:eastAsia="en-GB"/>
        </w:rPr>
      </w:pPr>
      <w:r>
        <w:rPr>
          <w:lang w:eastAsia="en-GB"/>
        </w:rPr>
        <w:t>I</w:t>
      </w:r>
      <w:r w:rsidR="00B80394">
        <w:rPr>
          <w:lang w:eastAsia="en-GB"/>
        </w:rPr>
        <w:t xml:space="preserve">nformation on whether </w:t>
      </w:r>
      <w:r w:rsidR="006A1949">
        <w:rPr>
          <w:lang w:eastAsia="en-GB"/>
        </w:rPr>
        <w:t>patients</w:t>
      </w:r>
      <w:r w:rsidR="0041432E">
        <w:rPr>
          <w:lang w:eastAsia="en-GB"/>
        </w:rPr>
        <w:t xml:space="preserve"> </w:t>
      </w:r>
      <w:r w:rsidR="00B80394">
        <w:rPr>
          <w:lang w:eastAsia="en-GB"/>
        </w:rPr>
        <w:t xml:space="preserve">died in hospital </w:t>
      </w:r>
      <w:r w:rsidR="00B22377">
        <w:rPr>
          <w:lang w:eastAsia="en-GB"/>
        </w:rPr>
        <w:t xml:space="preserve">was </w:t>
      </w:r>
      <w:r w:rsidR="00B80394">
        <w:rPr>
          <w:lang w:eastAsia="en-GB"/>
        </w:rPr>
        <w:t>obtained from secondary care data</w:t>
      </w:r>
      <w:r w:rsidR="00BA4D61">
        <w:rPr>
          <w:lang w:eastAsia="en-GB"/>
        </w:rPr>
        <w:t>, which was</w:t>
      </w:r>
      <w:r w:rsidR="00BA4D61" w:rsidRPr="00BA4D61">
        <w:rPr>
          <w:lang w:eastAsia="en-GB"/>
        </w:rPr>
        <w:t xml:space="preserve"> </w:t>
      </w:r>
      <w:r w:rsidR="00BA4D61">
        <w:rPr>
          <w:lang w:eastAsia="en-GB"/>
        </w:rPr>
        <w:t>available for 81% of the cohorts who had consented for linkage of CPRD to HES.  From their HES records, it was possible to determine whether a patient had died in hospital</w:t>
      </w:r>
      <w:r w:rsidR="00D47827">
        <w:rPr>
          <w:lang w:eastAsia="en-GB"/>
        </w:rPr>
        <w:t>;</w:t>
      </w:r>
      <w:r w:rsidR="00B80394">
        <w:rPr>
          <w:lang w:eastAsia="en-GB"/>
        </w:rPr>
        <w:t xml:space="preserve"> </w:t>
      </w:r>
      <w:r w:rsidR="00BA4D61">
        <w:rPr>
          <w:lang w:eastAsia="en-GB"/>
        </w:rPr>
        <w:t>otherwise, patients</w:t>
      </w:r>
      <w:r w:rsidR="0040010E">
        <w:rPr>
          <w:lang w:eastAsia="en-GB"/>
        </w:rPr>
        <w:t xml:space="preserve"> </w:t>
      </w:r>
      <w:r w:rsidR="00B869BC">
        <w:rPr>
          <w:lang w:eastAsia="en-GB"/>
        </w:rPr>
        <w:t xml:space="preserve">were assumed to have died outside hospital.  </w:t>
      </w:r>
      <w:r w:rsidR="00BA4D61">
        <w:rPr>
          <w:lang w:eastAsia="en-GB"/>
        </w:rPr>
        <w:t>P</w:t>
      </w:r>
      <w:r w:rsidR="00B66BC8">
        <w:rPr>
          <w:lang w:eastAsia="en-GB"/>
        </w:rPr>
        <w:t xml:space="preserve">atients </w:t>
      </w:r>
      <w:r w:rsidR="00D47827">
        <w:rPr>
          <w:lang w:eastAsia="en-GB"/>
        </w:rPr>
        <w:t>with no consent</w:t>
      </w:r>
      <w:r w:rsidR="00B66BC8">
        <w:rPr>
          <w:lang w:eastAsia="en-GB"/>
        </w:rPr>
        <w:t xml:space="preserve"> </w:t>
      </w:r>
      <w:r w:rsidR="00BA4D61">
        <w:rPr>
          <w:lang w:eastAsia="en-GB"/>
        </w:rPr>
        <w:t xml:space="preserve">for linkage </w:t>
      </w:r>
      <w:r w:rsidR="00804D26">
        <w:rPr>
          <w:lang w:eastAsia="en-GB"/>
        </w:rPr>
        <w:t>were excluded from the analysis of death in hospital</w:t>
      </w:r>
      <w:r w:rsidR="00581993">
        <w:rPr>
          <w:lang w:eastAsia="en-GB"/>
        </w:rPr>
        <w:t>.</w:t>
      </w:r>
    </w:p>
    <w:p w:rsidR="00B80394" w:rsidRPr="00010518" w:rsidRDefault="00B80394" w:rsidP="00B80394"/>
    <w:p w:rsidR="00105DB7" w:rsidRDefault="00F00C39" w:rsidP="00105DB7">
      <w:pPr>
        <w:rPr>
          <w:lang w:eastAsia="en-GB"/>
        </w:rPr>
      </w:pPr>
      <w:bookmarkStart w:id="6" w:name="article1.body1.sec2.sec3.p2"/>
      <w:bookmarkEnd w:id="6"/>
      <w:r>
        <w:t xml:space="preserve">Proportions </w:t>
      </w:r>
      <w:r w:rsidR="00456160">
        <w:t>recognised as requiring a palliative approach were calculated</w:t>
      </w:r>
      <w:r w:rsidR="006B6D8F">
        <w:t xml:space="preserve">, and in order to be comparable to cancer patients, </w:t>
      </w:r>
      <w:r>
        <w:t>were standardised to the age</w:t>
      </w:r>
      <w:r w:rsidR="00990ADF">
        <w:t>-</w:t>
      </w:r>
      <w:r>
        <w:t xml:space="preserve"> and sex</w:t>
      </w:r>
      <w:r w:rsidR="00990ADF">
        <w:t>-</w:t>
      </w:r>
      <w:r>
        <w:t xml:space="preserve">distribution of cancer patients who died in the first year of the study (April 2009-March 2010).  </w:t>
      </w:r>
      <w:r w:rsidR="007C657A">
        <w:t>A</w:t>
      </w:r>
      <w:r w:rsidR="00754FEF">
        <w:t xml:space="preserve">nnual </w:t>
      </w:r>
      <w:r w:rsidR="007C657A">
        <w:t>changes</w:t>
      </w:r>
      <w:r w:rsidR="00754FEF">
        <w:t xml:space="preserve"> in p</w:t>
      </w:r>
      <w:r w:rsidR="007C657A">
        <w:t>roportions</w:t>
      </w:r>
      <w:r w:rsidR="002462E8">
        <w:t xml:space="preserve">, with </w:t>
      </w:r>
      <w:r w:rsidR="002462E8">
        <w:lastRenderedPageBreak/>
        <w:t>95% confidence intervals (CI),</w:t>
      </w:r>
      <w:r w:rsidR="00754FEF">
        <w:t xml:space="preserve"> </w:t>
      </w:r>
      <w:r w:rsidR="00990ADF">
        <w:t>w</w:t>
      </w:r>
      <w:r w:rsidR="007C657A">
        <w:t>ere</w:t>
      </w:r>
      <w:r w:rsidR="00990ADF">
        <w:t xml:space="preserve"> </w:t>
      </w:r>
      <w:r w:rsidR="008F29A6">
        <w:t>estimated using binomial regression</w:t>
      </w:r>
      <w:r w:rsidR="002462E8">
        <w:t xml:space="preserve">; annual changes in proportions were assumed to be linear since all tests for departure from linearity were not statistically </w:t>
      </w:r>
      <w:proofErr w:type="gramStart"/>
      <w:r w:rsidR="002462E8">
        <w:t>significant.</w:t>
      </w:r>
      <w:r w:rsidR="00754FEF">
        <w:t>.</w:t>
      </w:r>
      <w:proofErr w:type="gramEnd"/>
      <w:r w:rsidR="00D1305F">
        <w:t xml:space="preserve"> </w:t>
      </w:r>
      <w:r w:rsidR="00D1305F" w:rsidRPr="00D1305F">
        <w:t xml:space="preserve"> </w:t>
      </w:r>
      <w:r w:rsidR="007C657A">
        <w:t>A</w:t>
      </w:r>
      <w:r w:rsidR="00105DB7">
        <w:t xml:space="preserve">ll analyses were conducted using Stata 14.2.  </w:t>
      </w:r>
    </w:p>
    <w:p w:rsidR="00F00C39" w:rsidRPr="00B02247" w:rsidRDefault="00F00C39" w:rsidP="00F00C39">
      <w:pPr>
        <w:pStyle w:val="Heading2"/>
      </w:pPr>
      <w:r>
        <w:t>Result</w:t>
      </w:r>
      <w:r w:rsidRPr="00B02247">
        <w:t>s</w:t>
      </w:r>
    </w:p>
    <w:p w:rsidR="00F7401E" w:rsidRDefault="00A47206" w:rsidP="00EE33B2">
      <w:r>
        <w:t xml:space="preserve">Figure 1 </w:t>
      </w:r>
      <w:r w:rsidR="00105BED">
        <w:t>shows</w:t>
      </w:r>
      <w:r w:rsidR="00A75B26">
        <w:t xml:space="preserve"> how </w:t>
      </w:r>
      <w:r>
        <w:t xml:space="preserve">the </w:t>
      </w:r>
      <w:r w:rsidR="008A181E">
        <w:t xml:space="preserve">47 473 </w:t>
      </w:r>
      <w:r>
        <w:t xml:space="preserve">patients </w:t>
      </w:r>
      <w:r w:rsidR="008A181E">
        <w:t xml:space="preserve">included in </w:t>
      </w:r>
      <w:r w:rsidR="00A45363">
        <w:t xml:space="preserve">the sequential </w:t>
      </w:r>
      <w:r w:rsidR="008A181E">
        <w:t>cross-sectional stud</w:t>
      </w:r>
      <w:r w:rsidR="00A45363">
        <w:t>ies</w:t>
      </w:r>
      <w:r w:rsidR="00A75B26">
        <w:t xml:space="preserve"> were identified in CPRD, and </w:t>
      </w:r>
      <w:r w:rsidR="00E50DCF">
        <w:t>Table 1</w:t>
      </w:r>
      <w:r w:rsidR="00105BED">
        <w:t>,</w:t>
      </w:r>
      <w:r w:rsidR="00E50DCF">
        <w:t xml:space="preserve"> the expected between-disease differences in age and sex distributions</w:t>
      </w:r>
      <w:r w:rsidR="00042C60">
        <w:t xml:space="preserve">. </w:t>
      </w:r>
      <w:r w:rsidR="00105BED">
        <w:t xml:space="preserve"> For all conditions except cancer, </w:t>
      </w:r>
      <w:r w:rsidR="00F86058">
        <w:t>palliative care codes outside QOF were used as often as th</w:t>
      </w:r>
      <w:r w:rsidR="000F08AC">
        <w:t>ose in</w:t>
      </w:r>
      <w:r w:rsidR="00F86058">
        <w:t xml:space="preserve"> QOF,</w:t>
      </w:r>
      <w:r w:rsidR="00B15572">
        <w:t xml:space="preserve"> </w:t>
      </w:r>
      <w:r w:rsidR="00105BED">
        <w:t>and hence the totality was used in all presented analyses</w:t>
      </w:r>
      <w:r w:rsidR="00F86058">
        <w:t>.</w:t>
      </w:r>
    </w:p>
    <w:p w:rsidR="00F00C39" w:rsidRDefault="00F00C39" w:rsidP="00775269"/>
    <w:p w:rsidR="0002194B" w:rsidRDefault="00042C60" w:rsidP="00A505E2">
      <w:r>
        <w:t>In the</w:t>
      </w:r>
      <w:r w:rsidR="00F00C39">
        <w:t xml:space="preserve"> first year of our study, around three in every 20 patients with </w:t>
      </w:r>
      <w:r w:rsidR="00A26992">
        <w:t>COPD, HF or dementia</w:t>
      </w:r>
      <w:r w:rsidR="00F00C39">
        <w:t xml:space="preserve"> were </w:t>
      </w:r>
      <w:r w:rsidR="004C5A75">
        <w:t>recorded with a code recognising a palliative approach</w:t>
      </w:r>
      <w:r w:rsidR="00A505E2">
        <w:t>, compare</w:t>
      </w:r>
      <w:r w:rsidR="00EE33B2">
        <w:t>d</w:t>
      </w:r>
      <w:r w:rsidR="00A505E2">
        <w:t xml:space="preserve"> to 12 in every 20</w:t>
      </w:r>
      <w:r w:rsidR="00C0035B">
        <w:t xml:space="preserve"> </w:t>
      </w:r>
      <w:r w:rsidR="00A505E2">
        <w:t>cancer patients</w:t>
      </w:r>
      <w:r w:rsidR="00EE33B2">
        <w:t xml:space="preserve"> (Table 2)</w:t>
      </w:r>
      <w:r w:rsidR="00F00C39">
        <w:t xml:space="preserve">.  </w:t>
      </w:r>
      <w:r w:rsidR="00EE33B2">
        <w:t>B</w:t>
      </w:r>
      <w:r w:rsidR="00F00C39">
        <w:t xml:space="preserve">y the final period, April 2013 to March 2014, </w:t>
      </w:r>
      <w:r w:rsidR="00EE33B2">
        <w:t xml:space="preserve">proportions had increased to </w:t>
      </w:r>
      <w:r w:rsidR="00647012">
        <w:t xml:space="preserve">four </w:t>
      </w:r>
      <w:r w:rsidR="00F00C39">
        <w:t xml:space="preserve">in every 20 patients with COPD; </w:t>
      </w:r>
      <w:r w:rsidR="00647012">
        <w:t xml:space="preserve">eight </w:t>
      </w:r>
      <w:r w:rsidR="00F00C39">
        <w:t xml:space="preserve">in every 20 with dementia; </w:t>
      </w:r>
      <w:r w:rsidR="00A26992">
        <w:t xml:space="preserve">and </w:t>
      </w:r>
      <w:r w:rsidR="00647012">
        <w:t xml:space="preserve">five </w:t>
      </w:r>
      <w:r w:rsidR="00F00C39">
        <w:t xml:space="preserve">in every 20 with </w:t>
      </w:r>
      <w:r w:rsidR="00A26992">
        <w:t>HF</w:t>
      </w:r>
      <w:r w:rsidR="00EE33B2">
        <w:t>.</w:t>
      </w:r>
      <w:r w:rsidR="00862C46">
        <w:t xml:space="preserve">  </w:t>
      </w:r>
      <w:r w:rsidR="00A26992">
        <w:t>P</w:t>
      </w:r>
      <w:r w:rsidR="00862C46">
        <w:t xml:space="preserve">alliative care recording </w:t>
      </w:r>
      <w:r w:rsidR="00A26992">
        <w:t>increased</w:t>
      </w:r>
      <w:r w:rsidR="00647012">
        <w:t xml:space="preserve"> </w:t>
      </w:r>
      <w:r w:rsidR="00862C46">
        <w:t xml:space="preserve">most for </w:t>
      </w:r>
      <w:r w:rsidR="00A26992">
        <w:t>patients</w:t>
      </w:r>
      <w:r w:rsidR="00B27C01">
        <w:t xml:space="preserve"> with </w:t>
      </w:r>
      <w:r w:rsidR="00862C46">
        <w:t>dementia</w:t>
      </w:r>
      <w:r w:rsidR="00A26992">
        <w:t>, growing by 6.4% per year</w:t>
      </w:r>
      <w:r w:rsidR="00862C46">
        <w:t xml:space="preserve"> (</w:t>
      </w:r>
      <w:r w:rsidR="00F00C39">
        <w:t xml:space="preserve">95%CI 5.8, 7.0%); followed by </w:t>
      </w:r>
      <w:r w:rsidR="00A26992">
        <w:t>HF at</w:t>
      </w:r>
      <w:r w:rsidR="00F00C39">
        <w:t xml:space="preserve"> 2.</w:t>
      </w:r>
      <w:r w:rsidR="00B27C01">
        <w:t>6</w:t>
      </w:r>
      <w:r w:rsidR="00F00C39">
        <w:t xml:space="preserve">% </w:t>
      </w:r>
      <w:r w:rsidR="00A26992">
        <w:t>(</w:t>
      </w:r>
      <w:r w:rsidR="00F00C39">
        <w:t xml:space="preserve">95%CI </w:t>
      </w:r>
      <w:r w:rsidR="00B27C01">
        <w:t>2.0</w:t>
      </w:r>
      <w:r w:rsidR="00F00C39">
        <w:t xml:space="preserve">, 3.1%); </w:t>
      </w:r>
      <w:r w:rsidR="00314CB9">
        <w:t>and</w:t>
      </w:r>
      <w:r w:rsidR="00F00C39">
        <w:t xml:space="preserve"> COPD </w:t>
      </w:r>
      <w:r w:rsidR="00314CB9">
        <w:t xml:space="preserve">at </w:t>
      </w:r>
      <w:r w:rsidR="00F00C39">
        <w:t xml:space="preserve">2.3% </w:t>
      </w:r>
      <w:r w:rsidR="00314CB9">
        <w:t>(</w:t>
      </w:r>
      <w:r w:rsidR="00F00C39">
        <w:t>95%CI 1.7, 2.9%)</w:t>
      </w:r>
      <w:r w:rsidR="00314CB9">
        <w:t xml:space="preserve">.  Over the same period, recording among cancer patients grew by </w:t>
      </w:r>
      <w:r w:rsidR="00F00C39">
        <w:t xml:space="preserve">1.1% </w:t>
      </w:r>
      <w:r w:rsidR="00314CB9">
        <w:t>(</w:t>
      </w:r>
      <w:r w:rsidR="00F00C39">
        <w:t>95%CI 0.7, 1.5%)</w:t>
      </w:r>
      <w:r w:rsidR="00862C46">
        <w:t>.</w:t>
      </w:r>
      <w:r w:rsidR="009F2B1E">
        <w:t xml:space="preserve">  </w:t>
      </w:r>
      <w:r w:rsidR="00F45C7A" w:rsidRPr="00C91433">
        <w:t xml:space="preserve">For </w:t>
      </w:r>
      <w:r w:rsidR="00981745" w:rsidRPr="00C91433">
        <w:t>patients with two or more</w:t>
      </w:r>
      <w:r w:rsidR="00F45C7A" w:rsidRPr="00C91433">
        <w:t xml:space="preserve"> conditions</w:t>
      </w:r>
      <w:r w:rsidR="00981745" w:rsidRPr="00C91433">
        <w:t xml:space="preserve">, those without cancer saw an increase from three to six in every 20 patients being recorded, and those with cancer from nine to 11 in every 20 (Supplementary Table 2). </w:t>
      </w:r>
      <w:r w:rsidR="00F45C7A">
        <w:t xml:space="preserve"> </w:t>
      </w:r>
      <w:r w:rsidR="00757281">
        <w:t>Repeating</w:t>
      </w:r>
      <w:r w:rsidR="00E728AB">
        <w:t xml:space="preserve"> </w:t>
      </w:r>
      <w:r w:rsidR="004C5A75">
        <w:t>analyses</w:t>
      </w:r>
      <w:r w:rsidR="00E728AB">
        <w:t xml:space="preserve"> </w:t>
      </w:r>
      <w:r w:rsidR="00757281">
        <w:t>with</w:t>
      </w:r>
      <w:r w:rsidR="004C5A75">
        <w:t xml:space="preserve"> patients whose conditions were recorded within the 5</w:t>
      </w:r>
      <w:r w:rsidR="00E728AB">
        <w:t>-</w:t>
      </w:r>
      <w:r w:rsidR="004C5A75">
        <w:t xml:space="preserve">year or </w:t>
      </w:r>
      <w:r w:rsidR="00E728AB">
        <w:t>1</w:t>
      </w:r>
      <w:r w:rsidR="004C5A75">
        <w:t>-year period before death</w:t>
      </w:r>
      <w:r w:rsidR="00757281">
        <w:t xml:space="preserve"> gave marginally greater</w:t>
      </w:r>
      <w:r w:rsidR="004C5A75">
        <w:t xml:space="preserve"> proportions</w:t>
      </w:r>
      <w:r w:rsidR="00757281">
        <w:t>,</w:t>
      </w:r>
      <w:r w:rsidR="004C5A75">
        <w:t xml:space="preserve"> </w:t>
      </w:r>
      <w:r w:rsidR="00EB204F">
        <w:t xml:space="preserve">mostly </w:t>
      </w:r>
      <w:r w:rsidR="00862C46">
        <w:t xml:space="preserve">due </w:t>
      </w:r>
      <w:r w:rsidR="00B27C01">
        <w:t xml:space="preserve">to </w:t>
      </w:r>
      <w:r w:rsidR="00EB204F">
        <w:t>a smaller</w:t>
      </w:r>
      <w:r w:rsidR="00E728AB">
        <w:t xml:space="preserve"> number of </w:t>
      </w:r>
      <w:r w:rsidR="00862C46">
        <w:t>patients contri</w:t>
      </w:r>
      <w:r w:rsidR="00F4499D">
        <w:t>b</w:t>
      </w:r>
      <w:r w:rsidR="00862C46">
        <w:t>u</w:t>
      </w:r>
      <w:r w:rsidR="00F4499D">
        <w:t>t</w:t>
      </w:r>
      <w:r w:rsidR="00862C46">
        <w:t>ing to the denominator,</w:t>
      </w:r>
      <w:r w:rsidR="004C5A75">
        <w:t xml:space="preserve"> but the</w:t>
      </w:r>
      <w:r w:rsidR="00F4499D">
        <w:t xml:space="preserve"> annual </w:t>
      </w:r>
      <w:r w:rsidR="00757281">
        <w:t>change</w:t>
      </w:r>
      <w:r w:rsidR="004C5A75">
        <w:t xml:space="preserve"> over time remained the same (data </w:t>
      </w:r>
      <w:r w:rsidR="00A45E99">
        <w:t>available on request</w:t>
      </w:r>
      <w:r w:rsidR="004C5A75">
        <w:t>).</w:t>
      </w:r>
      <w:r w:rsidR="009C1743">
        <w:t xml:space="preserve">  As for the </w:t>
      </w:r>
      <w:r w:rsidR="0002194B">
        <w:t>timing of recording</w:t>
      </w:r>
      <w:r w:rsidR="009C1743">
        <w:t>, this</w:t>
      </w:r>
      <w:r w:rsidR="0002194B">
        <w:t xml:space="preserve"> changed </w:t>
      </w:r>
      <w:r w:rsidR="00F951E3">
        <w:t xml:space="preserve">over </w:t>
      </w:r>
      <w:r w:rsidR="00B27C01">
        <w:t>the study period</w:t>
      </w:r>
      <w:r w:rsidR="009C1743">
        <w:t xml:space="preserve"> (Figure 2).  In the year 2009-10, </w:t>
      </w:r>
      <w:r w:rsidR="003F7A0F">
        <w:t>35.8% with dementia</w:t>
      </w:r>
      <w:r w:rsidR="009C1743">
        <w:t xml:space="preserve"> and</w:t>
      </w:r>
      <w:r w:rsidR="009C1743" w:rsidRPr="009C1743">
        <w:t xml:space="preserve"> </w:t>
      </w:r>
      <w:r w:rsidR="009C1743">
        <w:t>palliative care noted</w:t>
      </w:r>
      <w:r w:rsidR="003F7A0F">
        <w:t>, 22.0%</w:t>
      </w:r>
      <w:r w:rsidR="00E869B6">
        <w:t xml:space="preserve"> with HF and 16.0% with COPD were recorded for the first time in the week before death. </w:t>
      </w:r>
      <w:r w:rsidR="003F7A0F">
        <w:t xml:space="preserve"> </w:t>
      </w:r>
      <w:r w:rsidR="00E869B6">
        <w:t xml:space="preserve">By </w:t>
      </w:r>
      <w:r w:rsidR="009C1743">
        <w:t>2013-14</w:t>
      </w:r>
      <w:r w:rsidR="00E869B6">
        <w:t xml:space="preserve">, </w:t>
      </w:r>
      <w:r w:rsidR="00B76DDF">
        <w:t xml:space="preserve">this </w:t>
      </w:r>
      <w:r w:rsidR="00170AF7">
        <w:t>had reduced</w:t>
      </w:r>
      <w:r w:rsidR="00E869B6">
        <w:t xml:space="preserve"> </w:t>
      </w:r>
      <w:r w:rsidR="009C1743">
        <w:t xml:space="preserve">to 17.5%, 15.6% and 13.3% for </w:t>
      </w:r>
      <w:r w:rsidR="0002194B" w:rsidRPr="004B3F52">
        <w:t>dementia</w:t>
      </w:r>
      <w:r w:rsidR="009C1743">
        <w:t xml:space="preserve">, </w:t>
      </w:r>
      <w:r w:rsidR="003F7A0F">
        <w:t>HF</w:t>
      </w:r>
      <w:r w:rsidR="009C1743">
        <w:t xml:space="preserve"> and</w:t>
      </w:r>
      <w:r w:rsidR="0002194B" w:rsidRPr="004B3F52">
        <w:t xml:space="preserve"> COPD</w:t>
      </w:r>
      <w:r w:rsidR="009C1743">
        <w:t xml:space="preserve"> respectively</w:t>
      </w:r>
      <w:r w:rsidR="00B76DDF">
        <w:t xml:space="preserve">, becoming closer to the </w:t>
      </w:r>
      <w:r w:rsidR="0002194B" w:rsidRPr="004B3F52">
        <w:t>8-10% of patients with cancer.</w:t>
      </w:r>
    </w:p>
    <w:p w:rsidR="00F00C39" w:rsidRDefault="00F00C39" w:rsidP="00775269"/>
    <w:p w:rsidR="009C1743" w:rsidRDefault="009C1743" w:rsidP="009C1743">
      <w:r>
        <w:t xml:space="preserve">Palliative care recording generally increased </w:t>
      </w:r>
      <w:r w:rsidR="00CA7C4E">
        <w:t>among men and women</w:t>
      </w:r>
      <w:r>
        <w:t>;</w:t>
      </w:r>
      <w:r w:rsidR="00515A6F">
        <w:t xml:space="preserve"> </w:t>
      </w:r>
      <w:r w:rsidR="00CA7C4E">
        <w:t>in all age groups</w:t>
      </w:r>
      <w:r>
        <w:t xml:space="preserve">; and across all deprivation categories (Supplemental Table </w:t>
      </w:r>
      <w:r w:rsidR="00AB2789">
        <w:t>3</w:t>
      </w:r>
      <w:r>
        <w:t xml:space="preserve">).  </w:t>
      </w:r>
      <w:r w:rsidR="00CA7C4E">
        <w:t xml:space="preserve">Overall, proportions with palliative care recorded were similar for men and women; </w:t>
      </w:r>
      <w:r w:rsidR="00515A6F">
        <w:t>however,</w:t>
      </w:r>
      <w:r w:rsidR="00CA7C4E">
        <w:t xml:space="preserve"> for dementia, sex-specific proportions diverged such that by 2013-14, 43.9% of women compared to 36.2% of men had palliative care recorded. </w:t>
      </w:r>
      <w:r w:rsidR="00CA7C4E" w:rsidDel="0010278A">
        <w:t xml:space="preserve"> </w:t>
      </w:r>
      <w:r w:rsidR="00CA7C4E">
        <w:t>With regards to age, s</w:t>
      </w:r>
      <w:r w:rsidR="00CA7C4E" w:rsidRPr="005812D7">
        <w:t xml:space="preserve">ome of the </w:t>
      </w:r>
      <w:r w:rsidR="00CA7C4E">
        <w:t>largest</w:t>
      </w:r>
      <w:r w:rsidR="00CA7C4E" w:rsidRPr="005812D7">
        <w:t xml:space="preserve"> increases occurred in those aged 90 or </w:t>
      </w:r>
      <w:r w:rsidR="00CA7C4E">
        <w:t>ov</w:t>
      </w:r>
      <w:r w:rsidR="00CA7C4E" w:rsidRPr="005812D7">
        <w:t xml:space="preserve">er, with annual </w:t>
      </w:r>
      <w:r w:rsidR="00CA7C4E">
        <w:t>change</w:t>
      </w:r>
      <w:r w:rsidR="00CA7C4E" w:rsidRPr="005812D7">
        <w:t xml:space="preserve"> estimated at 2.</w:t>
      </w:r>
      <w:r w:rsidR="00CA7C4E">
        <w:t>4</w:t>
      </w:r>
      <w:r w:rsidR="00CA7C4E" w:rsidRPr="005812D7">
        <w:t>% (95%CI 0.3, 4.</w:t>
      </w:r>
      <w:r w:rsidR="00CA7C4E">
        <w:t>5</w:t>
      </w:r>
      <w:r w:rsidR="00CA7C4E" w:rsidRPr="005812D7">
        <w:t>%) for COPD, and ranging up to 7.2% (95%CI 6.2, 8.2%) for dementia.</w:t>
      </w:r>
      <w:r w:rsidR="00CA7C4E">
        <w:t xml:space="preserve">  On the other hand</w:t>
      </w:r>
      <w:r>
        <w:t xml:space="preserve">, patients </w:t>
      </w:r>
      <w:r w:rsidRPr="00423293">
        <w:t>aged under 70 did not</w:t>
      </w:r>
      <w:r>
        <w:t xml:space="preserve"> </w:t>
      </w:r>
      <w:r w:rsidRPr="00423293">
        <w:t>see an increase in recording</w:t>
      </w:r>
      <w:r>
        <w:t xml:space="preserve">, </w:t>
      </w:r>
      <w:r w:rsidRPr="005812D7">
        <w:t xml:space="preserve">and for </w:t>
      </w:r>
      <w:r w:rsidRPr="005812D7">
        <w:lastRenderedPageBreak/>
        <w:t xml:space="preserve">COPD in particular, where around </w:t>
      </w:r>
      <w:r>
        <w:t xml:space="preserve">a </w:t>
      </w:r>
      <w:r w:rsidRPr="005812D7">
        <w:t xml:space="preserve">fifth of deaths occurred in the under </w:t>
      </w:r>
      <w:r w:rsidR="00CA7C4E" w:rsidRPr="005812D7">
        <w:t>70</w:t>
      </w:r>
      <w:r w:rsidR="00CA7C4E">
        <w:t>-</w:t>
      </w:r>
      <w:r w:rsidRPr="005812D7">
        <w:t xml:space="preserve">year olds, palliative care recording </w:t>
      </w:r>
      <w:r>
        <w:t>was lower than for</w:t>
      </w:r>
      <w:r w:rsidRPr="005812D7">
        <w:t xml:space="preserve"> those aged 70-79, at 16.9% compared to 24.8% </w:t>
      </w:r>
      <w:r>
        <w:t>in</w:t>
      </w:r>
      <w:r w:rsidRPr="00423293">
        <w:t xml:space="preserve"> the last </w:t>
      </w:r>
      <w:r>
        <w:t>period</w:t>
      </w:r>
      <w:r w:rsidRPr="00423293">
        <w:t>.</w:t>
      </w:r>
      <w:r>
        <w:t xml:space="preserve">  </w:t>
      </w:r>
      <w:r w:rsidR="00CA7C4E">
        <w:t>For those living</w:t>
      </w:r>
      <w:r>
        <w:t xml:space="preserve"> in more deprived areas</w:t>
      </w:r>
      <w:r w:rsidR="00CA7C4E">
        <w:t>,</w:t>
      </w:r>
      <w:r>
        <w:t xml:space="preserve"> proportions of palliative care recording </w:t>
      </w:r>
      <w:r w:rsidR="00CA7C4E">
        <w:t xml:space="preserve">tended to be lower </w:t>
      </w:r>
      <w:r>
        <w:t>than amongst those from the most affluent, but not always significant</w:t>
      </w:r>
      <w:r w:rsidR="001401A6">
        <w:t>ly so</w:t>
      </w:r>
      <w:r>
        <w:t>.</w:t>
      </w:r>
    </w:p>
    <w:p w:rsidR="009C1743" w:rsidRDefault="009C1743" w:rsidP="009C1743"/>
    <w:p w:rsidR="00F00C39" w:rsidRDefault="004D57C4" w:rsidP="00775269">
      <w:r>
        <w:t>P</w:t>
      </w:r>
      <w:r w:rsidR="00F00C39">
        <w:t>roportion</w:t>
      </w:r>
      <w:r>
        <w:t>s</w:t>
      </w:r>
      <w:r w:rsidR="00F00C39">
        <w:t xml:space="preserve"> of patients dying in hospital increased</w:t>
      </w:r>
      <w:r w:rsidR="00356EFB">
        <w:t xml:space="preserve"> </w:t>
      </w:r>
      <w:r w:rsidR="00D557DD">
        <w:t>initially</w:t>
      </w:r>
      <w:r w:rsidR="00356EFB">
        <w:t xml:space="preserve"> </w:t>
      </w:r>
      <w:r w:rsidR="00F00C39">
        <w:t xml:space="preserve">before </w:t>
      </w:r>
      <w:r w:rsidR="00D557DD">
        <w:t xml:space="preserve">falling in </w:t>
      </w:r>
      <w:r w:rsidR="00F00C39">
        <w:t>2013-</w:t>
      </w:r>
      <w:r w:rsidR="004E0BC3">
        <w:t>1</w:t>
      </w:r>
      <w:r w:rsidR="00F00C39">
        <w:t xml:space="preserve">4, </w:t>
      </w:r>
      <w:r w:rsidR="00893834">
        <w:t>being</w:t>
      </w:r>
      <w:r w:rsidR="00DA5635">
        <w:t xml:space="preserve"> </w:t>
      </w:r>
      <w:r w:rsidR="00F00C39">
        <w:t>significant</w:t>
      </w:r>
      <w:r w:rsidR="004E0BC3">
        <w:t>ly</w:t>
      </w:r>
      <w:r w:rsidR="00F00C39">
        <w:t xml:space="preserve"> </w:t>
      </w:r>
      <w:r>
        <w:t xml:space="preserve">lower in the last year than in the first </w:t>
      </w:r>
      <w:r w:rsidR="00F00C39">
        <w:t xml:space="preserve">for cancer, COPD, </w:t>
      </w:r>
      <w:r w:rsidR="004E0BC3">
        <w:t xml:space="preserve">and </w:t>
      </w:r>
      <w:r w:rsidR="00F00C39">
        <w:t xml:space="preserve">dementia </w:t>
      </w:r>
      <w:r w:rsidR="00893834">
        <w:t xml:space="preserve">but not HF </w:t>
      </w:r>
      <w:r>
        <w:t>(Table 3)</w:t>
      </w:r>
      <w:r w:rsidR="00F00C39">
        <w:t xml:space="preserve">.  </w:t>
      </w:r>
      <w:r w:rsidR="00893834">
        <w:t xml:space="preserve">When considering whether patients had a primary care record of palliative care, fewer with a record died in hospital than those who did not.  </w:t>
      </w:r>
      <w:r w:rsidR="00C674C4">
        <w:t>Over the course of the study, the only condition apart from cancer where the proportions with palliative care who died in hospital decreased</w:t>
      </w:r>
      <w:r w:rsidR="00C674C4" w:rsidRPr="00C674C4">
        <w:t xml:space="preserve"> </w:t>
      </w:r>
      <w:r w:rsidR="00C674C4">
        <w:t>was dementia</w:t>
      </w:r>
      <w:r w:rsidR="00F00C39">
        <w:t xml:space="preserve">.  </w:t>
      </w:r>
      <w:r w:rsidR="00900ABB">
        <w:t>Repeating the</w:t>
      </w:r>
      <w:r w:rsidR="00CA06A3">
        <w:t xml:space="preserve"> analysis restricted to QOF palliative care register codes, </w:t>
      </w:r>
      <w:r w:rsidR="00900ABB">
        <w:t xml:space="preserve">or </w:t>
      </w:r>
      <w:r w:rsidR="00CA06A3">
        <w:t xml:space="preserve">where </w:t>
      </w:r>
      <w:r w:rsidR="00DA5635">
        <w:t xml:space="preserve">patients </w:t>
      </w:r>
      <w:r w:rsidR="00CA06A3">
        <w:t xml:space="preserve">whose first record of palliative care was </w:t>
      </w:r>
      <w:r w:rsidR="00DA5635">
        <w:t>in the week before death were re</w:t>
      </w:r>
      <w:r w:rsidR="00CA06A3">
        <w:t>moved</w:t>
      </w:r>
      <w:r w:rsidR="00900ABB">
        <w:t>, gave similar findings</w:t>
      </w:r>
      <w:r w:rsidR="00A9667C">
        <w:t xml:space="preserve"> (data not shown)</w:t>
      </w:r>
      <w:r w:rsidR="00CA06A3">
        <w:t>.</w:t>
      </w:r>
    </w:p>
    <w:p w:rsidR="004908E1" w:rsidRPr="00CA06A3" w:rsidRDefault="004908E1" w:rsidP="00775269"/>
    <w:p w:rsidR="004908E1" w:rsidRDefault="004908E1" w:rsidP="00775269"/>
    <w:p w:rsidR="009A11D5" w:rsidRDefault="009A11D5">
      <w:pPr>
        <w:spacing w:after="160" w:line="259" w:lineRule="auto"/>
        <w:rPr>
          <w:rFonts w:asciiTheme="majorHAnsi" w:eastAsiaTheme="majorEastAsia" w:hAnsiTheme="majorHAnsi" w:cstheme="majorBidi"/>
          <w:color w:val="2E74B5" w:themeColor="accent1" w:themeShade="BF"/>
          <w:sz w:val="26"/>
          <w:szCs w:val="26"/>
        </w:rPr>
      </w:pPr>
      <w:r>
        <w:br w:type="page"/>
      </w:r>
    </w:p>
    <w:p w:rsidR="004908E1" w:rsidRDefault="004908E1" w:rsidP="004908E1">
      <w:pPr>
        <w:pStyle w:val="Heading2"/>
      </w:pPr>
      <w:r>
        <w:lastRenderedPageBreak/>
        <w:t xml:space="preserve">Discussion </w:t>
      </w:r>
    </w:p>
    <w:p w:rsidR="004908E1" w:rsidRDefault="004908E1" w:rsidP="004908E1">
      <w:pPr>
        <w:pStyle w:val="Heading3"/>
      </w:pPr>
      <w:r>
        <w:t xml:space="preserve">Summary of main findings </w:t>
      </w:r>
    </w:p>
    <w:p w:rsidR="001102FD" w:rsidRDefault="00CE76C8" w:rsidP="004908E1">
      <w:r w:rsidRPr="00CE76C8">
        <w:t>It is encouraging that the recognition of the need for palliative care</w:t>
      </w:r>
      <w:r w:rsidR="00AC1D50">
        <w:t xml:space="preserve"> approach</w:t>
      </w:r>
      <w:r w:rsidRPr="00CE76C8">
        <w:t xml:space="preserve"> has increased </w:t>
      </w:r>
      <w:r w:rsidR="00B26A39">
        <w:t xml:space="preserve">in </w:t>
      </w:r>
      <w:r w:rsidR="00C030DD">
        <w:t xml:space="preserve">those with </w:t>
      </w:r>
      <w:r w:rsidR="00977316">
        <w:t>non-cancer</w:t>
      </w:r>
      <w:r w:rsidR="00AC1D50">
        <w:t xml:space="preserve"> </w:t>
      </w:r>
      <w:r w:rsidRPr="00CE76C8">
        <w:t>disease</w:t>
      </w:r>
      <w:r w:rsidR="006C015F">
        <w:t>s</w:t>
      </w:r>
      <w:r w:rsidRPr="00CE76C8">
        <w:t xml:space="preserve"> since the introduction of the </w:t>
      </w:r>
      <w:r w:rsidR="000C46D5">
        <w:t xml:space="preserve">UK </w:t>
      </w:r>
      <w:r w:rsidR="0002194B">
        <w:t>E</w:t>
      </w:r>
      <w:r w:rsidRPr="00CE76C8">
        <w:t xml:space="preserve">nd of </w:t>
      </w:r>
      <w:r w:rsidR="0002194B">
        <w:t>L</w:t>
      </w:r>
      <w:r w:rsidRPr="00CE76C8">
        <w:t xml:space="preserve">ife </w:t>
      </w:r>
      <w:r w:rsidR="0002194B">
        <w:t>C</w:t>
      </w:r>
      <w:r w:rsidRPr="00CE76C8">
        <w:t xml:space="preserve">are </w:t>
      </w:r>
      <w:r w:rsidR="0002194B">
        <w:t>S</w:t>
      </w:r>
      <w:r w:rsidRPr="00CE76C8">
        <w:t>trategy</w:t>
      </w:r>
      <w:r w:rsidR="0002194B">
        <w:t xml:space="preserve">. </w:t>
      </w:r>
      <w:r w:rsidR="00AC1D50">
        <w:t xml:space="preserve"> </w:t>
      </w:r>
      <w:r w:rsidR="00481C43">
        <w:t>No</w:t>
      </w:r>
      <w:r w:rsidR="003B703D">
        <w:t xml:space="preserve">t only have the proportions increased, but the timeliness of recording has </w:t>
      </w:r>
      <w:r w:rsidR="00481C43">
        <w:t xml:space="preserve">also </w:t>
      </w:r>
      <w:r w:rsidR="00C030DD">
        <w:t>changed</w:t>
      </w:r>
      <w:r w:rsidR="003B703D">
        <w:t xml:space="preserve">, with fewer patients </w:t>
      </w:r>
      <w:r w:rsidR="00595E85">
        <w:t xml:space="preserve">registered </w:t>
      </w:r>
      <w:r w:rsidR="003B703D">
        <w:t>in the week before death.</w:t>
      </w:r>
      <w:r w:rsidR="007A3CE7">
        <w:t xml:space="preserve"> </w:t>
      </w:r>
      <w:r w:rsidR="00AC1D50">
        <w:t xml:space="preserve"> </w:t>
      </w:r>
      <w:r w:rsidR="003B703D">
        <w:t xml:space="preserve">Despite the improvements, </w:t>
      </w:r>
      <w:r w:rsidR="00481C43">
        <w:t>significant</w:t>
      </w:r>
      <w:r w:rsidR="00645EB7">
        <w:t xml:space="preserve"> </w:t>
      </w:r>
      <w:r w:rsidRPr="00CE76C8">
        <w:t xml:space="preserve">inequalities </w:t>
      </w:r>
      <w:r w:rsidR="005A70FE" w:rsidRPr="00CE76C8">
        <w:t>re</w:t>
      </w:r>
      <w:r w:rsidR="005A70FE">
        <w:t>main;</w:t>
      </w:r>
      <w:r w:rsidR="00481C43">
        <w:t xml:space="preserve"> most </w:t>
      </w:r>
      <w:r w:rsidR="003B703D">
        <w:t xml:space="preserve">notably that </w:t>
      </w:r>
      <w:r w:rsidR="00F06EDF">
        <w:t>decedents</w:t>
      </w:r>
      <w:r w:rsidR="003B703D">
        <w:t xml:space="preserve"> with these conditions </w:t>
      </w:r>
      <w:r w:rsidR="001A1252">
        <w:t>remain</w:t>
      </w:r>
      <w:r w:rsidR="008473BD">
        <w:t xml:space="preserve"> </w:t>
      </w:r>
      <w:r w:rsidR="003B703D">
        <w:t xml:space="preserve">less likely to be recorded </w:t>
      </w:r>
      <w:r w:rsidR="005A70FE">
        <w:t xml:space="preserve">as having palliative care needs </w:t>
      </w:r>
      <w:r w:rsidR="003B703D">
        <w:t>than those with cancer</w:t>
      </w:r>
      <w:r w:rsidR="00AC1D50">
        <w:t>.</w:t>
      </w:r>
      <w:r w:rsidR="007A3CE7">
        <w:t xml:space="preserve">  </w:t>
      </w:r>
      <w:r w:rsidR="0051792A">
        <w:t>With regards to dying in hospital, the data suggest that the n</w:t>
      </w:r>
      <w:r w:rsidR="001102FD">
        <w:t xml:space="preserve">umbers </w:t>
      </w:r>
      <w:r w:rsidR="0051792A">
        <w:t>have decreased</w:t>
      </w:r>
      <w:r w:rsidR="001102FD">
        <w:t>, particularly among those with palliative care</w:t>
      </w:r>
      <w:r w:rsidR="0051792A">
        <w:t xml:space="preserve">, but a longer trajectory is needed to </w:t>
      </w:r>
      <w:r w:rsidR="00C030DD">
        <w:t xml:space="preserve">confirm </w:t>
      </w:r>
      <w:r w:rsidR="0051792A">
        <w:t>these observations</w:t>
      </w:r>
      <w:r w:rsidR="001102FD">
        <w:t>.</w:t>
      </w:r>
    </w:p>
    <w:p w:rsidR="00FE612C" w:rsidRDefault="00FE612C" w:rsidP="00FE612C"/>
    <w:p w:rsidR="00D557DD" w:rsidRDefault="00FE612C" w:rsidP="004908E1">
      <w:r w:rsidRPr="00B27A20">
        <w:t>Registration on the palliative care QOF is a proxy measure for clinical recognition of the need for a palliative approach to care</w:t>
      </w:r>
      <w:r>
        <w:t xml:space="preserve">.  Since the introduction of this indicator in 2006, </w:t>
      </w:r>
      <w:r w:rsidRPr="00960F03">
        <w:t xml:space="preserve">over 99% of practices </w:t>
      </w:r>
      <w:r w:rsidR="00476C29">
        <w:t>use</w:t>
      </w:r>
      <w:r w:rsidRPr="00960F03">
        <w:t xml:space="preserve"> a palliative care register</w:t>
      </w:r>
      <w:r w:rsidR="00CD6865">
        <w:t xml:space="preserve"> </w:t>
      </w:r>
      <w:r w:rsidR="00B01833">
        <w:fldChar w:fldCharType="begin"/>
      </w:r>
      <w:r w:rsidR="005E40A7">
        <w:instrText xml:space="preserve"> ADDIN ZOTERO_ITEM CSL_CITATION {"citationID":"GJKYXEAp","properties":{"formattedCitation":"[7]","plainCitation":"[7]","noteIndex":0},"citationItems":[{"id":19489,"uris":["http://zotero.org/groups/23637/items/BDVIK2T8"],"uri":["http://zotero.org/groups/23637/items/BDVIK2T8"],"itemData":{"id":19489,"type":"report","title":"2014/15 General Medical Services (GMS) Contract Quality and Outcomes Framework (QOF).  Guidance for GMS Contract 2014/15","abstract":"The full set of indicators of achievement are outlined in the latest QOF guidance, published by NHS Employers, which is updated for each year.","URL":"https://www.nhsemployers.org/your-workforce/primary-care-contacts/general-medical-services/quality-and-outcomes-framework","number":"NHS England Gateway reference: 01264","author":[{"literal":"NHS Employers"}],"issued":{"date-parts":[["2014",3]]},"accessed":{"date-parts":[["2019",1,29]]}}}],"schema":"https://github.com/citation-style-language/schema/raw/master/csl-citation.json"} </w:instrText>
      </w:r>
      <w:r w:rsidR="00B01833">
        <w:fldChar w:fldCharType="separate"/>
      </w:r>
      <w:r w:rsidR="00225C7C" w:rsidRPr="00225C7C">
        <w:rPr>
          <w:rFonts w:ascii="Calibri" w:hAnsi="Calibri" w:cs="Calibri"/>
        </w:rPr>
        <w:t>[7]</w:t>
      </w:r>
      <w:r w:rsidR="00B01833">
        <w:fldChar w:fldCharType="end"/>
      </w:r>
      <w:r w:rsidRPr="00960F03">
        <w:t>.</w:t>
      </w:r>
      <w:r w:rsidRPr="00B27A20">
        <w:t xml:space="preserve"> </w:t>
      </w:r>
      <w:r w:rsidR="005D2585">
        <w:t xml:space="preserve"> D</w:t>
      </w:r>
      <w:r w:rsidR="005D2585" w:rsidRPr="00B27A20">
        <w:t>espite clear guidance, there may be a perception that the palliative care QOF is for cancer patients.</w:t>
      </w:r>
      <w:r w:rsidR="005D2585">
        <w:t xml:space="preserve"> </w:t>
      </w:r>
      <w:r w:rsidR="005D2585" w:rsidRPr="00B27A20">
        <w:t xml:space="preserve"> </w:t>
      </w:r>
      <w:r w:rsidR="00157566">
        <w:t xml:space="preserve">Interestingly though, not only did </w:t>
      </w:r>
      <w:r w:rsidR="003E5446">
        <w:t xml:space="preserve">the use of QOF palliative care codes </w:t>
      </w:r>
      <w:r w:rsidR="00157566">
        <w:t xml:space="preserve">in the non-malignant conditions </w:t>
      </w:r>
      <w:r w:rsidR="003E5446">
        <w:t xml:space="preserve">increase, </w:t>
      </w:r>
      <w:r w:rsidR="00157566">
        <w:t xml:space="preserve">but also other non-QOF codes relating to end of life care such as </w:t>
      </w:r>
      <w:r w:rsidR="003E5446">
        <w:t xml:space="preserve">advanced care directives </w:t>
      </w:r>
      <w:r>
        <w:t>were used as often</w:t>
      </w:r>
      <w:r w:rsidR="003E5446">
        <w:t xml:space="preserve"> throughout the </w:t>
      </w:r>
      <w:r w:rsidR="007C7BB7">
        <w:t>data</w:t>
      </w:r>
      <w:r>
        <w:t xml:space="preserve">. </w:t>
      </w:r>
      <w:r w:rsidRPr="00B27A20">
        <w:t xml:space="preserve"> </w:t>
      </w:r>
      <w:r w:rsidR="0034119D">
        <w:t>Some of the biggest increases in recording were a</w:t>
      </w:r>
      <w:r w:rsidR="005A70FE">
        <w:t>mong patients aged 90 or older.</w:t>
      </w:r>
      <w:r w:rsidR="0034119D">
        <w:t xml:space="preserve">  </w:t>
      </w:r>
      <w:r w:rsidR="00764121">
        <w:t>Socioeconomic differences in palliative care were present to a degree</w:t>
      </w:r>
      <w:r w:rsidR="00156925">
        <w:t>, with</w:t>
      </w:r>
      <w:r w:rsidR="00764121">
        <w:t xml:space="preserve"> more deprived patients less likely to </w:t>
      </w:r>
      <w:r w:rsidR="009613F2">
        <w:t xml:space="preserve">have a record of </w:t>
      </w:r>
      <w:r w:rsidR="00764121">
        <w:t>palliative care than those who were more affluent</w:t>
      </w:r>
      <w:r w:rsidR="00156925">
        <w:t xml:space="preserve">; however, </w:t>
      </w:r>
      <w:r w:rsidR="007A3CE7">
        <w:t xml:space="preserve">among the factors we were able to examine, </w:t>
      </w:r>
      <w:r w:rsidR="00764121">
        <w:t>age and GP practice may have</w:t>
      </w:r>
      <w:r w:rsidR="007A3CE7">
        <w:t xml:space="preserve"> been </w:t>
      </w:r>
      <w:r w:rsidR="00764121">
        <w:t xml:space="preserve">more </w:t>
      </w:r>
      <w:r w:rsidR="007A3CE7">
        <w:t>influential on</w:t>
      </w:r>
      <w:r w:rsidR="00764121">
        <w:t xml:space="preserve"> the recording. </w:t>
      </w:r>
    </w:p>
    <w:p w:rsidR="004908E1" w:rsidRDefault="004908E1" w:rsidP="004908E1"/>
    <w:p w:rsidR="004908E1" w:rsidRDefault="004908E1" w:rsidP="004908E1">
      <w:pPr>
        <w:pStyle w:val="Heading3"/>
      </w:pPr>
      <w:r>
        <w:t xml:space="preserve">Comparison with literature </w:t>
      </w:r>
    </w:p>
    <w:p w:rsidR="00F97CC1" w:rsidRPr="00CD7345" w:rsidRDefault="00AA43A5" w:rsidP="00CD7345">
      <w:pPr>
        <w:rPr>
          <w:bCs/>
        </w:rPr>
      </w:pPr>
      <w:r>
        <w:t xml:space="preserve">A realist evaluation of 16 GP Practices </w:t>
      </w:r>
      <w:r w:rsidR="006F1FBC">
        <w:t xml:space="preserve">showed improvement </w:t>
      </w:r>
      <w:r w:rsidR="00E05150">
        <w:t xml:space="preserve">over time </w:t>
      </w:r>
      <w:r w:rsidR="006F1FBC">
        <w:t xml:space="preserve">in recognition of palliative care in non-cancer conditions following </w:t>
      </w:r>
      <w:r w:rsidR="00E05150">
        <w:t xml:space="preserve">the </w:t>
      </w:r>
      <w:r w:rsidR="006F1FBC">
        <w:t>introduction of a palliative care pathway</w:t>
      </w:r>
      <w:r w:rsidR="00E05150">
        <w:t xml:space="preserve"> but</w:t>
      </w:r>
      <w:r w:rsidR="00C030DD">
        <w:t>,</w:t>
      </w:r>
      <w:r w:rsidR="00E05150">
        <w:t xml:space="preserve"> as found here, </w:t>
      </w:r>
      <w:r w:rsidR="006F1FBC">
        <w:t xml:space="preserve">the </w:t>
      </w:r>
      <w:r w:rsidR="0002489A">
        <w:t>inequity</w:t>
      </w:r>
      <w:r w:rsidR="00E05150">
        <w:t xml:space="preserve"> of</w:t>
      </w:r>
      <w:r w:rsidR="0002489A">
        <w:t xml:space="preserve"> lower recognition of palliative care in </w:t>
      </w:r>
      <w:r w:rsidR="00231C0B">
        <w:t>non-cancer</w:t>
      </w:r>
      <w:r w:rsidR="00E05150">
        <w:t xml:space="preserve"> conditions compared to cancer</w:t>
      </w:r>
      <w:r w:rsidR="00231C0B">
        <w:t xml:space="preserve"> remained</w:t>
      </w:r>
      <w:r w:rsidR="00CD6865">
        <w:t xml:space="preserve"> </w:t>
      </w:r>
      <w:r w:rsidR="00B01833">
        <w:fldChar w:fldCharType="begin"/>
      </w:r>
      <w:r w:rsidR="005E40A7">
        <w:instrText xml:space="preserve"> ADDIN ZOTERO_ITEM CSL_CITATION {"citationID":"9ZAe5k17","properties":{"formattedCitation":"[13]","plainCitation":"[13]","noteIndex":0},"citationItems":[{"id":19490,"uris":["http://zotero.org/groups/23637/items/CNXNSUSK"],"uri":["http://zotero.org/groups/23637/items/CNXNSUSK"],"itemData":{"id":19490,"type":"article-journal","title":"Reducing inequalities in care for patients with non-malignant diseases: Insights from a realist evaluation of an integrated palliative care pathway","container-title":"Palliative Medicine","page":"690-697","volume":"30","issue":"7","source":"SAGE Journals","abstract":"Background:The need for palliative care is growing internationally with an increasing prevalence of non-malignant diseases. The integrated care pathway was implemented in primary care by multidisciplinary teams from 2009 in a locality in the North East of England. Fourteen general practitioner practices provided data for the study.Aim:To find whether, how, and under what circumstances palliative care registrations are made for patients with non-malignant diseases in primary care.Design:General practitioner practice data were analysed statistically and qualitative data were collected from health care professionals and members of relevant organisations.Findings:A mixed-effects logistic model indicated a significant difference beyond the 0.1% level (p?","DOI":"10.1177/0269216315626352","ISSN":"0269-2163","title-short":"Reducing inequalities in care for patients with non-malignant diseases","journalAbbreviation":"Palliat Med","language":"en","author":[{"family":"Dalkin","given":"Sonia Michelle"},{"family":"Lhussier","given":"Monique"},{"family":"Philipson","given":"Pete"},{"family":"Jones","given":"Diana"},{"family":"Cunningham","given":"William"}],"issued":{"date-parts":[["2016",7,1]]}}}],"schema":"https://github.com/citation-style-language/schema/raw/master/csl-citation.json"} </w:instrText>
      </w:r>
      <w:r w:rsidR="00B01833">
        <w:fldChar w:fldCharType="separate"/>
      </w:r>
      <w:r w:rsidR="005E40A7" w:rsidRPr="005E40A7">
        <w:rPr>
          <w:rFonts w:ascii="Calibri" w:hAnsi="Calibri" w:cs="Calibri"/>
        </w:rPr>
        <w:t>[13]</w:t>
      </w:r>
      <w:r w:rsidR="00B01833">
        <w:fldChar w:fldCharType="end"/>
      </w:r>
      <w:r w:rsidR="00E264BB">
        <w:t>.</w:t>
      </w:r>
      <w:r w:rsidR="00231C0B">
        <w:t xml:space="preserve"> </w:t>
      </w:r>
      <w:r w:rsidR="0002489A">
        <w:t xml:space="preserve"> </w:t>
      </w:r>
      <w:r w:rsidR="00672AA8">
        <w:t xml:space="preserve">Our findings are consistent with the other CPRD </w:t>
      </w:r>
      <w:r w:rsidR="0002489A">
        <w:t xml:space="preserve">study </w:t>
      </w:r>
      <w:r w:rsidR="00672AA8">
        <w:t>showing</w:t>
      </w:r>
      <w:r w:rsidR="0002489A">
        <w:t xml:space="preserve"> that recognition of a palliative care approach was driven by a lung cancer diagnosis rather </w:t>
      </w:r>
      <w:r w:rsidR="000A6442">
        <w:t>than COPD itself</w:t>
      </w:r>
      <w:r w:rsidR="00941443">
        <w:t xml:space="preserve"> </w:t>
      </w:r>
      <w:r w:rsidR="00B01833">
        <w:fldChar w:fldCharType="begin"/>
      </w:r>
      <w:r w:rsidR="005E40A7">
        <w:instrText xml:space="preserve"> ADDIN ZOTERO_ITEM CSL_CITATION {"citationID":"h36kIWYq","properties":{"formattedCitation":"[9]","plainCitation":"[9]","noteIndex":0},"citationItems":[{"id":19492,"uris":["http://zotero.org/groups/23637/items/PE7G5KPF"],"uri":["http://zotero.org/groups/23637/items/PE7G5KPF"],"itemData":{"id":19492,"type":"article-journal","title":"Low uptake of palliative care for COPD patients within primary care in the UK","container-title":"The European Respiratory Journal","volume":"51","issue":"2","source":"PubMed Central","abstract":"Mortality and symptom burden from chronic obstructive pulmonary disease (COPD) and lung cancer are similar but there is thought to be an inequality in palliative care support (PCS) between diseases. This nationally representative study assessed PCS for COPD patients within primary care in the UK., This was a cohort study using electronic healthcare records (2004–2015). Factors associated with receiving PCS were assessed using logistic regression for the whole cohort and deceased patients., There were 92 365 eligible COPD patients, of which 26 135 died. Only 7.8% of the whole cohort and 21.4% of deceased patients received PCS. Lung cancer had a strong association with PCS compared with other patient characteristics, including Global Initiative for Chronic Obstructive Lung Disease stage and Medical Research Council Dyspnoea score (whole cohort, lung cancer: OR 14.1, 95% CI 13.1–15; deceased patients, lung cancer: OR 6.5, 95% CI 6–7). Only 16.7% of deceased COPD patients without lung cancer received PCS compared with 56.5% of deceased patients with lung cancer. In patients that received PCS, lung cancer co-diagnosis significantly increased the chances of receiving PCS before the last month of life (1–6 versus ≤1 month pre-death: risk ratio 1.4, 95% CI 1.3–1.7)., Provision of PCS for COPD patients in the UK is inadequate. Lung cancer, not COPD, was the dominant driver for COPD patients to receive PCS., Palliative care provision for COPD patients without lung cancer is poor in the UK\nhttp://ow.ly/IIC230gWOOV","URL":"https://www.ncbi.nlm.nih.gov/pmc/articles/PMC5898942/","DOI":"10.1183/13993003.01879-2017","ISSN":"0903-1936","note":"PMID: 29444916\nPMCID: PMC5898942","journalAbbreviation":"Eur Respir J","author":[{"family":"Bloom","given":"Chloe I."},{"family":"Slaich","given":"Bhavan"},{"family":"Morales","given":"Daniel R."},{"family":"Smeeth","given":"Liam"},{"family":"Stone","given":"Patrick"},{"family":"Quint","given":"Jennifer K."}],"issued":{"date-parts":[["2018",2,15]]},"accessed":{"date-parts":[["2019",1,29]]}}}],"schema":"https://github.com/citation-style-language/schema/raw/master/csl-citation.json"} </w:instrText>
      </w:r>
      <w:r w:rsidR="00B01833">
        <w:fldChar w:fldCharType="separate"/>
      </w:r>
      <w:r w:rsidR="00225C7C" w:rsidRPr="00225C7C">
        <w:rPr>
          <w:rFonts w:ascii="Calibri" w:hAnsi="Calibri" w:cs="Calibri"/>
        </w:rPr>
        <w:t>[9]</w:t>
      </w:r>
      <w:r w:rsidR="00B01833">
        <w:fldChar w:fldCharType="end"/>
      </w:r>
      <w:r w:rsidR="000A6442">
        <w:t>.</w:t>
      </w:r>
      <w:r w:rsidR="00941443">
        <w:t xml:space="preserve"> </w:t>
      </w:r>
      <w:r w:rsidR="00F97CC1">
        <w:t xml:space="preserve"> </w:t>
      </w:r>
      <w:r w:rsidR="00672AA8">
        <w:t>Our slightly higher proportion categorised as palliative care may be because of our use of palliative care regist</w:t>
      </w:r>
      <w:r w:rsidR="005978D3">
        <w:t>ration</w:t>
      </w:r>
      <w:r w:rsidR="00672AA8">
        <w:t xml:space="preserve"> rather than Read codes only. </w:t>
      </w:r>
      <w:r w:rsidR="00941443">
        <w:t xml:space="preserve"> </w:t>
      </w:r>
      <w:r w:rsidR="008B1A94">
        <w:t>Other studies have shown a reduction in hospital deaths, in both cancer and non-cancer conditions</w:t>
      </w:r>
      <w:r w:rsidR="00E264BB">
        <w:t xml:space="preserve"> </w:t>
      </w:r>
      <w:r w:rsidR="00B01833">
        <w:fldChar w:fldCharType="begin"/>
      </w:r>
      <w:r w:rsidR="005E40A7">
        <w:instrText xml:space="preserve"> ADDIN ZOTERO_ITEM CSL_CITATION {"citationID":"BntOraCL","properties":{"formattedCitation":"[14\\uc0\\u8211{}16]","plainCitation":"[14–16]","noteIndex":0},"citationItems":[{"id":2610,"uris":["http://zotero.org/groups/23637/items/JENH5B92"],"uri":["http://zotero.org/groups/23637/items/JENH5B92"],"itemData":{"id":2610,"type":"article-journal","title":"Changing Patterns in Place of Cancer Death in England: A Population-Based Study","container-title":"PLoS Med","page":"e1001410","volume":"10","issue":"3","source":"PLoS Med","abstract":"Wei Gao and colleagues describe how location of death has changed for patients with cancer in England between 1993 and 2010.","DOI":"10.1371/journal.pmed.1001410","title-short":"Changing Patterns in Place of Cancer Death in England","journalAbbreviation":"PLoS Med","author":[{"family":"Gao","given":"Wei"},{"family":"Ho","given":"Yuen K."},{"family":"Verne","given":"Julia"},{"family":"Glickman","given":"Myer"},{"family":"Higginson","given":"Irene J."},{"literal":"on behalf of the GUIDE_Care project"}],"issued":{"date-parts":[["2013",3,26]]}},"label":"page"},{"id":19501,"uris":["http://zotero.org/groups/23637/items/ABLIRZ7Z"],"uri":["http://zotero.org/groups/23637/items/ABLIRZ7Z"],"itemData":{"id":19501,"type":"article-journal","title":"Which patients with advanced respiratory disease die in hospital? A 14-year population-based study of trends and associated factors","container-title":"BMC medicine","page":"19","volume":"15","issue":"1","source":"PubMed","abstract":"BACKGROUND: Strategies in many countries have sought to improve palliative care and reduce hospital deaths for non-cancer patients, but their effects are not evaluated. We aimed to determine the trends and factors associated with dying in hospital in two common progressive respiratory diseases, and the impact of a national end of life care (EoLC) strategy to reduce deaths in hospital.\nMETHODS: This population-based observational study linked death registration data for people in England dying from chronic obstructive pulmonary disease (COPD) or interstitial pulmonary diseases (IPD). We plotted age- and sex-standardised trends, assessed during the pre-strategy (2001-2004), first strategy phase (2004-2008), and strategy intensification (2009-2014) periods, and identified factors associated with hospital death using multiple adjusted proportion ratios (PRs).\nRESULTS: Over 14 years, 380,232 people died from COPD (334,520) or IPD (45,712). Deaths from COPD and IPD increased by 0.9% and 9.2% annually, respectively. Death in hospital was most common (67% COPD, 70% IPD). Dying in hospice was rare (0.9% COPD, 2.9% IPD). After a plateau in 2004-2005, hospital deaths fell (PRs 0.92-0.94). Co-morbidities and deprivation independently increased the chances of dying in hospital, with larger effects in IPD (PRs 1.01-1.55) than COPD (PRs 1.01-1.39) and dose-response gradients. The impact of multimorbidity increased over time; hospital deaths did not fall for people with two or more co-morbidities in COPD, nor one or more in IPD. Living in rural areas (PRs 0.94-0.94) or outside London (PRs, 0.89-0.98) reduced the chances of hospital death. In IPD, increased age reduced the likelihood of hospital death (PR 0.81, ≥ 85 versus ≤ 54 years); divergently, in COPD, being aged 65-74 years was associated with increased hospital deaths (PR 1.13, versus ≤ 54 years). The independent effects of sex and marital status differed for COPD versus IPD (PRs 0.89-1.04); in COPD, hospital death was associated with being married.\nCONCLUSIONS: The EoLC strategy appeared to have contributed to tangible reductions in hospital deaths, but did not reach people with multimorbidity and this gap widened over time. Integrating palliative care earlier in the disease trajectory especially﻿ in deprived areas and cities, and where multimorbidity is present, should be boosted, taking into account the different demographic factors in COPD and IPD.","DOI":"10.1186/s12916-016-0776-2","ISSN":"1741-7015","note":"PMID: 28143520\nPMCID: PMC5286738","title-short":"Which patients with advanced respiratory disease die in hospital?","journalAbbreviation":"BMC Med","language":"eng","author":[{"family":"Higginson","given":"Irene J."},{"family":"Reilly","given":"Charles C."},{"family":"Bajwah","given":"Sabrina"},{"family":"Maddocks","given":"Matthew"},{"family":"Costantini","given":"Massimo"},{"family":"Gao","given":"Wei"},{"literal":"GUIDE_Care project"}],"issued":{"date-parts":[["2017"]],"season":"01"}},"label":"page"},{"id":19504,"uris":["http://zotero.org/groups/23637/items/ET9Z2E7I"],"uri":["http://zotero.org/groups/23637/items/ET9Z2E7I"],"itemData":{"id":19504,"type":"article-journal","title":"Reversal of English trend towards hospital death in dementia: a population-based study of place of death and associated individual and regional factors, 2001–2010","container-title":"BMC Neurology","page":"59","volume":"14","source":"PubMed Central","abstract":"Background\nEngland has one of the highest rates of hospital death in dementia in Europe. How this has changed over time is unknown. This study aimed to analyse temporal trends in place of death in dementia over a recent ten year period.\n\nMethods\nPopulation-based study linking Office for National Statistics mortality data with regional variables, in England 2001–2010. Participants were adults aged over 60 with a death certificate mention of dementia. Multivariable Poisson regression was used to determine the proportion ratio (PR) for death in care home (1) and home/hospice (1) compared to hospital (0). Explanatory variables included individual factors (age, gender, marital status, underlying cause of death), and regional variables derived at area level (deprivation, care home bed provision, urbanisation).\n\nResults\n388,899 deaths were included. Most people died in care homes (55.3%) or hospitals (39.6%). A pattern of increasing hospital deaths reversed in 2006, with a subsequent decrease in hospital deaths (−0.93% per year, 95% CI −1.08 to −0.79 p &lt; 0.001), and an increase in care home deaths (0.60% per year, 95% CI 0.45 to 0.75 p &lt; 0.001). Care home death was more likely with older age (PR 1.11, 1.10 to 1.13), and in areas with greater care home bed provision (PR 1.82, 1.79 to 1.85) and affluence (PR 1.29, 1.26 to 1.31). Few patients died at home (4.8%) or hospice (0.3%). Home/hospice death was more likely in affluent areas (PR 1.23, 1.18 to 1.29), for women (PR 1.61, 1.56 to 1.65), and for those with cancer as underlying cause of death (PR 1.84, 1.77 to 1.91), and less likely in the unmarried (PRs 0.51 to 0.66).\n\nConclusions\nTwo in five people with dementia die in hospital. However, the trend towards increasing hospital deaths has reversed, and care home bed provision is key to sustain this. Home and hospice deaths are rare. Initiatives which aim to support the end of life preferences for people with dementia should be investigated.","DOI":"10.1186/1471-2377-14-59","ISSN":"1471-2377","note":"PMID: 24666928\nPMCID: PMC3987058","title-short":"Reversal of English trend towards hospital death in dementia","journalAbbreviation":"BMC Neurol","author":[{"family":"Sleeman","given":"Katherine E"},{"family":"Ho","given":"Yuen K"},{"family":"Verne","given":"Julia"},{"family":"Gao","given":"Wei"},{"family":"Higginson","given":"Irene J"}],"issued":{"date-parts":[["2014",3,26]]}},"label":"page"}],"schema":"https://github.com/citation-style-language/schema/raw/master/csl-citation.json"} </w:instrText>
      </w:r>
      <w:r w:rsidR="00B01833">
        <w:fldChar w:fldCharType="separate"/>
      </w:r>
      <w:r w:rsidR="005E40A7" w:rsidRPr="005E40A7">
        <w:rPr>
          <w:rFonts w:ascii="Calibri" w:hAnsi="Calibri" w:cs="Calibri"/>
          <w:szCs w:val="24"/>
        </w:rPr>
        <w:t>[14–16]</w:t>
      </w:r>
      <w:r w:rsidR="00B01833">
        <w:fldChar w:fldCharType="end"/>
      </w:r>
      <w:r w:rsidR="008B1A94">
        <w:t>.</w:t>
      </w:r>
      <w:r w:rsidR="00A839F8">
        <w:t xml:space="preserve"> </w:t>
      </w:r>
      <w:r w:rsidR="000A6442">
        <w:t>The reasons for these changes a</w:t>
      </w:r>
      <w:r w:rsidR="00F97CC1">
        <w:t>re likely to be multifactorial</w:t>
      </w:r>
      <w:r w:rsidR="00C030DD">
        <w:t>:</w:t>
      </w:r>
      <w:r w:rsidR="000A6442">
        <w:t xml:space="preserve"> the </w:t>
      </w:r>
      <w:r w:rsidR="00C030DD">
        <w:t>S</w:t>
      </w:r>
      <w:r w:rsidR="000A6442">
        <w:t xml:space="preserve">trategy and its </w:t>
      </w:r>
      <w:r w:rsidR="00C030DD">
        <w:t xml:space="preserve">wider policy </w:t>
      </w:r>
      <w:r w:rsidR="00DC5D42">
        <w:t>influence</w:t>
      </w:r>
      <w:r w:rsidR="00C030DD">
        <w:t>;</w:t>
      </w:r>
      <w:r w:rsidR="00DC5D42">
        <w:t xml:space="preserve"> </w:t>
      </w:r>
      <w:r w:rsidR="00F97CC1">
        <w:t>public health initiatives</w:t>
      </w:r>
      <w:r w:rsidR="00C030DD">
        <w:t>;</w:t>
      </w:r>
      <w:r w:rsidR="00F97CC1">
        <w:t xml:space="preserve"> </w:t>
      </w:r>
      <w:r w:rsidR="00DC5D42">
        <w:t xml:space="preserve">increased </w:t>
      </w:r>
      <w:r w:rsidR="00C030DD">
        <w:t xml:space="preserve">clinical </w:t>
      </w:r>
      <w:r w:rsidR="00DC5D42">
        <w:t>education</w:t>
      </w:r>
      <w:r w:rsidR="00F97CC1">
        <w:t xml:space="preserve"> </w:t>
      </w:r>
      <w:r w:rsidR="00DC5D42">
        <w:t xml:space="preserve">and more </w:t>
      </w:r>
      <w:r w:rsidR="00F97CC1">
        <w:t>publications and awareness regarding palliative care for non-cancer conditions. For reduced hospital deaths</w:t>
      </w:r>
      <w:r w:rsidR="00223176">
        <w:t xml:space="preserve"> in dementia</w:t>
      </w:r>
      <w:r w:rsidR="00F97CC1">
        <w:t xml:space="preserve">, factors such as economic </w:t>
      </w:r>
      <w:r w:rsidR="00223176">
        <w:t xml:space="preserve">incentives to </w:t>
      </w:r>
      <w:r w:rsidR="00223176">
        <w:lastRenderedPageBreak/>
        <w:t>reduce hospital admissions and stays have been suggested as a factor in the UK, other European countries and the US</w:t>
      </w:r>
      <w:r w:rsidR="00CD7345">
        <w:t xml:space="preserve"> and have resulted in more deaths in care homes</w:t>
      </w:r>
      <w:r w:rsidR="00E264BB">
        <w:t xml:space="preserve"> </w:t>
      </w:r>
      <w:r w:rsidR="00B01833">
        <w:fldChar w:fldCharType="begin"/>
      </w:r>
      <w:r w:rsidR="005E40A7">
        <w:instrText xml:space="preserve"> ADDIN ZOTERO_ITEM CSL_CITATION {"citationID":"wEijUdxo","properties":{"formattedCitation":"[16]","plainCitation":"[16]","noteIndex":0},"citationItems":[{"id":19504,"uris":["http://zotero.org/groups/23637/items/ET9Z2E7I"],"uri":["http://zotero.org/groups/23637/items/ET9Z2E7I"],"itemData":{"id":19504,"type":"article-journal","title":"Reversal of English trend towards hospital death in dementia: a population-based study of place of death and associated individual and regional factors, 2001–2010","container-title":"BMC Neurology","page":"59","volume":"14","source":"PubMed Central","abstract":"Background\nEngland has one of the highest rates of hospital death in dementia in Europe. How this has changed over time is unknown. This study aimed to analyse temporal trends in place of death in dementia over a recent ten year period.\n\nMethods\nPopulation-based study linking Office for National Statistics mortality data with regional variables, in England 2001–2010. Participants were adults aged over 60 with a death certificate mention of dementia. Multivariable Poisson regression was used to determine the proportion ratio (PR) for death in care home (1) and home/hospice (1) compared to hospital (0). Explanatory variables included individual factors (age, gender, marital status, underlying cause of death), and regional variables derived at area level (deprivation, care home bed provision, urbanisation).\n\nResults\n388,899 deaths were included. Most people died in care homes (55.3%) or hospitals (39.6%). A pattern of increasing hospital deaths reversed in 2006, with a subsequent decrease in hospital deaths (−0.93% per year, 95% CI −1.08 to −0.79 p &lt; 0.001), and an increase in care home deaths (0.60% per year, 95% CI 0.45 to 0.75 p &lt; 0.001). Care home death was more likely with older age (PR 1.11, 1.10 to 1.13), and in areas with greater care home bed provision (PR 1.82, 1.79 to 1.85) and affluence (PR 1.29, 1.26 to 1.31). Few patients died at home (4.8%) or hospice (0.3%). Home/hospice death was more likely in affluent areas (PR 1.23, 1.18 to 1.29), for women (PR 1.61, 1.56 to 1.65), and for those with cancer as underlying cause of death (PR 1.84, 1.77 to 1.91), and less likely in the unmarried (PRs 0.51 to 0.66).\n\nConclusions\nTwo in five people with dementia die in hospital. However, the trend towards increasing hospital deaths has reversed, and care home bed provision is key to sustain this. Home and hospice deaths are rare. Initiatives which aim to support the end of life preferences for people with dementia should be investigated.","DOI":"10.1186/1471-2377-14-59","ISSN":"1471-2377","note":"PMID: 24666928\nPMCID: PMC3987058","title-short":"Reversal of English trend towards hospital death in dementia","journalAbbreviation":"BMC Neurol","author":[{"family":"Sleeman","given":"Katherine E"},{"family":"Ho","given":"Yuen K"},{"family":"Verne","given":"Julia"},{"family":"Gao","given":"Wei"},{"family":"Higginson","given":"Irene J"}],"issued":{"date-parts":[["2014",3,26]]}}}],"schema":"https://github.com/citation-style-language/schema/raw/master/csl-citation.json"} </w:instrText>
      </w:r>
      <w:r w:rsidR="00B01833">
        <w:fldChar w:fldCharType="separate"/>
      </w:r>
      <w:r w:rsidR="005E40A7" w:rsidRPr="005E40A7">
        <w:rPr>
          <w:rFonts w:ascii="Calibri" w:hAnsi="Calibri" w:cs="Calibri"/>
        </w:rPr>
        <w:t>[16]</w:t>
      </w:r>
      <w:r w:rsidR="00B01833">
        <w:fldChar w:fldCharType="end"/>
      </w:r>
      <w:r w:rsidR="00CD7345">
        <w:t xml:space="preserve">. </w:t>
      </w:r>
      <w:r w:rsidR="00223176">
        <w:t xml:space="preserve">This study did not explore </w:t>
      </w:r>
      <w:r w:rsidR="00CD7345">
        <w:t xml:space="preserve">death outside of hospital but a study of hospice deaths from </w:t>
      </w:r>
      <w:r w:rsidR="00CD7345" w:rsidRPr="00CD7345">
        <w:rPr>
          <w:bCs/>
        </w:rPr>
        <w:t>1993–2012 demonstrated an increase in non-cancer conditions among hospice decedents although absolute numbers remain small</w:t>
      </w:r>
      <w:r w:rsidR="00E264BB">
        <w:rPr>
          <w:bCs/>
        </w:rPr>
        <w:t xml:space="preserve"> </w:t>
      </w:r>
      <w:r w:rsidR="00B01833">
        <w:rPr>
          <w:bCs/>
        </w:rPr>
        <w:fldChar w:fldCharType="begin"/>
      </w:r>
      <w:r w:rsidR="005E40A7">
        <w:rPr>
          <w:bCs/>
        </w:rPr>
        <w:instrText xml:space="preserve"> ADDIN ZOTERO_ITEM CSL_CITATION {"citationID":"a4S9rsOO","properties":{"formattedCitation":"[17]","plainCitation":"[17]","noteIndex":0},"citationItems":[{"id":19507,"uris":["http://zotero.org/groups/23637/items/PPGCIJ9Q"],"uri":["http://zotero.org/groups/23637/items/PPGCIJ9Q"],"itemData":{"id":19507,"type":"article-journal","title":"The changing demographics of inpatient hospice death: population-based, cross-sectional study in England, 1993-2012","container-title":"Lancet (London, England)","page":"S93","volume":"385 Suppl 1","source":"PubMed","abstract":"BACKGROUND: The provision of good quality and equitable end-of-life care is high on the public and political agenda. Hospice is second only to home in terms of preference for place of death and scores higher than any other setting for quality of care. However, hospices have been criticised for inequality of access with respect to age, diagnosis, and socioeconomic status. We aimed to describe the demographic characteristics associated with hospice death in England, and assessed how these characteristics have changed over time.\nMETHODS: In this population-based study (part of the GUIDE_Care project), we included all adults older than 25 years who had died in inpatient hospices in England from 1993 to 2002. We compared deaths in 1998-2002, 2003-07, and 2008-12, with those in 1993-97 using multivariable Poisson regression. Explanatory variables included individual factors (age, sex, marital status, underlying cause of death) and measures of deprivation based on area of residence.\nFINDINGS: 446 615 deaths were included. The annual number of hospice deaths increased from 17 440 in 1993 to 26 032 in 2012, accounting for 3·4% of 519 313 deaths in England in 1993, and 6·0% of 434 105 deaths in 2012. 226 188 hospice decedents (50·6%) were men (mean age 69·9 years, SD 12·4). The likelihood of hospice decedents being in the oldest age group (&gt;85 years) increased from 1993-97 to 2008-12 (Poisson ratio 1·43, 95% CI 1·39-1·48). Only 23 258 hospice decedents (5·2%) had non-cancer diagnoses, though the likelihood of non-cancer conditions increased during the same time period (1·41, 1·37-1·46). The likelihood of hospice decedents being resident in the least deprived quintile also increased (1·25, 1·22-1·29).\nINTERPRETATION: Inequalities among hospice decedents by diagnosis have decreased, although the absolute numbers of non-cancer diagnoses remain very small. Trends in deprivation are concerning, and require further exploration.\nFUNDING: The GUIDE_Care project was funded by the National Institute for Health Research (NIHR) Health Services and Delivery Research programme (project number 09/2000/58).","DOI":"10.1016/S0140-6736(15)60408-1","ISSN":"1474-547X","note":"PMID: 26312916","title-short":"The changing demographics of inpatient hospice death","journalAbbreviation":"Lancet","language":"eng","author":[{"family":"Sleeman","given":"Katherine"},{"family":"Davies","given":"Joanna"},{"family":"Verne","given":"Julia"},{"family":"Gao","given":"Wei"},{"family":"Higginson","given":"Irene"}],"issued":{"date-parts":[["2015",2,26]]}}}],"schema":"https://github.com/citation-style-language/schema/raw/master/csl-citation.json"} </w:instrText>
      </w:r>
      <w:r w:rsidR="00B01833">
        <w:rPr>
          <w:bCs/>
        </w:rPr>
        <w:fldChar w:fldCharType="separate"/>
      </w:r>
      <w:r w:rsidR="005E40A7" w:rsidRPr="005E40A7">
        <w:rPr>
          <w:rFonts w:ascii="Calibri" w:hAnsi="Calibri" w:cs="Calibri"/>
        </w:rPr>
        <w:t>[17]</w:t>
      </w:r>
      <w:r w:rsidR="00B01833">
        <w:rPr>
          <w:bCs/>
        </w:rPr>
        <w:fldChar w:fldCharType="end"/>
      </w:r>
      <w:r w:rsidR="00CD7345" w:rsidRPr="00CD7345">
        <w:rPr>
          <w:bCs/>
        </w:rPr>
        <w:t>.</w:t>
      </w:r>
      <w:r w:rsidR="00E264BB" w:rsidRPr="00CD7345">
        <w:rPr>
          <w:bCs/>
        </w:rPr>
        <w:t xml:space="preserve"> </w:t>
      </w:r>
    </w:p>
    <w:p w:rsidR="007A7B47" w:rsidRPr="00CD7345" w:rsidRDefault="00F97CC1" w:rsidP="00CD7345">
      <w:r w:rsidRPr="00CD7345">
        <w:t xml:space="preserve"> </w:t>
      </w:r>
    </w:p>
    <w:p w:rsidR="004908E1" w:rsidRDefault="004908E1" w:rsidP="004908E1">
      <w:pPr>
        <w:pStyle w:val="Heading3"/>
      </w:pPr>
      <w:r>
        <w:t xml:space="preserve">Strengths and limitations </w:t>
      </w:r>
    </w:p>
    <w:p w:rsidR="007A7B47" w:rsidRDefault="00AC0F3B" w:rsidP="000631AC">
      <w:r>
        <w:t xml:space="preserve">This </w:t>
      </w:r>
      <w:r w:rsidR="006C387B">
        <w:t xml:space="preserve">study </w:t>
      </w:r>
      <w:r w:rsidR="000434F3">
        <w:t>benefits not only from being population-based</w:t>
      </w:r>
      <w:r w:rsidR="006C387B">
        <w:t xml:space="preserve"> in a large primary care dataset, </w:t>
      </w:r>
      <w:r w:rsidR="000434F3">
        <w:t xml:space="preserve">but also </w:t>
      </w:r>
      <w:r w:rsidR="00146140">
        <w:t>from having</w:t>
      </w:r>
      <w:r w:rsidR="00C31443">
        <w:t xml:space="preserve"> </w:t>
      </w:r>
      <w:r w:rsidR="00F352D1">
        <w:t>a</w:t>
      </w:r>
      <w:r w:rsidR="00146140">
        <w:t>s</w:t>
      </w:r>
      <w:r w:rsidR="00F352D1">
        <w:t xml:space="preserve"> </w:t>
      </w:r>
      <w:r w:rsidR="00C31443">
        <w:t xml:space="preserve">its basis the contemporaneous recording of conditions and care by </w:t>
      </w:r>
      <w:r w:rsidR="00146140">
        <w:t xml:space="preserve">general practitioners </w:t>
      </w:r>
      <w:r w:rsidR="00130CDD">
        <w:t>and health care professionals</w:t>
      </w:r>
      <w:r w:rsidR="00C31443">
        <w:t xml:space="preserve">.  </w:t>
      </w:r>
      <w:r w:rsidR="00146140">
        <w:t>W</w:t>
      </w:r>
      <w:r w:rsidR="00C31443">
        <w:t xml:space="preserve">e were able to </w:t>
      </w:r>
      <w:r w:rsidR="00783C3C">
        <w:t>identify</w:t>
      </w:r>
      <w:r w:rsidR="00C31443">
        <w:t xml:space="preserve"> </w:t>
      </w:r>
      <w:r w:rsidR="00783C3C">
        <w:t>decede</w:t>
      </w:r>
      <w:r w:rsidR="00C31443">
        <w:t xml:space="preserve">nts </w:t>
      </w:r>
      <w:r w:rsidR="00783C3C">
        <w:t>who had</w:t>
      </w:r>
      <w:r w:rsidR="00C31443">
        <w:t xml:space="preserve"> </w:t>
      </w:r>
      <w:r w:rsidR="001660D8">
        <w:t xml:space="preserve">a record of </w:t>
      </w:r>
      <w:r w:rsidR="00C31443">
        <w:t>the conditions of interest</w:t>
      </w:r>
      <w:r w:rsidR="001660D8">
        <w:t xml:space="preserve"> in their primary care notes</w:t>
      </w:r>
      <w:r w:rsidR="00783C3C">
        <w:t>,</w:t>
      </w:r>
      <w:r w:rsidR="00C31443">
        <w:t xml:space="preserve"> </w:t>
      </w:r>
      <w:r w:rsidR="00783C3C">
        <w:t xml:space="preserve">rather than </w:t>
      </w:r>
      <w:r w:rsidR="00C31443">
        <w:t>relying on causes of death on the death certificates which are known to be inaccurate</w:t>
      </w:r>
      <w:r w:rsidR="00E264BB">
        <w:t xml:space="preserve"> </w:t>
      </w:r>
      <w:r w:rsidR="00B01833">
        <w:fldChar w:fldCharType="begin"/>
      </w:r>
      <w:r w:rsidR="005E40A7">
        <w:instrText xml:space="preserve"> ADDIN ZOTERO_ITEM CSL_CITATION {"citationID":"bwUBYknb","properties":{"formattedCitation":"[18]","plainCitation":"[18]","noteIndex":0},"citationItems":[{"id":19510,"uris":["http://zotero.org/groups/23637/items/EGQPMZI7"],"uri":["http://zotero.org/groups/23637/items/EGQPMZI7"],"itemData":{"id":19510,"type":"article-journal","title":"Accuracy of death certificates for coding coronary heart disease as the cause of death","container-title":"Annals of Internal Medicine","page":"1020-1026","volume":"129","issue":"12","source":"PubMed","abstract":"BACKGROUND: Death certificates are widely used in epidemiologic and clinical investigations and for national statistics.\nOBJECTIVE: To examine the accuracy of death certificates for coding coronary heart disease as the underlying cause of death.\nDESIGN: Community-based inception cohort followed since 1948.\nSETTING: Framingham, Massachusetts.\nPATIENTS: 2683 deceased Framingham Heart Study participants.\nMEASUREMENTS: Sensitivity, specificity, and predictive values of the death certificate. The reference standard was cause of death adjudicated by a panel of three physicians.\nRESULTS: Among 2683 decedents, the death certificate coded coronary heart disease as the underlying cause of death for 942; the physician panel assigned coronary heart disease for 758. The death certificate had a sensitivity of 83.8% (95% CI, 81.1 % to 86.4%), positive predictive value of 67.4% (CI, 64.4% to 70.4%), specificity of 84.1% (CI, 82.4% to 85.7%), and negative predictive value of 92.9% (CI, 91.7% to 94.1%) for coronary heart disease. The death certificate assigned coronary heart disease in 51.2% of 242 deaths (9.0% of total deaths) for which the physician panel could not determine a cause. Compared with the physician panel, the death certificate attributed 24.3% more deaths to coronary heart disease overall and more than twice as many deaths to coronary heart disease in decedents who were at least 85 years of age. When deaths that were assigned unknown cause by the physician panel were excluded, the death certificate still assigned more deaths to coronary heart disease (7.9% overall and 43.1% in the oldest age group).\nCONCLUSIONS: Coronary heart disease may be overrepresented as a cause of death on death certificates. National mortality statistics, which are based on death certificate data, may overestimate the frequency of coronary heart disease by 7.9% to 24.3% overall and by as much as two-fold in older persons.","ISSN":"0003-4819","note":"PMID: 9867756","journalAbbreviation":"Ann. Intern. Med.","language":"eng","author":[{"family":"Lloyd-Jones","given":"D. M."},{"family":"Martin","given":"D. O."},{"family":"Larson","given":"M. G."},{"family":"Levy","given":"D."}],"issued":{"date-parts":[["1998",12,15]]}}}],"schema":"https://github.com/citation-style-language/schema/raw/master/csl-citation.json"} </w:instrText>
      </w:r>
      <w:r w:rsidR="00B01833">
        <w:fldChar w:fldCharType="separate"/>
      </w:r>
      <w:r w:rsidR="005E40A7" w:rsidRPr="005E40A7">
        <w:rPr>
          <w:rFonts w:ascii="Calibri" w:hAnsi="Calibri" w:cs="Calibri"/>
        </w:rPr>
        <w:t>[18]</w:t>
      </w:r>
      <w:r w:rsidR="00B01833">
        <w:fldChar w:fldCharType="end"/>
      </w:r>
      <w:r w:rsidR="00783C3C">
        <w:t xml:space="preserve">.  </w:t>
      </w:r>
      <w:r w:rsidR="00311516">
        <w:t xml:space="preserve">Moreover, the conditions of interest- </w:t>
      </w:r>
      <w:r w:rsidR="00146140">
        <w:t xml:space="preserve"> </w:t>
      </w:r>
      <w:r w:rsidR="00311516">
        <w:t>c</w:t>
      </w:r>
      <w:r w:rsidR="00962B57" w:rsidRPr="00962B57">
        <w:t>ancer, heart failure, dementia and COPD</w:t>
      </w:r>
      <w:r w:rsidR="00146140">
        <w:t xml:space="preserve"> </w:t>
      </w:r>
      <w:r w:rsidR="00311516">
        <w:t>-</w:t>
      </w:r>
      <w:r w:rsidR="00962B57" w:rsidRPr="00962B57">
        <w:t xml:space="preserve"> are QOF indicators</w:t>
      </w:r>
      <w:r w:rsidR="009A6456">
        <w:t>, whereby GPs are incentivised to maintain the disease regi</w:t>
      </w:r>
      <w:r w:rsidR="009E6D56">
        <w:t>s</w:t>
      </w:r>
      <w:r w:rsidR="009A6456">
        <w:t xml:space="preserve">ters and </w:t>
      </w:r>
      <w:r w:rsidR="00311516">
        <w:t xml:space="preserve">record </w:t>
      </w:r>
      <w:r w:rsidR="009A6456">
        <w:t xml:space="preserve">diagnoses </w:t>
      </w:r>
      <w:r w:rsidR="00311516">
        <w:t xml:space="preserve">once confirmed </w:t>
      </w:r>
      <w:r w:rsidR="009A6456">
        <w:t>us</w:t>
      </w:r>
      <w:r w:rsidR="001660D8">
        <w:t>ing</w:t>
      </w:r>
      <w:r w:rsidR="009A6456">
        <w:t xml:space="preserve"> specific test</w:t>
      </w:r>
      <w:r w:rsidR="001660D8">
        <w:t>s</w:t>
      </w:r>
      <w:r w:rsidR="009A6456">
        <w:t xml:space="preserve"> and assessments</w:t>
      </w:r>
      <w:r w:rsidR="00DE24D4">
        <w:t>, and have proved</w:t>
      </w:r>
      <w:r w:rsidR="00962B57" w:rsidRPr="00962B57">
        <w:t xml:space="preserve"> reliable </w:t>
      </w:r>
      <w:r w:rsidR="00DE24D4">
        <w:t xml:space="preserve">for population-based </w:t>
      </w:r>
      <w:r w:rsidR="00962B57" w:rsidRPr="00962B57">
        <w:t xml:space="preserve">prevalence data </w:t>
      </w:r>
      <w:r w:rsidR="00B01833">
        <w:fldChar w:fldCharType="begin"/>
      </w:r>
      <w:r w:rsidR="005E40A7">
        <w:instrText xml:space="preserve"> ADDIN ZOTERO_ITEM CSL_CITATION {"citationID":"oKbbwNxO","properties":{"formattedCitation":"[19]","plainCitation":"[19]","noteIndex":0},"citationItems":[{"id":19482,"uris":["http://zotero.org/groups/23637/items/BYSH4E39"],"uri":["http://zotero.org/groups/23637/items/BYSH4E39"],"itemData":{"id":19482,"type":"article-journal","title":"Developing Quality and Outcomes Framework (QOF) indicators and the concept of 'QOFability'","container-title":"Quality in Primary Care","page":"103-109","volume":"18","issue":"2","source":"PubMed","abstract":"This paper explains the reasons and context behind the introduction of the Quality and Outcomes Framework (QOF) in the UK in April 2004. The QOF is a pay-for-performance scheme covering a range of clinical and organisational areas in primary care. In 2004, 52% of the framework related to clinical care, increasing to 66% in 2006 and 70% in 2009. From April 2009, the National Institute for Health and Clinical Excellence (NICE) has led a new process for developing the clinical QOF indicators. Clinical areas are now prioritised by an advisory committee appointed by NICE; the QOF indicators then undergo a formal consensus procedure followed by piloting in representative practices across England. However, what are the attributes of a good QOF indicator and how do these differ from those of a good quality indicator, such as validity and sensitivity to change? This paper describes the concept of 'QOFability', which relates to why some areas are, and others are not, prioritised for the QOF. Factors include the prevalence of the clinical issue, the accuracy of data extraction from GP clinical systems, the clarity of diagnosis, the relevance of incentivised actions, the direct attribution to all primary care staff and consideration of any possible unintended consequences of introducing any given indicator. The paper concludes by considering the future direction of the QOF, recommending a focus on creating feasible, valid, reliable and piloted 'QOFable' clinical indicators.","ISSN":"1479-1072","note":"PMID: 20529471","journalAbbreviation":"Qual Prim Care","language":"eng","author":[{"family":"Lester","given":"Helen"},{"family":"Campbell","given":"Stephen"}],"issued":{"date-parts":[["2010"]]}}}],"schema":"https://github.com/citation-style-language/schema/raw/master/csl-citation.json"} </w:instrText>
      </w:r>
      <w:r w:rsidR="00B01833">
        <w:fldChar w:fldCharType="separate"/>
      </w:r>
      <w:r w:rsidR="005E40A7" w:rsidRPr="005E40A7">
        <w:rPr>
          <w:rFonts w:ascii="Calibri" w:hAnsi="Calibri" w:cs="Calibri"/>
        </w:rPr>
        <w:t>[19]</w:t>
      </w:r>
      <w:r w:rsidR="00B01833">
        <w:fldChar w:fldCharType="end"/>
      </w:r>
      <w:r w:rsidR="00DE24D4">
        <w:t>.</w:t>
      </w:r>
      <w:r w:rsidR="00962B57" w:rsidRPr="00962B57">
        <w:t xml:space="preserve"> </w:t>
      </w:r>
      <w:r w:rsidR="001660D8">
        <w:t xml:space="preserve"> </w:t>
      </w:r>
      <w:r w:rsidR="008B080C">
        <w:t xml:space="preserve">One limitation is that since primary care notes were </w:t>
      </w:r>
      <w:r w:rsidR="00AF0B73">
        <w:t>established across</w:t>
      </w:r>
      <w:r w:rsidR="008B080C">
        <w:t xml:space="preserve"> patients’ lifetimes, the disease may not have been relevant to the patient’s death, and </w:t>
      </w:r>
      <w:r w:rsidR="001660D8" w:rsidRPr="00B27A20">
        <w:t xml:space="preserve">our denominator may be overestimated. </w:t>
      </w:r>
      <w:r w:rsidR="001660D8">
        <w:t xml:space="preserve"> </w:t>
      </w:r>
      <w:r w:rsidR="00AF0B73">
        <w:t>However</w:t>
      </w:r>
      <w:r w:rsidR="008B080C">
        <w:t xml:space="preserve">, </w:t>
      </w:r>
      <w:r w:rsidR="001660D8">
        <w:t xml:space="preserve">analyses including only those whose disease was recorded in the </w:t>
      </w:r>
      <w:r w:rsidR="00AF0B73">
        <w:t xml:space="preserve">last </w:t>
      </w:r>
      <w:r w:rsidR="001660D8">
        <w:t>five</w:t>
      </w:r>
      <w:r w:rsidR="008B080C">
        <w:t xml:space="preserve"> </w:t>
      </w:r>
      <w:r w:rsidR="001660D8">
        <w:t xml:space="preserve">or </w:t>
      </w:r>
      <w:r w:rsidR="00AF0B73">
        <w:t xml:space="preserve">final </w:t>
      </w:r>
      <w:r w:rsidR="001660D8">
        <w:t xml:space="preserve">year </w:t>
      </w:r>
      <w:r w:rsidR="00AF0B73">
        <w:t>of life</w:t>
      </w:r>
      <w:r w:rsidR="001660D8">
        <w:t xml:space="preserve">, </w:t>
      </w:r>
      <w:r w:rsidR="00AF0B73">
        <w:t xml:space="preserve">whilst </w:t>
      </w:r>
      <w:r w:rsidR="001660D8">
        <w:t xml:space="preserve">finding slightly higher proportions </w:t>
      </w:r>
      <w:r w:rsidR="00311516">
        <w:t xml:space="preserve">of palliative care recording </w:t>
      </w:r>
      <w:r w:rsidR="00AF0B73">
        <w:t>showed</w:t>
      </w:r>
      <w:r w:rsidR="001660D8">
        <w:t xml:space="preserve"> very similar</w:t>
      </w:r>
      <w:r w:rsidR="00231C0B">
        <w:t xml:space="preserve"> patterns</w:t>
      </w:r>
      <w:r w:rsidR="001660D8">
        <w:t>.</w:t>
      </w:r>
      <w:r w:rsidR="00D349B3">
        <w:t xml:space="preserve">  </w:t>
      </w:r>
      <w:r w:rsidR="00AF0B73">
        <w:t xml:space="preserve">A </w:t>
      </w:r>
      <w:r w:rsidR="00D349B3">
        <w:t>limitation</w:t>
      </w:r>
      <w:r w:rsidR="00AF0B73">
        <w:t xml:space="preserve"> of</w:t>
      </w:r>
      <w:r w:rsidR="00D349B3">
        <w:t xml:space="preserve"> the cross-sectional design is that g</w:t>
      </w:r>
      <w:r w:rsidR="00A15C98">
        <w:t>eneral practices contributing to CPRD can change over time</w:t>
      </w:r>
      <w:r w:rsidR="00480A05">
        <w:t xml:space="preserve">; </w:t>
      </w:r>
      <w:r>
        <w:t>restrict</w:t>
      </w:r>
      <w:r w:rsidR="00662CB5">
        <w:t>ing the analyses</w:t>
      </w:r>
      <w:r>
        <w:t xml:space="preserve"> to the 42618 decedents (89.8%) whose practices contributed to all three periods </w:t>
      </w:r>
      <w:r w:rsidR="00662CB5">
        <w:t xml:space="preserve">did not alter the findings </w:t>
      </w:r>
      <w:r>
        <w:t>(data not shown).</w:t>
      </w:r>
      <w:r w:rsidR="00281E68">
        <w:t xml:space="preserve">  Many of the general practices contributing to CPRD are located in the north west or south east of England, and of smaller practice size than the national average </w:t>
      </w:r>
      <w:r w:rsidR="00B01833">
        <w:fldChar w:fldCharType="begin"/>
      </w:r>
      <w:r w:rsidR="005E40A7">
        <w:instrText xml:space="preserve"> ADDIN ZOTERO_ITEM CSL_CITATION {"citationID":"Q9fITmGH","properties":{"formattedCitation":"[20,21]","plainCitation":"[20,21]","noteIndex":0},"citationItems":[{"id":21170,"uris":["http://zotero.org/groups/23637/items/R9A5VJLU"],"uri":["http://zotero.org/groups/23637/items/R9A5VJLU"],"itemData":{"id":21170,"type":"article-journal","title":"Is the GPRD GOLD population comparable to the UK population?","container-title":"Pharmacoepidemiology and Drug Safety","page":"280","volume":"22","issue":"Supplementary 1","abstract":"Background: GOLD, a UK primary care database held by the Clinical Practice Research Datalink (formerly\nGPRD), is a gold standard for primary care data and usage has resulted in &gt; 890 clinical reviews and papers.\nIt is important to understand how representative GOLD is of the UK population.\nObjectives: To compare GOLD data to publically available UK Census, mortality, and practice data for\n2011.\nMethods: The number of patients actively registered on 27th March 2011 (census day) was compared to the\n2011 UK census data, overall and by age, gender, and region. Using derived death dates, age-specific mortality rates (MR) were calculated in 5 year intervals. Age-standardised mortality rates (ASMR) using the\nEuropean Standard Population were calculated by gender, overall and by country. Practice list size was\ndefined as the number of non-temporary patients registered at each practice on 1 September 2011 for England and Scotland.\nResults: There were 4.6 million patients on Census Day in GOLD, 7.3% of the UK population with little\nvariation by gender but a lower representation of younger age patients. Crude death rates were nearly\nidentical to national rates (8.70 per 1,000 vs. 8.69 in GOLD). ASMR in GOLD were lower than national\nrates by 11% in men (582.8 per 100,000) and 8.6% in women (426.9 per 100,000), with only slight variation\nby country. Age-specific MR’s among the GOLD population ranged from 3% to 25% below those reported\nfor the UK population except among children ≤ 10 years where MR’s were more than 50% lower.  The median list size was higher in GOLD practices (England 8,355 pts., Scotland 5,998 pts.) than for all England (5,918 pts.) and all Scotland (4,943 pts).\nConclusions: The GOLD population is generally representative of the UK population despite some  underrepresentation in younger age groups. ASMR and age-specific MRs are slightly lower in GOLD with variation by gender, larger in men, and age (pronounced in younger age groups). Practice sizes in GOLD are larger than the national averages. Possible reasons for the observed differences will be explored and discussed.","author":[{"family":"Campbell","given":"J"},{"family":"Dedman","given":"DJ"},{"family":"Eaton","given":"SC"},{"family":"Gallagher","given":"AM"},{"family":"Williams","given":"TJ"}]},"label":"page"},{"id":21171,"uris":["http://zotero.org/groups/23637/items/7TPJYBCU"],"uri":["http://zotero.org/groups/23637/items/7TPJYBCU"],"itemData":{"id":21171,"type":"article-journal","title":"Spatial distribution of clinical computer systems in primary care in England in 2016 and implications for primary care electronic medical record databases: a cross-sectional population study","container-title":"BMJ Open","volume":"8","issue":"2","source":"PubMed Central","abstract":"Objectives\nUK primary care databases (PCDs) are used by researchers worldwide to inform clinical practice. These databases have been primarily tied to single clinical computer systems, but little is known about the adoption of these systems by primary care practices or their geographical representativeness. We explore the spatial distribution of clinical computing systems and discuss the implications for the longevity and regional representativeness of these resources.\n\nDesign\nCross-sectional study.\n\nSetting\nEnglish primary care clinical computer systems.\n\nParticipants\n7526 general practices in August 2016.\n\nMethods\nSpatial mapping of family practices in England in 2016 by clinical computer system at two geographical levels, the lower Clinical Commissioning Group (CCG, 209 units) and the higher National Health Service regions (14 units). Data for practices included numbers of doctors, nurses and patients, and area deprivation.\n\nResults\nOf 7526 practices, Egton Medical Information Systems (EMIS) was used in 4199 (56%), SystmOne in 2552 (34%) and Vision in 636 (9%). Great regional variability was observed for all systems, with EMIS having a stronger presence in the West of England, London and the South; SystmOne in the East and some regions in the South; and Vision in London, the South, Greater Manchester and Birmingham.\n\nConclusions\nPCDs based on single clinical computer systems are geographically clustered in England. For example, Clinical Practice Research Datalink and The Health Improvement Network, the most popular primary care databases in terms of research outputs, are based on the Vision clinical computer system, used by &lt;10% of practices and heavily concentrated in three major conurbations and the South. Researchers need to be aware of the analytical challenges posed by clustering, and barriers to accessing alternative PCDs need to be removed.","URL":"https://www.ncbi.nlm.nih.gov/pmc/articles/PMC5855245/","DOI":"10.1136/bmjopen-2017-020738","ISSN":"2044-6055","note":"PMID: 29490968\nPMCID: PMC5855245","title-short":"Spatial distribution of clinical computer systems in primary care in England in 2016 and implications for primary care electronic medical record databases","journalAbbreviation":"BMJ Open","author":[{"family":"Kontopantelis","given":"Evangelos"},{"family":"Stevens","given":"Richard John"},{"family":"Helms","given":"Peter J"},{"family":"Edwards","given":"Duncan"},{"family":"Doran","given":"Tim"},{"family":"Ashcroft","given":"Darren M"}],"issued":{"date-parts":[["2018",2,28]]},"accessed":{"date-parts":[["2019",10,30]]}},"label":"page"}],"schema":"https://github.com/citation-style-language/schema/raw/master/csl-citation.json"} </w:instrText>
      </w:r>
      <w:r w:rsidR="00B01833">
        <w:fldChar w:fldCharType="separate"/>
      </w:r>
      <w:r w:rsidR="005E40A7" w:rsidRPr="005E40A7">
        <w:rPr>
          <w:rFonts w:ascii="Calibri" w:hAnsi="Calibri" w:cs="Calibri"/>
        </w:rPr>
        <w:t>[20,21]</w:t>
      </w:r>
      <w:r w:rsidR="00B01833">
        <w:fldChar w:fldCharType="end"/>
      </w:r>
      <w:r w:rsidR="00281E68">
        <w:t xml:space="preserve">; however, in terms of the patients, the 7% of the UK population in CPRD are generally representative of the total population </w:t>
      </w:r>
      <w:r w:rsidR="00B01833">
        <w:fldChar w:fldCharType="begin"/>
      </w:r>
      <w:r w:rsidR="005E40A7">
        <w:instrText xml:space="preserve"> ADDIN ZOTERO_ITEM CSL_CITATION {"citationID":"XenW9JH9","properties":{"formattedCitation":"[10]","plainCitation":"[10]","noteIndex":0},"citationItems":[{"id":19477,"uris":["http://zotero.org/groups/23637/items/I4GDU3ZS"],"uri":["http://zotero.org/groups/23637/items/I4GDU3ZS"],"itemData":{"id":19477,"type":"article-journal","title":"Data Resource Profile: Clinical Practice Research Datalink (CPRD)","container-title":"International Journal of Epidemiology","page":"827-836","volume":"44","issue":"3","source":"PubMed Central","abstract":"The Clinical Practice Research Datalink (CPRD) is an ongoing primary care database of anonymised medical records from general practitioners, with coverage of over 11.3 million patients from 674 practices in the UK. With 4.4 million active (alive, currently registered) patients meeting quality criteria, approximately 6.9% of the UK population are included and patients are broadly representative of the UK general population in terms of age, sex and ethnicity. General practitioners are the gatekeepers of primary care and specialist referrals in the UK. The CPRD primary care database is therefore a rich source of health data for research, including data on demographics, symptoms, tests, diagnoses, therapies, health-related behaviours and referrals to secondary care. For over half of patients, linkage with datasets from secondary care, disease-specific cohorts and mortality records enhance the range of data available for research. The CPRD is very widely used internationally for epidemiological research and has been used to produce over 1000 research studies, published in peer-reviewed journals across a broad range of health outcomes. However, researchers must be aware of the complexity of routinely collected electronic health records, including ways to manage variable completeness, misclassification and development of disease definitions for research.","DOI":"10.1093/ije/dyv098","ISSN":"0300-5771","note":"PMID: 26050254\nPMCID: PMC4521131","title-short":"Data Resource Profile","journalAbbreviation":"Int J Epidemiol","author":[{"family":"Herrett","given":"Emily"},{"family":"Gallagher","given":"Arlene M"},{"family":"Bhaskaran","given":"Krishnan"},{"family":"Forbes","given":"Harriet"},{"family":"Mathur","given":"Rohini"},{"family":"Staa","given":"Tjeerd","non-dropping-particle":"van"},{"family":"Smeeth","given":"Liam"}],"issued":{"date-parts":[["2015",6]]}}}],"schema":"https://github.com/citation-style-language/schema/raw/master/csl-citation.json"} </w:instrText>
      </w:r>
      <w:r w:rsidR="00B01833">
        <w:fldChar w:fldCharType="separate"/>
      </w:r>
      <w:r w:rsidR="005E40A7" w:rsidRPr="005E40A7">
        <w:rPr>
          <w:rFonts w:ascii="Calibri" w:hAnsi="Calibri" w:cs="Calibri"/>
        </w:rPr>
        <w:t>[10]</w:t>
      </w:r>
      <w:r w:rsidR="00B01833">
        <w:fldChar w:fldCharType="end"/>
      </w:r>
      <w:r w:rsidR="00281E68">
        <w:t>.</w:t>
      </w:r>
    </w:p>
    <w:p w:rsidR="00C06C99" w:rsidRDefault="00C06C99" w:rsidP="000631AC"/>
    <w:p w:rsidR="00C06C99" w:rsidRDefault="00C06C99" w:rsidP="000631AC">
      <w:r>
        <w:t>Identification of a palliative care approac</w:t>
      </w:r>
      <w:r w:rsidR="00234B90">
        <w:t xml:space="preserve">h in this study is dependent on coding in the clinical record; whilst a broader range of codes was used than in some recent studies </w:t>
      </w:r>
      <w:r w:rsidR="00B01833">
        <w:fldChar w:fldCharType="begin"/>
      </w:r>
      <w:r w:rsidR="005E40A7">
        <w:instrText xml:space="preserve"> ADDIN ZOTERO_ITEM CSL_CITATION {"citationID":"KwPKp3og","properties":{"unsorted":true,"formattedCitation":"[8,9]","plainCitation":"[8,9]","noteIndex":0},"citationItems":[{"id":3437,"uris":["http://zotero.org/groups/23637/items/9RHBJSEK"],"uri":["http://zotero.org/groups/23637/items/9RHBJSEK"],"itemData":{"id":3437,"type":"article-journal","title":"Palliative care among heart failure patients in primary care: a comparison to cancer patients using English family practice data","container-title":"PloS One","page":"e113188","volume":"9","issue":"11","source":"PubMed","abstract":"INTRODUCTION: Patients with heart failure have a significant symptom burden and other palliative care needs often over a longer period than patients with cancer. It is acknowledged that this need may be unmet but by how much has not been quantified in primary care data at the population level.\nMETHODS: This was the first use of Clinical Practice Research Datalink, the world's largest primary care database to explore recognition of the need for palliative care. Heart failure and cancer patients who had died in 2009 aged 18 or over and had at least one year of primary care records were identified. A palliative approach to care among patients with heart failure was compared to that among patients with cancer using entry onto a palliative care register as a marker for a palliative approach to care.\nRESULTS: Among patients with heart failure, 7% (234/3 122) were entered on the palliative care register compared to 48% (3 669/7 608) of cancer patients. Of heart failure patients on the palliative care register, 29% (69/234) were entered onto the register within a week of their death.\nCONCLUSIONS: This confirms that the stark inequity in recognition of palliative care needs for people with heart failure in a large primary care dataset. We recommend a move away from prognosis based criteria for palliative care towards a patient centred approach, with assessment of and attention to palliative needs including advance care planning throughout the disease trajectory.","DOI":"10.1371/journal.pone.0113188","ISSN":"1932-6203","note":"PMID: 25423169\nPMCID: PMC4244094","title-short":"Palliative care among heart failure patients in primary care","journalAbbreviation":"PLoS ONE","language":"eng","author":[{"family":"Gadoud","given":"Amy"},{"family":"Kane","given":"Eleanor"},{"family":"Macleod","given":"Una"},{"family":"Ansell","given":"Pat"},{"family":"Oliver","given":"Steven"},{"family":"Johnson","given":"Miriam"}],"issued":{"date-parts":[["2014"]]}},"label":"page"},{"id":19492,"uris":["http://zotero.org/groups/23637/items/PE7G5KPF"],"uri":["http://zotero.org/groups/23637/items/PE7G5KPF"],"itemData":{"id":19492,"type":"article-journal","title":"Low uptake of palliative care for COPD patients within primary care in the UK","container-title":"The European Respiratory Journal","volume":"51","issue":"2","source":"PubMed Central","abstract":"Mortality and symptom burden from chronic obstructive pulmonary disease (COPD) and lung cancer are similar but there is thought to be an inequality in palliative care support (PCS) between diseases. This nationally representative study assessed PCS for COPD patients within primary care in the UK., This was a cohort study using electronic healthcare records (2004–2015). Factors associated with receiving PCS were assessed using logistic regression for the whole cohort and deceased patients., There were 92 365 eligible COPD patients, of which 26 135 died. Only 7.8% of the whole cohort and 21.4% of deceased patients received PCS. Lung cancer had a strong association with PCS compared with other patient characteristics, including Global Initiative for Chronic Obstructive Lung Disease stage and Medical Research Council Dyspnoea score (whole cohort, lung cancer: OR 14.1, 95% CI 13.1–15; deceased patients, lung cancer: OR 6.5, 95% CI 6–7). Only 16.7% of deceased COPD patients without lung cancer received PCS compared with 56.5% of deceased patients with lung cancer. In patients that received PCS, lung cancer co-diagnosis significantly increased the chances of receiving PCS before the last month of life (1–6 versus ≤1 month pre-death: risk ratio 1.4, 95% CI 1.3–1.7)., Provision of PCS for COPD patients in the UK is inadequate. Lung cancer, not COPD, was the dominant driver for COPD patients to receive PCS., Palliative care provision for COPD patients without lung cancer is poor in the UK\nhttp://ow.ly/IIC230gWOOV","URL":"https://www.ncbi.nlm.nih.gov/pmc/articles/PMC5898942/","DOI":"10.1183/13993003.01879-2017","ISSN":"0903-1936","note":"PMID: 29444916\nPMCID: PMC5898942","journalAbbreviation":"Eur Respir J","author":[{"family":"Bloom","given":"Chloe I."},{"family":"Slaich","given":"Bhavan"},{"family":"Morales","given":"Daniel R."},{"family":"Smeeth","given":"Liam"},{"family":"Stone","given":"Patrick"},{"family":"Quint","given":"Jennifer K."}],"issued":{"date-parts":[["2018",2,15]]},"accessed":{"date-parts":[["2019",1,29]]}},"label":"page"}],"schema":"https://github.com/citation-style-language/schema/raw/master/csl-citation.json"} </w:instrText>
      </w:r>
      <w:r w:rsidR="00B01833">
        <w:fldChar w:fldCharType="separate"/>
      </w:r>
      <w:r w:rsidR="005E40A7" w:rsidRPr="005E40A7">
        <w:rPr>
          <w:rFonts w:ascii="Calibri" w:hAnsi="Calibri" w:cs="Calibri"/>
        </w:rPr>
        <w:t>[8,9]</w:t>
      </w:r>
      <w:r w:rsidR="00B01833">
        <w:fldChar w:fldCharType="end"/>
      </w:r>
      <w:r w:rsidR="005E40A7">
        <w:t>,</w:t>
      </w:r>
      <w:r w:rsidR="00234B90">
        <w:t xml:space="preserve"> it is likely that we have under-estimated true palliative care activity. However, systematic difference</w:t>
      </w:r>
      <w:r w:rsidR="003A3978">
        <w:t>s</w:t>
      </w:r>
      <w:r w:rsidR="00234B90">
        <w:t xml:space="preserve"> in this under-estimation by condition seem </w:t>
      </w:r>
      <w:r w:rsidR="003A3978">
        <w:t>un</w:t>
      </w:r>
      <w:r w:rsidR="00234B90">
        <w:t xml:space="preserve">likely and </w:t>
      </w:r>
      <w:r w:rsidR="003A3978">
        <w:t xml:space="preserve">hence </w:t>
      </w:r>
      <w:r w:rsidR="00234B90">
        <w:t>the relative differences observed</w:t>
      </w:r>
      <w:r w:rsidR="003A3978">
        <w:t xml:space="preserve"> would remain robust. </w:t>
      </w:r>
    </w:p>
    <w:p w:rsidR="00665875" w:rsidRDefault="00665875" w:rsidP="000631AC"/>
    <w:p w:rsidR="00231C0B" w:rsidRDefault="00141A34" w:rsidP="00231C0B">
      <w:r>
        <w:t>I</w:t>
      </w:r>
      <w:r w:rsidR="00D720AA">
        <w:t xml:space="preserve">nformation on place of death </w:t>
      </w:r>
      <w:r w:rsidR="00A6675F">
        <w:t xml:space="preserve">is not </w:t>
      </w:r>
      <w:r w:rsidR="009634AB">
        <w:t>routinely available in primary care records in CPRD</w:t>
      </w:r>
      <w:r w:rsidR="00AF0B73">
        <w:t xml:space="preserve"> and was established from secondary care data</w:t>
      </w:r>
      <w:r w:rsidR="00A6675F">
        <w:t>. We</w:t>
      </w:r>
      <w:r w:rsidR="00AF0B73" w:rsidRPr="00AF0B73">
        <w:t xml:space="preserve"> </w:t>
      </w:r>
      <w:r w:rsidR="00AF0B73">
        <w:t>were</w:t>
      </w:r>
      <w:r w:rsidR="00A6675F">
        <w:t xml:space="preserve"> </w:t>
      </w:r>
      <w:r w:rsidR="00FE612C">
        <w:t xml:space="preserve">therefore only able to define whether patients died </w:t>
      </w:r>
      <w:r w:rsidR="00FE612C">
        <w:lastRenderedPageBreak/>
        <w:t xml:space="preserve">in hospital or not; information on deaths at home or hospice were </w:t>
      </w:r>
      <w:r w:rsidR="00231C0B">
        <w:t>un</w:t>
      </w:r>
      <w:r w:rsidR="00FE612C">
        <w:t>available</w:t>
      </w:r>
      <w:r w:rsidR="00783C3C">
        <w:t>.</w:t>
      </w:r>
      <w:r w:rsidR="00FE612C">
        <w:t xml:space="preserve">  </w:t>
      </w:r>
      <w:r w:rsidR="00AF0B73">
        <w:t>W</w:t>
      </w:r>
      <w:r w:rsidR="00A70F93">
        <w:t>hile w</w:t>
      </w:r>
      <w:r w:rsidR="00AF0B73">
        <w:t xml:space="preserve">e had </w:t>
      </w:r>
      <w:r w:rsidR="00FE612C">
        <w:t xml:space="preserve">only three alternate years of data available due to </w:t>
      </w:r>
      <w:r w:rsidR="00783C3C">
        <w:t>limitations of funding</w:t>
      </w:r>
      <w:r w:rsidR="00FE612C">
        <w:t xml:space="preserve">, </w:t>
      </w:r>
      <w:r w:rsidR="00AF0B73">
        <w:t>this was sufficient</w:t>
      </w:r>
      <w:r w:rsidR="00FE612C">
        <w:t xml:space="preserve"> </w:t>
      </w:r>
      <w:r w:rsidR="00783C3C">
        <w:t xml:space="preserve">to see an upward </w:t>
      </w:r>
      <w:r w:rsidR="00FE612C">
        <w:t xml:space="preserve">time </w:t>
      </w:r>
      <w:r w:rsidR="00783C3C">
        <w:t>trend in palliative care recording</w:t>
      </w:r>
      <w:r w:rsidR="00A70F93">
        <w:t>, described as linear growth</w:t>
      </w:r>
      <w:r w:rsidR="00783C3C">
        <w:t xml:space="preserve"> but not </w:t>
      </w:r>
      <w:r>
        <w:t>of sufficient duration</w:t>
      </w:r>
      <w:r w:rsidR="00A70F93">
        <w:t xml:space="preserve"> to assess alternative trend patterns; and when</w:t>
      </w:r>
      <w:r w:rsidR="007A3CE7">
        <w:t xml:space="preserve"> compounded by low palliative care recording</w:t>
      </w:r>
      <w:r w:rsidR="00A70F93">
        <w:t>,</w:t>
      </w:r>
      <w:r w:rsidR="00FE612C">
        <w:t xml:space="preserve"> to determine</w:t>
      </w:r>
      <w:r w:rsidR="00783C3C">
        <w:t xml:space="preserve"> clear pattern</w:t>
      </w:r>
      <w:r w:rsidR="00AD0F9A">
        <w:t>s</w:t>
      </w:r>
      <w:r w:rsidR="00783C3C">
        <w:t xml:space="preserve"> in hospital deaths.</w:t>
      </w:r>
      <w:r w:rsidR="001660D8">
        <w:t xml:space="preserve">  </w:t>
      </w:r>
      <w:r w:rsidR="00231C0B">
        <w:t xml:space="preserve">We also recognise that place of death in isolation should not be a quality marker of good care of the dying. </w:t>
      </w:r>
      <w:r w:rsidR="00B66A32">
        <w:t>M</w:t>
      </w:r>
      <w:r w:rsidR="001660D8">
        <w:t>easures such as p</w:t>
      </w:r>
      <w:r w:rsidR="00AE6122">
        <w:t>atient centred outcome measures (PCOMs)</w:t>
      </w:r>
      <w:r w:rsidR="00762B70">
        <w:t xml:space="preserve"> </w:t>
      </w:r>
      <w:r w:rsidR="00AE6122">
        <w:t>are increasingly seen as the gold standard for measuring quality of care</w:t>
      </w:r>
      <w:r w:rsidR="00762B70">
        <w:t xml:space="preserve"> but </w:t>
      </w:r>
      <w:r w:rsidR="001660D8">
        <w:t>were</w:t>
      </w:r>
      <w:r w:rsidR="00762B70">
        <w:t xml:space="preserve"> not</w:t>
      </w:r>
      <w:r w:rsidR="001660D8">
        <w:t xml:space="preserve"> available and </w:t>
      </w:r>
      <w:r w:rsidR="00762B70">
        <w:t xml:space="preserve">indeed </w:t>
      </w:r>
      <w:r w:rsidR="001660D8">
        <w:t xml:space="preserve">are not </w:t>
      </w:r>
      <w:r w:rsidR="00AE6122">
        <w:t>widely used</w:t>
      </w:r>
      <w:r w:rsidR="00E264BB">
        <w:t xml:space="preserve"> </w:t>
      </w:r>
      <w:r w:rsidR="00B01833">
        <w:fldChar w:fldCharType="begin"/>
      </w:r>
      <w:r w:rsidR="005E40A7">
        <w:instrText xml:space="preserve"> ADDIN ZOTERO_ITEM CSL_CITATION {"citationID":"3qMWzYCD","properties":{"formattedCitation":"[22]","plainCitation":"[22]","noteIndex":0},"citationItems":[{"id":19512,"uris":["http://zotero.org/groups/23637/items/2SQ6KAB5"],"uri":["http://zotero.org/groups/23637/items/2SQ6KAB5"],"itemData":{"id":19512,"type":"article-journal","title":"Using routine data to improve palliative and end of life care","container-title":"BMJ supportive &amp; palliative care","page":"257-262","volume":"6","issue":"3","source":"PubMed","abstract":"Palliative and end of life care is essential to healthcare systems worldwide, yet a minute proportion of research funding is spent on palliative and end of life care research. Routinely collected health and social care data provide an efficient and useful opportunity for evaluating and improving care for patients and families. There are excellent examples of routine data research in palliative and end of life care, but routine data resources are widely underutilised. We held four workshops on using routinely collected health and social care data in palliative and end of life care. Researchers presented studies from the UK, USA and Europe. The aim was to highlight valuable examples of work with routine data including work with death registries, hospital activity records, primary care data and specialist palliative care registers. This article disseminates that work, describes the benefits of routine data research and identifies major challenges for the future use of routine data, including; access to data, improving data linkage, and the need for more palliative and end of life care specific data.","DOI":"10.1136/bmjspcare-2015-000994","ISSN":"2045-4368","note":"PMID: 26928173\nPMCID: PMC5013160","journalAbbreviation":"BMJ Support Palliat Care","language":"eng","author":[{"family":"Davies","given":"Joanna M."},{"family":"Gao","given":"Wei"},{"family":"Sleeman","given":"Katherine E."},{"family":"Lindsey","given":"Katie"},{"family":"Murtagh","given":"Fliss E."},{"family":"Teno","given":"Joan M."},{"family":"Deliens","given":"Luc"},{"family":"Wee","given":"Bee"},{"family":"Higginson","given":"Irene J."},{"family":"Verne","given":"Julia"}],"issued":{"date-parts":[["2016",9]]}}}],"schema":"https://github.com/citation-style-language/schema/raw/master/csl-citation.json"} </w:instrText>
      </w:r>
      <w:r w:rsidR="00B01833">
        <w:fldChar w:fldCharType="separate"/>
      </w:r>
      <w:r w:rsidR="005E40A7" w:rsidRPr="005E40A7">
        <w:rPr>
          <w:rFonts w:ascii="Calibri" w:hAnsi="Calibri" w:cs="Calibri"/>
        </w:rPr>
        <w:t>[22]</w:t>
      </w:r>
      <w:r w:rsidR="00B01833">
        <w:fldChar w:fldCharType="end"/>
      </w:r>
      <w:r w:rsidR="00AE6122">
        <w:t>.</w:t>
      </w:r>
      <w:r w:rsidR="00E264BB">
        <w:t xml:space="preserve"> </w:t>
      </w:r>
      <w:r w:rsidR="00231C0B">
        <w:t xml:space="preserve"> Although we relate our discussion to the UK End of Life Strategy of 2008, we are unable to </w:t>
      </w:r>
      <w:r w:rsidR="00B66A32">
        <w:t xml:space="preserve">assume </w:t>
      </w:r>
      <w:r w:rsidR="00231C0B">
        <w:t>causality in this observational study and data prior to 2008 were not analysed for comparison.</w:t>
      </w:r>
      <w:r w:rsidR="005978D3">
        <w:t xml:space="preserve"> </w:t>
      </w:r>
      <w:r w:rsidR="00B7585F">
        <w:t>O</w:t>
      </w:r>
      <w:r w:rsidR="005978D3">
        <w:t xml:space="preserve">f interest, the rate of increase for COPD patients (2.3% per year) </w:t>
      </w:r>
      <w:r w:rsidR="00B7585F">
        <w:t>is similar</w:t>
      </w:r>
      <w:r w:rsidR="005978D3">
        <w:t xml:space="preserve"> to the </w:t>
      </w:r>
      <w:r w:rsidR="00B7585F">
        <w:t xml:space="preserve">rate of increase between </w:t>
      </w:r>
      <w:r w:rsidR="005978D3">
        <w:t xml:space="preserve">2008 to 2014 </w:t>
      </w:r>
      <w:r w:rsidR="009E2540">
        <w:t xml:space="preserve">reported </w:t>
      </w:r>
      <w:r w:rsidR="005978D3">
        <w:t xml:space="preserve">in Bloom et al, </w:t>
      </w:r>
      <w:r w:rsidR="00B7585F">
        <w:t xml:space="preserve">and </w:t>
      </w:r>
      <w:r w:rsidR="005978D3">
        <w:t xml:space="preserve">which is approximately twice the rate of </w:t>
      </w:r>
      <w:r w:rsidR="00B7585F">
        <w:t>increase</w:t>
      </w:r>
      <w:r w:rsidR="005978D3">
        <w:t xml:space="preserve"> </w:t>
      </w:r>
      <w:r w:rsidR="00B7585F">
        <w:t>in their 2005 to 2008 data although they did not evaluate this</w:t>
      </w:r>
      <w:r w:rsidR="00941443">
        <w:t xml:space="preserve"> </w:t>
      </w:r>
      <w:r w:rsidR="00B01833">
        <w:fldChar w:fldCharType="begin"/>
      </w:r>
      <w:r w:rsidR="005E40A7">
        <w:instrText xml:space="preserve"> ADDIN ZOTERO_ITEM CSL_CITATION {"citationID":"ZcGbUXgi","properties":{"formattedCitation":"[9]","plainCitation":"[9]","noteIndex":0},"citationItems":[{"id":19492,"uris":["http://zotero.org/groups/23637/items/PE7G5KPF"],"uri":["http://zotero.org/groups/23637/items/PE7G5KPF"],"itemData":{"id":19492,"type":"article-journal","title":"Low uptake of palliative care for COPD patients within primary care in the UK","container-title":"The European Respiratory Journal","volume":"51","issue":"2","source":"PubMed Central","abstract":"Mortality and symptom burden from chronic obstructive pulmonary disease (COPD) and lung cancer are similar but there is thought to be an inequality in palliative care support (PCS) between diseases. This nationally representative study assessed PCS for COPD patients within primary care in the UK., This was a cohort study using electronic healthcare records (2004–2015). Factors associated with receiving PCS were assessed using logistic regression for the whole cohort and deceased patients., There were 92 365 eligible COPD patients, of which 26 135 died. Only 7.8% of the whole cohort and 21.4% of deceased patients received PCS. Lung cancer had a strong association with PCS compared with other patient characteristics, including Global Initiative for Chronic Obstructive Lung Disease stage and Medical Research Council Dyspnoea score (whole cohort, lung cancer: OR 14.1, 95% CI 13.1–15; deceased patients, lung cancer: OR 6.5, 95% CI 6–7). Only 16.7% of deceased COPD patients without lung cancer received PCS compared with 56.5% of deceased patients with lung cancer. In patients that received PCS, lung cancer co-diagnosis significantly increased the chances of receiving PCS before the last month of life (1–6 versus ≤1 month pre-death: risk ratio 1.4, 95% CI 1.3–1.7)., Provision of PCS for COPD patients in the UK is inadequate. Lung cancer, not COPD, was the dominant driver for COPD patients to receive PCS., Palliative care provision for COPD patients without lung cancer is poor in the UK\nhttp://ow.ly/IIC230gWOOV","URL":"https://www.ncbi.nlm.nih.gov/pmc/articles/PMC5898942/","DOI":"10.1183/13993003.01879-2017","ISSN":"0903-1936","note":"PMID: 29444916\nPMCID: PMC5898942","journalAbbreviation":"Eur Respir J","author":[{"family":"Bloom","given":"Chloe I."},{"family":"Slaich","given":"Bhavan"},{"family":"Morales","given":"Daniel R."},{"family":"Smeeth","given":"Liam"},{"family":"Stone","given":"Patrick"},{"family":"Quint","given":"Jennifer K."}],"issued":{"date-parts":[["2018",2,15]]},"accessed":{"date-parts":[["2019",1,29]]}}}],"schema":"https://github.com/citation-style-language/schema/raw/master/csl-citation.json"} </w:instrText>
      </w:r>
      <w:r w:rsidR="00B01833">
        <w:fldChar w:fldCharType="separate"/>
      </w:r>
      <w:r w:rsidR="00225C7C" w:rsidRPr="00225C7C">
        <w:rPr>
          <w:rFonts w:ascii="Calibri" w:hAnsi="Calibri" w:cs="Calibri"/>
        </w:rPr>
        <w:t>[9]</w:t>
      </w:r>
      <w:r w:rsidR="00B01833">
        <w:fldChar w:fldCharType="end"/>
      </w:r>
      <w:r w:rsidR="00B7585F">
        <w:t>.</w:t>
      </w:r>
    </w:p>
    <w:p w:rsidR="00AE6122" w:rsidRDefault="00AE6122" w:rsidP="008B1A8D"/>
    <w:p w:rsidR="00D557DD" w:rsidRPr="00D557DD" w:rsidRDefault="00D557DD" w:rsidP="008B1A8D"/>
    <w:p w:rsidR="004908E1" w:rsidRDefault="004908E1" w:rsidP="004908E1">
      <w:pPr>
        <w:pStyle w:val="Heading3"/>
      </w:pPr>
      <w:r>
        <w:t xml:space="preserve">Implications for research, policy and practice </w:t>
      </w:r>
    </w:p>
    <w:p w:rsidR="00CC0698" w:rsidRDefault="001228E5" w:rsidP="00CC0698">
      <w:r>
        <w:t xml:space="preserve">Although inequities seem to be improving for all </w:t>
      </w:r>
      <w:r w:rsidR="001E0490">
        <w:t xml:space="preserve">disease </w:t>
      </w:r>
      <w:r>
        <w:t>f</w:t>
      </w:r>
      <w:r w:rsidR="004908E1">
        <w:t>urther investigation of the reasons for and how to overcome the inequality are needed: for example, a case study approach of practices with low and high proportions of patients on the palliative care register</w:t>
      </w:r>
      <w:r w:rsidR="00AE6122">
        <w:t>.</w:t>
      </w:r>
      <w:r w:rsidR="001A76EF">
        <w:t xml:space="preserve"> </w:t>
      </w:r>
      <w:r w:rsidR="004908E1">
        <w:t xml:space="preserve"> </w:t>
      </w:r>
      <w:proofErr w:type="gramStart"/>
      <w:r w:rsidR="004908E1">
        <w:t>Also</w:t>
      </w:r>
      <w:proofErr w:type="gramEnd"/>
      <w:r w:rsidR="001E0490">
        <w:t xml:space="preserve"> a study</w:t>
      </w:r>
      <w:r w:rsidR="001A76EF">
        <w:t xml:space="preserve"> to</w:t>
      </w:r>
      <w:r w:rsidR="004908E1">
        <w:t xml:space="preserve"> explore more </w:t>
      </w:r>
      <w:r w:rsidR="00CC5116">
        <w:t>patient-</w:t>
      </w:r>
      <w:r w:rsidR="004908E1">
        <w:t>centred outcomes of the result of being on a palliative care register especially as these become more widely used</w:t>
      </w:r>
      <w:r w:rsidR="00F14F47">
        <w:t>,</w:t>
      </w:r>
      <w:r w:rsidR="005F0AD3">
        <w:t xml:space="preserve"> </w:t>
      </w:r>
      <w:r w:rsidR="00F14F47">
        <w:t xml:space="preserve">for example </w:t>
      </w:r>
      <w:r w:rsidR="00CC0698">
        <w:t>the Integrated Palliative care Outcome Scale (IPOS), a</w:t>
      </w:r>
    </w:p>
    <w:p w:rsidR="004908E1" w:rsidRDefault="0025013F" w:rsidP="00CC0698">
      <w:r>
        <w:t>p</w:t>
      </w:r>
      <w:r w:rsidR="00CC0698">
        <w:t xml:space="preserve">atient centred outcome measure developed and validated for use with </w:t>
      </w:r>
      <w:r w:rsidR="009E2540">
        <w:t>people with advanced disease</w:t>
      </w:r>
      <w:r w:rsidR="00E264BB">
        <w:t xml:space="preserve"> </w:t>
      </w:r>
      <w:r w:rsidR="00B01833">
        <w:fldChar w:fldCharType="begin"/>
      </w:r>
      <w:r w:rsidR="005E40A7">
        <w:instrText xml:space="preserve"> ADDIN ZOTERO_ITEM CSL_CITATION {"citationID":"VmYypO4f","properties":{"formattedCitation":"[22]","plainCitation":"[22]","noteIndex":0},"citationItems":[{"id":19512,"uris":["http://zotero.org/groups/23637/items/2SQ6KAB5"],"uri":["http://zotero.org/groups/23637/items/2SQ6KAB5"],"itemData":{"id":19512,"type":"article-journal","title":"Using routine data to improve palliative and end of life care","container-title":"BMJ supportive &amp; palliative care","page":"257-262","volume":"6","issue":"3","source":"PubMed","abstract":"Palliative and end of life care is essential to healthcare systems worldwide, yet a minute proportion of research funding is spent on palliative and end of life care research. Routinely collected health and social care data provide an efficient and useful opportunity for evaluating and improving care for patients and families. There are excellent examples of routine data research in palliative and end of life care, but routine data resources are widely underutilised. We held four workshops on using routinely collected health and social care data in palliative and end of life care. Researchers presented studies from the UK, USA and Europe. The aim was to highlight valuable examples of work with routine data including work with death registries, hospital activity records, primary care data and specialist palliative care registers. This article disseminates that work, describes the benefits of routine data research and identifies major challenges for the future use of routine data, including; access to data, improving data linkage, and the need for more palliative and end of life care specific data.","DOI":"10.1136/bmjspcare-2015-000994","ISSN":"2045-4368","note":"PMID: 26928173\nPMCID: PMC5013160","journalAbbreviation":"BMJ Support Palliat Care","language":"eng","author":[{"family":"Davies","given":"Joanna M."},{"family":"Gao","given":"Wei"},{"family":"Sleeman","given":"Katherine E."},{"family":"Lindsey","given":"Katie"},{"family":"Murtagh","given":"Fliss E."},{"family":"Teno","given":"Joan M."},{"family":"Deliens","given":"Luc"},{"family":"Wee","given":"Bee"},{"family":"Higginson","given":"Irene J."},{"family":"Verne","given":"Julia"}],"issued":{"date-parts":[["2016",9]]}}}],"schema":"https://github.com/citation-style-language/schema/raw/master/csl-citation.json"} </w:instrText>
      </w:r>
      <w:r w:rsidR="00B01833">
        <w:fldChar w:fldCharType="separate"/>
      </w:r>
      <w:r w:rsidR="005E40A7" w:rsidRPr="005E40A7">
        <w:rPr>
          <w:rFonts w:ascii="Calibri" w:hAnsi="Calibri" w:cs="Calibri"/>
        </w:rPr>
        <w:t>[22]</w:t>
      </w:r>
      <w:r w:rsidR="00B01833">
        <w:fldChar w:fldCharType="end"/>
      </w:r>
      <w:r w:rsidR="004908E1">
        <w:t xml:space="preserve">. </w:t>
      </w:r>
    </w:p>
    <w:p w:rsidR="001A76EF" w:rsidRDefault="001A76EF" w:rsidP="004908E1"/>
    <w:p w:rsidR="00CD7DD0" w:rsidRDefault="004908E1" w:rsidP="004908E1">
      <w:r>
        <w:t xml:space="preserve">We would challenge the current </w:t>
      </w:r>
      <w:r w:rsidR="00CD7DD0">
        <w:t>UK strategy for</w:t>
      </w:r>
      <w:r>
        <w:t xml:space="preserve"> identification of palliative care patients based on “</w:t>
      </w:r>
      <w:r w:rsidR="00231C0B" w:rsidRPr="00EB6A6F">
        <w:rPr>
          <w:i/>
        </w:rPr>
        <w:t>end</w:t>
      </w:r>
      <w:r w:rsidR="00A839F8">
        <w:t xml:space="preserve"> of life</w:t>
      </w:r>
      <w:r>
        <w:t>”</w:t>
      </w:r>
      <w:r w:rsidR="000434F3">
        <w:t xml:space="preserve">. </w:t>
      </w:r>
      <w:r>
        <w:t xml:space="preserve"> </w:t>
      </w:r>
      <w:r w:rsidR="00231C0B">
        <w:t xml:space="preserve">Although the UK policy definition does not intend an interpretation of “the last few days or weeks of life”, in practice, that is often the case. The use of the word “end” strongly implies a </w:t>
      </w:r>
      <w:r w:rsidR="00231C0B" w:rsidRPr="0089548D">
        <w:rPr>
          <w:i/>
        </w:rPr>
        <w:t>time</w:t>
      </w:r>
      <w:r w:rsidR="00231C0B">
        <w:t>-bound frame, and one which works backwards from the time of death. This risks delay in implementing a palliative approach, arising from the real challenges of accurately predicting the day of death</w:t>
      </w:r>
      <w:r w:rsidR="00A57BF1">
        <w:t xml:space="preserve">, so called </w:t>
      </w:r>
      <w:r w:rsidR="00231C0B">
        <w:t>“prognostic paralysis”</w:t>
      </w:r>
      <w:r w:rsidR="00E264BB">
        <w:t xml:space="preserve"> </w:t>
      </w:r>
      <w:r w:rsidR="00B01833">
        <w:fldChar w:fldCharType="begin"/>
      </w:r>
      <w:r w:rsidR="005E40A7">
        <w:instrText xml:space="preserve"> ADDIN ZOTERO_ITEM CSL_CITATION {"citationID":"A4qVglLS","properties":{"formattedCitation":"[23]","plainCitation":"[23]","noteIndex":0},"citationItems":[{"id":19515,"uris":["http://zotero.org/groups/23637/items/HJWTNF5E"],"uri":["http://zotero.org/groups/23637/items/HJWTNF5E"],"itemData":{"id":19515,"type":"article-journal","title":"Avoid 'prognostic paralysis'--just get ahead and plan and co-ordinate care","container-title":"NPJ primary care respiratory medicine","page":"14085","volume":"24","source":"PubMed","DOI":"10.1038/npjpcrm.2014.85","ISSN":"2055-1010","note":"PMID: 25297513\nPMCID: PMC4373499","journalAbbreviation":"NPJ Prim Care Respir Med","language":"eng","author":[{"family":"Epiphaniou","given":"Eleni"},{"family":"Shipman","given":"Cathy"},{"family":"Harding","given":"Richard"},{"family":"Mason","given":"Bruce"},{"family":"Murray","given":"Scott A."},{"family":"Higginson","given":"Irene J."},{"family":"Daveson","given":"Barbara A."}],"issued":{"date-parts":[["2014",10,9]]}}}],"schema":"https://github.com/citation-style-language/schema/raw/master/csl-citation.json"} </w:instrText>
      </w:r>
      <w:r w:rsidR="00B01833">
        <w:fldChar w:fldCharType="separate"/>
      </w:r>
      <w:r w:rsidR="005E40A7" w:rsidRPr="005E40A7">
        <w:rPr>
          <w:rFonts w:ascii="Calibri" w:hAnsi="Calibri" w:cs="Calibri"/>
        </w:rPr>
        <w:t>[23]</w:t>
      </w:r>
      <w:r w:rsidR="00B01833">
        <w:fldChar w:fldCharType="end"/>
      </w:r>
      <w:r w:rsidR="00A57BF1">
        <w:t xml:space="preserve">, </w:t>
      </w:r>
      <w:r w:rsidR="00A57BF1" w:rsidRPr="00BD161B">
        <w:t xml:space="preserve">a problem that is also well recognised as a barrier to hospice care for non-cancer diagnoses in the United States </w:t>
      </w:r>
      <w:r w:rsidR="00B01833" w:rsidRPr="00BD161B">
        <w:fldChar w:fldCharType="begin"/>
      </w:r>
      <w:r w:rsidR="005E40A7">
        <w:instrText xml:space="preserve"> ADDIN ZOTERO_ITEM CSL_CITATION {"citationID":"lHdPnHa3","properties":{"formattedCitation":"[24]","plainCitation":"[24]","noteIndex":0},"citationItems":[{"id":19854,"uris":["http://zotero.org/groups/23637/items/FWGPWH7M"],"uri":["http://zotero.org/groups/23637/items/FWGPWH7M"],"itemData":{"id":19854,"type":"article-journal","title":"Models of palliative care delivery in the United States","container-title":"Current Opinion in Supportive and Palliative Care","page":"201-206","volume":"7","issue":"2","source":"PubMed","abstract":"PURPOSE OF REVIEW: To summarize the current United States healthcare system and describe current models of palliative care delivery.\nRECENT FINDINGS: Palliative care services in the USA have been heavily influenced by the public-private fee-for-service reimbursement system. Hospice provides care for 46% of adults at the end-of-life under the Medicare hospice benefit. Palliative care teams in hospitals have rapidly expanded to provide care for seriously ill patients irrespective of prognosis. To date, over two-thirds of all hospitals and over 85% of mid to large size hospitals report a palliative care team. With the passage of the Patient Protection and Affordable Care Act of 2010, healthcare reform provides an opportunity for new models of care.\nSUMMARY: Palliative care services are well established within hospitals and hospice. Future work is needed to develop quality metrics, create care models that provide services in the community, and increase the palliative care workforce.","DOI":"10.1097/SPC.0b013e32836103e5","ISSN":"1751-4266","note":"PMID: 23635879\nPMCID: PMC4651439","journalAbbreviation":"Curr Opin Support Palliat Care","language":"eng","author":[{"family":"Morrison","given":"R. Sean"}],"issued":{"date-parts":[["2013",6]]}}}],"schema":"https://github.com/citation-style-language/schema/raw/master/csl-citation.json"} </w:instrText>
      </w:r>
      <w:r w:rsidR="00B01833" w:rsidRPr="00BD161B">
        <w:fldChar w:fldCharType="separate"/>
      </w:r>
      <w:r w:rsidR="005E40A7" w:rsidRPr="005E40A7">
        <w:rPr>
          <w:rFonts w:ascii="Calibri" w:hAnsi="Calibri" w:cs="Calibri"/>
        </w:rPr>
        <w:t>[24]</w:t>
      </w:r>
      <w:r w:rsidR="00B01833" w:rsidRPr="00BD161B">
        <w:fldChar w:fldCharType="end"/>
      </w:r>
      <w:r w:rsidR="00231C0B" w:rsidRPr="00BD161B">
        <w:t>.</w:t>
      </w:r>
      <w:r w:rsidR="00E264BB" w:rsidRPr="00CA22C7">
        <w:t xml:space="preserve"> </w:t>
      </w:r>
      <w:r w:rsidR="00231C0B" w:rsidRPr="00BD161B">
        <w:t xml:space="preserve"> </w:t>
      </w:r>
      <w:r w:rsidRPr="00BD161B">
        <w:t>We welcome initiatives that promote supportive care and advance care pla</w:t>
      </w:r>
      <w:r>
        <w:t>nning earlier in the disease trajectory</w:t>
      </w:r>
      <w:r w:rsidR="005E40A7">
        <w:t xml:space="preserve"> </w:t>
      </w:r>
      <w:r w:rsidR="00B01833">
        <w:fldChar w:fldCharType="begin"/>
      </w:r>
      <w:r w:rsidR="00B5376B">
        <w:instrText xml:space="preserve"> ADDIN ZOTERO_ITEM CSL_CITATION {"citationID":"sr6TVJVQ","properties":{"formattedCitation":"[25]","plainCitation":"[25]","noteIndex":0},"citationItems":[{"id":21238,"uris":["http://zotero.org/groups/23637/items/XFSV38YW"],"uri":["http://zotero.org/groups/23637/items/XFSV38YW"],"itemData":{"id":21238,"type":"article-journal","title":"How good is primary care at identifying patients who need palliative care? A mixed-methods study","container-title":"European Journal of Palliative Care","page":"216–222","volume":"20","issue":"5","source":"Google Scholar","title-short":"How good is primary care at identifying patients who need palliative care?","author":[{"family":"Zheng","given":"L."},{"family":"Finucane","given":"A. M."},{"family":"Oxenham","given":"D."},{"family":"McLoughlin","given":"P."},{"family":"McCutcheon","given":"H."},{"family":"Murray","given":"S. A."}],"issued":{"date-parts":[["2013"]]}}}],"schema":"https://github.com/citation-style-language/schema/raw/master/csl-citation.json"} </w:instrText>
      </w:r>
      <w:r w:rsidR="00B01833">
        <w:fldChar w:fldCharType="separate"/>
      </w:r>
      <w:r w:rsidR="00B5376B" w:rsidRPr="00B5376B">
        <w:rPr>
          <w:rFonts w:ascii="Calibri" w:hAnsi="Calibri" w:cs="Calibri"/>
        </w:rPr>
        <w:t>[25]</w:t>
      </w:r>
      <w:r w:rsidR="00B01833">
        <w:fldChar w:fldCharType="end"/>
      </w:r>
      <w:r w:rsidR="00CD7DD0">
        <w:t xml:space="preserve">.  </w:t>
      </w:r>
      <w:r w:rsidR="00231C0B">
        <w:t>The more recent national framework for local implementation UK Ambitions of Care document uses the phras</w:t>
      </w:r>
      <w:r w:rsidR="00AA4C4E">
        <w:t>e “palliative and end-of-life”</w:t>
      </w:r>
      <w:r w:rsidR="00E264BB">
        <w:t xml:space="preserve"> </w:t>
      </w:r>
      <w:r w:rsidR="00B01833">
        <w:fldChar w:fldCharType="begin"/>
      </w:r>
      <w:r w:rsidR="00B5376B">
        <w:instrText xml:space="preserve"> ADDIN ZOTERO_ITEM CSL_CITATION {"citationID":"87FjUtse","properties":{"formattedCitation":"[26]","plainCitation":"[26]","noteIndex":0},"citationItems":[{"id":19518,"uris":["http://zotero.org/groups/23637/items/Q3TRJ9DY"],"uri":["http://zotero.org/groups/23637/items/Q3TRJ9DY"],"itemData":{"id":19518,"type":"report","title":"Ambitions for Palliative and End of Life Care: A national framework for local action 2015-2020","URL":"http://endoflifecareambitions.org.uk/","language":"en","author":[{"literal":"National Palliative and End of Life Care Partnership"}],"issued":{"date-parts":[["2015",9]]},"accessed":{"date-parts":[["2019",1,29]]}}}],"schema":"https://github.com/citation-style-language/schema/raw/master/csl-citation.json"} </w:instrText>
      </w:r>
      <w:r w:rsidR="00B01833">
        <w:fldChar w:fldCharType="separate"/>
      </w:r>
      <w:r w:rsidR="00B5376B" w:rsidRPr="00B5376B">
        <w:rPr>
          <w:rFonts w:ascii="Calibri" w:hAnsi="Calibri" w:cs="Calibri"/>
        </w:rPr>
        <w:t>[26]</w:t>
      </w:r>
      <w:r w:rsidR="00B01833">
        <w:fldChar w:fldCharType="end"/>
      </w:r>
      <w:r w:rsidR="00AA4C4E">
        <w:t xml:space="preserve">. </w:t>
      </w:r>
      <w:r w:rsidR="00231C0B">
        <w:t xml:space="preserve">It will be interesting to see whether this clarifies or </w:t>
      </w:r>
      <w:r w:rsidR="00231C0B">
        <w:lastRenderedPageBreak/>
        <w:t xml:space="preserve">complicates clinical practice. </w:t>
      </w:r>
      <w:r w:rsidR="00CD7DD0">
        <w:t xml:space="preserve">We look to </w:t>
      </w:r>
      <w:r w:rsidR="00231C0B">
        <w:t xml:space="preserve">the WHO and </w:t>
      </w:r>
      <w:r w:rsidR="00CD7DD0" w:rsidRPr="00CD7DD0">
        <w:t>Worldwide Palliative Care Alliance</w:t>
      </w:r>
      <w:r w:rsidR="00CD7DD0">
        <w:t xml:space="preserve"> which </w:t>
      </w:r>
      <w:r w:rsidR="00231C0B">
        <w:t xml:space="preserve">do not mention either diagnosis, or prognosis, rather using the term </w:t>
      </w:r>
      <w:r w:rsidR="00CD7DD0">
        <w:t>life</w:t>
      </w:r>
      <w:r w:rsidR="00231C0B">
        <w:t>-</w:t>
      </w:r>
      <w:r w:rsidR="00CD7DD0">
        <w:t xml:space="preserve">limiting conditions and </w:t>
      </w:r>
      <w:r w:rsidR="00231C0B">
        <w:t xml:space="preserve">recommends  identification of </w:t>
      </w:r>
      <w:r w:rsidR="003C336D">
        <w:t>n</w:t>
      </w:r>
      <w:r w:rsidR="00CD7DD0">
        <w:t>eed for palliative care based on symptoms</w:t>
      </w:r>
      <w:r w:rsidR="00E264BB">
        <w:t xml:space="preserve"> </w:t>
      </w:r>
      <w:r w:rsidR="00B01833">
        <w:fldChar w:fldCharType="begin"/>
      </w:r>
      <w:r w:rsidR="005E40A7">
        <w:instrText xml:space="preserve"> ADDIN ZOTERO_ITEM CSL_CITATION {"citationID":"EzESIKCe","properties":{"formattedCitation":"[2]","plainCitation":"[2]","noteIndex":0},"citationItems":[{"id":19473,"uris":["http://zotero.org/groups/23637/items/T6WRL76Y"],"uri":["http://zotero.org/groups/23637/items/T6WRL76Y"],"itemData":{"id":19473,"type":"report","title":"Global atlas of palliative care at the end of life","publisher":"World Health Organization","abstract":"There is increased awareness of the need for palliative care for chronic diseases. However, there remains a huge unmet need for palliative care for chronic life-limiting health problems in most parts of the world. The purpose of this Atlas is to shine a light on the need for palliative care globally and to provide useful information for those wishing to increase access. This document addresses the following questions:\n\nWhat is palliative care? Why is palliative care a human rights issue? What are the main diseases requiring palliative care? What is the need for palliative care? What are the barriers to palliative care? Where is palliative care currently available? What are the models of palliative care worldwide? What resources are devoted to palliative care? What is the way forward?","URL":"http://www.who.int/ncds/management/palliative-care/palliative-care-atlas/en/","author":[{"literal":"World Palliative Care Alliance"},{"literal":"WHO"}],"issued":{"date-parts":[["2014",1]]},"accessed":{"date-parts":[["2019",1,29]]}}}],"schema":"https://github.com/citation-style-language/schema/raw/master/csl-citation.json"} </w:instrText>
      </w:r>
      <w:r w:rsidR="00B01833">
        <w:fldChar w:fldCharType="separate"/>
      </w:r>
      <w:r w:rsidR="005247C0" w:rsidRPr="005247C0">
        <w:rPr>
          <w:rFonts w:ascii="Calibri" w:hAnsi="Calibri" w:cs="Calibri"/>
        </w:rPr>
        <w:t>[2]</w:t>
      </w:r>
      <w:r w:rsidR="00B01833">
        <w:fldChar w:fldCharType="end"/>
      </w:r>
      <w:r w:rsidR="00CD7DD0">
        <w:t>.</w:t>
      </w:r>
      <w:r w:rsidR="00E264BB">
        <w:t xml:space="preserve"> </w:t>
      </w:r>
    </w:p>
    <w:p w:rsidR="00CD7DD0" w:rsidRDefault="00CD7DD0" w:rsidP="004908E1"/>
    <w:p w:rsidR="004908E1" w:rsidRDefault="004908E1" w:rsidP="004908E1">
      <w:pPr>
        <w:pStyle w:val="Heading3"/>
      </w:pPr>
      <w:r>
        <w:t xml:space="preserve">Conclusions </w:t>
      </w:r>
    </w:p>
    <w:p w:rsidR="001660D8" w:rsidRDefault="00B66A32" w:rsidP="001660D8">
      <w:r>
        <w:t>To the best of our knowledge t</w:t>
      </w:r>
      <w:r w:rsidR="001660D8" w:rsidRPr="006F1FBC">
        <w:t>his is the first use</w:t>
      </w:r>
      <w:r>
        <w:t xml:space="preserve"> </w:t>
      </w:r>
      <w:r w:rsidR="001660D8" w:rsidRPr="006F1FBC">
        <w:t>of this data linkage in the palliative care population and allowed us to explore not only recognition of palliative care in primary care</w:t>
      </w:r>
      <w:r w:rsidR="001660D8">
        <w:t>.</w:t>
      </w:r>
      <w:r w:rsidR="00231C0B">
        <w:t xml:space="preserve"> </w:t>
      </w:r>
      <w:r w:rsidR="00231C0B" w:rsidRPr="00CE76C8">
        <w:t xml:space="preserve">Since the introduction of the </w:t>
      </w:r>
      <w:r w:rsidR="00231C0B">
        <w:t>UK E</w:t>
      </w:r>
      <w:r w:rsidR="00231C0B" w:rsidRPr="00CE76C8">
        <w:t xml:space="preserve">nd of </w:t>
      </w:r>
      <w:r w:rsidR="00231C0B">
        <w:t>L</w:t>
      </w:r>
      <w:r w:rsidR="00231C0B" w:rsidRPr="00CE76C8">
        <w:t xml:space="preserve">ife </w:t>
      </w:r>
      <w:r w:rsidR="00231C0B">
        <w:t>C</w:t>
      </w:r>
      <w:r w:rsidR="00231C0B" w:rsidRPr="00CE76C8">
        <w:t xml:space="preserve">are </w:t>
      </w:r>
      <w:r w:rsidR="00231C0B">
        <w:t>S</w:t>
      </w:r>
      <w:r w:rsidR="00231C0B" w:rsidRPr="00CE76C8">
        <w:t>trategy</w:t>
      </w:r>
      <w:r w:rsidR="00231C0B">
        <w:t xml:space="preserve"> </w:t>
      </w:r>
      <w:r w:rsidR="00305357">
        <w:t>r</w:t>
      </w:r>
      <w:r w:rsidR="00231C0B" w:rsidRPr="00CE76C8">
        <w:t>ecognition of the need for palliative care</w:t>
      </w:r>
      <w:r w:rsidR="00231C0B">
        <w:t xml:space="preserve"> approach</w:t>
      </w:r>
      <w:r w:rsidR="00231C0B" w:rsidRPr="00CE76C8">
        <w:t xml:space="preserve"> has increased </w:t>
      </w:r>
      <w:r w:rsidR="00231C0B">
        <w:t xml:space="preserve">in common life-limiting conditions, in a timelier manner.  This may have </w:t>
      </w:r>
      <w:r>
        <w:t xml:space="preserve">in turn been related </w:t>
      </w:r>
      <w:r w:rsidR="00231C0B">
        <w:t xml:space="preserve">to a reduction in the number of patients dying in hospital but </w:t>
      </w:r>
      <w:r>
        <w:t>further study will be needed to confirm this</w:t>
      </w:r>
      <w:r w:rsidR="00231C0B">
        <w:t>.</w:t>
      </w:r>
    </w:p>
    <w:p w:rsidR="004D2E0E" w:rsidRDefault="004D2E0E">
      <w:pPr>
        <w:spacing w:after="160" w:line="259" w:lineRule="auto"/>
        <w:rPr>
          <w:rFonts w:asciiTheme="majorHAnsi" w:eastAsiaTheme="majorEastAsia" w:hAnsiTheme="majorHAnsi" w:cstheme="majorBidi"/>
          <w:color w:val="2E74B5" w:themeColor="accent1" w:themeShade="BF"/>
          <w:sz w:val="26"/>
          <w:szCs w:val="26"/>
        </w:rPr>
      </w:pPr>
      <w:r>
        <w:br w:type="page"/>
      </w:r>
    </w:p>
    <w:p w:rsidR="004908E1" w:rsidRDefault="0016396E" w:rsidP="0016396E">
      <w:pPr>
        <w:pStyle w:val="Heading2"/>
      </w:pPr>
      <w:r>
        <w:lastRenderedPageBreak/>
        <w:t>Contributors</w:t>
      </w:r>
    </w:p>
    <w:p w:rsidR="00DD5574" w:rsidRPr="00856A9F" w:rsidRDefault="00DD5574" w:rsidP="008B1A8D">
      <w:r>
        <w:t xml:space="preserve">All authors were responsible for the design and conduct of the study.  AG and EK designed and created the database.  EK and VA conducted the statistical analyses. AG, EK and VA drafted and revised the paper.  SO, MJ and UM revised the draft paper.  All authors have approved the final version for publication.  AG is the guarantor. </w:t>
      </w:r>
    </w:p>
    <w:p w:rsidR="00D6396E" w:rsidRDefault="0016396E" w:rsidP="00D6396E">
      <w:pPr>
        <w:pStyle w:val="Heading2"/>
      </w:pPr>
      <w:r>
        <w:t>Acknowledgements</w:t>
      </w:r>
    </w:p>
    <w:p w:rsidR="005A0EEE" w:rsidRDefault="0062639B" w:rsidP="008431E2">
      <w:r>
        <w:t>T</w:t>
      </w:r>
      <w:r w:rsidR="008431E2">
        <w:t xml:space="preserve">he </w:t>
      </w:r>
      <w:r>
        <w:t>authors would like to thank Professor Trevor Sheldon</w:t>
      </w:r>
      <w:r w:rsidR="008431E2">
        <w:t>, University of York</w:t>
      </w:r>
      <w:r>
        <w:t xml:space="preserve"> for his comments on an earlier draft of a paper and Professor Tim Doran</w:t>
      </w:r>
      <w:r w:rsidR="00D6396E">
        <w:t>, University of York</w:t>
      </w:r>
      <w:r>
        <w:t xml:space="preserve"> </w:t>
      </w:r>
      <w:r w:rsidR="008431E2">
        <w:t xml:space="preserve">for discussions regarding early data analysis. </w:t>
      </w:r>
    </w:p>
    <w:p w:rsidR="008B28D5" w:rsidRDefault="008B28D5" w:rsidP="0016396E">
      <w:pPr>
        <w:pStyle w:val="Heading2"/>
      </w:pPr>
      <w:r>
        <w:t xml:space="preserve">Disclaimer </w:t>
      </w:r>
    </w:p>
    <w:p w:rsidR="008B28D5" w:rsidRDefault="008B28D5" w:rsidP="008B1A8D">
      <w:r>
        <w:t>This study is based on data from the Clinical Practice Research Datalink obtained under license from the UK Medicines and Healthcare Products Regulatory Agency. However, the interpretation and conclusions contained in the study are those of the authors alone.</w:t>
      </w:r>
    </w:p>
    <w:p w:rsidR="003A3978" w:rsidRDefault="003A3978" w:rsidP="003A3978">
      <w:pPr>
        <w:pStyle w:val="Heading2"/>
      </w:pPr>
      <w:r>
        <w:t>Licence for Publication</w:t>
      </w:r>
    </w:p>
    <w:p w:rsidR="003A3978" w:rsidRDefault="003A3978" w:rsidP="003A3978">
      <w:r>
        <w:t xml:space="preserve">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BMJ Supportive and Palliative Care and any other BMJPGL products and </w:t>
      </w:r>
      <w:proofErr w:type="spellStart"/>
      <w:r>
        <w:t>sublicences</w:t>
      </w:r>
      <w:proofErr w:type="spellEnd"/>
      <w:r>
        <w:t xml:space="preserve"> such use and exploit all subsidiary rights, as set out in our licence (http://group.bmj.com/products/journals/instructions-for-authors/licence-forms).</w:t>
      </w:r>
    </w:p>
    <w:p w:rsidR="0016396E" w:rsidRDefault="0016396E" w:rsidP="0016396E">
      <w:pPr>
        <w:pStyle w:val="Heading2"/>
      </w:pPr>
      <w:r>
        <w:t>Funding</w:t>
      </w:r>
    </w:p>
    <w:p w:rsidR="005A0EEE" w:rsidRPr="005A0EEE" w:rsidRDefault="005A0EEE" w:rsidP="005A0EEE">
      <w:r>
        <w:t>Academy of</w:t>
      </w:r>
      <w:r w:rsidR="008B28D5">
        <w:t xml:space="preserve"> Medical Sciences (</w:t>
      </w:r>
      <w:r w:rsidR="002F13DE" w:rsidRPr="002F13DE">
        <w:t>AMS-SGCL11-Gadoud</w:t>
      </w:r>
      <w:r w:rsidR="002F13DE">
        <w:t>)</w:t>
      </w:r>
      <w:r w:rsidR="00481C43">
        <w:t xml:space="preserve"> and Hull York Medical School</w:t>
      </w:r>
    </w:p>
    <w:p w:rsidR="0016396E" w:rsidRDefault="0016396E" w:rsidP="0016396E">
      <w:pPr>
        <w:pStyle w:val="Heading2"/>
      </w:pPr>
      <w:r>
        <w:t>Competing Interests</w:t>
      </w:r>
    </w:p>
    <w:p w:rsidR="005A0EEE" w:rsidRPr="005A0EEE" w:rsidRDefault="005A0EEE" w:rsidP="005A0EEE">
      <w:r>
        <w:t>None declared</w:t>
      </w:r>
    </w:p>
    <w:p w:rsidR="0016396E" w:rsidRDefault="0016396E" w:rsidP="0016396E">
      <w:pPr>
        <w:pStyle w:val="Heading2"/>
      </w:pPr>
      <w:r>
        <w:t>Ethical Approval</w:t>
      </w:r>
    </w:p>
    <w:p w:rsidR="0016396E" w:rsidRPr="00985142" w:rsidRDefault="0016396E" w:rsidP="0016396E">
      <w:pPr>
        <w:rPr>
          <w:lang w:eastAsia="en-GB"/>
        </w:rPr>
      </w:pPr>
      <w:bookmarkStart w:id="7" w:name="article1.body1.sec2.sec4.p1"/>
      <w:bookmarkEnd w:id="7"/>
      <w:r w:rsidRPr="00985142">
        <w:rPr>
          <w:lang w:eastAsia="en-GB"/>
        </w:rPr>
        <w:t>The CPRD Group has obtained ethic</w:t>
      </w:r>
      <w:r>
        <w:rPr>
          <w:lang w:eastAsia="en-GB"/>
        </w:rPr>
        <w:t>s</w:t>
      </w:r>
      <w:r w:rsidRPr="00985142">
        <w:rPr>
          <w:lang w:eastAsia="en-GB"/>
        </w:rPr>
        <w:t xml:space="preserve"> approval from a National Research Ethics Service Committee (NRES) for all purely observational research using anonymised CPRD data. This study was approved by the Independent Scientific Advisory Committee (ISAC) for Medicines and Healthcare products Regulatory Agency (MHRA) database research permission (Protocol number: 10_168R). No further ethics approval was requir</w:t>
      </w:r>
      <w:r>
        <w:rPr>
          <w:lang w:eastAsia="en-GB"/>
        </w:rPr>
        <w:t>ed for the analysis of the data.</w:t>
      </w:r>
    </w:p>
    <w:p w:rsidR="0016396E" w:rsidRDefault="0016396E" w:rsidP="0016396E">
      <w:pPr>
        <w:pStyle w:val="Heading2"/>
      </w:pPr>
      <w:r>
        <w:t>Data Sharing</w:t>
      </w:r>
    </w:p>
    <w:p w:rsidR="00146978" w:rsidRPr="00146978" w:rsidRDefault="00146978" w:rsidP="008B1A8D">
      <w:r>
        <w:t>No additional data available</w:t>
      </w:r>
    </w:p>
    <w:p w:rsidR="0016396E" w:rsidRDefault="0016396E" w:rsidP="0016396E">
      <w:pPr>
        <w:pStyle w:val="Heading2"/>
      </w:pPr>
      <w:r>
        <w:lastRenderedPageBreak/>
        <w:t>Transparency</w:t>
      </w:r>
    </w:p>
    <w:p w:rsidR="0016572C" w:rsidRDefault="0016572C" w:rsidP="008B1A8D">
      <w:r>
        <w:t>The manuscript is an honest, accurate, and transparent account of the study being reported; that no aspects of the study have been omitted; and any discrepancies from the study as planned have been explained.</w:t>
      </w:r>
    </w:p>
    <w:p w:rsidR="00234B90" w:rsidRDefault="00055318">
      <w:pPr>
        <w:pStyle w:val="Heading2"/>
      </w:pPr>
      <w:r>
        <w:t>Figure Legends</w:t>
      </w:r>
    </w:p>
    <w:p w:rsidR="00055318" w:rsidRDefault="00055318" w:rsidP="001D4D34">
      <w:r>
        <w:t xml:space="preserve">Figure </w:t>
      </w:r>
      <w:r w:rsidR="00B01833">
        <w:rPr>
          <w:noProof/>
        </w:rPr>
        <w:fldChar w:fldCharType="begin"/>
      </w:r>
      <w:r>
        <w:rPr>
          <w:noProof/>
        </w:rPr>
        <w:instrText xml:space="preserve"> SEQ Figure \* ARABIC </w:instrText>
      </w:r>
      <w:r w:rsidR="00B01833">
        <w:rPr>
          <w:noProof/>
        </w:rPr>
        <w:fldChar w:fldCharType="separate"/>
      </w:r>
      <w:r>
        <w:rPr>
          <w:noProof/>
        </w:rPr>
        <w:t>1</w:t>
      </w:r>
      <w:r w:rsidR="00B01833">
        <w:rPr>
          <w:noProof/>
        </w:rPr>
        <w:fldChar w:fldCharType="end"/>
      </w:r>
      <w:r>
        <w:t>:</w:t>
      </w:r>
      <w:r w:rsidRPr="008211F1">
        <w:t xml:space="preserve"> </w:t>
      </w:r>
      <w:r>
        <w:t>Flow diagram of identification of study subjects from CPRD GOLD.</w:t>
      </w:r>
    </w:p>
    <w:p w:rsidR="00234B90" w:rsidRDefault="001D4D34">
      <w:r>
        <w:t>Figure 2: Distribution of time before death when palliative care first recorded in primary care notes by disease and year.</w:t>
      </w:r>
    </w:p>
    <w:p w:rsidR="00234B90" w:rsidRDefault="00234B90"/>
    <w:p w:rsidR="000341C3" w:rsidRDefault="000341C3" w:rsidP="004908E1"/>
    <w:p w:rsidR="000341C3" w:rsidRDefault="000341C3" w:rsidP="004908E1">
      <w:pPr>
        <w:sectPr w:rsidR="000341C3" w:rsidSect="00723F63">
          <w:pgSz w:w="11906" w:h="16838"/>
          <w:pgMar w:top="1440" w:right="1440" w:bottom="1440" w:left="1440" w:header="708" w:footer="708" w:gutter="0"/>
          <w:cols w:space="708"/>
          <w:docGrid w:linePitch="360"/>
        </w:sectPr>
      </w:pPr>
    </w:p>
    <w:p w:rsidR="004908E1" w:rsidRDefault="004908E1" w:rsidP="004908E1">
      <w:pPr>
        <w:pStyle w:val="Heading2"/>
      </w:pPr>
      <w:r>
        <w:lastRenderedPageBreak/>
        <w:t xml:space="preserve">References </w:t>
      </w:r>
    </w:p>
    <w:p w:rsidR="004908E1" w:rsidRDefault="004908E1" w:rsidP="00E32742">
      <w:pPr>
        <w:spacing w:line="240" w:lineRule="auto"/>
      </w:pPr>
    </w:p>
    <w:p w:rsidR="00B5376B" w:rsidRPr="00B5376B" w:rsidRDefault="00B01833" w:rsidP="00B5376B">
      <w:pPr>
        <w:pStyle w:val="Bibliography"/>
        <w:rPr>
          <w:rFonts w:ascii="Calibri" w:hAnsi="Calibri" w:cs="Calibri"/>
        </w:rPr>
      </w:pPr>
      <w:r>
        <w:fldChar w:fldCharType="begin"/>
      </w:r>
      <w:r w:rsidR="003B0F37">
        <w:instrText xml:space="preserve"> ADDIN ZOTERO_BIBL {"uncited":[],"omitted":[],"custom":[]} CSL_BIBLIOGRAPHY </w:instrText>
      </w:r>
      <w:r>
        <w:fldChar w:fldCharType="separate"/>
      </w:r>
      <w:r w:rsidR="00B5376B" w:rsidRPr="00B5376B">
        <w:rPr>
          <w:rFonts w:ascii="Calibri" w:hAnsi="Calibri" w:cs="Calibri"/>
        </w:rPr>
        <w:t xml:space="preserve">1 </w:t>
      </w:r>
      <w:r w:rsidR="00B5376B" w:rsidRPr="00B5376B">
        <w:rPr>
          <w:rFonts w:ascii="Calibri" w:hAnsi="Calibri" w:cs="Calibri"/>
        </w:rPr>
        <w:tab/>
        <w:t xml:space="preserve">Moens K, Higginson IJ, Harding R, </w:t>
      </w:r>
      <w:r w:rsidR="00B5376B" w:rsidRPr="00B5376B">
        <w:rPr>
          <w:rFonts w:ascii="Calibri" w:hAnsi="Calibri" w:cs="Calibri"/>
          <w:i/>
          <w:iCs/>
        </w:rPr>
        <w:t>et al.</w:t>
      </w:r>
      <w:r w:rsidR="00B5376B" w:rsidRPr="00B5376B">
        <w:rPr>
          <w:rFonts w:ascii="Calibri" w:hAnsi="Calibri" w:cs="Calibri"/>
        </w:rPr>
        <w:t xml:space="preserve"> Are There Differences in the Prevalence of Palliative Care-Related Problems in People Living With Advanced Cancer and Eight Non-Cancer Conditions? A Systematic Review. </w:t>
      </w:r>
      <w:r w:rsidR="00B5376B" w:rsidRPr="00B5376B">
        <w:rPr>
          <w:rFonts w:ascii="Calibri" w:hAnsi="Calibri" w:cs="Calibri"/>
          <w:i/>
          <w:iCs/>
        </w:rPr>
        <w:t>JOURNAL OF PAIN AND SYMPTOM MANAGEMENT</w:t>
      </w:r>
      <w:r w:rsidR="00B5376B" w:rsidRPr="00B5376B">
        <w:rPr>
          <w:rFonts w:ascii="Calibri" w:hAnsi="Calibri" w:cs="Calibri"/>
        </w:rPr>
        <w:t xml:space="preserve"> 2014;</w:t>
      </w:r>
      <w:r w:rsidR="00B5376B" w:rsidRPr="00B5376B">
        <w:rPr>
          <w:rFonts w:ascii="Calibri" w:hAnsi="Calibri" w:cs="Calibri"/>
          <w:b/>
          <w:bCs/>
        </w:rPr>
        <w:t>48</w:t>
      </w:r>
      <w:r w:rsidR="00B5376B" w:rsidRPr="00B5376B">
        <w:rPr>
          <w:rFonts w:ascii="Calibri" w:hAnsi="Calibri" w:cs="Calibri"/>
        </w:rPr>
        <w:t>:660–77. doi:10.1016/j.jpainsymman.2013.11.009</w:t>
      </w:r>
    </w:p>
    <w:p w:rsidR="00B5376B" w:rsidRPr="00B5376B" w:rsidRDefault="00B5376B" w:rsidP="00B5376B">
      <w:pPr>
        <w:pStyle w:val="Bibliography"/>
        <w:rPr>
          <w:rFonts w:ascii="Calibri" w:hAnsi="Calibri" w:cs="Calibri"/>
        </w:rPr>
      </w:pPr>
      <w:r w:rsidRPr="00B5376B">
        <w:rPr>
          <w:rFonts w:ascii="Calibri" w:hAnsi="Calibri" w:cs="Calibri"/>
        </w:rPr>
        <w:t xml:space="preserve">2 </w:t>
      </w:r>
      <w:r w:rsidRPr="00B5376B">
        <w:rPr>
          <w:rFonts w:ascii="Calibri" w:hAnsi="Calibri" w:cs="Calibri"/>
        </w:rPr>
        <w:tab/>
        <w:t>World Palliative Care Alliance, WHO. Global atlas of palliative care at the end of life. World Health Organization 2014. http://www.who.int/ncds/management/palliative-care/palliative-care-atlas/en/ (accessed 29 Jan 2019).</w:t>
      </w:r>
    </w:p>
    <w:p w:rsidR="00B5376B" w:rsidRPr="00B5376B" w:rsidRDefault="00B5376B" w:rsidP="00B5376B">
      <w:pPr>
        <w:pStyle w:val="Bibliography"/>
        <w:rPr>
          <w:rFonts w:ascii="Calibri" w:hAnsi="Calibri" w:cs="Calibri"/>
        </w:rPr>
      </w:pPr>
      <w:r w:rsidRPr="00B5376B">
        <w:rPr>
          <w:rFonts w:ascii="Calibri" w:hAnsi="Calibri" w:cs="Calibri"/>
        </w:rPr>
        <w:t xml:space="preserve">3 </w:t>
      </w:r>
      <w:r w:rsidRPr="00B5376B">
        <w:rPr>
          <w:rFonts w:ascii="Calibri" w:hAnsi="Calibri" w:cs="Calibri"/>
        </w:rPr>
        <w:tab/>
        <w:t xml:space="preserve">Unroe KT, Greiner MA, Hernandez AF, </w:t>
      </w:r>
      <w:r w:rsidRPr="00B5376B">
        <w:rPr>
          <w:rFonts w:ascii="Calibri" w:hAnsi="Calibri" w:cs="Calibri"/>
          <w:i/>
          <w:iCs/>
        </w:rPr>
        <w:t>et al.</w:t>
      </w:r>
      <w:r w:rsidRPr="00B5376B">
        <w:rPr>
          <w:rFonts w:ascii="Calibri" w:hAnsi="Calibri" w:cs="Calibri"/>
        </w:rPr>
        <w:t xml:space="preserve"> Resource use in the last 6 months of life among medicare beneficiaries with heart failure, 2000-2007. </w:t>
      </w:r>
      <w:r w:rsidRPr="00B5376B">
        <w:rPr>
          <w:rFonts w:ascii="Calibri" w:hAnsi="Calibri" w:cs="Calibri"/>
          <w:i/>
          <w:iCs/>
        </w:rPr>
        <w:t>Arch Intern Med</w:t>
      </w:r>
      <w:r w:rsidRPr="00B5376B">
        <w:rPr>
          <w:rFonts w:ascii="Calibri" w:hAnsi="Calibri" w:cs="Calibri"/>
        </w:rPr>
        <w:t xml:space="preserve"> 2011;</w:t>
      </w:r>
      <w:r w:rsidRPr="00B5376B">
        <w:rPr>
          <w:rFonts w:ascii="Calibri" w:hAnsi="Calibri" w:cs="Calibri"/>
          <w:b/>
          <w:bCs/>
        </w:rPr>
        <w:t>171</w:t>
      </w:r>
      <w:r w:rsidRPr="00B5376B">
        <w:rPr>
          <w:rFonts w:ascii="Calibri" w:hAnsi="Calibri" w:cs="Calibri"/>
        </w:rPr>
        <w:t>:196–203. doi:10.1001/archinternmed.2010.371</w:t>
      </w:r>
    </w:p>
    <w:p w:rsidR="00B5376B" w:rsidRPr="00B5376B" w:rsidRDefault="00B5376B" w:rsidP="00B5376B">
      <w:pPr>
        <w:pStyle w:val="Bibliography"/>
        <w:rPr>
          <w:rFonts w:ascii="Calibri" w:hAnsi="Calibri" w:cs="Calibri"/>
        </w:rPr>
      </w:pPr>
      <w:r w:rsidRPr="00B5376B">
        <w:rPr>
          <w:rFonts w:ascii="Calibri" w:hAnsi="Calibri" w:cs="Calibri"/>
        </w:rPr>
        <w:t xml:space="preserve">4 </w:t>
      </w:r>
      <w:r w:rsidRPr="00B5376B">
        <w:rPr>
          <w:rFonts w:ascii="Calibri" w:hAnsi="Calibri" w:cs="Calibri"/>
        </w:rPr>
        <w:tab/>
        <w:t xml:space="preserve">De Vleminck A, Morrison RS, Meier DE, </w:t>
      </w:r>
      <w:r w:rsidRPr="00B5376B">
        <w:rPr>
          <w:rFonts w:ascii="Calibri" w:hAnsi="Calibri" w:cs="Calibri"/>
          <w:i/>
          <w:iCs/>
        </w:rPr>
        <w:t>et al.</w:t>
      </w:r>
      <w:r w:rsidRPr="00B5376B">
        <w:rPr>
          <w:rFonts w:ascii="Calibri" w:hAnsi="Calibri" w:cs="Calibri"/>
        </w:rPr>
        <w:t xml:space="preserve"> Hospice Care for Patients With Dementia in the United States: A Longitudinal Cohort Study. </w:t>
      </w:r>
      <w:r w:rsidRPr="00B5376B">
        <w:rPr>
          <w:rFonts w:ascii="Calibri" w:hAnsi="Calibri" w:cs="Calibri"/>
          <w:i/>
          <w:iCs/>
        </w:rPr>
        <w:t>J Am Med Dir Assoc</w:t>
      </w:r>
      <w:r w:rsidRPr="00B5376B">
        <w:rPr>
          <w:rFonts w:ascii="Calibri" w:hAnsi="Calibri" w:cs="Calibri"/>
        </w:rPr>
        <w:t xml:space="preserve"> 2018;</w:t>
      </w:r>
      <w:r w:rsidRPr="00B5376B">
        <w:rPr>
          <w:rFonts w:ascii="Calibri" w:hAnsi="Calibri" w:cs="Calibri"/>
          <w:b/>
          <w:bCs/>
        </w:rPr>
        <w:t>19</w:t>
      </w:r>
      <w:r w:rsidRPr="00B5376B">
        <w:rPr>
          <w:rFonts w:ascii="Calibri" w:hAnsi="Calibri" w:cs="Calibri"/>
        </w:rPr>
        <w:t>:633–8. doi:10.1016/j.jamda.2017.10.003</w:t>
      </w:r>
    </w:p>
    <w:p w:rsidR="00B5376B" w:rsidRPr="00B5376B" w:rsidRDefault="00B5376B" w:rsidP="00B5376B">
      <w:pPr>
        <w:pStyle w:val="Bibliography"/>
        <w:rPr>
          <w:rFonts w:ascii="Calibri" w:hAnsi="Calibri" w:cs="Calibri"/>
        </w:rPr>
      </w:pPr>
      <w:r w:rsidRPr="00B5376B">
        <w:rPr>
          <w:rFonts w:ascii="Calibri" w:hAnsi="Calibri" w:cs="Calibri"/>
        </w:rPr>
        <w:t xml:space="preserve">5 </w:t>
      </w:r>
      <w:r w:rsidRPr="00B5376B">
        <w:rPr>
          <w:rFonts w:ascii="Calibri" w:hAnsi="Calibri" w:cs="Calibri"/>
        </w:rPr>
        <w:tab/>
        <w:t xml:space="preserve">Dixon J, King D, Matosevic T, </w:t>
      </w:r>
      <w:r w:rsidRPr="00B5376B">
        <w:rPr>
          <w:rFonts w:ascii="Calibri" w:hAnsi="Calibri" w:cs="Calibri"/>
          <w:i/>
          <w:iCs/>
        </w:rPr>
        <w:t>et al.</w:t>
      </w:r>
      <w:r w:rsidRPr="00B5376B">
        <w:rPr>
          <w:rFonts w:ascii="Calibri" w:hAnsi="Calibri" w:cs="Calibri"/>
        </w:rPr>
        <w:t xml:space="preserve"> Equity in the Provision of Palliative Care in the UK: Review of Evidence. London: : Personal Social Services Research Unit, London School of Economics and Political Science 2015. https://www.pssru.ac.uk/publications/pub-4962/ (accessed 20 Mar 2018).</w:t>
      </w:r>
    </w:p>
    <w:p w:rsidR="00B5376B" w:rsidRPr="00B5376B" w:rsidRDefault="00B5376B" w:rsidP="00B5376B">
      <w:pPr>
        <w:pStyle w:val="Bibliography"/>
        <w:rPr>
          <w:rFonts w:ascii="Calibri" w:hAnsi="Calibri" w:cs="Calibri"/>
        </w:rPr>
      </w:pPr>
      <w:r w:rsidRPr="00B5376B">
        <w:rPr>
          <w:rFonts w:ascii="Calibri" w:hAnsi="Calibri" w:cs="Calibri"/>
        </w:rPr>
        <w:t xml:space="preserve">6 </w:t>
      </w:r>
      <w:r w:rsidRPr="00B5376B">
        <w:rPr>
          <w:rFonts w:ascii="Calibri" w:hAnsi="Calibri" w:cs="Calibri"/>
        </w:rPr>
        <w:tab/>
        <w:t xml:space="preserve">Department of Health. End of Life Care Strategy: promoting high quality care for adults at the end of their life. Department of Health 2008. </w:t>
      </w:r>
    </w:p>
    <w:p w:rsidR="00B5376B" w:rsidRPr="00B5376B" w:rsidRDefault="00B5376B" w:rsidP="00B5376B">
      <w:pPr>
        <w:pStyle w:val="Bibliography"/>
        <w:rPr>
          <w:rFonts w:ascii="Calibri" w:hAnsi="Calibri" w:cs="Calibri"/>
        </w:rPr>
      </w:pPr>
      <w:r w:rsidRPr="00B5376B">
        <w:rPr>
          <w:rFonts w:ascii="Calibri" w:hAnsi="Calibri" w:cs="Calibri"/>
        </w:rPr>
        <w:t xml:space="preserve">7 </w:t>
      </w:r>
      <w:r w:rsidRPr="00B5376B">
        <w:rPr>
          <w:rFonts w:ascii="Calibri" w:hAnsi="Calibri" w:cs="Calibri"/>
        </w:rPr>
        <w:tab/>
        <w:t>NHS Employers. 2014/15 General Medical Services (GMS) Contract Quality and Outcomes Framework (QOF).  Guidance for GMS Contract 2014/15. 2014. https://www.nhsemployers.org/your-workforce/primary-care-contacts/general-medical-services/quality-and-outcomes-framework (accessed 29 Jan 2019).</w:t>
      </w:r>
    </w:p>
    <w:p w:rsidR="00B5376B" w:rsidRPr="00B5376B" w:rsidRDefault="00B5376B" w:rsidP="00B5376B">
      <w:pPr>
        <w:pStyle w:val="Bibliography"/>
        <w:rPr>
          <w:rFonts w:ascii="Calibri" w:hAnsi="Calibri" w:cs="Calibri"/>
        </w:rPr>
      </w:pPr>
      <w:r w:rsidRPr="00B5376B">
        <w:rPr>
          <w:rFonts w:ascii="Calibri" w:hAnsi="Calibri" w:cs="Calibri"/>
        </w:rPr>
        <w:t xml:space="preserve">8 </w:t>
      </w:r>
      <w:r w:rsidRPr="00B5376B">
        <w:rPr>
          <w:rFonts w:ascii="Calibri" w:hAnsi="Calibri" w:cs="Calibri"/>
        </w:rPr>
        <w:tab/>
        <w:t xml:space="preserve">Gadoud A, Kane E, Macleod U, </w:t>
      </w:r>
      <w:r w:rsidRPr="00B5376B">
        <w:rPr>
          <w:rFonts w:ascii="Calibri" w:hAnsi="Calibri" w:cs="Calibri"/>
          <w:i/>
          <w:iCs/>
        </w:rPr>
        <w:t>et al.</w:t>
      </w:r>
      <w:r w:rsidRPr="00B5376B">
        <w:rPr>
          <w:rFonts w:ascii="Calibri" w:hAnsi="Calibri" w:cs="Calibri"/>
        </w:rPr>
        <w:t xml:space="preserve"> Palliative care among heart failure patients in primary care: a comparison to cancer patients using English family practice data. </w:t>
      </w:r>
      <w:r w:rsidRPr="00B5376B">
        <w:rPr>
          <w:rFonts w:ascii="Calibri" w:hAnsi="Calibri" w:cs="Calibri"/>
          <w:i/>
          <w:iCs/>
        </w:rPr>
        <w:t>PLoS ONE</w:t>
      </w:r>
      <w:r w:rsidRPr="00B5376B">
        <w:rPr>
          <w:rFonts w:ascii="Calibri" w:hAnsi="Calibri" w:cs="Calibri"/>
        </w:rPr>
        <w:t xml:space="preserve"> 2014;</w:t>
      </w:r>
      <w:r w:rsidRPr="00B5376B">
        <w:rPr>
          <w:rFonts w:ascii="Calibri" w:hAnsi="Calibri" w:cs="Calibri"/>
          <w:b/>
          <w:bCs/>
        </w:rPr>
        <w:t>9</w:t>
      </w:r>
      <w:r w:rsidRPr="00B5376B">
        <w:rPr>
          <w:rFonts w:ascii="Calibri" w:hAnsi="Calibri" w:cs="Calibri"/>
        </w:rPr>
        <w:t>:e113188. doi:10.1371/journal.pone.0113188</w:t>
      </w:r>
    </w:p>
    <w:p w:rsidR="00B5376B" w:rsidRPr="00B5376B" w:rsidRDefault="00B5376B" w:rsidP="00B5376B">
      <w:pPr>
        <w:pStyle w:val="Bibliography"/>
        <w:rPr>
          <w:rFonts w:ascii="Calibri" w:hAnsi="Calibri" w:cs="Calibri"/>
        </w:rPr>
      </w:pPr>
      <w:r w:rsidRPr="00B5376B">
        <w:rPr>
          <w:rFonts w:ascii="Calibri" w:hAnsi="Calibri" w:cs="Calibri"/>
        </w:rPr>
        <w:t xml:space="preserve">9 </w:t>
      </w:r>
      <w:r w:rsidRPr="00B5376B">
        <w:rPr>
          <w:rFonts w:ascii="Calibri" w:hAnsi="Calibri" w:cs="Calibri"/>
        </w:rPr>
        <w:tab/>
        <w:t xml:space="preserve">Bloom CI, Slaich B, Morales DR, </w:t>
      </w:r>
      <w:r w:rsidRPr="00B5376B">
        <w:rPr>
          <w:rFonts w:ascii="Calibri" w:hAnsi="Calibri" w:cs="Calibri"/>
          <w:i/>
          <w:iCs/>
        </w:rPr>
        <w:t>et al.</w:t>
      </w:r>
      <w:r w:rsidRPr="00B5376B">
        <w:rPr>
          <w:rFonts w:ascii="Calibri" w:hAnsi="Calibri" w:cs="Calibri"/>
        </w:rPr>
        <w:t xml:space="preserve"> Low uptake of palliative care for COPD patients within primary care in the UK. </w:t>
      </w:r>
      <w:r w:rsidRPr="00B5376B">
        <w:rPr>
          <w:rFonts w:ascii="Calibri" w:hAnsi="Calibri" w:cs="Calibri"/>
          <w:i/>
          <w:iCs/>
        </w:rPr>
        <w:t>Eur Respir J</w:t>
      </w:r>
      <w:r w:rsidRPr="00B5376B">
        <w:rPr>
          <w:rFonts w:ascii="Calibri" w:hAnsi="Calibri" w:cs="Calibri"/>
        </w:rPr>
        <w:t xml:space="preserve"> 2018;</w:t>
      </w:r>
      <w:r w:rsidRPr="00B5376B">
        <w:rPr>
          <w:rFonts w:ascii="Calibri" w:hAnsi="Calibri" w:cs="Calibri"/>
          <w:b/>
          <w:bCs/>
        </w:rPr>
        <w:t>51</w:t>
      </w:r>
      <w:r w:rsidRPr="00B5376B">
        <w:rPr>
          <w:rFonts w:ascii="Calibri" w:hAnsi="Calibri" w:cs="Calibri"/>
        </w:rPr>
        <w:t>. doi:10.1183/13993003.01879-2017</w:t>
      </w:r>
    </w:p>
    <w:p w:rsidR="00B5376B" w:rsidRPr="00B5376B" w:rsidRDefault="00B5376B" w:rsidP="00B5376B">
      <w:pPr>
        <w:pStyle w:val="Bibliography"/>
        <w:rPr>
          <w:rFonts w:ascii="Calibri" w:hAnsi="Calibri" w:cs="Calibri"/>
        </w:rPr>
      </w:pPr>
      <w:r w:rsidRPr="00B5376B">
        <w:rPr>
          <w:rFonts w:ascii="Calibri" w:hAnsi="Calibri" w:cs="Calibri"/>
        </w:rPr>
        <w:t xml:space="preserve">10 </w:t>
      </w:r>
      <w:r w:rsidRPr="00B5376B">
        <w:rPr>
          <w:rFonts w:ascii="Calibri" w:hAnsi="Calibri" w:cs="Calibri"/>
        </w:rPr>
        <w:tab/>
        <w:t xml:space="preserve">Herrett E, Gallagher AM, Bhaskaran K, </w:t>
      </w:r>
      <w:r w:rsidRPr="00B5376B">
        <w:rPr>
          <w:rFonts w:ascii="Calibri" w:hAnsi="Calibri" w:cs="Calibri"/>
          <w:i/>
          <w:iCs/>
        </w:rPr>
        <w:t>et al.</w:t>
      </w:r>
      <w:r w:rsidRPr="00B5376B">
        <w:rPr>
          <w:rFonts w:ascii="Calibri" w:hAnsi="Calibri" w:cs="Calibri"/>
        </w:rPr>
        <w:t xml:space="preserve"> Data Resource Profile: Clinical Practice Research Datalink (CPRD). </w:t>
      </w:r>
      <w:r w:rsidRPr="00B5376B">
        <w:rPr>
          <w:rFonts w:ascii="Calibri" w:hAnsi="Calibri" w:cs="Calibri"/>
          <w:i/>
          <w:iCs/>
        </w:rPr>
        <w:t>Int J Epidemiol</w:t>
      </w:r>
      <w:r w:rsidRPr="00B5376B">
        <w:rPr>
          <w:rFonts w:ascii="Calibri" w:hAnsi="Calibri" w:cs="Calibri"/>
        </w:rPr>
        <w:t xml:space="preserve"> 2015;</w:t>
      </w:r>
      <w:r w:rsidRPr="00B5376B">
        <w:rPr>
          <w:rFonts w:ascii="Calibri" w:hAnsi="Calibri" w:cs="Calibri"/>
          <w:b/>
          <w:bCs/>
        </w:rPr>
        <w:t>44</w:t>
      </w:r>
      <w:r w:rsidRPr="00B5376B">
        <w:rPr>
          <w:rFonts w:ascii="Calibri" w:hAnsi="Calibri" w:cs="Calibri"/>
        </w:rPr>
        <w:t>:827–36. doi:10.1093/ije/dyv098</w:t>
      </w:r>
    </w:p>
    <w:p w:rsidR="00B5376B" w:rsidRPr="00B5376B" w:rsidRDefault="00B5376B" w:rsidP="00B5376B">
      <w:pPr>
        <w:pStyle w:val="Bibliography"/>
        <w:rPr>
          <w:rFonts w:ascii="Calibri" w:hAnsi="Calibri" w:cs="Calibri"/>
        </w:rPr>
      </w:pPr>
      <w:r w:rsidRPr="00B5376B">
        <w:rPr>
          <w:rFonts w:ascii="Calibri" w:hAnsi="Calibri" w:cs="Calibri"/>
        </w:rPr>
        <w:t xml:space="preserve">11 </w:t>
      </w:r>
      <w:r w:rsidRPr="00B5376B">
        <w:rPr>
          <w:rFonts w:ascii="Calibri" w:hAnsi="Calibri" w:cs="Calibri"/>
        </w:rPr>
        <w:tab/>
        <w:t>NHS Digital. Retired QOF business rules v29.0. 2014.https://webarchive.nationalarchives.gov.uk/20161026171656/http://content.digital.nhs.uk/article/5275/Retired-QOF-business-rules-v290 (accessed 29 Jan 2019).</w:t>
      </w:r>
    </w:p>
    <w:p w:rsidR="00B5376B" w:rsidRPr="00B5376B" w:rsidRDefault="00B5376B" w:rsidP="00B5376B">
      <w:pPr>
        <w:pStyle w:val="Bibliography"/>
        <w:rPr>
          <w:rFonts w:ascii="Calibri" w:hAnsi="Calibri" w:cs="Calibri"/>
        </w:rPr>
      </w:pPr>
      <w:r w:rsidRPr="00B5376B">
        <w:rPr>
          <w:rFonts w:ascii="Calibri" w:hAnsi="Calibri" w:cs="Calibri"/>
        </w:rPr>
        <w:t xml:space="preserve">12 </w:t>
      </w:r>
      <w:r w:rsidRPr="00B5376B">
        <w:rPr>
          <w:rFonts w:ascii="Calibri" w:hAnsi="Calibri" w:cs="Calibri"/>
        </w:rPr>
        <w:tab/>
        <w:t xml:space="preserve">Gallagher AM, Dedman D, Padmanabhan S, </w:t>
      </w:r>
      <w:r w:rsidRPr="00B5376B">
        <w:rPr>
          <w:rFonts w:ascii="Calibri" w:hAnsi="Calibri" w:cs="Calibri"/>
          <w:i/>
          <w:iCs/>
        </w:rPr>
        <w:t>et al.</w:t>
      </w:r>
      <w:r w:rsidRPr="00B5376B">
        <w:rPr>
          <w:rFonts w:ascii="Calibri" w:hAnsi="Calibri" w:cs="Calibri"/>
        </w:rPr>
        <w:t xml:space="preserve"> The accuracy of date of death recording in the Clinical Practice Research Datalink GOLD database in England compared with the Office for National Statistics death registrations. </w:t>
      </w:r>
      <w:r w:rsidRPr="00B5376B">
        <w:rPr>
          <w:rFonts w:ascii="Calibri" w:hAnsi="Calibri" w:cs="Calibri"/>
          <w:i/>
          <w:iCs/>
        </w:rPr>
        <w:t>Pharmacoepidemiology and Drug Safety</w:t>
      </w:r>
      <w:r w:rsidRPr="00B5376B">
        <w:rPr>
          <w:rFonts w:ascii="Calibri" w:hAnsi="Calibri" w:cs="Calibri"/>
        </w:rPr>
        <w:t xml:space="preserve"> 2019;</w:t>
      </w:r>
      <w:r w:rsidRPr="00B5376B">
        <w:rPr>
          <w:rFonts w:ascii="Calibri" w:hAnsi="Calibri" w:cs="Calibri"/>
          <w:b/>
          <w:bCs/>
        </w:rPr>
        <w:t>28</w:t>
      </w:r>
      <w:r w:rsidRPr="00B5376B">
        <w:rPr>
          <w:rFonts w:ascii="Calibri" w:hAnsi="Calibri" w:cs="Calibri"/>
        </w:rPr>
        <w:t>:563–9. doi:10.1002/pds.4747</w:t>
      </w:r>
    </w:p>
    <w:p w:rsidR="00B5376B" w:rsidRPr="00B5376B" w:rsidRDefault="00B5376B" w:rsidP="00B5376B">
      <w:pPr>
        <w:pStyle w:val="Bibliography"/>
        <w:rPr>
          <w:rFonts w:ascii="Calibri" w:hAnsi="Calibri" w:cs="Calibri"/>
        </w:rPr>
      </w:pPr>
      <w:r w:rsidRPr="00B5376B">
        <w:rPr>
          <w:rFonts w:ascii="Calibri" w:hAnsi="Calibri" w:cs="Calibri"/>
        </w:rPr>
        <w:lastRenderedPageBreak/>
        <w:t xml:space="preserve">13 </w:t>
      </w:r>
      <w:r w:rsidRPr="00B5376B">
        <w:rPr>
          <w:rFonts w:ascii="Calibri" w:hAnsi="Calibri" w:cs="Calibri"/>
        </w:rPr>
        <w:tab/>
        <w:t xml:space="preserve">Dalkin SM, Lhussier M, Philipson P, </w:t>
      </w:r>
      <w:r w:rsidRPr="00B5376B">
        <w:rPr>
          <w:rFonts w:ascii="Calibri" w:hAnsi="Calibri" w:cs="Calibri"/>
          <w:i/>
          <w:iCs/>
        </w:rPr>
        <w:t>et al.</w:t>
      </w:r>
      <w:r w:rsidRPr="00B5376B">
        <w:rPr>
          <w:rFonts w:ascii="Calibri" w:hAnsi="Calibri" w:cs="Calibri"/>
        </w:rPr>
        <w:t xml:space="preserve"> Reducing inequalities in care for patients with non-malignant diseases: Insights from a realist evaluation of an integrated palliative care pathway. </w:t>
      </w:r>
      <w:r w:rsidRPr="00B5376B">
        <w:rPr>
          <w:rFonts w:ascii="Calibri" w:hAnsi="Calibri" w:cs="Calibri"/>
          <w:i/>
          <w:iCs/>
        </w:rPr>
        <w:t>Palliat Med</w:t>
      </w:r>
      <w:r w:rsidRPr="00B5376B">
        <w:rPr>
          <w:rFonts w:ascii="Calibri" w:hAnsi="Calibri" w:cs="Calibri"/>
        </w:rPr>
        <w:t xml:space="preserve"> 2016;</w:t>
      </w:r>
      <w:r w:rsidRPr="00B5376B">
        <w:rPr>
          <w:rFonts w:ascii="Calibri" w:hAnsi="Calibri" w:cs="Calibri"/>
          <w:b/>
          <w:bCs/>
        </w:rPr>
        <w:t>30</w:t>
      </w:r>
      <w:r w:rsidRPr="00B5376B">
        <w:rPr>
          <w:rFonts w:ascii="Calibri" w:hAnsi="Calibri" w:cs="Calibri"/>
        </w:rPr>
        <w:t>:690–7. doi:10.1177/0269216315626352</w:t>
      </w:r>
    </w:p>
    <w:p w:rsidR="00B5376B" w:rsidRPr="00B5376B" w:rsidRDefault="00B5376B" w:rsidP="00B5376B">
      <w:pPr>
        <w:pStyle w:val="Bibliography"/>
        <w:rPr>
          <w:rFonts w:ascii="Calibri" w:hAnsi="Calibri" w:cs="Calibri"/>
        </w:rPr>
      </w:pPr>
      <w:r w:rsidRPr="00B5376B">
        <w:rPr>
          <w:rFonts w:ascii="Calibri" w:hAnsi="Calibri" w:cs="Calibri"/>
        </w:rPr>
        <w:t xml:space="preserve">14 </w:t>
      </w:r>
      <w:r w:rsidRPr="00B5376B">
        <w:rPr>
          <w:rFonts w:ascii="Calibri" w:hAnsi="Calibri" w:cs="Calibri"/>
        </w:rPr>
        <w:tab/>
        <w:t xml:space="preserve">Gao W, Ho YK, Verne J, </w:t>
      </w:r>
      <w:r w:rsidRPr="00B5376B">
        <w:rPr>
          <w:rFonts w:ascii="Calibri" w:hAnsi="Calibri" w:cs="Calibri"/>
          <w:i/>
          <w:iCs/>
        </w:rPr>
        <w:t>et al.</w:t>
      </w:r>
      <w:r w:rsidRPr="00B5376B">
        <w:rPr>
          <w:rFonts w:ascii="Calibri" w:hAnsi="Calibri" w:cs="Calibri"/>
        </w:rPr>
        <w:t xml:space="preserve"> Changing Patterns in Place of Cancer Death in England: A Population-Based Study. </w:t>
      </w:r>
      <w:r w:rsidRPr="00B5376B">
        <w:rPr>
          <w:rFonts w:ascii="Calibri" w:hAnsi="Calibri" w:cs="Calibri"/>
          <w:i/>
          <w:iCs/>
        </w:rPr>
        <w:t>PLoS Med</w:t>
      </w:r>
      <w:r w:rsidRPr="00B5376B">
        <w:rPr>
          <w:rFonts w:ascii="Calibri" w:hAnsi="Calibri" w:cs="Calibri"/>
        </w:rPr>
        <w:t xml:space="preserve"> 2013;</w:t>
      </w:r>
      <w:r w:rsidRPr="00B5376B">
        <w:rPr>
          <w:rFonts w:ascii="Calibri" w:hAnsi="Calibri" w:cs="Calibri"/>
          <w:b/>
          <w:bCs/>
        </w:rPr>
        <w:t>10</w:t>
      </w:r>
      <w:r w:rsidRPr="00B5376B">
        <w:rPr>
          <w:rFonts w:ascii="Calibri" w:hAnsi="Calibri" w:cs="Calibri"/>
        </w:rPr>
        <w:t>:e1001410. doi:10.1371/journal.pmed.1001410</w:t>
      </w:r>
    </w:p>
    <w:p w:rsidR="00B5376B" w:rsidRPr="00B5376B" w:rsidRDefault="00B5376B" w:rsidP="00B5376B">
      <w:pPr>
        <w:pStyle w:val="Bibliography"/>
        <w:rPr>
          <w:rFonts w:ascii="Calibri" w:hAnsi="Calibri" w:cs="Calibri"/>
        </w:rPr>
      </w:pPr>
      <w:r w:rsidRPr="00B5376B">
        <w:rPr>
          <w:rFonts w:ascii="Calibri" w:hAnsi="Calibri" w:cs="Calibri"/>
        </w:rPr>
        <w:t xml:space="preserve">15 </w:t>
      </w:r>
      <w:r w:rsidRPr="00B5376B">
        <w:rPr>
          <w:rFonts w:ascii="Calibri" w:hAnsi="Calibri" w:cs="Calibri"/>
        </w:rPr>
        <w:tab/>
        <w:t xml:space="preserve">Higginson IJ, Reilly CC, Bajwah S, </w:t>
      </w:r>
      <w:r w:rsidRPr="00B5376B">
        <w:rPr>
          <w:rFonts w:ascii="Calibri" w:hAnsi="Calibri" w:cs="Calibri"/>
          <w:i/>
          <w:iCs/>
        </w:rPr>
        <w:t>et al.</w:t>
      </w:r>
      <w:r w:rsidRPr="00B5376B">
        <w:rPr>
          <w:rFonts w:ascii="Calibri" w:hAnsi="Calibri" w:cs="Calibri"/>
        </w:rPr>
        <w:t xml:space="preserve"> Which patients with advanced respiratory disease die in hospital? A 14-year population-based study of trends and associated factors. </w:t>
      </w:r>
      <w:r w:rsidRPr="00B5376B">
        <w:rPr>
          <w:rFonts w:ascii="Calibri" w:hAnsi="Calibri" w:cs="Calibri"/>
          <w:i/>
          <w:iCs/>
        </w:rPr>
        <w:t>BMC Med</w:t>
      </w:r>
      <w:r w:rsidRPr="00B5376B">
        <w:rPr>
          <w:rFonts w:ascii="Calibri" w:hAnsi="Calibri" w:cs="Calibri"/>
        </w:rPr>
        <w:t xml:space="preserve"> 2017;</w:t>
      </w:r>
      <w:r w:rsidRPr="00B5376B">
        <w:rPr>
          <w:rFonts w:ascii="Calibri" w:hAnsi="Calibri" w:cs="Calibri"/>
          <w:b/>
          <w:bCs/>
        </w:rPr>
        <w:t>15</w:t>
      </w:r>
      <w:r w:rsidRPr="00B5376B">
        <w:rPr>
          <w:rFonts w:ascii="Calibri" w:hAnsi="Calibri" w:cs="Calibri"/>
        </w:rPr>
        <w:t>:19. doi:10.1186/s12916-016-0776-2</w:t>
      </w:r>
    </w:p>
    <w:p w:rsidR="00B5376B" w:rsidRPr="00B5376B" w:rsidRDefault="00B5376B" w:rsidP="00B5376B">
      <w:pPr>
        <w:pStyle w:val="Bibliography"/>
        <w:rPr>
          <w:rFonts w:ascii="Calibri" w:hAnsi="Calibri" w:cs="Calibri"/>
        </w:rPr>
      </w:pPr>
      <w:r w:rsidRPr="00B5376B">
        <w:rPr>
          <w:rFonts w:ascii="Calibri" w:hAnsi="Calibri" w:cs="Calibri"/>
        </w:rPr>
        <w:t xml:space="preserve">16 </w:t>
      </w:r>
      <w:r w:rsidRPr="00B5376B">
        <w:rPr>
          <w:rFonts w:ascii="Calibri" w:hAnsi="Calibri" w:cs="Calibri"/>
        </w:rPr>
        <w:tab/>
        <w:t xml:space="preserve">Sleeman KE, Ho YK, Verne J, </w:t>
      </w:r>
      <w:r w:rsidRPr="00B5376B">
        <w:rPr>
          <w:rFonts w:ascii="Calibri" w:hAnsi="Calibri" w:cs="Calibri"/>
          <w:i/>
          <w:iCs/>
        </w:rPr>
        <w:t>et al.</w:t>
      </w:r>
      <w:r w:rsidRPr="00B5376B">
        <w:rPr>
          <w:rFonts w:ascii="Calibri" w:hAnsi="Calibri" w:cs="Calibri"/>
        </w:rPr>
        <w:t xml:space="preserve"> Reversal of English trend towards hospital death in dementia: a population-based study of place of death and associated individual and regional factors, 2001–2010. </w:t>
      </w:r>
      <w:r w:rsidRPr="00B5376B">
        <w:rPr>
          <w:rFonts w:ascii="Calibri" w:hAnsi="Calibri" w:cs="Calibri"/>
          <w:i/>
          <w:iCs/>
        </w:rPr>
        <w:t>BMC Neurol</w:t>
      </w:r>
      <w:r w:rsidRPr="00B5376B">
        <w:rPr>
          <w:rFonts w:ascii="Calibri" w:hAnsi="Calibri" w:cs="Calibri"/>
        </w:rPr>
        <w:t xml:space="preserve"> 2014;</w:t>
      </w:r>
      <w:r w:rsidRPr="00B5376B">
        <w:rPr>
          <w:rFonts w:ascii="Calibri" w:hAnsi="Calibri" w:cs="Calibri"/>
          <w:b/>
          <w:bCs/>
        </w:rPr>
        <w:t>14</w:t>
      </w:r>
      <w:r w:rsidRPr="00B5376B">
        <w:rPr>
          <w:rFonts w:ascii="Calibri" w:hAnsi="Calibri" w:cs="Calibri"/>
        </w:rPr>
        <w:t>:59. doi:10.1186/1471-2377-14-59</w:t>
      </w:r>
    </w:p>
    <w:p w:rsidR="00B5376B" w:rsidRPr="00B5376B" w:rsidRDefault="00B5376B" w:rsidP="00B5376B">
      <w:pPr>
        <w:pStyle w:val="Bibliography"/>
        <w:rPr>
          <w:rFonts w:ascii="Calibri" w:hAnsi="Calibri" w:cs="Calibri"/>
        </w:rPr>
      </w:pPr>
      <w:r w:rsidRPr="00B5376B">
        <w:rPr>
          <w:rFonts w:ascii="Calibri" w:hAnsi="Calibri" w:cs="Calibri"/>
        </w:rPr>
        <w:t xml:space="preserve">17 </w:t>
      </w:r>
      <w:r w:rsidRPr="00B5376B">
        <w:rPr>
          <w:rFonts w:ascii="Calibri" w:hAnsi="Calibri" w:cs="Calibri"/>
        </w:rPr>
        <w:tab/>
        <w:t xml:space="preserve">Sleeman K, Davies J, Verne J, </w:t>
      </w:r>
      <w:r w:rsidRPr="00B5376B">
        <w:rPr>
          <w:rFonts w:ascii="Calibri" w:hAnsi="Calibri" w:cs="Calibri"/>
          <w:i/>
          <w:iCs/>
        </w:rPr>
        <w:t>et al.</w:t>
      </w:r>
      <w:r w:rsidRPr="00B5376B">
        <w:rPr>
          <w:rFonts w:ascii="Calibri" w:hAnsi="Calibri" w:cs="Calibri"/>
        </w:rPr>
        <w:t xml:space="preserve"> The changing demographics of inpatient hospice death: population-based, cross-sectional study in England, 1993-2012. </w:t>
      </w:r>
      <w:r w:rsidRPr="00B5376B">
        <w:rPr>
          <w:rFonts w:ascii="Calibri" w:hAnsi="Calibri" w:cs="Calibri"/>
          <w:i/>
          <w:iCs/>
        </w:rPr>
        <w:t>Lancet</w:t>
      </w:r>
      <w:r w:rsidRPr="00B5376B">
        <w:rPr>
          <w:rFonts w:ascii="Calibri" w:hAnsi="Calibri" w:cs="Calibri"/>
        </w:rPr>
        <w:t xml:space="preserve"> 2015;</w:t>
      </w:r>
      <w:r w:rsidRPr="00B5376B">
        <w:rPr>
          <w:rFonts w:ascii="Calibri" w:hAnsi="Calibri" w:cs="Calibri"/>
          <w:b/>
          <w:bCs/>
        </w:rPr>
        <w:t>385 Suppl 1</w:t>
      </w:r>
      <w:r w:rsidRPr="00B5376B">
        <w:rPr>
          <w:rFonts w:ascii="Calibri" w:hAnsi="Calibri" w:cs="Calibri"/>
        </w:rPr>
        <w:t>:S93. doi:10.1016/S0140-6736(15)60408-1</w:t>
      </w:r>
    </w:p>
    <w:p w:rsidR="00B5376B" w:rsidRPr="00B5376B" w:rsidRDefault="00B5376B" w:rsidP="00B5376B">
      <w:pPr>
        <w:pStyle w:val="Bibliography"/>
        <w:rPr>
          <w:rFonts w:ascii="Calibri" w:hAnsi="Calibri" w:cs="Calibri"/>
        </w:rPr>
      </w:pPr>
      <w:r w:rsidRPr="00B5376B">
        <w:rPr>
          <w:rFonts w:ascii="Calibri" w:hAnsi="Calibri" w:cs="Calibri"/>
        </w:rPr>
        <w:t xml:space="preserve">18 </w:t>
      </w:r>
      <w:r w:rsidRPr="00B5376B">
        <w:rPr>
          <w:rFonts w:ascii="Calibri" w:hAnsi="Calibri" w:cs="Calibri"/>
        </w:rPr>
        <w:tab/>
        <w:t xml:space="preserve">Lloyd-Jones DM, Martin DO, Larson MG, </w:t>
      </w:r>
      <w:r w:rsidRPr="00B5376B">
        <w:rPr>
          <w:rFonts w:ascii="Calibri" w:hAnsi="Calibri" w:cs="Calibri"/>
          <w:i/>
          <w:iCs/>
        </w:rPr>
        <w:t>et al.</w:t>
      </w:r>
      <w:r w:rsidRPr="00B5376B">
        <w:rPr>
          <w:rFonts w:ascii="Calibri" w:hAnsi="Calibri" w:cs="Calibri"/>
        </w:rPr>
        <w:t xml:space="preserve"> Accuracy of death certificates for coding coronary heart disease as the cause of death. </w:t>
      </w:r>
      <w:r w:rsidRPr="00B5376B">
        <w:rPr>
          <w:rFonts w:ascii="Calibri" w:hAnsi="Calibri" w:cs="Calibri"/>
          <w:i/>
          <w:iCs/>
        </w:rPr>
        <w:t>Ann Intern Med</w:t>
      </w:r>
      <w:r w:rsidRPr="00B5376B">
        <w:rPr>
          <w:rFonts w:ascii="Calibri" w:hAnsi="Calibri" w:cs="Calibri"/>
        </w:rPr>
        <w:t xml:space="preserve"> 1998;</w:t>
      </w:r>
      <w:r w:rsidRPr="00B5376B">
        <w:rPr>
          <w:rFonts w:ascii="Calibri" w:hAnsi="Calibri" w:cs="Calibri"/>
          <w:b/>
          <w:bCs/>
        </w:rPr>
        <w:t>129</w:t>
      </w:r>
      <w:r w:rsidRPr="00B5376B">
        <w:rPr>
          <w:rFonts w:ascii="Calibri" w:hAnsi="Calibri" w:cs="Calibri"/>
        </w:rPr>
        <w:t>:1020–6.</w:t>
      </w:r>
    </w:p>
    <w:p w:rsidR="00B5376B" w:rsidRPr="00B5376B" w:rsidRDefault="00B5376B" w:rsidP="00B5376B">
      <w:pPr>
        <w:pStyle w:val="Bibliography"/>
        <w:rPr>
          <w:rFonts w:ascii="Calibri" w:hAnsi="Calibri" w:cs="Calibri"/>
        </w:rPr>
      </w:pPr>
      <w:r w:rsidRPr="00B5376B">
        <w:rPr>
          <w:rFonts w:ascii="Calibri" w:hAnsi="Calibri" w:cs="Calibri"/>
        </w:rPr>
        <w:t xml:space="preserve">19 </w:t>
      </w:r>
      <w:r w:rsidRPr="00B5376B">
        <w:rPr>
          <w:rFonts w:ascii="Calibri" w:hAnsi="Calibri" w:cs="Calibri"/>
        </w:rPr>
        <w:tab/>
        <w:t xml:space="preserve">Lester H, Campbell S. Developing Quality and Outcomes Framework (QOF) indicators and the concept of “QOFability.” </w:t>
      </w:r>
      <w:r w:rsidRPr="00B5376B">
        <w:rPr>
          <w:rFonts w:ascii="Calibri" w:hAnsi="Calibri" w:cs="Calibri"/>
          <w:i/>
          <w:iCs/>
        </w:rPr>
        <w:t>Qual Prim Care</w:t>
      </w:r>
      <w:r w:rsidRPr="00B5376B">
        <w:rPr>
          <w:rFonts w:ascii="Calibri" w:hAnsi="Calibri" w:cs="Calibri"/>
        </w:rPr>
        <w:t xml:space="preserve"> 2010;</w:t>
      </w:r>
      <w:r w:rsidRPr="00B5376B">
        <w:rPr>
          <w:rFonts w:ascii="Calibri" w:hAnsi="Calibri" w:cs="Calibri"/>
          <w:b/>
          <w:bCs/>
        </w:rPr>
        <w:t>18</w:t>
      </w:r>
      <w:r w:rsidRPr="00B5376B">
        <w:rPr>
          <w:rFonts w:ascii="Calibri" w:hAnsi="Calibri" w:cs="Calibri"/>
        </w:rPr>
        <w:t>:103–9.</w:t>
      </w:r>
    </w:p>
    <w:p w:rsidR="00B5376B" w:rsidRPr="00B5376B" w:rsidRDefault="00B5376B" w:rsidP="00B5376B">
      <w:pPr>
        <w:pStyle w:val="Bibliography"/>
        <w:rPr>
          <w:rFonts w:ascii="Calibri" w:hAnsi="Calibri" w:cs="Calibri"/>
        </w:rPr>
      </w:pPr>
      <w:r w:rsidRPr="00B5376B">
        <w:rPr>
          <w:rFonts w:ascii="Calibri" w:hAnsi="Calibri" w:cs="Calibri"/>
        </w:rPr>
        <w:t xml:space="preserve">20 </w:t>
      </w:r>
      <w:r w:rsidRPr="00B5376B">
        <w:rPr>
          <w:rFonts w:ascii="Calibri" w:hAnsi="Calibri" w:cs="Calibri"/>
        </w:rPr>
        <w:tab/>
        <w:t xml:space="preserve">Campbell J, Dedman D, Eaton S, </w:t>
      </w:r>
      <w:r w:rsidRPr="00B5376B">
        <w:rPr>
          <w:rFonts w:ascii="Calibri" w:hAnsi="Calibri" w:cs="Calibri"/>
          <w:i/>
          <w:iCs/>
        </w:rPr>
        <w:t>et al.</w:t>
      </w:r>
      <w:r w:rsidRPr="00B5376B">
        <w:rPr>
          <w:rFonts w:ascii="Calibri" w:hAnsi="Calibri" w:cs="Calibri"/>
        </w:rPr>
        <w:t xml:space="preserve"> Is the GPRD GOLD population comparable to the UK population? </w:t>
      </w:r>
      <w:r w:rsidRPr="00B5376B">
        <w:rPr>
          <w:rFonts w:ascii="Calibri" w:hAnsi="Calibri" w:cs="Calibri"/>
          <w:i/>
          <w:iCs/>
        </w:rPr>
        <w:t>Pharmacoepidemiology and Drug Safety</w:t>
      </w:r>
      <w:r w:rsidRPr="00B5376B">
        <w:rPr>
          <w:rFonts w:ascii="Calibri" w:hAnsi="Calibri" w:cs="Calibri"/>
        </w:rPr>
        <w:t>;</w:t>
      </w:r>
      <w:r w:rsidRPr="00B5376B">
        <w:rPr>
          <w:rFonts w:ascii="Calibri" w:hAnsi="Calibri" w:cs="Calibri"/>
          <w:b/>
          <w:bCs/>
        </w:rPr>
        <w:t>22</w:t>
      </w:r>
      <w:r w:rsidRPr="00B5376B">
        <w:rPr>
          <w:rFonts w:ascii="Calibri" w:hAnsi="Calibri" w:cs="Calibri"/>
        </w:rPr>
        <w:t>:280.</w:t>
      </w:r>
    </w:p>
    <w:p w:rsidR="00B5376B" w:rsidRPr="00B5376B" w:rsidRDefault="00B5376B" w:rsidP="00B5376B">
      <w:pPr>
        <w:pStyle w:val="Bibliography"/>
        <w:rPr>
          <w:rFonts w:ascii="Calibri" w:hAnsi="Calibri" w:cs="Calibri"/>
        </w:rPr>
      </w:pPr>
      <w:r w:rsidRPr="00B5376B">
        <w:rPr>
          <w:rFonts w:ascii="Calibri" w:hAnsi="Calibri" w:cs="Calibri"/>
        </w:rPr>
        <w:t xml:space="preserve">21 </w:t>
      </w:r>
      <w:r w:rsidRPr="00B5376B">
        <w:rPr>
          <w:rFonts w:ascii="Calibri" w:hAnsi="Calibri" w:cs="Calibri"/>
        </w:rPr>
        <w:tab/>
        <w:t xml:space="preserve">Kontopantelis E, Stevens RJ, Helms PJ, </w:t>
      </w:r>
      <w:r w:rsidRPr="00B5376B">
        <w:rPr>
          <w:rFonts w:ascii="Calibri" w:hAnsi="Calibri" w:cs="Calibri"/>
          <w:i/>
          <w:iCs/>
        </w:rPr>
        <w:t>et al.</w:t>
      </w:r>
      <w:r w:rsidRPr="00B5376B">
        <w:rPr>
          <w:rFonts w:ascii="Calibri" w:hAnsi="Calibri" w:cs="Calibri"/>
        </w:rPr>
        <w:t xml:space="preserve"> Spatial distribution of clinical computer systems in primary care in England in 2016 and implications for primary care electronic medical record databases: a cross-sectional population study. </w:t>
      </w:r>
      <w:r w:rsidRPr="00B5376B">
        <w:rPr>
          <w:rFonts w:ascii="Calibri" w:hAnsi="Calibri" w:cs="Calibri"/>
          <w:i/>
          <w:iCs/>
        </w:rPr>
        <w:t>BMJ Open</w:t>
      </w:r>
      <w:r w:rsidRPr="00B5376B">
        <w:rPr>
          <w:rFonts w:ascii="Calibri" w:hAnsi="Calibri" w:cs="Calibri"/>
        </w:rPr>
        <w:t xml:space="preserve"> 2018;</w:t>
      </w:r>
      <w:r w:rsidRPr="00B5376B">
        <w:rPr>
          <w:rFonts w:ascii="Calibri" w:hAnsi="Calibri" w:cs="Calibri"/>
          <w:b/>
          <w:bCs/>
        </w:rPr>
        <w:t>8</w:t>
      </w:r>
      <w:r w:rsidRPr="00B5376B">
        <w:rPr>
          <w:rFonts w:ascii="Calibri" w:hAnsi="Calibri" w:cs="Calibri"/>
        </w:rPr>
        <w:t>. doi:10.1136/bmjopen-2017-020738</w:t>
      </w:r>
    </w:p>
    <w:p w:rsidR="00B5376B" w:rsidRPr="00B5376B" w:rsidRDefault="00B5376B" w:rsidP="00B5376B">
      <w:pPr>
        <w:pStyle w:val="Bibliography"/>
        <w:rPr>
          <w:rFonts w:ascii="Calibri" w:hAnsi="Calibri" w:cs="Calibri"/>
        </w:rPr>
      </w:pPr>
      <w:r w:rsidRPr="00B5376B">
        <w:rPr>
          <w:rFonts w:ascii="Calibri" w:hAnsi="Calibri" w:cs="Calibri"/>
        </w:rPr>
        <w:t xml:space="preserve">22 </w:t>
      </w:r>
      <w:r w:rsidRPr="00B5376B">
        <w:rPr>
          <w:rFonts w:ascii="Calibri" w:hAnsi="Calibri" w:cs="Calibri"/>
        </w:rPr>
        <w:tab/>
        <w:t xml:space="preserve">Davies JM, Gao W, Sleeman KE, </w:t>
      </w:r>
      <w:r w:rsidRPr="00B5376B">
        <w:rPr>
          <w:rFonts w:ascii="Calibri" w:hAnsi="Calibri" w:cs="Calibri"/>
          <w:i/>
          <w:iCs/>
        </w:rPr>
        <w:t>et al.</w:t>
      </w:r>
      <w:r w:rsidRPr="00B5376B">
        <w:rPr>
          <w:rFonts w:ascii="Calibri" w:hAnsi="Calibri" w:cs="Calibri"/>
        </w:rPr>
        <w:t xml:space="preserve"> Using routine data to improve palliative and end of life care. </w:t>
      </w:r>
      <w:r w:rsidRPr="00B5376B">
        <w:rPr>
          <w:rFonts w:ascii="Calibri" w:hAnsi="Calibri" w:cs="Calibri"/>
          <w:i/>
          <w:iCs/>
        </w:rPr>
        <w:t>BMJ Support Palliat Care</w:t>
      </w:r>
      <w:r w:rsidRPr="00B5376B">
        <w:rPr>
          <w:rFonts w:ascii="Calibri" w:hAnsi="Calibri" w:cs="Calibri"/>
        </w:rPr>
        <w:t xml:space="preserve"> 2016;</w:t>
      </w:r>
      <w:r w:rsidRPr="00B5376B">
        <w:rPr>
          <w:rFonts w:ascii="Calibri" w:hAnsi="Calibri" w:cs="Calibri"/>
          <w:b/>
          <w:bCs/>
        </w:rPr>
        <w:t>6</w:t>
      </w:r>
      <w:r w:rsidRPr="00B5376B">
        <w:rPr>
          <w:rFonts w:ascii="Calibri" w:hAnsi="Calibri" w:cs="Calibri"/>
        </w:rPr>
        <w:t>:257–62. doi:10.1136/bmjspcare-2015-000994</w:t>
      </w:r>
    </w:p>
    <w:p w:rsidR="00B5376B" w:rsidRPr="00B5376B" w:rsidRDefault="00B5376B" w:rsidP="00B5376B">
      <w:pPr>
        <w:pStyle w:val="Bibliography"/>
        <w:rPr>
          <w:rFonts w:ascii="Calibri" w:hAnsi="Calibri" w:cs="Calibri"/>
        </w:rPr>
      </w:pPr>
      <w:r w:rsidRPr="00B5376B">
        <w:rPr>
          <w:rFonts w:ascii="Calibri" w:hAnsi="Calibri" w:cs="Calibri"/>
        </w:rPr>
        <w:t xml:space="preserve">23 </w:t>
      </w:r>
      <w:r w:rsidRPr="00B5376B">
        <w:rPr>
          <w:rFonts w:ascii="Calibri" w:hAnsi="Calibri" w:cs="Calibri"/>
        </w:rPr>
        <w:tab/>
        <w:t xml:space="preserve">Epiphaniou E, Shipman C, Harding R, </w:t>
      </w:r>
      <w:r w:rsidRPr="00B5376B">
        <w:rPr>
          <w:rFonts w:ascii="Calibri" w:hAnsi="Calibri" w:cs="Calibri"/>
          <w:i/>
          <w:iCs/>
        </w:rPr>
        <w:t>et al.</w:t>
      </w:r>
      <w:r w:rsidRPr="00B5376B">
        <w:rPr>
          <w:rFonts w:ascii="Calibri" w:hAnsi="Calibri" w:cs="Calibri"/>
        </w:rPr>
        <w:t xml:space="preserve"> Avoid ’prognostic paralysis’--just get ahead and plan and co-ordinate care. </w:t>
      </w:r>
      <w:r w:rsidRPr="00B5376B">
        <w:rPr>
          <w:rFonts w:ascii="Calibri" w:hAnsi="Calibri" w:cs="Calibri"/>
          <w:i/>
          <w:iCs/>
        </w:rPr>
        <w:t>NPJ Prim Care Respir Med</w:t>
      </w:r>
      <w:r w:rsidRPr="00B5376B">
        <w:rPr>
          <w:rFonts w:ascii="Calibri" w:hAnsi="Calibri" w:cs="Calibri"/>
        </w:rPr>
        <w:t xml:space="preserve"> 2014;</w:t>
      </w:r>
      <w:r w:rsidRPr="00B5376B">
        <w:rPr>
          <w:rFonts w:ascii="Calibri" w:hAnsi="Calibri" w:cs="Calibri"/>
          <w:b/>
          <w:bCs/>
        </w:rPr>
        <w:t>24</w:t>
      </w:r>
      <w:r w:rsidRPr="00B5376B">
        <w:rPr>
          <w:rFonts w:ascii="Calibri" w:hAnsi="Calibri" w:cs="Calibri"/>
        </w:rPr>
        <w:t>:14085. doi:10.1038/npjpcrm.2014.85</w:t>
      </w:r>
    </w:p>
    <w:p w:rsidR="00B5376B" w:rsidRPr="00B5376B" w:rsidRDefault="00B5376B" w:rsidP="00B5376B">
      <w:pPr>
        <w:pStyle w:val="Bibliography"/>
        <w:rPr>
          <w:rFonts w:ascii="Calibri" w:hAnsi="Calibri" w:cs="Calibri"/>
        </w:rPr>
      </w:pPr>
      <w:r w:rsidRPr="00B5376B">
        <w:rPr>
          <w:rFonts w:ascii="Calibri" w:hAnsi="Calibri" w:cs="Calibri"/>
        </w:rPr>
        <w:t xml:space="preserve">24 </w:t>
      </w:r>
      <w:r w:rsidRPr="00B5376B">
        <w:rPr>
          <w:rFonts w:ascii="Calibri" w:hAnsi="Calibri" w:cs="Calibri"/>
        </w:rPr>
        <w:tab/>
        <w:t xml:space="preserve">Morrison RS. Models of palliative care delivery in the United States. </w:t>
      </w:r>
      <w:r w:rsidRPr="00B5376B">
        <w:rPr>
          <w:rFonts w:ascii="Calibri" w:hAnsi="Calibri" w:cs="Calibri"/>
          <w:i/>
          <w:iCs/>
        </w:rPr>
        <w:t>Curr Opin Support Palliat Care</w:t>
      </w:r>
      <w:r w:rsidRPr="00B5376B">
        <w:rPr>
          <w:rFonts w:ascii="Calibri" w:hAnsi="Calibri" w:cs="Calibri"/>
        </w:rPr>
        <w:t xml:space="preserve"> 2013;</w:t>
      </w:r>
      <w:r w:rsidRPr="00B5376B">
        <w:rPr>
          <w:rFonts w:ascii="Calibri" w:hAnsi="Calibri" w:cs="Calibri"/>
          <w:b/>
          <w:bCs/>
        </w:rPr>
        <w:t>7</w:t>
      </w:r>
      <w:r w:rsidRPr="00B5376B">
        <w:rPr>
          <w:rFonts w:ascii="Calibri" w:hAnsi="Calibri" w:cs="Calibri"/>
        </w:rPr>
        <w:t>:201–6. doi:10.1097/SPC.0b013e32836103e5</w:t>
      </w:r>
    </w:p>
    <w:p w:rsidR="00B5376B" w:rsidRPr="00B5376B" w:rsidRDefault="00B5376B" w:rsidP="00B5376B">
      <w:pPr>
        <w:pStyle w:val="Bibliography"/>
        <w:rPr>
          <w:rFonts w:ascii="Calibri" w:hAnsi="Calibri" w:cs="Calibri"/>
        </w:rPr>
      </w:pPr>
      <w:r w:rsidRPr="00B5376B">
        <w:rPr>
          <w:rFonts w:ascii="Calibri" w:hAnsi="Calibri" w:cs="Calibri"/>
        </w:rPr>
        <w:t xml:space="preserve">25 </w:t>
      </w:r>
      <w:r w:rsidRPr="00B5376B">
        <w:rPr>
          <w:rFonts w:ascii="Calibri" w:hAnsi="Calibri" w:cs="Calibri"/>
        </w:rPr>
        <w:tab/>
        <w:t xml:space="preserve">Zheng L, Finucane AM, Oxenham D, </w:t>
      </w:r>
      <w:r w:rsidRPr="00B5376B">
        <w:rPr>
          <w:rFonts w:ascii="Calibri" w:hAnsi="Calibri" w:cs="Calibri"/>
          <w:i/>
          <w:iCs/>
        </w:rPr>
        <w:t>et al.</w:t>
      </w:r>
      <w:r w:rsidRPr="00B5376B">
        <w:rPr>
          <w:rFonts w:ascii="Calibri" w:hAnsi="Calibri" w:cs="Calibri"/>
        </w:rPr>
        <w:t xml:space="preserve"> How good is primary care at identifying patients who need palliative care? A mixed-methods study. </w:t>
      </w:r>
      <w:r w:rsidRPr="00B5376B">
        <w:rPr>
          <w:rFonts w:ascii="Calibri" w:hAnsi="Calibri" w:cs="Calibri"/>
          <w:i/>
          <w:iCs/>
        </w:rPr>
        <w:t>European Journal of Palliative Care</w:t>
      </w:r>
      <w:r w:rsidRPr="00B5376B">
        <w:rPr>
          <w:rFonts w:ascii="Calibri" w:hAnsi="Calibri" w:cs="Calibri"/>
        </w:rPr>
        <w:t xml:space="preserve"> 2013;</w:t>
      </w:r>
      <w:r w:rsidRPr="00B5376B">
        <w:rPr>
          <w:rFonts w:ascii="Calibri" w:hAnsi="Calibri" w:cs="Calibri"/>
          <w:b/>
          <w:bCs/>
        </w:rPr>
        <w:t>20</w:t>
      </w:r>
      <w:r w:rsidRPr="00B5376B">
        <w:rPr>
          <w:rFonts w:ascii="Calibri" w:hAnsi="Calibri" w:cs="Calibri"/>
        </w:rPr>
        <w:t>:216–222.</w:t>
      </w:r>
    </w:p>
    <w:p w:rsidR="00B5376B" w:rsidRPr="00B5376B" w:rsidRDefault="00B5376B" w:rsidP="00B5376B">
      <w:pPr>
        <w:pStyle w:val="Bibliography"/>
        <w:rPr>
          <w:rFonts w:ascii="Calibri" w:hAnsi="Calibri" w:cs="Calibri"/>
        </w:rPr>
      </w:pPr>
      <w:r w:rsidRPr="00B5376B">
        <w:rPr>
          <w:rFonts w:ascii="Calibri" w:hAnsi="Calibri" w:cs="Calibri"/>
        </w:rPr>
        <w:t xml:space="preserve">26 </w:t>
      </w:r>
      <w:r w:rsidRPr="00B5376B">
        <w:rPr>
          <w:rFonts w:ascii="Calibri" w:hAnsi="Calibri" w:cs="Calibri"/>
        </w:rPr>
        <w:tab/>
        <w:t>National Palliative and End of Life Care Partnership. Ambitions for Palliative and End of Life Care: A national framework for local action 2015-2020. 2015. http://endoflifecareambitions.org.uk/ (accessed 29 Jan 2019).</w:t>
      </w:r>
    </w:p>
    <w:p w:rsidR="00E264BB" w:rsidRDefault="00B01833" w:rsidP="00E32742">
      <w:pPr>
        <w:spacing w:line="240" w:lineRule="auto"/>
        <w:sectPr w:rsidR="00E264BB" w:rsidSect="00723F63">
          <w:pgSz w:w="11906" w:h="16838"/>
          <w:pgMar w:top="1440" w:right="1440" w:bottom="1440" w:left="1440" w:header="708" w:footer="708" w:gutter="0"/>
          <w:cols w:space="708"/>
          <w:docGrid w:linePitch="360"/>
        </w:sectPr>
      </w:pPr>
      <w:r>
        <w:fldChar w:fldCharType="end"/>
      </w:r>
    </w:p>
    <w:p w:rsidR="006C323E" w:rsidRDefault="006C323E" w:rsidP="006C323E">
      <w:pPr>
        <w:pStyle w:val="Caption"/>
        <w:keepNext/>
      </w:pPr>
      <w:bookmarkStart w:id="8" w:name="_Ref486247714"/>
      <w:bookmarkEnd w:id="0"/>
      <w:bookmarkEnd w:id="1"/>
      <w:r>
        <w:lastRenderedPageBreak/>
        <w:t xml:space="preserve">Table </w:t>
      </w:r>
      <w:r w:rsidR="00B01833">
        <w:rPr>
          <w:noProof/>
        </w:rPr>
        <w:fldChar w:fldCharType="begin"/>
      </w:r>
      <w:r>
        <w:rPr>
          <w:noProof/>
        </w:rPr>
        <w:instrText xml:space="preserve"> SEQ Table \* ARABIC </w:instrText>
      </w:r>
      <w:r w:rsidR="00B01833">
        <w:rPr>
          <w:noProof/>
        </w:rPr>
        <w:fldChar w:fldCharType="separate"/>
      </w:r>
      <w:r>
        <w:rPr>
          <w:noProof/>
        </w:rPr>
        <w:t>1</w:t>
      </w:r>
      <w:r w:rsidR="00B01833">
        <w:rPr>
          <w:noProof/>
        </w:rPr>
        <w:fldChar w:fldCharType="end"/>
      </w:r>
      <w:bookmarkEnd w:id="8"/>
      <w:r>
        <w:t>: Demographics of persons with cancer, chronic obstructive pulmonary disease (COPD), dementia, or heart failure in their general practice records who died in April 2009-March 2010, April 2011-March 2012 or April 2013-March 2014.</w:t>
      </w:r>
    </w:p>
    <w:tbl>
      <w:tblPr>
        <w:tblW w:w="4995" w:type="pct"/>
        <w:tblCellMar>
          <w:left w:w="17" w:type="dxa"/>
          <w:right w:w="17" w:type="dxa"/>
        </w:tblCellMar>
        <w:tblLook w:val="04A0" w:firstRow="1" w:lastRow="0" w:firstColumn="1" w:lastColumn="0" w:noHBand="0" w:noVBand="1"/>
      </w:tblPr>
      <w:tblGrid>
        <w:gridCol w:w="2270"/>
        <w:gridCol w:w="996"/>
        <w:gridCol w:w="1014"/>
        <w:gridCol w:w="995"/>
        <w:gridCol w:w="995"/>
        <w:gridCol w:w="996"/>
        <w:gridCol w:w="995"/>
        <w:gridCol w:w="995"/>
        <w:gridCol w:w="995"/>
        <w:gridCol w:w="996"/>
        <w:gridCol w:w="995"/>
        <w:gridCol w:w="868"/>
        <w:gridCol w:w="868"/>
      </w:tblGrid>
      <w:tr w:rsidR="006C323E" w:rsidRPr="00560430" w:rsidTr="00CA7C4E">
        <w:trPr>
          <w:trHeight w:val="227"/>
        </w:trPr>
        <w:tc>
          <w:tcPr>
            <w:tcW w:w="2263" w:type="dxa"/>
            <w:tcBorders>
              <w:top w:val="single" w:sz="4" w:space="0" w:color="auto"/>
              <w:left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sz w:val="20"/>
                <w:szCs w:val="20"/>
                <w:lang w:eastAsia="en-GB"/>
              </w:rPr>
            </w:pPr>
          </w:p>
        </w:tc>
        <w:tc>
          <w:tcPr>
            <w:tcW w:w="2996" w:type="dxa"/>
            <w:gridSpan w:val="3"/>
            <w:tcBorders>
              <w:top w:val="single" w:sz="4" w:space="0" w:color="auto"/>
              <w:left w:val="single" w:sz="4" w:space="0" w:color="auto"/>
              <w:bottom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bCs/>
                <w:color w:val="000000"/>
                <w:sz w:val="20"/>
                <w:szCs w:val="20"/>
                <w:lang w:eastAsia="en-GB"/>
              </w:rPr>
              <w:t>Cancer</w:t>
            </w:r>
          </w:p>
        </w:tc>
        <w:tc>
          <w:tcPr>
            <w:tcW w:w="2977" w:type="dxa"/>
            <w:gridSpan w:val="3"/>
            <w:tcBorders>
              <w:top w:val="single" w:sz="4" w:space="0" w:color="auto"/>
              <w:left w:val="single" w:sz="4" w:space="0" w:color="auto"/>
              <w:bottom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COPD</w:t>
            </w:r>
          </w:p>
        </w:tc>
        <w:tc>
          <w:tcPr>
            <w:tcW w:w="2977" w:type="dxa"/>
            <w:gridSpan w:val="3"/>
            <w:tcBorders>
              <w:top w:val="single" w:sz="4" w:space="0" w:color="auto"/>
              <w:left w:val="single" w:sz="4" w:space="0" w:color="auto"/>
              <w:bottom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Dementia</w:t>
            </w:r>
          </w:p>
        </w:tc>
        <w:tc>
          <w:tcPr>
            <w:tcW w:w="2722" w:type="dxa"/>
            <w:gridSpan w:val="3"/>
            <w:tcBorders>
              <w:top w:val="single" w:sz="4" w:space="0" w:color="auto"/>
              <w:left w:val="single" w:sz="4" w:space="0" w:color="auto"/>
              <w:bottom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Heart Failure</w:t>
            </w:r>
          </w:p>
        </w:tc>
      </w:tr>
      <w:tr w:rsidR="006C323E" w:rsidRPr="00560430" w:rsidTr="00CA7C4E">
        <w:trPr>
          <w:trHeight w:val="227"/>
        </w:trPr>
        <w:tc>
          <w:tcPr>
            <w:tcW w:w="2263" w:type="dxa"/>
            <w:tcBorders>
              <w:top w:val="nil"/>
              <w:left w:val="single" w:sz="4" w:space="0" w:color="000000" w:themeColor="text1"/>
              <w:bottom w:val="single" w:sz="4" w:space="0" w:color="auto"/>
              <w:right w:val="single" w:sz="4" w:space="0" w:color="auto"/>
            </w:tcBorders>
            <w:shd w:val="clear" w:color="auto" w:fill="auto"/>
            <w:noWrap/>
            <w:vAlign w:val="bottom"/>
            <w:hideMark/>
          </w:tcPr>
          <w:p w:rsidR="006C323E" w:rsidRPr="00560430" w:rsidRDefault="006C323E" w:rsidP="00CA7C4E">
            <w:pPr>
              <w:spacing w:line="240" w:lineRule="auto"/>
              <w:jc w:val="center"/>
              <w:rPr>
                <w:rFonts w:eastAsia="Times New Roman" w:cstheme="minorHAnsi"/>
                <w:sz w:val="20"/>
                <w:szCs w:val="20"/>
                <w:lang w:eastAsia="en-GB"/>
              </w:rPr>
            </w:pPr>
          </w:p>
        </w:tc>
        <w:tc>
          <w:tcPr>
            <w:tcW w:w="993"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2009-10</w:t>
            </w:r>
          </w:p>
        </w:tc>
        <w:tc>
          <w:tcPr>
            <w:tcW w:w="1011" w:type="dxa"/>
            <w:tcBorders>
              <w:top w:val="single" w:sz="4" w:space="0" w:color="000000" w:themeColor="text1"/>
              <w:left w:val="nil"/>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2011-12</w:t>
            </w:r>
          </w:p>
        </w:tc>
        <w:tc>
          <w:tcPr>
            <w:tcW w:w="992"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2013-14</w:t>
            </w:r>
          </w:p>
        </w:tc>
        <w:tc>
          <w:tcPr>
            <w:tcW w:w="992"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2009-10</w:t>
            </w:r>
          </w:p>
        </w:tc>
        <w:tc>
          <w:tcPr>
            <w:tcW w:w="993" w:type="dxa"/>
            <w:tcBorders>
              <w:top w:val="single" w:sz="4" w:space="0" w:color="000000" w:themeColor="text1"/>
              <w:left w:val="nil"/>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2011-12</w:t>
            </w:r>
          </w:p>
        </w:tc>
        <w:tc>
          <w:tcPr>
            <w:tcW w:w="992"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2013-14</w:t>
            </w:r>
          </w:p>
        </w:tc>
        <w:tc>
          <w:tcPr>
            <w:tcW w:w="992"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2009-10</w:t>
            </w:r>
          </w:p>
        </w:tc>
        <w:tc>
          <w:tcPr>
            <w:tcW w:w="992" w:type="dxa"/>
            <w:tcBorders>
              <w:top w:val="single" w:sz="4" w:space="0" w:color="000000" w:themeColor="text1"/>
              <w:left w:val="nil"/>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2011-12</w:t>
            </w:r>
          </w:p>
        </w:tc>
        <w:tc>
          <w:tcPr>
            <w:tcW w:w="993"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2013-14</w:t>
            </w:r>
          </w:p>
        </w:tc>
        <w:tc>
          <w:tcPr>
            <w:tcW w:w="992" w:type="dxa"/>
            <w:tcBorders>
              <w:top w:val="single" w:sz="4" w:space="0" w:color="000000" w:themeColor="text1"/>
              <w:left w:val="single" w:sz="4" w:space="0" w:color="auto"/>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2009-10</w:t>
            </w:r>
          </w:p>
        </w:tc>
        <w:tc>
          <w:tcPr>
            <w:tcW w:w="865" w:type="dxa"/>
            <w:tcBorders>
              <w:top w:val="single" w:sz="4" w:space="0" w:color="000000" w:themeColor="text1"/>
              <w:left w:val="nil"/>
              <w:bottom w:val="single" w:sz="4" w:space="0" w:color="auto"/>
              <w:right w:val="nil"/>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2011-12</w:t>
            </w:r>
          </w:p>
        </w:tc>
        <w:tc>
          <w:tcPr>
            <w:tcW w:w="865" w:type="dxa"/>
            <w:tcBorders>
              <w:top w:val="single" w:sz="4" w:space="0" w:color="000000" w:themeColor="text1"/>
              <w:left w:val="nil"/>
              <w:bottom w:val="single" w:sz="4" w:space="0" w:color="auto"/>
              <w:right w:val="single" w:sz="4" w:space="0" w:color="auto"/>
            </w:tcBorders>
            <w:shd w:val="clear" w:color="auto" w:fill="auto"/>
            <w:noWrap/>
            <w:vAlign w:val="bottom"/>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2013-14</w:t>
            </w:r>
          </w:p>
        </w:tc>
      </w:tr>
      <w:tr w:rsidR="006C323E" w:rsidRPr="00560430" w:rsidTr="00CA7C4E">
        <w:trPr>
          <w:trHeight w:hRule="exact" w:val="113"/>
        </w:trPr>
        <w:tc>
          <w:tcPr>
            <w:tcW w:w="2263" w:type="dxa"/>
            <w:tcBorders>
              <w:top w:val="single" w:sz="4" w:space="0" w:color="auto"/>
              <w:left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sz w:val="20"/>
                <w:szCs w:val="20"/>
                <w:lang w:eastAsia="en-GB"/>
              </w:rPr>
            </w:pPr>
          </w:p>
        </w:tc>
        <w:tc>
          <w:tcPr>
            <w:tcW w:w="993" w:type="dxa"/>
            <w:tcBorders>
              <w:top w:val="single" w:sz="4" w:space="0" w:color="auto"/>
              <w:left w:val="single" w:sz="4" w:space="0" w:color="auto"/>
              <w:right w:val="nil"/>
            </w:tcBorders>
            <w:shd w:val="clear" w:color="auto" w:fill="auto"/>
            <w:noWrap/>
            <w:vAlign w:val="bottom"/>
          </w:tcPr>
          <w:p w:rsidR="006C323E" w:rsidRPr="00560430" w:rsidRDefault="006C323E" w:rsidP="00CA7C4E">
            <w:pPr>
              <w:spacing w:line="240" w:lineRule="auto"/>
              <w:jc w:val="center"/>
              <w:rPr>
                <w:rFonts w:eastAsia="Times New Roman" w:cstheme="minorHAnsi"/>
                <w:bCs/>
                <w:color w:val="000000"/>
                <w:sz w:val="20"/>
                <w:szCs w:val="20"/>
                <w:lang w:eastAsia="en-GB"/>
              </w:rPr>
            </w:pPr>
          </w:p>
        </w:tc>
        <w:tc>
          <w:tcPr>
            <w:tcW w:w="1011" w:type="dxa"/>
            <w:tcBorders>
              <w:top w:val="single" w:sz="4" w:space="0" w:color="auto"/>
              <w:left w:val="nil"/>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single" w:sz="4" w:space="0" w:color="auto"/>
              <w:left w:val="nil"/>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single" w:sz="4" w:space="0" w:color="auto"/>
              <w:left w:val="single" w:sz="4" w:space="0" w:color="auto"/>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3" w:type="dxa"/>
            <w:tcBorders>
              <w:top w:val="single" w:sz="4" w:space="0" w:color="auto"/>
              <w:left w:val="nil"/>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single" w:sz="4" w:space="0" w:color="auto"/>
              <w:left w:val="nil"/>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single" w:sz="4" w:space="0" w:color="auto"/>
              <w:left w:val="single" w:sz="4" w:space="0" w:color="auto"/>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single" w:sz="4" w:space="0" w:color="auto"/>
              <w:left w:val="nil"/>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3" w:type="dxa"/>
            <w:tcBorders>
              <w:top w:val="single" w:sz="4" w:space="0" w:color="auto"/>
              <w:left w:val="nil"/>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single" w:sz="4" w:space="0" w:color="auto"/>
              <w:left w:val="single" w:sz="4" w:space="0" w:color="auto"/>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865" w:type="dxa"/>
            <w:tcBorders>
              <w:top w:val="single" w:sz="4" w:space="0" w:color="auto"/>
              <w:left w:val="nil"/>
              <w:right w:val="nil"/>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865" w:type="dxa"/>
            <w:tcBorders>
              <w:top w:val="single" w:sz="4" w:space="0" w:color="auto"/>
              <w:left w:val="nil"/>
              <w:right w:val="single" w:sz="4" w:space="0" w:color="auto"/>
            </w:tcBorders>
            <w:shd w:val="clear" w:color="auto" w:fill="auto"/>
            <w:noWrap/>
            <w:vAlign w:val="bottom"/>
          </w:tcPr>
          <w:p w:rsidR="006C323E" w:rsidRPr="00560430" w:rsidRDefault="006C323E" w:rsidP="00CA7C4E">
            <w:pPr>
              <w:spacing w:line="240" w:lineRule="auto"/>
              <w:jc w:val="center"/>
              <w:rPr>
                <w:rFonts w:eastAsia="Times New Roman" w:cstheme="minorHAnsi"/>
                <w:color w:val="000000"/>
                <w:sz w:val="20"/>
                <w:szCs w:val="20"/>
                <w:lang w:eastAsia="en-GB"/>
              </w:rPr>
            </w:pPr>
          </w:p>
        </w:tc>
      </w:tr>
      <w:tr w:rsidR="006C323E" w:rsidRPr="00560430" w:rsidTr="00CA7C4E">
        <w:trPr>
          <w:trHeight w:val="227"/>
        </w:trPr>
        <w:tc>
          <w:tcPr>
            <w:tcW w:w="2263" w:type="dxa"/>
            <w:tcBorders>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i/>
                <w:color w:val="000000"/>
                <w:sz w:val="20"/>
                <w:szCs w:val="20"/>
                <w:lang w:eastAsia="en-GB"/>
              </w:rPr>
            </w:pPr>
            <w:r w:rsidRPr="00560430">
              <w:rPr>
                <w:rFonts w:eastAsia="Times New Roman" w:cstheme="minorHAnsi"/>
                <w:i/>
                <w:color w:val="000000"/>
                <w:sz w:val="20"/>
                <w:szCs w:val="20"/>
                <w:lang w:eastAsia="en-GB"/>
              </w:rPr>
              <w:t>Annual Deaths</w:t>
            </w:r>
          </w:p>
        </w:tc>
        <w:tc>
          <w:tcPr>
            <w:tcW w:w="993" w:type="dxa"/>
            <w:tcBorders>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6799</w:t>
            </w:r>
          </w:p>
        </w:tc>
        <w:tc>
          <w:tcPr>
            <w:tcW w:w="1011" w:type="dxa"/>
            <w:tcBorders>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6386</w:t>
            </w:r>
          </w:p>
        </w:tc>
        <w:tc>
          <w:tcPr>
            <w:tcW w:w="992" w:type="dxa"/>
            <w:tcBorders>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5483</w:t>
            </w:r>
          </w:p>
        </w:tc>
        <w:tc>
          <w:tcPr>
            <w:tcW w:w="992" w:type="dxa"/>
            <w:tcBorders>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1924</w:t>
            </w:r>
          </w:p>
        </w:tc>
        <w:tc>
          <w:tcPr>
            <w:tcW w:w="993" w:type="dxa"/>
            <w:tcBorders>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1872</w:t>
            </w:r>
          </w:p>
        </w:tc>
        <w:tc>
          <w:tcPr>
            <w:tcW w:w="992" w:type="dxa"/>
            <w:tcBorders>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1630</w:t>
            </w:r>
          </w:p>
        </w:tc>
        <w:tc>
          <w:tcPr>
            <w:tcW w:w="992" w:type="dxa"/>
            <w:tcBorders>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2433</w:t>
            </w:r>
          </w:p>
        </w:tc>
        <w:tc>
          <w:tcPr>
            <w:tcW w:w="992" w:type="dxa"/>
            <w:tcBorders>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2474</w:t>
            </w:r>
          </w:p>
        </w:tc>
        <w:tc>
          <w:tcPr>
            <w:tcW w:w="993" w:type="dxa"/>
            <w:tcBorders>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2432</w:t>
            </w:r>
          </w:p>
        </w:tc>
        <w:tc>
          <w:tcPr>
            <w:tcW w:w="992" w:type="dxa"/>
            <w:tcBorders>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2429</w:t>
            </w:r>
          </w:p>
        </w:tc>
        <w:tc>
          <w:tcPr>
            <w:tcW w:w="865" w:type="dxa"/>
            <w:tcBorders>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2152</w:t>
            </w:r>
          </w:p>
        </w:tc>
        <w:tc>
          <w:tcPr>
            <w:tcW w:w="865" w:type="dxa"/>
            <w:tcBorders>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1828</w:t>
            </w:r>
          </w:p>
        </w:tc>
      </w:tr>
      <w:tr w:rsidR="006C323E" w:rsidRPr="00560430" w:rsidTr="00CA7C4E">
        <w:trPr>
          <w:trHeight w:hRule="exact" w:val="113"/>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i/>
                <w:iCs/>
                <w:color w:val="000000"/>
                <w:sz w:val="20"/>
                <w:szCs w:val="20"/>
                <w:lang w:eastAsia="en-GB"/>
              </w:rPr>
            </w:pP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iCs/>
                <w:color w:val="000000"/>
                <w:sz w:val="20"/>
                <w:szCs w:val="20"/>
                <w:lang w:eastAsia="en-GB"/>
              </w:rPr>
            </w:pP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iCs/>
                <w:color w:val="000000"/>
                <w:sz w:val="20"/>
                <w:szCs w:val="20"/>
                <w:lang w:eastAsia="en-GB"/>
              </w:rPr>
            </w:pP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iCs/>
                <w:color w:val="000000"/>
                <w:sz w:val="20"/>
                <w:szCs w:val="20"/>
                <w:lang w:eastAsia="en-GB"/>
              </w:rPr>
            </w:pP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i/>
                <w:color w:val="000000"/>
                <w:sz w:val="20"/>
                <w:szCs w:val="20"/>
                <w:lang w:eastAsia="en-GB"/>
              </w:rPr>
              <w:t>Sex</w:t>
            </w:r>
            <w:r w:rsidRPr="00560430">
              <w:rPr>
                <w:rFonts w:eastAsia="Times New Roman" w:cstheme="minorHAnsi"/>
                <w:color w:val="000000"/>
                <w:sz w:val="20"/>
                <w:szCs w:val="20"/>
                <w:lang w:eastAsia="en-GB"/>
              </w:rPr>
              <w:t xml:space="preserve">- </w:t>
            </w:r>
            <w:proofErr w:type="gramStart"/>
            <w:r w:rsidRPr="00560430">
              <w:rPr>
                <w:rFonts w:eastAsia="Times New Roman" w:cstheme="minorHAnsi"/>
                <w:color w:val="000000"/>
                <w:sz w:val="20"/>
                <w:szCs w:val="20"/>
                <w:lang w:eastAsia="en-GB"/>
              </w:rPr>
              <w:t>Male(</w:t>
            </w:r>
            <w:proofErr w:type="gramEnd"/>
            <w:r w:rsidRPr="00560430">
              <w:rPr>
                <w:rFonts w:eastAsia="Times New Roman" w:cstheme="minorHAnsi"/>
                <w:color w:val="000000"/>
                <w:sz w:val="20"/>
                <w:szCs w:val="20"/>
                <w:lang w:eastAsia="en-GB"/>
              </w:rPr>
              <w:t>%)</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51.0%</w:t>
            </w:r>
          </w:p>
        </w:tc>
        <w:tc>
          <w:tcPr>
            <w:tcW w:w="1011"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51.3%</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50.4%</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53.8%</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55.7%</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54.4%</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32.3%</w:t>
            </w:r>
          </w:p>
        </w:tc>
        <w:tc>
          <w:tcPr>
            <w:tcW w:w="992"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32.1%</w:t>
            </w:r>
          </w:p>
        </w:tc>
        <w:tc>
          <w:tcPr>
            <w:tcW w:w="993"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32.0%</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47.3%</w:t>
            </w:r>
          </w:p>
        </w:tc>
        <w:tc>
          <w:tcPr>
            <w:tcW w:w="865"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47.6%</w:t>
            </w:r>
          </w:p>
        </w:tc>
        <w:tc>
          <w:tcPr>
            <w:tcW w:w="865"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50.2%</w:t>
            </w:r>
          </w:p>
        </w:tc>
      </w:tr>
      <w:tr w:rsidR="006C323E" w:rsidRPr="00560430" w:rsidTr="00CA7C4E">
        <w:trPr>
          <w:trHeight w:hRule="exact" w:val="113"/>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i/>
                <w:iCs/>
                <w:color w:val="000000"/>
                <w:sz w:val="20"/>
                <w:szCs w:val="20"/>
                <w:lang w:eastAsia="en-GB"/>
              </w:rPr>
            </w:pP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iCs/>
                <w:color w:val="000000"/>
                <w:sz w:val="20"/>
                <w:szCs w:val="20"/>
                <w:lang w:eastAsia="en-GB"/>
              </w:rPr>
            </w:pP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single" w:sz="4" w:space="0" w:color="auto"/>
            </w:tcBorders>
            <w:shd w:val="clear" w:color="auto" w:fill="auto"/>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i/>
                <w:color w:val="000000"/>
                <w:sz w:val="20"/>
                <w:szCs w:val="20"/>
                <w:lang w:eastAsia="en-GB"/>
              </w:rPr>
              <w:t>Age</w:t>
            </w:r>
            <w:r w:rsidRPr="00560430">
              <w:rPr>
                <w:rFonts w:eastAsia="Times New Roman" w:cstheme="minorHAnsi"/>
                <w:color w:val="000000"/>
                <w:sz w:val="20"/>
                <w:szCs w:val="20"/>
                <w:lang w:eastAsia="en-GB"/>
              </w:rPr>
              <w:t>- Mean(</w:t>
            </w:r>
            <w:proofErr w:type="spellStart"/>
            <w:r w:rsidRPr="00560430">
              <w:rPr>
                <w:rFonts w:eastAsia="Times New Roman" w:cstheme="minorHAnsi"/>
                <w:color w:val="000000"/>
                <w:sz w:val="20"/>
                <w:szCs w:val="20"/>
                <w:lang w:eastAsia="en-GB"/>
              </w:rPr>
              <w:t>sd</w:t>
            </w:r>
            <w:proofErr w:type="spellEnd"/>
            <w:r w:rsidRPr="00560430">
              <w:rPr>
                <w:rFonts w:eastAsia="Times New Roman" w:cstheme="minorHAnsi"/>
                <w:color w:val="000000"/>
                <w:sz w:val="20"/>
                <w:szCs w:val="20"/>
                <w:lang w:eastAsia="en-GB"/>
              </w:rPr>
              <w:t>)</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74.1(12.8)</w:t>
            </w: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74.4(13.1)</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74.6(12.8)</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77.7(10.1)</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78.2(10.1)</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77.7(10.5)</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86.4(7.6)</w:t>
            </w: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86.9(7.5)</w:t>
            </w: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86.9(7.7)</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83.4(10.5)</w:t>
            </w: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84.2(10.3)</w:t>
            </w:r>
          </w:p>
        </w:tc>
        <w:tc>
          <w:tcPr>
            <w:tcW w:w="865" w:type="dxa"/>
            <w:tcBorders>
              <w:top w:val="nil"/>
              <w:left w:val="nil"/>
              <w:bottom w:val="nil"/>
              <w:right w:val="single" w:sz="4" w:space="0" w:color="auto"/>
            </w:tcBorders>
            <w:shd w:val="clear" w:color="auto" w:fill="auto"/>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83.6(10.9)</w:t>
            </w:r>
          </w:p>
        </w:tc>
      </w:tr>
      <w:tr w:rsidR="006C323E" w:rsidRPr="00560430" w:rsidTr="00CA7C4E">
        <w:trPr>
          <w:trHeight w:hRule="exact" w:val="113"/>
        </w:trPr>
        <w:tc>
          <w:tcPr>
            <w:tcW w:w="2263" w:type="dxa"/>
            <w:tcBorders>
              <w:top w:val="nil"/>
              <w:left w:val="single" w:sz="4" w:space="0" w:color="000000" w:themeColor="text1"/>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p>
        </w:tc>
        <w:tc>
          <w:tcPr>
            <w:tcW w:w="993" w:type="dxa"/>
            <w:tcBorders>
              <w:top w:val="nil"/>
              <w:left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865" w:type="dxa"/>
            <w:tcBorders>
              <w:top w:val="nil"/>
              <w:left w:val="nil"/>
              <w:bottom w:val="nil"/>
              <w:right w:val="single" w:sz="4" w:space="0" w:color="auto"/>
            </w:tcBorders>
            <w:shd w:val="clear" w:color="auto" w:fill="auto"/>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r>
      <w:tr w:rsidR="006C323E" w:rsidRPr="00560430" w:rsidTr="00CA7C4E">
        <w:trPr>
          <w:trHeight w:val="227"/>
        </w:trPr>
        <w:tc>
          <w:tcPr>
            <w:tcW w:w="2263" w:type="dxa"/>
            <w:tcBorders>
              <w:top w:val="nil"/>
              <w:left w:val="single" w:sz="4" w:space="0" w:color="000000" w:themeColor="text1"/>
              <w:bottom w:val="nil"/>
              <w:right w:val="single" w:sz="4" w:space="0" w:color="000000" w:themeColor="text1"/>
            </w:tcBorders>
            <w:shd w:val="clear" w:color="auto" w:fill="auto"/>
            <w:noWrap/>
            <w:vAlign w:val="center"/>
          </w:tcPr>
          <w:p w:rsidR="006C323E" w:rsidRPr="00560430" w:rsidRDefault="006C323E" w:rsidP="00CA7C4E">
            <w:pPr>
              <w:spacing w:line="240" w:lineRule="auto"/>
              <w:rPr>
                <w:rFonts w:eastAsia="Times New Roman" w:cstheme="minorHAnsi"/>
                <w:i/>
                <w:sz w:val="20"/>
                <w:szCs w:val="20"/>
                <w:lang w:eastAsia="en-GB"/>
              </w:rPr>
            </w:pPr>
            <w:r w:rsidRPr="00560430">
              <w:rPr>
                <w:rFonts w:eastAsia="Times New Roman" w:cstheme="minorHAnsi"/>
                <w:i/>
                <w:color w:val="000000"/>
                <w:sz w:val="20"/>
                <w:szCs w:val="20"/>
                <w:lang w:eastAsia="en-GB"/>
              </w:rPr>
              <w:t>Index of Multiple Deprivation</w:t>
            </w:r>
          </w:p>
        </w:tc>
        <w:tc>
          <w:tcPr>
            <w:tcW w:w="993" w:type="dxa"/>
            <w:tcBorders>
              <w:top w:val="nil"/>
              <w:left w:val="single" w:sz="4" w:space="0" w:color="000000" w:themeColor="text1"/>
              <w:bottom w:val="nil"/>
            </w:tcBorders>
            <w:shd w:val="clear" w:color="auto" w:fill="auto"/>
            <w:vAlign w:val="center"/>
          </w:tcPr>
          <w:p w:rsidR="006C323E" w:rsidRPr="00560430" w:rsidRDefault="006C323E" w:rsidP="00CA7C4E">
            <w:pPr>
              <w:spacing w:line="240" w:lineRule="auto"/>
              <w:rPr>
                <w:rFonts w:eastAsia="Times New Roman" w:cstheme="minorHAnsi"/>
                <w:i/>
                <w:sz w:val="20"/>
                <w:szCs w:val="20"/>
                <w:lang w:eastAsia="en-GB"/>
              </w:rPr>
            </w:pPr>
          </w:p>
        </w:tc>
        <w:tc>
          <w:tcPr>
            <w:tcW w:w="1011" w:type="dxa"/>
            <w:tcBorders>
              <w:top w:val="nil"/>
              <w:left w:val="nil"/>
              <w:bottom w:val="nil"/>
              <w:right w:val="nil"/>
            </w:tcBorders>
            <w:shd w:val="clear" w:color="auto" w:fill="auto"/>
            <w:vAlign w:val="center"/>
          </w:tcPr>
          <w:p w:rsidR="006C323E" w:rsidRPr="00560430" w:rsidRDefault="006C323E" w:rsidP="00CA7C4E">
            <w:pPr>
              <w:spacing w:line="240" w:lineRule="auto"/>
              <w:rPr>
                <w:rFonts w:eastAsia="Times New Roman" w:cstheme="minorHAnsi"/>
                <w:i/>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1- least deprived</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22.8%</w:t>
            </w:r>
          </w:p>
        </w:tc>
        <w:tc>
          <w:tcPr>
            <w:tcW w:w="1011"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22.8%</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21.8%</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14.8%</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15.1%</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15.0%</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23.6%</w:t>
            </w:r>
          </w:p>
        </w:tc>
        <w:tc>
          <w:tcPr>
            <w:tcW w:w="992"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22.5%</w:t>
            </w:r>
          </w:p>
        </w:tc>
        <w:tc>
          <w:tcPr>
            <w:tcW w:w="993"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22.0%</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20.0%</w:t>
            </w:r>
          </w:p>
        </w:tc>
        <w:tc>
          <w:tcPr>
            <w:tcW w:w="865"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18.8%</w:t>
            </w:r>
          </w:p>
        </w:tc>
        <w:tc>
          <w:tcPr>
            <w:tcW w:w="865"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19.6%</w:t>
            </w: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2</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25.9%</w:t>
            </w:r>
          </w:p>
        </w:tc>
        <w:tc>
          <w:tcPr>
            <w:tcW w:w="1011"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24.0%</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24.9%</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21.2%</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21.1%</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19.0%</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25.0%</w:t>
            </w:r>
          </w:p>
        </w:tc>
        <w:tc>
          <w:tcPr>
            <w:tcW w:w="992"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23.7%</w:t>
            </w:r>
          </w:p>
        </w:tc>
        <w:tc>
          <w:tcPr>
            <w:tcW w:w="993"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23.0%</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24.0%</w:t>
            </w:r>
          </w:p>
        </w:tc>
        <w:tc>
          <w:tcPr>
            <w:tcW w:w="865"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24.7%</w:t>
            </w:r>
          </w:p>
        </w:tc>
        <w:tc>
          <w:tcPr>
            <w:tcW w:w="865"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25.4%</w:t>
            </w: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3</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20.8%</w:t>
            </w:r>
          </w:p>
        </w:tc>
        <w:tc>
          <w:tcPr>
            <w:tcW w:w="1011"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21.9%</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20.2%</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17.7%</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19.5%</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19.6%</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21.9%</w:t>
            </w:r>
          </w:p>
        </w:tc>
        <w:tc>
          <w:tcPr>
            <w:tcW w:w="992"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22.5%</w:t>
            </w:r>
          </w:p>
        </w:tc>
        <w:tc>
          <w:tcPr>
            <w:tcW w:w="993"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23.1%</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22.0%</w:t>
            </w:r>
          </w:p>
        </w:tc>
        <w:tc>
          <w:tcPr>
            <w:tcW w:w="865"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22.1%</w:t>
            </w:r>
          </w:p>
        </w:tc>
        <w:tc>
          <w:tcPr>
            <w:tcW w:w="865"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22.8%</w:t>
            </w: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4</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17.3%</w:t>
            </w:r>
          </w:p>
        </w:tc>
        <w:tc>
          <w:tcPr>
            <w:tcW w:w="1011"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17.8%</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18.7%</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22.8%</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21.7%</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23.0%</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16.8%</w:t>
            </w:r>
          </w:p>
        </w:tc>
        <w:tc>
          <w:tcPr>
            <w:tcW w:w="992"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17.1%</w:t>
            </w:r>
          </w:p>
        </w:tc>
        <w:tc>
          <w:tcPr>
            <w:tcW w:w="993"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16.4%</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18.6%</w:t>
            </w:r>
          </w:p>
        </w:tc>
        <w:tc>
          <w:tcPr>
            <w:tcW w:w="865"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19.1%</w:t>
            </w:r>
          </w:p>
        </w:tc>
        <w:tc>
          <w:tcPr>
            <w:tcW w:w="865"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17.6%</w:t>
            </w: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hideMark/>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5-most deprived</w:t>
            </w:r>
          </w:p>
        </w:tc>
        <w:tc>
          <w:tcPr>
            <w:tcW w:w="993"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13.1%</w:t>
            </w:r>
          </w:p>
        </w:tc>
        <w:tc>
          <w:tcPr>
            <w:tcW w:w="1011"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13.5%</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14.3%</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23.3%</w:t>
            </w:r>
          </w:p>
        </w:tc>
        <w:tc>
          <w:tcPr>
            <w:tcW w:w="993"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22.5%</w:t>
            </w:r>
          </w:p>
        </w:tc>
        <w:tc>
          <w:tcPr>
            <w:tcW w:w="992"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23.3%</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12.6%</w:t>
            </w:r>
          </w:p>
        </w:tc>
        <w:tc>
          <w:tcPr>
            <w:tcW w:w="992"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14.2%</w:t>
            </w:r>
          </w:p>
        </w:tc>
        <w:tc>
          <w:tcPr>
            <w:tcW w:w="993"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15.4%</w:t>
            </w:r>
          </w:p>
        </w:tc>
        <w:tc>
          <w:tcPr>
            <w:tcW w:w="992" w:type="dxa"/>
            <w:tcBorders>
              <w:top w:val="nil"/>
              <w:left w:val="single" w:sz="4" w:space="0" w:color="auto"/>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15.4%</w:t>
            </w:r>
          </w:p>
        </w:tc>
        <w:tc>
          <w:tcPr>
            <w:tcW w:w="865" w:type="dxa"/>
            <w:tcBorders>
              <w:top w:val="nil"/>
              <w:left w:val="nil"/>
              <w:bottom w:val="nil"/>
              <w:right w:val="nil"/>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15.3%</w:t>
            </w:r>
          </w:p>
        </w:tc>
        <w:tc>
          <w:tcPr>
            <w:tcW w:w="865" w:type="dxa"/>
            <w:tcBorders>
              <w:top w:val="nil"/>
              <w:left w:val="nil"/>
              <w:bottom w:val="nil"/>
              <w:right w:val="single" w:sz="4" w:space="0" w:color="auto"/>
            </w:tcBorders>
            <w:shd w:val="clear" w:color="auto" w:fill="auto"/>
            <w:noWrap/>
            <w:vAlign w:val="center"/>
            <w:hideMark/>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14.6%</w:t>
            </w:r>
          </w:p>
        </w:tc>
      </w:tr>
      <w:tr w:rsidR="006C323E" w:rsidRPr="00560430" w:rsidTr="00CA7C4E">
        <w:trPr>
          <w:trHeight w:hRule="exact" w:val="113"/>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i/>
                <w:color w:val="000000"/>
                <w:sz w:val="20"/>
                <w:szCs w:val="20"/>
                <w:lang w:eastAsia="en-GB"/>
              </w:rPr>
            </w:pP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i/>
                <w:color w:val="000000"/>
                <w:sz w:val="20"/>
                <w:szCs w:val="20"/>
                <w:lang w:eastAsia="en-GB"/>
              </w:rPr>
              <w:t>Palliative Care</w:t>
            </w:r>
            <w:r w:rsidRPr="00560430">
              <w:rPr>
                <w:rFonts w:eastAsia="Times New Roman" w:cstheme="minorHAnsi"/>
                <w:color w:val="000000"/>
                <w:sz w:val="20"/>
                <w:szCs w:val="20"/>
                <w:lang w:eastAsia="en-GB"/>
              </w:rPr>
              <w:t xml:space="preserve">- </w:t>
            </w:r>
            <w:proofErr w:type="gramStart"/>
            <w:r w:rsidRPr="00560430">
              <w:rPr>
                <w:rFonts w:eastAsia="Times New Roman" w:cstheme="minorHAnsi"/>
                <w:color w:val="000000"/>
                <w:sz w:val="20"/>
                <w:szCs w:val="20"/>
                <w:lang w:eastAsia="en-GB"/>
              </w:rPr>
              <w:t>Yes(</w:t>
            </w:r>
            <w:proofErr w:type="gramEnd"/>
            <w:r w:rsidRPr="00560430">
              <w:rPr>
                <w:rFonts w:eastAsia="Times New Roman" w:cstheme="minorHAnsi"/>
                <w:color w:val="000000"/>
                <w:sz w:val="20"/>
                <w:szCs w:val="20"/>
                <w:lang w:eastAsia="en-GB"/>
              </w:rPr>
              <w:t>%)</w:t>
            </w: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57.6%</w:t>
            </w: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60.2%</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61.7%</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13.4%</w:t>
            </w: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17.3%</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22.6%</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16.1%</w:t>
            </w: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30.5%</w:t>
            </w: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41.4%</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13.0%</w:t>
            </w: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16.8%</w:t>
            </w: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24.2%</w:t>
            </w: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ind w:left="269" w:hanging="269"/>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QOF Codes</w:t>
            </w: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50.1%</w:t>
            </w: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52.1%</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52.1%</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8.4%</w:t>
            </w: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11.0%</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14.3%</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9.7%</w:t>
            </w: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17.3%</w:t>
            </w: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22.7%</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7.1%</w:t>
            </w: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9.8%</w:t>
            </w: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13.9%</w:t>
            </w:r>
          </w:p>
        </w:tc>
      </w:tr>
      <w:tr w:rsidR="006C323E" w:rsidRPr="00560430" w:rsidTr="00CA7C4E">
        <w:trPr>
          <w:trHeight w:val="227"/>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r w:rsidRPr="00560430">
              <w:rPr>
                <w:rFonts w:eastAsia="Times New Roman" w:cstheme="minorHAnsi"/>
                <w:color w:val="000000"/>
                <w:sz w:val="20"/>
                <w:szCs w:val="20"/>
                <w:lang w:eastAsia="en-GB"/>
              </w:rPr>
              <w:t xml:space="preserve">        Other Codes</w:t>
            </w: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7.5%</w:t>
            </w: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8.1%</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9.6%</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4.9%</w:t>
            </w: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6.4%</w:t>
            </w: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8.3%</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6.4%</w:t>
            </w: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13.2%</w:t>
            </w: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18.8%</w:t>
            </w: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5.9%</w:t>
            </w: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7.0%</w:t>
            </w: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10.3%</w:t>
            </w:r>
          </w:p>
        </w:tc>
      </w:tr>
      <w:tr w:rsidR="006C323E" w:rsidRPr="00560430" w:rsidTr="00CA7C4E">
        <w:trPr>
          <w:trHeight w:hRule="exact" w:val="113"/>
        </w:trPr>
        <w:tc>
          <w:tcPr>
            <w:tcW w:w="2263" w:type="dxa"/>
            <w:tcBorders>
              <w:top w:val="nil"/>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p>
        </w:tc>
        <w:tc>
          <w:tcPr>
            <w:tcW w:w="993"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p>
        </w:tc>
        <w:tc>
          <w:tcPr>
            <w:tcW w:w="1011"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3"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992" w:type="dxa"/>
            <w:tcBorders>
              <w:top w:val="nil"/>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c>
          <w:tcPr>
            <w:tcW w:w="865" w:type="dxa"/>
            <w:tcBorders>
              <w:top w:val="nil"/>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i/>
                <w:color w:val="000000"/>
                <w:sz w:val="20"/>
                <w:szCs w:val="20"/>
                <w:lang w:eastAsia="en-GB"/>
              </w:rPr>
            </w:pPr>
          </w:p>
        </w:tc>
      </w:tr>
      <w:tr w:rsidR="006C323E" w:rsidRPr="00560430" w:rsidTr="00CA7C4E">
        <w:trPr>
          <w:trHeight w:val="227"/>
        </w:trPr>
        <w:tc>
          <w:tcPr>
            <w:tcW w:w="2263" w:type="dxa"/>
            <w:tcBorders>
              <w:left w:val="single" w:sz="4" w:space="0" w:color="000000" w:themeColor="text1"/>
              <w:bottom w:val="nil"/>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i/>
                <w:color w:val="000000"/>
                <w:sz w:val="20"/>
                <w:szCs w:val="20"/>
                <w:lang w:eastAsia="en-GB"/>
              </w:rPr>
            </w:pPr>
            <w:r w:rsidRPr="00560430">
              <w:rPr>
                <w:rFonts w:eastAsia="Times New Roman" w:cstheme="minorHAnsi"/>
                <w:i/>
                <w:color w:val="000000"/>
                <w:sz w:val="20"/>
                <w:szCs w:val="20"/>
                <w:lang w:eastAsia="en-GB"/>
              </w:rPr>
              <w:t>Death</w:t>
            </w:r>
            <w:r>
              <w:rPr>
                <w:rFonts w:eastAsia="Times New Roman" w:cstheme="minorHAnsi"/>
                <w:i/>
                <w:color w:val="000000"/>
                <w:sz w:val="20"/>
                <w:szCs w:val="20"/>
                <w:lang w:eastAsia="en-GB"/>
              </w:rPr>
              <w:t xml:space="preserve"> in Hospital- </w:t>
            </w:r>
            <w:proofErr w:type="gramStart"/>
            <w:r>
              <w:rPr>
                <w:rFonts w:eastAsia="Times New Roman" w:cstheme="minorHAnsi"/>
                <w:color w:val="000000"/>
                <w:sz w:val="20"/>
                <w:szCs w:val="20"/>
                <w:lang w:eastAsia="en-GB"/>
              </w:rPr>
              <w:t>Yes</w:t>
            </w:r>
            <w:r w:rsidRPr="00561A15">
              <w:rPr>
                <w:rFonts w:eastAsia="Times New Roman" w:cstheme="minorHAnsi"/>
                <w:color w:val="000000"/>
                <w:sz w:val="20"/>
                <w:szCs w:val="20"/>
                <w:lang w:eastAsia="en-GB"/>
              </w:rPr>
              <w:t>(</w:t>
            </w:r>
            <w:proofErr w:type="gramEnd"/>
            <w:r w:rsidRPr="00561A15">
              <w:rPr>
                <w:rFonts w:eastAsia="Times New Roman" w:cstheme="minorHAnsi"/>
                <w:color w:val="000000"/>
                <w:sz w:val="20"/>
                <w:szCs w:val="20"/>
                <w:lang w:eastAsia="en-GB"/>
              </w:rPr>
              <w:t>%)</w:t>
            </w:r>
          </w:p>
        </w:tc>
        <w:tc>
          <w:tcPr>
            <w:tcW w:w="993" w:type="dxa"/>
            <w:tcBorders>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r w:rsidRPr="00560430">
              <w:rPr>
                <w:rFonts w:eastAsia="Times New Roman" w:cstheme="minorHAnsi"/>
                <w:bCs/>
                <w:color w:val="000000"/>
                <w:sz w:val="20"/>
                <w:szCs w:val="20"/>
                <w:lang w:eastAsia="en-GB"/>
              </w:rPr>
              <w:t>34.7%</w:t>
            </w:r>
          </w:p>
        </w:tc>
        <w:tc>
          <w:tcPr>
            <w:tcW w:w="1011" w:type="dxa"/>
            <w:tcBorders>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35.4%</w:t>
            </w:r>
          </w:p>
        </w:tc>
        <w:tc>
          <w:tcPr>
            <w:tcW w:w="992" w:type="dxa"/>
            <w:tcBorders>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28.9%</w:t>
            </w:r>
          </w:p>
        </w:tc>
        <w:tc>
          <w:tcPr>
            <w:tcW w:w="992" w:type="dxa"/>
            <w:tcBorders>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47.1%</w:t>
            </w:r>
          </w:p>
        </w:tc>
        <w:tc>
          <w:tcPr>
            <w:tcW w:w="993" w:type="dxa"/>
            <w:tcBorders>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51.9%</w:t>
            </w:r>
          </w:p>
        </w:tc>
        <w:tc>
          <w:tcPr>
            <w:tcW w:w="992" w:type="dxa"/>
            <w:tcBorders>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40.8%</w:t>
            </w:r>
          </w:p>
        </w:tc>
        <w:tc>
          <w:tcPr>
            <w:tcW w:w="992" w:type="dxa"/>
            <w:tcBorders>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23.7%</w:t>
            </w:r>
          </w:p>
        </w:tc>
        <w:tc>
          <w:tcPr>
            <w:tcW w:w="992" w:type="dxa"/>
            <w:tcBorders>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25.6%</w:t>
            </w:r>
          </w:p>
        </w:tc>
        <w:tc>
          <w:tcPr>
            <w:tcW w:w="993" w:type="dxa"/>
            <w:tcBorders>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20.5%</w:t>
            </w:r>
          </w:p>
        </w:tc>
        <w:tc>
          <w:tcPr>
            <w:tcW w:w="992" w:type="dxa"/>
            <w:tcBorders>
              <w:left w:val="single" w:sz="4" w:space="0" w:color="auto"/>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42.8%</w:t>
            </w:r>
          </w:p>
        </w:tc>
        <w:tc>
          <w:tcPr>
            <w:tcW w:w="865" w:type="dxa"/>
            <w:tcBorders>
              <w:left w:val="nil"/>
              <w:bottom w:val="nil"/>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48.5%</w:t>
            </w:r>
          </w:p>
        </w:tc>
        <w:tc>
          <w:tcPr>
            <w:tcW w:w="865" w:type="dxa"/>
            <w:tcBorders>
              <w:left w:val="nil"/>
              <w:bottom w:val="nil"/>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r w:rsidRPr="00560430">
              <w:rPr>
                <w:rFonts w:eastAsia="Times New Roman" w:cstheme="minorHAnsi"/>
                <w:color w:val="000000"/>
                <w:sz w:val="20"/>
                <w:szCs w:val="20"/>
                <w:lang w:eastAsia="en-GB"/>
              </w:rPr>
              <w:t>41.0%</w:t>
            </w:r>
          </w:p>
        </w:tc>
      </w:tr>
      <w:tr w:rsidR="006C323E" w:rsidRPr="00560430" w:rsidTr="00CA7C4E">
        <w:trPr>
          <w:trHeight w:hRule="exact" w:val="113"/>
        </w:trPr>
        <w:tc>
          <w:tcPr>
            <w:tcW w:w="2263" w:type="dxa"/>
            <w:tcBorders>
              <w:left w:val="single" w:sz="4" w:space="0" w:color="000000" w:themeColor="text1"/>
              <w:bottom w:val="single" w:sz="4" w:space="0" w:color="auto"/>
              <w:right w:val="single" w:sz="4" w:space="0" w:color="auto"/>
            </w:tcBorders>
            <w:shd w:val="clear" w:color="auto" w:fill="auto"/>
            <w:noWrap/>
            <w:vAlign w:val="bottom"/>
          </w:tcPr>
          <w:p w:rsidR="006C323E" w:rsidRPr="00560430" w:rsidRDefault="006C323E" w:rsidP="00CA7C4E">
            <w:pPr>
              <w:spacing w:line="240" w:lineRule="auto"/>
              <w:rPr>
                <w:rFonts w:eastAsia="Times New Roman" w:cstheme="minorHAnsi"/>
                <w:color w:val="000000"/>
                <w:sz w:val="20"/>
                <w:szCs w:val="20"/>
                <w:lang w:eastAsia="en-GB"/>
              </w:rPr>
            </w:pPr>
          </w:p>
        </w:tc>
        <w:tc>
          <w:tcPr>
            <w:tcW w:w="993" w:type="dxa"/>
            <w:tcBorders>
              <w:left w:val="single" w:sz="4" w:space="0" w:color="auto"/>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bCs/>
                <w:color w:val="000000"/>
                <w:sz w:val="20"/>
                <w:szCs w:val="20"/>
                <w:lang w:eastAsia="en-GB"/>
              </w:rPr>
            </w:pPr>
          </w:p>
        </w:tc>
        <w:tc>
          <w:tcPr>
            <w:tcW w:w="1011" w:type="dxa"/>
            <w:tcBorders>
              <w:left w:val="nil"/>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left w:val="nil"/>
              <w:bottom w:val="single" w:sz="4" w:space="0" w:color="auto"/>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left w:val="single" w:sz="4" w:space="0" w:color="auto"/>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3" w:type="dxa"/>
            <w:tcBorders>
              <w:left w:val="nil"/>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left w:val="nil"/>
              <w:bottom w:val="single" w:sz="4" w:space="0" w:color="auto"/>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left w:val="single" w:sz="4" w:space="0" w:color="auto"/>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left w:val="nil"/>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3" w:type="dxa"/>
            <w:tcBorders>
              <w:left w:val="nil"/>
              <w:bottom w:val="single" w:sz="4" w:space="0" w:color="auto"/>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992" w:type="dxa"/>
            <w:tcBorders>
              <w:left w:val="single" w:sz="4" w:space="0" w:color="auto"/>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865" w:type="dxa"/>
            <w:tcBorders>
              <w:left w:val="nil"/>
              <w:bottom w:val="single" w:sz="4" w:space="0" w:color="auto"/>
              <w:right w:val="nil"/>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c>
          <w:tcPr>
            <w:tcW w:w="865" w:type="dxa"/>
            <w:tcBorders>
              <w:left w:val="nil"/>
              <w:bottom w:val="single" w:sz="4" w:space="0" w:color="auto"/>
              <w:right w:val="single" w:sz="4" w:space="0" w:color="auto"/>
            </w:tcBorders>
            <w:shd w:val="clear" w:color="auto" w:fill="auto"/>
            <w:noWrap/>
            <w:vAlign w:val="center"/>
          </w:tcPr>
          <w:p w:rsidR="006C323E" w:rsidRPr="00560430" w:rsidRDefault="006C323E" w:rsidP="00CA7C4E">
            <w:pPr>
              <w:spacing w:line="240" w:lineRule="auto"/>
              <w:jc w:val="center"/>
              <w:rPr>
                <w:rFonts w:eastAsia="Times New Roman" w:cstheme="minorHAnsi"/>
                <w:color w:val="000000"/>
                <w:sz w:val="20"/>
                <w:szCs w:val="20"/>
                <w:lang w:eastAsia="en-GB"/>
              </w:rPr>
            </w:pPr>
          </w:p>
        </w:tc>
      </w:tr>
    </w:tbl>
    <w:p w:rsidR="006C323E" w:rsidRPr="00561A15" w:rsidRDefault="006C323E" w:rsidP="006C323E">
      <w:pPr>
        <w:rPr>
          <w:sz w:val="18"/>
          <w:szCs w:val="18"/>
        </w:rPr>
        <w:sectPr w:rsidR="006C323E" w:rsidRPr="00561A15" w:rsidSect="00CA7C4E">
          <w:pgSz w:w="16838" w:h="11906" w:orient="landscape"/>
          <w:pgMar w:top="1440" w:right="1440" w:bottom="1440" w:left="1440" w:header="708" w:footer="708" w:gutter="0"/>
          <w:cols w:space="708"/>
          <w:docGrid w:linePitch="360"/>
        </w:sectPr>
      </w:pPr>
      <w:r w:rsidRPr="00561A15">
        <w:rPr>
          <w:sz w:val="18"/>
          <w:szCs w:val="18"/>
        </w:rPr>
        <w:t xml:space="preserve">Index of Multiple Deprivation and </w:t>
      </w:r>
      <w:r>
        <w:rPr>
          <w:sz w:val="18"/>
          <w:szCs w:val="18"/>
        </w:rPr>
        <w:t>place of death</w:t>
      </w:r>
      <w:r w:rsidRPr="00561A15">
        <w:rPr>
          <w:sz w:val="18"/>
          <w:szCs w:val="18"/>
        </w:rPr>
        <w:t xml:space="preserve"> were available for 81% of deaths.</w:t>
      </w:r>
    </w:p>
    <w:p w:rsidR="006C323E" w:rsidRDefault="006C323E" w:rsidP="006C323E">
      <w:pPr>
        <w:pStyle w:val="Caption"/>
        <w:keepNext/>
      </w:pPr>
      <w:bookmarkStart w:id="9" w:name="_Ref486112265"/>
      <w:r>
        <w:lastRenderedPageBreak/>
        <w:t xml:space="preserve">Table </w:t>
      </w:r>
      <w:r w:rsidR="00B01833">
        <w:rPr>
          <w:noProof/>
        </w:rPr>
        <w:fldChar w:fldCharType="begin"/>
      </w:r>
      <w:r>
        <w:rPr>
          <w:noProof/>
        </w:rPr>
        <w:instrText xml:space="preserve"> SEQ Table \* ARABIC </w:instrText>
      </w:r>
      <w:r w:rsidR="00B01833">
        <w:rPr>
          <w:noProof/>
        </w:rPr>
        <w:fldChar w:fldCharType="separate"/>
      </w:r>
      <w:r>
        <w:rPr>
          <w:noProof/>
        </w:rPr>
        <w:t>2</w:t>
      </w:r>
      <w:r w:rsidR="00B01833">
        <w:rPr>
          <w:noProof/>
        </w:rPr>
        <w:fldChar w:fldCharType="end"/>
      </w:r>
      <w:bookmarkEnd w:id="9"/>
      <w:r>
        <w:t xml:space="preserve">: Proportions and changes in proportion of </w:t>
      </w:r>
      <w:proofErr w:type="gramStart"/>
      <w:r>
        <w:t>deaths  recorded</w:t>
      </w:r>
      <w:proofErr w:type="gramEnd"/>
      <w:r>
        <w:t xml:space="preserve"> as needing palliative care approach in primary care since April 2009-March 2010.</w:t>
      </w:r>
    </w:p>
    <w:tbl>
      <w:tblPr>
        <w:tblW w:w="5000" w:type="pct"/>
        <w:tblCellMar>
          <w:left w:w="28" w:type="dxa"/>
          <w:right w:w="28" w:type="dxa"/>
        </w:tblCellMar>
        <w:tblLook w:val="04A0" w:firstRow="1" w:lastRow="0" w:firstColumn="1" w:lastColumn="0" w:noHBand="0" w:noVBand="1"/>
      </w:tblPr>
      <w:tblGrid>
        <w:gridCol w:w="1567"/>
        <w:gridCol w:w="1284"/>
        <w:gridCol w:w="1000"/>
        <w:gridCol w:w="1284"/>
        <w:gridCol w:w="2000"/>
        <w:gridCol w:w="285"/>
        <w:gridCol w:w="1662"/>
      </w:tblGrid>
      <w:tr w:rsidR="006C323E" w:rsidTr="00CA7C4E">
        <w:tc>
          <w:tcPr>
            <w:tcW w:w="1555" w:type="dxa"/>
            <w:tcBorders>
              <w:top w:val="single" w:sz="4" w:space="0" w:color="auto"/>
              <w:left w:val="single" w:sz="4" w:space="0" w:color="auto"/>
              <w:right w:val="single" w:sz="4" w:space="0" w:color="000000" w:themeColor="text1"/>
            </w:tcBorders>
            <w:vAlign w:val="center"/>
          </w:tcPr>
          <w:p w:rsidR="006C323E" w:rsidRPr="00560430" w:rsidRDefault="006C323E" w:rsidP="00CA7C4E">
            <w:pPr>
              <w:spacing w:line="240" w:lineRule="auto"/>
              <w:jc w:val="center"/>
              <w:rPr>
                <w:rFonts w:cstheme="minorHAnsi"/>
                <w:sz w:val="20"/>
                <w:szCs w:val="20"/>
              </w:rPr>
            </w:pPr>
            <w:r w:rsidRPr="00560430">
              <w:rPr>
                <w:rFonts w:cstheme="minorHAnsi"/>
                <w:sz w:val="20"/>
                <w:szCs w:val="20"/>
              </w:rPr>
              <w:t>Year</w:t>
            </w:r>
          </w:p>
        </w:tc>
        <w:tc>
          <w:tcPr>
            <w:tcW w:w="1275" w:type="dxa"/>
            <w:vMerge w:val="restart"/>
            <w:tcBorders>
              <w:top w:val="single" w:sz="4" w:space="0" w:color="auto"/>
              <w:left w:val="single" w:sz="4" w:space="0" w:color="000000" w:themeColor="text1"/>
              <w:right w:val="single" w:sz="4" w:space="0" w:color="000000" w:themeColor="text1"/>
            </w:tcBorders>
          </w:tcPr>
          <w:p w:rsidR="006C323E" w:rsidRDefault="006C323E" w:rsidP="00CA7C4E">
            <w:pPr>
              <w:spacing w:line="240" w:lineRule="auto"/>
              <w:jc w:val="center"/>
              <w:rPr>
                <w:rFonts w:cstheme="minorHAnsi"/>
                <w:sz w:val="20"/>
                <w:szCs w:val="20"/>
              </w:rPr>
            </w:pPr>
            <w:r>
              <w:rPr>
                <w:rFonts w:cstheme="minorHAnsi"/>
                <w:sz w:val="20"/>
                <w:szCs w:val="20"/>
              </w:rPr>
              <w:t>Total Deaths</w:t>
            </w:r>
          </w:p>
        </w:tc>
        <w:tc>
          <w:tcPr>
            <w:tcW w:w="6186" w:type="dxa"/>
            <w:gridSpan w:val="5"/>
            <w:tcBorders>
              <w:top w:val="single" w:sz="4" w:space="0" w:color="auto"/>
              <w:left w:val="single" w:sz="4" w:space="0" w:color="000000" w:themeColor="text1"/>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r>
              <w:rPr>
                <w:rFonts w:cstheme="minorHAnsi"/>
                <w:sz w:val="20"/>
                <w:szCs w:val="20"/>
              </w:rPr>
              <w:t>Palliative Care Register</w:t>
            </w:r>
          </w:p>
        </w:tc>
      </w:tr>
      <w:tr w:rsidR="006C323E" w:rsidTr="00CA7C4E">
        <w:tc>
          <w:tcPr>
            <w:tcW w:w="1555" w:type="dxa"/>
            <w:tcBorders>
              <w:left w:val="single" w:sz="4" w:space="0" w:color="auto"/>
              <w:bottom w:val="single" w:sz="4" w:space="0" w:color="auto"/>
              <w:right w:val="single" w:sz="4" w:space="0" w:color="000000" w:themeColor="text1"/>
            </w:tcBorders>
            <w:vAlign w:val="center"/>
          </w:tcPr>
          <w:p w:rsidR="006C323E" w:rsidRPr="005B00A6" w:rsidRDefault="006C323E" w:rsidP="00CA7C4E">
            <w:pPr>
              <w:jc w:val="center"/>
              <w:rPr>
                <w:sz w:val="20"/>
                <w:szCs w:val="20"/>
              </w:rPr>
            </w:pPr>
          </w:p>
        </w:tc>
        <w:tc>
          <w:tcPr>
            <w:tcW w:w="1275" w:type="dxa"/>
            <w:vMerge/>
            <w:tcBorders>
              <w:left w:val="single" w:sz="4" w:space="0" w:color="000000" w:themeColor="text1"/>
              <w:bottom w:val="single" w:sz="4" w:space="0" w:color="auto"/>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top w:val="single" w:sz="4" w:space="0" w:color="000000" w:themeColor="text1"/>
              <w:left w:val="single" w:sz="4" w:space="0" w:color="000000" w:themeColor="text1"/>
              <w:bottom w:val="single" w:sz="4" w:space="0" w:color="auto"/>
            </w:tcBorders>
          </w:tcPr>
          <w:p w:rsidR="006C323E" w:rsidRPr="005B00A6" w:rsidRDefault="006C323E" w:rsidP="00CA7C4E">
            <w:pPr>
              <w:spacing w:line="240" w:lineRule="auto"/>
              <w:jc w:val="center"/>
              <w:rPr>
                <w:rFonts w:cstheme="minorHAnsi"/>
                <w:sz w:val="20"/>
                <w:szCs w:val="20"/>
              </w:rPr>
            </w:pPr>
            <w:r>
              <w:rPr>
                <w:rFonts w:cstheme="minorHAnsi"/>
                <w:sz w:val="20"/>
                <w:szCs w:val="20"/>
              </w:rPr>
              <w:t>Total</w:t>
            </w:r>
          </w:p>
        </w:tc>
        <w:tc>
          <w:tcPr>
            <w:tcW w:w="1275" w:type="dxa"/>
            <w:tcBorders>
              <w:top w:val="single" w:sz="4" w:space="0" w:color="000000" w:themeColor="text1"/>
              <w:bottom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Unadjusted Proportion</w:t>
            </w:r>
          </w:p>
        </w:tc>
        <w:tc>
          <w:tcPr>
            <w:tcW w:w="1985" w:type="dxa"/>
            <w:tcBorders>
              <w:top w:val="single" w:sz="4" w:space="0" w:color="000000" w:themeColor="text1"/>
              <w:bottom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Adjusted Proportion (95%CI)</w:t>
            </w:r>
          </w:p>
        </w:tc>
        <w:tc>
          <w:tcPr>
            <w:tcW w:w="1933" w:type="dxa"/>
            <w:gridSpan w:val="2"/>
            <w:tcBorders>
              <w:top w:val="single" w:sz="4" w:space="0" w:color="000000" w:themeColor="text1"/>
              <w:bottom w:val="single" w:sz="4" w:space="0" w:color="auto"/>
              <w:right w:val="single" w:sz="4" w:space="0" w:color="auto"/>
            </w:tcBorders>
          </w:tcPr>
          <w:p w:rsidR="006C323E" w:rsidRPr="005B00A6" w:rsidRDefault="00D02BA7" w:rsidP="00CA7C4E">
            <w:pPr>
              <w:spacing w:line="240" w:lineRule="auto"/>
              <w:jc w:val="center"/>
              <w:rPr>
                <w:rFonts w:cstheme="minorHAnsi"/>
                <w:sz w:val="20"/>
                <w:szCs w:val="20"/>
              </w:rPr>
            </w:pPr>
            <w:r>
              <w:rPr>
                <w:rFonts w:cstheme="minorHAnsi"/>
                <w:sz w:val="20"/>
                <w:szCs w:val="20"/>
              </w:rPr>
              <w:t>Changes in Proportion</w:t>
            </w:r>
            <w:r w:rsidR="006C323E" w:rsidRPr="005B00A6">
              <w:rPr>
                <w:rFonts w:cstheme="minorHAnsi"/>
                <w:sz w:val="20"/>
                <w:szCs w:val="20"/>
              </w:rPr>
              <w:t xml:space="preserve"> (95%CI)</w:t>
            </w:r>
          </w:p>
        </w:tc>
      </w:tr>
      <w:tr w:rsidR="006C323E" w:rsidTr="00CA7C4E">
        <w:trPr>
          <w:trHeight w:hRule="exact" w:val="113"/>
        </w:trPr>
        <w:tc>
          <w:tcPr>
            <w:tcW w:w="1555" w:type="dxa"/>
            <w:tcBorders>
              <w:top w:val="single" w:sz="4" w:space="0" w:color="auto"/>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top w:val="single" w:sz="4" w:space="0" w:color="auto"/>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Borders>
              <w:top w:val="single" w:sz="4" w:space="0" w:color="auto"/>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85" w:type="dxa"/>
            <w:tcBorders>
              <w:top w:val="single" w:sz="4" w:space="0" w:color="auto"/>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33" w:type="dxa"/>
            <w:gridSpan w:val="2"/>
            <w:tcBorders>
              <w:top w:val="single" w:sz="4" w:space="0" w:color="auto"/>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5811" w:type="dxa"/>
            <w:gridSpan w:val="5"/>
            <w:tcBorders>
              <w:top w:val="single" w:sz="4" w:space="0" w:color="000000" w:themeColor="text1"/>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Cancer</w:t>
            </w:r>
          </w:p>
        </w:tc>
        <w:tc>
          <w:tcPr>
            <w:tcW w:w="1650" w:type="dxa"/>
            <w:tcBorders>
              <w:top w:val="single" w:sz="4" w:space="0" w:color="000000" w:themeColor="text1"/>
              <w:left w:val="nil"/>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6799</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3913</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57.6%</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57.6</w:t>
            </w:r>
            <w:proofErr w:type="gramStart"/>
            <w:r w:rsidRPr="005B00A6">
              <w:rPr>
                <w:rFonts w:cstheme="minorHAnsi"/>
                <w:sz w:val="20"/>
                <w:szCs w:val="20"/>
              </w:rPr>
              <w:t>%(</w:t>
            </w:r>
            <w:proofErr w:type="gramEnd"/>
            <w:r w:rsidRPr="005B00A6">
              <w:rPr>
                <w:rFonts w:cstheme="minorHAnsi"/>
                <w:sz w:val="20"/>
                <w:szCs w:val="20"/>
              </w:rPr>
              <w:t>56.4,58.7%)</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0(ref)</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6386</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3845</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60.2%</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60.6</w:t>
            </w:r>
            <w:proofErr w:type="gramStart"/>
            <w:r w:rsidRPr="005B00A6">
              <w:rPr>
                <w:rFonts w:cstheme="minorHAnsi"/>
                <w:sz w:val="20"/>
                <w:szCs w:val="20"/>
              </w:rPr>
              <w:t>%(</w:t>
            </w:r>
            <w:proofErr w:type="gramEnd"/>
            <w:r w:rsidRPr="005B00A6">
              <w:rPr>
                <w:rFonts w:cstheme="minorHAnsi"/>
                <w:sz w:val="20"/>
                <w:szCs w:val="20"/>
              </w:rPr>
              <w:t>59.5,61.8%)</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2.97</w:t>
            </w:r>
            <w:proofErr w:type="gramStart"/>
            <w:r w:rsidRPr="005B00A6">
              <w:rPr>
                <w:rFonts w:cstheme="minorHAnsi"/>
                <w:sz w:val="20"/>
                <w:szCs w:val="20"/>
              </w:rPr>
              <w:t>%(</w:t>
            </w:r>
            <w:proofErr w:type="gramEnd"/>
            <w:r w:rsidRPr="005B00A6">
              <w:rPr>
                <w:rFonts w:cstheme="minorHAnsi"/>
                <w:sz w:val="20"/>
                <w:szCs w:val="20"/>
              </w:rPr>
              <w:t>1.33,4.62%)</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5483</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3381</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61.7%</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61.9</w:t>
            </w:r>
            <w:proofErr w:type="gramStart"/>
            <w:r w:rsidRPr="005B00A6">
              <w:rPr>
                <w:rFonts w:cstheme="minorHAnsi"/>
                <w:sz w:val="20"/>
                <w:szCs w:val="20"/>
              </w:rPr>
              <w:t>%(</w:t>
            </w:r>
            <w:proofErr w:type="gramEnd"/>
            <w:r w:rsidRPr="005B00A6">
              <w:rPr>
                <w:rFonts w:cstheme="minorHAnsi"/>
                <w:sz w:val="20"/>
                <w:szCs w:val="20"/>
              </w:rPr>
              <w:t>60.6,63.2%)</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4.44</w:t>
            </w:r>
            <w:proofErr w:type="gramStart"/>
            <w:r w:rsidRPr="005B00A6">
              <w:rPr>
                <w:rFonts w:cstheme="minorHAnsi"/>
                <w:sz w:val="20"/>
                <w:szCs w:val="20"/>
              </w:rPr>
              <w:t>%(</w:t>
            </w:r>
            <w:proofErr w:type="gramEnd"/>
            <w:r w:rsidRPr="005B00A6">
              <w:rPr>
                <w:rFonts w:cstheme="minorHAnsi"/>
                <w:sz w:val="20"/>
                <w:szCs w:val="20"/>
              </w:rPr>
              <w:t>2.74,6.14%)</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Annual Change</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1.12</w:t>
            </w:r>
            <w:proofErr w:type="gramStart"/>
            <w:r w:rsidRPr="00061239">
              <w:rPr>
                <w:rFonts w:cstheme="minorHAnsi"/>
                <w:i/>
                <w:sz w:val="20"/>
                <w:szCs w:val="20"/>
              </w:rPr>
              <w:t>%(</w:t>
            </w:r>
            <w:proofErr w:type="gramEnd"/>
            <w:r w:rsidRPr="00061239">
              <w:rPr>
                <w:rFonts w:cstheme="minorHAnsi"/>
                <w:i/>
                <w:sz w:val="20"/>
                <w:szCs w:val="20"/>
              </w:rPr>
              <w:t>0.70,1.54%)</w:t>
            </w: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bottom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Borders>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85" w:type="dxa"/>
            <w:tcBorders>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33" w:type="dxa"/>
            <w:gridSpan w:val="2"/>
            <w:tcBorders>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5811" w:type="dxa"/>
            <w:gridSpan w:val="5"/>
            <w:tcBorders>
              <w:top w:val="single" w:sz="4" w:space="0" w:color="000000" w:themeColor="text1"/>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COPD</w:t>
            </w:r>
          </w:p>
        </w:tc>
        <w:tc>
          <w:tcPr>
            <w:tcW w:w="1650" w:type="dxa"/>
            <w:tcBorders>
              <w:top w:val="single" w:sz="4" w:space="0" w:color="000000" w:themeColor="text1"/>
              <w:left w:val="nil"/>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1924</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257</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13.4%</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13.6</w:t>
            </w:r>
            <w:proofErr w:type="gramStart"/>
            <w:r w:rsidRPr="005B00A6">
              <w:rPr>
                <w:rFonts w:cstheme="minorHAnsi"/>
                <w:sz w:val="20"/>
                <w:szCs w:val="20"/>
              </w:rPr>
              <w:t>%(</w:t>
            </w:r>
            <w:proofErr w:type="gramEnd"/>
            <w:r w:rsidRPr="005B00A6">
              <w:rPr>
                <w:rFonts w:cstheme="minorHAnsi"/>
                <w:sz w:val="20"/>
                <w:szCs w:val="20"/>
              </w:rPr>
              <w:t>11.9,15.3%)</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0(ref)</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1872</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324</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17.3%</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17.5</w:t>
            </w:r>
            <w:proofErr w:type="gramStart"/>
            <w:r w:rsidRPr="005B00A6">
              <w:rPr>
                <w:rFonts w:cstheme="minorHAnsi"/>
                <w:sz w:val="20"/>
                <w:szCs w:val="20"/>
              </w:rPr>
              <w:t>%(</w:t>
            </w:r>
            <w:proofErr w:type="gramEnd"/>
            <w:r w:rsidRPr="005B00A6">
              <w:rPr>
                <w:rFonts w:cstheme="minorHAnsi"/>
                <w:sz w:val="20"/>
                <w:szCs w:val="20"/>
              </w:rPr>
              <w:t>15.4,19.6%)</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4.08</w:t>
            </w:r>
            <w:proofErr w:type="gramStart"/>
            <w:r w:rsidRPr="005B00A6">
              <w:rPr>
                <w:rFonts w:cstheme="minorHAnsi"/>
                <w:sz w:val="20"/>
                <w:szCs w:val="20"/>
              </w:rPr>
              <w:t>%(</w:t>
            </w:r>
            <w:proofErr w:type="gramEnd"/>
            <w:r w:rsidRPr="005B00A6">
              <w:rPr>
                <w:rFonts w:cstheme="minorHAnsi"/>
                <w:sz w:val="20"/>
                <w:szCs w:val="20"/>
              </w:rPr>
              <w:t>1.82,6.34%)</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1630</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368</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22.6%</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21.2</w:t>
            </w:r>
            <w:proofErr w:type="gramStart"/>
            <w:r w:rsidRPr="005B00A6">
              <w:rPr>
                <w:rFonts w:cstheme="minorHAnsi"/>
                <w:sz w:val="20"/>
                <w:szCs w:val="20"/>
              </w:rPr>
              <w:t>%(</w:t>
            </w:r>
            <w:proofErr w:type="gramEnd"/>
            <w:r w:rsidRPr="005B00A6">
              <w:rPr>
                <w:rFonts w:cstheme="minorHAnsi"/>
                <w:sz w:val="20"/>
                <w:szCs w:val="20"/>
              </w:rPr>
              <w:t>19.2,23.3%)</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9.36</w:t>
            </w:r>
            <w:proofErr w:type="gramStart"/>
            <w:r w:rsidRPr="005B00A6">
              <w:rPr>
                <w:rFonts w:cstheme="minorHAnsi"/>
                <w:sz w:val="20"/>
                <w:szCs w:val="20"/>
              </w:rPr>
              <w:t>%(</w:t>
            </w:r>
            <w:proofErr w:type="gramEnd"/>
            <w:r w:rsidRPr="005B00A6">
              <w:rPr>
                <w:rFonts w:cstheme="minorHAnsi"/>
                <w:sz w:val="20"/>
                <w:szCs w:val="20"/>
              </w:rPr>
              <w:t>6.85,11.9%)</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Annual Change</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2.31</w:t>
            </w:r>
            <w:proofErr w:type="gramStart"/>
            <w:r w:rsidRPr="00061239">
              <w:rPr>
                <w:rFonts w:cstheme="minorHAnsi"/>
                <w:i/>
                <w:sz w:val="20"/>
                <w:szCs w:val="20"/>
              </w:rPr>
              <w:t>%(</w:t>
            </w:r>
            <w:proofErr w:type="gramEnd"/>
            <w:r w:rsidRPr="00061239">
              <w:rPr>
                <w:rFonts w:cstheme="minorHAnsi"/>
                <w:i/>
                <w:sz w:val="20"/>
                <w:szCs w:val="20"/>
              </w:rPr>
              <w:t>1.70,2.92%)</w:t>
            </w: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bottom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Borders>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85" w:type="dxa"/>
            <w:tcBorders>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33" w:type="dxa"/>
            <w:gridSpan w:val="2"/>
            <w:tcBorders>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5811" w:type="dxa"/>
            <w:gridSpan w:val="5"/>
            <w:tcBorders>
              <w:top w:val="single" w:sz="4" w:space="0" w:color="000000" w:themeColor="text1"/>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Dementia</w:t>
            </w:r>
          </w:p>
        </w:tc>
        <w:tc>
          <w:tcPr>
            <w:tcW w:w="1650" w:type="dxa"/>
            <w:tcBorders>
              <w:top w:val="single" w:sz="4" w:space="0" w:color="000000" w:themeColor="text1"/>
              <w:left w:val="nil"/>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2433</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391</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16.1%</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20.9</w:t>
            </w:r>
            <w:proofErr w:type="gramStart"/>
            <w:r w:rsidRPr="005B00A6">
              <w:rPr>
                <w:rFonts w:cstheme="minorHAnsi"/>
                <w:sz w:val="20"/>
                <w:szCs w:val="20"/>
              </w:rPr>
              <w:t>%(</w:t>
            </w:r>
            <w:proofErr w:type="gramEnd"/>
            <w:r w:rsidRPr="005B00A6">
              <w:rPr>
                <w:rFonts w:cstheme="minorHAnsi"/>
                <w:sz w:val="20"/>
                <w:szCs w:val="20"/>
              </w:rPr>
              <w:t>17.8,23.9%)</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0(ref)</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2474</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755</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30.5%</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37.5</w:t>
            </w:r>
            <w:proofErr w:type="gramStart"/>
            <w:r w:rsidRPr="005B00A6">
              <w:rPr>
                <w:rFonts w:cstheme="minorHAnsi"/>
                <w:sz w:val="20"/>
                <w:szCs w:val="20"/>
              </w:rPr>
              <w:t>%(</w:t>
            </w:r>
            <w:proofErr w:type="gramEnd"/>
            <w:r w:rsidRPr="005B00A6">
              <w:rPr>
                <w:rFonts w:cstheme="minorHAnsi"/>
                <w:sz w:val="20"/>
                <w:szCs w:val="20"/>
              </w:rPr>
              <w:t>33.8,41.1%)</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14.6</w:t>
            </w:r>
            <w:proofErr w:type="gramStart"/>
            <w:r w:rsidRPr="005B00A6">
              <w:rPr>
                <w:rFonts w:cstheme="minorHAnsi"/>
                <w:sz w:val="20"/>
                <w:szCs w:val="20"/>
              </w:rPr>
              <w:t>%(</w:t>
            </w:r>
            <w:proofErr w:type="gramEnd"/>
            <w:r w:rsidRPr="005B00A6">
              <w:rPr>
                <w:rFonts w:cstheme="minorHAnsi"/>
                <w:sz w:val="20"/>
                <w:szCs w:val="20"/>
              </w:rPr>
              <w:t>12.3,16.9%)</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2432</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1008</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41.4%</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40.7</w:t>
            </w:r>
            <w:proofErr w:type="gramStart"/>
            <w:r w:rsidRPr="005B00A6">
              <w:rPr>
                <w:rFonts w:cstheme="minorHAnsi"/>
                <w:sz w:val="20"/>
                <w:szCs w:val="20"/>
              </w:rPr>
              <w:t>%(</w:t>
            </w:r>
            <w:proofErr w:type="gramEnd"/>
            <w:r w:rsidRPr="005B00A6">
              <w:rPr>
                <w:rFonts w:cstheme="minorHAnsi"/>
                <w:sz w:val="20"/>
                <w:szCs w:val="20"/>
              </w:rPr>
              <w:t>37.2,44.2%)</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25.4</w:t>
            </w:r>
            <w:proofErr w:type="gramStart"/>
            <w:r w:rsidRPr="005B00A6">
              <w:rPr>
                <w:rFonts w:cstheme="minorHAnsi"/>
                <w:sz w:val="20"/>
                <w:szCs w:val="20"/>
              </w:rPr>
              <w:t>%(</w:t>
            </w:r>
            <w:proofErr w:type="gramEnd"/>
            <w:r w:rsidRPr="005B00A6">
              <w:rPr>
                <w:rFonts w:cstheme="minorHAnsi"/>
                <w:sz w:val="20"/>
                <w:szCs w:val="20"/>
              </w:rPr>
              <w:t>22.9,27.8%)</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Annual Change</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061239" w:rsidRDefault="006C323E" w:rsidP="00CA7C4E">
            <w:pPr>
              <w:spacing w:line="240" w:lineRule="auto"/>
              <w:jc w:val="center"/>
              <w:rPr>
                <w:rFonts w:cstheme="minorHAnsi"/>
                <w:i/>
                <w:sz w:val="20"/>
                <w:szCs w:val="20"/>
              </w:rPr>
            </w:pPr>
            <w:r w:rsidRPr="00061239">
              <w:rPr>
                <w:rFonts w:cstheme="minorHAnsi"/>
                <w:i/>
                <w:sz w:val="20"/>
                <w:szCs w:val="20"/>
              </w:rPr>
              <w:t>6.43</w:t>
            </w:r>
            <w:proofErr w:type="gramStart"/>
            <w:r w:rsidRPr="00061239">
              <w:rPr>
                <w:rFonts w:cstheme="minorHAnsi"/>
                <w:i/>
                <w:sz w:val="20"/>
                <w:szCs w:val="20"/>
              </w:rPr>
              <w:t>%(</w:t>
            </w:r>
            <w:proofErr w:type="gramEnd"/>
            <w:r w:rsidRPr="00061239">
              <w:rPr>
                <w:rFonts w:cstheme="minorHAnsi"/>
                <w:i/>
                <w:sz w:val="20"/>
                <w:szCs w:val="20"/>
              </w:rPr>
              <w:t>5.82,7.04%)</w:t>
            </w: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bottom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Borders>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85" w:type="dxa"/>
            <w:tcBorders>
              <w:bottom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933" w:type="dxa"/>
            <w:gridSpan w:val="2"/>
            <w:tcBorders>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5811" w:type="dxa"/>
            <w:gridSpan w:val="5"/>
            <w:tcBorders>
              <w:top w:val="single" w:sz="4" w:space="0" w:color="000000" w:themeColor="text1"/>
              <w:left w:val="single" w:sz="4" w:space="0" w:color="000000" w:themeColor="text1"/>
              <w:bottom w:val="single" w:sz="4" w:space="0" w:color="000000" w:themeColor="text1"/>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Heart Failure</w:t>
            </w:r>
          </w:p>
        </w:tc>
        <w:tc>
          <w:tcPr>
            <w:tcW w:w="1650" w:type="dxa"/>
            <w:tcBorders>
              <w:top w:val="single" w:sz="4" w:space="0" w:color="000000" w:themeColor="text1"/>
              <w:left w:val="nil"/>
              <w:bottom w:val="single" w:sz="4" w:space="0" w:color="000000" w:themeColor="text1"/>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rPr>
          <w:trHeight w:hRule="exact" w:val="113"/>
        </w:trPr>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2429</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315</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13.0%</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12.6</w:t>
            </w:r>
            <w:proofErr w:type="gramStart"/>
            <w:r w:rsidRPr="005B00A6">
              <w:rPr>
                <w:rFonts w:cstheme="minorHAnsi"/>
                <w:sz w:val="20"/>
                <w:szCs w:val="20"/>
              </w:rPr>
              <w:t>%(</w:t>
            </w:r>
            <w:proofErr w:type="gramEnd"/>
            <w:r w:rsidRPr="005B00A6">
              <w:rPr>
                <w:rFonts w:cstheme="minorHAnsi"/>
                <w:sz w:val="20"/>
                <w:szCs w:val="20"/>
              </w:rPr>
              <w:t>10.7,14.4%)</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0(ref)</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2152</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361</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16.8%</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15.0</w:t>
            </w:r>
            <w:proofErr w:type="gramStart"/>
            <w:r w:rsidRPr="005B00A6">
              <w:rPr>
                <w:rFonts w:cstheme="minorHAnsi"/>
                <w:sz w:val="20"/>
                <w:szCs w:val="20"/>
              </w:rPr>
              <w:t>%(</w:t>
            </w:r>
            <w:proofErr w:type="gramEnd"/>
            <w:r w:rsidRPr="005B00A6">
              <w:rPr>
                <w:rFonts w:cstheme="minorHAnsi"/>
                <w:sz w:val="20"/>
                <w:szCs w:val="20"/>
              </w:rPr>
              <w:t>12.8,17.2%)</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3.26</w:t>
            </w:r>
            <w:proofErr w:type="gramStart"/>
            <w:r w:rsidRPr="005B00A6">
              <w:rPr>
                <w:rFonts w:cstheme="minorHAnsi"/>
                <w:sz w:val="20"/>
                <w:szCs w:val="20"/>
              </w:rPr>
              <w:t>%(</w:t>
            </w:r>
            <w:proofErr w:type="gramEnd"/>
            <w:r w:rsidRPr="005B00A6">
              <w:rPr>
                <w:rFonts w:cstheme="minorHAnsi"/>
                <w:sz w:val="20"/>
                <w:szCs w:val="20"/>
              </w:rPr>
              <w:t>1.20,5.32%)</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1828</w:t>
            </w: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443</w:t>
            </w:r>
          </w:p>
        </w:tc>
        <w:tc>
          <w:tcPr>
            <w:tcW w:w="127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24.2%</w:t>
            </w:r>
          </w:p>
        </w:tc>
        <w:tc>
          <w:tcPr>
            <w:tcW w:w="1985" w:type="dxa"/>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21.2</w:t>
            </w:r>
            <w:proofErr w:type="gramStart"/>
            <w:r w:rsidRPr="005B00A6">
              <w:rPr>
                <w:rFonts w:cstheme="minorHAnsi"/>
                <w:sz w:val="20"/>
                <w:szCs w:val="20"/>
              </w:rPr>
              <w:t>%(</w:t>
            </w:r>
            <w:proofErr w:type="gramEnd"/>
            <w:r w:rsidRPr="005B00A6">
              <w:rPr>
                <w:rFonts w:cstheme="minorHAnsi"/>
                <w:sz w:val="20"/>
                <w:szCs w:val="20"/>
              </w:rPr>
              <w:t>18.7,23.8%)</w:t>
            </w: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10.7</w:t>
            </w:r>
            <w:proofErr w:type="gramStart"/>
            <w:r w:rsidRPr="005B00A6">
              <w:rPr>
                <w:rFonts w:cstheme="minorHAnsi"/>
                <w:sz w:val="20"/>
                <w:szCs w:val="20"/>
              </w:rPr>
              <w:t>%(</w:t>
            </w:r>
            <w:proofErr w:type="gramEnd"/>
            <w:r w:rsidRPr="005B00A6">
              <w:rPr>
                <w:rFonts w:cstheme="minorHAnsi"/>
                <w:sz w:val="20"/>
                <w:szCs w:val="20"/>
              </w:rPr>
              <w:t>8.38,13.1%)</w:t>
            </w:r>
          </w:p>
        </w:tc>
      </w:tr>
      <w:tr w:rsidR="006C323E" w:rsidTr="00CA7C4E">
        <w:tc>
          <w:tcPr>
            <w:tcW w:w="1555" w:type="dxa"/>
            <w:tcBorders>
              <w:left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Annual Change</w:t>
            </w:r>
          </w:p>
        </w:tc>
        <w:tc>
          <w:tcPr>
            <w:tcW w:w="1275" w:type="dxa"/>
            <w:tcBorders>
              <w:left w:val="single" w:sz="4" w:space="0" w:color="000000" w:themeColor="text1"/>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1275" w:type="dxa"/>
          </w:tcPr>
          <w:p w:rsidR="006C323E" w:rsidRPr="005B00A6" w:rsidRDefault="006C323E" w:rsidP="00CA7C4E">
            <w:pPr>
              <w:spacing w:line="240" w:lineRule="auto"/>
              <w:jc w:val="center"/>
              <w:rPr>
                <w:rFonts w:cstheme="minorHAnsi"/>
                <w:sz w:val="20"/>
                <w:szCs w:val="20"/>
              </w:rPr>
            </w:pPr>
          </w:p>
        </w:tc>
        <w:tc>
          <w:tcPr>
            <w:tcW w:w="1985" w:type="dxa"/>
          </w:tcPr>
          <w:p w:rsidR="006C323E" w:rsidRPr="005B00A6" w:rsidRDefault="006C323E" w:rsidP="00CA7C4E">
            <w:pPr>
              <w:spacing w:line="240" w:lineRule="auto"/>
              <w:jc w:val="center"/>
              <w:rPr>
                <w:rFonts w:cstheme="minorHAnsi"/>
                <w:sz w:val="20"/>
                <w:szCs w:val="20"/>
              </w:rPr>
            </w:pPr>
          </w:p>
        </w:tc>
        <w:tc>
          <w:tcPr>
            <w:tcW w:w="1933" w:type="dxa"/>
            <w:gridSpan w:val="2"/>
            <w:tcBorders>
              <w:right w:val="single" w:sz="4" w:space="0" w:color="auto"/>
            </w:tcBorders>
          </w:tcPr>
          <w:p w:rsidR="006C323E" w:rsidRPr="005B00A6" w:rsidRDefault="006C323E" w:rsidP="00CA7C4E">
            <w:pPr>
              <w:spacing w:line="240" w:lineRule="auto"/>
              <w:jc w:val="center"/>
              <w:rPr>
                <w:rFonts w:cstheme="minorHAnsi"/>
                <w:sz w:val="20"/>
                <w:szCs w:val="20"/>
              </w:rPr>
            </w:pPr>
            <w:r w:rsidRPr="00061239">
              <w:rPr>
                <w:rFonts w:cstheme="minorHAnsi"/>
                <w:i/>
                <w:sz w:val="20"/>
                <w:szCs w:val="20"/>
              </w:rPr>
              <w:t>2.56</w:t>
            </w:r>
            <w:proofErr w:type="gramStart"/>
            <w:r w:rsidRPr="00061239">
              <w:rPr>
                <w:rFonts w:cstheme="minorHAnsi"/>
                <w:i/>
                <w:sz w:val="20"/>
                <w:szCs w:val="20"/>
              </w:rPr>
              <w:t>%(</w:t>
            </w:r>
            <w:proofErr w:type="gramEnd"/>
            <w:r w:rsidRPr="00061239">
              <w:rPr>
                <w:rFonts w:cstheme="minorHAnsi"/>
                <w:i/>
                <w:sz w:val="20"/>
                <w:szCs w:val="20"/>
              </w:rPr>
              <w:t>1.99,3.12%)</w:t>
            </w:r>
          </w:p>
        </w:tc>
      </w:tr>
      <w:tr w:rsidR="006C323E" w:rsidTr="00CA7C4E">
        <w:trPr>
          <w:trHeight w:hRule="exact" w:val="113"/>
        </w:trPr>
        <w:tc>
          <w:tcPr>
            <w:tcW w:w="1555" w:type="dxa"/>
            <w:tcBorders>
              <w:left w:val="single" w:sz="4" w:space="0" w:color="auto"/>
              <w:bottom w:val="single" w:sz="4" w:space="0" w:color="auto"/>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p>
        </w:tc>
        <w:tc>
          <w:tcPr>
            <w:tcW w:w="1275" w:type="dxa"/>
            <w:tcBorders>
              <w:left w:val="single" w:sz="4" w:space="0" w:color="000000" w:themeColor="text1"/>
              <w:bottom w:val="single" w:sz="4" w:space="0" w:color="auto"/>
              <w:right w:val="single" w:sz="4" w:space="0" w:color="000000" w:themeColor="text1"/>
            </w:tcBorders>
          </w:tcPr>
          <w:p w:rsidR="006C323E" w:rsidRPr="005B00A6" w:rsidRDefault="006C323E" w:rsidP="00CA7C4E">
            <w:pPr>
              <w:spacing w:line="240" w:lineRule="auto"/>
              <w:jc w:val="center"/>
              <w:rPr>
                <w:rFonts w:cstheme="minorHAnsi"/>
                <w:sz w:val="20"/>
                <w:szCs w:val="20"/>
              </w:rPr>
            </w:pPr>
          </w:p>
        </w:tc>
        <w:tc>
          <w:tcPr>
            <w:tcW w:w="993" w:type="dxa"/>
            <w:tcBorders>
              <w:left w:val="single" w:sz="4" w:space="0" w:color="000000" w:themeColor="text1"/>
              <w:bottom w:val="single" w:sz="4" w:space="0" w:color="auto"/>
            </w:tcBorders>
          </w:tcPr>
          <w:p w:rsidR="006C323E" w:rsidRPr="005B00A6" w:rsidRDefault="006C323E" w:rsidP="00CA7C4E">
            <w:pPr>
              <w:spacing w:line="240" w:lineRule="auto"/>
              <w:jc w:val="center"/>
              <w:rPr>
                <w:rFonts w:cstheme="minorHAnsi"/>
                <w:sz w:val="20"/>
                <w:szCs w:val="20"/>
              </w:rPr>
            </w:pPr>
          </w:p>
        </w:tc>
        <w:tc>
          <w:tcPr>
            <w:tcW w:w="1275" w:type="dxa"/>
            <w:tcBorders>
              <w:bottom w:val="single" w:sz="4" w:space="0" w:color="auto"/>
            </w:tcBorders>
          </w:tcPr>
          <w:p w:rsidR="006C323E" w:rsidRPr="005B00A6" w:rsidRDefault="006C323E" w:rsidP="00CA7C4E">
            <w:pPr>
              <w:spacing w:line="240" w:lineRule="auto"/>
              <w:jc w:val="center"/>
              <w:rPr>
                <w:rFonts w:cstheme="minorHAnsi"/>
                <w:sz w:val="20"/>
                <w:szCs w:val="20"/>
              </w:rPr>
            </w:pPr>
          </w:p>
        </w:tc>
        <w:tc>
          <w:tcPr>
            <w:tcW w:w="1985" w:type="dxa"/>
            <w:tcBorders>
              <w:bottom w:val="single" w:sz="4" w:space="0" w:color="auto"/>
            </w:tcBorders>
          </w:tcPr>
          <w:p w:rsidR="006C323E" w:rsidRPr="005B00A6" w:rsidRDefault="006C323E" w:rsidP="00CA7C4E">
            <w:pPr>
              <w:spacing w:line="240" w:lineRule="auto"/>
              <w:jc w:val="center"/>
              <w:rPr>
                <w:rFonts w:cstheme="minorHAnsi"/>
                <w:sz w:val="20"/>
                <w:szCs w:val="20"/>
              </w:rPr>
            </w:pPr>
          </w:p>
        </w:tc>
        <w:tc>
          <w:tcPr>
            <w:tcW w:w="1933" w:type="dxa"/>
            <w:gridSpan w:val="2"/>
            <w:tcBorders>
              <w:bottom w:val="single" w:sz="4" w:space="0" w:color="auto"/>
              <w:right w:val="single" w:sz="4" w:space="0" w:color="auto"/>
            </w:tcBorders>
          </w:tcPr>
          <w:p w:rsidR="006C323E" w:rsidRPr="005B00A6" w:rsidRDefault="006C323E" w:rsidP="00CA7C4E">
            <w:pPr>
              <w:spacing w:line="240" w:lineRule="auto"/>
              <w:jc w:val="center"/>
              <w:rPr>
                <w:rFonts w:cstheme="minorHAnsi"/>
                <w:sz w:val="20"/>
                <w:szCs w:val="20"/>
              </w:rPr>
            </w:pPr>
          </w:p>
        </w:tc>
      </w:tr>
    </w:tbl>
    <w:p w:rsidR="006C323E" w:rsidRPr="007E7360" w:rsidRDefault="006C323E" w:rsidP="006C323E">
      <w:pPr>
        <w:spacing w:line="240" w:lineRule="auto"/>
      </w:pPr>
      <w:r>
        <w:rPr>
          <w:sz w:val="18"/>
          <w:szCs w:val="18"/>
        </w:rPr>
        <w:t>A</w:t>
      </w:r>
      <w:r w:rsidRPr="008B1A8D">
        <w:rPr>
          <w:sz w:val="18"/>
          <w:szCs w:val="18"/>
        </w:rPr>
        <w:t xml:space="preserve">djusted proportions were standardised to the age- and sex- distribution of persons with cancer who died between April 2009 and March 2010.  </w:t>
      </w:r>
      <w:r w:rsidR="00D02BA7">
        <w:rPr>
          <w:sz w:val="18"/>
          <w:szCs w:val="18"/>
        </w:rPr>
        <w:t>Changes in proportions</w:t>
      </w:r>
      <w:r w:rsidRPr="008B1A8D">
        <w:rPr>
          <w:sz w:val="18"/>
          <w:szCs w:val="18"/>
        </w:rPr>
        <w:t xml:space="preserve"> and 95% confidence intervals (95%CI) </w:t>
      </w:r>
      <w:r>
        <w:rPr>
          <w:sz w:val="18"/>
          <w:szCs w:val="18"/>
        </w:rPr>
        <w:t xml:space="preserve">were </w:t>
      </w:r>
      <w:r w:rsidRPr="008B1A8D">
        <w:rPr>
          <w:sz w:val="18"/>
          <w:szCs w:val="18"/>
        </w:rPr>
        <w:t xml:space="preserve">estimated using binomial regression adjusted for age, sex and index of multiple deprivation. </w:t>
      </w:r>
    </w:p>
    <w:p w:rsidR="006C323E" w:rsidRPr="00061A27" w:rsidRDefault="006C323E" w:rsidP="006C323E">
      <w:pPr>
        <w:spacing w:line="240" w:lineRule="auto"/>
        <w:rPr>
          <w:rFonts w:eastAsia="Times New Roman" w:cs="Times New Roman"/>
          <w:color w:val="000000"/>
          <w:sz w:val="20"/>
          <w:szCs w:val="20"/>
          <w:lang w:eastAsia="en-GB"/>
        </w:rPr>
        <w:sectPr w:rsidR="006C323E" w:rsidRPr="00061A27" w:rsidSect="00CA7C4E">
          <w:pgSz w:w="11906" w:h="16838"/>
          <w:pgMar w:top="1440" w:right="1440" w:bottom="1440" w:left="1440" w:header="708" w:footer="708" w:gutter="0"/>
          <w:cols w:space="708"/>
          <w:docGrid w:linePitch="360"/>
        </w:sectPr>
      </w:pPr>
    </w:p>
    <w:p w:rsidR="006C323E" w:rsidRDefault="006C323E" w:rsidP="006C323E">
      <w:pPr>
        <w:pStyle w:val="Caption"/>
        <w:keepNext/>
      </w:pPr>
      <w:bookmarkStart w:id="10" w:name="_Ref487107636"/>
      <w:r>
        <w:lastRenderedPageBreak/>
        <w:t xml:space="preserve">Table </w:t>
      </w:r>
      <w:r w:rsidR="00B01833">
        <w:rPr>
          <w:noProof/>
        </w:rPr>
        <w:fldChar w:fldCharType="begin"/>
      </w:r>
      <w:r>
        <w:rPr>
          <w:noProof/>
        </w:rPr>
        <w:instrText xml:space="preserve"> SEQ Table \* ARABIC </w:instrText>
      </w:r>
      <w:r w:rsidR="00B01833">
        <w:rPr>
          <w:noProof/>
        </w:rPr>
        <w:fldChar w:fldCharType="separate"/>
      </w:r>
      <w:r>
        <w:rPr>
          <w:noProof/>
        </w:rPr>
        <w:t>3</w:t>
      </w:r>
      <w:r w:rsidR="00B01833">
        <w:rPr>
          <w:noProof/>
        </w:rPr>
        <w:fldChar w:fldCharType="end"/>
      </w:r>
      <w:bookmarkEnd w:id="10"/>
      <w:r>
        <w:t xml:space="preserve">: Changes in proportion of deaths in hospital since April 2009-March 2010 among all patients, and among those not recorded or recorded as needing palliative care.  </w:t>
      </w:r>
    </w:p>
    <w:tbl>
      <w:tblPr>
        <w:tblW w:w="5000" w:type="pct"/>
        <w:tblLayout w:type="fixed"/>
        <w:tblCellMar>
          <w:left w:w="11" w:type="dxa"/>
          <w:right w:w="11" w:type="dxa"/>
        </w:tblCellMar>
        <w:tblLook w:val="04A0" w:firstRow="1" w:lastRow="0" w:firstColumn="1" w:lastColumn="0" w:noHBand="0" w:noVBand="1"/>
      </w:tblPr>
      <w:tblGrid>
        <w:gridCol w:w="1562"/>
        <w:gridCol w:w="1135"/>
        <w:gridCol w:w="993"/>
        <w:gridCol w:w="1988"/>
        <w:gridCol w:w="1136"/>
        <w:gridCol w:w="994"/>
        <w:gridCol w:w="1988"/>
        <w:gridCol w:w="1136"/>
        <w:gridCol w:w="993"/>
        <w:gridCol w:w="2055"/>
      </w:tblGrid>
      <w:tr w:rsidR="006C323E" w:rsidTr="00D02BA7">
        <w:tc>
          <w:tcPr>
            <w:tcW w:w="1562" w:type="dxa"/>
            <w:tcBorders>
              <w:top w:val="single" w:sz="4" w:space="0" w:color="000000" w:themeColor="text1"/>
              <w:left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r>
              <w:rPr>
                <w:sz w:val="20"/>
                <w:szCs w:val="20"/>
              </w:rPr>
              <w:t>Year</w:t>
            </w:r>
          </w:p>
        </w:tc>
        <w:tc>
          <w:tcPr>
            <w:tcW w:w="41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r>
              <w:rPr>
                <w:sz w:val="20"/>
                <w:szCs w:val="20"/>
              </w:rPr>
              <w:t>Total</w:t>
            </w:r>
          </w:p>
        </w:tc>
        <w:tc>
          <w:tcPr>
            <w:tcW w:w="4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r>
              <w:rPr>
                <w:sz w:val="20"/>
                <w:szCs w:val="20"/>
              </w:rPr>
              <w:t>No Recording of Palliative Care</w:t>
            </w:r>
          </w:p>
        </w:tc>
        <w:tc>
          <w:tcPr>
            <w:tcW w:w="41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r>
              <w:rPr>
                <w:sz w:val="20"/>
                <w:szCs w:val="20"/>
              </w:rPr>
              <w:t>Recording of Palliative Care</w:t>
            </w:r>
          </w:p>
        </w:tc>
      </w:tr>
      <w:tr w:rsidR="006C323E" w:rsidTr="00D02BA7">
        <w:tc>
          <w:tcPr>
            <w:tcW w:w="1562" w:type="dxa"/>
            <w:tcBorders>
              <w:left w:val="single" w:sz="4" w:space="0" w:color="000000" w:themeColor="text1"/>
              <w:right w:val="single" w:sz="4" w:space="0" w:color="000000" w:themeColor="text1"/>
            </w:tcBorders>
          </w:tcPr>
          <w:p w:rsidR="006C323E" w:rsidRPr="00213FB0" w:rsidRDefault="006C323E" w:rsidP="00CA7C4E">
            <w:pPr>
              <w:spacing w:line="200" w:lineRule="exact"/>
              <w:rPr>
                <w:sz w:val="20"/>
                <w:szCs w:val="20"/>
              </w:rPr>
            </w:pPr>
          </w:p>
        </w:tc>
        <w:tc>
          <w:tcPr>
            <w:tcW w:w="1135" w:type="dxa"/>
            <w:tcBorders>
              <w:top w:val="single" w:sz="4" w:space="0" w:color="000000" w:themeColor="text1"/>
              <w:left w:val="single" w:sz="4" w:space="0" w:color="000000" w:themeColor="text1"/>
            </w:tcBorders>
          </w:tcPr>
          <w:p w:rsidR="006C323E" w:rsidRPr="00213FB0" w:rsidRDefault="006C323E" w:rsidP="00CA7C4E">
            <w:pPr>
              <w:spacing w:line="200" w:lineRule="exact"/>
              <w:jc w:val="center"/>
              <w:rPr>
                <w:sz w:val="20"/>
                <w:szCs w:val="20"/>
              </w:rPr>
            </w:pPr>
            <w:r>
              <w:rPr>
                <w:sz w:val="20"/>
                <w:szCs w:val="20"/>
              </w:rPr>
              <w:t>Deaths: Hospital/</w:t>
            </w:r>
            <w:r w:rsidRPr="00213FB0">
              <w:rPr>
                <w:sz w:val="20"/>
                <w:szCs w:val="20"/>
              </w:rPr>
              <w:t xml:space="preserve"> Total</w:t>
            </w:r>
          </w:p>
        </w:tc>
        <w:tc>
          <w:tcPr>
            <w:tcW w:w="993" w:type="dxa"/>
            <w:tcBorders>
              <w:top w:val="single" w:sz="4" w:space="0" w:color="000000" w:themeColor="text1"/>
            </w:tcBorders>
          </w:tcPr>
          <w:p w:rsidR="006C323E" w:rsidRPr="00213FB0" w:rsidRDefault="006C323E" w:rsidP="00CA7C4E">
            <w:pPr>
              <w:spacing w:line="200" w:lineRule="exact"/>
              <w:jc w:val="center"/>
              <w:rPr>
                <w:sz w:val="20"/>
                <w:szCs w:val="20"/>
              </w:rPr>
            </w:pPr>
            <w:r>
              <w:rPr>
                <w:sz w:val="20"/>
                <w:szCs w:val="20"/>
              </w:rPr>
              <w:t>Proportion</w:t>
            </w:r>
          </w:p>
        </w:tc>
        <w:tc>
          <w:tcPr>
            <w:tcW w:w="1988" w:type="dxa"/>
            <w:tcBorders>
              <w:top w:val="single" w:sz="4" w:space="0" w:color="000000" w:themeColor="text1"/>
              <w:right w:val="single" w:sz="4" w:space="0" w:color="000000" w:themeColor="text1"/>
            </w:tcBorders>
          </w:tcPr>
          <w:p w:rsidR="006C323E" w:rsidRDefault="00D02BA7" w:rsidP="00CA7C4E">
            <w:pPr>
              <w:spacing w:line="200" w:lineRule="exact"/>
              <w:jc w:val="center"/>
              <w:rPr>
                <w:sz w:val="20"/>
                <w:szCs w:val="20"/>
              </w:rPr>
            </w:pPr>
            <w:r>
              <w:rPr>
                <w:sz w:val="20"/>
                <w:szCs w:val="20"/>
              </w:rPr>
              <w:t>Change in Proportion</w:t>
            </w:r>
          </w:p>
          <w:p w:rsidR="006C323E" w:rsidRPr="00213FB0" w:rsidRDefault="006C323E" w:rsidP="00CA7C4E">
            <w:pPr>
              <w:spacing w:line="200" w:lineRule="exact"/>
              <w:jc w:val="center"/>
              <w:rPr>
                <w:sz w:val="20"/>
                <w:szCs w:val="20"/>
              </w:rPr>
            </w:pPr>
            <w:r w:rsidRPr="00213FB0">
              <w:rPr>
                <w:sz w:val="20"/>
                <w:szCs w:val="20"/>
              </w:rPr>
              <w:t>(95%CI)</w:t>
            </w:r>
          </w:p>
        </w:tc>
        <w:tc>
          <w:tcPr>
            <w:tcW w:w="1136" w:type="dxa"/>
            <w:tcBorders>
              <w:top w:val="single" w:sz="4" w:space="0" w:color="000000" w:themeColor="text1"/>
              <w:left w:val="single" w:sz="4" w:space="0" w:color="000000" w:themeColor="text1"/>
            </w:tcBorders>
          </w:tcPr>
          <w:p w:rsidR="006C323E" w:rsidRPr="00213FB0" w:rsidRDefault="006C323E" w:rsidP="00CA7C4E">
            <w:pPr>
              <w:spacing w:line="200" w:lineRule="exact"/>
              <w:jc w:val="center"/>
              <w:rPr>
                <w:sz w:val="20"/>
                <w:szCs w:val="20"/>
              </w:rPr>
            </w:pPr>
            <w:r>
              <w:rPr>
                <w:sz w:val="20"/>
                <w:szCs w:val="20"/>
              </w:rPr>
              <w:t>Deaths: Hospital/</w:t>
            </w:r>
            <w:r w:rsidRPr="00213FB0">
              <w:rPr>
                <w:sz w:val="20"/>
                <w:szCs w:val="20"/>
              </w:rPr>
              <w:t xml:space="preserve"> Total</w:t>
            </w:r>
          </w:p>
        </w:tc>
        <w:tc>
          <w:tcPr>
            <w:tcW w:w="994" w:type="dxa"/>
            <w:tcBorders>
              <w:top w:val="single" w:sz="4" w:space="0" w:color="000000" w:themeColor="text1"/>
            </w:tcBorders>
          </w:tcPr>
          <w:p w:rsidR="006C323E" w:rsidRPr="00213FB0" w:rsidRDefault="006C323E" w:rsidP="00CA7C4E">
            <w:pPr>
              <w:spacing w:line="200" w:lineRule="exact"/>
              <w:jc w:val="center"/>
              <w:rPr>
                <w:sz w:val="20"/>
                <w:szCs w:val="20"/>
              </w:rPr>
            </w:pPr>
            <w:r>
              <w:rPr>
                <w:sz w:val="20"/>
                <w:szCs w:val="20"/>
              </w:rPr>
              <w:t>Proportion</w:t>
            </w:r>
          </w:p>
        </w:tc>
        <w:tc>
          <w:tcPr>
            <w:tcW w:w="1988" w:type="dxa"/>
            <w:tcBorders>
              <w:top w:val="single" w:sz="4" w:space="0" w:color="000000" w:themeColor="text1"/>
              <w:right w:val="single" w:sz="4" w:space="0" w:color="000000" w:themeColor="text1"/>
            </w:tcBorders>
          </w:tcPr>
          <w:p w:rsidR="006C323E" w:rsidRDefault="00D02BA7" w:rsidP="00CA7C4E">
            <w:pPr>
              <w:spacing w:line="200" w:lineRule="exact"/>
              <w:jc w:val="center"/>
              <w:rPr>
                <w:sz w:val="20"/>
                <w:szCs w:val="20"/>
              </w:rPr>
            </w:pPr>
            <w:r>
              <w:rPr>
                <w:sz w:val="20"/>
                <w:szCs w:val="20"/>
              </w:rPr>
              <w:t>Change in Proportion</w:t>
            </w:r>
          </w:p>
          <w:p w:rsidR="006C323E" w:rsidRPr="00213FB0" w:rsidRDefault="006C323E" w:rsidP="00CA7C4E">
            <w:pPr>
              <w:spacing w:line="200" w:lineRule="exact"/>
              <w:jc w:val="center"/>
              <w:rPr>
                <w:sz w:val="20"/>
                <w:szCs w:val="20"/>
              </w:rPr>
            </w:pPr>
            <w:r w:rsidRPr="00213FB0">
              <w:rPr>
                <w:sz w:val="20"/>
                <w:szCs w:val="20"/>
              </w:rPr>
              <w:t>(95%CI)</w:t>
            </w:r>
          </w:p>
        </w:tc>
        <w:tc>
          <w:tcPr>
            <w:tcW w:w="1136" w:type="dxa"/>
            <w:tcBorders>
              <w:top w:val="single" w:sz="4" w:space="0" w:color="000000" w:themeColor="text1"/>
              <w:left w:val="single" w:sz="4" w:space="0" w:color="000000" w:themeColor="text1"/>
            </w:tcBorders>
          </w:tcPr>
          <w:p w:rsidR="006C323E" w:rsidRPr="00213FB0" w:rsidRDefault="006C323E" w:rsidP="00CA7C4E">
            <w:pPr>
              <w:spacing w:line="200" w:lineRule="exact"/>
              <w:jc w:val="center"/>
              <w:rPr>
                <w:sz w:val="20"/>
                <w:szCs w:val="20"/>
              </w:rPr>
            </w:pPr>
            <w:r>
              <w:rPr>
                <w:sz w:val="20"/>
                <w:szCs w:val="20"/>
              </w:rPr>
              <w:t>Deaths: Hospital/</w:t>
            </w:r>
            <w:r w:rsidRPr="00213FB0">
              <w:rPr>
                <w:sz w:val="20"/>
                <w:szCs w:val="20"/>
              </w:rPr>
              <w:t xml:space="preserve"> Total</w:t>
            </w:r>
          </w:p>
        </w:tc>
        <w:tc>
          <w:tcPr>
            <w:tcW w:w="993" w:type="dxa"/>
            <w:tcBorders>
              <w:top w:val="single" w:sz="4" w:space="0" w:color="000000" w:themeColor="text1"/>
            </w:tcBorders>
          </w:tcPr>
          <w:p w:rsidR="006C323E" w:rsidRPr="00213FB0" w:rsidRDefault="006C323E" w:rsidP="00CA7C4E">
            <w:pPr>
              <w:spacing w:line="200" w:lineRule="exact"/>
              <w:jc w:val="center"/>
              <w:rPr>
                <w:sz w:val="20"/>
                <w:szCs w:val="20"/>
              </w:rPr>
            </w:pPr>
            <w:r>
              <w:rPr>
                <w:sz w:val="20"/>
                <w:szCs w:val="20"/>
              </w:rPr>
              <w:t>Proportion</w:t>
            </w:r>
          </w:p>
        </w:tc>
        <w:tc>
          <w:tcPr>
            <w:tcW w:w="2055" w:type="dxa"/>
            <w:tcBorders>
              <w:top w:val="single" w:sz="4" w:space="0" w:color="000000" w:themeColor="text1"/>
              <w:right w:val="single" w:sz="4" w:space="0" w:color="000000" w:themeColor="text1"/>
            </w:tcBorders>
          </w:tcPr>
          <w:p w:rsidR="006C323E" w:rsidRDefault="00D02BA7" w:rsidP="00CA7C4E">
            <w:pPr>
              <w:spacing w:line="200" w:lineRule="exact"/>
              <w:jc w:val="center"/>
              <w:rPr>
                <w:sz w:val="20"/>
                <w:szCs w:val="20"/>
              </w:rPr>
            </w:pPr>
            <w:r>
              <w:rPr>
                <w:sz w:val="20"/>
                <w:szCs w:val="20"/>
              </w:rPr>
              <w:t>Change in Proportion</w:t>
            </w:r>
          </w:p>
          <w:p w:rsidR="006C323E" w:rsidRPr="00213FB0" w:rsidRDefault="006C323E" w:rsidP="00CA7C4E">
            <w:pPr>
              <w:spacing w:line="200" w:lineRule="exact"/>
              <w:jc w:val="center"/>
              <w:rPr>
                <w:sz w:val="20"/>
                <w:szCs w:val="20"/>
              </w:rPr>
            </w:pPr>
            <w:r w:rsidRPr="00213FB0">
              <w:rPr>
                <w:sz w:val="20"/>
                <w:szCs w:val="20"/>
              </w:rPr>
              <w:t>(95%CI)</w:t>
            </w:r>
          </w:p>
        </w:tc>
      </w:tr>
      <w:tr w:rsidR="006C323E" w:rsidTr="00D02BA7">
        <w:trPr>
          <w:trHeight w:hRule="exact" w:val="113"/>
        </w:trPr>
        <w:tc>
          <w:tcPr>
            <w:tcW w:w="1562" w:type="dxa"/>
            <w:tcBorders>
              <w:top w:val="single" w:sz="4" w:space="0" w:color="auto"/>
              <w:left w:val="single" w:sz="4" w:space="0" w:color="000000" w:themeColor="text1"/>
              <w:right w:val="single" w:sz="4" w:space="0" w:color="000000" w:themeColor="text1"/>
            </w:tcBorders>
          </w:tcPr>
          <w:p w:rsidR="006C323E" w:rsidRPr="00213FB0" w:rsidRDefault="006C323E" w:rsidP="00CA7C4E">
            <w:pPr>
              <w:spacing w:line="200" w:lineRule="exact"/>
              <w:rPr>
                <w:sz w:val="20"/>
                <w:szCs w:val="20"/>
              </w:rPr>
            </w:pPr>
          </w:p>
        </w:tc>
        <w:tc>
          <w:tcPr>
            <w:tcW w:w="1135" w:type="dxa"/>
            <w:tcBorders>
              <w:top w:val="single" w:sz="4" w:space="0" w:color="auto"/>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top w:val="single" w:sz="4" w:space="0" w:color="auto"/>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top w:val="single" w:sz="4" w:space="0" w:color="auto"/>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top w:val="single" w:sz="4" w:space="0" w:color="auto"/>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4" w:type="dxa"/>
            <w:tcBorders>
              <w:top w:val="single" w:sz="4" w:space="0" w:color="auto"/>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top w:val="single" w:sz="4" w:space="0" w:color="auto"/>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top w:val="single" w:sz="4" w:space="0" w:color="auto"/>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top w:val="single" w:sz="4" w:space="0" w:color="auto"/>
              <w:bottom w:val="single" w:sz="4" w:space="0" w:color="000000" w:themeColor="text1"/>
            </w:tcBorders>
          </w:tcPr>
          <w:p w:rsidR="006C323E" w:rsidRPr="00213FB0" w:rsidRDefault="006C323E" w:rsidP="00CA7C4E">
            <w:pPr>
              <w:spacing w:line="200" w:lineRule="exact"/>
              <w:jc w:val="center"/>
              <w:rPr>
                <w:sz w:val="20"/>
                <w:szCs w:val="20"/>
              </w:rPr>
            </w:pPr>
          </w:p>
        </w:tc>
        <w:tc>
          <w:tcPr>
            <w:tcW w:w="2055" w:type="dxa"/>
            <w:tcBorders>
              <w:top w:val="single" w:sz="4" w:space="0" w:color="auto"/>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r>
      <w:tr w:rsidR="006C323E" w:rsidTr="00D02BA7">
        <w:tc>
          <w:tcPr>
            <w:tcW w:w="1562" w:type="dxa"/>
            <w:tcBorders>
              <w:left w:val="single" w:sz="4" w:space="0" w:color="000000" w:themeColor="text1"/>
              <w:right w:val="single" w:sz="4" w:space="0" w:color="000000" w:themeColor="text1"/>
            </w:tcBorders>
            <w:vAlign w:val="center"/>
          </w:tcPr>
          <w:p w:rsidR="006C323E" w:rsidRDefault="006C323E" w:rsidP="00CA7C4E">
            <w:pPr>
              <w:spacing w:line="240" w:lineRule="auto"/>
              <w:rPr>
                <w:rFonts w:cstheme="minorHAnsi"/>
                <w:sz w:val="20"/>
                <w:szCs w:val="20"/>
              </w:rPr>
            </w:pPr>
          </w:p>
        </w:tc>
        <w:tc>
          <w:tcPr>
            <w:tcW w:w="12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323E" w:rsidRPr="00460BD9" w:rsidRDefault="006C323E" w:rsidP="00CA7C4E">
            <w:pPr>
              <w:spacing w:line="200" w:lineRule="exact"/>
              <w:jc w:val="center"/>
              <w:rPr>
                <w:i/>
                <w:sz w:val="20"/>
                <w:szCs w:val="20"/>
              </w:rPr>
            </w:pPr>
            <w:r w:rsidRPr="00460BD9">
              <w:rPr>
                <w:i/>
                <w:sz w:val="20"/>
                <w:szCs w:val="20"/>
              </w:rPr>
              <w:t>Cancer</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135"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1929/5565</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34.6%</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sidRPr="00213FB0">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1076/2371</w:t>
            </w:r>
          </w:p>
        </w:tc>
        <w:tc>
          <w:tcPr>
            <w:tcW w:w="994"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45.4%</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853/3194</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26.7%</w:t>
            </w:r>
          </w:p>
        </w:tc>
        <w:tc>
          <w:tcPr>
            <w:tcW w:w="2055"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1842/5200</w:t>
            </w:r>
          </w:p>
        </w:tc>
        <w:tc>
          <w:tcPr>
            <w:tcW w:w="993" w:type="dxa"/>
            <w:vAlign w:val="center"/>
          </w:tcPr>
          <w:p w:rsidR="006C323E" w:rsidRPr="00213FB0" w:rsidRDefault="006C323E" w:rsidP="00CA7C4E">
            <w:pPr>
              <w:spacing w:line="200" w:lineRule="exact"/>
              <w:jc w:val="center"/>
              <w:rPr>
                <w:sz w:val="20"/>
                <w:szCs w:val="20"/>
              </w:rPr>
            </w:pPr>
            <w:r>
              <w:rPr>
                <w:sz w:val="20"/>
                <w:szCs w:val="20"/>
              </w:rPr>
              <w:t>35.4%</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0.69</w:t>
            </w:r>
            <w:proofErr w:type="gramStart"/>
            <w:r>
              <w:rPr>
                <w:sz w:val="20"/>
                <w:szCs w:val="20"/>
              </w:rPr>
              <w:t>%(</w:t>
            </w:r>
            <w:proofErr w:type="gramEnd"/>
            <w:r>
              <w:rPr>
                <w:sz w:val="20"/>
                <w:szCs w:val="20"/>
              </w:rPr>
              <w:t>-1.11,2.49%)</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1033/2094</w:t>
            </w:r>
          </w:p>
        </w:tc>
        <w:tc>
          <w:tcPr>
            <w:tcW w:w="994" w:type="dxa"/>
            <w:vAlign w:val="center"/>
          </w:tcPr>
          <w:p w:rsidR="006C323E" w:rsidRPr="00213FB0" w:rsidRDefault="006C323E" w:rsidP="00CA7C4E">
            <w:pPr>
              <w:spacing w:line="200" w:lineRule="exact"/>
              <w:jc w:val="center"/>
              <w:rPr>
                <w:sz w:val="20"/>
                <w:szCs w:val="20"/>
              </w:rPr>
            </w:pPr>
            <w:r>
              <w:rPr>
                <w:sz w:val="20"/>
                <w:szCs w:val="20"/>
              </w:rPr>
              <w:t>50.7%</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5.33</w:t>
            </w:r>
            <w:proofErr w:type="gramStart"/>
            <w:r>
              <w:rPr>
                <w:sz w:val="20"/>
                <w:szCs w:val="20"/>
              </w:rPr>
              <w:t>%(</w:t>
            </w:r>
            <w:proofErr w:type="gramEnd"/>
            <w:r>
              <w:rPr>
                <w:sz w:val="20"/>
                <w:szCs w:val="20"/>
              </w:rPr>
              <w:t>2.41,8.26%)</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781/3106</w:t>
            </w:r>
          </w:p>
        </w:tc>
        <w:tc>
          <w:tcPr>
            <w:tcW w:w="993" w:type="dxa"/>
            <w:vAlign w:val="center"/>
          </w:tcPr>
          <w:p w:rsidR="006C323E" w:rsidRPr="00213FB0" w:rsidRDefault="006C323E" w:rsidP="00CA7C4E">
            <w:pPr>
              <w:spacing w:line="200" w:lineRule="exact"/>
              <w:jc w:val="center"/>
              <w:rPr>
                <w:sz w:val="20"/>
                <w:szCs w:val="20"/>
              </w:rPr>
            </w:pPr>
            <w:r>
              <w:rPr>
                <w:sz w:val="20"/>
                <w:szCs w:val="20"/>
              </w:rPr>
              <w:t>25.1%</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-1.47</w:t>
            </w:r>
            <w:proofErr w:type="gramStart"/>
            <w:r>
              <w:rPr>
                <w:sz w:val="20"/>
                <w:szCs w:val="20"/>
              </w:rPr>
              <w:t>%(</w:t>
            </w:r>
            <w:proofErr w:type="gramEnd"/>
            <w:r>
              <w:rPr>
                <w:sz w:val="20"/>
                <w:szCs w:val="20"/>
              </w:rPr>
              <w:t>-3.63,0.69%)</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1277/4426</w:t>
            </w:r>
          </w:p>
        </w:tc>
        <w:tc>
          <w:tcPr>
            <w:tcW w:w="993" w:type="dxa"/>
            <w:vAlign w:val="center"/>
          </w:tcPr>
          <w:p w:rsidR="006C323E" w:rsidRPr="00213FB0" w:rsidRDefault="006C323E" w:rsidP="00CA7C4E">
            <w:pPr>
              <w:spacing w:line="200" w:lineRule="exact"/>
              <w:jc w:val="center"/>
              <w:rPr>
                <w:sz w:val="20"/>
                <w:szCs w:val="20"/>
              </w:rPr>
            </w:pPr>
            <w:r>
              <w:rPr>
                <w:sz w:val="20"/>
                <w:szCs w:val="20"/>
              </w:rPr>
              <w:t>28.9%</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-5.69%(-7.73,-4.08%)</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727/1694</w:t>
            </w:r>
          </w:p>
        </w:tc>
        <w:tc>
          <w:tcPr>
            <w:tcW w:w="994" w:type="dxa"/>
            <w:vAlign w:val="center"/>
          </w:tcPr>
          <w:p w:rsidR="006C323E" w:rsidRPr="00213FB0" w:rsidRDefault="006C323E" w:rsidP="00CA7C4E">
            <w:pPr>
              <w:spacing w:line="200" w:lineRule="exact"/>
              <w:jc w:val="center"/>
              <w:rPr>
                <w:sz w:val="20"/>
                <w:szCs w:val="20"/>
              </w:rPr>
            </w:pPr>
            <w:r>
              <w:rPr>
                <w:sz w:val="20"/>
                <w:szCs w:val="20"/>
              </w:rPr>
              <w:t>42.9%</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-2.56</w:t>
            </w:r>
            <w:proofErr w:type="gramStart"/>
            <w:r>
              <w:rPr>
                <w:sz w:val="20"/>
                <w:szCs w:val="20"/>
              </w:rPr>
              <w:t>%(</w:t>
            </w:r>
            <w:proofErr w:type="gramEnd"/>
            <w:r>
              <w:rPr>
                <w:sz w:val="20"/>
                <w:szCs w:val="20"/>
              </w:rPr>
              <w:t>-5.65,0.53%)</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550/2732</w:t>
            </w:r>
          </w:p>
        </w:tc>
        <w:tc>
          <w:tcPr>
            <w:tcW w:w="993" w:type="dxa"/>
            <w:vAlign w:val="center"/>
          </w:tcPr>
          <w:p w:rsidR="006C323E" w:rsidRPr="00213FB0" w:rsidRDefault="006C323E" w:rsidP="00CA7C4E">
            <w:pPr>
              <w:spacing w:line="200" w:lineRule="exact"/>
              <w:jc w:val="center"/>
              <w:rPr>
                <w:sz w:val="20"/>
                <w:szCs w:val="20"/>
              </w:rPr>
            </w:pPr>
            <w:r>
              <w:rPr>
                <w:sz w:val="20"/>
                <w:szCs w:val="20"/>
              </w:rPr>
              <w:t>20.1%</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-6.32%(-8.47,-4.18%)</w:t>
            </w:r>
          </w:p>
        </w:tc>
      </w:tr>
      <w:tr w:rsidR="006C323E" w:rsidRPr="00B54F5E" w:rsidTr="00D02BA7">
        <w:tc>
          <w:tcPr>
            <w:tcW w:w="1562" w:type="dxa"/>
            <w:tcBorders>
              <w:left w:val="single" w:sz="4" w:space="0" w:color="000000" w:themeColor="text1"/>
              <w:right w:val="single" w:sz="4" w:space="0" w:color="000000" w:themeColor="text1"/>
            </w:tcBorders>
            <w:vAlign w:val="center"/>
          </w:tcPr>
          <w:p w:rsidR="006C323E" w:rsidRPr="00B54F5E" w:rsidRDefault="006C323E" w:rsidP="00CA7C4E">
            <w:pPr>
              <w:spacing w:line="240" w:lineRule="auto"/>
              <w:jc w:val="center"/>
              <w:rPr>
                <w:rFonts w:cstheme="minorHAnsi"/>
                <w:i/>
                <w:sz w:val="20"/>
                <w:szCs w:val="20"/>
              </w:rPr>
            </w:pPr>
            <w:r w:rsidRPr="00B54F5E">
              <w:rPr>
                <w:i/>
                <w:sz w:val="20"/>
                <w:szCs w:val="20"/>
              </w:rPr>
              <w:t>Annual Change</w:t>
            </w:r>
          </w:p>
        </w:tc>
        <w:tc>
          <w:tcPr>
            <w:tcW w:w="1135"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3" w:type="dxa"/>
            <w:vAlign w:val="center"/>
          </w:tcPr>
          <w:p w:rsidR="006C323E" w:rsidRPr="00B54F5E"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-1.43</w:t>
            </w:r>
            <w:proofErr w:type="gramStart"/>
            <w:r w:rsidRPr="00B54F5E">
              <w:rPr>
                <w:i/>
                <w:sz w:val="20"/>
                <w:szCs w:val="20"/>
              </w:rPr>
              <w:t>%(</w:t>
            </w:r>
            <w:proofErr w:type="gramEnd"/>
            <w:r w:rsidRPr="00B54F5E">
              <w:rPr>
                <w:i/>
                <w:sz w:val="20"/>
                <w:szCs w:val="20"/>
              </w:rPr>
              <w:t>-1.90,-0.97%)</w:t>
            </w:r>
          </w:p>
        </w:tc>
        <w:tc>
          <w:tcPr>
            <w:tcW w:w="1136"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4" w:type="dxa"/>
            <w:vAlign w:val="center"/>
          </w:tcPr>
          <w:p w:rsidR="006C323E" w:rsidRPr="00B54F5E"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-0.45</w:t>
            </w:r>
            <w:proofErr w:type="gramStart"/>
            <w:r w:rsidRPr="00B54F5E">
              <w:rPr>
                <w:i/>
                <w:sz w:val="20"/>
                <w:szCs w:val="20"/>
              </w:rPr>
              <w:t>%(</w:t>
            </w:r>
            <w:proofErr w:type="gramEnd"/>
            <w:r w:rsidRPr="00B54F5E">
              <w:rPr>
                <w:i/>
                <w:sz w:val="20"/>
                <w:szCs w:val="20"/>
              </w:rPr>
              <w:t>-1.23,0.32%)</w:t>
            </w:r>
          </w:p>
        </w:tc>
        <w:tc>
          <w:tcPr>
            <w:tcW w:w="1136"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3" w:type="dxa"/>
            <w:vAlign w:val="center"/>
          </w:tcPr>
          <w:p w:rsidR="006C323E" w:rsidRPr="00B54F5E" w:rsidRDefault="006C323E" w:rsidP="00CA7C4E">
            <w:pPr>
              <w:spacing w:line="200" w:lineRule="exact"/>
              <w:jc w:val="center"/>
              <w:rPr>
                <w:i/>
                <w:sz w:val="20"/>
                <w:szCs w:val="20"/>
              </w:rPr>
            </w:pPr>
          </w:p>
        </w:tc>
        <w:tc>
          <w:tcPr>
            <w:tcW w:w="2055"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-1.62</w:t>
            </w:r>
            <w:proofErr w:type="gramStart"/>
            <w:r w:rsidRPr="00B54F5E">
              <w:rPr>
                <w:i/>
                <w:sz w:val="20"/>
                <w:szCs w:val="20"/>
              </w:rPr>
              <w:t>%(</w:t>
            </w:r>
            <w:proofErr w:type="gramEnd"/>
            <w:r w:rsidRPr="00B54F5E">
              <w:rPr>
                <w:i/>
                <w:sz w:val="20"/>
                <w:szCs w:val="20"/>
              </w:rPr>
              <w:t>-2.19,-1.05%)</w:t>
            </w:r>
          </w:p>
        </w:tc>
      </w:tr>
      <w:tr w:rsidR="006C323E" w:rsidTr="00D02BA7">
        <w:trPr>
          <w:trHeight w:hRule="exact" w:val="113"/>
        </w:trPr>
        <w:tc>
          <w:tcPr>
            <w:tcW w:w="1562" w:type="dxa"/>
            <w:tcBorders>
              <w:left w:val="single" w:sz="4" w:space="0" w:color="000000" w:themeColor="text1"/>
              <w:right w:val="single" w:sz="4" w:space="0" w:color="000000" w:themeColor="text1"/>
            </w:tcBorders>
          </w:tcPr>
          <w:p w:rsidR="006C323E" w:rsidRPr="00213FB0" w:rsidRDefault="006C323E" w:rsidP="00CA7C4E">
            <w:pPr>
              <w:spacing w:line="200" w:lineRule="exact"/>
              <w:rPr>
                <w:sz w:val="20"/>
                <w:szCs w:val="20"/>
              </w:rPr>
            </w:pPr>
          </w:p>
        </w:tc>
        <w:tc>
          <w:tcPr>
            <w:tcW w:w="1135"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4"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2055"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r>
      <w:tr w:rsidR="006C323E" w:rsidTr="00D02BA7">
        <w:tc>
          <w:tcPr>
            <w:tcW w:w="1562" w:type="dxa"/>
            <w:tcBorders>
              <w:left w:val="single" w:sz="4" w:space="0" w:color="000000" w:themeColor="text1"/>
              <w:right w:val="single" w:sz="4" w:space="0" w:color="000000" w:themeColor="text1"/>
            </w:tcBorders>
            <w:vAlign w:val="center"/>
          </w:tcPr>
          <w:p w:rsidR="006C323E" w:rsidRDefault="006C323E" w:rsidP="00CA7C4E">
            <w:pPr>
              <w:spacing w:line="240" w:lineRule="auto"/>
              <w:rPr>
                <w:rFonts w:cstheme="minorHAnsi"/>
                <w:sz w:val="20"/>
                <w:szCs w:val="20"/>
              </w:rPr>
            </w:pPr>
          </w:p>
        </w:tc>
        <w:tc>
          <w:tcPr>
            <w:tcW w:w="12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323E" w:rsidRPr="00460BD9" w:rsidRDefault="006C323E" w:rsidP="00CA7C4E">
            <w:pPr>
              <w:spacing w:line="200" w:lineRule="exact"/>
              <w:jc w:val="center"/>
              <w:rPr>
                <w:i/>
                <w:sz w:val="20"/>
                <w:szCs w:val="20"/>
              </w:rPr>
            </w:pPr>
            <w:r w:rsidRPr="00460BD9">
              <w:rPr>
                <w:i/>
                <w:sz w:val="20"/>
                <w:szCs w:val="20"/>
              </w:rPr>
              <w:t>COPD</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135"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734/1557</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47.1%</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sidRPr="00213FB0">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672/1364</w:t>
            </w:r>
          </w:p>
        </w:tc>
        <w:tc>
          <w:tcPr>
            <w:tcW w:w="994"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49.3%</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62/193</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32.1%</w:t>
            </w:r>
          </w:p>
        </w:tc>
        <w:tc>
          <w:tcPr>
            <w:tcW w:w="2055"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795/1531</w:t>
            </w:r>
          </w:p>
        </w:tc>
        <w:tc>
          <w:tcPr>
            <w:tcW w:w="993" w:type="dxa"/>
            <w:vAlign w:val="center"/>
          </w:tcPr>
          <w:p w:rsidR="006C323E" w:rsidRPr="00213FB0" w:rsidRDefault="006C323E" w:rsidP="00CA7C4E">
            <w:pPr>
              <w:spacing w:line="200" w:lineRule="exact"/>
              <w:jc w:val="center"/>
              <w:rPr>
                <w:sz w:val="20"/>
                <w:szCs w:val="20"/>
              </w:rPr>
            </w:pPr>
            <w:r>
              <w:rPr>
                <w:sz w:val="20"/>
                <w:szCs w:val="20"/>
              </w:rPr>
              <w:t>51.9%</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4.75</w:t>
            </w:r>
            <w:proofErr w:type="gramStart"/>
            <w:r>
              <w:rPr>
                <w:sz w:val="20"/>
                <w:szCs w:val="20"/>
              </w:rPr>
              <w:t>%(</w:t>
            </w:r>
            <w:proofErr w:type="gramEnd"/>
            <w:r>
              <w:rPr>
                <w:sz w:val="20"/>
                <w:szCs w:val="20"/>
              </w:rPr>
              <w:t>1.23,8.28%)</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711/1272</w:t>
            </w:r>
          </w:p>
        </w:tc>
        <w:tc>
          <w:tcPr>
            <w:tcW w:w="994" w:type="dxa"/>
            <w:vAlign w:val="center"/>
          </w:tcPr>
          <w:p w:rsidR="006C323E" w:rsidRPr="00213FB0" w:rsidRDefault="006C323E" w:rsidP="00CA7C4E">
            <w:pPr>
              <w:spacing w:line="200" w:lineRule="exact"/>
              <w:jc w:val="center"/>
              <w:rPr>
                <w:sz w:val="20"/>
                <w:szCs w:val="20"/>
              </w:rPr>
            </w:pPr>
            <w:r>
              <w:rPr>
                <w:sz w:val="20"/>
                <w:szCs w:val="20"/>
              </w:rPr>
              <w:t>55.9%</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6.57</w:t>
            </w:r>
            <w:proofErr w:type="gramStart"/>
            <w:r>
              <w:rPr>
                <w:sz w:val="20"/>
                <w:szCs w:val="20"/>
              </w:rPr>
              <w:t>%(</w:t>
            </w:r>
            <w:proofErr w:type="gramEnd"/>
            <w:r>
              <w:rPr>
                <w:sz w:val="20"/>
                <w:szCs w:val="20"/>
              </w:rPr>
              <w:t>2.76,10.4%)</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84/259</w:t>
            </w:r>
          </w:p>
        </w:tc>
        <w:tc>
          <w:tcPr>
            <w:tcW w:w="993" w:type="dxa"/>
            <w:vAlign w:val="center"/>
          </w:tcPr>
          <w:p w:rsidR="006C323E" w:rsidRPr="00213FB0" w:rsidRDefault="006C323E" w:rsidP="00CA7C4E">
            <w:pPr>
              <w:spacing w:line="200" w:lineRule="exact"/>
              <w:jc w:val="center"/>
              <w:rPr>
                <w:sz w:val="20"/>
                <w:szCs w:val="20"/>
              </w:rPr>
            </w:pPr>
            <w:r>
              <w:rPr>
                <w:sz w:val="20"/>
                <w:szCs w:val="20"/>
              </w:rPr>
              <w:t>32.4%</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0.38</w:t>
            </w:r>
            <w:proofErr w:type="gramStart"/>
            <w:r>
              <w:rPr>
                <w:sz w:val="20"/>
                <w:szCs w:val="20"/>
              </w:rPr>
              <w:t>%(</w:t>
            </w:r>
            <w:proofErr w:type="gramEnd"/>
            <w:r>
              <w:rPr>
                <w:sz w:val="20"/>
                <w:szCs w:val="20"/>
              </w:rPr>
              <w:t>-8.36,9.11%)</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537/1315</w:t>
            </w:r>
          </w:p>
        </w:tc>
        <w:tc>
          <w:tcPr>
            <w:tcW w:w="993" w:type="dxa"/>
            <w:vAlign w:val="center"/>
          </w:tcPr>
          <w:p w:rsidR="006C323E" w:rsidRPr="00213FB0" w:rsidRDefault="006C323E" w:rsidP="00CA7C4E">
            <w:pPr>
              <w:spacing w:line="200" w:lineRule="exact"/>
              <w:jc w:val="center"/>
              <w:rPr>
                <w:sz w:val="20"/>
                <w:szCs w:val="20"/>
              </w:rPr>
            </w:pPr>
            <w:r>
              <w:rPr>
                <w:sz w:val="20"/>
                <w:szCs w:val="20"/>
              </w:rPr>
              <w:t>40.8%</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-6.25%(-9.88,-2.62%)</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456/1022</w:t>
            </w:r>
          </w:p>
        </w:tc>
        <w:tc>
          <w:tcPr>
            <w:tcW w:w="994" w:type="dxa"/>
            <w:vAlign w:val="center"/>
          </w:tcPr>
          <w:p w:rsidR="006C323E" w:rsidRPr="00213FB0" w:rsidRDefault="006C323E" w:rsidP="00CA7C4E">
            <w:pPr>
              <w:spacing w:line="200" w:lineRule="exact"/>
              <w:jc w:val="center"/>
              <w:rPr>
                <w:sz w:val="20"/>
                <w:szCs w:val="20"/>
              </w:rPr>
            </w:pPr>
            <w:r>
              <w:rPr>
                <w:sz w:val="20"/>
                <w:szCs w:val="20"/>
              </w:rPr>
              <w:t>44.6%</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-4.60</w:t>
            </w:r>
            <w:proofErr w:type="gramStart"/>
            <w:r>
              <w:rPr>
                <w:sz w:val="20"/>
                <w:szCs w:val="20"/>
              </w:rPr>
              <w:t>%(</w:t>
            </w:r>
            <w:proofErr w:type="gramEnd"/>
            <w:r>
              <w:rPr>
                <w:sz w:val="20"/>
                <w:szCs w:val="20"/>
              </w:rPr>
              <w:t>-8.63,-0.56%)</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81/293</w:t>
            </w:r>
          </w:p>
        </w:tc>
        <w:tc>
          <w:tcPr>
            <w:tcW w:w="993" w:type="dxa"/>
            <w:vAlign w:val="center"/>
          </w:tcPr>
          <w:p w:rsidR="006C323E" w:rsidRPr="00213FB0" w:rsidRDefault="006C323E" w:rsidP="00CA7C4E">
            <w:pPr>
              <w:spacing w:line="200" w:lineRule="exact"/>
              <w:jc w:val="center"/>
              <w:rPr>
                <w:sz w:val="20"/>
                <w:szCs w:val="20"/>
              </w:rPr>
            </w:pPr>
            <w:r>
              <w:rPr>
                <w:sz w:val="20"/>
                <w:szCs w:val="20"/>
              </w:rPr>
              <w:t>27.6%</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-4.47</w:t>
            </w:r>
            <w:proofErr w:type="gramStart"/>
            <w:r>
              <w:rPr>
                <w:sz w:val="20"/>
                <w:szCs w:val="20"/>
              </w:rPr>
              <w:t>%(</w:t>
            </w:r>
            <w:proofErr w:type="gramEnd"/>
            <w:r>
              <w:rPr>
                <w:sz w:val="20"/>
                <w:szCs w:val="20"/>
              </w:rPr>
              <w:t>-12.8,3.89%)</w:t>
            </w:r>
          </w:p>
        </w:tc>
      </w:tr>
      <w:tr w:rsidR="006C323E" w:rsidRPr="00B54F5E" w:rsidTr="00D02BA7">
        <w:tc>
          <w:tcPr>
            <w:tcW w:w="1562" w:type="dxa"/>
            <w:tcBorders>
              <w:left w:val="single" w:sz="4" w:space="0" w:color="000000" w:themeColor="text1"/>
              <w:right w:val="single" w:sz="4" w:space="0" w:color="000000" w:themeColor="text1"/>
            </w:tcBorders>
            <w:vAlign w:val="center"/>
          </w:tcPr>
          <w:p w:rsidR="006C323E" w:rsidRPr="00B54F5E" w:rsidRDefault="006C323E" w:rsidP="00CA7C4E">
            <w:pPr>
              <w:spacing w:line="240" w:lineRule="auto"/>
              <w:jc w:val="center"/>
              <w:rPr>
                <w:rFonts w:cstheme="minorHAnsi"/>
                <w:i/>
                <w:sz w:val="20"/>
                <w:szCs w:val="20"/>
              </w:rPr>
            </w:pPr>
            <w:r w:rsidRPr="00B54F5E">
              <w:rPr>
                <w:i/>
                <w:sz w:val="20"/>
                <w:szCs w:val="20"/>
              </w:rPr>
              <w:t>Annual Change</w:t>
            </w:r>
          </w:p>
        </w:tc>
        <w:tc>
          <w:tcPr>
            <w:tcW w:w="1135"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3" w:type="dxa"/>
            <w:vAlign w:val="center"/>
          </w:tcPr>
          <w:p w:rsidR="006C323E" w:rsidRPr="00B54F5E"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-1.46</w:t>
            </w:r>
            <w:proofErr w:type="gramStart"/>
            <w:r w:rsidRPr="00B54F5E">
              <w:rPr>
                <w:i/>
                <w:sz w:val="20"/>
                <w:szCs w:val="20"/>
              </w:rPr>
              <w:t>%(</w:t>
            </w:r>
            <w:proofErr w:type="gramEnd"/>
            <w:r w:rsidRPr="00B54F5E">
              <w:rPr>
                <w:i/>
                <w:sz w:val="20"/>
                <w:szCs w:val="20"/>
              </w:rPr>
              <w:t>-2.38,-0.55%)</w:t>
            </w:r>
          </w:p>
        </w:tc>
        <w:tc>
          <w:tcPr>
            <w:tcW w:w="1136"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4" w:type="dxa"/>
            <w:vAlign w:val="center"/>
          </w:tcPr>
          <w:p w:rsidR="006C323E" w:rsidRPr="00B54F5E"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-0.93</w:t>
            </w:r>
            <w:proofErr w:type="gramStart"/>
            <w:r w:rsidRPr="00B54F5E">
              <w:rPr>
                <w:i/>
                <w:sz w:val="20"/>
                <w:szCs w:val="20"/>
              </w:rPr>
              <w:t>%(</w:t>
            </w:r>
            <w:proofErr w:type="gramEnd"/>
            <w:r w:rsidRPr="00B54F5E">
              <w:rPr>
                <w:i/>
                <w:sz w:val="20"/>
                <w:szCs w:val="20"/>
              </w:rPr>
              <w:t>-1.94,0.08%)</w:t>
            </w:r>
          </w:p>
        </w:tc>
        <w:tc>
          <w:tcPr>
            <w:tcW w:w="1136"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3" w:type="dxa"/>
            <w:vAlign w:val="center"/>
          </w:tcPr>
          <w:p w:rsidR="006C323E" w:rsidRPr="00B54F5E" w:rsidRDefault="006C323E" w:rsidP="00CA7C4E">
            <w:pPr>
              <w:spacing w:line="200" w:lineRule="exact"/>
              <w:jc w:val="center"/>
              <w:rPr>
                <w:i/>
                <w:sz w:val="20"/>
                <w:szCs w:val="20"/>
              </w:rPr>
            </w:pPr>
          </w:p>
        </w:tc>
        <w:tc>
          <w:tcPr>
            <w:tcW w:w="2055"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-1.24</w:t>
            </w:r>
            <w:proofErr w:type="gramStart"/>
            <w:r w:rsidRPr="00B54F5E">
              <w:rPr>
                <w:i/>
                <w:sz w:val="20"/>
                <w:szCs w:val="20"/>
              </w:rPr>
              <w:t>%(</w:t>
            </w:r>
            <w:proofErr w:type="gramEnd"/>
            <w:r w:rsidRPr="00B54F5E">
              <w:rPr>
                <w:i/>
                <w:sz w:val="20"/>
                <w:szCs w:val="20"/>
              </w:rPr>
              <w:t>-3.34,0.86%)</w:t>
            </w:r>
          </w:p>
        </w:tc>
      </w:tr>
      <w:tr w:rsidR="006C323E" w:rsidTr="00D02BA7">
        <w:trPr>
          <w:trHeight w:hRule="exact" w:val="113"/>
        </w:trPr>
        <w:tc>
          <w:tcPr>
            <w:tcW w:w="1562" w:type="dxa"/>
            <w:tcBorders>
              <w:left w:val="single" w:sz="4" w:space="0" w:color="000000" w:themeColor="text1"/>
              <w:right w:val="single" w:sz="4" w:space="0" w:color="000000" w:themeColor="text1"/>
            </w:tcBorders>
          </w:tcPr>
          <w:p w:rsidR="006C323E" w:rsidRPr="00213FB0" w:rsidRDefault="006C323E" w:rsidP="00CA7C4E">
            <w:pPr>
              <w:spacing w:line="200" w:lineRule="exact"/>
              <w:rPr>
                <w:sz w:val="20"/>
                <w:szCs w:val="20"/>
              </w:rPr>
            </w:pPr>
          </w:p>
        </w:tc>
        <w:tc>
          <w:tcPr>
            <w:tcW w:w="1135"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4"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2055"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r>
      <w:tr w:rsidR="006C323E" w:rsidTr="00D02BA7">
        <w:tc>
          <w:tcPr>
            <w:tcW w:w="1562" w:type="dxa"/>
            <w:tcBorders>
              <w:left w:val="single" w:sz="4" w:space="0" w:color="000000" w:themeColor="text1"/>
              <w:right w:val="single" w:sz="4" w:space="0" w:color="000000" w:themeColor="text1"/>
            </w:tcBorders>
            <w:vAlign w:val="center"/>
          </w:tcPr>
          <w:p w:rsidR="006C323E" w:rsidRDefault="006C323E" w:rsidP="00CA7C4E">
            <w:pPr>
              <w:spacing w:line="240" w:lineRule="auto"/>
              <w:rPr>
                <w:rFonts w:cstheme="minorHAnsi"/>
                <w:sz w:val="20"/>
                <w:szCs w:val="20"/>
              </w:rPr>
            </w:pPr>
          </w:p>
        </w:tc>
        <w:tc>
          <w:tcPr>
            <w:tcW w:w="12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323E" w:rsidRPr="00460BD9" w:rsidRDefault="006C323E" w:rsidP="00CA7C4E">
            <w:pPr>
              <w:spacing w:line="200" w:lineRule="exact"/>
              <w:jc w:val="center"/>
              <w:rPr>
                <w:i/>
                <w:sz w:val="20"/>
                <w:szCs w:val="20"/>
              </w:rPr>
            </w:pPr>
            <w:r w:rsidRPr="00460BD9">
              <w:rPr>
                <w:i/>
                <w:sz w:val="20"/>
                <w:szCs w:val="20"/>
              </w:rPr>
              <w:t>Dementia</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135"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463/1951</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23.7%</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sidRPr="00213FB0">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426/1655</w:t>
            </w:r>
          </w:p>
        </w:tc>
        <w:tc>
          <w:tcPr>
            <w:tcW w:w="994"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25.7%</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37/296</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12.5%</w:t>
            </w:r>
          </w:p>
        </w:tc>
        <w:tc>
          <w:tcPr>
            <w:tcW w:w="2055"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519/2025</w:t>
            </w:r>
          </w:p>
        </w:tc>
        <w:tc>
          <w:tcPr>
            <w:tcW w:w="993" w:type="dxa"/>
            <w:vAlign w:val="center"/>
          </w:tcPr>
          <w:p w:rsidR="006C323E" w:rsidRPr="00213FB0" w:rsidRDefault="006C323E" w:rsidP="00CA7C4E">
            <w:pPr>
              <w:spacing w:line="200" w:lineRule="exact"/>
              <w:jc w:val="center"/>
              <w:rPr>
                <w:sz w:val="20"/>
                <w:szCs w:val="20"/>
              </w:rPr>
            </w:pPr>
            <w:r>
              <w:rPr>
                <w:sz w:val="20"/>
                <w:szCs w:val="20"/>
              </w:rPr>
              <w:t>25.6%</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1.77</w:t>
            </w:r>
            <w:proofErr w:type="gramStart"/>
            <w:r>
              <w:rPr>
                <w:sz w:val="20"/>
                <w:szCs w:val="20"/>
              </w:rPr>
              <w:t>%(</w:t>
            </w:r>
            <w:proofErr w:type="gramEnd"/>
            <w:r>
              <w:rPr>
                <w:sz w:val="20"/>
                <w:szCs w:val="20"/>
              </w:rPr>
              <w:t>-0.86,4.40%)</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463/1417</w:t>
            </w:r>
          </w:p>
        </w:tc>
        <w:tc>
          <w:tcPr>
            <w:tcW w:w="994" w:type="dxa"/>
            <w:vAlign w:val="center"/>
          </w:tcPr>
          <w:p w:rsidR="006C323E" w:rsidRPr="00213FB0" w:rsidRDefault="006C323E" w:rsidP="00CA7C4E">
            <w:pPr>
              <w:spacing w:line="200" w:lineRule="exact"/>
              <w:jc w:val="center"/>
              <w:rPr>
                <w:sz w:val="20"/>
                <w:szCs w:val="20"/>
              </w:rPr>
            </w:pPr>
            <w:r>
              <w:rPr>
                <w:sz w:val="20"/>
                <w:szCs w:val="20"/>
              </w:rPr>
              <w:t>32.7%</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6.84</w:t>
            </w:r>
            <w:proofErr w:type="gramStart"/>
            <w:r>
              <w:rPr>
                <w:sz w:val="20"/>
                <w:szCs w:val="20"/>
              </w:rPr>
              <w:t>%(</w:t>
            </w:r>
            <w:proofErr w:type="gramEnd"/>
            <w:r>
              <w:rPr>
                <w:sz w:val="20"/>
                <w:szCs w:val="20"/>
              </w:rPr>
              <w:t>3.63,10.1%)</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56/608</w:t>
            </w:r>
          </w:p>
        </w:tc>
        <w:tc>
          <w:tcPr>
            <w:tcW w:w="993" w:type="dxa"/>
            <w:vAlign w:val="center"/>
          </w:tcPr>
          <w:p w:rsidR="006C323E" w:rsidRPr="00213FB0" w:rsidRDefault="006C323E" w:rsidP="00CA7C4E">
            <w:pPr>
              <w:spacing w:line="200" w:lineRule="exact"/>
              <w:jc w:val="center"/>
              <w:rPr>
                <w:sz w:val="20"/>
                <w:szCs w:val="20"/>
              </w:rPr>
            </w:pPr>
            <w:r>
              <w:rPr>
                <w:sz w:val="20"/>
                <w:szCs w:val="20"/>
              </w:rPr>
              <w:t>9.2%</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-2.07</w:t>
            </w:r>
            <w:proofErr w:type="gramStart"/>
            <w:r>
              <w:rPr>
                <w:sz w:val="20"/>
                <w:szCs w:val="20"/>
              </w:rPr>
              <w:t>%(</w:t>
            </w:r>
            <w:proofErr w:type="gramEnd"/>
            <w:r>
              <w:rPr>
                <w:sz w:val="20"/>
                <w:szCs w:val="20"/>
              </w:rPr>
              <w:t>-6.17,2.03%)</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401/1953</w:t>
            </w:r>
          </w:p>
        </w:tc>
        <w:tc>
          <w:tcPr>
            <w:tcW w:w="993" w:type="dxa"/>
            <w:vAlign w:val="center"/>
          </w:tcPr>
          <w:p w:rsidR="006C323E" w:rsidRPr="00213FB0" w:rsidRDefault="006C323E" w:rsidP="00CA7C4E">
            <w:pPr>
              <w:spacing w:line="200" w:lineRule="exact"/>
              <w:jc w:val="center"/>
              <w:rPr>
                <w:sz w:val="20"/>
                <w:szCs w:val="20"/>
              </w:rPr>
            </w:pPr>
            <w:r>
              <w:rPr>
                <w:sz w:val="20"/>
                <w:szCs w:val="20"/>
              </w:rPr>
              <w:t>20.5%</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-2.99</w:t>
            </w:r>
            <w:proofErr w:type="gramStart"/>
            <w:r>
              <w:rPr>
                <w:sz w:val="20"/>
                <w:szCs w:val="20"/>
              </w:rPr>
              <w:t>%(</w:t>
            </w:r>
            <w:proofErr w:type="gramEnd"/>
            <w:r>
              <w:rPr>
                <w:sz w:val="20"/>
                <w:szCs w:val="20"/>
              </w:rPr>
              <w:t>-5.54,-0.45%)</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340/1135</w:t>
            </w:r>
          </w:p>
        </w:tc>
        <w:tc>
          <w:tcPr>
            <w:tcW w:w="994" w:type="dxa"/>
            <w:vAlign w:val="center"/>
          </w:tcPr>
          <w:p w:rsidR="006C323E" w:rsidRPr="00213FB0" w:rsidRDefault="006C323E" w:rsidP="00CA7C4E">
            <w:pPr>
              <w:spacing w:line="200" w:lineRule="exact"/>
              <w:jc w:val="center"/>
              <w:rPr>
                <w:sz w:val="20"/>
                <w:szCs w:val="20"/>
              </w:rPr>
            </w:pPr>
            <w:r>
              <w:rPr>
                <w:sz w:val="20"/>
                <w:szCs w:val="20"/>
              </w:rPr>
              <w:t>30.0%</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4.03</w:t>
            </w:r>
            <w:proofErr w:type="gramStart"/>
            <w:r>
              <w:rPr>
                <w:sz w:val="20"/>
                <w:szCs w:val="20"/>
              </w:rPr>
              <w:t>%(</w:t>
            </w:r>
            <w:proofErr w:type="gramEnd"/>
            <w:r>
              <w:rPr>
                <w:sz w:val="20"/>
                <w:szCs w:val="20"/>
              </w:rPr>
              <w:t>0.66,7.40%)</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61/818</w:t>
            </w:r>
          </w:p>
        </w:tc>
        <w:tc>
          <w:tcPr>
            <w:tcW w:w="993" w:type="dxa"/>
            <w:vAlign w:val="center"/>
          </w:tcPr>
          <w:p w:rsidR="006C323E" w:rsidRPr="00213FB0" w:rsidRDefault="006C323E" w:rsidP="00CA7C4E">
            <w:pPr>
              <w:spacing w:line="200" w:lineRule="exact"/>
              <w:jc w:val="center"/>
              <w:rPr>
                <w:sz w:val="20"/>
                <w:szCs w:val="20"/>
              </w:rPr>
            </w:pPr>
            <w:r>
              <w:rPr>
                <w:sz w:val="20"/>
                <w:szCs w:val="20"/>
              </w:rPr>
              <w:t>7.5%</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-3.74</w:t>
            </w:r>
            <w:proofErr w:type="gramStart"/>
            <w:r>
              <w:rPr>
                <w:sz w:val="20"/>
                <w:szCs w:val="20"/>
              </w:rPr>
              <w:t>%(</w:t>
            </w:r>
            <w:proofErr w:type="gramEnd"/>
            <w:r>
              <w:rPr>
                <w:sz w:val="20"/>
                <w:szCs w:val="20"/>
              </w:rPr>
              <w:t>-7.64,0.16%)</w:t>
            </w:r>
          </w:p>
        </w:tc>
      </w:tr>
      <w:tr w:rsidR="006C323E" w:rsidRPr="00B54F5E" w:rsidTr="00D02BA7">
        <w:tc>
          <w:tcPr>
            <w:tcW w:w="1562" w:type="dxa"/>
            <w:tcBorders>
              <w:left w:val="single" w:sz="4" w:space="0" w:color="000000" w:themeColor="text1"/>
              <w:right w:val="single" w:sz="4" w:space="0" w:color="000000" w:themeColor="text1"/>
            </w:tcBorders>
            <w:vAlign w:val="center"/>
          </w:tcPr>
          <w:p w:rsidR="006C323E" w:rsidRPr="00B54F5E" w:rsidRDefault="006C323E" w:rsidP="00CA7C4E">
            <w:pPr>
              <w:spacing w:line="240" w:lineRule="auto"/>
              <w:jc w:val="center"/>
              <w:rPr>
                <w:rFonts w:cstheme="minorHAnsi"/>
                <w:i/>
                <w:sz w:val="20"/>
                <w:szCs w:val="20"/>
              </w:rPr>
            </w:pPr>
            <w:r w:rsidRPr="00B54F5E">
              <w:rPr>
                <w:i/>
                <w:sz w:val="20"/>
                <w:szCs w:val="20"/>
              </w:rPr>
              <w:t>Annual Change</w:t>
            </w:r>
          </w:p>
        </w:tc>
        <w:tc>
          <w:tcPr>
            <w:tcW w:w="1135"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3" w:type="dxa"/>
            <w:vAlign w:val="center"/>
          </w:tcPr>
          <w:p w:rsidR="006C323E" w:rsidRPr="00B54F5E"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-0.78%(-1.44,-0.12%)</w:t>
            </w:r>
          </w:p>
        </w:tc>
        <w:tc>
          <w:tcPr>
            <w:tcW w:w="1136"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4" w:type="dxa"/>
            <w:vAlign w:val="center"/>
          </w:tcPr>
          <w:p w:rsidR="006C323E" w:rsidRPr="00B54F5E"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1.21</w:t>
            </w:r>
            <w:proofErr w:type="gramStart"/>
            <w:r w:rsidRPr="00B54F5E">
              <w:rPr>
                <w:i/>
                <w:sz w:val="20"/>
                <w:szCs w:val="20"/>
              </w:rPr>
              <w:t>%(</w:t>
            </w:r>
            <w:proofErr w:type="gramEnd"/>
            <w:r w:rsidRPr="00B54F5E">
              <w:rPr>
                <w:i/>
                <w:sz w:val="20"/>
                <w:szCs w:val="20"/>
              </w:rPr>
              <w:t>0.34,2.07%)</w:t>
            </w:r>
          </w:p>
        </w:tc>
        <w:tc>
          <w:tcPr>
            <w:tcW w:w="1136" w:type="dxa"/>
            <w:tcBorders>
              <w:left w:val="single" w:sz="4" w:space="0" w:color="000000" w:themeColor="text1"/>
            </w:tcBorders>
            <w:vAlign w:val="center"/>
          </w:tcPr>
          <w:p w:rsidR="006C323E" w:rsidRPr="00B54F5E" w:rsidRDefault="006C323E" w:rsidP="00CA7C4E">
            <w:pPr>
              <w:spacing w:line="200" w:lineRule="exact"/>
              <w:jc w:val="center"/>
              <w:rPr>
                <w:i/>
                <w:sz w:val="20"/>
                <w:szCs w:val="20"/>
              </w:rPr>
            </w:pPr>
          </w:p>
        </w:tc>
        <w:tc>
          <w:tcPr>
            <w:tcW w:w="993" w:type="dxa"/>
            <w:vAlign w:val="center"/>
          </w:tcPr>
          <w:p w:rsidR="006C323E" w:rsidRPr="00B54F5E" w:rsidRDefault="006C323E" w:rsidP="00CA7C4E">
            <w:pPr>
              <w:spacing w:line="200" w:lineRule="exact"/>
              <w:jc w:val="center"/>
              <w:rPr>
                <w:i/>
                <w:sz w:val="20"/>
                <w:szCs w:val="20"/>
              </w:rPr>
            </w:pPr>
          </w:p>
        </w:tc>
        <w:tc>
          <w:tcPr>
            <w:tcW w:w="2055" w:type="dxa"/>
            <w:tcBorders>
              <w:right w:val="single" w:sz="4" w:space="0" w:color="000000" w:themeColor="text1"/>
            </w:tcBorders>
            <w:vAlign w:val="center"/>
          </w:tcPr>
          <w:p w:rsidR="006C323E" w:rsidRPr="00B54F5E" w:rsidRDefault="006C323E" w:rsidP="00CA7C4E">
            <w:pPr>
              <w:spacing w:line="200" w:lineRule="exact"/>
              <w:jc w:val="center"/>
              <w:rPr>
                <w:i/>
                <w:sz w:val="20"/>
                <w:szCs w:val="20"/>
              </w:rPr>
            </w:pPr>
            <w:r w:rsidRPr="00B54F5E">
              <w:rPr>
                <w:i/>
                <w:sz w:val="20"/>
                <w:szCs w:val="20"/>
              </w:rPr>
              <w:t>-0.90%(-1.74,-0.06%)</w:t>
            </w:r>
          </w:p>
        </w:tc>
      </w:tr>
      <w:tr w:rsidR="006C323E" w:rsidTr="00D02BA7">
        <w:trPr>
          <w:trHeight w:hRule="exact" w:val="113"/>
        </w:trPr>
        <w:tc>
          <w:tcPr>
            <w:tcW w:w="1562" w:type="dxa"/>
            <w:tcBorders>
              <w:left w:val="single" w:sz="4" w:space="0" w:color="000000" w:themeColor="text1"/>
              <w:right w:val="single" w:sz="4" w:space="0" w:color="000000" w:themeColor="text1"/>
            </w:tcBorders>
          </w:tcPr>
          <w:p w:rsidR="006C323E" w:rsidRPr="00213FB0" w:rsidRDefault="006C323E" w:rsidP="00CA7C4E">
            <w:pPr>
              <w:spacing w:line="200" w:lineRule="exact"/>
              <w:rPr>
                <w:sz w:val="20"/>
                <w:szCs w:val="20"/>
              </w:rPr>
            </w:pPr>
          </w:p>
        </w:tc>
        <w:tc>
          <w:tcPr>
            <w:tcW w:w="1135"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4"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1988"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000000" w:themeColor="text1"/>
            </w:tcBorders>
          </w:tcPr>
          <w:p w:rsidR="006C323E" w:rsidRPr="00213FB0" w:rsidRDefault="006C323E" w:rsidP="00CA7C4E">
            <w:pPr>
              <w:spacing w:line="200" w:lineRule="exact"/>
              <w:jc w:val="center"/>
              <w:rPr>
                <w:sz w:val="20"/>
                <w:szCs w:val="20"/>
              </w:rPr>
            </w:pPr>
          </w:p>
        </w:tc>
        <w:tc>
          <w:tcPr>
            <w:tcW w:w="993" w:type="dxa"/>
            <w:tcBorders>
              <w:bottom w:val="single" w:sz="4" w:space="0" w:color="000000" w:themeColor="text1"/>
            </w:tcBorders>
          </w:tcPr>
          <w:p w:rsidR="006C323E" w:rsidRPr="00213FB0" w:rsidRDefault="006C323E" w:rsidP="00CA7C4E">
            <w:pPr>
              <w:spacing w:line="200" w:lineRule="exact"/>
              <w:jc w:val="center"/>
              <w:rPr>
                <w:sz w:val="20"/>
                <w:szCs w:val="20"/>
              </w:rPr>
            </w:pPr>
          </w:p>
        </w:tc>
        <w:tc>
          <w:tcPr>
            <w:tcW w:w="2055" w:type="dxa"/>
            <w:tcBorders>
              <w:bottom w:val="single" w:sz="4" w:space="0" w:color="000000" w:themeColor="text1"/>
              <w:right w:val="single" w:sz="4" w:space="0" w:color="000000" w:themeColor="text1"/>
            </w:tcBorders>
          </w:tcPr>
          <w:p w:rsidR="006C323E" w:rsidRPr="00213FB0" w:rsidRDefault="006C323E" w:rsidP="00CA7C4E">
            <w:pPr>
              <w:spacing w:line="200" w:lineRule="exact"/>
              <w:jc w:val="center"/>
              <w:rPr>
                <w:sz w:val="20"/>
                <w:szCs w:val="20"/>
              </w:rPr>
            </w:pPr>
          </w:p>
        </w:tc>
      </w:tr>
      <w:tr w:rsidR="006C323E" w:rsidTr="00D02BA7">
        <w:tc>
          <w:tcPr>
            <w:tcW w:w="1562" w:type="dxa"/>
            <w:tcBorders>
              <w:left w:val="single" w:sz="4" w:space="0" w:color="000000" w:themeColor="text1"/>
              <w:right w:val="single" w:sz="4" w:space="0" w:color="000000" w:themeColor="text1"/>
            </w:tcBorders>
            <w:vAlign w:val="center"/>
          </w:tcPr>
          <w:p w:rsidR="006C323E" w:rsidRDefault="006C323E" w:rsidP="00CA7C4E">
            <w:pPr>
              <w:spacing w:line="240" w:lineRule="auto"/>
              <w:rPr>
                <w:rFonts w:cstheme="minorHAnsi"/>
                <w:sz w:val="20"/>
                <w:szCs w:val="20"/>
              </w:rPr>
            </w:pPr>
          </w:p>
        </w:tc>
        <w:tc>
          <w:tcPr>
            <w:tcW w:w="1241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C323E" w:rsidRPr="00E04E76" w:rsidRDefault="006C323E" w:rsidP="00CA7C4E">
            <w:pPr>
              <w:spacing w:line="200" w:lineRule="exact"/>
              <w:jc w:val="center"/>
              <w:rPr>
                <w:i/>
                <w:sz w:val="20"/>
                <w:szCs w:val="20"/>
              </w:rPr>
            </w:pPr>
            <w:r w:rsidRPr="00E04E76">
              <w:rPr>
                <w:i/>
                <w:sz w:val="20"/>
                <w:szCs w:val="20"/>
              </w:rPr>
              <w:t>Heart Failure</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Pr>
                <w:rFonts w:cstheme="minorHAnsi"/>
                <w:sz w:val="20"/>
                <w:szCs w:val="20"/>
              </w:rPr>
              <w:t>2009-</w:t>
            </w:r>
            <w:r w:rsidRPr="005B00A6">
              <w:rPr>
                <w:rFonts w:cstheme="minorHAnsi"/>
                <w:sz w:val="20"/>
                <w:szCs w:val="20"/>
              </w:rPr>
              <w:t>10</w:t>
            </w:r>
          </w:p>
        </w:tc>
        <w:tc>
          <w:tcPr>
            <w:tcW w:w="1135"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865/2022</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42.8%</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sidRPr="00213FB0">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797/1759</w:t>
            </w:r>
          </w:p>
        </w:tc>
        <w:tc>
          <w:tcPr>
            <w:tcW w:w="994"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45.3%</w:t>
            </w:r>
          </w:p>
        </w:tc>
        <w:tc>
          <w:tcPr>
            <w:tcW w:w="1988"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c>
          <w:tcPr>
            <w:tcW w:w="1136" w:type="dxa"/>
            <w:tcBorders>
              <w:top w:val="single" w:sz="4" w:space="0" w:color="000000" w:themeColor="text1"/>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68/263</w:t>
            </w:r>
          </w:p>
        </w:tc>
        <w:tc>
          <w:tcPr>
            <w:tcW w:w="993" w:type="dxa"/>
            <w:tcBorders>
              <w:top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25.9%</w:t>
            </w:r>
          </w:p>
        </w:tc>
        <w:tc>
          <w:tcPr>
            <w:tcW w:w="2055" w:type="dxa"/>
            <w:tcBorders>
              <w:top w:val="single" w:sz="4" w:space="0" w:color="000000" w:themeColor="text1"/>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0(ref)</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2011-12</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865/1783</w:t>
            </w:r>
          </w:p>
        </w:tc>
        <w:tc>
          <w:tcPr>
            <w:tcW w:w="993" w:type="dxa"/>
            <w:vAlign w:val="center"/>
          </w:tcPr>
          <w:p w:rsidR="006C323E" w:rsidRPr="00213FB0" w:rsidRDefault="006C323E" w:rsidP="00CA7C4E">
            <w:pPr>
              <w:spacing w:line="200" w:lineRule="exact"/>
              <w:jc w:val="center"/>
              <w:rPr>
                <w:sz w:val="20"/>
                <w:szCs w:val="20"/>
              </w:rPr>
            </w:pPr>
            <w:r>
              <w:rPr>
                <w:sz w:val="20"/>
                <w:szCs w:val="20"/>
              </w:rPr>
              <w:t>48.5%</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5.89</w:t>
            </w:r>
            <w:proofErr w:type="gramStart"/>
            <w:r>
              <w:rPr>
                <w:sz w:val="20"/>
                <w:szCs w:val="20"/>
              </w:rPr>
              <w:t>%(</w:t>
            </w:r>
            <w:proofErr w:type="gramEnd"/>
            <w:r>
              <w:rPr>
                <w:sz w:val="20"/>
                <w:szCs w:val="20"/>
              </w:rPr>
              <w:t>2.74,9.05%)</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779/1500</w:t>
            </w:r>
          </w:p>
        </w:tc>
        <w:tc>
          <w:tcPr>
            <w:tcW w:w="994" w:type="dxa"/>
            <w:vAlign w:val="center"/>
          </w:tcPr>
          <w:p w:rsidR="006C323E" w:rsidRPr="00213FB0" w:rsidRDefault="006C323E" w:rsidP="00CA7C4E">
            <w:pPr>
              <w:spacing w:line="200" w:lineRule="exact"/>
              <w:jc w:val="center"/>
              <w:rPr>
                <w:sz w:val="20"/>
                <w:szCs w:val="20"/>
              </w:rPr>
            </w:pPr>
            <w:r>
              <w:rPr>
                <w:sz w:val="20"/>
                <w:szCs w:val="20"/>
              </w:rPr>
              <w:t>51.9%</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6.72</w:t>
            </w:r>
            <w:proofErr w:type="gramStart"/>
            <w:r>
              <w:rPr>
                <w:sz w:val="20"/>
                <w:szCs w:val="20"/>
              </w:rPr>
              <w:t>%(</w:t>
            </w:r>
            <w:proofErr w:type="gramEnd"/>
            <w:r>
              <w:rPr>
                <w:sz w:val="20"/>
                <w:szCs w:val="20"/>
              </w:rPr>
              <w:t>3.30,10.1%)</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86/283</w:t>
            </w:r>
          </w:p>
        </w:tc>
        <w:tc>
          <w:tcPr>
            <w:tcW w:w="993" w:type="dxa"/>
            <w:vAlign w:val="center"/>
          </w:tcPr>
          <w:p w:rsidR="006C323E" w:rsidRPr="00213FB0" w:rsidRDefault="006C323E" w:rsidP="00CA7C4E">
            <w:pPr>
              <w:spacing w:line="200" w:lineRule="exact"/>
              <w:jc w:val="center"/>
              <w:rPr>
                <w:sz w:val="20"/>
                <w:szCs w:val="20"/>
              </w:rPr>
            </w:pPr>
            <w:r>
              <w:rPr>
                <w:sz w:val="20"/>
                <w:szCs w:val="20"/>
              </w:rPr>
              <w:t>30.4%</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5.14</w:t>
            </w:r>
            <w:proofErr w:type="gramStart"/>
            <w:r>
              <w:rPr>
                <w:sz w:val="20"/>
                <w:szCs w:val="20"/>
              </w:rPr>
              <w:t>%(</w:t>
            </w:r>
            <w:proofErr w:type="gramEnd"/>
            <w:r>
              <w:rPr>
                <w:sz w:val="20"/>
                <w:szCs w:val="20"/>
              </w:rPr>
              <w:t>-2.37,12.6%)</w:t>
            </w:r>
          </w:p>
        </w:tc>
      </w:tr>
      <w:tr w:rsidR="006C323E" w:rsidTr="00D02BA7">
        <w:tc>
          <w:tcPr>
            <w:tcW w:w="1562" w:type="dxa"/>
            <w:tcBorders>
              <w:left w:val="single" w:sz="4" w:space="0" w:color="000000" w:themeColor="text1"/>
              <w:right w:val="single" w:sz="4" w:space="0" w:color="000000" w:themeColor="text1"/>
            </w:tcBorders>
            <w:vAlign w:val="center"/>
          </w:tcPr>
          <w:p w:rsidR="006C323E" w:rsidRPr="005B00A6" w:rsidRDefault="006C323E" w:rsidP="00CA7C4E">
            <w:pPr>
              <w:spacing w:line="240" w:lineRule="auto"/>
              <w:jc w:val="center"/>
              <w:rPr>
                <w:rFonts w:cstheme="minorHAnsi"/>
                <w:sz w:val="20"/>
                <w:szCs w:val="20"/>
              </w:rPr>
            </w:pPr>
            <w:r w:rsidRPr="005B00A6">
              <w:rPr>
                <w:rFonts w:cstheme="minorHAnsi"/>
                <w:sz w:val="20"/>
                <w:szCs w:val="20"/>
              </w:rPr>
              <w:t>2013-14</w:t>
            </w:r>
          </w:p>
        </w:tc>
        <w:tc>
          <w:tcPr>
            <w:tcW w:w="1135"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599/1462</w:t>
            </w:r>
          </w:p>
        </w:tc>
        <w:tc>
          <w:tcPr>
            <w:tcW w:w="993" w:type="dxa"/>
            <w:vAlign w:val="center"/>
          </w:tcPr>
          <w:p w:rsidR="006C323E" w:rsidRPr="00213FB0" w:rsidRDefault="006C323E" w:rsidP="00CA7C4E">
            <w:pPr>
              <w:spacing w:line="200" w:lineRule="exact"/>
              <w:jc w:val="center"/>
              <w:rPr>
                <w:sz w:val="20"/>
                <w:szCs w:val="20"/>
              </w:rPr>
            </w:pPr>
            <w:r>
              <w:rPr>
                <w:sz w:val="20"/>
                <w:szCs w:val="20"/>
              </w:rPr>
              <w:t>41.0%</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-1.26</w:t>
            </w:r>
            <w:proofErr w:type="gramStart"/>
            <w:r>
              <w:rPr>
                <w:sz w:val="20"/>
                <w:szCs w:val="20"/>
              </w:rPr>
              <w:t>%(</w:t>
            </w:r>
            <w:proofErr w:type="gramEnd"/>
            <w:r>
              <w:rPr>
                <w:sz w:val="20"/>
                <w:szCs w:val="20"/>
              </w:rPr>
              <w:t>-4.55,2.03%)</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513/1127</w:t>
            </w:r>
          </w:p>
        </w:tc>
        <w:tc>
          <w:tcPr>
            <w:tcW w:w="994" w:type="dxa"/>
            <w:vAlign w:val="center"/>
          </w:tcPr>
          <w:p w:rsidR="006C323E" w:rsidRPr="00213FB0" w:rsidRDefault="006C323E" w:rsidP="00CA7C4E">
            <w:pPr>
              <w:spacing w:line="200" w:lineRule="exact"/>
              <w:jc w:val="center"/>
              <w:rPr>
                <w:sz w:val="20"/>
                <w:szCs w:val="20"/>
              </w:rPr>
            </w:pPr>
            <w:r>
              <w:rPr>
                <w:sz w:val="20"/>
                <w:szCs w:val="20"/>
              </w:rPr>
              <w:t>45.5%</w:t>
            </w:r>
          </w:p>
        </w:tc>
        <w:tc>
          <w:tcPr>
            <w:tcW w:w="1988"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0.71</w:t>
            </w:r>
            <w:proofErr w:type="gramStart"/>
            <w:r>
              <w:rPr>
                <w:sz w:val="20"/>
                <w:szCs w:val="20"/>
              </w:rPr>
              <w:t>%(</w:t>
            </w:r>
            <w:proofErr w:type="gramEnd"/>
            <w:r>
              <w:rPr>
                <w:sz w:val="20"/>
                <w:szCs w:val="20"/>
              </w:rPr>
              <w:t>-2.99,4.40%)</w:t>
            </w:r>
          </w:p>
        </w:tc>
        <w:tc>
          <w:tcPr>
            <w:tcW w:w="1136" w:type="dxa"/>
            <w:tcBorders>
              <w:lef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86/335</w:t>
            </w:r>
          </w:p>
        </w:tc>
        <w:tc>
          <w:tcPr>
            <w:tcW w:w="993" w:type="dxa"/>
            <w:vAlign w:val="center"/>
          </w:tcPr>
          <w:p w:rsidR="006C323E" w:rsidRPr="00213FB0" w:rsidRDefault="006C323E" w:rsidP="00CA7C4E">
            <w:pPr>
              <w:spacing w:line="200" w:lineRule="exact"/>
              <w:jc w:val="center"/>
              <w:rPr>
                <w:sz w:val="20"/>
                <w:szCs w:val="20"/>
              </w:rPr>
            </w:pPr>
            <w:r>
              <w:rPr>
                <w:sz w:val="20"/>
                <w:szCs w:val="20"/>
              </w:rPr>
              <w:t>25.7%</w:t>
            </w:r>
          </w:p>
        </w:tc>
        <w:tc>
          <w:tcPr>
            <w:tcW w:w="2055" w:type="dxa"/>
            <w:tcBorders>
              <w:right w:val="single" w:sz="4" w:space="0" w:color="000000" w:themeColor="text1"/>
            </w:tcBorders>
            <w:vAlign w:val="center"/>
          </w:tcPr>
          <w:p w:rsidR="006C323E" w:rsidRPr="00213FB0" w:rsidRDefault="006C323E" w:rsidP="00CA7C4E">
            <w:pPr>
              <w:spacing w:line="200" w:lineRule="exact"/>
              <w:jc w:val="center"/>
              <w:rPr>
                <w:sz w:val="20"/>
                <w:szCs w:val="20"/>
              </w:rPr>
            </w:pPr>
            <w:r>
              <w:rPr>
                <w:sz w:val="20"/>
                <w:szCs w:val="20"/>
              </w:rPr>
              <w:t>1.18</w:t>
            </w:r>
            <w:proofErr w:type="gramStart"/>
            <w:r>
              <w:rPr>
                <w:sz w:val="20"/>
                <w:szCs w:val="20"/>
              </w:rPr>
              <w:t>%(</w:t>
            </w:r>
            <w:proofErr w:type="gramEnd"/>
            <w:r>
              <w:rPr>
                <w:sz w:val="20"/>
                <w:szCs w:val="20"/>
              </w:rPr>
              <w:t>-5.81,8.17%)</w:t>
            </w:r>
          </w:p>
        </w:tc>
      </w:tr>
      <w:tr w:rsidR="006C323E" w:rsidRPr="00D4384B" w:rsidTr="00D02BA7">
        <w:tc>
          <w:tcPr>
            <w:tcW w:w="1562" w:type="dxa"/>
            <w:tcBorders>
              <w:left w:val="single" w:sz="4" w:space="0" w:color="000000" w:themeColor="text1"/>
              <w:right w:val="single" w:sz="4" w:space="0" w:color="000000" w:themeColor="text1"/>
            </w:tcBorders>
            <w:vAlign w:val="center"/>
          </w:tcPr>
          <w:p w:rsidR="006C323E" w:rsidRPr="00D4384B" w:rsidRDefault="006C323E" w:rsidP="00CA7C4E">
            <w:pPr>
              <w:spacing w:line="240" w:lineRule="auto"/>
              <w:jc w:val="center"/>
              <w:rPr>
                <w:rFonts w:cstheme="minorHAnsi"/>
                <w:i/>
                <w:sz w:val="20"/>
                <w:szCs w:val="20"/>
              </w:rPr>
            </w:pPr>
            <w:r w:rsidRPr="00D4384B">
              <w:rPr>
                <w:i/>
                <w:sz w:val="20"/>
                <w:szCs w:val="20"/>
              </w:rPr>
              <w:t>Annual Change</w:t>
            </w:r>
          </w:p>
        </w:tc>
        <w:tc>
          <w:tcPr>
            <w:tcW w:w="1135" w:type="dxa"/>
            <w:tcBorders>
              <w:left w:val="single" w:sz="4" w:space="0" w:color="000000" w:themeColor="text1"/>
            </w:tcBorders>
            <w:vAlign w:val="center"/>
          </w:tcPr>
          <w:p w:rsidR="006C323E" w:rsidRPr="00D4384B" w:rsidRDefault="006C323E" w:rsidP="00CA7C4E">
            <w:pPr>
              <w:spacing w:line="200" w:lineRule="exact"/>
              <w:jc w:val="center"/>
              <w:rPr>
                <w:i/>
                <w:sz w:val="20"/>
                <w:szCs w:val="20"/>
              </w:rPr>
            </w:pPr>
          </w:p>
        </w:tc>
        <w:tc>
          <w:tcPr>
            <w:tcW w:w="993" w:type="dxa"/>
            <w:vAlign w:val="center"/>
          </w:tcPr>
          <w:p w:rsidR="006C323E" w:rsidRPr="00D4384B"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D4384B" w:rsidRDefault="006C323E" w:rsidP="00CA7C4E">
            <w:pPr>
              <w:spacing w:line="200" w:lineRule="exact"/>
              <w:jc w:val="center"/>
              <w:rPr>
                <w:i/>
                <w:sz w:val="20"/>
                <w:szCs w:val="20"/>
              </w:rPr>
            </w:pPr>
            <w:r w:rsidRPr="00D4384B">
              <w:rPr>
                <w:i/>
                <w:sz w:val="20"/>
                <w:szCs w:val="20"/>
              </w:rPr>
              <w:t>-0.14</w:t>
            </w:r>
            <w:proofErr w:type="gramStart"/>
            <w:r w:rsidRPr="00D4384B">
              <w:rPr>
                <w:i/>
                <w:sz w:val="20"/>
                <w:szCs w:val="20"/>
              </w:rPr>
              <w:t>%(</w:t>
            </w:r>
            <w:proofErr w:type="gramEnd"/>
            <w:r w:rsidRPr="00D4384B">
              <w:rPr>
                <w:i/>
                <w:sz w:val="20"/>
                <w:szCs w:val="20"/>
              </w:rPr>
              <w:t>-0.97,0.69%)</w:t>
            </w:r>
          </w:p>
        </w:tc>
        <w:tc>
          <w:tcPr>
            <w:tcW w:w="1136" w:type="dxa"/>
            <w:tcBorders>
              <w:left w:val="single" w:sz="4" w:space="0" w:color="000000" w:themeColor="text1"/>
            </w:tcBorders>
            <w:vAlign w:val="center"/>
          </w:tcPr>
          <w:p w:rsidR="006C323E" w:rsidRPr="00D4384B" w:rsidRDefault="006C323E" w:rsidP="00CA7C4E">
            <w:pPr>
              <w:spacing w:line="200" w:lineRule="exact"/>
              <w:jc w:val="center"/>
              <w:rPr>
                <w:i/>
                <w:sz w:val="20"/>
                <w:szCs w:val="20"/>
              </w:rPr>
            </w:pPr>
          </w:p>
        </w:tc>
        <w:tc>
          <w:tcPr>
            <w:tcW w:w="994" w:type="dxa"/>
            <w:vAlign w:val="center"/>
          </w:tcPr>
          <w:p w:rsidR="006C323E" w:rsidRPr="00D4384B" w:rsidRDefault="006C323E" w:rsidP="00CA7C4E">
            <w:pPr>
              <w:spacing w:line="200" w:lineRule="exact"/>
              <w:jc w:val="center"/>
              <w:rPr>
                <w:i/>
                <w:sz w:val="20"/>
                <w:szCs w:val="20"/>
              </w:rPr>
            </w:pPr>
          </w:p>
        </w:tc>
        <w:tc>
          <w:tcPr>
            <w:tcW w:w="1988" w:type="dxa"/>
            <w:tcBorders>
              <w:right w:val="single" w:sz="4" w:space="0" w:color="000000" w:themeColor="text1"/>
            </w:tcBorders>
            <w:vAlign w:val="center"/>
          </w:tcPr>
          <w:p w:rsidR="006C323E" w:rsidRPr="00D4384B" w:rsidRDefault="006C323E" w:rsidP="00CA7C4E">
            <w:pPr>
              <w:spacing w:line="200" w:lineRule="exact"/>
              <w:jc w:val="center"/>
              <w:rPr>
                <w:i/>
                <w:sz w:val="20"/>
                <w:szCs w:val="20"/>
              </w:rPr>
            </w:pPr>
            <w:r w:rsidRPr="00D4384B">
              <w:rPr>
                <w:i/>
                <w:sz w:val="20"/>
                <w:szCs w:val="20"/>
              </w:rPr>
              <w:t>0.43</w:t>
            </w:r>
            <w:proofErr w:type="gramStart"/>
            <w:r w:rsidRPr="00D4384B">
              <w:rPr>
                <w:i/>
                <w:sz w:val="20"/>
                <w:szCs w:val="20"/>
              </w:rPr>
              <w:t>%(</w:t>
            </w:r>
            <w:proofErr w:type="gramEnd"/>
            <w:r w:rsidRPr="00D4384B">
              <w:rPr>
                <w:i/>
                <w:sz w:val="20"/>
                <w:szCs w:val="20"/>
              </w:rPr>
              <w:t>-0.50,1.35%)</w:t>
            </w:r>
          </w:p>
        </w:tc>
        <w:tc>
          <w:tcPr>
            <w:tcW w:w="1136" w:type="dxa"/>
            <w:tcBorders>
              <w:left w:val="single" w:sz="4" w:space="0" w:color="000000" w:themeColor="text1"/>
            </w:tcBorders>
            <w:vAlign w:val="center"/>
          </w:tcPr>
          <w:p w:rsidR="006C323E" w:rsidRPr="00D4384B" w:rsidRDefault="006C323E" w:rsidP="00CA7C4E">
            <w:pPr>
              <w:spacing w:line="200" w:lineRule="exact"/>
              <w:jc w:val="center"/>
              <w:rPr>
                <w:i/>
                <w:sz w:val="20"/>
                <w:szCs w:val="20"/>
              </w:rPr>
            </w:pPr>
          </w:p>
        </w:tc>
        <w:tc>
          <w:tcPr>
            <w:tcW w:w="993" w:type="dxa"/>
            <w:vAlign w:val="center"/>
          </w:tcPr>
          <w:p w:rsidR="006C323E" w:rsidRPr="00D4384B" w:rsidRDefault="006C323E" w:rsidP="00CA7C4E">
            <w:pPr>
              <w:spacing w:line="200" w:lineRule="exact"/>
              <w:jc w:val="center"/>
              <w:rPr>
                <w:i/>
                <w:sz w:val="20"/>
                <w:szCs w:val="20"/>
              </w:rPr>
            </w:pPr>
          </w:p>
        </w:tc>
        <w:tc>
          <w:tcPr>
            <w:tcW w:w="2055" w:type="dxa"/>
            <w:tcBorders>
              <w:right w:val="single" w:sz="4" w:space="0" w:color="000000" w:themeColor="text1"/>
            </w:tcBorders>
            <w:vAlign w:val="center"/>
          </w:tcPr>
          <w:p w:rsidR="006C323E" w:rsidRPr="00D4384B" w:rsidRDefault="006C323E" w:rsidP="00CA7C4E">
            <w:pPr>
              <w:spacing w:line="200" w:lineRule="exact"/>
              <w:jc w:val="center"/>
              <w:rPr>
                <w:i/>
                <w:sz w:val="20"/>
                <w:szCs w:val="20"/>
              </w:rPr>
            </w:pPr>
            <w:r w:rsidRPr="00D4384B">
              <w:rPr>
                <w:i/>
                <w:sz w:val="20"/>
                <w:szCs w:val="20"/>
              </w:rPr>
              <w:t>0.19</w:t>
            </w:r>
            <w:proofErr w:type="gramStart"/>
            <w:r w:rsidRPr="00D4384B">
              <w:rPr>
                <w:i/>
                <w:sz w:val="20"/>
                <w:szCs w:val="20"/>
              </w:rPr>
              <w:t>%(</w:t>
            </w:r>
            <w:proofErr w:type="gramEnd"/>
            <w:r w:rsidRPr="00D4384B">
              <w:rPr>
                <w:i/>
                <w:sz w:val="20"/>
                <w:szCs w:val="20"/>
              </w:rPr>
              <w:t>-1.62,2.00%)</w:t>
            </w:r>
          </w:p>
        </w:tc>
      </w:tr>
      <w:tr w:rsidR="006C323E" w:rsidTr="00D02BA7">
        <w:trPr>
          <w:trHeight w:hRule="exact" w:val="113"/>
        </w:trPr>
        <w:tc>
          <w:tcPr>
            <w:tcW w:w="1562" w:type="dxa"/>
            <w:tcBorders>
              <w:left w:val="single" w:sz="4" w:space="0" w:color="000000" w:themeColor="text1"/>
              <w:bottom w:val="single" w:sz="4" w:space="0" w:color="auto"/>
              <w:right w:val="single" w:sz="4" w:space="0" w:color="000000" w:themeColor="text1"/>
            </w:tcBorders>
          </w:tcPr>
          <w:p w:rsidR="006C323E" w:rsidRPr="00213FB0" w:rsidRDefault="006C323E" w:rsidP="00CA7C4E">
            <w:pPr>
              <w:spacing w:line="200" w:lineRule="exact"/>
              <w:rPr>
                <w:sz w:val="20"/>
                <w:szCs w:val="20"/>
              </w:rPr>
            </w:pPr>
          </w:p>
        </w:tc>
        <w:tc>
          <w:tcPr>
            <w:tcW w:w="1135" w:type="dxa"/>
            <w:tcBorders>
              <w:left w:val="single" w:sz="4" w:space="0" w:color="000000" w:themeColor="text1"/>
              <w:bottom w:val="single" w:sz="4" w:space="0" w:color="auto"/>
            </w:tcBorders>
          </w:tcPr>
          <w:p w:rsidR="006C323E" w:rsidRPr="00213FB0" w:rsidRDefault="006C323E" w:rsidP="00CA7C4E">
            <w:pPr>
              <w:spacing w:line="200" w:lineRule="exact"/>
              <w:jc w:val="center"/>
              <w:rPr>
                <w:sz w:val="20"/>
                <w:szCs w:val="20"/>
              </w:rPr>
            </w:pPr>
          </w:p>
        </w:tc>
        <w:tc>
          <w:tcPr>
            <w:tcW w:w="993" w:type="dxa"/>
            <w:tcBorders>
              <w:bottom w:val="single" w:sz="4" w:space="0" w:color="auto"/>
            </w:tcBorders>
          </w:tcPr>
          <w:p w:rsidR="006C323E" w:rsidRPr="00213FB0" w:rsidRDefault="006C323E" w:rsidP="00CA7C4E">
            <w:pPr>
              <w:spacing w:line="200" w:lineRule="exact"/>
              <w:jc w:val="center"/>
              <w:rPr>
                <w:sz w:val="20"/>
                <w:szCs w:val="20"/>
              </w:rPr>
            </w:pPr>
          </w:p>
        </w:tc>
        <w:tc>
          <w:tcPr>
            <w:tcW w:w="1988" w:type="dxa"/>
            <w:tcBorders>
              <w:bottom w:val="single" w:sz="4" w:space="0" w:color="auto"/>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auto"/>
            </w:tcBorders>
          </w:tcPr>
          <w:p w:rsidR="006C323E" w:rsidRPr="00213FB0" w:rsidRDefault="006C323E" w:rsidP="00CA7C4E">
            <w:pPr>
              <w:spacing w:line="200" w:lineRule="exact"/>
              <w:jc w:val="center"/>
              <w:rPr>
                <w:sz w:val="20"/>
                <w:szCs w:val="20"/>
              </w:rPr>
            </w:pPr>
          </w:p>
        </w:tc>
        <w:tc>
          <w:tcPr>
            <w:tcW w:w="994" w:type="dxa"/>
            <w:tcBorders>
              <w:bottom w:val="single" w:sz="4" w:space="0" w:color="auto"/>
            </w:tcBorders>
          </w:tcPr>
          <w:p w:rsidR="006C323E" w:rsidRPr="00213FB0" w:rsidRDefault="006C323E" w:rsidP="00CA7C4E">
            <w:pPr>
              <w:spacing w:line="200" w:lineRule="exact"/>
              <w:jc w:val="center"/>
              <w:rPr>
                <w:sz w:val="20"/>
                <w:szCs w:val="20"/>
              </w:rPr>
            </w:pPr>
          </w:p>
        </w:tc>
        <w:tc>
          <w:tcPr>
            <w:tcW w:w="1988" w:type="dxa"/>
            <w:tcBorders>
              <w:bottom w:val="single" w:sz="4" w:space="0" w:color="auto"/>
              <w:right w:val="single" w:sz="4" w:space="0" w:color="000000" w:themeColor="text1"/>
            </w:tcBorders>
          </w:tcPr>
          <w:p w:rsidR="006C323E" w:rsidRPr="00213FB0" w:rsidRDefault="006C323E" w:rsidP="00CA7C4E">
            <w:pPr>
              <w:spacing w:line="200" w:lineRule="exact"/>
              <w:jc w:val="center"/>
              <w:rPr>
                <w:sz w:val="20"/>
                <w:szCs w:val="20"/>
              </w:rPr>
            </w:pPr>
          </w:p>
        </w:tc>
        <w:tc>
          <w:tcPr>
            <w:tcW w:w="1136" w:type="dxa"/>
            <w:tcBorders>
              <w:left w:val="single" w:sz="4" w:space="0" w:color="000000" w:themeColor="text1"/>
              <w:bottom w:val="single" w:sz="4" w:space="0" w:color="auto"/>
            </w:tcBorders>
          </w:tcPr>
          <w:p w:rsidR="006C323E" w:rsidRPr="00213FB0" w:rsidRDefault="006C323E" w:rsidP="00CA7C4E">
            <w:pPr>
              <w:spacing w:line="200" w:lineRule="exact"/>
              <w:jc w:val="center"/>
              <w:rPr>
                <w:sz w:val="20"/>
                <w:szCs w:val="20"/>
              </w:rPr>
            </w:pPr>
          </w:p>
        </w:tc>
        <w:tc>
          <w:tcPr>
            <w:tcW w:w="993" w:type="dxa"/>
            <w:tcBorders>
              <w:bottom w:val="single" w:sz="4" w:space="0" w:color="auto"/>
            </w:tcBorders>
          </w:tcPr>
          <w:p w:rsidR="006C323E" w:rsidRPr="00213FB0" w:rsidRDefault="006C323E" w:rsidP="00CA7C4E">
            <w:pPr>
              <w:spacing w:line="200" w:lineRule="exact"/>
              <w:jc w:val="center"/>
              <w:rPr>
                <w:sz w:val="20"/>
                <w:szCs w:val="20"/>
              </w:rPr>
            </w:pPr>
          </w:p>
        </w:tc>
        <w:tc>
          <w:tcPr>
            <w:tcW w:w="2055" w:type="dxa"/>
            <w:tcBorders>
              <w:bottom w:val="single" w:sz="4" w:space="0" w:color="auto"/>
              <w:right w:val="single" w:sz="4" w:space="0" w:color="000000" w:themeColor="text1"/>
            </w:tcBorders>
          </w:tcPr>
          <w:p w:rsidR="006C323E" w:rsidRPr="00213FB0" w:rsidRDefault="006C323E" w:rsidP="00CA7C4E">
            <w:pPr>
              <w:spacing w:line="200" w:lineRule="exact"/>
              <w:jc w:val="center"/>
              <w:rPr>
                <w:sz w:val="20"/>
                <w:szCs w:val="20"/>
              </w:rPr>
            </w:pPr>
          </w:p>
        </w:tc>
      </w:tr>
    </w:tbl>
    <w:p w:rsidR="002E7E5B" w:rsidRDefault="00D02BA7" w:rsidP="006C323E">
      <w:pPr>
        <w:spacing w:line="240" w:lineRule="auto"/>
        <w:rPr>
          <w:sz w:val="18"/>
          <w:szCs w:val="18"/>
        </w:rPr>
        <w:sectPr w:rsidR="002E7E5B" w:rsidSect="00CA7C4E">
          <w:pgSz w:w="16838" w:h="11906" w:orient="landscape"/>
          <w:pgMar w:top="1440" w:right="1440" w:bottom="1440" w:left="1440" w:header="708" w:footer="708" w:gutter="0"/>
          <w:cols w:space="708"/>
          <w:docGrid w:linePitch="360"/>
        </w:sectPr>
      </w:pPr>
      <w:r>
        <w:rPr>
          <w:sz w:val="20"/>
          <w:szCs w:val="20"/>
        </w:rPr>
        <w:t>Change in proportions</w:t>
      </w:r>
      <w:r w:rsidR="006C323E" w:rsidRPr="00C15F6B">
        <w:rPr>
          <w:sz w:val="18"/>
          <w:szCs w:val="18"/>
        </w:rPr>
        <w:t xml:space="preserve"> and 95% confidence intervals (95%CI) </w:t>
      </w:r>
      <w:r w:rsidR="006C323E">
        <w:rPr>
          <w:sz w:val="18"/>
          <w:szCs w:val="18"/>
        </w:rPr>
        <w:t xml:space="preserve">were </w:t>
      </w:r>
      <w:r w:rsidR="006C323E" w:rsidRPr="00C15F6B">
        <w:rPr>
          <w:sz w:val="18"/>
          <w:szCs w:val="18"/>
        </w:rPr>
        <w:t>estimated using binomial regressio</w:t>
      </w:r>
      <w:r w:rsidR="006C323E">
        <w:rPr>
          <w:sz w:val="18"/>
          <w:szCs w:val="18"/>
        </w:rPr>
        <w:t>n adjusted for age, sex and index of multiple deprivation.</w:t>
      </w:r>
    </w:p>
    <w:p w:rsidR="002E7E5B" w:rsidRDefault="002E7E5B" w:rsidP="002E7E5B">
      <w:r>
        <w:lastRenderedPageBreak/>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w:t>
      </w:r>
      <w:r w:rsidRPr="008211F1">
        <w:t xml:space="preserve"> </w:t>
      </w:r>
      <w:r>
        <w:t>Flow diagram of identification of study subjects from CPRD GOLD.</w:t>
      </w:r>
    </w:p>
    <w:p w:rsidR="002E7E5B" w:rsidRDefault="002E7E5B" w:rsidP="002E7E5B">
      <w:r>
        <w:rPr>
          <w:noProof/>
        </w:rPr>
        <w:drawing>
          <wp:inline distT="0" distB="0" distL="0" distR="0">
            <wp:extent cx="5000983" cy="796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doud_CPRD_BMJSuppPall_Fig1.png"/>
                    <pic:cNvPicPr/>
                  </pic:nvPicPr>
                  <pic:blipFill>
                    <a:blip r:embed="rId10">
                      <a:extLst>
                        <a:ext uri="{28A0092B-C50C-407E-A947-70E740481C1C}">
                          <a14:useLocalDpi xmlns:a14="http://schemas.microsoft.com/office/drawing/2010/main" val="0"/>
                        </a:ext>
                      </a:extLst>
                    </a:blip>
                    <a:stretch>
                      <a:fillRect/>
                    </a:stretch>
                  </pic:blipFill>
                  <pic:spPr>
                    <a:xfrm>
                      <a:off x="0" y="0"/>
                      <a:ext cx="5009894" cy="7977088"/>
                    </a:xfrm>
                    <a:prstGeom prst="rect">
                      <a:avLst/>
                    </a:prstGeom>
                  </pic:spPr>
                </pic:pic>
              </a:graphicData>
            </a:graphic>
          </wp:inline>
        </w:drawing>
      </w:r>
    </w:p>
    <w:p w:rsidR="002E7E5B" w:rsidRDefault="002E7E5B" w:rsidP="002E7E5B">
      <w:pPr>
        <w:sectPr w:rsidR="002E7E5B" w:rsidSect="002E7E5B">
          <w:pgSz w:w="11906" w:h="16838"/>
          <w:pgMar w:top="1440" w:right="1440" w:bottom="1440" w:left="1440" w:header="708" w:footer="708" w:gutter="0"/>
          <w:cols w:space="708"/>
          <w:docGrid w:linePitch="360"/>
        </w:sectPr>
      </w:pPr>
    </w:p>
    <w:p w:rsidR="002E7E5B" w:rsidRDefault="002E7E5B" w:rsidP="002E7E5B">
      <w:r>
        <w:lastRenderedPageBreak/>
        <w:t>Figure 2: Distribution of time before death when palliative care first recorded in primary care notes by disease and year.</w:t>
      </w:r>
    </w:p>
    <w:p w:rsidR="00445458" w:rsidRDefault="00445458" w:rsidP="002E7E5B">
      <w:bookmarkStart w:id="11" w:name="_GoBack"/>
      <w:r>
        <w:rPr>
          <w:noProof/>
        </w:rPr>
        <w:drawing>
          <wp:inline distT="0" distB="0" distL="0" distR="0">
            <wp:extent cx="5731510" cy="4341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doud_CPRD_BMJSuppPall_Fig2.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4341495"/>
                    </a:xfrm>
                    <a:prstGeom prst="rect">
                      <a:avLst/>
                    </a:prstGeom>
                  </pic:spPr>
                </pic:pic>
              </a:graphicData>
            </a:graphic>
          </wp:inline>
        </w:drawing>
      </w:r>
      <w:bookmarkEnd w:id="11"/>
    </w:p>
    <w:p w:rsidR="006C323E" w:rsidRDefault="006C323E" w:rsidP="006C323E">
      <w:pPr>
        <w:spacing w:line="240" w:lineRule="auto"/>
      </w:pPr>
    </w:p>
    <w:p w:rsidR="00466368" w:rsidRPr="00466368" w:rsidRDefault="00466368" w:rsidP="00466368">
      <w:pPr>
        <w:tabs>
          <w:tab w:val="left" w:pos="2632"/>
        </w:tabs>
      </w:pPr>
    </w:p>
    <w:sectPr w:rsidR="00466368" w:rsidRPr="00466368" w:rsidSect="002E7E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C24" w:rsidRDefault="00750C24" w:rsidP="00176EC8">
      <w:pPr>
        <w:spacing w:line="240" w:lineRule="auto"/>
      </w:pPr>
      <w:r>
        <w:separator/>
      </w:r>
    </w:p>
  </w:endnote>
  <w:endnote w:type="continuationSeparator" w:id="0">
    <w:p w:rsidR="00750C24" w:rsidRDefault="00750C24" w:rsidP="00176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91433"/>
      <w:docPartObj>
        <w:docPartGallery w:val="Page Numbers (Bottom of Page)"/>
        <w:docPartUnique/>
      </w:docPartObj>
    </w:sdtPr>
    <w:sdtEndPr>
      <w:rPr>
        <w:noProof/>
      </w:rPr>
    </w:sdtEndPr>
    <w:sdtContent>
      <w:p w:rsidR="005E40A7" w:rsidRDefault="00B01833">
        <w:pPr>
          <w:pStyle w:val="Footer"/>
          <w:jc w:val="center"/>
        </w:pPr>
        <w:r>
          <w:rPr>
            <w:noProof/>
          </w:rPr>
          <w:fldChar w:fldCharType="begin"/>
        </w:r>
        <w:r w:rsidR="005E40A7">
          <w:rPr>
            <w:noProof/>
          </w:rPr>
          <w:instrText xml:space="preserve"> PAGE   \* MERGEFORMAT </w:instrText>
        </w:r>
        <w:r>
          <w:rPr>
            <w:noProof/>
          </w:rPr>
          <w:fldChar w:fldCharType="separate"/>
        </w:r>
        <w:r w:rsidR="009959C4">
          <w:rPr>
            <w:noProof/>
          </w:rPr>
          <w:t>17</w:t>
        </w:r>
        <w:r>
          <w:rPr>
            <w:noProof/>
          </w:rPr>
          <w:fldChar w:fldCharType="end"/>
        </w:r>
      </w:p>
    </w:sdtContent>
  </w:sdt>
  <w:p w:rsidR="005E40A7" w:rsidRDefault="005E4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C24" w:rsidRDefault="00750C24" w:rsidP="00176EC8">
      <w:pPr>
        <w:spacing w:line="240" w:lineRule="auto"/>
      </w:pPr>
      <w:r>
        <w:separator/>
      </w:r>
    </w:p>
  </w:footnote>
  <w:footnote w:type="continuationSeparator" w:id="0">
    <w:p w:rsidR="00750C24" w:rsidRDefault="00750C24" w:rsidP="00176E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B764A6"/>
    <w:multiLevelType w:val="multilevel"/>
    <w:tmpl w:val="FC003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dxvzf9zz5xx4e9rwavdv0yd2sxrwrdtet0&quot;&gt;My EndNote Library Copy&lt;record-ids&gt;&lt;item&gt;1077&lt;/item&gt;&lt;item&gt;1363&lt;/item&gt;&lt;item&gt;1382&lt;/item&gt;&lt;item&gt;2590&lt;/item&gt;&lt;item&gt;2659&lt;/item&gt;&lt;item&gt;2801&lt;/item&gt;&lt;item&gt;3622&lt;/item&gt;&lt;item&gt;3653&lt;/item&gt;&lt;item&gt;4015&lt;/item&gt;&lt;item&gt;4016&lt;/item&gt;&lt;item&gt;4122&lt;/item&gt;&lt;item&gt;5411&lt;/item&gt;&lt;item&gt;6866&lt;/item&gt;&lt;item&gt;6868&lt;/item&gt;&lt;item&gt;7827&lt;/item&gt;&lt;item&gt;7854&lt;/item&gt;&lt;item&gt;8069&lt;/item&gt;&lt;item&gt;8075&lt;/item&gt;&lt;item&gt;8091&lt;/item&gt;&lt;item&gt;8501&lt;/item&gt;&lt;item&gt;8663&lt;/item&gt;&lt;item&gt;9015&lt;/item&gt;&lt;item&gt;9449&lt;/item&gt;&lt;item&gt;9532&lt;/item&gt;&lt;item&gt;9552&lt;/item&gt;&lt;item&gt;9553&lt;/item&gt;&lt;item&gt;9633&lt;/item&gt;&lt;item&gt;9634&lt;/item&gt;&lt;item&gt;9635&lt;/item&gt;&lt;item&gt;9637&lt;/item&gt;&lt;item&gt;9638&lt;/item&gt;&lt;/record-ids&gt;&lt;/item&gt;&lt;/Libraries&gt;"/>
  </w:docVars>
  <w:rsids>
    <w:rsidRoot w:val="00403D9A"/>
    <w:rsid w:val="00000017"/>
    <w:rsid w:val="000005A8"/>
    <w:rsid w:val="00003D24"/>
    <w:rsid w:val="00005184"/>
    <w:rsid w:val="00007A28"/>
    <w:rsid w:val="00010518"/>
    <w:rsid w:val="0001087C"/>
    <w:rsid w:val="000110B8"/>
    <w:rsid w:val="00012F33"/>
    <w:rsid w:val="00013614"/>
    <w:rsid w:val="00013725"/>
    <w:rsid w:val="00014736"/>
    <w:rsid w:val="0001594C"/>
    <w:rsid w:val="00016256"/>
    <w:rsid w:val="0001715E"/>
    <w:rsid w:val="000210DD"/>
    <w:rsid w:val="0002194B"/>
    <w:rsid w:val="00022D3E"/>
    <w:rsid w:val="0002489A"/>
    <w:rsid w:val="000259B3"/>
    <w:rsid w:val="0002627A"/>
    <w:rsid w:val="000265E0"/>
    <w:rsid w:val="0002666A"/>
    <w:rsid w:val="00027F07"/>
    <w:rsid w:val="00030285"/>
    <w:rsid w:val="00031623"/>
    <w:rsid w:val="0003257F"/>
    <w:rsid w:val="000332E2"/>
    <w:rsid w:val="000341C3"/>
    <w:rsid w:val="000345EA"/>
    <w:rsid w:val="000373AC"/>
    <w:rsid w:val="00040F39"/>
    <w:rsid w:val="0004111C"/>
    <w:rsid w:val="0004135F"/>
    <w:rsid w:val="00042C60"/>
    <w:rsid w:val="000434F3"/>
    <w:rsid w:val="0004567C"/>
    <w:rsid w:val="00050292"/>
    <w:rsid w:val="000509B1"/>
    <w:rsid w:val="00050DB6"/>
    <w:rsid w:val="000537CB"/>
    <w:rsid w:val="000539CB"/>
    <w:rsid w:val="00054B3C"/>
    <w:rsid w:val="00055042"/>
    <w:rsid w:val="00055318"/>
    <w:rsid w:val="00055CA1"/>
    <w:rsid w:val="0005614F"/>
    <w:rsid w:val="000574C1"/>
    <w:rsid w:val="00060F65"/>
    <w:rsid w:val="00061647"/>
    <w:rsid w:val="0006171A"/>
    <w:rsid w:val="00061A27"/>
    <w:rsid w:val="000631AC"/>
    <w:rsid w:val="00065ECE"/>
    <w:rsid w:val="000675CE"/>
    <w:rsid w:val="000707EC"/>
    <w:rsid w:val="00071854"/>
    <w:rsid w:val="00072510"/>
    <w:rsid w:val="000744DE"/>
    <w:rsid w:val="0007556D"/>
    <w:rsid w:val="000759E8"/>
    <w:rsid w:val="000761CC"/>
    <w:rsid w:val="0007784A"/>
    <w:rsid w:val="000807C7"/>
    <w:rsid w:val="000809F0"/>
    <w:rsid w:val="000810D6"/>
    <w:rsid w:val="00083973"/>
    <w:rsid w:val="00083DDD"/>
    <w:rsid w:val="00091C7B"/>
    <w:rsid w:val="00092C3C"/>
    <w:rsid w:val="0009411D"/>
    <w:rsid w:val="000948FC"/>
    <w:rsid w:val="00094DF4"/>
    <w:rsid w:val="00095781"/>
    <w:rsid w:val="00095E17"/>
    <w:rsid w:val="0009683B"/>
    <w:rsid w:val="00097BC6"/>
    <w:rsid w:val="000A1CA7"/>
    <w:rsid w:val="000A23FA"/>
    <w:rsid w:val="000A6442"/>
    <w:rsid w:val="000A6D76"/>
    <w:rsid w:val="000A77F4"/>
    <w:rsid w:val="000B1101"/>
    <w:rsid w:val="000B131B"/>
    <w:rsid w:val="000B1FFF"/>
    <w:rsid w:val="000B3366"/>
    <w:rsid w:val="000B4379"/>
    <w:rsid w:val="000B52EF"/>
    <w:rsid w:val="000B5A6B"/>
    <w:rsid w:val="000B5E19"/>
    <w:rsid w:val="000B7EC4"/>
    <w:rsid w:val="000C46D5"/>
    <w:rsid w:val="000C6057"/>
    <w:rsid w:val="000C6CD7"/>
    <w:rsid w:val="000C6EA0"/>
    <w:rsid w:val="000D06C0"/>
    <w:rsid w:val="000D0F14"/>
    <w:rsid w:val="000D1436"/>
    <w:rsid w:val="000D1D2C"/>
    <w:rsid w:val="000D2C1C"/>
    <w:rsid w:val="000D62A1"/>
    <w:rsid w:val="000D655A"/>
    <w:rsid w:val="000D669F"/>
    <w:rsid w:val="000E0899"/>
    <w:rsid w:val="000E0DEB"/>
    <w:rsid w:val="000E1E97"/>
    <w:rsid w:val="000E2D4B"/>
    <w:rsid w:val="000E2FF6"/>
    <w:rsid w:val="000E4AC1"/>
    <w:rsid w:val="000E5A56"/>
    <w:rsid w:val="000E5C22"/>
    <w:rsid w:val="000E656F"/>
    <w:rsid w:val="000E75E9"/>
    <w:rsid w:val="000F08AC"/>
    <w:rsid w:val="000F184D"/>
    <w:rsid w:val="000F1856"/>
    <w:rsid w:val="000F2730"/>
    <w:rsid w:val="000F38C5"/>
    <w:rsid w:val="000F56F6"/>
    <w:rsid w:val="000F62D8"/>
    <w:rsid w:val="0010082B"/>
    <w:rsid w:val="001015AD"/>
    <w:rsid w:val="00101C2C"/>
    <w:rsid w:val="00101C9E"/>
    <w:rsid w:val="0010278A"/>
    <w:rsid w:val="00102C6E"/>
    <w:rsid w:val="00103A80"/>
    <w:rsid w:val="0010560F"/>
    <w:rsid w:val="00105BED"/>
    <w:rsid w:val="00105DB7"/>
    <w:rsid w:val="00105DF1"/>
    <w:rsid w:val="00106285"/>
    <w:rsid w:val="001102FD"/>
    <w:rsid w:val="00110CA9"/>
    <w:rsid w:val="0011117F"/>
    <w:rsid w:val="001126AB"/>
    <w:rsid w:val="0011478E"/>
    <w:rsid w:val="00114C60"/>
    <w:rsid w:val="00114E53"/>
    <w:rsid w:val="00114FFD"/>
    <w:rsid w:val="00116186"/>
    <w:rsid w:val="001223C9"/>
    <w:rsid w:val="001228E5"/>
    <w:rsid w:val="00122980"/>
    <w:rsid w:val="00122A13"/>
    <w:rsid w:val="00122AB9"/>
    <w:rsid w:val="001233B6"/>
    <w:rsid w:val="001245FB"/>
    <w:rsid w:val="00125EEA"/>
    <w:rsid w:val="001265B9"/>
    <w:rsid w:val="00130086"/>
    <w:rsid w:val="00130CDD"/>
    <w:rsid w:val="00132BA9"/>
    <w:rsid w:val="001379C4"/>
    <w:rsid w:val="001401A6"/>
    <w:rsid w:val="00141A34"/>
    <w:rsid w:val="00142414"/>
    <w:rsid w:val="00142984"/>
    <w:rsid w:val="00142B55"/>
    <w:rsid w:val="00144D25"/>
    <w:rsid w:val="00146140"/>
    <w:rsid w:val="00146978"/>
    <w:rsid w:val="00146BE6"/>
    <w:rsid w:val="0014758C"/>
    <w:rsid w:val="001509B0"/>
    <w:rsid w:val="001525A6"/>
    <w:rsid w:val="00153348"/>
    <w:rsid w:val="00153A5B"/>
    <w:rsid w:val="00156925"/>
    <w:rsid w:val="001572E4"/>
    <w:rsid w:val="00157566"/>
    <w:rsid w:val="00160DB7"/>
    <w:rsid w:val="00162626"/>
    <w:rsid w:val="0016396E"/>
    <w:rsid w:val="00164B8E"/>
    <w:rsid w:val="0016572C"/>
    <w:rsid w:val="001660D8"/>
    <w:rsid w:val="001662EF"/>
    <w:rsid w:val="001672F2"/>
    <w:rsid w:val="001674F1"/>
    <w:rsid w:val="001700A5"/>
    <w:rsid w:val="00170AF7"/>
    <w:rsid w:val="00170FC5"/>
    <w:rsid w:val="00171CE4"/>
    <w:rsid w:val="001744FC"/>
    <w:rsid w:val="0017459A"/>
    <w:rsid w:val="001761E3"/>
    <w:rsid w:val="00176E37"/>
    <w:rsid w:val="00176EC8"/>
    <w:rsid w:val="00177348"/>
    <w:rsid w:val="00180796"/>
    <w:rsid w:val="0018176D"/>
    <w:rsid w:val="00182394"/>
    <w:rsid w:val="00183162"/>
    <w:rsid w:val="00184488"/>
    <w:rsid w:val="00184CC5"/>
    <w:rsid w:val="00190C64"/>
    <w:rsid w:val="00191489"/>
    <w:rsid w:val="001917B9"/>
    <w:rsid w:val="0019364A"/>
    <w:rsid w:val="00193FD6"/>
    <w:rsid w:val="00194D0B"/>
    <w:rsid w:val="001968B2"/>
    <w:rsid w:val="001A0CE6"/>
    <w:rsid w:val="001A1252"/>
    <w:rsid w:val="001A1C1F"/>
    <w:rsid w:val="001A2EBB"/>
    <w:rsid w:val="001A3E97"/>
    <w:rsid w:val="001A4375"/>
    <w:rsid w:val="001A6832"/>
    <w:rsid w:val="001A6B53"/>
    <w:rsid w:val="001A7235"/>
    <w:rsid w:val="001A76EF"/>
    <w:rsid w:val="001B4058"/>
    <w:rsid w:val="001B595E"/>
    <w:rsid w:val="001B5B6F"/>
    <w:rsid w:val="001B75D1"/>
    <w:rsid w:val="001C129F"/>
    <w:rsid w:val="001C46E5"/>
    <w:rsid w:val="001C4922"/>
    <w:rsid w:val="001C4EA9"/>
    <w:rsid w:val="001C594E"/>
    <w:rsid w:val="001C5C20"/>
    <w:rsid w:val="001C79A5"/>
    <w:rsid w:val="001D1DDB"/>
    <w:rsid w:val="001D202B"/>
    <w:rsid w:val="001D2F82"/>
    <w:rsid w:val="001D2F8C"/>
    <w:rsid w:val="001D4C61"/>
    <w:rsid w:val="001D4D34"/>
    <w:rsid w:val="001D5D9F"/>
    <w:rsid w:val="001E0490"/>
    <w:rsid w:val="001E06AA"/>
    <w:rsid w:val="001E0DC8"/>
    <w:rsid w:val="001E1067"/>
    <w:rsid w:val="001E11D9"/>
    <w:rsid w:val="001E12E7"/>
    <w:rsid w:val="001E3A5C"/>
    <w:rsid w:val="001E3B08"/>
    <w:rsid w:val="001E62FD"/>
    <w:rsid w:val="001F351A"/>
    <w:rsid w:val="001F422B"/>
    <w:rsid w:val="001F4B49"/>
    <w:rsid w:val="001F5537"/>
    <w:rsid w:val="001F64BF"/>
    <w:rsid w:val="001F78D6"/>
    <w:rsid w:val="001F7F5D"/>
    <w:rsid w:val="002043EE"/>
    <w:rsid w:val="00205050"/>
    <w:rsid w:val="00206510"/>
    <w:rsid w:val="00206553"/>
    <w:rsid w:val="00210F2D"/>
    <w:rsid w:val="00212193"/>
    <w:rsid w:val="00212661"/>
    <w:rsid w:val="00213360"/>
    <w:rsid w:val="0021365F"/>
    <w:rsid w:val="00213770"/>
    <w:rsid w:val="00213FB0"/>
    <w:rsid w:val="0021691F"/>
    <w:rsid w:val="00217069"/>
    <w:rsid w:val="002216A3"/>
    <w:rsid w:val="00222FB4"/>
    <w:rsid w:val="00223176"/>
    <w:rsid w:val="002239EF"/>
    <w:rsid w:val="002250E1"/>
    <w:rsid w:val="00225C7C"/>
    <w:rsid w:val="00230C0C"/>
    <w:rsid w:val="00231C0B"/>
    <w:rsid w:val="00233545"/>
    <w:rsid w:val="00234B90"/>
    <w:rsid w:val="00237928"/>
    <w:rsid w:val="00237DBC"/>
    <w:rsid w:val="0024097B"/>
    <w:rsid w:val="00242E84"/>
    <w:rsid w:val="002433A8"/>
    <w:rsid w:val="00244742"/>
    <w:rsid w:val="00244AD4"/>
    <w:rsid w:val="002462E8"/>
    <w:rsid w:val="002465E4"/>
    <w:rsid w:val="002477B3"/>
    <w:rsid w:val="0025013F"/>
    <w:rsid w:val="0025538E"/>
    <w:rsid w:val="00257A92"/>
    <w:rsid w:val="00257BCC"/>
    <w:rsid w:val="0026218F"/>
    <w:rsid w:val="00264CA6"/>
    <w:rsid w:val="00265050"/>
    <w:rsid w:val="00267403"/>
    <w:rsid w:val="002702A0"/>
    <w:rsid w:val="00270F1A"/>
    <w:rsid w:val="002716B4"/>
    <w:rsid w:val="00272A41"/>
    <w:rsid w:val="002751FF"/>
    <w:rsid w:val="002807F5"/>
    <w:rsid w:val="00281E68"/>
    <w:rsid w:val="00282BDF"/>
    <w:rsid w:val="00283272"/>
    <w:rsid w:val="00283474"/>
    <w:rsid w:val="002837F9"/>
    <w:rsid w:val="00285118"/>
    <w:rsid w:val="002926EB"/>
    <w:rsid w:val="00297945"/>
    <w:rsid w:val="002A1811"/>
    <w:rsid w:val="002A19DF"/>
    <w:rsid w:val="002A3A44"/>
    <w:rsid w:val="002A74A4"/>
    <w:rsid w:val="002A79DF"/>
    <w:rsid w:val="002A7E0B"/>
    <w:rsid w:val="002B17F5"/>
    <w:rsid w:val="002B22BB"/>
    <w:rsid w:val="002B25D1"/>
    <w:rsid w:val="002B33E2"/>
    <w:rsid w:val="002B3981"/>
    <w:rsid w:val="002B5112"/>
    <w:rsid w:val="002B643B"/>
    <w:rsid w:val="002C2877"/>
    <w:rsid w:val="002C2D08"/>
    <w:rsid w:val="002C3A14"/>
    <w:rsid w:val="002C46D2"/>
    <w:rsid w:val="002C4BE3"/>
    <w:rsid w:val="002C5715"/>
    <w:rsid w:val="002C78C0"/>
    <w:rsid w:val="002D0B7E"/>
    <w:rsid w:val="002D145D"/>
    <w:rsid w:val="002D1790"/>
    <w:rsid w:val="002D2449"/>
    <w:rsid w:val="002D3643"/>
    <w:rsid w:val="002D5833"/>
    <w:rsid w:val="002E2503"/>
    <w:rsid w:val="002E2C32"/>
    <w:rsid w:val="002E2FAD"/>
    <w:rsid w:val="002E30D0"/>
    <w:rsid w:val="002E4C1A"/>
    <w:rsid w:val="002E5338"/>
    <w:rsid w:val="002E5A82"/>
    <w:rsid w:val="002E6492"/>
    <w:rsid w:val="002E7E5B"/>
    <w:rsid w:val="002F0820"/>
    <w:rsid w:val="002F0D06"/>
    <w:rsid w:val="002F13DE"/>
    <w:rsid w:val="002F18D3"/>
    <w:rsid w:val="002F1AEE"/>
    <w:rsid w:val="002F1CF2"/>
    <w:rsid w:val="002F522C"/>
    <w:rsid w:val="002F571B"/>
    <w:rsid w:val="002F7145"/>
    <w:rsid w:val="002F78B0"/>
    <w:rsid w:val="00302043"/>
    <w:rsid w:val="0030431D"/>
    <w:rsid w:val="00305357"/>
    <w:rsid w:val="00306DD5"/>
    <w:rsid w:val="003076B6"/>
    <w:rsid w:val="00307D53"/>
    <w:rsid w:val="0031063B"/>
    <w:rsid w:val="00311516"/>
    <w:rsid w:val="00312B7B"/>
    <w:rsid w:val="00312EFA"/>
    <w:rsid w:val="003132E3"/>
    <w:rsid w:val="00313421"/>
    <w:rsid w:val="00314CB9"/>
    <w:rsid w:val="003153FE"/>
    <w:rsid w:val="003200C0"/>
    <w:rsid w:val="00320FA8"/>
    <w:rsid w:val="00321E58"/>
    <w:rsid w:val="0032371E"/>
    <w:rsid w:val="00323AAB"/>
    <w:rsid w:val="00325B01"/>
    <w:rsid w:val="00325D96"/>
    <w:rsid w:val="003311F8"/>
    <w:rsid w:val="00331CCF"/>
    <w:rsid w:val="003331B6"/>
    <w:rsid w:val="00334864"/>
    <w:rsid w:val="0033657D"/>
    <w:rsid w:val="00336C21"/>
    <w:rsid w:val="0034119D"/>
    <w:rsid w:val="0034146F"/>
    <w:rsid w:val="00343A43"/>
    <w:rsid w:val="003449FF"/>
    <w:rsid w:val="00345F5C"/>
    <w:rsid w:val="00346616"/>
    <w:rsid w:val="003479E0"/>
    <w:rsid w:val="00347F50"/>
    <w:rsid w:val="00355065"/>
    <w:rsid w:val="00356EFB"/>
    <w:rsid w:val="00357242"/>
    <w:rsid w:val="00357CC1"/>
    <w:rsid w:val="00361BAD"/>
    <w:rsid w:val="00362FE9"/>
    <w:rsid w:val="003631B9"/>
    <w:rsid w:val="0036535B"/>
    <w:rsid w:val="00365985"/>
    <w:rsid w:val="00367C9B"/>
    <w:rsid w:val="0037576B"/>
    <w:rsid w:val="003761E4"/>
    <w:rsid w:val="00381153"/>
    <w:rsid w:val="00381A71"/>
    <w:rsid w:val="00384F07"/>
    <w:rsid w:val="00387BE9"/>
    <w:rsid w:val="0039140C"/>
    <w:rsid w:val="00392FD9"/>
    <w:rsid w:val="00393D7D"/>
    <w:rsid w:val="0039485D"/>
    <w:rsid w:val="00396985"/>
    <w:rsid w:val="003A0491"/>
    <w:rsid w:val="003A249D"/>
    <w:rsid w:val="003A2F38"/>
    <w:rsid w:val="003A3048"/>
    <w:rsid w:val="003A3978"/>
    <w:rsid w:val="003A7489"/>
    <w:rsid w:val="003B0F37"/>
    <w:rsid w:val="003B1002"/>
    <w:rsid w:val="003B1E7E"/>
    <w:rsid w:val="003B26E7"/>
    <w:rsid w:val="003B4CA9"/>
    <w:rsid w:val="003B548D"/>
    <w:rsid w:val="003B703D"/>
    <w:rsid w:val="003C216C"/>
    <w:rsid w:val="003C2974"/>
    <w:rsid w:val="003C336D"/>
    <w:rsid w:val="003C70AE"/>
    <w:rsid w:val="003D0C96"/>
    <w:rsid w:val="003D5175"/>
    <w:rsid w:val="003D63F7"/>
    <w:rsid w:val="003D6993"/>
    <w:rsid w:val="003D71A2"/>
    <w:rsid w:val="003E092F"/>
    <w:rsid w:val="003E0B4A"/>
    <w:rsid w:val="003E2909"/>
    <w:rsid w:val="003E4694"/>
    <w:rsid w:val="003E4D09"/>
    <w:rsid w:val="003E511E"/>
    <w:rsid w:val="003E5446"/>
    <w:rsid w:val="003F128F"/>
    <w:rsid w:val="003F1EE2"/>
    <w:rsid w:val="003F2686"/>
    <w:rsid w:val="003F27E3"/>
    <w:rsid w:val="003F29D8"/>
    <w:rsid w:val="003F3954"/>
    <w:rsid w:val="003F5853"/>
    <w:rsid w:val="003F6843"/>
    <w:rsid w:val="003F7A0F"/>
    <w:rsid w:val="0040010E"/>
    <w:rsid w:val="00400B8F"/>
    <w:rsid w:val="00403D9A"/>
    <w:rsid w:val="00404A93"/>
    <w:rsid w:val="004057B8"/>
    <w:rsid w:val="004077B2"/>
    <w:rsid w:val="00407938"/>
    <w:rsid w:val="00412523"/>
    <w:rsid w:val="004135BC"/>
    <w:rsid w:val="0041377C"/>
    <w:rsid w:val="0041432E"/>
    <w:rsid w:val="0041522D"/>
    <w:rsid w:val="0041716D"/>
    <w:rsid w:val="00423293"/>
    <w:rsid w:val="004271E6"/>
    <w:rsid w:val="00431673"/>
    <w:rsid w:val="00431DD5"/>
    <w:rsid w:val="00432CED"/>
    <w:rsid w:val="00432D16"/>
    <w:rsid w:val="00434E4D"/>
    <w:rsid w:val="0043504A"/>
    <w:rsid w:val="004351C2"/>
    <w:rsid w:val="00435F0A"/>
    <w:rsid w:val="00435FC9"/>
    <w:rsid w:val="0043652E"/>
    <w:rsid w:val="00440311"/>
    <w:rsid w:val="00442002"/>
    <w:rsid w:val="00442A75"/>
    <w:rsid w:val="00444193"/>
    <w:rsid w:val="00444EA3"/>
    <w:rsid w:val="00445458"/>
    <w:rsid w:val="004463BE"/>
    <w:rsid w:val="00447338"/>
    <w:rsid w:val="00447E3E"/>
    <w:rsid w:val="004500D1"/>
    <w:rsid w:val="0045103A"/>
    <w:rsid w:val="00453992"/>
    <w:rsid w:val="00454C84"/>
    <w:rsid w:val="00456160"/>
    <w:rsid w:val="00456738"/>
    <w:rsid w:val="00457432"/>
    <w:rsid w:val="00457833"/>
    <w:rsid w:val="004601FB"/>
    <w:rsid w:val="00461E1F"/>
    <w:rsid w:val="00463BD2"/>
    <w:rsid w:val="00466368"/>
    <w:rsid w:val="00470137"/>
    <w:rsid w:val="0047319A"/>
    <w:rsid w:val="004735FC"/>
    <w:rsid w:val="00473DF4"/>
    <w:rsid w:val="00475B7A"/>
    <w:rsid w:val="00476C29"/>
    <w:rsid w:val="00480A05"/>
    <w:rsid w:val="00481175"/>
    <w:rsid w:val="00481444"/>
    <w:rsid w:val="00481A5C"/>
    <w:rsid w:val="00481C43"/>
    <w:rsid w:val="00483AAB"/>
    <w:rsid w:val="00484FE5"/>
    <w:rsid w:val="004859B1"/>
    <w:rsid w:val="00487E70"/>
    <w:rsid w:val="004908E1"/>
    <w:rsid w:val="00491605"/>
    <w:rsid w:val="00493865"/>
    <w:rsid w:val="004954B1"/>
    <w:rsid w:val="004957B6"/>
    <w:rsid w:val="00495A87"/>
    <w:rsid w:val="00497B07"/>
    <w:rsid w:val="00497CE8"/>
    <w:rsid w:val="00497DD8"/>
    <w:rsid w:val="004A2F87"/>
    <w:rsid w:val="004A399F"/>
    <w:rsid w:val="004A7154"/>
    <w:rsid w:val="004A7FE8"/>
    <w:rsid w:val="004B0742"/>
    <w:rsid w:val="004B09B7"/>
    <w:rsid w:val="004B3287"/>
    <w:rsid w:val="004B3CBC"/>
    <w:rsid w:val="004B3F52"/>
    <w:rsid w:val="004B4960"/>
    <w:rsid w:val="004B5F4E"/>
    <w:rsid w:val="004B7D46"/>
    <w:rsid w:val="004C0683"/>
    <w:rsid w:val="004C0CE3"/>
    <w:rsid w:val="004C0E13"/>
    <w:rsid w:val="004C1E56"/>
    <w:rsid w:val="004C5879"/>
    <w:rsid w:val="004C5A75"/>
    <w:rsid w:val="004C5ABB"/>
    <w:rsid w:val="004C6EFF"/>
    <w:rsid w:val="004C7732"/>
    <w:rsid w:val="004C7BB3"/>
    <w:rsid w:val="004D06E8"/>
    <w:rsid w:val="004D0A2D"/>
    <w:rsid w:val="004D1ADB"/>
    <w:rsid w:val="004D2815"/>
    <w:rsid w:val="004D2BD1"/>
    <w:rsid w:val="004D2E0E"/>
    <w:rsid w:val="004D2ED0"/>
    <w:rsid w:val="004D3ACD"/>
    <w:rsid w:val="004D3FE9"/>
    <w:rsid w:val="004D53C9"/>
    <w:rsid w:val="004D57C4"/>
    <w:rsid w:val="004D5CA8"/>
    <w:rsid w:val="004E0BC3"/>
    <w:rsid w:val="004E22F3"/>
    <w:rsid w:val="004E4D31"/>
    <w:rsid w:val="004E6A5D"/>
    <w:rsid w:val="004E7DB6"/>
    <w:rsid w:val="004E7E0D"/>
    <w:rsid w:val="004F00D4"/>
    <w:rsid w:val="004F1105"/>
    <w:rsid w:val="004F1400"/>
    <w:rsid w:val="004F20BC"/>
    <w:rsid w:val="004F3012"/>
    <w:rsid w:val="004F3C13"/>
    <w:rsid w:val="004F46C7"/>
    <w:rsid w:val="004F5D5D"/>
    <w:rsid w:val="004F62F6"/>
    <w:rsid w:val="004F6965"/>
    <w:rsid w:val="004F785A"/>
    <w:rsid w:val="0050052D"/>
    <w:rsid w:val="00500DB7"/>
    <w:rsid w:val="00503199"/>
    <w:rsid w:val="0050426D"/>
    <w:rsid w:val="00504C54"/>
    <w:rsid w:val="00505653"/>
    <w:rsid w:val="00505F52"/>
    <w:rsid w:val="00511446"/>
    <w:rsid w:val="005114F7"/>
    <w:rsid w:val="00512934"/>
    <w:rsid w:val="0051294D"/>
    <w:rsid w:val="00513265"/>
    <w:rsid w:val="005146B7"/>
    <w:rsid w:val="00515A6F"/>
    <w:rsid w:val="00515F77"/>
    <w:rsid w:val="0051792A"/>
    <w:rsid w:val="00520250"/>
    <w:rsid w:val="00520AD5"/>
    <w:rsid w:val="00520BCB"/>
    <w:rsid w:val="00520E53"/>
    <w:rsid w:val="005214E1"/>
    <w:rsid w:val="0052252D"/>
    <w:rsid w:val="005228C2"/>
    <w:rsid w:val="005247C0"/>
    <w:rsid w:val="00525CE8"/>
    <w:rsid w:val="00526EBA"/>
    <w:rsid w:val="00527453"/>
    <w:rsid w:val="00527F70"/>
    <w:rsid w:val="005325CA"/>
    <w:rsid w:val="00532A79"/>
    <w:rsid w:val="0053438C"/>
    <w:rsid w:val="00535102"/>
    <w:rsid w:val="0054064D"/>
    <w:rsid w:val="005422F6"/>
    <w:rsid w:val="00542B76"/>
    <w:rsid w:val="00543DC7"/>
    <w:rsid w:val="0054424D"/>
    <w:rsid w:val="00545A20"/>
    <w:rsid w:val="0054660C"/>
    <w:rsid w:val="00546AA9"/>
    <w:rsid w:val="00553ED7"/>
    <w:rsid w:val="005552CF"/>
    <w:rsid w:val="005574F9"/>
    <w:rsid w:val="00564C81"/>
    <w:rsid w:val="00565D36"/>
    <w:rsid w:val="0056610E"/>
    <w:rsid w:val="00566651"/>
    <w:rsid w:val="005666F3"/>
    <w:rsid w:val="00570079"/>
    <w:rsid w:val="00570542"/>
    <w:rsid w:val="00572748"/>
    <w:rsid w:val="00573C2E"/>
    <w:rsid w:val="00580554"/>
    <w:rsid w:val="005812D7"/>
    <w:rsid w:val="0058189C"/>
    <w:rsid w:val="00581993"/>
    <w:rsid w:val="005853E8"/>
    <w:rsid w:val="00590600"/>
    <w:rsid w:val="00590780"/>
    <w:rsid w:val="00590FD9"/>
    <w:rsid w:val="00592A06"/>
    <w:rsid w:val="00593FD1"/>
    <w:rsid w:val="00595E85"/>
    <w:rsid w:val="0059733A"/>
    <w:rsid w:val="005978D3"/>
    <w:rsid w:val="00597BED"/>
    <w:rsid w:val="005A037D"/>
    <w:rsid w:val="005A0EEE"/>
    <w:rsid w:val="005A163F"/>
    <w:rsid w:val="005A20F3"/>
    <w:rsid w:val="005A237D"/>
    <w:rsid w:val="005A6B22"/>
    <w:rsid w:val="005A70FE"/>
    <w:rsid w:val="005A7D5E"/>
    <w:rsid w:val="005A7F6A"/>
    <w:rsid w:val="005B00A6"/>
    <w:rsid w:val="005B2125"/>
    <w:rsid w:val="005B709B"/>
    <w:rsid w:val="005B7802"/>
    <w:rsid w:val="005C0233"/>
    <w:rsid w:val="005C0B62"/>
    <w:rsid w:val="005C2C0D"/>
    <w:rsid w:val="005C56BC"/>
    <w:rsid w:val="005C6196"/>
    <w:rsid w:val="005D11AE"/>
    <w:rsid w:val="005D1B58"/>
    <w:rsid w:val="005D22EF"/>
    <w:rsid w:val="005D2585"/>
    <w:rsid w:val="005D28D6"/>
    <w:rsid w:val="005D6C1A"/>
    <w:rsid w:val="005D6C32"/>
    <w:rsid w:val="005D79B1"/>
    <w:rsid w:val="005E21A5"/>
    <w:rsid w:val="005E3775"/>
    <w:rsid w:val="005E40A7"/>
    <w:rsid w:val="005E66E6"/>
    <w:rsid w:val="005F0AD3"/>
    <w:rsid w:val="005F0F90"/>
    <w:rsid w:val="005F1110"/>
    <w:rsid w:val="005F1F08"/>
    <w:rsid w:val="005F3D47"/>
    <w:rsid w:val="005F4132"/>
    <w:rsid w:val="005F5413"/>
    <w:rsid w:val="005F5FDE"/>
    <w:rsid w:val="005F6047"/>
    <w:rsid w:val="005F7E09"/>
    <w:rsid w:val="00600519"/>
    <w:rsid w:val="00602DBF"/>
    <w:rsid w:val="00602FEF"/>
    <w:rsid w:val="006031C8"/>
    <w:rsid w:val="00603EFC"/>
    <w:rsid w:val="0060409D"/>
    <w:rsid w:val="006040C7"/>
    <w:rsid w:val="00607246"/>
    <w:rsid w:val="00607800"/>
    <w:rsid w:val="00610F9C"/>
    <w:rsid w:val="00611414"/>
    <w:rsid w:val="0061155A"/>
    <w:rsid w:val="0061269A"/>
    <w:rsid w:val="006139A9"/>
    <w:rsid w:val="00614117"/>
    <w:rsid w:val="00614AE0"/>
    <w:rsid w:val="00615EEF"/>
    <w:rsid w:val="0061735C"/>
    <w:rsid w:val="00620555"/>
    <w:rsid w:val="0062529C"/>
    <w:rsid w:val="0062639B"/>
    <w:rsid w:val="006306E6"/>
    <w:rsid w:val="00630A8C"/>
    <w:rsid w:val="00632ADF"/>
    <w:rsid w:val="00633B5F"/>
    <w:rsid w:val="00635822"/>
    <w:rsid w:val="00635EB3"/>
    <w:rsid w:val="006402A6"/>
    <w:rsid w:val="00641618"/>
    <w:rsid w:val="00641DA6"/>
    <w:rsid w:val="0064271E"/>
    <w:rsid w:val="006445DF"/>
    <w:rsid w:val="00645EB7"/>
    <w:rsid w:val="00647012"/>
    <w:rsid w:val="00647392"/>
    <w:rsid w:val="006477DC"/>
    <w:rsid w:val="00650C7E"/>
    <w:rsid w:val="006519D0"/>
    <w:rsid w:val="00651A8C"/>
    <w:rsid w:val="00653614"/>
    <w:rsid w:val="0065369E"/>
    <w:rsid w:val="00654CF9"/>
    <w:rsid w:val="00654D06"/>
    <w:rsid w:val="00655B47"/>
    <w:rsid w:val="00656B09"/>
    <w:rsid w:val="0066049B"/>
    <w:rsid w:val="00662697"/>
    <w:rsid w:val="00662C0E"/>
    <w:rsid w:val="00662CB5"/>
    <w:rsid w:val="00663B20"/>
    <w:rsid w:val="00663D94"/>
    <w:rsid w:val="0066469F"/>
    <w:rsid w:val="00664BD2"/>
    <w:rsid w:val="00665875"/>
    <w:rsid w:val="00666CCB"/>
    <w:rsid w:val="0066723A"/>
    <w:rsid w:val="0066748A"/>
    <w:rsid w:val="00667805"/>
    <w:rsid w:val="00670A56"/>
    <w:rsid w:val="00671B0D"/>
    <w:rsid w:val="00671DE4"/>
    <w:rsid w:val="00672371"/>
    <w:rsid w:val="00672AA8"/>
    <w:rsid w:val="006739E1"/>
    <w:rsid w:val="006764A1"/>
    <w:rsid w:val="006767CA"/>
    <w:rsid w:val="00677991"/>
    <w:rsid w:val="00681691"/>
    <w:rsid w:val="00693AA6"/>
    <w:rsid w:val="006945DD"/>
    <w:rsid w:val="00694E82"/>
    <w:rsid w:val="00695B96"/>
    <w:rsid w:val="006A0F65"/>
    <w:rsid w:val="006A1527"/>
    <w:rsid w:val="006A1949"/>
    <w:rsid w:val="006A2EAE"/>
    <w:rsid w:val="006A4443"/>
    <w:rsid w:val="006A4A95"/>
    <w:rsid w:val="006A5F9E"/>
    <w:rsid w:val="006A7AC9"/>
    <w:rsid w:val="006B0E5C"/>
    <w:rsid w:val="006B10B6"/>
    <w:rsid w:val="006B33E5"/>
    <w:rsid w:val="006B356A"/>
    <w:rsid w:val="006B4648"/>
    <w:rsid w:val="006B5DAE"/>
    <w:rsid w:val="006B5ED8"/>
    <w:rsid w:val="006B6D8F"/>
    <w:rsid w:val="006B6F48"/>
    <w:rsid w:val="006C015F"/>
    <w:rsid w:val="006C101F"/>
    <w:rsid w:val="006C323E"/>
    <w:rsid w:val="006C35CA"/>
    <w:rsid w:val="006C37C7"/>
    <w:rsid w:val="006C387B"/>
    <w:rsid w:val="006C4C35"/>
    <w:rsid w:val="006C501A"/>
    <w:rsid w:val="006C65E1"/>
    <w:rsid w:val="006C6E68"/>
    <w:rsid w:val="006D33BC"/>
    <w:rsid w:val="006E002D"/>
    <w:rsid w:val="006E09A1"/>
    <w:rsid w:val="006E4724"/>
    <w:rsid w:val="006E5DEE"/>
    <w:rsid w:val="006E732E"/>
    <w:rsid w:val="006E7BD0"/>
    <w:rsid w:val="006E7D8D"/>
    <w:rsid w:val="006F1933"/>
    <w:rsid w:val="006F1FBC"/>
    <w:rsid w:val="006F252F"/>
    <w:rsid w:val="006F4663"/>
    <w:rsid w:val="006F6EC1"/>
    <w:rsid w:val="007017B6"/>
    <w:rsid w:val="00702204"/>
    <w:rsid w:val="0070374E"/>
    <w:rsid w:val="00704760"/>
    <w:rsid w:val="00705BC8"/>
    <w:rsid w:val="00711615"/>
    <w:rsid w:val="00712A3E"/>
    <w:rsid w:val="007153F7"/>
    <w:rsid w:val="00717C23"/>
    <w:rsid w:val="00723F63"/>
    <w:rsid w:val="007263B3"/>
    <w:rsid w:val="00726A8A"/>
    <w:rsid w:val="007271B2"/>
    <w:rsid w:val="00727217"/>
    <w:rsid w:val="00730EBD"/>
    <w:rsid w:val="007317A9"/>
    <w:rsid w:val="007317E5"/>
    <w:rsid w:val="0073503B"/>
    <w:rsid w:val="00735B24"/>
    <w:rsid w:val="00737AF8"/>
    <w:rsid w:val="007412AF"/>
    <w:rsid w:val="00742162"/>
    <w:rsid w:val="00743F41"/>
    <w:rsid w:val="0074509E"/>
    <w:rsid w:val="00745181"/>
    <w:rsid w:val="007465E8"/>
    <w:rsid w:val="007468E5"/>
    <w:rsid w:val="00746D68"/>
    <w:rsid w:val="00747248"/>
    <w:rsid w:val="00750A52"/>
    <w:rsid w:val="00750C24"/>
    <w:rsid w:val="00753E28"/>
    <w:rsid w:val="007545B6"/>
    <w:rsid w:val="00754BDB"/>
    <w:rsid w:val="00754CB0"/>
    <w:rsid w:val="00754FEF"/>
    <w:rsid w:val="00755C06"/>
    <w:rsid w:val="0075682F"/>
    <w:rsid w:val="00757281"/>
    <w:rsid w:val="00757FB9"/>
    <w:rsid w:val="0076041C"/>
    <w:rsid w:val="00760B2D"/>
    <w:rsid w:val="007624B7"/>
    <w:rsid w:val="00762B70"/>
    <w:rsid w:val="00763881"/>
    <w:rsid w:val="00764121"/>
    <w:rsid w:val="00764523"/>
    <w:rsid w:val="007669DC"/>
    <w:rsid w:val="0076766B"/>
    <w:rsid w:val="00770152"/>
    <w:rsid w:val="00775135"/>
    <w:rsid w:val="007751D2"/>
    <w:rsid w:val="00775269"/>
    <w:rsid w:val="007758FC"/>
    <w:rsid w:val="00781EDF"/>
    <w:rsid w:val="00783C3C"/>
    <w:rsid w:val="007846D1"/>
    <w:rsid w:val="0078642B"/>
    <w:rsid w:val="00787AAC"/>
    <w:rsid w:val="00787B4A"/>
    <w:rsid w:val="0079017E"/>
    <w:rsid w:val="007A1426"/>
    <w:rsid w:val="007A24D4"/>
    <w:rsid w:val="007A3CCA"/>
    <w:rsid w:val="007A3CE7"/>
    <w:rsid w:val="007A7075"/>
    <w:rsid w:val="007A70DF"/>
    <w:rsid w:val="007A7B47"/>
    <w:rsid w:val="007B0547"/>
    <w:rsid w:val="007B1A7F"/>
    <w:rsid w:val="007B1E03"/>
    <w:rsid w:val="007B4142"/>
    <w:rsid w:val="007B41F3"/>
    <w:rsid w:val="007B4982"/>
    <w:rsid w:val="007B5B4B"/>
    <w:rsid w:val="007B7260"/>
    <w:rsid w:val="007C1313"/>
    <w:rsid w:val="007C316F"/>
    <w:rsid w:val="007C428E"/>
    <w:rsid w:val="007C4B11"/>
    <w:rsid w:val="007C657A"/>
    <w:rsid w:val="007C7BB7"/>
    <w:rsid w:val="007D034B"/>
    <w:rsid w:val="007D278A"/>
    <w:rsid w:val="007D303D"/>
    <w:rsid w:val="007D5AD8"/>
    <w:rsid w:val="007D6458"/>
    <w:rsid w:val="007E2B27"/>
    <w:rsid w:val="007E5AC3"/>
    <w:rsid w:val="007E5EBA"/>
    <w:rsid w:val="007E7360"/>
    <w:rsid w:val="007E7DC8"/>
    <w:rsid w:val="007F1F17"/>
    <w:rsid w:val="007F27E6"/>
    <w:rsid w:val="007F3478"/>
    <w:rsid w:val="007F407C"/>
    <w:rsid w:val="007F730D"/>
    <w:rsid w:val="00800C36"/>
    <w:rsid w:val="00802BFB"/>
    <w:rsid w:val="0080454E"/>
    <w:rsid w:val="00804585"/>
    <w:rsid w:val="00804A85"/>
    <w:rsid w:val="00804D26"/>
    <w:rsid w:val="008065FC"/>
    <w:rsid w:val="008068F3"/>
    <w:rsid w:val="008123C4"/>
    <w:rsid w:val="00812A5D"/>
    <w:rsid w:val="00814654"/>
    <w:rsid w:val="0082017F"/>
    <w:rsid w:val="008211F1"/>
    <w:rsid w:val="00823F46"/>
    <w:rsid w:val="008243B3"/>
    <w:rsid w:val="00825F92"/>
    <w:rsid w:val="00827387"/>
    <w:rsid w:val="00830546"/>
    <w:rsid w:val="008313FD"/>
    <w:rsid w:val="00831B43"/>
    <w:rsid w:val="0083388C"/>
    <w:rsid w:val="008357F9"/>
    <w:rsid w:val="00835E1D"/>
    <w:rsid w:val="008431E2"/>
    <w:rsid w:val="00844077"/>
    <w:rsid w:val="00844BA0"/>
    <w:rsid w:val="00844DC3"/>
    <w:rsid w:val="008451B2"/>
    <w:rsid w:val="008457C8"/>
    <w:rsid w:val="008463FC"/>
    <w:rsid w:val="008473BD"/>
    <w:rsid w:val="00847D9F"/>
    <w:rsid w:val="00847F78"/>
    <w:rsid w:val="00850615"/>
    <w:rsid w:val="008536BC"/>
    <w:rsid w:val="00856A9F"/>
    <w:rsid w:val="00856AB2"/>
    <w:rsid w:val="008625FC"/>
    <w:rsid w:val="00862A46"/>
    <w:rsid w:val="00862C46"/>
    <w:rsid w:val="008635A9"/>
    <w:rsid w:val="0086495C"/>
    <w:rsid w:val="00865629"/>
    <w:rsid w:val="008673E0"/>
    <w:rsid w:val="0086796D"/>
    <w:rsid w:val="0087071E"/>
    <w:rsid w:val="00871456"/>
    <w:rsid w:val="008728A4"/>
    <w:rsid w:val="00872AB9"/>
    <w:rsid w:val="0087394D"/>
    <w:rsid w:val="00875590"/>
    <w:rsid w:val="00875718"/>
    <w:rsid w:val="008835B5"/>
    <w:rsid w:val="00884A73"/>
    <w:rsid w:val="00884DA6"/>
    <w:rsid w:val="00884F6C"/>
    <w:rsid w:val="00886F66"/>
    <w:rsid w:val="0088795C"/>
    <w:rsid w:val="00890BDA"/>
    <w:rsid w:val="00890E8F"/>
    <w:rsid w:val="00892C24"/>
    <w:rsid w:val="00893834"/>
    <w:rsid w:val="00895597"/>
    <w:rsid w:val="0089768B"/>
    <w:rsid w:val="008976AA"/>
    <w:rsid w:val="008A181E"/>
    <w:rsid w:val="008A3B8E"/>
    <w:rsid w:val="008A3E87"/>
    <w:rsid w:val="008A491D"/>
    <w:rsid w:val="008A491E"/>
    <w:rsid w:val="008A50E0"/>
    <w:rsid w:val="008A56E6"/>
    <w:rsid w:val="008A62BC"/>
    <w:rsid w:val="008B080C"/>
    <w:rsid w:val="008B10D0"/>
    <w:rsid w:val="008B1A8D"/>
    <w:rsid w:val="008B1A94"/>
    <w:rsid w:val="008B28D5"/>
    <w:rsid w:val="008B2ECB"/>
    <w:rsid w:val="008B327F"/>
    <w:rsid w:val="008B6FAA"/>
    <w:rsid w:val="008B772C"/>
    <w:rsid w:val="008C0590"/>
    <w:rsid w:val="008C1F98"/>
    <w:rsid w:val="008C2175"/>
    <w:rsid w:val="008C21E3"/>
    <w:rsid w:val="008C2693"/>
    <w:rsid w:val="008C3A12"/>
    <w:rsid w:val="008C5103"/>
    <w:rsid w:val="008D07AC"/>
    <w:rsid w:val="008D0EAE"/>
    <w:rsid w:val="008D261A"/>
    <w:rsid w:val="008D2D41"/>
    <w:rsid w:val="008D39F6"/>
    <w:rsid w:val="008D48DE"/>
    <w:rsid w:val="008D6C4F"/>
    <w:rsid w:val="008E0246"/>
    <w:rsid w:val="008E1328"/>
    <w:rsid w:val="008E20F4"/>
    <w:rsid w:val="008E2D74"/>
    <w:rsid w:val="008E3B56"/>
    <w:rsid w:val="008F01AD"/>
    <w:rsid w:val="008F155E"/>
    <w:rsid w:val="008F288F"/>
    <w:rsid w:val="008F29A6"/>
    <w:rsid w:val="008F2E1A"/>
    <w:rsid w:val="008F40C8"/>
    <w:rsid w:val="008F457D"/>
    <w:rsid w:val="008F4C42"/>
    <w:rsid w:val="008F4FE1"/>
    <w:rsid w:val="00900ABB"/>
    <w:rsid w:val="00904929"/>
    <w:rsid w:val="009052A6"/>
    <w:rsid w:val="009054A0"/>
    <w:rsid w:val="009069F8"/>
    <w:rsid w:val="00906D1F"/>
    <w:rsid w:val="00907C43"/>
    <w:rsid w:val="0091088E"/>
    <w:rsid w:val="00912E18"/>
    <w:rsid w:val="00913B89"/>
    <w:rsid w:val="00913C60"/>
    <w:rsid w:val="00914006"/>
    <w:rsid w:val="00916D6C"/>
    <w:rsid w:val="00920236"/>
    <w:rsid w:val="00922651"/>
    <w:rsid w:val="00923872"/>
    <w:rsid w:val="00923DCE"/>
    <w:rsid w:val="009247C9"/>
    <w:rsid w:val="00927C60"/>
    <w:rsid w:val="00927F46"/>
    <w:rsid w:val="00930922"/>
    <w:rsid w:val="00931C38"/>
    <w:rsid w:val="00931FF2"/>
    <w:rsid w:val="00937595"/>
    <w:rsid w:val="00941443"/>
    <w:rsid w:val="0094148D"/>
    <w:rsid w:val="0094193B"/>
    <w:rsid w:val="009422DB"/>
    <w:rsid w:val="009449F0"/>
    <w:rsid w:val="00950C83"/>
    <w:rsid w:val="00952DD6"/>
    <w:rsid w:val="009564FE"/>
    <w:rsid w:val="00956BB8"/>
    <w:rsid w:val="00960214"/>
    <w:rsid w:val="00960A24"/>
    <w:rsid w:val="009613F2"/>
    <w:rsid w:val="00962B57"/>
    <w:rsid w:val="009634AB"/>
    <w:rsid w:val="00963F0F"/>
    <w:rsid w:val="00965028"/>
    <w:rsid w:val="00965F97"/>
    <w:rsid w:val="0096616D"/>
    <w:rsid w:val="009661A0"/>
    <w:rsid w:val="00970173"/>
    <w:rsid w:val="00971183"/>
    <w:rsid w:val="009721F2"/>
    <w:rsid w:val="009738E8"/>
    <w:rsid w:val="009746CC"/>
    <w:rsid w:val="00974A44"/>
    <w:rsid w:val="009771A0"/>
    <w:rsid w:val="00977316"/>
    <w:rsid w:val="009777CB"/>
    <w:rsid w:val="00977A8D"/>
    <w:rsid w:val="00980191"/>
    <w:rsid w:val="0098064B"/>
    <w:rsid w:val="00981745"/>
    <w:rsid w:val="00981904"/>
    <w:rsid w:val="00983710"/>
    <w:rsid w:val="009857AE"/>
    <w:rsid w:val="00985E55"/>
    <w:rsid w:val="00986B62"/>
    <w:rsid w:val="00986C41"/>
    <w:rsid w:val="00990089"/>
    <w:rsid w:val="00990ADF"/>
    <w:rsid w:val="00991584"/>
    <w:rsid w:val="00992A50"/>
    <w:rsid w:val="00992DB3"/>
    <w:rsid w:val="009958B8"/>
    <w:rsid w:val="009959C4"/>
    <w:rsid w:val="0099605F"/>
    <w:rsid w:val="009A0D94"/>
    <w:rsid w:val="009A11D5"/>
    <w:rsid w:val="009A1CD3"/>
    <w:rsid w:val="009A2162"/>
    <w:rsid w:val="009A24A9"/>
    <w:rsid w:val="009A2FE2"/>
    <w:rsid w:val="009A6456"/>
    <w:rsid w:val="009B057D"/>
    <w:rsid w:val="009B099F"/>
    <w:rsid w:val="009B3A15"/>
    <w:rsid w:val="009B5EDD"/>
    <w:rsid w:val="009B6F78"/>
    <w:rsid w:val="009C1743"/>
    <w:rsid w:val="009C1ED6"/>
    <w:rsid w:val="009C23EB"/>
    <w:rsid w:val="009C3D7D"/>
    <w:rsid w:val="009C6518"/>
    <w:rsid w:val="009D393A"/>
    <w:rsid w:val="009D62DC"/>
    <w:rsid w:val="009D75CA"/>
    <w:rsid w:val="009D7C1E"/>
    <w:rsid w:val="009E23AA"/>
    <w:rsid w:val="009E2540"/>
    <w:rsid w:val="009E3C43"/>
    <w:rsid w:val="009E439B"/>
    <w:rsid w:val="009E6D56"/>
    <w:rsid w:val="009F0C57"/>
    <w:rsid w:val="009F206C"/>
    <w:rsid w:val="009F2118"/>
    <w:rsid w:val="009F2B1E"/>
    <w:rsid w:val="009F3607"/>
    <w:rsid w:val="009F4FB7"/>
    <w:rsid w:val="009F599C"/>
    <w:rsid w:val="009F7882"/>
    <w:rsid w:val="00A0127B"/>
    <w:rsid w:val="00A03B1E"/>
    <w:rsid w:val="00A04231"/>
    <w:rsid w:val="00A042DA"/>
    <w:rsid w:val="00A048AA"/>
    <w:rsid w:val="00A05BAE"/>
    <w:rsid w:val="00A063B3"/>
    <w:rsid w:val="00A0787A"/>
    <w:rsid w:val="00A07EE6"/>
    <w:rsid w:val="00A11771"/>
    <w:rsid w:val="00A1266B"/>
    <w:rsid w:val="00A13292"/>
    <w:rsid w:val="00A13DD7"/>
    <w:rsid w:val="00A15C98"/>
    <w:rsid w:val="00A17CB3"/>
    <w:rsid w:val="00A2317E"/>
    <w:rsid w:val="00A247D5"/>
    <w:rsid w:val="00A26992"/>
    <w:rsid w:val="00A30E18"/>
    <w:rsid w:val="00A319D9"/>
    <w:rsid w:val="00A349DB"/>
    <w:rsid w:val="00A351C5"/>
    <w:rsid w:val="00A360DB"/>
    <w:rsid w:val="00A367D3"/>
    <w:rsid w:val="00A410A4"/>
    <w:rsid w:val="00A412D4"/>
    <w:rsid w:val="00A4189A"/>
    <w:rsid w:val="00A44D32"/>
    <w:rsid w:val="00A45363"/>
    <w:rsid w:val="00A45B10"/>
    <w:rsid w:val="00A45E99"/>
    <w:rsid w:val="00A47206"/>
    <w:rsid w:val="00A47C3C"/>
    <w:rsid w:val="00A505E2"/>
    <w:rsid w:val="00A5188C"/>
    <w:rsid w:val="00A529B4"/>
    <w:rsid w:val="00A5373D"/>
    <w:rsid w:val="00A5685C"/>
    <w:rsid w:val="00A5790A"/>
    <w:rsid w:val="00A57969"/>
    <w:rsid w:val="00A57BF1"/>
    <w:rsid w:val="00A62099"/>
    <w:rsid w:val="00A62640"/>
    <w:rsid w:val="00A62B2B"/>
    <w:rsid w:val="00A642EB"/>
    <w:rsid w:val="00A643C8"/>
    <w:rsid w:val="00A64616"/>
    <w:rsid w:val="00A66411"/>
    <w:rsid w:val="00A6675F"/>
    <w:rsid w:val="00A67DFB"/>
    <w:rsid w:val="00A70F93"/>
    <w:rsid w:val="00A71F85"/>
    <w:rsid w:val="00A72AFE"/>
    <w:rsid w:val="00A72D7F"/>
    <w:rsid w:val="00A73A6F"/>
    <w:rsid w:val="00A74E02"/>
    <w:rsid w:val="00A750EC"/>
    <w:rsid w:val="00A75B26"/>
    <w:rsid w:val="00A75D12"/>
    <w:rsid w:val="00A76284"/>
    <w:rsid w:val="00A76302"/>
    <w:rsid w:val="00A76DAB"/>
    <w:rsid w:val="00A771FC"/>
    <w:rsid w:val="00A77214"/>
    <w:rsid w:val="00A773E5"/>
    <w:rsid w:val="00A820C9"/>
    <w:rsid w:val="00A8289B"/>
    <w:rsid w:val="00A82F59"/>
    <w:rsid w:val="00A839F8"/>
    <w:rsid w:val="00A846DC"/>
    <w:rsid w:val="00A85989"/>
    <w:rsid w:val="00A8624C"/>
    <w:rsid w:val="00A867A5"/>
    <w:rsid w:val="00A87801"/>
    <w:rsid w:val="00A9119D"/>
    <w:rsid w:val="00A925CC"/>
    <w:rsid w:val="00A927D0"/>
    <w:rsid w:val="00A953CD"/>
    <w:rsid w:val="00A956E0"/>
    <w:rsid w:val="00A9667C"/>
    <w:rsid w:val="00A96EF2"/>
    <w:rsid w:val="00A97F54"/>
    <w:rsid w:val="00AA1E61"/>
    <w:rsid w:val="00AA2A52"/>
    <w:rsid w:val="00AA30F0"/>
    <w:rsid w:val="00AA43A5"/>
    <w:rsid w:val="00AA464A"/>
    <w:rsid w:val="00AA4C4E"/>
    <w:rsid w:val="00AA577E"/>
    <w:rsid w:val="00AA68CF"/>
    <w:rsid w:val="00AB029B"/>
    <w:rsid w:val="00AB078D"/>
    <w:rsid w:val="00AB0B08"/>
    <w:rsid w:val="00AB2789"/>
    <w:rsid w:val="00AB31E6"/>
    <w:rsid w:val="00AB39FB"/>
    <w:rsid w:val="00AB3BD9"/>
    <w:rsid w:val="00AB3CB4"/>
    <w:rsid w:val="00AB41B2"/>
    <w:rsid w:val="00AC0F3B"/>
    <w:rsid w:val="00AC1D50"/>
    <w:rsid w:val="00AC1FD7"/>
    <w:rsid w:val="00AC300B"/>
    <w:rsid w:val="00AC49A8"/>
    <w:rsid w:val="00AC5242"/>
    <w:rsid w:val="00AD0BF8"/>
    <w:rsid w:val="00AD0F9A"/>
    <w:rsid w:val="00AD2951"/>
    <w:rsid w:val="00AD2AA4"/>
    <w:rsid w:val="00AD52B0"/>
    <w:rsid w:val="00AD66A6"/>
    <w:rsid w:val="00AE2D94"/>
    <w:rsid w:val="00AE399C"/>
    <w:rsid w:val="00AE6122"/>
    <w:rsid w:val="00AE6B8A"/>
    <w:rsid w:val="00AF0AF3"/>
    <w:rsid w:val="00AF0B73"/>
    <w:rsid w:val="00AF1BD2"/>
    <w:rsid w:val="00AF200A"/>
    <w:rsid w:val="00AF344F"/>
    <w:rsid w:val="00AF4AC8"/>
    <w:rsid w:val="00AF5723"/>
    <w:rsid w:val="00AF60A4"/>
    <w:rsid w:val="00B00F34"/>
    <w:rsid w:val="00B01833"/>
    <w:rsid w:val="00B02247"/>
    <w:rsid w:val="00B1057A"/>
    <w:rsid w:val="00B12AF7"/>
    <w:rsid w:val="00B13C6D"/>
    <w:rsid w:val="00B145F0"/>
    <w:rsid w:val="00B15572"/>
    <w:rsid w:val="00B15745"/>
    <w:rsid w:val="00B166BF"/>
    <w:rsid w:val="00B20B0D"/>
    <w:rsid w:val="00B2142A"/>
    <w:rsid w:val="00B216B2"/>
    <w:rsid w:val="00B22258"/>
    <w:rsid w:val="00B22377"/>
    <w:rsid w:val="00B22AC7"/>
    <w:rsid w:val="00B23A3A"/>
    <w:rsid w:val="00B25778"/>
    <w:rsid w:val="00B26A39"/>
    <w:rsid w:val="00B26BE7"/>
    <w:rsid w:val="00B2713D"/>
    <w:rsid w:val="00B27C01"/>
    <w:rsid w:val="00B308EB"/>
    <w:rsid w:val="00B31547"/>
    <w:rsid w:val="00B34438"/>
    <w:rsid w:val="00B34A9B"/>
    <w:rsid w:val="00B34B1F"/>
    <w:rsid w:val="00B357B8"/>
    <w:rsid w:val="00B3757A"/>
    <w:rsid w:val="00B37B22"/>
    <w:rsid w:val="00B4028A"/>
    <w:rsid w:val="00B42106"/>
    <w:rsid w:val="00B42F69"/>
    <w:rsid w:val="00B42FA4"/>
    <w:rsid w:val="00B4436B"/>
    <w:rsid w:val="00B45059"/>
    <w:rsid w:val="00B45F42"/>
    <w:rsid w:val="00B471EA"/>
    <w:rsid w:val="00B47513"/>
    <w:rsid w:val="00B5066E"/>
    <w:rsid w:val="00B5376B"/>
    <w:rsid w:val="00B53F96"/>
    <w:rsid w:val="00B54D04"/>
    <w:rsid w:val="00B553AE"/>
    <w:rsid w:val="00B601A4"/>
    <w:rsid w:val="00B60299"/>
    <w:rsid w:val="00B649F9"/>
    <w:rsid w:val="00B65853"/>
    <w:rsid w:val="00B65BCA"/>
    <w:rsid w:val="00B66593"/>
    <w:rsid w:val="00B66A32"/>
    <w:rsid w:val="00B66B27"/>
    <w:rsid w:val="00B66BC8"/>
    <w:rsid w:val="00B67517"/>
    <w:rsid w:val="00B708AA"/>
    <w:rsid w:val="00B70A12"/>
    <w:rsid w:val="00B71D70"/>
    <w:rsid w:val="00B74732"/>
    <w:rsid w:val="00B74E45"/>
    <w:rsid w:val="00B74F2D"/>
    <w:rsid w:val="00B7585F"/>
    <w:rsid w:val="00B76380"/>
    <w:rsid w:val="00B76DDF"/>
    <w:rsid w:val="00B76FFF"/>
    <w:rsid w:val="00B80394"/>
    <w:rsid w:val="00B80C0F"/>
    <w:rsid w:val="00B81033"/>
    <w:rsid w:val="00B869BC"/>
    <w:rsid w:val="00B900DE"/>
    <w:rsid w:val="00B90728"/>
    <w:rsid w:val="00B92111"/>
    <w:rsid w:val="00B93265"/>
    <w:rsid w:val="00B943ED"/>
    <w:rsid w:val="00B969A5"/>
    <w:rsid w:val="00B972EF"/>
    <w:rsid w:val="00B97FE6"/>
    <w:rsid w:val="00BA12F9"/>
    <w:rsid w:val="00BA3575"/>
    <w:rsid w:val="00BA45F1"/>
    <w:rsid w:val="00BA484F"/>
    <w:rsid w:val="00BA4D61"/>
    <w:rsid w:val="00BA5127"/>
    <w:rsid w:val="00BA6C1A"/>
    <w:rsid w:val="00BB21B2"/>
    <w:rsid w:val="00BB35E1"/>
    <w:rsid w:val="00BB37FC"/>
    <w:rsid w:val="00BB384A"/>
    <w:rsid w:val="00BB4E12"/>
    <w:rsid w:val="00BB59D5"/>
    <w:rsid w:val="00BB5B54"/>
    <w:rsid w:val="00BB6FCF"/>
    <w:rsid w:val="00BB7069"/>
    <w:rsid w:val="00BB73D6"/>
    <w:rsid w:val="00BB775D"/>
    <w:rsid w:val="00BC0441"/>
    <w:rsid w:val="00BC15B9"/>
    <w:rsid w:val="00BC1B4C"/>
    <w:rsid w:val="00BC22AE"/>
    <w:rsid w:val="00BC4C5F"/>
    <w:rsid w:val="00BC4D0C"/>
    <w:rsid w:val="00BD0245"/>
    <w:rsid w:val="00BD161B"/>
    <w:rsid w:val="00BD3866"/>
    <w:rsid w:val="00BD456F"/>
    <w:rsid w:val="00BD46A0"/>
    <w:rsid w:val="00BD6D82"/>
    <w:rsid w:val="00BD7C28"/>
    <w:rsid w:val="00BE0EFA"/>
    <w:rsid w:val="00BE12E1"/>
    <w:rsid w:val="00BE137E"/>
    <w:rsid w:val="00BE1513"/>
    <w:rsid w:val="00BE19D3"/>
    <w:rsid w:val="00BE1EEE"/>
    <w:rsid w:val="00BE2E95"/>
    <w:rsid w:val="00BE4458"/>
    <w:rsid w:val="00BE4787"/>
    <w:rsid w:val="00BE4927"/>
    <w:rsid w:val="00BE5173"/>
    <w:rsid w:val="00BE55CF"/>
    <w:rsid w:val="00BF33C4"/>
    <w:rsid w:val="00BF4024"/>
    <w:rsid w:val="00BF4F48"/>
    <w:rsid w:val="00BF5574"/>
    <w:rsid w:val="00BF7618"/>
    <w:rsid w:val="00C0035B"/>
    <w:rsid w:val="00C02D9F"/>
    <w:rsid w:val="00C030DD"/>
    <w:rsid w:val="00C03E63"/>
    <w:rsid w:val="00C0482D"/>
    <w:rsid w:val="00C06C99"/>
    <w:rsid w:val="00C07887"/>
    <w:rsid w:val="00C11055"/>
    <w:rsid w:val="00C1212E"/>
    <w:rsid w:val="00C127B4"/>
    <w:rsid w:val="00C15F6B"/>
    <w:rsid w:val="00C1712F"/>
    <w:rsid w:val="00C1730A"/>
    <w:rsid w:val="00C1786A"/>
    <w:rsid w:val="00C200E7"/>
    <w:rsid w:val="00C2083A"/>
    <w:rsid w:val="00C227D9"/>
    <w:rsid w:val="00C24CA7"/>
    <w:rsid w:val="00C24F33"/>
    <w:rsid w:val="00C31443"/>
    <w:rsid w:val="00C328A7"/>
    <w:rsid w:val="00C33A5B"/>
    <w:rsid w:val="00C357A5"/>
    <w:rsid w:val="00C35898"/>
    <w:rsid w:val="00C36F2A"/>
    <w:rsid w:val="00C378C4"/>
    <w:rsid w:val="00C4002A"/>
    <w:rsid w:val="00C43850"/>
    <w:rsid w:val="00C46488"/>
    <w:rsid w:val="00C46799"/>
    <w:rsid w:val="00C47934"/>
    <w:rsid w:val="00C50411"/>
    <w:rsid w:val="00C511C8"/>
    <w:rsid w:val="00C516A0"/>
    <w:rsid w:val="00C539EB"/>
    <w:rsid w:val="00C54206"/>
    <w:rsid w:val="00C551C8"/>
    <w:rsid w:val="00C555E6"/>
    <w:rsid w:val="00C576E7"/>
    <w:rsid w:val="00C608D0"/>
    <w:rsid w:val="00C617BF"/>
    <w:rsid w:val="00C626E8"/>
    <w:rsid w:val="00C63F64"/>
    <w:rsid w:val="00C64E18"/>
    <w:rsid w:val="00C674C4"/>
    <w:rsid w:val="00C67F2B"/>
    <w:rsid w:val="00C704D1"/>
    <w:rsid w:val="00C71491"/>
    <w:rsid w:val="00C71DFA"/>
    <w:rsid w:val="00C728FA"/>
    <w:rsid w:val="00C7498D"/>
    <w:rsid w:val="00C77712"/>
    <w:rsid w:val="00C81990"/>
    <w:rsid w:val="00C82574"/>
    <w:rsid w:val="00C843CB"/>
    <w:rsid w:val="00C844BD"/>
    <w:rsid w:val="00C84E1B"/>
    <w:rsid w:val="00C84EA2"/>
    <w:rsid w:val="00C84F74"/>
    <w:rsid w:val="00C861CF"/>
    <w:rsid w:val="00C91433"/>
    <w:rsid w:val="00C926B6"/>
    <w:rsid w:val="00C92B1C"/>
    <w:rsid w:val="00C94DCE"/>
    <w:rsid w:val="00C9567D"/>
    <w:rsid w:val="00C95EBD"/>
    <w:rsid w:val="00C95F44"/>
    <w:rsid w:val="00CA06A3"/>
    <w:rsid w:val="00CA089E"/>
    <w:rsid w:val="00CA22C7"/>
    <w:rsid w:val="00CA5734"/>
    <w:rsid w:val="00CA5D6C"/>
    <w:rsid w:val="00CA5F76"/>
    <w:rsid w:val="00CA6821"/>
    <w:rsid w:val="00CA7C4E"/>
    <w:rsid w:val="00CB0D25"/>
    <w:rsid w:val="00CB0D59"/>
    <w:rsid w:val="00CB5E0D"/>
    <w:rsid w:val="00CB6344"/>
    <w:rsid w:val="00CC0698"/>
    <w:rsid w:val="00CC0A8D"/>
    <w:rsid w:val="00CC2B71"/>
    <w:rsid w:val="00CC5116"/>
    <w:rsid w:val="00CC5DD5"/>
    <w:rsid w:val="00CC6AC5"/>
    <w:rsid w:val="00CC79FB"/>
    <w:rsid w:val="00CD0200"/>
    <w:rsid w:val="00CD02E0"/>
    <w:rsid w:val="00CD175F"/>
    <w:rsid w:val="00CD2BC3"/>
    <w:rsid w:val="00CD3C5A"/>
    <w:rsid w:val="00CD43E3"/>
    <w:rsid w:val="00CD4816"/>
    <w:rsid w:val="00CD4FE4"/>
    <w:rsid w:val="00CD6865"/>
    <w:rsid w:val="00CD7345"/>
    <w:rsid w:val="00CD7DD0"/>
    <w:rsid w:val="00CE024C"/>
    <w:rsid w:val="00CE082A"/>
    <w:rsid w:val="00CE1A4B"/>
    <w:rsid w:val="00CE1C04"/>
    <w:rsid w:val="00CE20C2"/>
    <w:rsid w:val="00CE5ECB"/>
    <w:rsid w:val="00CE76C8"/>
    <w:rsid w:val="00CF0D5C"/>
    <w:rsid w:val="00CF10BD"/>
    <w:rsid w:val="00CF114F"/>
    <w:rsid w:val="00CF11A5"/>
    <w:rsid w:val="00CF20EC"/>
    <w:rsid w:val="00CF4C18"/>
    <w:rsid w:val="00CF664F"/>
    <w:rsid w:val="00D00D0A"/>
    <w:rsid w:val="00D00D13"/>
    <w:rsid w:val="00D01954"/>
    <w:rsid w:val="00D023BD"/>
    <w:rsid w:val="00D02AF3"/>
    <w:rsid w:val="00D02BA7"/>
    <w:rsid w:val="00D02FC4"/>
    <w:rsid w:val="00D052D1"/>
    <w:rsid w:val="00D076A0"/>
    <w:rsid w:val="00D07AF3"/>
    <w:rsid w:val="00D10A00"/>
    <w:rsid w:val="00D11003"/>
    <w:rsid w:val="00D1152C"/>
    <w:rsid w:val="00D11AFC"/>
    <w:rsid w:val="00D120A0"/>
    <w:rsid w:val="00D122FA"/>
    <w:rsid w:val="00D1305F"/>
    <w:rsid w:val="00D14A9F"/>
    <w:rsid w:val="00D16A2E"/>
    <w:rsid w:val="00D20DA4"/>
    <w:rsid w:val="00D232ED"/>
    <w:rsid w:val="00D267B6"/>
    <w:rsid w:val="00D314DA"/>
    <w:rsid w:val="00D328D6"/>
    <w:rsid w:val="00D33F62"/>
    <w:rsid w:val="00D349B3"/>
    <w:rsid w:val="00D36EFD"/>
    <w:rsid w:val="00D36F56"/>
    <w:rsid w:val="00D37302"/>
    <w:rsid w:val="00D40199"/>
    <w:rsid w:val="00D4045E"/>
    <w:rsid w:val="00D40FDA"/>
    <w:rsid w:val="00D41B93"/>
    <w:rsid w:val="00D43CAE"/>
    <w:rsid w:val="00D44166"/>
    <w:rsid w:val="00D458CD"/>
    <w:rsid w:val="00D46C5F"/>
    <w:rsid w:val="00D47827"/>
    <w:rsid w:val="00D47E74"/>
    <w:rsid w:val="00D50429"/>
    <w:rsid w:val="00D50492"/>
    <w:rsid w:val="00D50978"/>
    <w:rsid w:val="00D510AA"/>
    <w:rsid w:val="00D516E6"/>
    <w:rsid w:val="00D5244B"/>
    <w:rsid w:val="00D53082"/>
    <w:rsid w:val="00D54CBF"/>
    <w:rsid w:val="00D55755"/>
    <w:rsid w:val="00D557DD"/>
    <w:rsid w:val="00D55886"/>
    <w:rsid w:val="00D5618B"/>
    <w:rsid w:val="00D56F93"/>
    <w:rsid w:val="00D574A2"/>
    <w:rsid w:val="00D57C57"/>
    <w:rsid w:val="00D601B8"/>
    <w:rsid w:val="00D62882"/>
    <w:rsid w:val="00D6396E"/>
    <w:rsid w:val="00D640AC"/>
    <w:rsid w:val="00D659B3"/>
    <w:rsid w:val="00D660B8"/>
    <w:rsid w:val="00D66964"/>
    <w:rsid w:val="00D6735F"/>
    <w:rsid w:val="00D67774"/>
    <w:rsid w:val="00D6782B"/>
    <w:rsid w:val="00D70539"/>
    <w:rsid w:val="00D720AA"/>
    <w:rsid w:val="00D720EE"/>
    <w:rsid w:val="00D721F8"/>
    <w:rsid w:val="00D72BFE"/>
    <w:rsid w:val="00D77793"/>
    <w:rsid w:val="00D802C3"/>
    <w:rsid w:val="00D814FA"/>
    <w:rsid w:val="00D81C58"/>
    <w:rsid w:val="00D83906"/>
    <w:rsid w:val="00D844CF"/>
    <w:rsid w:val="00D84F45"/>
    <w:rsid w:val="00D857DC"/>
    <w:rsid w:val="00D86A14"/>
    <w:rsid w:val="00D90A31"/>
    <w:rsid w:val="00D91625"/>
    <w:rsid w:val="00D919BF"/>
    <w:rsid w:val="00D91CD7"/>
    <w:rsid w:val="00D92658"/>
    <w:rsid w:val="00D95498"/>
    <w:rsid w:val="00D96F27"/>
    <w:rsid w:val="00D9708E"/>
    <w:rsid w:val="00DA02ED"/>
    <w:rsid w:val="00DA0FB4"/>
    <w:rsid w:val="00DA3DD0"/>
    <w:rsid w:val="00DA5475"/>
    <w:rsid w:val="00DA5635"/>
    <w:rsid w:val="00DA5721"/>
    <w:rsid w:val="00DB02B4"/>
    <w:rsid w:val="00DB1903"/>
    <w:rsid w:val="00DB3C85"/>
    <w:rsid w:val="00DB4178"/>
    <w:rsid w:val="00DB4AD7"/>
    <w:rsid w:val="00DB4B65"/>
    <w:rsid w:val="00DB669D"/>
    <w:rsid w:val="00DC15AC"/>
    <w:rsid w:val="00DC1B71"/>
    <w:rsid w:val="00DC1C57"/>
    <w:rsid w:val="00DC536E"/>
    <w:rsid w:val="00DC5D42"/>
    <w:rsid w:val="00DC5FF7"/>
    <w:rsid w:val="00DD1925"/>
    <w:rsid w:val="00DD3775"/>
    <w:rsid w:val="00DD5071"/>
    <w:rsid w:val="00DD5574"/>
    <w:rsid w:val="00DD70D4"/>
    <w:rsid w:val="00DE01E2"/>
    <w:rsid w:val="00DE0FAA"/>
    <w:rsid w:val="00DE186C"/>
    <w:rsid w:val="00DE2178"/>
    <w:rsid w:val="00DE24D4"/>
    <w:rsid w:val="00DE73B1"/>
    <w:rsid w:val="00DF1398"/>
    <w:rsid w:val="00E02D6E"/>
    <w:rsid w:val="00E03357"/>
    <w:rsid w:val="00E0449F"/>
    <w:rsid w:val="00E04D6B"/>
    <w:rsid w:val="00E05150"/>
    <w:rsid w:val="00E05CEA"/>
    <w:rsid w:val="00E05FA3"/>
    <w:rsid w:val="00E06A55"/>
    <w:rsid w:val="00E0791B"/>
    <w:rsid w:val="00E10C61"/>
    <w:rsid w:val="00E11697"/>
    <w:rsid w:val="00E128A0"/>
    <w:rsid w:val="00E12F42"/>
    <w:rsid w:val="00E13B45"/>
    <w:rsid w:val="00E14EBD"/>
    <w:rsid w:val="00E21644"/>
    <w:rsid w:val="00E233F9"/>
    <w:rsid w:val="00E264BB"/>
    <w:rsid w:val="00E2654B"/>
    <w:rsid w:val="00E27CD5"/>
    <w:rsid w:val="00E3100D"/>
    <w:rsid w:val="00E32742"/>
    <w:rsid w:val="00E36920"/>
    <w:rsid w:val="00E36B9C"/>
    <w:rsid w:val="00E36C01"/>
    <w:rsid w:val="00E36F38"/>
    <w:rsid w:val="00E36F87"/>
    <w:rsid w:val="00E37A72"/>
    <w:rsid w:val="00E40C1D"/>
    <w:rsid w:val="00E41031"/>
    <w:rsid w:val="00E42A15"/>
    <w:rsid w:val="00E43FDE"/>
    <w:rsid w:val="00E44553"/>
    <w:rsid w:val="00E4622D"/>
    <w:rsid w:val="00E469A6"/>
    <w:rsid w:val="00E50DCF"/>
    <w:rsid w:val="00E520E7"/>
    <w:rsid w:val="00E52F1B"/>
    <w:rsid w:val="00E53013"/>
    <w:rsid w:val="00E57401"/>
    <w:rsid w:val="00E6003F"/>
    <w:rsid w:val="00E60A4F"/>
    <w:rsid w:val="00E60C9F"/>
    <w:rsid w:val="00E63130"/>
    <w:rsid w:val="00E63913"/>
    <w:rsid w:val="00E63FBA"/>
    <w:rsid w:val="00E64A7E"/>
    <w:rsid w:val="00E65B71"/>
    <w:rsid w:val="00E70868"/>
    <w:rsid w:val="00E728AB"/>
    <w:rsid w:val="00E764BA"/>
    <w:rsid w:val="00E768C5"/>
    <w:rsid w:val="00E84D9D"/>
    <w:rsid w:val="00E869B6"/>
    <w:rsid w:val="00E87C99"/>
    <w:rsid w:val="00E87CE8"/>
    <w:rsid w:val="00E90ECB"/>
    <w:rsid w:val="00E91F84"/>
    <w:rsid w:val="00E929F4"/>
    <w:rsid w:val="00E9372D"/>
    <w:rsid w:val="00E96498"/>
    <w:rsid w:val="00EA29AF"/>
    <w:rsid w:val="00EA4295"/>
    <w:rsid w:val="00EA7D2C"/>
    <w:rsid w:val="00EB0E2D"/>
    <w:rsid w:val="00EB204F"/>
    <w:rsid w:val="00EB323F"/>
    <w:rsid w:val="00EB3BF7"/>
    <w:rsid w:val="00EB6A6F"/>
    <w:rsid w:val="00EC366C"/>
    <w:rsid w:val="00ED1D14"/>
    <w:rsid w:val="00EE061D"/>
    <w:rsid w:val="00EE0F71"/>
    <w:rsid w:val="00EE1419"/>
    <w:rsid w:val="00EE1958"/>
    <w:rsid w:val="00EE1C56"/>
    <w:rsid w:val="00EE25BB"/>
    <w:rsid w:val="00EE33B2"/>
    <w:rsid w:val="00EE3EA0"/>
    <w:rsid w:val="00EE6EAC"/>
    <w:rsid w:val="00EF1061"/>
    <w:rsid w:val="00EF15CB"/>
    <w:rsid w:val="00EF1A4F"/>
    <w:rsid w:val="00EF31B2"/>
    <w:rsid w:val="00EF3E83"/>
    <w:rsid w:val="00EF428E"/>
    <w:rsid w:val="00EF5EDB"/>
    <w:rsid w:val="00EF6FDA"/>
    <w:rsid w:val="00F00C39"/>
    <w:rsid w:val="00F013C3"/>
    <w:rsid w:val="00F014E0"/>
    <w:rsid w:val="00F02DF8"/>
    <w:rsid w:val="00F03079"/>
    <w:rsid w:val="00F044CC"/>
    <w:rsid w:val="00F06EDF"/>
    <w:rsid w:val="00F12172"/>
    <w:rsid w:val="00F1343F"/>
    <w:rsid w:val="00F14F47"/>
    <w:rsid w:val="00F17BA9"/>
    <w:rsid w:val="00F20FBC"/>
    <w:rsid w:val="00F22E78"/>
    <w:rsid w:val="00F250CE"/>
    <w:rsid w:val="00F2618B"/>
    <w:rsid w:val="00F26F8C"/>
    <w:rsid w:val="00F27754"/>
    <w:rsid w:val="00F34C8F"/>
    <w:rsid w:val="00F34CE2"/>
    <w:rsid w:val="00F350EF"/>
    <w:rsid w:val="00F352D1"/>
    <w:rsid w:val="00F358E6"/>
    <w:rsid w:val="00F367D4"/>
    <w:rsid w:val="00F372F3"/>
    <w:rsid w:val="00F37FD6"/>
    <w:rsid w:val="00F40DD9"/>
    <w:rsid w:val="00F41121"/>
    <w:rsid w:val="00F42190"/>
    <w:rsid w:val="00F4499D"/>
    <w:rsid w:val="00F44AA2"/>
    <w:rsid w:val="00F45C7A"/>
    <w:rsid w:val="00F472E5"/>
    <w:rsid w:val="00F53911"/>
    <w:rsid w:val="00F54161"/>
    <w:rsid w:val="00F546EC"/>
    <w:rsid w:val="00F54EF6"/>
    <w:rsid w:val="00F56253"/>
    <w:rsid w:val="00F56E59"/>
    <w:rsid w:val="00F60D7C"/>
    <w:rsid w:val="00F62980"/>
    <w:rsid w:val="00F643C2"/>
    <w:rsid w:val="00F653E8"/>
    <w:rsid w:val="00F65D6B"/>
    <w:rsid w:val="00F66CDF"/>
    <w:rsid w:val="00F66DB3"/>
    <w:rsid w:val="00F671B0"/>
    <w:rsid w:val="00F6733E"/>
    <w:rsid w:val="00F73AA2"/>
    <w:rsid w:val="00F7401E"/>
    <w:rsid w:val="00F75908"/>
    <w:rsid w:val="00F75E65"/>
    <w:rsid w:val="00F775EA"/>
    <w:rsid w:val="00F776E0"/>
    <w:rsid w:val="00F806B0"/>
    <w:rsid w:val="00F831C1"/>
    <w:rsid w:val="00F84060"/>
    <w:rsid w:val="00F84529"/>
    <w:rsid w:val="00F84FB7"/>
    <w:rsid w:val="00F86058"/>
    <w:rsid w:val="00F869C2"/>
    <w:rsid w:val="00F86D36"/>
    <w:rsid w:val="00F87214"/>
    <w:rsid w:val="00F91042"/>
    <w:rsid w:val="00F91B2D"/>
    <w:rsid w:val="00F924F9"/>
    <w:rsid w:val="00F93EE6"/>
    <w:rsid w:val="00F94E9C"/>
    <w:rsid w:val="00F951E3"/>
    <w:rsid w:val="00F97CC1"/>
    <w:rsid w:val="00FA05B0"/>
    <w:rsid w:val="00FA14A2"/>
    <w:rsid w:val="00FA21A5"/>
    <w:rsid w:val="00FA35ED"/>
    <w:rsid w:val="00FA57E7"/>
    <w:rsid w:val="00FA7031"/>
    <w:rsid w:val="00FA71B2"/>
    <w:rsid w:val="00FB0641"/>
    <w:rsid w:val="00FB1559"/>
    <w:rsid w:val="00FB19D5"/>
    <w:rsid w:val="00FB1BDD"/>
    <w:rsid w:val="00FB26B4"/>
    <w:rsid w:val="00FB2B35"/>
    <w:rsid w:val="00FB2B56"/>
    <w:rsid w:val="00FB33D6"/>
    <w:rsid w:val="00FB3B17"/>
    <w:rsid w:val="00FB5916"/>
    <w:rsid w:val="00FB5F06"/>
    <w:rsid w:val="00FB775A"/>
    <w:rsid w:val="00FC0B5E"/>
    <w:rsid w:val="00FC11C2"/>
    <w:rsid w:val="00FC17AD"/>
    <w:rsid w:val="00FC1C45"/>
    <w:rsid w:val="00FC27F5"/>
    <w:rsid w:val="00FC2A90"/>
    <w:rsid w:val="00FC57A7"/>
    <w:rsid w:val="00FD1A2C"/>
    <w:rsid w:val="00FD2933"/>
    <w:rsid w:val="00FD3239"/>
    <w:rsid w:val="00FD3487"/>
    <w:rsid w:val="00FD3C70"/>
    <w:rsid w:val="00FD4D4D"/>
    <w:rsid w:val="00FD51F5"/>
    <w:rsid w:val="00FD5567"/>
    <w:rsid w:val="00FE0FD4"/>
    <w:rsid w:val="00FE1AD9"/>
    <w:rsid w:val="00FE43D7"/>
    <w:rsid w:val="00FE4B7F"/>
    <w:rsid w:val="00FE4D74"/>
    <w:rsid w:val="00FE612C"/>
    <w:rsid w:val="00FE7228"/>
    <w:rsid w:val="00FE7E14"/>
    <w:rsid w:val="00FF17D3"/>
    <w:rsid w:val="00FF25AA"/>
    <w:rsid w:val="00FF32F6"/>
    <w:rsid w:val="00FF4EB1"/>
    <w:rsid w:val="00FF62D4"/>
    <w:rsid w:val="00FF7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2CE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91E"/>
    <w:pPr>
      <w:spacing w:after="0" w:line="360" w:lineRule="auto"/>
    </w:pPr>
  </w:style>
  <w:style w:type="paragraph" w:styleId="Heading1">
    <w:name w:val="heading 1"/>
    <w:basedOn w:val="Normal"/>
    <w:next w:val="Normal"/>
    <w:link w:val="Heading1Char"/>
    <w:uiPriority w:val="9"/>
    <w:qFormat/>
    <w:rsid w:val="00590F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37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1377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06B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E5A5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FC0B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B5E"/>
    <w:rPr>
      <w:rFonts w:ascii="Segoe UI" w:hAnsi="Segoe UI" w:cs="Segoe UI"/>
      <w:sz w:val="18"/>
      <w:szCs w:val="18"/>
    </w:rPr>
  </w:style>
  <w:style w:type="table" w:styleId="TableGrid">
    <w:name w:val="Table Grid"/>
    <w:basedOn w:val="TableNormal"/>
    <w:uiPriority w:val="39"/>
    <w:rsid w:val="00BD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EC8"/>
    <w:pPr>
      <w:tabs>
        <w:tab w:val="center" w:pos="4513"/>
        <w:tab w:val="right" w:pos="9026"/>
      </w:tabs>
      <w:spacing w:line="240" w:lineRule="auto"/>
    </w:pPr>
  </w:style>
  <w:style w:type="character" w:customStyle="1" w:styleId="HeaderChar">
    <w:name w:val="Header Char"/>
    <w:basedOn w:val="DefaultParagraphFont"/>
    <w:link w:val="Header"/>
    <w:uiPriority w:val="99"/>
    <w:rsid w:val="00176EC8"/>
  </w:style>
  <w:style w:type="paragraph" w:styleId="Footer">
    <w:name w:val="footer"/>
    <w:basedOn w:val="Normal"/>
    <w:link w:val="FooterChar"/>
    <w:uiPriority w:val="99"/>
    <w:unhideWhenUsed/>
    <w:rsid w:val="00176EC8"/>
    <w:pPr>
      <w:tabs>
        <w:tab w:val="center" w:pos="4513"/>
        <w:tab w:val="right" w:pos="9026"/>
      </w:tabs>
      <w:spacing w:line="240" w:lineRule="auto"/>
    </w:pPr>
  </w:style>
  <w:style w:type="character" w:customStyle="1" w:styleId="FooterChar">
    <w:name w:val="Footer Char"/>
    <w:basedOn w:val="DefaultParagraphFont"/>
    <w:link w:val="Footer"/>
    <w:uiPriority w:val="99"/>
    <w:rsid w:val="00176EC8"/>
  </w:style>
  <w:style w:type="paragraph" w:styleId="ListParagraph">
    <w:name w:val="List Paragraph"/>
    <w:basedOn w:val="Normal"/>
    <w:uiPriority w:val="34"/>
    <w:qFormat/>
    <w:rsid w:val="00055042"/>
    <w:pPr>
      <w:ind w:left="720"/>
      <w:contextualSpacing/>
    </w:pPr>
  </w:style>
  <w:style w:type="character" w:customStyle="1" w:styleId="Heading2Char">
    <w:name w:val="Heading 2 Char"/>
    <w:basedOn w:val="DefaultParagraphFont"/>
    <w:link w:val="Heading2"/>
    <w:uiPriority w:val="9"/>
    <w:rsid w:val="004137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1377C"/>
    <w:rPr>
      <w:rFonts w:asciiTheme="majorHAnsi" w:eastAsiaTheme="majorEastAsia" w:hAnsiTheme="majorHAnsi" w:cstheme="majorBidi"/>
      <w:color w:val="1F4D78" w:themeColor="accent1" w:themeShade="7F"/>
      <w:sz w:val="24"/>
      <w:szCs w:val="24"/>
    </w:rPr>
  </w:style>
  <w:style w:type="character" w:customStyle="1" w:styleId="figure">
    <w:name w:val="figure"/>
    <w:basedOn w:val="DefaultParagraphFont"/>
    <w:rsid w:val="00A642EB"/>
  </w:style>
  <w:style w:type="character" w:styleId="Hyperlink">
    <w:name w:val="Hyperlink"/>
    <w:basedOn w:val="DefaultParagraphFont"/>
    <w:uiPriority w:val="99"/>
    <w:unhideWhenUsed/>
    <w:rsid w:val="00A642EB"/>
    <w:rPr>
      <w:color w:val="0000FF"/>
      <w:u w:val="single"/>
    </w:rPr>
  </w:style>
  <w:style w:type="character" w:customStyle="1" w:styleId="apple-converted-space">
    <w:name w:val="apple-converted-space"/>
    <w:basedOn w:val="DefaultParagraphFont"/>
    <w:rsid w:val="00D40199"/>
  </w:style>
  <w:style w:type="character" w:customStyle="1" w:styleId="Heading1Char">
    <w:name w:val="Heading 1 Char"/>
    <w:basedOn w:val="DefaultParagraphFont"/>
    <w:link w:val="Heading1"/>
    <w:uiPriority w:val="9"/>
    <w:rsid w:val="00590FD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90FD9"/>
    <w:rPr>
      <w:sz w:val="16"/>
      <w:szCs w:val="16"/>
    </w:rPr>
  </w:style>
  <w:style w:type="paragraph" w:styleId="CommentText">
    <w:name w:val="annotation text"/>
    <w:basedOn w:val="Normal"/>
    <w:link w:val="CommentTextChar"/>
    <w:uiPriority w:val="99"/>
    <w:semiHidden/>
    <w:unhideWhenUsed/>
    <w:rsid w:val="00590FD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90FD9"/>
    <w:rPr>
      <w:sz w:val="20"/>
      <w:szCs w:val="20"/>
    </w:rPr>
  </w:style>
  <w:style w:type="paragraph" w:styleId="Revision">
    <w:name w:val="Revision"/>
    <w:hidden/>
    <w:uiPriority w:val="99"/>
    <w:semiHidden/>
    <w:rsid w:val="005B00A6"/>
    <w:pPr>
      <w:spacing w:after="0" w:line="240" w:lineRule="auto"/>
    </w:pPr>
  </w:style>
  <w:style w:type="paragraph" w:styleId="NormalWeb">
    <w:name w:val="Normal (Web)"/>
    <w:basedOn w:val="Normal"/>
    <w:uiPriority w:val="99"/>
    <w:semiHidden/>
    <w:unhideWhenUsed/>
    <w:rsid w:val="00E64A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4A7E"/>
    <w:rPr>
      <w:b/>
      <w:bCs/>
    </w:rPr>
  </w:style>
  <w:style w:type="character" w:styleId="Emphasis">
    <w:name w:val="Emphasis"/>
    <w:basedOn w:val="DefaultParagraphFont"/>
    <w:uiPriority w:val="20"/>
    <w:qFormat/>
    <w:rsid w:val="00E64A7E"/>
    <w:rPr>
      <w:i/>
      <w:iCs/>
    </w:rPr>
  </w:style>
  <w:style w:type="character" w:customStyle="1" w:styleId="Heading4Char">
    <w:name w:val="Heading 4 Char"/>
    <w:basedOn w:val="DefaultParagraphFont"/>
    <w:link w:val="Heading4"/>
    <w:uiPriority w:val="9"/>
    <w:semiHidden/>
    <w:rsid w:val="00F806B0"/>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44200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A4443"/>
    <w:pPr>
      <w:spacing w:after="0"/>
    </w:pPr>
    <w:rPr>
      <w:b/>
      <w:bCs/>
    </w:rPr>
  </w:style>
  <w:style w:type="character" w:customStyle="1" w:styleId="CommentSubjectChar">
    <w:name w:val="Comment Subject Char"/>
    <w:basedOn w:val="CommentTextChar"/>
    <w:link w:val="CommentSubject"/>
    <w:uiPriority w:val="99"/>
    <w:semiHidden/>
    <w:rsid w:val="006A4443"/>
    <w:rPr>
      <w:b/>
      <w:bCs/>
      <w:sz w:val="20"/>
      <w:szCs w:val="20"/>
    </w:rPr>
  </w:style>
  <w:style w:type="paragraph" w:customStyle="1" w:styleId="EndNoteBibliographyTitle">
    <w:name w:val="EndNote Bibliography Title"/>
    <w:basedOn w:val="Normal"/>
    <w:link w:val="EndNoteBibliographyTitleChar"/>
    <w:rsid w:val="00D46C5F"/>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D46C5F"/>
    <w:rPr>
      <w:rFonts w:ascii="Calibri" w:hAnsi="Calibri"/>
      <w:noProof/>
      <w:lang w:val="en-US"/>
    </w:rPr>
  </w:style>
  <w:style w:type="paragraph" w:customStyle="1" w:styleId="EndNoteBibliography">
    <w:name w:val="EndNote Bibliography"/>
    <w:basedOn w:val="Normal"/>
    <w:link w:val="EndNoteBibliographyChar"/>
    <w:rsid w:val="00D46C5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D46C5F"/>
    <w:rPr>
      <w:rFonts w:ascii="Calibri" w:hAnsi="Calibri"/>
      <w:noProof/>
      <w:lang w:val="en-US"/>
    </w:rPr>
  </w:style>
  <w:style w:type="paragraph" w:styleId="Quote">
    <w:name w:val="Quote"/>
    <w:basedOn w:val="Normal"/>
    <w:next w:val="Normal"/>
    <w:link w:val="QuoteChar"/>
    <w:uiPriority w:val="29"/>
    <w:qFormat/>
    <w:rsid w:val="00D33F62"/>
    <w:rPr>
      <w:i/>
      <w:iCs/>
      <w:color w:val="000000" w:themeColor="text1"/>
    </w:rPr>
  </w:style>
  <w:style w:type="character" w:customStyle="1" w:styleId="QuoteChar">
    <w:name w:val="Quote Char"/>
    <w:basedOn w:val="DefaultParagraphFont"/>
    <w:link w:val="Quote"/>
    <w:uiPriority w:val="29"/>
    <w:rsid w:val="00D33F62"/>
    <w:rPr>
      <w:i/>
      <w:iCs/>
      <w:color w:val="000000" w:themeColor="text1"/>
    </w:rPr>
  </w:style>
  <w:style w:type="paragraph" w:styleId="Bibliography">
    <w:name w:val="Bibliography"/>
    <w:basedOn w:val="Normal"/>
    <w:next w:val="Normal"/>
    <w:uiPriority w:val="37"/>
    <w:unhideWhenUsed/>
    <w:rsid w:val="003B0F37"/>
    <w:pPr>
      <w:tabs>
        <w:tab w:val="left" w:pos="384"/>
      </w:tabs>
      <w:spacing w:after="240" w:line="240" w:lineRule="auto"/>
      <w:ind w:left="384" w:hanging="384"/>
    </w:pPr>
  </w:style>
  <w:style w:type="character" w:customStyle="1" w:styleId="highwire-citation-authors">
    <w:name w:val="highwire-citation-authors"/>
    <w:basedOn w:val="DefaultParagraphFont"/>
    <w:rsid w:val="00595E85"/>
    <w:rPr>
      <w:sz w:val="24"/>
      <w:szCs w:val="24"/>
      <w:bdr w:val="none" w:sz="0" w:space="0" w:color="auto" w:frame="1"/>
      <w:vertAlign w:val="baseline"/>
    </w:rPr>
  </w:style>
  <w:style w:type="character" w:customStyle="1" w:styleId="highwire-citation-author2">
    <w:name w:val="highwire-citation-author2"/>
    <w:basedOn w:val="DefaultParagraphFont"/>
    <w:rsid w:val="00595E85"/>
    <w:rPr>
      <w:sz w:val="24"/>
      <w:szCs w:val="24"/>
      <w:bdr w:val="none" w:sz="0" w:space="0" w:color="auto" w:frame="1"/>
      <w:vertAlign w:val="baseline"/>
    </w:rPr>
  </w:style>
  <w:style w:type="character" w:customStyle="1" w:styleId="nlm-given-names">
    <w:name w:val="nlm-given-names"/>
    <w:basedOn w:val="DefaultParagraphFont"/>
    <w:rsid w:val="00595E85"/>
    <w:rPr>
      <w:sz w:val="24"/>
      <w:szCs w:val="24"/>
      <w:bdr w:val="none" w:sz="0" w:space="0" w:color="auto" w:frame="1"/>
      <w:vertAlign w:val="baseline"/>
    </w:rPr>
  </w:style>
  <w:style w:type="character" w:customStyle="1" w:styleId="nlm-surname">
    <w:name w:val="nlm-surname"/>
    <w:basedOn w:val="DefaultParagraphFont"/>
    <w:rsid w:val="00595E85"/>
    <w:rPr>
      <w:sz w:val="24"/>
      <w:szCs w:val="24"/>
      <w:bdr w:val="none" w:sz="0" w:space="0" w:color="auto" w:frame="1"/>
      <w:vertAlign w:val="baseline"/>
    </w:rPr>
  </w:style>
  <w:style w:type="character" w:customStyle="1" w:styleId="highwire-cite-metadata-journal">
    <w:name w:val="highwire-cite-metadata-journal"/>
    <w:basedOn w:val="DefaultParagraphFont"/>
    <w:rsid w:val="00595E85"/>
    <w:rPr>
      <w:sz w:val="24"/>
      <w:szCs w:val="24"/>
      <w:bdr w:val="none" w:sz="0" w:space="0" w:color="auto" w:frame="1"/>
      <w:vertAlign w:val="baseline"/>
    </w:rPr>
  </w:style>
  <w:style w:type="character" w:customStyle="1" w:styleId="highwire-cite-metadata-date">
    <w:name w:val="highwire-cite-metadata-date"/>
    <w:basedOn w:val="DefaultParagraphFont"/>
    <w:rsid w:val="00595E85"/>
    <w:rPr>
      <w:sz w:val="24"/>
      <w:szCs w:val="24"/>
      <w:bdr w:val="none" w:sz="0" w:space="0" w:color="auto" w:frame="1"/>
      <w:vertAlign w:val="baseline"/>
    </w:rPr>
  </w:style>
  <w:style w:type="character" w:customStyle="1" w:styleId="highwire-cite-metadata-volume">
    <w:name w:val="highwire-cite-metadata-volume"/>
    <w:basedOn w:val="DefaultParagraphFont"/>
    <w:rsid w:val="00595E85"/>
    <w:rPr>
      <w:sz w:val="24"/>
      <w:szCs w:val="24"/>
      <w:bdr w:val="none" w:sz="0" w:space="0" w:color="auto" w:frame="1"/>
      <w:vertAlign w:val="baseline"/>
    </w:rPr>
  </w:style>
  <w:style w:type="character" w:customStyle="1" w:styleId="highwire-cite-metadata-pages">
    <w:name w:val="highwire-cite-metadata-pages"/>
    <w:basedOn w:val="DefaultParagraphFont"/>
    <w:rsid w:val="00595E85"/>
    <w:rPr>
      <w:sz w:val="24"/>
      <w:szCs w:val="24"/>
      <w:bdr w:val="none" w:sz="0" w:space="0" w:color="auto" w:frame="1"/>
      <w:vertAlign w:val="baseline"/>
    </w:rPr>
  </w:style>
  <w:style w:type="character" w:customStyle="1" w:styleId="highwire-cite-metadata-doi">
    <w:name w:val="highwire-cite-metadata-doi"/>
    <w:basedOn w:val="DefaultParagraphFont"/>
    <w:rsid w:val="00595E85"/>
    <w:rPr>
      <w:sz w:val="24"/>
      <w:szCs w:val="24"/>
      <w:bdr w:val="none" w:sz="0" w:space="0" w:color="auto" w:frame="1"/>
      <w:vertAlign w:val="baseline"/>
    </w:rPr>
  </w:style>
  <w:style w:type="character" w:customStyle="1" w:styleId="label1">
    <w:name w:val="label1"/>
    <w:basedOn w:val="DefaultParagraphFont"/>
    <w:rsid w:val="00595E85"/>
    <w:rPr>
      <w:b/>
      <w:bCs/>
      <w:sz w:val="24"/>
      <w:szCs w:val="24"/>
      <w:bdr w:val="none" w:sz="0" w:space="0" w:color="auto" w:frame="1"/>
      <w:vertAlign w:val="baseline"/>
    </w:rPr>
  </w:style>
  <w:style w:type="paragraph" w:customStyle="1" w:styleId="commentcontentpara">
    <w:name w:val="commentcontentpara"/>
    <w:basedOn w:val="Normal"/>
    <w:rsid w:val="00DE01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320">
      <w:bodyDiv w:val="1"/>
      <w:marLeft w:val="0"/>
      <w:marRight w:val="0"/>
      <w:marTop w:val="0"/>
      <w:marBottom w:val="0"/>
      <w:divBdr>
        <w:top w:val="none" w:sz="0" w:space="0" w:color="auto"/>
        <w:left w:val="none" w:sz="0" w:space="0" w:color="auto"/>
        <w:bottom w:val="none" w:sz="0" w:space="0" w:color="auto"/>
        <w:right w:val="none" w:sz="0" w:space="0" w:color="auto"/>
      </w:divBdr>
    </w:div>
    <w:div w:id="7686616">
      <w:bodyDiv w:val="1"/>
      <w:marLeft w:val="0"/>
      <w:marRight w:val="0"/>
      <w:marTop w:val="0"/>
      <w:marBottom w:val="0"/>
      <w:divBdr>
        <w:top w:val="none" w:sz="0" w:space="0" w:color="auto"/>
        <w:left w:val="none" w:sz="0" w:space="0" w:color="auto"/>
        <w:bottom w:val="none" w:sz="0" w:space="0" w:color="auto"/>
        <w:right w:val="none" w:sz="0" w:space="0" w:color="auto"/>
      </w:divBdr>
    </w:div>
    <w:div w:id="63918969">
      <w:bodyDiv w:val="1"/>
      <w:marLeft w:val="0"/>
      <w:marRight w:val="0"/>
      <w:marTop w:val="0"/>
      <w:marBottom w:val="0"/>
      <w:divBdr>
        <w:top w:val="none" w:sz="0" w:space="0" w:color="auto"/>
        <w:left w:val="none" w:sz="0" w:space="0" w:color="auto"/>
        <w:bottom w:val="none" w:sz="0" w:space="0" w:color="auto"/>
        <w:right w:val="none" w:sz="0" w:space="0" w:color="auto"/>
      </w:divBdr>
    </w:div>
    <w:div w:id="78647845">
      <w:bodyDiv w:val="1"/>
      <w:marLeft w:val="0"/>
      <w:marRight w:val="0"/>
      <w:marTop w:val="0"/>
      <w:marBottom w:val="0"/>
      <w:divBdr>
        <w:top w:val="none" w:sz="0" w:space="0" w:color="auto"/>
        <w:left w:val="none" w:sz="0" w:space="0" w:color="auto"/>
        <w:bottom w:val="none" w:sz="0" w:space="0" w:color="auto"/>
        <w:right w:val="none" w:sz="0" w:space="0" w:color="auto"/>
      </w:divBdr>
    </w:div>
    <w:div w:id="100616205">
      <w:bodyDiv w:val="1"/>
      <w:marLeft w:val="0"/>
      <w:marRight w:val="0"/>
      <w:marTop w:val="0"/>
      <w:marBottom w:val="0"/>
      <w:divBdr>
        <w:top w:val="none" w:sz="0" w:space="0" w:color="auto"/>
        <w:left w:val="none" w:sz="0" w:space="0" w:color="auto"/>
        <w:bottom w:val="none" w:sz="0" w:space="0" w:color="auto"/>
        <w:right w:val="none" w:sz="0" w:space="0" w:color="auto"/>
      </w:divBdr>
    </w:div>
    <w:div w:id="100951725">
      <w:bodyDiv w:val="1"/>
      <w:marLeft w:val="0"/>
      <w:marRight w:val="0"/>
      <w:marTop w:val="0"/>
      <w:marBottom w:val="0"/>
      <w:divBdr>
        <w:top w:val="none" w:sz="0" w:space="0" w:color="auto"/>
        <w:left w:val="none" w:sz="0" w:space="0" w:color="auto"/>
        <w:bottom w:val="none" w:sz="0" w:space="0" w:color="auto"/>
        <w:right w:val="none" w:sz="0" w:space="0" w:color="auto"/>
      </w:divBdr>
    </w:div>
    <w:div w:id="115565337">
      <w:bodyDiv w:val="1"/>
      <w:marLeft w:val="0"/>
      <w:marRight w:val="0"/>
      <w:marTop w:val="0"/>
      <w:marBottom w:val="0"/>
      <w:divBdr>
        <w:top w:val="none" w:sz="0" w:space="0" w:color="auto"/>
        <w:left w:val="none" w:sz="0" w:space="0" w:color="auto"/>
        <w:bottom w:val="none" w:sz="0" w:space="0" w:color="auto"/>
        <w:right w:val="none" w:sz="0" w:space="0" w:color="auto"/>
      </w:divBdr>
    </w:div>
    <w:div w:id="118962825">
      <w:bodyDiv w:val="1"/>
      <w:marLeft w:val="0"/>
      <w:marRight w:val="0"/>
      <w:marTop w:val="0"/>
      <w:marBottom w:val="0"/>
      <w:divBdr>
        <w:top w:val="none" w:sz="0" w:space="0" w:color="auto"/>
        <w:left w:val="none" w:sz="0" w:space="0" w:color="auto"/>
        <w:bottom w:val="none" w:sz="0" w:space="0" w:color="auto"/>
        <w:right w:val="none" w:sz="0" w:space="0" w:color="auto"/>
      </w:divBdr>
    </w:div>
    <w:div w:id="156775654">
      <w:bodyDiv w:val="1"/>
      <w:marLeft w:val="0"/>
      <w:marRight w:val="0"/>
      <w:marTop w:val="0"/>
      <w:marBottom w:val="0"/>
      <w:divBdr>
        <w:top w:val="none" w:sz="0" w:space="0" w:color="auto"/>
        <w:left w:val="none" w:sz="0" w:space="0" w:color="auto"/>
        <w:bottom w:val="none" w:sz="0" w:space="0" w:color="auto"/>
        <w:right w:val="none" w:sz="0" w:space="0" w:color="auto"/>
      </w:divBdr>
      <w:divsChild>
        <w:div w:id="491799143">
          <w:marLeft w:val="0"/>
          <w:marRight w:val="0"/>
          <w:marTop w:val="100"/>
          <w:marBottom w:val="100"/>
          <w:divBdr>
            <w:top w:val="none" w:sz="0" w:space="0" w:color="auto"/>
            <w:left w:val="none" w:sz="0" w:space="0" w:color="auto"/>
            <w:bottom w:val="none" w:sz="0" w:space="0" w:color="auto"/>
            <w:right w:val="none" w:sz="0" w:space="0" w:color="auto"/>
          </w:divBdr>
          <w:divsChild>
            <w:div w:id="459763904">
              <w:marLeft w:val="0"/>
              <w:marRight w:val="0"/>
              <w:marTop w:val="0"/>
              <w:marBottom w:val="0"/>
              <w:divBdr>
                <w:top w:val="none" w:sz="0" w:space="0" w:color="auto"/>
                <w:left w:val="none" w:sz="0" w:space="0" w:color="auto"/>
                <w:bottom w:val="none" w:sz="0" w:space="0" w:color="auto"/>
                <w:right w:val="none" w:sz="0" w:space="0" w:color="auto"/>
              </w:divBdr>
              <w:divsChild>
                <w:div w:id="1031612499">
                  <w:marLeft w:val="105"/>
                  <w:marRight w:val="105"/>
                  <w:marTop w:val="150"/>
                  <w:marBottom w:val="150"/>
                  <w:divBdr>
                    <w:top w:val="none" w:sz="0" w:space="0" w:color="auto"/>
                    <w:left w:val="none" w:sz="0" w:space="0" w:color="auto"/>
                    <w:bottom w:val="none" w:sz="0" w:space="0" w:color="auto"/>
                    <w:right w:val="none" w:sz="0" w:space="0" w:color="auto"/>
                  </w:divBdr>
                  <w:divsChild>
                    <w:div w:id="437331348">
                      <w:marLeft w:val="0"/>
                      <w:marRight w:val="0"/>
                      <w:marTop w:val="0"/>
                      <w:marBottom w:val="0"/>
                      <w:divBdr>
                        <w:top w:val="none" w:sz="0" w:space="0" w:color="auto"/>
                        <w:left w:val="none" w:sz="0" w:space="0" w:color="auto"/>
                        <w:bottom w:val="none" w:sz="0" w:space="0" w:color="auto"/>
                        <w:right w:val="none" w:sz="0" w:space="0" w:color="auto"/>
                      </w:divBdr>
                      <w:divsChild>
                        <w:div w:id="2038235921">
                          <w:marLeft w:val="0"/>
                          <w:marRight w:val="0"/>
                          <w:marTop w:val="0"/>
                          <w:marBottom w:val="0"/>
                          <w:divBdr>
                            <w:top w:val="none" w:sz="0" w:space="0" w:color="auto"/>
                            <w:left w:val="none" w:sz="0" w:space="0" w:color="auto"/>
                            <w:bottom w:val="none" w:sz="0" w:space="0" w:color="auto"/>
                            <w:right w:val="none" w:sz="0" w:space="0" w:color="auto"/>
                          </w:divBdr>
                          <w:divsChild>
                            <w:div w:id="68893443">
                              <w:marLeft w:val="105"/>
                              <w:marRight w:val="105"/>
                              <w:marTop w:val="150"/>
                              <w:marBottom w:val="150"/>
                              <w:divBdr>
                                <w:top w:val="none" w:sz="0" w:space="0" w:color="auto"/>
                                <w:left w:val="none" w:sz="0" w:space="0" w:color="auto"/>
                                <w:bottom w:val="none" w:sz="0" w:space="0" w:color="auto"/>
                                <w:right w:val="none" w:sz="0" w:space="0" w:color="auto"/>
                              </w:divBdr>
                              <w:divsChild>
                                <w:div w:id="341246522">
                                  <w:marLeft w:val="0"/>
                                  <w:marRight w:val="0"/>
                                  <w:marTop w:val="0"/>
                                  <w:marBottom w:val="0"/>
                                  <w:divBdr>
                                    <w:top w:val="none" w:sz="0" w:space="0" w:color="auto"/>
                                    <w:left w:val="none" w:sz="0" w:space="0" w:color="auto"/>
                                    <w:bottom w:val="none" w:sz="0" w:space="0" w:color="auto"/>
                                    <w:right w:val="none" w:sz="0" w:space="0" w:color="auto"/>
                                  </w:divBdr>
                                  <w:divsChild>
                                    <w:div w:id="2051371697">
                                      <w:marLeft w:val="0"/>
                                      <w:marRight w:val="0"/>
                                      <w:marTop w:val="0"/>
                                      <w:marBottom w:val="0"/>
                                      <w:divBdr>
                                        <w:top w:val="none" w:sz="0" w:space="0" w:color="auto"/>
                                        <w:left w:val="none" w:sz="0" w:space="0" w:color="auto"/>
                                        <w:bottom w:val="none" w:sz="0" w:space="0" w:color="auto"/>
                                        <w:right w:val="none" w:sz="0" w:space="0" w:color="auto"/>
                                      </w:divBdr>
                                      <w:divsChild>
                                        <w:div w:id="543294407">
                                          <w:marLeft w:val="0"/>
                                          <w:marRight w:val="0"/>
                                          <w:marTop w:val="0"/>
                                          <w:marBottom w:val="0"/>
                                          <w:divBdr>
                                            <w:top w:val="none" w:sz="0" w:space="0" w:color="auto"/>
                                            <w:left w:val="none" w:sz="0" w:space="0" w:color="auto"/>
                                            <w:bottom w:val="none" w:sz="0" w:space="0" w:color="auto"/>
                                            <w:right w:val="none" w:sz="0" w:space="0" w:color="auto"/>
                                          </w:divBdr>
                                          <w:divsChild>
                                            <w:div w:id="456678467">
                                              <w:marLeft w:val="0"/>
                                              <w:marRight w:val="0"/>
                                              <w:marTop w:val="0"/>
                                              <w:marBottom w:val="0"/>
                                              <w:divBdr>
                                                <w:top w:val="none" w:sz="0" w:space="0" w:color="auto"/>
                                                <w:left w:val="none" w:sz="0" w:space="0" w:color="auto"/>
                                                <w:bottom w:val="none" w:sz="0" w:space="0" w:color="auto"/>
                                                <w:right w:val="none" w:sz="0" w:space="0" w:color="auto"/>
                                              </w:divBdr>
                                              <w:divsChild>
                                                <w:div w:id="2016572565">
                                                  <w:marLeft w:val="105"/>
                                                  <w:marRight w:val="105"/>
                                                  <w:marTop w:val="150"/>
                                                  <w:marBottom w:val="150"/>
                                                  <w:divBdr>
                                                    <w:top w:val="none" w:sz="0" w:space="0" w:color="auto"/>
                                                    <w:left w:val="none" w:sz="0" w:space="0" w:color="auto"/>
                                                    <w:bottom w:val="none" w:sz="0" w:space="0" w:color="auto"/>
                                                    <w:right w:val="none" w:sz="0" w:space="0" w:color="auto"/>
                                                  </w:divBdr>
                                                  <w:divsChild>
                                                    <w:div w:id="1040326604">
                                                      <w:marLeft w:val="0"/>
                                                      <w:marRight w:val="0"/>
                                                      <w:marTop w:val="0"/>
                                                      <w:marBottom w:val="0"/>
                                                      <w:divBdr>
                                                        <w:top w:val="none" w:sz="0" w:space="0" w:color="auto"/>
                                                        <w:left w:val="none" w:sz="0" w:space="0" w:color="auto"/>
                                                        <w:bottom w:val="none" w:sz="0" w:space="0" w:color="auto"/>
                                                        <w:right w:val="none" w:sz="0" w:space="0" w:color="auto"/>
                                                      </w:divBdr>
                                                      <w:divsChild>
                                                        <w:div w:id="181362119">
                                                          <w:marLeft w:val="0"/>
                                                          <w:marRight w:val="0"/>
                                                          <w:marTop w:val="0"/>
                                                          <w:marBottom w:val="0"/>
                                                          <w:divBdr>
                                                            <w:top w:val="none" w:sz="0" w:space="0" w:color="auto"/>
                                                            <w:left w:val="none" w:sz="0" w:space="0" w:color="auto"/>
                                                            <w:bottom w:val="none" w:sz="0" w:space="0" w:color="auto"/>
                                                            <w:right w:val="none" w:sz="0" w:space="0" w:color="auto"/>
                                                          </w:divBdr>
                                                          <w:divsChild>
                                                            <w:div w:id="463353850">
                                                              <w:marLeft w:val="0"/>
                                                              <w:marRight w:val="0"/>
                                                              <w:marTop w:val="0"/>
                                                              <w:marBottom w:val="0"/>
                                                              <w:divBdr>
                                                                <w:top w:val="none" w:sz="0" w:space="0" w:color="auto"/>
                                                                <w:left w:val="none" w:sz="0" w:space="0" w:color="auto"/>
                                                                <w:bottom w:val="none" w:sz="0" w:space="0" w:color="auto"/>
                                                                <w:right w:val="none" w:sz="0" w:space="0" w:color="auto"/>
                                                              </w:divBdr>
                                                              <w:divsChild>
                                                                <w:div w:id="293752271">
                                                                  <w:marLeft w:val="0"/>
                                                                  <w:marRight w:val="0"/>
                                                                  <w:marTop w:val="0"/>
                                                                  <w:marBottom w:val="0"/>
                                                                  <w:divBdr>
                                                                    <w:top w:val="none" w:sz="0" w:space="0" w:color="auto"/>
                                                                    <w:left w:val="none" w:sz="0" w:space="0" w:color="auto"/>
                                                                    <w:bottom w:val="none" w:sz="0" w:space="0" w:color="auto"/>
                                                                    <w:right w:val="none" w:sz="0" w:space="0" w:color="auto"/>
                                                                  </w:divBdr>
                                                                  <w:divsChild>
                                                                    <w:div w:id="160967787">
                                                                      <w:marLeft w:val="0"/>
                                                                      <w:marRight w:val="0"/>
                                                                      <w:marTop w:val="0"/>
                                                                      <w:marBottom w:val="0"/>
                                                                      <w:divBdr>
                                                                        <w:top w:val="none" w:sz="0" w:space="0" w:color="auto"/>
                                                                        <w:left w:val="none" w:sz="0" w:space="0" w:color="auto"/>
                                                                        <w:bottom w:val="none" w:sz="0" w:space="0" w:color="auto"/>
                                                                        <w:right w:val="none" w:sz="0" w:space="0" w:color="auto"/>
                                                                      </w:divBdr>
                                                                      <w:divsChild>
                                                                        <w:div w:id="1328485468">
                                                                          <w:marLeft w:val="105"/>
                                                                          <w:marRight w:val="105"/>
                                                                          <w:marTop w:val="150"/>
                                                                          <w:marBottom w:val="150"/>
                                                                          <w:divBdr>
                                                                            <w:top w:val="none" w:sz="0" w:space="0" w:color="auto"/>
                                                                            <w:left w:val="none" w:sz="0" w:space="0" w:color="auto"/>
                                                                            <w:bottom w:val="none" w:sz="0" w:space="0" w:color="auto"/>
                                                                            <w:right w:val="none" w:sz="0" w:space="0" w:color="auto"/>
                                                                          </w:divBdr>
                                                                          <w:divsChild>
                                                                            <w:div w:id="584344695">
                                                                              <w:marLeft w:val="0"/>
                                                                              <w:marRight w:val="0"/>
                                                                              <w:marTop w:val="0"/>
                                                                              <w:marBottom w:val="0"/>
                                                                              <w:divBdr>
                                                                                <w:top w:val="none" w:sz="0" w:space="0" w:color="auto"/>
                                                                                <w:left w:val="none" w:sz="0" w:space="0" w:color="auto"/>
                                                                                <w:bottom w:val="none" w:sz="0" w:space="0" w:color="auto"/>
                                                                                <w:right w:val="none" w:sz="0" w:space="0" w:color="auto"/>
                                                                              </w:divBdr>
                                                                              <w:divsChild>
                                                                                <w:div w:id="1611739467">
                                                                                  <w:marLeft w:val="0"/>
                                                                                  <w:marRight w:val="0"/>
                                                                                  <w:marTop w:val="0"/>
                                                                                  <w:marBottom w:val="0"/>
                                                                                  <w:divBdr>
                                                                                    <w:top w:val="none" w:sz="0" w:space="0" w:color="auto"/>
                                                                                    <w:left w:val="none" w:sz="0" w:space="0" w:color="auto"/>
                                                                                    <w:bottom w:val="none" w:sz="0" w:space="0" w:color="auto"/>
                                                                                    <w:right w:val="none" w:sz="0" w:space="0" w:color="auto"/>
                                                                                  </w:divBdr>
                                                                                  <w:divsChild>
                                                                                    <w:div w:id="205801613">
                                                                                      <w:marLeft w:val="0"/>
                                                                                      <w:marRight w:val="0"/>
                                                                                      <w:marTop w:val="0"/>
                                                                                      <w:marBottom w:val="0"/>
                                                                                      <w:divBdr>
                                                                                        <w:top w:val="none" w:sz="0" w:space="0" w:color="auto"/>
                                                                                        <w:left w:val="none" w:sz="0" w:space="0" w:color="auto"/>
                                                                                        <w:bottom w:val="none" w:sz="0" w:space="0" w:color="auto"/>
                                                                                        <w:right w:val="none" w:sz="0" w:space="0" w:color="auto"/>
                                                                                      </w:divBdr>
                                                                                    </w:div>
                                                                                    <w:div w:id="17533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94233">
      <w:bodyDiv w:val="1"/>
      <w:marLeft w:val="0"/>
      <w:marRight w:val="0"/>
      <w:marTop w:val="0"/>
      <w:marBottom w:val="0"/>
      <w:divBdr>
        <w:top w:val="none" w:sz="0" w:space="0" w:color="auto"/>
        <w:left w:val="none" w:sz="0" w:space="0" w:color="auto"/>
        <w:bottom w:val="none" w:sz="0" w:space="0" w:color="auto"/>
        <w:right w:val="none" w:sz="0" w:space="0" w:color="auto"/>
      </w:divBdr>
    </w:div>
    <w:div w:id="236280770">
      <w:bodyDiv w:val="1"/>
      <w:marLeft w:val="0"/>
      <w:marRight w:val="0"/>
      <w:marTop w:val="0"/>
      <w:marBottom w:val="0"/>
      <w:divBdr>
        <w:top w:val="none" w:sz="0" w:space="0" w:color="auto"/>
        <w:left w:val="none" w:sz="0" w:space="0" w:color="auto"/>
        <w:bottom w:val="none" w:sz="0" w:space="0" w:color="auto"/>
        <w:right w:val="none" w:sz="0" w:space="0" w:color="auto"/>
      </w:divBdr>
    </w:div>
    <w:div w:id="254436227">
      <w:bodyDiv w:val="1"/>
      <w:marLeft w:val="0"/>
      <w:marRight w:val="0"/>
      <w:marTop w:val="0"/>
      <w:marBottom w:val="0"/>
      <w:divBdr>
        <w:top w:val="none" w:sz="0" w:space="0" w:color="auto"/>
        <w:left w:val="none" w:sz="0" w:space="0" w:color="auto"/>
        <w:bottom w:val="none" w:sz="0" w:space="0" w:color="auto"/>
        <w:right w:val="none" w:sz="0" w:space="0" w:color="auto"/>
      </w:divBdr>
    </w:div>
    <w:div w:id="261227332">
      <w:bodyDiv w:val="1"/>
      <w:marLeft w:val="0"/>
      <w:marRight w:val="0"/>
      <w:marTop w:val="0"/>
      <w:marBottom w:val="0"/>
      <w:divBdr>
        <w:top w:val="none" w:sz="0" w:space="0" w:color="auto"/>
        <w:left w:val="none" w:sz="0" w:space="0" w:color="auto"/>
        <w:bottom w:val="none" w:sz="0" w:space="0" w:color="auto"/>
        <w:right w:val="none" w:sz="0" w:space="0" w:color="auto"/>
      </w:divBdr>
    </w:div>
    <w:div w:id="262569145">
      <w:bodyDiv w:val="1"/>
      <w:marLeft w:val="0"/>
      <w:marRight w:val="0"/>
      <w:marTop w:val="0"/>
      <w:marBottom w:val="0"/>
      <w:divBdr>
        <w:top w:val="none" w:sz="0" w:space="0" w:color="auto"/>
        <w:left w:val="none" w:sz="0" w:space="0" w:color="auto"/>
        <w:bottom w:val="none" w:sz="0" w:space="0" w:color="auto"/>
        <w:right w:val="none" w:sz="0" w:space="0" w:color="auto"/>
      </w:divBdr>
    </w:div>
    <w:div w:id="278610242">
      <w:bodyDiv w:val="1"/>
      <w:marLeft w:val="0"/>
      <w:marRight w:val="0"/>
      <w:marTop w:val="0"/>
      <w:marBottom w:val="0"/>
      <w:divBdr>
        <w:top w:val="none" w:sz="0" w:space="0" w:color="auto"/>
        <w:left w:val="none" w:sz="0" w:space="0" w:color="auto"/>
        <w:bottom w:val="none" w:sz="0" w:space="0" w:color="auto"/>
        <w:right w:val="none" w:sz="0" w:space="0" w:color="auto"/>
      </w:divBdr>
    </w:div>
    <w:div w:id="296885229">
      <w:bodyDiv w:val="1"/>
      <w:marLeft w:val="0"/>
      <w:marRight w:val="0"/>
      <w:marTop w:val="0"/>
      <w:marBottom w:val="0"/>
      <w:divBdr>
        <w:top w:val="none" w:sz="0" w:space="0" w:color="auto"/>
        <w:left w:val="none" w:sz="0" w:space="0" w:color="auto"/>
        <w:bottom w:val="none" w:sz="0" w:space="0" w:color="auto"/>
        <w:right w:val="none" w:sz="0" w:space="0" w:color="auto"/>
      </w:divBdr>
    </w:div>
    <w:div w:id="300309270">
      <w:bodyDiv w:val="1"/>
      <w:marLeft w:val="0"/>
      <w:marRight w:val="0"/>
      <w:marTop w:val="0"/>
      <w:marBottom w:val="0"/>
      <w:divBdr>
        <w:top w:val="none" w:sz="0" w:space="0" w:color="auto"/>
        <w:left w:val="none" w:sz="0" w:space="0" w:color="auto"/>
        <w:bottom w:val="none" w:sz="0" w:space="0" w:color="auto"/>
        <w:right w:val="none" w:sz="0" w:space="0" w:color="auto"/>
      </w:divBdr>
    </w:div>
    <w:div w:id="308367336">
      <w:bodyDiv w:val="1"/>
      <w:marLeft w:val="0"/>
      <w:marRight w:val="0"/>
      <w:marTop w:val="0"/>
      <w:marBottom w:val="0"/>
      <w:divBdr>
        <w:top w:val="none" w:sz="0" w:space="0" w:color="auto"/>
        <w:left w:val="none" w:sz="0" w:space="0" w:color="auto"/>
        <w:bottom w:val="none" w:sz="0" w:space="0" w:color="auto"/>
        <w:right w:val="none" w:sz="0" w:space="0" w:color="auto"/>
      </w:divBdr>
    </w:div>
    <w:div w:id="310061899">
      <w:bodyDiv w:val="1"/>
      <w:marLeft w:val="0"/>
      <w:marRight w:val="0"/>
      <w:marTop w:val="0"/>
      <w:marBottom w:val="0"/>
      <w:divBdr>
        <w:top w:val="none" w:sz="0" w:space="0" w:color="auto"/>
        <w:left w:val="none" w:sz="0" w:space="0" w:color="auto"/>
        <w:bottom w:val="none" w:sz="0" w:space="0" w:color="auto"/>
        <w:right w:val="none" w:sz="0" w:space="0" w:color="auto"/>
      </w:divBdr>
    </w:div>
    <w:div w:id="317729991">
      <w:bodyDiv w:val="1"/>
      <w:marLeft w:val="0"/>
      <w:marRight w:val="0"/>
      <w:marTop w:val="0"/>
      <w:marBottom w:val="0"/>
      <w:divBdr>
        <w:top w:val="none" w:sz="0" w:space="0" w:color="auto"/>
        <w:left w:val="none" w:sz="0" w:space="0" w:color="auto"/>
        <w:bottom w:val="none" w:sz="0" w:space="0" w:color="auto"/>
        <w:right w:val="none" w:sz="0" w:space="0" w:color="auto"/>
      </w:divBdr>
    </w:div>
    <w:div w:id="360977610">
      <w:bodyDiv w:val="1"/>
      <w:marLeft w:val="0"/>
      <w:marRight w:val="0"/>
      <w:marTop w:val="0"/>
      <w:marBottom w:val="0"/>
      <w:divBdr>
        <w:top w:val="none" w:sz="0" w:space="0" w:color="auto"/>
        <w:left w:val="none" w:sz="0" w:space="0" w:color="auto"/>
        <w:bottom w:val="none" w:sz="0" w:space="0" w:color="auto"/>
        <w:right w:val="none" w:sz="0" w:space="0" w:color="auto"/>
      </w:divBdr>
    </w:div>
    <w:div w:id="415907713">
      <w:bodyDiv w:val="1"/>
      <w:marLeft w:val="0"/>
      <w:marRight w:val="0"/>
      <w:marTop w:val="0"/>
      <w:marBottom w:val="0"/>
      <w:divBdr>
        <w:top w:val="none" w:sz="0" w:space="0" w:color="auto"/>
        <w:left w:val="none" w:sz="0" w:space="0" w:color="auto"/>
        <w:bottom w:val="none" w:sz="0" w:space="0" w:color="auto"/>
        <w:right w:val="none" w:sz="0" w:space="0" w:color="auto"/>
      </w:divBdr>
    </w:div>
    <w:div w:id="421728914">
      <w:bodyDiv w:val="1"/>
      <w:marLeft w:val="0"/>
      <w:marRight w:val="0"/>
      <w:marTop w:val="0"/>
      <w:marBottom w:val="0"/>
      <w:divBdr>
        <w:top w:val="none" w:sz="0" w:space="0" w:color="auto"/>
        <w:left w:val="none" w:sz="0" w:space="0" w:color="auto"/>
        <w:bottom w:val="none" w:sz="0" w:space="0" w:color="auto"/>
        <w:right w:val="none" w:sz="0" w:space="0" w:color="auto"/>
      </w:divBdr>
    </w:div>
    <w:div w:id="463818142">
      <w:bodyDiv w:val="1"/>
      <w:marLeft w:val="0"/>
      <w:marRight w:val="0"/>
      <w:marTop w:val="0"/>
      <w:marBottom w:val="0"/>
      <w:divBdr>
        <w:top w:val="none" w:sz="0" w:space="0" w:color="auto"/>
        <w:left w:val="none" w:sz="0" w:space="0" w:color="auto"/>
        <w:bottom w:val="none" w:sz="0" w:space="0" w:color="auto"/>
        <w:right w:val="none" w:sz="0" w:space="0" w:color="auto"/>
      </w:divBdr>
    </w:div>
    <w:div w:id="470945738">
      <w:bodyDiv w:val="1"/>
      <w:marLeft w:val="0"/>
      <w:marRight w:val="0"/>
      <w:marTop w:val="0"/>
      <w:marBottom w:val="0"/>
      <w:divBdr>
        <w:top w:val="none" w:sz="0" w:space="0" w:color="auto"/>
        <w:left w:val="none" w:sz="0" w:space="0" w:color="auto"/>
        <w:bottom w:val="none" w:sz="0" w:space="0" w:color="auto"/>
        <w:right w:val="none" w:sz="0" w:space="0" w:color="auto"/>
      </w:divBdr>
    </w:div>
    <w:div w:id="493296986">
      <w:bodyDiv w:val="1"/>
      <w:marLeft w:val="0"/>
      <w:marRight w:val="0"/>
      <w:marTop w:val="0"/>
      <w:marBottom w:val="0"/>
      <w:divBdr>
        <w:top w:val="none" w:sz="0" w:space="0" w:color="auto"/>
        <w:left w:val="none" w:sz="0" w:space="0" w:color="auto"/>
        <w:bottom w:val="none" w:sz="0" w:space="0" w:color="auto"/>
        <w:right w:val="none" w:sz="0" w:space="0" w:color="auto"/>
      </w:divBdr>
    </w:div>
    <w:div w:id="501628630">
      <w:bodyDiv w:val="1"/>
      <w:marLeft w:val="0"/>
      <w:marRight w:val="0"/>
      <w:marTop w:val="0"/>
      <w:marBottom w:val="0"/>
      <w:divBdr>
        <w:top w:val="none" w:sz="0" w:space="0" w:color="auto"/>
        <w:left w:val="none" w:sz="0" w:space="0" w:color="auto"/>
        <w:bottom w:val="none" w:sz="0" w:space="0" w:color="auto"/>
        <w:right w:val="none" w:sz="0" w:space="0" w:color="auto"/>
      </w:divBdr>
    </w:div>
    <w:div w:id="559443533">
      <w:bodyDiv w:val="1"/>
      <w:marLeft w:val="0"/>
      <w:marRight w:val="0"/>
      <w:marTop w:val="0"/>
      <w:marBottom w:val="0"/>
      <w:divBdr>
        <w:top w:val="none" w:sz="0" w:space="0" w:color="auto"/>
        <w:left w:val="none" w:sz="0" w:space="0" w:color="auto"/>
        <w:bottom w:val="none" w:sz="0" w:space="0" w:color="auto"/>
        <w:right w:val="none" w:sz="0" w:space="0" w:color="auto"/>
      </w:divBdr>
    </w:div>
    <w:div w:id="590090436">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601647429">
      <w:bodyDiv w:val="1"/>
      <w:marLeft w:val="0"/>
      <w:marRight w:val="0"/>
      <w:marTop w:val="0"/>
      <w:marBottom w:val="0"/>
      <w:divBdr>
        <w:top w:val="none" w:sz="0" w:space="0" w:color="auto"/>
        <w:left w:val="none" w:sz="0" w:space="0" w:color="auto"/>
        <w:bottom w:val="none" w:sz="0" w:space="0" w:color="auto"/>
        <w:right w:val="none" w:sz="0" w:space="0" w:color="auto"/>
      </w:divBdr>
    </w:div>
    <w:div w:id="641809840">
      <w:bodyDiv w:val="1"/>
      <w:marLeft w:val="0"/>
      <w:marRight w:val="0"/>
      <w:marTop w:val="0"/>
      <w:marBottom w:val="0"/>
      <w:divBdr>
        <w:top w:val="none" w:sz="0" w:space="0" w:color="auto"/>
        <w:left w:val="none" w:sz="0" w:space="0" w:color="auto"/>
        <w:bottom w:val="none" w:sz="0" w:space="0" w:color="auto"/>
        <w:right w:val="none" w:sz="0" w:space="0" w:color="auto"/>
      </w:divBdr>
    </w:div>
    <w:div w:id="679813522">
      <w:bodyDiv w:val="1"/>
      <w:marLeft w:val="0"/>
      <w:marRight w:val="0"/>
      <w:marTop w:val="0"/>
      <w:marBottom w:val="0"/>
      <w:divBdr>
        <w:top w:val="none" w:sz="0" w:space="0" w:color="auto"/>
        <w:left w:val="none" w:sz="0" w:space="0" w:color="auto"/>
        <w:bottom w:val="none" w:sz="0" w:space="0" w:color="auto"/>
        <w:right w:val="none" w:sz="0" w:space="0" w:color="auto"/>
      </w:divBdr>
    </w:div>
    <w:div w:id="713701135">
      <w:bodyDiv w:val="1"/>
      <w:marLeft w:val="0"/>
      <w:marRight w:val="0"/>
      <w:marTop w:val="0"/>
      <w:marBottom w:val="0"/>
      <w:divBdr>
        <w:top w:val="none" w:sz="0" w:space="0" w:color="auto"/>
        <w:left w:val="none" w:sz="0" w:space="0" w:color="auto"/>
        <w:bottom w:val="none" w:sz="0" w:space="0" w:color="auto"/>
        <w:right w:val="none" w:sz="0" w:space="0" w:color="auto"/>
      </w:divBdr>
    </w:div>
    <w:div w:id="714740467">
      <w:bodyDiv w:val="1"/>
      <w:marLeft w:val="0"/>
      <w:marRight w:val="0"/>
      <w:marTop w:val="0"/>
      <w:marBottom w:val="0"/>
      <w:divBdr>
        <w:top w:val="none" w:sz="0" w:space="0" w:color="auto"/>
        <w:left w:val="none" w:sz="0" w:space="0" w:color="auto"/>
        <w:bottom w:val="none" w:sz="0" w:space="0" w:color="auto"/>
        <w:right w:val="none" w:sz="0" w:space="0" w:color="auto"/>
      </w:divBdr>
    </w:div>
    <w:div w:id="716509299">
      <w:bodyDiv w:val="1"/>
      <w:marLeft w:val="0"/>
      <w:marRight w:val="0"/>
      <w:marTop w:val="0"/>
      <w:marBottom w:val="0"/>
      <w:divBdr>
        <w:top w:val="none" w:sz="0" w:space="0" w:color="auto"/>
        <w:left w:val="none" w:sz="0" w:space="0" w:color="auto"/>
        <w:bottom w:val="none" w:sz="0" w:space="0" w:color="auto"/>
        <w:right w:val="none" w:sz="0" w:space="0" w:color="auto"/>
      </w:divBdr>
    </w:div>
    <w:div w:id="798694406">
      <w:bodyDiv w:val="1"/>
      <w:marLeft w:val="0"/>
      <w:marRight w:val="0"/>
      <w:marTop w:val="0"/>
      <w:marBottom w:val="0"/>
      <w:divBdr>
        <w:top w:val="none" w:sz="0" w:space="0" w:color="auto"/>
        <w:left w:val="none" w:sz="0" w:space="0" w:color="auto"/>
        <w:bottom w:val="none" w:sz="0" w:space="0" w:color="auto"/>
        <w:right w:val="none" w:sz="0" w:space="0" w:color="auto"/>
      </w:divBdr>
    </w:div>
    <w:div w:id="813447117">
      <w:bodyDiv w:val="1"/>
      <w:marLeft w:val="0"/>
      <w:marRight w:val="0"/>
      <w:marTop w:val="0"/>
      <w:marBottom w:val="0"/>
      <w:divBdr>
        <w:top w:val="none" w:sz="0" w:space="0" w:color="auto"/>
        <w:left w:val="none" w:sz="0" w:space="0" w:color="auto"/>
        <w:bottom w:val="none" w:sz="0" w:space="0" w:color="auto"/>
        <w:right w:val="none" w:sz="0" w:space="0" w:color="auto"/>
      </w:divBdr>
    </w:div>
    <w:div w:id="819468657">
      <w:bodyDiv w:val="1"/>
      <w:marLeft w:val="0"/>
      <w:marRight w:val="0"/>
      <w:marTop w:val="0"/>
      <w:marBottom w:val="0"/>
      <w:divBdr>
        <w:top w:val="none" w:sz="0" w:space="0" w:color="auto"/>
        <w:left w:val="none" w:sz="0" w:space="0" w:color="auto"/>
        <w:bottom w:val="none" w:sz="0" w:space="0" w:color="auto"/>
        <w:right w:val="none" w:sz="0" w:space="0" w:color="auto"/>
      </w:divBdr>
    </w:div>
    <w:div w:id="866480915">
      <w:bodyDiv w:val="1"/>
      <w:marLeft w:val="0"/>
      <w:marRight w:val="0"/>
      <w:marTop w:val="0"/>
      <w:marBottom w:val="0"/>
      <w:divBdr>
        <w:top w:val="none" w:sz="0" w:space="0" w:color="auto"/>
        <w:left w:val="none" w:sz="0" w:space="0" w:color="auto"/>
        <w:bottom w:val="none" w:sz="0" w:space="0" w:color="auto"/>
        <w:right w:val="none" w:sz="0" w:space="0" w:color="auto"/>
      </w:divBdr>
    </w:div>
    <w:div w:id="891037183">
      <w:bodyDiv w:val="1"/>
      <w:marLeft w:val="0"/>
      <w:marRight w:val="0"/>
      <w:marTop w:val="0"/>
      <w:marBottom w:val="0"/>
      <w:divBdr>
        <w:top w:val="none" w:sz="0" w:space="0" w:color="auto"/>
        <w:left w:val="none" w:sz="0" w:space="0" w:color="auto"/>
        <w:bottom w:val="none" w:sz="0" w:space="0" w:color="auto"/>
        <w:right w:val="none" w:sz="0" w:space="0" w:color="auto"/>
      </w:divBdr>
    </w:div>
    <w:div w:id="891041639">
      <w:bodyDiv w:val="1"/>
      <w:marLeft w:val="0"/>
      <w:marRight w:val="0"/>
      <w:marTop w:val="0"/>
      <w:marBottom w:val="0"/>
      <w:divBdr>
        <w:top w:val="none" w:sz="0" w:space="0" w:color="auto"/>
        <w:left w:val="none" w:sz="0" w:space="0" w:color="auto"/>
        <w:bottom w:val="none" w:sz="0" w:space="0" w:color="auto"/>
        <w:right w:val="none" w:sz="0" w:space="0" w:color="auto"/>
      </w:divBdr>
    </w:div>
    <w:div w:id="996958758">
      <w:bodyDiv w:val="1"/>
      <w:marLeft w:val="0"/>
      <w:marRight w:val="0"/>
      <w:marTop w:val="0"/>
      <w:marBottom w:val="0"/>
      <w:divBdr>
        <w:top w:val="none" w:sz="0" w:space="0" w:color="auto"/>
        <w:left w:val="none" w:sz="0" w:space="0" w:color="auto"/>
        <w:bottom w:val="none" w:sz="0" w:space="0" w:color="auto"/>
        <w:right w:val="none" w:sz="0" w:space="0" w:color="auto"/>
      </w:divBdr>
    </w:div>
    <w:div w:id="1019887560">
      <w:bodyDiv w:val="1"/>
      <w:marLeft w:val="0"/>
      <w:marRight w:val="0"/>
      <w:marTop w:val="0"/>
      <w:marBottom w:val="0"/>
      <w:divBdr>
        <w:top w:val="none" w:sz="0" w:space="0" w:color="auto"/>
        <w:left w:val="none" w:sz="0" w:space="0" w:color="auto"/>
        <w:bottom w:val="none" w:sz="0" w:space="0" w:color="auto"/>
        <w:right w:val="none" w:sz="0" w:space="0" w:color="auto"/>
      </w:divBdr>
    </w:div>
    <w:div w:id="1024474628">
      <w:bodyDiv w:val="1"/>
      <w:marLeft w:val="0"/>
      <w:marRight w:val="0"/>
      <w:marTop w:val="0"/>
      <w:marBottom w:val="0"/>
      <w:divBdr>
        <w:top w:val="none" w:sz="0" w:space="0" w:color="auto"/>
        <w:left w:val="none" w:sz="0" w:space="0" w:color="auto"/>
        <w:bottom w:val="none" w:sz="0" w:space="0" w:color="auto"/>
        <w:right w:val="none" w:sz="0" w:space="0" w:color="auto"/>
      </w:divBdr>
    </w:div>
    <w:div w:id="1027632651">
      <w:bodyDiv w:val="1"/>
      <w:marLeft w:val="0"/>
      <w:marRight w:val="0"/>
      <w:marTop w:val="0"/>
      <w:marBottom w:val="0"/>
      <w:divBdr>
        <w:top w:val="none" w:sz="0" w:space="0" w:color="auto"/>
        <w:left w:val="none" w:sz="0" w:space="0" w:color="auto"/>
        <w:bottom w:val="none" w:sz="0" w:space="0" w:color="auto"/>
        <w:right w:val="none" w:sz="0" w:space="0" w:color="auto"/>
      </w:divBdr>
    </w:div>
    <w:div w:id="1125469109">
      <w:bodyDiv w:val="1"/>
      <w:marLeft w:val="0"/>
      <w:marRight w:val="0"/>
      <w:marTop w:val="0"/>
      <w:marBottom w:val="0"/>
      <w:divBdr>
        <w:top w:val="none" w:sz="0" w:space="0" w:color="auto"/>
        <w:left w:val="none" w:sz="0" w:space="0" w:color="auto"/>
        <w:bottom w:val="none" w:sz="0" w:space="0" w:color="auto"/>
        <w:right w:val="none" w:sz="0" w:space="0" w:color="auto"/>
      </w:divBdr>
    </w:div>
    <w:div w:id="1148018059">
      <w:bodyDiv w:val="1"/>
      <w:marLeft w:val="0"/>
      <w:marRight w:val="0"/>
      <w:marTop w:val="0"/>
      <w:marBottom w:val="0"/>
      <w:divBdr>
        <w:top w:val="none" w:sz="0" w:space="0" w:color="auto"/>
        <w:left w:val="none" w:sz="0" w:space="0" w:color="auto"/>
        <w:bottom w:val="none" w:sz="0" w:space="0" w:color="auto"/>
        <w:right w:val="none" w:sz="0" w:space="0" w:color="auto"/>
      </w:divBdr>
    </w:div>
    <w:div w:id="1149205547">
      <w:bodyDiv w:val="1"/>
      <w:marLeft w:val="0"/>
      <w:marRight w:val="0"/>
      <w:marTop w:val="0"/>
      <w:marBottom w:val="0"/>
      <w:divBdr>
        <w:top w:val="none" w:sz="0" w:space="0" w:color="auto"/>
        <w:left w:val="none" w:sz="0" w:space="0" w:color="auto"/>
        <w:bottom w:val="none" w:sz="0" w:space="0" w:color="auto"/>
        <w:right w:val="none" w:sz="0" w:space="0" w:color="auto"/>
      </w:divBdr>
    </w:div>
    <w:div w:id="1155758719">
      <w:bodyDiv w:val="1"/>
      <w:marLeft w:val="0"/>
      <w:marRight w:val="0"/>
      <w:marTop w:val="0"/>
      <w:marBottom w:val="0"/>
      <w:divBdr>
        <w:top w:val="none" w:sz="0" w:space="0" w:color="auto"/>
        <w:left w:val="none" w:sz="0" w:space="0" w:color="auto"/>
        <w:bottom w:val="none" w:sz="0" w:space="0" w:color="auto"/>
        <w:right w:val="none" w:sz="0" w:space="0" w:color="auto"/>
      </w:divBdr>
    </w:div>
    <w:div w:id="1161894324">
      <w:bodyDiv w:val="1"/>
      <w:marLeft w:val="0"/>
      <w:marRight w:val="0"/>
      <w:marTop w:val="0"/>
      <w:marBottom w:val="0"/>
      <w:divBdr>
        <w:top w:val="none" w:sz="0" w:space="0" w:color="auto"/>
        <w:left w:val="none" w:sz="0" w:space="0" w:color="auto"/>
        <w:bottom w:val="none" w:sz="0" w:space="0" w:color="auto"/>
        <w:right w:val="none" w:sz="0" w:space="0" w:color="auto"/>
      </w:divBdr>
    </w:div>
    <w:div w:id="1186673302">
      <w:bodyDiv w:val="1"/>
      <w:marLeft w:val="0"/>
      <w:marRight w:val="0"/>
      <w:marTop w:val="0"/>
      <w:marBottom w:val="0"/>
      <w:divBdr>
        <w:top w:val="none" w:sz="0" w:space="0" w:color="auto"/>
        <w:left w:val="none" w:sz="0" w:space="0" w:color="auto"/>
        <w:bottom w:val="none" w:sz="0" w:space="0" w:color="auto"/>
        <w:right w:val="none" w:sz="0" w:space="0" w:color="auto"/>
      </w:divBdr>
    </w:div>
    <w:div w:id="1214392427">
      <w:bodyDiv w:val="1"/>
      <w:marLeft w:val="0"/>
      <w:marRight w:val="0"/>
      <w:marTop w:val="0"/>
      <w:marBottom w:val="0"/>
      <w:divBdr>
        <w:top w:val="none" w:sz="0" w:space="0" w:color="auto"/>
        <w:left w:val="none" w:sz="0" w:space="0" w:color="auto"/>
        <w:bottom w:val="none" w:sz="0" w:space="0" w:color="auto"/>
        <w:right w:val="none" w:sz="0" w:space="0" w:color="auto"/>
      </w:divBdr>
    </w:div>
    <w:div w:id="1256475726">
      <w:bodyDiv w:val="1"/>
      <w:marLeft w:val="0"/>
      <w:marRight w:val="0"/>
      <w:marTop w:val="0"/>
      <w:marBottom w:val="0"/>
      <w:divBdr>
        <w:top w:val="none" w:sz="0" w:space="0" w:color="auto"/>
        <w:left w:val="none" w:sz="0" w:space="0" w:color="auto"/>
        <w:bottom w:val="none" w:sz="0" w:space="0" w:color="auto"/>
        <w:right w:val="none" w:sz="0" w:space="0" w:color="auto"/>
      </w:divBdr>
    </w:div>
    <w:div w:id="1268200532">
      <w:bodyDiv w:val="1"/>
      <w:marLeft w:val="0"/>
      <w:marRight w:val="0"/>
      <w:marTop w:val="0"/>
      <w:marBottom w:val="0"/>
      <w:divBdr>
        <w:top w:val="none" w:sz="0" w:space="0" w:color="auto"/>
        <w:left w:val="none" w:sz="0" w:space="0" w:color="auto"/>
        <w:bottom w:val="none" w:sz="0" w:space="0" w:color="auto"/>
        <w:right w:val="none" w:sz="0" w:space="0" w:color="auto"/>
      </w:divBdr>
    </w:div>
    <w:div w:id="1299264591">
      <w:bodyDiv w:val="1"/>
      <w:marLeft w:val="0"/>
      <w:marRight w:val="0"/>
      <w:marTop w:val="0"/>
      <w:marBottom w:val="0"/>
      <w:divBdr>
        <w:top w:val="none" w:sz="0" w:space="0" w:color="auto"/>
        <w:left w:val="none" w:sz="0" w:space="0" w:color="auto"/>
        <w:bottom w:val="none" w:sz="0" w:space="0" w:color="auto"/>
        <w:right w:val="none" w:sz="0" w:space="0" w:color="auto"/>
      </w:divBdr>
    </w:div>
    <w:div w:id="1368489264">
      <w:bodyDiv w:val="1"/>
      <w:marLeft w:val="0"/>
      <w:marRight w:val="0"/>
      <w:marTop w:val="0"/>
      <w:marBottom w:val="0"/>
      <w:divBdr>
        <w:top w:val="none" w:sz="0" w:space="0" w:color="auto"/>
        <w:left w:val="none" w:sz="0" w:space="0" w:color="auto"/>
        <w:bottom w:val="none" w:sz="0" w:space="0" w:color="auto"/>
        <w:right w:val="none" w:sz="0" w:space="0" w:color="auto"/>
      </w:divBdr>
    </w:div>
    <w:div w:id="1458790094">
      <w:bodyDiv w:val="1"/>
      <w:marLeft w:val="0"/>
      <w:marRight w:val="0"/>
      <w:marTop w:val="0"/>
      <w:marBottom w:val="0"/>
      <w:divBdr>
        <w:top w:val="none" w:sz="0" w:space="0" w:color="auto"/>
        <w:left w:val="none" w:sz="0" w:space="0" w:color="auto"/>
        <w:bottom w:val="none" w:sz="0" w:space="0" w:color="auto"/>
        <w:right w:val="none" w:sz="0" w:space="0" w:color="auto"/>
      </w:divBdr>
    </w:div>
    <w:div w:id="1466580621">
      <w:bodyDiv w:val="1"/>
      <w:marLeft w:val="0"/>
      <w:marRight w:val="0"/>
      <w:marTop w:val="0"/>
      <w:marBottom w:val="0"/>
      <w:divBdr>
        <w:top w:val="none" w:sz="0" w:space="0" w:color="auto"/>
        <w:left w:val="none" w:sz="0" w:space="0" w:color="auto"/>
        <w:bottom w:val="none" w:sz="0" w:space="0" w:color="auto"/>
        <w:right w:val="none" w:sz="0" w:space="0" w:color="auto"/>
      </w:divBdr>
    </w:div>
    <w:div w:id="1483234410">
      <w:bodyDiv w:val="1"/>
      <w:marLeft w:val="0"/>
      <w:marRight w:val="0"/>
      <w:marTop w:val="0"/>
      <w:marBottom w:val="0"/>
      <w:divBdr>
        <w:top w:val="none" w:sz="0" w:space="0" w:color="auto"/>
        <w:left w:val="none" w:sz="0" w:space="0" w:color="auto"/>
        <w:bottom w:val="none" w:sz="0" w:space="0" w:color="auto"/>
        <w:right w:val="none" w:sz="0" w:space="0" w:color="auto"/>
      </w:divBdr>
    </w:div>
    <w:div w:id="1496451562">
      <w:bodyDiv w:val="1"/>
      <w:marLeft w:val="0"/>
      <w:marRight w:val="0"/>
      <w:marTop w:val="0"/>
      <w:marBottom w:val="0"/>
      <w:divBdr>
        <w:top w:val="none" w:sz="0" w:space="0" w:color="auto"/>
        <w:left w:val="none" w:sz="0" w:space="0" w:color="auto"/>
        <w:bottom w:val="none" w:sz="0" w:space="0" w:color="auto"/>
        <w:right w:val="none" w:sz="0" w:space="0" w:color="auto"/>
      </w:divBdr>
    </w:div>
    <w:div w:id="1516731679">
      <w:bodyDiv w:val="1"/>
      <w:marLeft w:val="0"/>
      <w:marRight w:val="0"/>
      <w:marTop w:val="0"/>
      <w:marBottom w:val="0"/>
      <w:divBdr>
        <w:top w:val="none" w:sz="0" w:space="0" w:color="auto"/>
        <w:left w:val="none" w:sz="0" w:space="0" w:color="auto"/>
        <w:bottom w:val="none" w:sz="0" w:space="0" w:color="auto"/>
        <w:right w:val="none" w:sz="0" w:space="0" w:color="auto"/>
      </w:divBdr>
    </w:div>
    <w:div w:id="1570920239">
      <w:bodyDiv w:val="1"/>
      <w:marLeft w:val="0"/>
      <w:marRight w:val="0"/>
      <w:marTop w:val="0"/>
      <w:marBottom w:val="0"/>
      <w:divBdr>
        <w:top w:val="none" w:sz="0" w:space="0" w:color="auto"/>
        <w:left w:val="none" w:sz="0" w:space="0" w:color="auto"/>
        <w:bottom w:val="none" w:sz="0" w:space="0" w:color="auto"/>
        <w:right w:val="none" w:sz="0" w:space="0" w:color="auto"/>
      </w:divBdr>
    </w:div>
    <w:div w:id="1596094656">
      <w:bodyDiv w:val="1"/>
      <w:marLeft w:val="0"/>
      <w:marRight w:val="0"/>
      <w:marTop w:val="0"/>
      <w:marBottom w:val="0"/>
      <w:divBdr>
        <w:top w:val="none" w:sz="0" w:space="0" w:color="auto"/>
        <w:left w:val="none" w:sz="0" w:space="0" w:color="auto"/>
        <w:bottom w:val="none" w:sz="0" w:space="0" w:color="auto"/>
        <w:right w:val="none" w:sz="0" w:space="0" w:color="auto"/>
      </w:divBdr>
    </w:div>
    <w:div w:id="1625649286">
      <w:bodyDiv w:val="1"/>
      <w:marLeft w:val="0"/>
      <w:marRight w:val="0"/>
      <w:marTop w:val="0"/>
      <w:marBottom w:val="0"/>
      <w:divBdr>
        <w:top w:val="none" w:sz="0" w:space="0" w:color="auto"/>
        <w:left w:val="none" w:sz="0" w:space="0" w:color="auto"/>
        <w:bottom w:val="none" w:sz="0" w:space="0" w:color="auto"/>
        <w:right w:val="none" w:sz="0" w:space="0" w:color="auto"/>
      </w:divBdr>
    </w:div>
    <w:div w:id="1639456493">
      <w:bodyDiv w:val="1"/>
      <w:marLeft w:val="0"/>
      <w:marRight w:val="0"/>
      <w:marTop w:val="0"/>
      <w:marBottom w:val="0"/>
      <w:divBdr>
        <w:top w:val="none" w:sz="0" w:space="0" w:color="auto"/>
        <w:left w:val="none" w:sz="0" w:space="0" w:color="auto"/>
        <w:bottom w:val="none" w:sz="0" w:space="0" w:color="auto"/>
        <w:right w:val="none" w:sz="0" w:space="0" w:color="auto"/>
      </w:divBdr>
    </w:div>
    <w:div w:id="1651444444">
      <w:bodyDiv w:val="1"/>
      <w:marLeft w:val="0"/>
      <w:marRight w:val="0"/>
      <w:marTop w:val="0"/>
      <w:marBottom w:val="0"/>
      <w:divBdr>
        <w:top w:val="none" w:sz="0" w:space="0" w:color="auto"/>
        <w:left w:val="none" w:sz="0" w:space="0" w:color="auto"/>
        <w:bottom w:val="none" w:sz="0" w:space="0" w:color="auto"/>
        <w:right w:val="none" w:sz="0" w:space="0" w:color="auto"/>
      </w:divBdr>
    </w:div>
    <w:div w:id="1676568606">
      <w:bodyDiv w:val="1"/>
      <w:marLeft w:val="0"/>
      <w:marRight w:val="0"/>
      <w:marTop w:val="0"/>
      <w:marBottom w:val="0"/>
      <w:divBdr>
        <w:top w:val="none" w:sz="0" w:space="0" w:color="auto"/>
        <w:left w:val="none" w:sz="0" w:space="0" w:color="auto"/>
        <w:bottom w:val="none" w:sz="0" w:space="0" w:color="auto"/>
        <w:right w:val="none" w:sz="0" w:space="0" w:color="auto"/>
      </w:divBdr>
    </w:div>
    <w:div w:id="1687712348">
      <w:bodyDiv w:val="1"/>
      <w:marLeft w:val="0"/>
      <w:marRight w:val="0"/>
      <w:marTop w:val="0"/>
      <w:marBottom w:val="0"/>
      <w:divBdr>
        <w:top w:val="none" w:sz="0" w:space="0" w:color="auto"/>
        <w:left w:val="none" w:sz="0" w:space="0" w:color="auto"/>
        <w:bottom w:val="none" w:sz="0" w:space="0" w:color="auto"/>
        <w:right w:val="none" w:sz="0" w:space="0" w:color="auto"/>
      </w:divBdr>
    </w:div>
    <w:div w:id="1693217272">
      <w:bodyDiv w:val="1"/>
      <w:marLeft w:val="0"/>
      <w:marRight w:val="0"/>
      <w:marTop w:val="0"/>
      <w:marBottom w:val="0"/>
      <w:divBdr>
        <w:top w:val="none" w:sz="0" w:space="0" w:color="auto"/>
        <w:left w:val="none" w:sz="0" w:space="0" w:color="auto"/>
        <w:bottom w:val="none" w:sz="0" w:space="0" w:color="auto"/>
        <w:right w:val="none" w:sz="0" w:space="0" w:color="auto"/>
      </w:divBdr>
    </w:div>
    <w:div w:id="1705400969">
      <w:bodyDiv w:val="1"/>
      <w:marLeft w:val="0"/>
      <w:marRight w:val="0"/>
      <w:marTop w:val="0"/>
      <w:marBottom w:val="0"/>
      <w:divBdr>
        <w:top w:val="none" w:sz="0" w:space="0" w:color="auto"/>
        <w:left w:val="none" w:sz="0" w:space="0" w:color="auto"/>
        <w:bottom w:val="none" w:sz="0" w:space="0" w:color="auto"/>
        <w:right w:val="none" w:sz="0" w:space="0" w:color="auto"/>
      </w:divBdr>
      <w:divsChild>
        <w:div w:id="1974358852">
          <w:marLeft w:val="0"/>
          <w:marRight w:val="0"/>
          <w:marTop w:val="0"/>
          <w:marBottom w:val="0"/>
          <w:divBdr>
            <w:top w:val="none" w:sz="0" w:space="0" w:color="auto"/>
            <w:left w:val="none" w:sz="0" w:space="0" w:color="auto"/>
            <w:bottom w:val="none" w:sz="0" w:space="0" w:color="auto"/>
            <w:right w:val="none" w:sz="0" w:space="0" w:color="auto"/>
          </w:divBdr>
        </w:div>
      </w:divsChild>
    </w:div>
    <w:div w:id="1707176653">
      <w:bodyDiv w:val="1"/>
      <w:marLeft w:val="0"/>
      <w:marRight w:val="0"/>
      <w:marTop w:val="0"/>
      <w:marBottom w:val="0"/>
      <w:divBdr>
        <w:top w:val="none" w:sz="0" w:space="0" w:color="auto"/>
        <w:left w:val="none" w:sz="0" w:space="0" w:color="auto"/>
        <w:bottom w:val="none" w:sz="0" w:space="0" w:color="auto"/>
        <w:right w:val="none" w:sz="0" w:space="0" w:color="auto"/>
      </w:divBdr>
      <w:divsChild>
        <w:div w:id="335838870">
          <w:marLeft w:val="0"/>
          <w:marRight w:val="0"/>
          <w:marTop w:val="0"/>
          <w:marBottom w:val="0"/>
          <w:divBdr>
            <w:top w:val="none" w:sz="0" w:space="0" w:color="auto"/>
            <w:left w:val="none" w:sz="0" w:space="0" w:color="auto"/>
            <w:bottom w:val="none" w:sz="0" w:space="0" w:color="auto"/>
            <w:right w:val="none" w:sz="0" w:space="0" w:color="auto"/>
          </w:divBdr>
          <w:divsChild>
            <w:div w:id="1572421750">
              <w:marLeft w:val="0"/>
              <w:marRight w:val="0"/>
              <w:marTop w:val="0"/>
              <w:marBottom w:val="0"/>
              <w:divBdr>
                <w:top w:val="none" w:sz="0" w:space="0" w:color="auto"/>
                <w:left w:val="none" w:sz="0" w:space="0" w:color="auto"/>
                <w:bottom w:val="none" w:sz="0" w:space="0" w:color="auto"/>
                <w:right w:val="none" w:sz="0" w:space="0" w:color="auto"/>
              </w:divBdr>
              <w:divsChild>
                <w:div w:id="1317732648">
                  <w:marLeft w:val="150"/>
                  <w:marRight w:val="150"/>
                  <w:marTop w:val="0"/>
                  <w:marBottom w:val="0"/>
                  <w:divBdr>
                    <w:top w:val="none" w:sz="0" w:space="0" w:color="auto"/>
                    <w:left w:val="none" w:sz="0" w:space="0" w:color="auto"/>
                    <w:bottom w:val="none" w:sz="0" w:space="0" w:color="auto"/>
                    <w:right w:val="none" w:sz="0" w:space="0" w:color="auto"/>
                  </w:divBdr>
                  <w:divsChild>
                    <w:div w:id="1663773040">
                      <w:marLeft w:val="0"/>
                      <w:marRight w:val="0"/>
                      <w:marTop w:val="0"/>
                      <w:marBottom w:val="0"/>
                      <w:divBdr>
                        <w:top w:val="none" w:sz="0" w:space="0" w:color="auto"/>
                        <w:left w:val="none" w:sz="0" w:space="0" w:color="auto"/>
                        <w:bottom w:val="none" w:sz="0" w:space="0" w:color="auto"/>
                        <w:right w:val="none" w:sz="0" w:space="0" w:color="auto"/>
                      </w:divBdr>
                      <w:divsChild>
                        <w:div w:id="665281292">
                          <w:marLeft w:val="0"/>
                          <w:marRight w:val="0"/>
                          <w:marTop w:val="0"/>
                          <w:marBottom w:val="0"/>
                          <w:divBdr>
                            <w:top w:val="none" w:sz="0" w:space="0" w:color="auto"/>
                            <w:left w:val="none" w:sz="0" w:space="0" w:color="auto"/>
                            <w:bottom w:val="none" w:sz="0" w:space="0" w:color="auto"/>
                            <w:right w:val="none" w:sz="0" w:space="0" w:color="auto"/>
                          </w:divBdr>
                          <w:divsChild>
                            <w:div w:id="662314577">
                              <w:marLeft w:val="0"/>
                              <w:marRight w:val="0"/>
                              <w:marTop w:val="0"/>
                              <w:marBottom w:val="0"/>
                              <w:divBdr>
                                <w:top w:val="none" w:sz="0" w:space="0" w:color="auto"/>
                                <w:left w:val="none" w:sz="0" w:space="0" w:color="auto"/>
                                <w:bottom w:val="none" w:sz="0" w:space="0" w:color="auto"/>
                                <w:right w:val="none" w:sz="0" w:space="0" w:color="auto"/>
                              </w:divBdr>
                              <w:divsChild>
                                <w:div w:id="1981301959">
                                  <w:marLeft w:val="0"/>
                                  <w:marRight w:val="0"/>
                                  <w:marTop w:val="0"/>
                                  <w:marBottom w:val="0"/>
                                  <w:divBdr>
                                    <w:top w:val="none" w:sz="0" w:space="0" w:color="auto"/>
                                    <w:left w:val="none" w:sz="0" w:space="0" w:color="auto"/>
                                    <w:bottom w:val="none" w:sz="0" w:space="0" w:color="auto"/>
                                    <w:right w:val="none" w:sz="0" w:space="0" w:color="auto"/>
                                  </w:divBdr>
                                  <w:divsChild>
                                    <w:div w:id="1850413027">
                                      <w:marLeft w:val="0"/>
                                      <w:marRight w:val="0"/>
                                      <w:marTop w:val="0"/>
                                      <w:marBottom w:val="0"/>
                                      <w:divBdr>
                                        <w:top w:val="none" w:sz="0" w:space="0" w:color="auto"/>
                                        <w:left w:val="none" w:sz="0" w:space="0" w:color="auto"/>
                                        <w:bottom w:val="none" w:sz="0" w:space="0" w:color="auto"/>
                                        <w:right w:val="none" w:sz="0" w:space="0" w:color="auto"/>
                                      </w:divBdr>
                                      <w:divsChild>
                                        <w:div w:id="781729462">
                                          <w:marLeft w:val="0"/>
                                          <w:marRight w:val="0"/>
                                          <w:marTop w:val="0"/>
                                          <w:marBottom w:val="0"/>
                                          <w:divBdr>
                                            <w:top w:val="none" w:sz="0" w:space="0" w:color="auto"/>
                                            <w:left w:val="none" w:sz="0" w:space="0" w:color="auto"/>
                                            <w:bottom w:val="none" w:sz="0" w:space="0" w:color="auto"/>
                                            <w:right w:val="none" w:sz="0" w:space="0" w:color="auto"/>
                                          </w:divBdr>
                                          <w:divsChild>
                                            <w:div w:id="441922555">
                                              <w:marLeft w:val="0"/>
                                              <w:marRight w:val="0"/>
                                              <w:marTop w:val="0"/>
                                              <w:marBottom w:val="0"/>
                                              <w:divBdr>
                                                <w:top w:val="none" w:sz="0" w:space="0" w:color="auto"/>
                                                <w:left w:val="none" w:sz="0" w:space="0" w:color="auto"/>
                                                <w:bottom w:val="none" w:sz="0" w:space="0" w:color="auto"/>
                                                <w:right w:val="none" w:sz="0" w:space="0" w:color="auto"/>
                                              </w:divBdr>
                                              <w:divsChild>
                                                <w:div w:id="219289148">
                                                  <w:marLeft w:val="0"/>
                                                  <w:marRight w:val="0"/>
                                                  <w:marTop w:val="0"/>
                                                  <w:marBottom w:val="0"/>
                                                  <w:divBdr>
                                                    <w:top w:val="none" w:sz="0" w:space="0" w:color="auto"/>
                                                    <w:left w:val="none" w:sz="0" w:space="0" w:color="auto"/>
                                                    <w:bottom w:val="none" w:sz="0" w:space="0" w:color="auto"/>
                                                    <w:right w:val="none" w:sz="0" w:space="0" w:color="auto"/>
                                                  </w:divBdr>
                                                  <w:divsChild>
                                                    <w:div w:id="1528299797">
                                                      <w:marLeft w:val="0"/>
                                                      <w:marRight w:val="0"/>
                                                      <w:marTop w:val="0"/>
                                                      <w:marBottom w:val="0"/>
                                                      <w:divBdr>
                                                        <w:top w:val="none" w:sz="0" w:space="0" w:color="auto"/>
                                                        <w:left w:val="none" w:sz="0" w:space="0" w:color="auto"/>
                                                        <w:bottom w:val="none" w:sz="0" w:space="0" w:color="auto"/>
                                                        <w:right w:val="none" w:sz="0" w:space="0" w:color="auto"/>
                                                      </w:divBdr>
                                                      <w:divsChild>
                                                        <w:div w:id="891767575">
                                                          <w:marLeft w:val="0"/>
                                                          <w:marRight w:val="0"/>
                                                          <w:marTop w:val="0"/>
                                                          <w:marBottom w:val="150"/>
                                                          <w:divBdr>
                                                            <w:top w:val="none" w:sz="0" w:space="0" w:color="auto"/>
                                                            <w:left w:val="none" w:sz="0" w:space="0" w:color="auto"/>
                                                            <w:bottom w:val="none" w:sz="0" w:space="0" w:color="auto"/>
                                                            <w:right w:val="none" w:sz="0" w:space="0" w:color="auto"/>
                                                          </w:divBdr>
                                                          <w:divsChild>
                                                            <w:div w:id="1236088847">
                                                              <w:marLeft w:val="0"/>
                                                              <w:marRight w:val="0"/>
                                                              <w:marTop w:val="0"/>
                                                              <w:marBottom w:val="0"/>
                                                              <w:divBdr>
                                                                <w:top w:val="none" w:sz="0" w:space="0" w:color="auto"/>
                                                                <w:left w:val="none" w:sz="0" w:space="0" w:color="auto"/>
                                                                <w:bottom w:val="none" w:sz="0" w:space="0" w:color="auto"/>
                                                                <w:right w:val="none" w:sz="0" w:space="0" w:color="auto"/>
                                                              </w:divBdr>
                                                              <w:divsChild>
                                                                <w:div w:id="121582821">
                                                                  <w:marLeft w:val="0"/>
                                                                  <w:marRight w:val="0"/>
                                                                  <w:marTop w:val="0"/>
                                                                  <w:marBottom w:val="0"/>
                                                                  <w:divBdr>
                                                                    <w:top w:val="none" w:sz="0" w:space="0" w:color="auto"/>
                                                                    <w:left w:val="none" w:sz="0" w:space="0" w:color="auto"/>
                                                                    <w:bottom w:val="none" w:sz="0" w:space="0" w:color="auto"/>
                                                                    <w:right w:val="none" w:sz="0" w:space="0" w:color="auto"/>
                                                                  </w:divBdr>
                                                                  <w:divsChild>
                                                                    <w:div w:id="481389145">
                                                                      <w:marLeft w:val="0"/>
                                                                      <w:marRight w:val="0"/>
                                                                      <w:marTop w:val="0"/>
                                                                      <w:marBottom w:val="0"/>
                                                                      <w:divBdr>
                                                                        <w:top w:val="none" w:sz="0" w:space="0" w:color="auto"/>
                                                                        <w:left w:val="none" w:sz="0" w:space="0" w:color="auto"/>
                                                                        <w:bottom w:val="none" w:sz="0" w:space="0" w:color="auto"/>
                                                                        <w:right w:val="none" w:sz="0" w:space="0" w:color="auto"/>
                                                                      </w:divBdr>
                                                                      <w:divsChild>
                                                                        <w:div w:id="528370223">
                                                                          <w:marLeft w:val="0"/>
                                                                          <w:marRight w:val="0"/>
                                                                          <w:marTop w:val="0"/>
                                                                          <w:marBottom w:val="0"/>
                                                                          <w:divBdr>
                                                                            <w:top w:val="none" w:sz="0" w:space="0" w:color="auto"/>
                                                                            <w:left w:val="none" w:sz="0" w:space="0" w:color="auto"/>
                                                                            <w:bottom w:val="none" w:sz="0" w:space="0" w:color="auto"/>
                                                                            <w:right w:val="none" w:sz="0" w:space="0" w:color="auto"/>
                                                                          </w:divBdr>
                                                                        </w:div>
                                                                        <w:div w:id="21114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140622">
      <w:bodyDiv w:val="1"/>
      <w:marLeft w:val="0"/>
      <w:marRight w:val="0"/>
      <w:marTop w:val="0"/>
      <w:marBottom w:val="0"/>
      <w:divBdr>
        <w:top w:val="none" w:sz="0" w:space="0" w:color="auto"/>
        <w:left w:val="none" w:sz="0" w:space="0" w:color="auto"/>
        <w:bottom w:val="none" w:sz="0" w:space="0" w:color="auto"/>
        <w:right w:val="none" w:sz="0" w:space="0" w:color="auto"/>
      </w:divBdr>
    </w:div>
    <w:div w:id="1774545268">
      <w:bodyDiv w:val="1"/>
      <w:marLeft w:val="0"/>
      <w:marRight w:val="0"/>
      <w:marTop w:val="0"/>
      <w:marBottom w:val="0"/>
      <w:divBdr>
        <w:top w:val="none" w:sz="0" w:space="0" w:color="auto"/>
        <w:left w:val="none" w:sz="0" w:space="0" w:color="auto"/>
        <w:bottom w:val="none" w:sz="0" w:space="0" w:color="auto"/>
        <w:right w:val="none" w:sz="0" w:space="0" w:color="auto"/>
      </w:divBdr>
    </w:div>
    <w:div w:id="1789667411">
      <w:bodyDiv w:val="1"/>
      <w:marLeft w:val="0"/>
      <w:marRight w:val="0"/>
      <w:marTop w:val="0"/>
      <w:marBottom w:val="0"/>
      <w:divBdr>
        <w:top w:val="none" w:sz="0" w:space="0" w:color="auto"/>
        <w:left w:val="none" w:sz="0" w:space="0" w:color="auto"/>
        <w:bottom w:val="none" w:sz="0" w:space="0" w:color="auto"/>
        <w:right w:val="none" w:sz="0" w:space="0" w:color="auto"/>
      </w:divBdr>
    </w:div>
    <w:div w:id="1851330488">
      <w:bodyDiv w:val="1"/>
      <w:marLeft w:val="0"/>
      <w:marRight w:val="0"/>
      <w:marTop w:val="0"/>
      <w:marBottom w:val="0"/>
      <w:divBdr>
        <w:top w:val="none" w:sz="0" w:space="0" w:color="auto"/>
        <w:left w:val="none" w:sz="0" w:space="0" w:color="auto"/>
        <w:bottom w:val="none" w:sz="0" w:space="0" w:color="auto"/>
        <w:right w:val="none" w:sz="0" w:space="0" w:color="auto"/>
      </w:divBdr>
    </w:div>
    <w:div w:id="1855536347">
      <w:bodyDiv w:val="1"/>
      <w:marLeft w:val="0"/>
      <w:marRight w:val="0"/>
      <w:marTop w:val="0"/>
      <w:marBottom w:val="0"/>
      <w:divBdr>
        <w:top w:val="none" w:sz="0" w:space="0" w:color="auto"/>
        <w:left w:val="none" w:sz="0" w:space="0" w:color="auto"/>
        <w:bottom w:val="none" w:sz="0" w:space="0" w:color="auto"/>
        <w:right w:val="none" w:sz="0" w:space="0" w:color="auto"/>
      </w:divBdr>
    </w:div>
    <w:div w:id="1876116025">
      <w:bodyDiv w:val="1"/>
      <w:marLeft w:val="0"/>
      <w:marRight w:val="0"/>
      <w:marTop w:val="0"/>
      <w:marBottom w:val="0"/>
      <w:divBdr>
        <w:top w:val="none" w:sz="0" w:space="0" w:color="auto"/>
        <w:left w:val="none" w:sz="0" w:space="0" w:color="auto"/>
        <w:bottom w:val="none" w:sz="0" w:space="0" w:color="auto"/>
        <w:right w:val="none" w:sz="0" w:space="0" w:color="auto"/>
      </w:divBdr>
    </w:div>
    <w:div w:id="1946036219">
      <w:bodyDiv w:val="1"/>
      <w:marLeft w:val="0"/>
      <w:marRight w:val="0"/>
      <w:marTop w:val="0"/>
      <w:marBottom w:val="0"/>
      <w:divBdr>
        <w:top w:val="none" w:sz="0" w:space="0" w:color="auto"/>
        <w:left w:val="none" w:sz="0" w:space="0" w:color="auto"/>
        <w:bottom w:val="none" w:sz="0" w:space="0" w:color="auto"/>
        <w:right w:val="none" w:sz="0" w:space="0" w:color="auto"/>
      </w:divBdr>
    </w:div>
    <w:div w:id="2007174324">
      <w:bodyDiv w:val="1"/>
      <w:marLeft w:val="0"/>
      <w:marRight w:val="0"/>
      <w:marTop w:val="0"/>
      <w:marBottom w:val="0"/>
      <w:divBdr>
        <w:top w:val="none" w:sz="0" w:space="0" w:color="auto"/>
        <w:left w:val="none" w:sz="0" w:space="0" w:color="auto"/>
        <w:bottom w:val="none" w:sz="0" w:space="0" w:color="auto"/>
        <w:right w:val="none" w:sz="0" w:space="0" w:color="auto"/>
      </w:divBdr>
      <w:divsChild>
        <w:div w:id="1587376733">
          <w:marLeft w:val="0"/>
          <w:marRight w:val="0"/>
          <w:marTop w:val="0"/>
          <w:marBottom w:val="0"/>
          <w:divBdr>
            <w:top w:val="none" w:sz="0" w:space="0" w:color="auto"/>
            <w:left w:val="none" w:sz="0" w:space="0" w:color="auto"/>
            <w:bottom w:val="none" w:sz="0" w:space="0" w:color="auto"/>
            <w:right w:val="none" w:sz="0" w:space="0" w:color="auto"/>
          </w:divBdr>
        </w:div>
      </w:divsChild>
    </w:div>
    <w:div w:id="2016103197">
      <w:bodyDiv w:val="1"/>
      <w:marLeft w:val="0"/>
      <w:marRight w:val="0"/>
      <w:marTop w:val="0"/>
      <w:marBottom w:val="0"/>
      <w:divBdr>
        <w:top w:val="none" w:sz="0" w:space="0" w:color="auto"/>
        <w:left w:val="none" w:sz="0" w:space="0" w:color="auto"/>
        <w:bottom w:val="none" w:sz="0" w:space="0" w:color="auto"/>
        <w:right w:val="none" w:sz="0" w:space="0" w:color="auto"/>
      </w:divBdr>
    </w:div>
    <w:div w:id="2036345285">
      <w:bodyDiv w:val="1"/>
      <w:marLeft w:val="0"/>
      <w:marRight w:val="0"/>
      <w:marTop w:val="0"/>
      <w:marBottom w:val="0"/>
      <w:divBdr>
        <w:top w:val="none" w:sz="0" w:space="0" w:color="auto"/>
        <w:left w:val="none" w:sz="0" w:space="0" w:color="auto"/>
        <w:bottom w:val="none" w:sz="0" w:space="0" w:color="auto"/>
        <w:right w:val="none" w:sz="0" w:space="0" w:color="auto"/>
      </w:divBdr>
    </w:div>
    <w:div w:id="2039888489">
      <w:bodyDiv w:val="1"/>
      <w:marLeft w:val="0"/>
      <w:marRight w:val="0"/>
      <w:marTop w:val="0"/>
      <w:marBottom w:val="0"/>
      <w:divBdr>
        <w:top w:val="none" w:sz="0" w:space="0" w:color="auto"/>
        <w:left w:val="none" w:sz="0" w:space="0" w:color="auto"/>
        <w:bottom w:val="none" w:sz="0" w:space="0" w:color="auto"/>
        <w:right w:val="none" w:sz="0" w:space="0" w:color="auto"/>
      </w:divBdr>
    </w:div>
    <w:div w:id="2041666570">
      <w:bodyDiv w:val="1"/>
      <w:marLeft w:val="0"/>
      <w:marRight w:val="0"/>
      <w:marTop w:val="0"/>
      <w:marBottom w:val="0"/>
      <w:divBdr>
        <w:top w:val="none" w:sz="0" w:space="0" w:color="auto"/>
        <w:left w:val="none" w:sz="0" w:space="0" w:color="auto"/>
        <w:bottom w:val="none" w:sz="0" w:space="0" w:color="auto"/>
        <w:right w:val="none" w:sz="0" w:space="0" w:color="auto"/>
      </w:divBdr>
    </w:div>
    <w:div w:id="2048681066">
      <w:bodyDiv w:val="1"/>
      <w:marLeft w:val="0"/>
      <w:marRight w:val="0"/>
      <w:marTop w:val="0"/>
      <w:marBottom w:val="0"/>
      <w:divBdr>
        <w:top w:val="none" w:sz="0" w:space="0" w:color="auto"/>
        <w:left w:val="none" w:sz="0" w:space="0" w:color="auto"/>
        <w:bottom w:val="none" w:sz="0" w:space="0" w:color="auto"/>
        <w:right w:val="none" w:sz="0" w:space="0" w:color="auto"/>
      </w:divBdr>
    </w:div>
    <w:div w:id="2051952611">
      <w:bodyDiv w:val="1"/>
      <w:marLeft w:val="0"/>
      <w:marRight w:val="0"/>
      <w:marTop w:val="0"/>
      <w:marBottom w:val="0"/>
      <w:divBdr>
        <w:top w:val="none" w:sz="0" w:space="0" w:color="auto"/>
        <w:left w:val="none" w:sz="0" w:space="0" w:color="auto"/>
        <w:bottom w:val="none" w:sz="0" w:space="0" w:color="auto"/>
        <w:right w:val="none" w:sz="0" w:space="0" w:color="auto"/>
      </w:divBdr>
    </w:div>
    <w:div w:id="2055351917">
      <w:bodyDiv w:val="1"/>
      <w:marLeft w:val="0"/>
      <w:marRight w:val="0"/>
      <w:marTop w:val="0"/>
      <w:marBottom w:val="0"/>
      <w:divBdr>
        <w:top w:val="none" w:sz="0" w:space="0" w:color="auto"/>
        <w:left w:val="none" w:sz="0" w:space="0" w:color="auto"/>
        <w:bottom w:val="none" w:sz="0" w:space="0" w:color="auto"/>
        <w:right w:val="none" w:sz="0" w:space="0" w:color="auto"/>
      </w:divBdr>
    </w:div>
    <w:div w:id="2057928373">
      <w:bodyDiv w:val="1"/>
      <w:marLeft w:val="0"/>
      <w:marRight w:val="0"/>
      <w:marTop w:val="0"/>
      <w:marBottom w:val="0"/>
      <w:divBdr>
        <w:top w:val="none" w:sz="0" w:space="0" w:color="auto"/>
        <w:left w:val="none" w:sz="0" w:space="0" w:color="auto"/>
        <w:bottom w:val="none" w:sz="0" w:space="0" w:color="auto"/>
        <w:right w:val="none" w:sz="0" w:space="0" w:color="auto"/>
      </w:divBdr>
    </w:div>
    <w:div w:id="2102868723">
      <w:bodyDiv w:val="1"/>
      <w:marLeft w:val="0"/>
      <w:marRight w:val="0"/>
      <w:marTop w:val="0"/>
      <w:marBottom w:val="0"/>
      <w:divBdr>
        <w:top w:val="none" w:sz="0" w:space="0" w:color="auto"/>
        <w:left w:val="none" w:sz="0" w:space="0" w:color="auto"/>
        <w:bottom w:val="none" w:sz="0" w:space="0" w:color="auto"/>
        <w:right w:val="none" w:sz="0" w:space="0" w:color="auto"/>
      </w:divBdr>
    </w:div>
    <w:div w:id="2104498185">
      <w:bodyDiv w:val="1"/>
      <w:marLeft w:val="0"/>
      <w:marRight w:val="0"/>
      <w:marTop w:val="0"/>
      <w:marBottom w:val="0"/>
      <w:divBdr>
        <w:top w:val="none" w:sz="0" w:space="0" w:color="auto"/>
        <w:left w:val="none" w:sz="0" w:space="0" w:color="auto"/>
        <w:bottom w:val="none" w:sz="0" w:space="0" w:color="auto"/>
        <w:right w:val="none" w:sz="0" w:space="0" w:color="auto"/>
      </w:divBdr>
    </w:div>
    <w:div w:id="21172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doud@lancas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F92E9-61F0-48AE-874C-DF592406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EB0AB195.dotm</Template>
  <TotalTime>0</TotalTime>
  <Pages>19</Pages>
  <Words>17095</Words>
  <Characters>97447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2019-12-17T09:47:00Z</dcterms:created>
  <dcterms:modified xsi:type="dcterms:W3CDTF">2019-12-17T09:49:00Z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id="c4Vbilxj"/&gt;&lt;style id="http://www.zotero.org/styles/bmj-supportive-and-palliative-care" hasBibliography="1" bibliographyStyleHasBeenSet="1"/&gt;&lt;prefs&gt;&lt;pref name="fieldType" value="Field"/&gt;&lt;/prefs&gt;&lt;/</vt:lpwstr>
  </property>
  <property fmtid="{D5CDD505-2E9C-101B-9397-08002B2CF9AE}" pid="3" name="ZOTERO_PREF_2">
    <vt:lpwstr>data&gt;</vt:lpwstr>
  </property>
</Properties>
</file>