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C" w:rsidRPr="00BB6E67" w:rsidRDefault="0018785C" w:rsidP="0018785C">
      <w:pPr>
        <w:spacing w:line="276" w:lineRule="auto"/>
        <w:jc w:val="center"/>
        <w:rPr>
          <w:rFonts w:ascii="Times New Roman" w:hAnsi="Times New Roman" w:cs="Times New Roman"/>
          <w:b/>
          <w:sz w:val="24"/>
          <w:szCs w:val="24"/>
        </w:rPr>
      </w:pPr>
      <w:r w:rsidRPr="00BB6E67">
        <w:rPr>
          <w:rFonts w:ascii="Times New Roman" w:hAnsi="Times New Roman" w:cs="Times New Roman"/>
          <w:b/>
          <w:sz w:val="24"/>
          <w:szCs w:val="24"/>
        </w:rPr>
        <w:t>Journal of Housing Law</w:t>
      </w:r>
    </w:p>
    <w:p w:rsidR="0018785C" w:rsidRPr="0018785C" w:rsidRDefault="0018785C" w:rsidP="0018785C">
      <w:pPr>
        <w:spacing w:line="276" w:lineRule="auto"/>
        <w:jc w:val="center"/>
        <w:rPr>
          <w:rFonts w:ascii="Times New Roman" w:hAnsi="Times New Roman" w:cs="Times New Roman"/>
          <w:sz w:val="24"/>
          <w:szCs w:val="24"/>
        </w:rPr>
      </w:pPr>
      <w:r w:rsidRPr="00BB6E67">
        <w:rPr>
          <w:rFonts w:ascii="Times New Roman" w:hAnsi="Times New Roman" w:cs="Times New Roman"/>
          <w:sz w:val="24"/>
          <w:szCs w:val="24"/>
        </w:rPr>
        <w:t>2019</w:t>
      </w:r>
    </w:p>
    <w:p w:rsidR="00CB4028" w:rsidRDefault="00EB2D09" w:rsidP="0018785C">
      <w:pPr>
        <w:jc w:val="center"/>
        <w:rPr>
          <w:rFonts w:ascii="Times New Roman" w:hAnsi="Times New Roman" w:cs="Times New Roman"/>
          <w:b/>
          <w:sz w:val="28"/>
          <w:szCs w:val="28"/>
        </w:rPr>
      </w:pPr>
      <w:r>
        <w:rPr>
          <w:rFonts w:ascii="Times New Roman" w:hAnsi="Times New Roman" w:cs="Times New Roman"/>
          <w:b/>
          <w:sz w:val="28"/>
          <w:szCs w:val="28"/>
        </w:rPr>
        <w:t xml:space="preserve">Discrimination, weighty reasons and the “bedroom tax”: </w:t>
      </w:r>
      <w:r w:rsidR="00C66FEA">
        <w:rPr>
          <w:rFonts w:ascii="Times New Roman" w:hAnsi="Times New Roman" w:cs="Times New Roman"/>
          <w:b/>
          <w:sz w:val="28"/>
          <w:szCs w:val="28"/>
        </w:rPr>
        <w:t>J</w:t>
      </w:r>
      <w:r w:rsidR="00C66FEA" w:rsidRPr="00C66FEA">
        <w:rPr>
          <w:rFonts w:ascii="Times New Roman" w:hAnsi="Times New Roman" w:cs="Times New Roman"/>
          <w:b/>
          <w:sz w:val="28"/>
          <w:szCs w:val="28"/>
        </w:rPr>
        <w:t xml:space="preserve">.D. </w:t>
      </w:r>
      <w:r w:rsidR="00C66FEA">
        <w:rPr>
          <w:rFonts w:ascii="Times New Roman" w:hAnsi="Times New Roman" w:cs="Times New Roman"/>
          <w:b/>
          <w:sz w:val="28"/>
          <w:szCs w:val="28"/>
        </w:rPr>
        <w:t>and</w:t>
      </w:r>
      <w:r w:rsidR="00C66FEA" w:rsidRPr="00C66FEA">
        <w:rPr>
          <w:rFonts w:ascii="Times New Roman" w:hAnsi="Times New Roman" w:cs="Times New Roman"/>
          <w:b/>
          <w:sz w:val="28"/>
          <w:szCs w:val="28"/>
        </w:rPr>
        <w:t xml:space="preserve"> A v. </w:t>
      </w:r>
      <w:r w:rsidR="00C66FEA">
        <w:rPr>
          <w:rFonts w:ascii="Times New Roman" w:hAnsi="Times New Roman" w:cs="Times New Roman"/>
          <w:b/>
          <w:sz w:val="28"/>
          <w:szCs w:val="28"/>
        </w:rPr>
        <w:t>The United Kingdom</w:t>
      </w:r>
    </w:p>
    <w:p w:rsidR="002B18AB" w:rsidRPr="0018785C" w:rsidRDefault="0018785C" w:rsidP="0018785C">
      <w:pPr>
        <w:jc w:val="center"/>
        <w:rPr>
          <w:rFonts w:ascii="Times New Roman" w:hAnsi="Times New Roman" w:cs="Times New Roman"/>
          <w:sz w:val="24"/>
          <w:szCs w:val="24"/>
        </w:rPr>
      </w:pPr>
      <w:r w:rsidRPr="0018785C">
        <w:rPr>
          <w:rFonts w:ascii="Times New Roman" w:hAnsi="Times New Roman" w:cs="Times New Roman"/>
          <w:sz w:val="24"/>
          <w:szCs w:val="24"/>
        </w:rPr>
        <w:t>Dr Jed Meers*</w:t>
      </w:r>
    </w:p>
    <w:p w:rsidR="0018785C" w:rsidRPr="00BB6E67" w:rsidRDefault="0018785C" w:rsidP="0018785C">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Subject: </w:t>
      </w:r>
      <w:r w:rsidRPr="00BB6E67">
        <w:rPr>
          <w:color w:val="000000"/>
          <w:sz w:val="22"/>
          <w:szCs w:val="22"/>
        </w:rPr>
        <w:t>Housing</w:t>
      </w:r>
    </w:p>
    <w:p w:rsidR="0018785C" w:rsidRPr="00BB6E67" w:rsidRDefault="0018785C" w:rsidP="0018785C">
      <w:pPr>
        <w:pStyle w:val="NormalWeb"/>
        <w:shd w:val="clear" w:color="auto" w:fill="FFFFFF"/>
        <w:spacing w:before="0" w:beforeAutospacing="0" w:after="0" w:afterAutospacing="0"/>
        <w:jc w:val="both"/>
        <w:rPr>
          <w:color w:val="000000"/>
          <w:sz w:val="22"/>
          <w:szCs w:val="22"/>
        </w:rPr>
      </w:pPr>
    </w:p>
    <w:p w:rsidR="0018785C" w:rsidRPr="00BB6E67" w:rsidRDefault="0018785C" w:rsidP="0018785C">
      <w:pPr>
        <w:pStyle w:val="NormalWeb"/>
        <w:shd w:val="clear" w:color="auto" w:fill="FFFFFF"/>
        <w:spacing w:before="0" w:beforeAutospacing="0" w:after="0" w:afterAutospacing="0"/>
        <w:jc w:val="both"/>
        <w:rPr>
          <w:color w:val="000000"/>
          <w:sz w:val="22"/>
          <w:szCs w:val="22"/>
        </w:rPr>
      </w:pPr>
      <w:r w:rsidRPr="00BB6E67">
        <w:rPr>
          <w:rStyle w:val="Strong"/>
          <w:color w:val="000000"/>
          <w:sz w:val="22"/>
          <w:szCs w:val="22"/>
        </w:rPr>
        <w:t>Keywords: </w:t>
      </w:r>
      <w:r>
        <w:rPr>
          <w:rStyle w:val="Strong"/>
          <w:b w:val="0"/>
          <w:color w:val="000000"/>
          <w:sz w:val="22"/>
          <w:szCs w:val="22"/>
        </w:rPr>
        <w:t xml:space="preserve">Housing benefit, discrimination, disability discrimination, gender discrimination, discretionary housing payments, </w:t>
      </w:r>
      <w:proofErr w:type="gramStart"/>
      <w:r>
        <w:rPr>
          <w:rStyle w:val="Strong"/>
          <w:b w:val="0"/>
          <w:color w:val="000000"/>
          <w:sz w:val="22"/>
          <w:szCs w:val="22"/>
        </w:rPr>
        <w:t>human</w:t>
      </w:r>
      <w:proofErr w:type="gramEnd"/>
      <w:r>
        <w:rPr>
          <w:rStyle w:val="Strong"/>
          <w:b w:val="0"/>
          <w:color w:val="000000"/>
          <w:sz w:val="22"/>
          <w:szCs w:val="22"/>
        </w:rPr>
        <w:t xml:space="preserve"> rights.</w:t>
      </w:r>
      <w:r>
        <w:rPr>
          <w:rStyle w:val="Strong"/>
          <w:color w:val="000000"/>
          <w:sz w:val="22"/>
          <w:szCs w:val="22"/>
        </w:rPr>
        <w:t xml:space="preserve"> </w:t>
      </w:r>
    </w:p>
    <w:p w:rsidR="0018785C" w:rsidRPr="00BB6E67" w:rsidRDefault="0018785C" w:rsidP="0018785C">
      <w:pPr>
        <w:spacing w:after="0" w:line="276" w:lineRule="auto"/>
        <w:jc w:val="both"/>
        <w:rPr>
          <w:rFonts w:ascii="Times New Roman" w:hAnsi="Times New Roman" w:cs="Times New Roman"/>
        </w:rPr>
      </w:pPr>
    </w:p>
    <w:p w:rsidR="0018785C" w:rsidRPr="00BB6E67" w:rsidRDefault="0018785C" w:rsidP="0018785C">
      <w:pPr>
        <w:spacing w:after="0" w:line="276" w:lineRule="auto"/>
        <w:jc w:val="both"/>
        <w:rPr>
          <w:rFonts w:ascii="Times New Roman" w:hAnsi="Times New Roman" w:cs="Times New Roman"/>
        </w:rPr>
      </w:pPr>
      <w:r w:rsidRPr="00BB6E67">
        <w:rPr>
          <w:rStyle w:val="Strong"/>
          <w:rFonts w:ascii="Times New Roman" w:hAnsi="Times New Roman" w:cs="Times New Roman"/>
          <w:color w:val="000000"/>
        </w:rPr>
        <w:t>Legislation: </w:t>
      </w:r>
    </w:p>
    <w:p w:rsidR="0018785C" w:rsidRDefault="0018785C" w:rsidP="0018785C">
      <w:pPr>
        <w:spacing w:after="0" w:line="276" w:lineRule="auto"/>
        <w:jc w:val="both"/>
        <w:rPr>
          <w:rFonts w:ascii="Times New Roman" w:hAnsi="Times New Roman" w:cs="Times New Roman"/>
        </w:rPr>
      </w:pPr>
      <w:r>
        <w:rPr>
          <w:rFonts w:ascii="Times New Roman" w:hAnsi="Times New Roman" w:cs="Times New Roman"/>
        </w:rPr>
        <w:t>Housing Benefit Regulations 2006.</w:t>
      </w:r>
    </w:p>
    <w:p w:rsidR="0018785C" w:rsidRPr="00BB6E67" w:rsidRDefault="0018785C" w:rsidP="0018785C">
      <w:pPr>
        <w:spacing w:after="0" w:line="276" w:lineRule="auto"/>
        <w:jc w:val="both"/>
        <w:rPr>
          <w:rFonts w:ascii="Times New Roman" w:hAnsi="Times New Roman" w:cs="Times New Roman"/>
        </w:rPr>
      </w:pPr>
      <w:r>
        <w:rPr>
          <w:rFonts w:ascii="Times New Roman" w:hAnsi="Times New Roman" w:cs="Times New Roman"/>
        </w:rPr>
        <w:t>Equality Act 2010.</w:t>
      </w:r>
    </w:p>
    <w:p w:rsidR="0018785C" w:rsidRPr="00BB6E67" w:rsidRDefault="0018785C" w:rsidP="0018785C">
      <w:pPr>
        <w:spacing w:after="0" w:line="276" w:lineRule="auto"/>
        <w:jc w:val="both"/>
        <w:rPr>
          <w:rFonts w:ascii="Times New Roman" w:hAnsi="Times New Roman" w:cs="Times New Roman"/>
        </w:rPr>
      </w:pPr>
    </w:p>
    <w:p w:rsidR="0018785C" w:rsidRPr="00BB6E67" w:rsidRDefault="0018785C" w:rsidP="0018785C">
      <w:pPr>
        <w:spacing w:after="0" w:line="276" w:lineRule="auto"/>
        <w:jc w:val="both"/>
        <w:rPr>
          <w:rStyle w:val="Strong"/>
          <w:rFonts w:ascii="Times New Roman" w:hAnsi="Times New Roman" w:cs="Times New Roman"/>
          <w:color w:val="000000"/>
          <w:shd w:val="clear" w:color="auto" w:fill="FFFFFF"/>
        </w:rPr>
      </w:pPr>
      <w:r w:rsidRPr="00BB6E67">
        <w:rPr>
          <w:rStyle w:val="Strong"/>
          <w:rFonts w:ascii="Times New Roman" w:hAnsi="Times New Roman" w:cs="Times New Roman"/>
          <w:color w:val="000000"/>
          <w:shd w:val="clear" w:color="auto" w:fill="FFFFFF"/>
        </w:rPr>
        <w:t>Cases: </w:t>
      </w:r>
    </w:p>
    <w:p w:rsidR="0018785C" w:rsidRPr="0018785C" w:rsidRDefault="0018785C" w:rsidP="0018785C">
      <w:pPr>
        <w:spacing w:after="0" w:line="276" w:lineRule="auto"/>
        <w:jc w:val="both"/>
        <w:rPr>
          <w:rFonts w:ascii="Times New Roman" w:hAnsi="Times New Roman" w:cs="Times New Roman"/>
          <w:i/>
        </w:rPr>
      </w:pPr>
      <w:r w:rsidRPr="0018785C">
        <w:rPr>
          <w:rFonts w:ascii="Times New Roman" w:hAnsi="Times New Roman" w:cs="Times New Roman"/>
          <w:i/>
        </w:rPr>
        <w:t>J.D. and A</w:t>
      </w:r>
      <w:r w:rsidRPr="0018785C">
        <w:rPr>
          <w:rFonts w:ascii="Times New Roman" w:hAnsi="Times New Roman" w:cs="Times New Roman"/>
        </w:rPr>
        <w:t xml:space="preserve"> v. </w:t>
      </w:r>
      <w:r w:rsidRPr="0018785C">
        <w:rPr>
          <w:rFonts w:ascii="Times New Roman" w:hAnsi="Times New Roman" w:cs="Times New Roman"/>
          <w:i/>
        </w:rPr>
        <w:t>The United Kingdom</w:t>
      </w:r>
      <w:r w:rsidRPr="0018785C">
        <w:rPr>
          <w:rFonts w:ascii="Times New Roman" w:hAnsi="Times New Roman" w:cs="Times New Roman"/>
        </w:rPr>
        <w:t xml:space="preserve"> </w:t>
      </w:r>
      <w:r w:rsidRPr="0018785C">
        <w:rPr>
          <w:rFonts w:ascii="Times New Roman" w:hAnsi="Times New Roman" w:cs="Times New Roman"/>
          <w:i/>
        </w:rPr>
        <w:t xml:space="preserve">Applications nos. 32949/17 and 34614/17 </w:t>
      </w:r>
      <w:r w:rsidRPr="0018785C">
        <w:rPr>
          <w:rFonts w:ascii="Times New Roman" w:hAnsi="Times New Roman" w:cs="Times New Roman"/>
        </w:rPr>
        <w:t>(</w:t>
      </w:r>
      <w:proofErr w:type="spellStart"/>
      <w:r w:rsidRPr="0018785C">
        <w:rPr>
          <w:rFonts w:ascii="Times New Roman" w:hAnsi="Times New Roman" w:cs="Times New Roman"/>
        </w:rPr>
        <w:t>ECtHR</w:t>
      </w:r>
      <w:proofErr w:type="spellEnd"/>
      <w:r w:rsidRPr="0018785C">
        <w:rPr>
          <w:rFonts w:ascii="Times New Roman" w:hAnsi="Times New Roman" w:cs="Times New Roman"/>
        </w:rPr>
        <w:t>, 24 October 2019).</w:t>
      </w:r>
    </w:p>
    <w:p w:rsidR="0018785C" w:rsidRPr="0018785C" w:rsidRDefault="0018785C" w:rsidP="0018785C">
      <w:pPr>
        <w:spacing w:after="0"/>
        <w:rPr>
          <w:rStyle w:val="sb8d990e2"/>
          <w:rFonts w:ascii="Times New Roman" w:hAnsi="Times New Roman" w:cs="Times New Roman"/>
          <w:color w:val="000000"/>
          <w:shd w:val="clear" w:color="auto" w:fill="FFFFFF"/>
        </w:rPr>
      </w:pPr>
      <w:proofErr w:type="spellStart"/>
      <w:r w:rsidRPr="0018785C">
        <w:rPr>
          <w:rStyle w:val="sb8d990e2"/>
          <w:rFonts w:ascii="Times New Roman" w:hAnsi="Times New Roman" w:cs="Times New Roman"/>
          <w:i/>
          <w:color w:val="000000"/>
          <w:shd w:val="clear" w:color="auto" w:fill="FFFFFF"/>
        </w:rPr>
        <w:t>Burnip</w:t>
      </w:r>
      <w:proofErr w:type="spellEnd"/>
      <w:r w:rsidRPr="0018785C">
        <w:rPr>
          <w:rStyle w:val="sb8d990e2"/>
          <w:rFonts w:ascii="Times New Roman" w:hAnsi="Times New Roman" w:cs="Times New Roman"/>
          <w:i/>
          <w:color w:val="000000"/>
          <w:shd w:val="clear" w:color="auto" w:fill="FFFFFF"/>
        </w:rPr>
        <w:t xml:space="preserve"> v. Birmingham City Council and others</w:t>
      </w:r>
      <w:r w:rsidRPr="0018785C">
        <w:rPr>
          <w:rStyle w:val="sb8d990e2"/>
          <w:rFonts w:ascii="Times New Roman" w:hAnsi="Times New Roman" w:cs="Times New Roman"/>
          <w:color w:val="000000"/>
          <w:shd w:val="clear" w:color="auto" w:fill="FFFFFF"/>
        </w:rPr>
        <w:t xml:space="preserve"> [2012] EWCA </w:t>
      </w:r>
      <w:proofErr w:type="spellStart"/>
      <w:r w:rsidRPr="0018785C">
        <w:rPr>
          <w:rStyle w:val="sb8d990e2"/>
          <w:rFonts w:ascii="Times New Roman" w:hAnsi="Times New Roman" w:cs="Times New Roman"/>
          <w:color w:val="000000"/>
          <w:shd w:val="clear" w:color="auto" w:fill="FFFFFF"/>
        </w:rPr>
        <w:t>Civ</w:t>
      </w:r>
      <w:proofErr w:type="spellEnd"/>
      <w:r w:rsidRPr="0018785C">
        <w:rPr>
          <w:rStyle w:val="sb8d990e2"/>
          <w:rFonts w:ascii="Times New Roman" w:hAnsi="Times New Roman" w:cs="Times New Roman"/>
          <w:color w:val="000000"/>
          <w:shd w:val="clear" w:color="auto" w:fill="FFFFFF"/>
        </w:rPr>
        <w:t xml:space="preserve"> 629</w:t>
      </w:r>
    </w:p>
    <w:p w:rsidR="0018785C" w:rsidRPr="0018785C" w:rsidRDefault="0018785C">
      <w:pPr>
        <w:rPr>
          <w:rStyle w:val="sb8d990e2"/>
          <w:rFonts w:ascii="Times New Roman" w:hAnsi="Times New Roman" w:cs="Times New Roman"/>
          <w:color w:val="000000"/>
          <w:shd w:val="clear" w:color="auto" w:fill="FFFFFF"/>
        </w:rPr>
      </w:pPr>
      <w:r w:rsidRPr="0018785C">
        <w:rPr>
          <w:rFonts w:ascii="Times New Roman" w:hAnsi="Times New Roman" w:cs="Times New Roman"/>
          <w:i/>
        </w:rPr>
        <w:t>R. (on the application of DA) v Secretary of State for Work and Pensions</w:t>
      </w:r>
      <w:r w:rsidRPr="0018785C">
        <w:rPr>
          <w:rFonts w:ascii="Times New Roman" w:hAnsi="Times New Roman" w:cs="Times New Roman"/>
          <w:i/>
        </w:rPr>
        <w:t xml:space="preserve"> </w:t>
      </w:r>
      <w:r w:rsidRPr="0018785C">
        <w:rPr>
          <w:rFonts w:ascii="Times New Roman" w:hAnsi="Times New Roman" w:cs="Times New Roman"/>
        </w:rPr>
        <w:t>[2019] UKSC 21</w:t>
      </w:r>
    </w:p>
    <w:p w:rsidR="0018785C" w:rsidRDefault="0018785C" w:rsidP="00AA145C">
      <w:pPr>
        <w:jc w:val="both"/>
        <w:rPr>
          <w:rFonts w:ascii="Times New Roman" w:hAnsi="Times New Roman" w:cs="Times New Roman"/>
          <w:sz w:val="24"/>
          <w:szCs w:val="24"/>
        </w:rPr>
      </w:pPr>
    </w:p>
    <w:p w:rsidR="0024106B" w:rsidRDefault="002B18AB" w:rsidP="00AA145C">
      <w:pPr>
        <w:jc w:val="both"/>
        <w:rPr>
          <w:rFonts w:ascii="Times New Roman" w:hAnsi="Times New Roman" w:cs="Times New Roman"/>
          <w:sz w:val="24"/>
          <w:szCs w:val="24"/>
        </w:rPr>
      </w:pPr>
      <w:r>
        <w:rPr>
          <w:rFonts w:ascii="Times New Roman" w:hAnsi="Times New Roman" w:cs="Times New Roman"/>
          <w:sz w:val="24"/>
          <w:szCs w:val="24"/>
        </w:rPr>
        <w:t xml:space="preserve">The decision of the European Court of Human Rights in </w:t>
      </w:r>
      <w:r w:rsidRPr="002B18AB">
        <w:rPr>
          <w:rFonts w:ascii="Times New Roman" w:hAnsi="Times New Roman" w:cs="Times New Roman"/>
          <w:i/>
          <w:sz w:val="24"/>
          <w:szCs w:val="24"/>
        </w:rPr>
        <w:t>J.D. and A</w:t>
      </w:r>
      <w:r w:rsidRPr="002B18AB">
        <w:rPr>
          <w:rFonts w:ascii="Times New Roman" w:hAnsi="Times New Roman" w:cs="Times New Roman"/>
          <w:sz w:val="24"/>
          <w:szCs w:val="24"/>
        </w:rPr>
        <w:t xml:space="preserve"> v. </w:t>
      </w:r>
      <w:r w:rsidRPr="002B18AB">
        <w:rPr>
          <w:rFonts w:ascii="Times New Roman" w:hAnsi="Times New Roman" w:cs="Times New Roman"/>
          <w:i/>
          <w:sz w:val="24"/>
          <w:szCs w:val="24"/>
        </w:rPr>
        <w:t>The United Kingdom</w:t>
      </w:r>
      <w:r w:rsidR="00B1388C">
        <w:rPr>
          <w:rStyle w:val="FootnoteReference"/>
          <w:rFonts w:ascii="Times New Roman" w:hAnsi="Times New Roman" w:cs="Times New Roman"/>
          <w:i/>
          <w:sz w:val="24"/>
          <w:szCs w:val="24"/>
        </w:rPr>
        <w:footnoteReference w:id="1"/>
      </w:r>
      <w:r w:rsidRPr="002B18AB">
        <w:rPr>
          <w:rFonts w:ascii="Times New Roman" w:hAnsi="Times New Roman" w:cs="Times New Roman"/>
          <w:i/>
          <w:sz w:val="24"/>
          <w:szCs w:val="24"/>
        </w:rPr>
        <w:t xml:space="preserve"> </w:t>
      </w:r>
      <w:r>
        <w:rPr>
          <w:rFonts w:ascii="Times New Roman" w:hAnsi="Times New Roman" w:cs="Times New Roman"/>
          <w:sz w:val="24"/>
          <w:szCs w:val="24"/>
        </w:rPr>
        <w:t>marks the end of the road for two appe</w:t>
      </w:r>
      <w:r w:rsidR="003B7B12">
        <w:rPr>
          <w:rFonts w:ascii="Times New Roman" w:hAnsi="Times New Roman" w:cs="Times New Roman"/>
          <w:sz w:val="24"/>
          <w:szCs w:val="24"/>
        </w:rPr>
        <w:t xml:space="preserve">als to the </w:t>
      </w:r>
      <w:proofErr w:type="gramStart"/>
      <w:r w:rsidR="003B7B12">
        <w:rPr>
          <w:rFonts w:ascii="Times New Roman" w:hAnsi="Times New Roman" w:cs="Times New Roman"/>
          <w:sz w:val="24"/>
          <w:szCs w:val="24"/>
        </w:rPr>
        <w:t>well-known</w:t>
      </w:r>
      <w:proofErr w:type="gramEnd"/>
      <w:r>
        <w:rPr>
          <w:rFonts w:ascii="Times New Roman" w:hAnsi="Times New Roman" w:cs="Times New Roman"/>
          <w:sz w:val="24"/>
          <w:szCs w:val="24"/>
        </w:rPr>
        <w:t xml:space="preserve"> “bedroom tax” po</w:t>
      </w:r>
      <w:r w:rsidR="00306F5D">
        <w:rPr>
          <w:rFonts w:ascii="Times New Roman" w:hAnsi="Times New Roman" w:cs="Times New Roman"/>
          <w:sz w:val="24"/>
          <w:szCs w:val="24"/>
        </w:rPr>
        <w:t>licy that stretch back to 2013. Both claimants in this case have long argued that they suffer indirect discrimination from the policy’s imposition of a penalty for the under-occu</w:t>
      </w:r>
      <w:r w:rsidR="0024106B">
        <w:rPr>
          <w:rFonts w:ascii="Times New Roman" w:hAnsi="Times New Roman" w:cs="Times New Roman"/>
          <w:sz w:val="24"/>
          <w:szCs w:val="24"/>
        </w:rPr>
        <w:t xml:space="preserve">pation of social rented housing. The offending regulations, amended in the wake of the Coalition Government’s Welfare Reform Act 2012, </w:t>
      </w:r>
      <w:proofErr w:type="gramStart"/>
      <w:r w:rsidR="0024106B">
        <w:rPr>
          <w:rFonts w:ascii="Times New Roman" w:hAnsi="Times New Roman" w:cs="Times New Roman"/>
          <w:sz w:val="24"/>
          <w:szCs w:val="24"/>
        </w:rPr>
        <w:t>are found</w:t>
      </w:r>
      <w:proofErr w:type="gramEnd"/>
      <w:r w:rsidR="0024106B">
        <w:rPr>
          <w:rFonts w:ascii="Times New Roman" w:hAnsi="Times New Roman" w:cs="Times New Roman"/>
          <w:sz w:val="24"/>
          <w:szCs w:val="24"/>
        </w:rPr>
        <w:t xml:space="preserve"> in Reg.B13 Housing Benefit Regulations 2006.</w:t>
      </w:r>
      <w:r w:rsidR="00306F5D">
        <w:rPr>
          <w:rFonts w:ascii="Times New Roman" w:hAnsi="Times New Roman" w:cs="Times New Roman"/>
          <w:sz w:val="24"/>
          <w:szCs w:val="24"/>
        </w:rPr>
        <w:t xml:space="preserve"> </w:t>
      </w:r>
      <w:r w:rsidR="0024106B">
        <w:rPr>
          <w:rFonts w:ascii="Times New Roman" w:hAnsi="Times New Roman" w:cs="Times New Roman"/>
          <w:sz w:val="24"/>
          <w:szCs w:val="24"/>
        </w:rPr>
        <w:t xml:space="preserve">They impose </w:t>
      </w:r>
      <w:r w:rsidR="00306F5D">
        <w:rPr>
          <w:rFonts w:ascii="Times New Roman" w:hAnsi="Times New Roman" w:cs="Times New Roman"/>
          <w:sz w:val="24"/>
          <w:szCs w:val="24"/>
        </w:rPr>
        <w:t xml:space="preserve">a 14% penalty based on the eligible rent for under-occupying by </w:t>
      </w:r>
      <w:proofErr w:type="gramStart"/>
      <w:r w:rsidR="00306F5D">
        <w:rPr>
          <w:rFonts w:ascii="Times New Roman" w:hAnsi="Times New Roman" w:cs="Times New Roman"/>
          <w:sz w:val="24"/>
          <w:szCs w:val="24"/>
        </w:rPr>
        <w:t>one</w:t>
      </w:r>
      <w:proofErr w:type="gramEnd"/>
      <w:r w:rsidR="00306F5D">
        <w:rPr>
          <w:rFonts w:ascii="Times New Roman" w:hAnsi="Times New Roman" w:cs="Times New Roman"/>
          <w:sz w:val="24"/>
          <w:szCs w:val="24"/>
        </w:rPr>
        <w:t xml:space="preserve"> room, 25% for two or more.</w:t>
      </w:r>
      <w:r w:rsidR="00CD0BB4">
        <w:rPr>
          <w:rStyle w:val="FootnoteReference"/>
          <w:rFonts w:ascii="Times New Roman" w:hAnsi="Times New Roman" w:cs="Times New Roman"/>
          <w:sz w:val="24"/>
          <w:szCs w:val="24"/>
        </w:rPr>
        <w:footnoteReference w:id="2"/>
      </w:r>
      <w:r w:rsidR="00AA145C">
        <w:rPr>
          <w:rFonts w:ascii="Times New Roman" w:hAnsi="Times New Roman" w:cs="Times New Roman"/>
          <w:sz w:val="24"/>
          <w:szCs w:val="24"/>
        </w:rPr>
        <w:t xml:space="preserve"> </w:t>
      </w:r>
    </w:p>
    <w:p w:rsidR="00EB2D09" w:rsidRDefault="00452DDF" w:rsidP="002950B9">
      <w:pPr>
        <w:jc w:val="both"/>
        <w:rPr>
          <w:rFonts w:ascii="Times New Roman" w:hAnsi="Times New Roman" w:cs="Times New Roman"/>
          <w:sz w:val="24"/>
          <w:szCs w:val="24"/>
        </w:rPr>
      </w:pPr>
      <w:r>
        <w:rPr>
          <w:rFonts w:ascii="Times New Roman" w:hAnsi="Times New Roman" w:cs="Times New Roman"/>
          <w:sz w:val="24"/>
          <w:szCs w:val="24"/>
        </w:rPr>
        <w:t>The</w:t>
      </w:r>
      <w:r w:rsidR="00A964D6">
        <w:rPr>
          <w:rFonts w:ascii="Times New Roman" w:hAnsi="Times New Roman" w:cs="Times New Roman"/>
          <w:sz w:val="24"/>
          <w:szCs w:val="24"/>
        </w:rPr>
        <w:t xml:space="preserve"> controversial policy </w:t>
      </w:r>
      <w:proofErr w:type="gramStart"/>
      <w:r w:rsidR="00A964D6">
        <w:rPr>
          <w:rFonts w:ascii="Times New Roman" w:hAnsi="Times New Roman" w:cs="Times New Roman"/>
          <w:sz w:val="24"/>
          <w:szCs w:val="24"/>
        </w:rPr>
        <w:t>is designed</w:t>
      </w:r>
      <w:proofErr w:type="gramEnd"/>
      <w:r w:rsidR="00A964D6">
        <w:rPr>
          <w:rFonts w:ascii="Times New Roman" w:hAnsi="Times New Roman" w:cs="Times New Roman"/>
          <w:sz w:val="24"/>
          <w:szCs w:val="24"/>
        </w:rPr>
        <w:t xml:space="preserve"> to put people at risk of losing their homes in order to incentivise them to downsize; as the </w:t>
      </w:r>
      <w:proofErr w:type="spellStart"/>
      <w:r>
        <w:rPr>
          <w:rFonts w:ascii="Times New Roman" w:hAnsi="Times New Roman" w:cs="Times New Roman"/>
          <w:sz w:val="24"/>
          <w:szCs w:val="24"/>
        </w:rPr>
        <w:t>ECtHR</w:t>
      </w:r>
      <w:proofErr w:type="spellEnd"/>
      <w:r w:rsidR="00A964D6">
        <w:rPr>
          <w:rFonts w:ascii="Times New Roman" w:hAnsi="Times New Roman" w:cs="Times New Roman"/>
          <w:sz w:val="24"/>
          <w:szCs w:val="24"/>
        </w:rPr>
        <w:t xml:space="preserve"> </w:t>
      </w:r>
      <w:r>
        <w:rPr>
          <w:rFonts w:ascii="Times New Roman" w:hAnsi="Times New Roman" w:cs="Times New Roman"/>
          <w:sz w:val="24"/>
          <w:szCs w:val="24"/>
        </w:rPr>
        <w:t>describes it</w:t>
      </w:r>
      <w:r w:rsidR="00A964D6">
        <w:rPr>
          <w:rFonts w:ascii="Times New Roman" w:hAnsi="Times New Roman" w:cs="Times New Roman"/>
          <w:sz w:val="24"/>
          <w:szCs w:val="24"/>
        </w:rPr>
        <w:t>, “</w:t>
      </w:r>
      <w:r>
        <w:rPr>
          <w:rFonts w:ascii="Times New Roman" w:hAnsi="Times New Roman" w:cs="Times New Roman"/>
          <w:sz w:val="24"/>
          <w:szCs w:val="24"/>
        </w:rPr>
        <w:t xml:space="preserve">this </w:t>
      </w:r>
      <w:proofErr w:type="spellStart"/>
      <w:r w:rsidR="00A964D6">
        <w:rPr>
          <w:rFonts w:ascii="Times New Roman" w:hAnsi="Times New Roman" w:cs="Times New Roman"/>
          <w:sz w:val="24"/>
          <w:szCs w:val="24"/>
        </w:rPr>
        <w:t>precarity</w:t>
      </w:r>
      <w:proofErr w:type="spellEnd"/>
      <w:r w:rsidR="00A964D6">
        <w:rPr>
          <w:rFonts w:ascii="Times New Roman" w:hAnsi="Times New Roman" w:cs="Times New Roman"/>
          <w:sz w:val="24"/>
          <w:szCs w:val="24"/>
        </w:rPr>
        <w:t xml:space="preserve"> was the intention of the scheme”.</w:t>
      </w:r>
      <w:r w:rsidR="00A964D6">
        <w:rPr>
          <w:rStyle w:val="FootnoteReference"/>
          <w:rFonts w:ascii="Times New Roman" w:hAnsi="Times New Roman" w:cs="Times New Roman"/>
          <w:sz w:val="24"/>
          <w:szCs w:val="24"/>
        </w:rPr>
        <w:footnoteReference w:id="3"/>
      </w:r>
      <w:r w:rsidR="002950B9">
        <w:rPr>
          <w:rFonts w:ascii="Times New Roman" w:hAnsi="Times New Roman" w:cs="Times New Roman"/>
          <w:sz w:val="24"/>
          <w:szCs w:val="24"/>
        </w:rPr>
        <w:t xml:space="preserve"> In the present case, both claimants argued that being subject to this policy was unlawfully discriminatory contrary to Article 14 European Convention on Human Rights, for </w:t>
      </w:r>
      <w:r w:rsidR="002950B9">
        <w:rPr>
          <w:rFonts w:ascii="Times New Roman" w:hAnsi="Times New Roman" w:cs="Times New Roman"/>
          <w:i/>
          <w:sz w:val="24"/>
          <w:szCs w:val="24"/>
        </w:rPr>
        <w:t>J.D.</w:t>
      </w:r>
      <w:r w:rsidR="002950B9">
        <w:rPr>
          <w:rFonts w:ascii="Times New Roman" w:hAnsi="Times New Roman" w:cs="Times New Roman"/>
          <w:sz w:val="24"/>
          <w:szCs w:val="24"/>
        </w:rPr>
        <w:t xml:space="preserve"> on the grounds of disability and for </w:t>
      </w:r>
      <w:r w:rsidR="002950B9">
        <w:rPr>
          <w:rFonts w:ascii="Times New Roman" w:hAnsi="Times New Roman" w:cs="Times New Roman"/>
          <w:i/>
          <w:sz w:val="24"/>
          <w:szCs w:val="24"/>
        </w:rPr>
        <w:t xml:space="preserve">A </w:t>
      </w:r>
      <w:r w:rsidR="002950B9">
        <w:rPr>
          <w:rFonts w:ascii="Times New Roman" w:hAnsi="Times New Roman" w:cs="Times New Roman"/>
          <w:sz w:val="24"/>
          <w:szCs w:val="24"/>
        </w:rPr>
        <w:t>on the grounds of gender.</w:t>
      </w:r>
      <w:r w:rsidR="0024106B">
        <w:rPr>
          <w:rFonts w:ascii="Times New Roman" w:hAnsi="Times New Roman" w:cs="Times New Roman"/>
          <w:sz w:val="24"/>
          <w:szCs w:val="24"/>
        </w:rPr>
        <w:t xml:space="preserve"> </w:t>
      </w:r>
      <w:r w:rsidR="00AA145C">
        <w:rPr>
          <w:rFonts w:ascii="Times New Roman" w:hAnsi="Times New Roman" w:cs="Times New Roman"/>
          <w:sz w:val="24"/>
          <w:szCs w:val="24"/>
        </w:rPr>
        <w:t xml:space="preserve">Both </w:t>
      </w:r>
      <w:r w:rsidR="002950B9">
        <w:rPr>
          <w:rFonts w:ascii="Times New Roman" w:hAnsi="Times New Roman" w:cs="Times New Roman"/>
          <w:sz w:val="24"/>
          <w:szCs w:val="24"/>
        </w:rPr>
        <w:t xml:space="preserve">fell within the broader classes of claimant who </w:t>
      </w:r>
      <w:r w:rsidR="00AA145C">
        <w:rPr>
          <w:rFonts w:ascii="Times New Roman" w:hAnsi="Times New Roman" w:cs="Times New Roman"/>
          <w:sz w:val="24"/>
          <w:szCs w:val="24"/>
        </w:rPr>
        <w:t xml:space="preserve">failed to convince a majority of the UKSC of their arguments in </w:t>
      </w:r>
      <w:r w:rsidR="00C50716" w:rsidRPr="00C50716">
        <w:rPr>
          <w:rFonts w:ascii="Times New Roman" w:hAnsi="Times New Roman" w:cs="Times New Roman"/>
          <w:i/>
          <w:sz w:val="24"/>
          <w:szCs w:val="24"/>
        </w:rPr>
        <w:t>R v Carmichael</w:t>
      </w:r>
      <w:r w:rsidR="00C50716">
        <w:rPr>
          <w:rFonts w:ascii="Times New Roman" w:hAnsi="Times New Roman" w:cs="Times New Roman"/>
          <w:sz w:val="24"/>
          <w:szCs w:val="24"/>
        </w:rPr>
        <w:t xml:space="preserve"> </w:t>
      </w:r>
      <w:r w:rsidR="00C50716" w:rsidRPr="00C50716">
        <w:rPr>
          <w:rFonts w:ascii="Times New Roman" w:hAnsi="Times New Roman" w:cs="Times New Roman"/>
          <w:sz w:val="24"/>
          <w:szCs w:val="24"/>
        </w:rPr>
        <w:t>[2016] UKSC 58</w:t>
      </w:r>
      <w:r w:rsidR="002950B9">
        <w:rPr>
          <w:rFonts w:ascii="Times New Roman" w:hAnsi="Times New Roman" w:cs="Times New Roman"/>
          <w:sz w:val="24"/>
          <w:szCs w:val="24"/>
        </w:rPr>
        <w:t xml:space="preserve">. They subsequently appealed to the </w:t>
      </w:r>
      <w:proofErr w:type="spellStart"/>
      <w:r w:rsidR="002950B9">
        <w:rPr>
          <w:rFonts w:ascii="Times New Roman" w:hAnsi="Times New Roman" w:cs="Times New Roman"/>
          <w:sz w:val="24"/>
          <w:szCs w:val="24"/>
        </w:rPr>
        <w:t>ECtHR</w:t>
      </w:r>
      <w:proofErr w:type="spellEnd"/>
      <w:r w:rsidR="002950B9">
        <w:rPr>
          <w:rFonts w:ascii="Times New Roman" w:hAnsi="Times New Roman" w:cs="Times New Roman"/>
          <w:sz w:val="24"/>
          <w:szCs w:val="24"/>
        </w:rPr>
        <w:t xml:space="preserve">. Here, </w:t>
      </w:r>
      <w:r w:rsidR="002950B9">
        <w:rPr>
          <w:rFonts w:ascii="Times New Roman" w:hAnsi="Times New Roman" w:cs="Times New Roman"/>
          <w:i/>
          <w:sz w:val="24"/>
          <w:szCs w:val="24"/>
        </w:rPr>
        <w:t xml:space="preserve">A </w:t>
      </w:r>
      <w:r w:rsidR="002950B9">
        <w:rPr>
          <w:rFonts w:ascii="Times New Roman" w:hAnsi="Times New Roman" w:cs="Times New Roman"/>
          <w:sz w:val="24"/>
          <w:szCs w:val="24"/>
        </w:rPr>
        <w:t xml:space="preserve">was successful in her appeal and </w:t>
      </w:r>
      <w:r w:rsidR="002950B9">
        <w:rPr>
          <w:rFonts w:ascii="Times New Roman" w:hAnsi="Times New Roman" w:cs="Times New Roman"/>
          <w:i/>
          <w:sz w:val="24"/>
          <w:szCs w:val="24"/>
        </w:rPr>
        <w:t>J.D.</w:t>
      </w:r>
      <w:r w:rsidR="002950B9">
        <w:rPr>
          <w:rFonts w:ascii="Times New Roman" w:hAnsi="Times New Roman" w:cs="Times New Roman"/>
          <w:sz w:val="24"/>
          <w:szCs w:val="24"/>
        </w:rPr>
        <w:t xml:space="preserve"> was unsuccessful. This note details the circumstances of the two claimants before turning to the decision of the court.</w:t>
      </w:r>
    </w:p>
    <w:p w:rsidR="0018785C" w:rsidRPr="002950B9" w:rsidRDefault="0018785C" w:rsidP="002950B9">
      <w:pPr>
        <w:jc w:val="both"/>
        <w:rPr>
          <w:rFonts w:ascii="Times New Roman" w:hAnsi="Times New Roman" w:cs="Times New Roman"/>
          <w:b/>
          <w:sz w:val="28"/>
          <w:szCs w:val="28"/>
        </w:rPr>
      </w:pPr>
      <w:bookmarkStart w:id="0" w:name="_GoBack"/>
      <w:bookmarkEnd w:id="0"/>
    </w:p>
    <w:p w:rsidR="007A3507" w:rsidRDefault="007A3507">
      <w:pPr>
        <w:rPr>
          <w:rFonts w:ascii="Times New Roman" w:hAnsi="Times New Roman" w:cs="Times New Roman"/>
          <w:b/>
          <w:sz w:val="24"/>
          <w:szCs w:val="24"/>
        </w:rPr>
      </w:pPr>
      <w:r>
        <w:rPr>
          <w:rFonts w:ascii="Times New Roman" w:hAnsi="Times New Roman" w:cs="Times New Roman"/>
          <w:b/>
          <w:sz w:val="24"/>
          <w:szCs w:val="24"/>
        </w:rPr>
        <w:lastRenderedPageBreak/>
        <w:t>The two claimants</w:t>
      </w:r>
    </w:p>
    <w:p w:rsidR="00E31F8F" w:rsidRDefault="007A3507" w:rsidP="00D335F5">
      <w:pPr>
        <w:jc w:val="both"/>
        <w:rPr>
          <w:rFonts w:ascii="Times New Roman" w:hAnsi="Times New Roman" w:cs="Times New Roman"/>
          <w:sz w:val="24"/>
          <w:szCs w:val="24"/>
        </w:rPr>
      </w:pPr>
      <w:r>
        <w:rPr>
          <w:rFonts w:ascii="Times New Roman" w:hAnsi="Times New Roman" w:cs="Times New Roman"/>
          <w:sz w:val="24"/>
          <w:szCs w:val="24"/>
        </w:rPr>
        <w:t>The facts in front of the court cut across two forms of indirect discrimination: disability and gender. The first claimant (</w:t>
      </w:r>
      <w:r w:rsidRPr="00E31F8F">
        <w:rPr>
          <w:rFonts w:ascii="Times New Roman" w:hAnsi="Times New Roman" w:cs="Times New Roman"/>
          <w:i/>
          <w:sz w:val="24"/>
          <w:szCs w:val="24"/>
        </w:rPr>
        <w:t>J.D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lives with and cares full-time for her (adult) disabled daughter, who suffers from severe physical and learning disabilities and is registered blind. The </w:t>
      </w:r>
      <w:r w:rsidR="006C755E">
        <w:rPr>
          <w:rFonts w:ascii="Times New Roman" w:hAnsi="Times New Roman" w:cs="Times New Roman"/>
          <w:sz w:val="24"/>
          <w:szCs w:val="24"/>
        </w:rPr>
        <w:t xml:space="preserve">three-bedroom </w:t>
      </w:r>
      <w:r>
        <w:rPr>
          <w:rFonts w:ascii="Times New Roman" w:hAnsi="Times New Roman" w:cs="Times New Roman"/>
          <w:sz w:val="24"/>
          <w:szCs w:val="24"/>
        </w:rPr>
        <w:t xml:space="preserve">property has been significantly adapted to meet her daughter’s needs, including the </w:t>
      </w:r>
      <w:proofErr w:type="gramStart"/>
      <w:r>
        <w:rPr>
          <w:rFonts w:ascii="Times New Roman" w:hAnsi="Times New Roman" w:cs="Times New Roman"/>
          <w:sz w:val="24"/>
          <w:szCs w:val="24"/>
        </w:rPr>
        <w:t>fitting</w:t>
      </w:r>
      <w:proofErr w:type="gramEnd"/>
      <w:r>
        <w:rPr>
          <w:rFonts w:ascii="Times New Roman" w:hAnsi="Times New Roman" w:cs="Times New Roman"/>
          <w:sz w:val="24"/>
          <w:szCs w:val="24"/>
        </w:rPr>
        <w:t xml:space="preserve"> of an internal lift and ceiling hoists, among many other accessibility adaptations. </w:t>
      </w:r>
    </w:p>
    <w:p w:rsidR="007A3507" w:rsidRDefault="006C755E" w:rsidP="00D335F5">
      <w:pPr>
        <w:jc w:val="both"/>
        <w:rPr>
          <w:rFonts w:ascii="Times New Roman" w:hAnsi="Times New Roman" w:cs="Times New Roman"/>
          <w:sz w:val="24"/>
          <w:szCs w:val="24"/>
        </w:rPr>
      </w:pPr>
      <w:r>
        <w:rPr>
          <w:rFonts w:ascii="Times New Roman" w:hAnsi="Times New Roman" w:cs="Times New Roman"/>
          <w:sz w:val="24"/>
          <w:szCs w:val="24"/>
        </w:rPr>
        <w:t xml:space="preserve">Under the amended Reg.B13 </w:t>
      </w:r>
      <w:r w:rsidRPr="006C755E">
        <w:rPr>
          <w:rFonts w:ascii="Times New Roman" w:hAnsi="Times New Roman" w:cs="Times New Roman"/>
          <w:sz w:val="24"/>
          <w:szCs w:val="24"/>
        </w:rPr>
        <w:t>Housing Ben</w:t>
      </w:r>
      <w:r>
        <w:rPr>
          <w:rFonts w:ascii="Times New Roman" w:hAnsi="Times New Roman" w:cs="Times New Roman"/>
          <w:sz w:val="24"/>
          <w:szCs w:val="24"/>
        </w:rPr>
        <w:t>efit (Amendment) Regulations 2006, they are deemed to be under-occupying the property by one-bedroom, and therefore are subject to penalty of 14% of the eligible rent. The shortfall between housing benefit and their rent had been met by Discretionary Housing Payments (DHPs) on a “temporary basis” – at the time of the appeal, the claimant was awaiting the outcome of their most recent DHP application (para. 9).</w:t>
      </w:r>
    </w:p>
    <w:p w:rsidR="006C755E" w:rsidRDefault="000B2EFA" w:rsidP="00D335F5">
      <w:pPr>
        <w:jc w:val="both"/>
        <w:rPr>
          <w:rFonts w:ascii="Times New Roman" w:hAnsi="Times New Roman" w:cs="Times New Roman"/>
          <w:sz w:val="24"/>
          <w:szCs w:val="24"/>
        </w:rPr>
      </w:pPr>
      <w:r>
        <w:rPr>
          <w:rFonts w:ascii="Times New Roman" w:hAnsi="Times New Roman" w:cs="Times New Roman"/>
          <w:sz w:val="24"/>
          <w:szCs w:val="24"/>
        </w:rPr>
        <w:t>The second claimant (</w:t>
      </w:r>
      <w:r w:rsidRPr="00E31F8F">
        <w:rPr>
          <w:rFonts w:ascii="Times New Roman" w:hAnsi="Times New Roman" w:cs="Times New Roman"/>
          <w:i/>
          <w:sz w:val="24"/>
          <w:szCs w:val="24"/>
        </w:rPr>
        <w:t>A</w:t>
      </w:r>
      <w:r>
        <w:rPr>
          <w:rFonts w:ascii="Times New Roman" w:hAnsi="Times New Roman" w:cs="Times New Roman"/>
          <w:sz w:val="24"/>
          <w:szCs w:val="24"/>
        </w:rPr>
        <w:t>) lives in a three-bedroomed property with her son – they have been resident there for 25 years.</w:t>
      </w:r>
      <w:r w:rsidR="00E31F8F">
        <w:rPr>
          <w:rFonts w:ascii="Times New Roman" w:hAnsi="Times New Roman" w:cs="Times New Roman"/>
          <w:sz w:val="24"/>
          <w:szCs w:val="24"/>
        </w:rPr>
        <w:t xml:space="preserve"> </w:t>
      </w:r>
      <w:r w:rsidR="00E31F8F" w:rsidRPr="00E31F8F">
        <w:rPr>
          <w:rFonts w:ascii="Times New Roman" w:hAnsi="Times New Roman" w:cs="Times New Roman"/>
          <w:i/>
          <w:sz w:val="24"/>
          <w:szCs w:val="24"/>
        </w:rPr>
        <w:t>A</w:t>
      </w:r>
      <w:r w:rsidR="00E31F8F">
        <w:rPr>
          <w:rFonts w:ascii="Times New Roman" w:hAnsi="Times New Roman" w:cs="Times New Roman"/>
          <w:sz w:val="24"/>
          <w:szCs w:val="24"/>
        </w:rPr>
        <w:t xml:space="preserve"> was subject to sustained domestic violence by an ex-part</w:t>
      </w:r>
      <w:r w:rsidR="00EB2D09">
        <w:rPr>
          <w:rFonts w:ascii="Times New Roman" w:hAnsi="Times New Roman" w:cs="Times New Roman"/>
          <w:sz w:val="24"/>
          <w:szCs w:val="24"/>
        </w:rPr>
        <w:t>n</w:t>
      </w:r>
      <w:r w:rsidR="00E31F8F">
        <w:rPr>
          <w:rFonts w:ascii="Times New Roman" w:hAnsi="Times New Roman" w:cs="Times New Roman"/>
          <w:sz w:val="24"/>
          <w:szCs w:val="24"/>
        </w:rPr>
        <w:t>er, including an incident in 2002 where he violently attacked and raped her in her home.</w:t>
      </w:r>
      <w:r>
        <w:rPr>
          <w:rFonts w:ascii="Times New Roman" w:hAnsi="Times New Roman" w:cs="Times New Roman"/>
          <w:sz w:val="24"/>
          <w:szCs w:val="24"/>
        </w:rPr>
        <w:t xml:space="preserve"> </w:t>
      </w:r>
      <w:r w:rsidR="00E31F8F">
        <w:rPr>
          <w:rFonts w:ascii="Times New Roman" w:hAnsi="Times New Roman" w:cs="Times New Roman"/>
          <w:sz w:val="24"/>
          <w:szCs w:val="24"/>
        </w:rPr>
        <w:t xml:space="preserve">The claimant and her property is part of a “Sanctuary Scheme” designed to protect those most at risk of domestic violence. As a result, it has been adapted to include a panic room. </w:t>
      </w:r>
    </w:p>
    <w:p w:rsidR="000B2EFA" w:rsidRDefault="00E31F8F" w:rsidP="00D335F5">
      <w:pPr>
        <w:jc w:val="both"/>
        <w:rPr>
          <w:rFonts w:ascii="Times New Roman" w:hAnsi="Times New Roman" w:cs="Times New Roman"/>
          <w:sz w:val="24"/>
          <w:szCs w:val="24"/>
        </w:rPr>
      </w:pPr>
      <w:r>
        <w:rPr>
          <w:rFonts w:ascii="Times New Roman" w:hAnsi="Times New Roman" w:cs="Times New Roman"/>
          <w:sz w:val="24"/>
          <w:szCs w:val="24"/>
        </w:rPr>
        <w:t>There is no statutory exemption from the penalty outlined in Reg.B13 for those in sanctuary schemes. As a result, she has been subject to a 14% penalty for under-occupation and reliant on applying for support under DHP scheme.</w:t>
      </w:r>
      <w:r w:rsidR="00194D1E">
        <w:rPr>
          <w:rFonts w:ascii="Times New Roman" w:hAnsi="Times New Roman" w:cs="Times New Roman"/>
          <w:sz w:val="24"/>
          <w:szCs w:val="24"/>
        </w:rPr>
        <w:t xml:space="preserve"> She has received support on a “temporary basis” until 2015, when her application </w:t>
      </w:r>
      <w:proofErr w:type="gramStart"/>
      <w:r w:rsidR="00194D1E">
        <w:rPr>
          <w:rFonts w:ascii="Times New Roman" w:hAnsi="Times New Roman" w:cs="Times New Roman"/>
          <w:sz w:val="24"/>
          <w:szCs w:val="24"/>
        </w:rPr>
        <w:t>was refused</w:t>
      </w:r>
      <w:proofErr w:type="gramEnd"/>
      <w:r w:rsidR="00194D1E">
        <w:rPr>
          <w:rFonts w:ascii="Times New Roman" w:hAnsi="Times New Roman" w:cs="Times New Roman"/>
          <w:sz w:val="24"/>
          <w:szCs w:val="24"/>
        </w:rPr>
        <w:t xml:space="preserve">. Following an intervention by the Secretary of State, the award of DHP </w:t>
      </w:r>
      <w:proofErr w:type="gramStart"/>
      <w:r w:rsidR="00194D1E">
        <w:rPr>
          <w:rFonts w:ascii="Times New Roman" w:hAnsi="Times New Roman" w:cs="Times New Roman"/>
          <w:sz w:val="24"/>
          <w:szCs w:val="24"/>
        </w:rPr>
        <w:t>was reinstated</w:t>
      </w:r>
      <w:proofErr w:type="gramEnd"/>
      <w:r w:rsidR="00194D1E">
        <w:rPr>
          <w:rFonts w:ascii="Times New Roman" w:hAnsi="Times New Roman" w:cs="Times New Roman"/>
          <w:sz w:val="24"/>
          <w:szCs w:val="24"/>
        </w:rPr>
        <w:t xml:space="preserve"> on the basis that the refusal had resulted from a</w:t>
      </w:r>
      <w:r w:rsidR="0010540A">
        <w:rPr>
          <w:rFonts w:ascii="Times New Roman" w:hAnsi="Times New Roman" w:cs="Times New Roman"/>
          <w:sz w:val="24"/>
          <w:szCs w:val="24"/>
        </w:rPr>
        <w:t>n</w:t>
      </w:r>
      <w:r w:rsidR="00194D1E">
        <w:rPr>
          <w:rFonts w:ascii="Times New Roman" w:hAnsi="Times New Roman" w:cs="Times New Roman"/>
          <w:sz w:val="24"/>
          <w:szCs w:val="24"/>
        </w:rPr>
        <w:t xml:space="preserve"> “error in processing”.</w:t>
      </w:r>
      <w:r w:rsidR="00B072A8">
        <w:rPr>
          <w:rStyle w:val="FootnoteReference"/>
          <w:rFonts w:ascii="Times New Roman" w:hAnsi="Times New Roman" w:cs="Times New Roman"/>
          <w:sz w:val="24"/>
          <w:szCs w:val="24"/>
        </w:rPr>
        <w:footnoteReference w:id="4"/>
      </w:r>
      <w:r w:rsidR="00287D57">
        <w:rPr>
          <w:rFonts w:ascii="Times New Roman" w:hAnsi="Times New Roman" w:cs="Times New Roman"/>
          <w:sz w:val="24"/>
          <w:szCs w:val="24"/>
        </w:rPr>
        <w:t xml:space="preserve"> </w:t>
      </w:r>
    </w:p>
    <w:p w:rsidR="00E31F8F" w:rsidRDefault="0010540A" w:rsidP="00D335F5">
      <w:pPr>
        <w:jc w:val="both"/>
        <w:rPr>
          <w:rFonts w:ascii="Times New Roman" w:hAnsi="Times New Roman" w:cs="Times New Roman"/>
          <w:b/>
          <w:sz w:val="24"/>
          <w:szCs w:val="24"/>
        </w:rPr>
      </w:pPr>
      <w:r>
        <w:rPr>
          <w:rFonts w:ascii="Times New Roman" w:hAnsi="Times New Roman" w:cs="Times New Roman"/>
          <w:b/>
          <w:sz w:val="24"/>
          <w:szCs w:val="24"/>
        </w:rPr>
        <w:t>The arguments</w:t>
      </w:r>
    </w:p>
    <w:p w:rsidR="00CF7131" w:rsidRDefault="00C24C18" w:rsidP="00D335F5">
      <w:pPr>
        <w:jc w:val="both"/>
        <w:rPr>
          <w:rStyle w:val="sb8d990e2"/>
          <w:rFonts w:ascii="Times New Roman" w:hAnsi="Times New Roman" w:cs="Times New Roman"/>
          <w:i/>
          <w:color w:val="000000"/>
          <w:sz w:val="24"/>
          <w:szCs w:val="24"/>
          <w:shd w:val="clear" w:color="auto" w:fill="FFFFFF"/>
        </w:rPr>
      </w:pPr>
      <w:proofErr w:type="gramStart"/>
      <w:r>
        <w:rPr>
          <w:rFonts w:ascii="Times New Roman" w:hAnsi="Times New Roman" w:cs="Times New Roman"/>
          <w:sz w:val="24"/>
          <w:szCs w:val="24"/>
        </w:rPr>
        <w:t xml:space="preserve">The claimant’s submissions revisit familiar ground from the </w:t>
      </w:r>
      <w:r w:rsidR="007B4A56">
        <w:rPr>
          <w:rFonts w:ascii="Times New Roman" w:hAnsi="Times New Roman" w:cs="Times New Roman"/>
          <w:sz w:val="24"/>
          <w:szCs w:val="24"/>
        </w:rPr>
        <w:t xml:space="preserve">hearing in the </w:t>
      </w:r>
      <w:r>
        <w:rPr>
          <w:rFonts w:ascii="Times New Roman" w:hAnsi="Times New Roman" w:cs="Times New Roman"/>
          <w:sz w:val="24"/>
          <w:szCs w:val="24"/>
        </w:rPr>
        <w:t>UKSC</w:t>
      </w:r>
      <w:r w:rsidR="007B4A56">
        <w:rPr>
          <w:rFonts w:ascii="Times New Roman" w:hAnsi="Times New Roman" w:cs="Times New Roman"/>
          <w:sz w:val="24"/>
          <w:szCs w:val="24"/>
        </w:rPr>
        <w:t xml:space="preserve"> decision in</w:t>
      </w:r>
      <w:r>
        <w:rPr>
          <w:rFonts w:ascii="Times New Roman" w:hAnsi="Times New Roman" w:cs="Times New Roman"/>
          <w:sz w:val="24"/>
          <w:szCs w:val="24"/>
        </w:rPr>
        <w:t xml:space="preserve"> </w:t>
      </w:r>
      <w:r w:rsidR="007B4A56">
        <w:rPr>
          <w:rFonts w:ascii="Times New Roman" w:hAnsi="Times New Roman" w:cs="Times New Roman"/>
          <w:i/>
          <w:sz w:val="24"/>
          <w:szCs w:val="24"/>
        </w:rPr>
        <w:t>Carmichael</w:t>
      </w:r>
      <w:r w:rsidR="00D335F5">
        <w:rPr>
          <w:rFonts w:ascii="Times New Roman" w:hAnsi="Times New Roman" w:cs="Times New Roman"/>
          <w:i/>
          <w:sz w:val="24"/>
          <w:szCs w:val="24"/>
        </w:rPr>
        <w:t xml:space="preserve"> </w:t>
      </w:r>
      <w:r w:rsidR="00D335F5">
        <w:rPr>
          <w:rFonts w:ascii="Times New Roman" w:hAnsi="Times New Roman" w:cs="Times New Roman"/>
          <w:sz w:val="24"/>
          <w:szCs w:val="24"/>
        </w:rPr>
        <w:t xml:space="preserve">and the suite of other </w:t>
      </w:r>
      <w:r w:rsidR="00D335F5" w:rsidRPr="0022130C">
        <w:rPr>
          <w:rFonts w:ascii="Times New Roman" w:hAnsi="Times New Roman" w:cs="Times New Roman"/>
          <w:sz w:val="24"/>
          <w:szCs w:val="24"/>
        </w:rPr>
        <w:t>challenges to reforms stemming fr</w:t>
      </w:r>
      <w:r w:rsidR="00EC55DA" w:rsidRPr="0022130C">
        <w:rPr>
          <w:rFonts w:ascii="Times New Roman" w:hAnsi="Times New Roman" w:cs="Times New Roman"/>
          <w:sz w:val="24"/>
          <w:szCs w:val="24"/>
        </w:rPr>
        <w:t>om the Welfare Reform Act 2012: the failure to treat those in the claimants’ positions differently from those captured by Reg.B13, is unlawfully discriminatory under Article 14, taken with either the first part of the first protocol (Right to Property (A1P1)) and/or Article 8 (</w:t>
      </w:r>
      <w:r w:rsidR="007D2377" w:rsidRPr="0022130C">
        <w:rPr>
          <w:rFonts w:ascii="Times New Roman" w:hAnsi="Times New Roman" w:cs="Times New Roman"/>
          <w:sz w:val="24"/>
          <w:szCs w:val="24"/>
        </w:rPr>
        <w:t>Right to Respect for the Home).</w:t>
      </w:r>
      <w:proofErr w:type="gramEnd"/>
      <w:r w:rsidR="0022130C" w:rsidRPr="0022130C">
        <w:rPr>
          <w:rFonts w:ascii="Times New Roman" w:hAnsi="Times New Roman" w:cs="Times New Roman"/>
          <w:sz w:val="24"/>
          <w:szCs w:val="24"/>
        </w:rPr>
        <w:t xml:space="preserve"> For the first claimant (</w:t>
      </w:r>
      <w:r w:rsidR="0022130C" w:rsidRPr="0022130C">
        <w:rPr>
          <w:rFonts w:ascii="Times New Roman" w:hAnsi="Times New Roman" w:cs="Times New Roman"/>
          <w:i/>
          <w:sz w:val="24"/>
          <w:szCs w:val="24"/>
        </w:rPr>
        <w:t>J.D</w:t>
      </w:r>
      <w:r w:rsidR="0022130C" w:rsidRPr="0022130C">
        <w:rPr>
          <w:rFonts w:ascii="Times New Roman" w:hAnsi="Times New Roman" w:cs="Times New Roman"/>
          <w:sz w:val="24"/>
          <w:szCs w:val="24"/>
        </w:rPr>
        <w:t xml:space="preserve">), this discrimination is in the sense of a failure to make a reasonable accommodation in the case of a disability (as in </w:t>
      </w:r>
      <w:proofErr w:type="spellStart"/>
      <w:r w:rsidR="0022130C" w:rsidRPr="0022130C">
        <w:rPr>
          <w:rStyle w:val="s6b621b36"/>
          <w:rFonts w:ascii="Times New Roman" w:hAnsi="Times New Roman" w:cs="Times New Roman"/>
          <w:i/>
          <w:iCs/>
          <w:color w:val="000000"/>
          <w:sz w:val="24"/>
          <w:szCs w:val="24"/>
          <w:shd w:val="clear" w:color="auto" w:fill="FFFFFF"/>
        </w:rPr>
        <w:t>Çam</w:t>
      </w:r>
      <w:proofErr w:type="spellEnd"/>
      <w:r w:rsidR="0022130C" w:rsidRPr="0022130C">
        <w:rPr>
          <w:rStyle w:val="s6b621b36"/>
          <w:rFonts w:ascii="Times New Roman" w:hAnsi="Times New Roman" w:cs="Times New Roman"/>
          <w:i/>
          <w:iCs/>
          <w:color w:val="000000"/>
          <w:sz w:val="24"/>
          <w:szCs w:val="24"/>
          <w:shd w:val="clear" w:color="auto" w:fill="FFFFFF"/>
        </w:rPr>
        <w:t> v. Turkey</w:t>
      </w:r>
      <w:r w:rsidR="0022130C" w:rsidRPr="0022130C">
        <w:rPr>
          <w:rStyle w:val="sb8d990e2"/>
          <w:rFonts w:ascii="Times New Roman" w:hAnsi="Times New Roman" w:cs="Times New Roman"/>
          <w:color w:val="000000"/>
          <w:sz w:val="24"/>
          <w:szCs w:val="24"/>
          <w:shd w:val="clear" w:color="auto" w:fill="FFFFFF"/>
        </w:rPr>
        <w:t>, no. </w:t>
      </w:r>
      <w:r w:rsidR="0022130C" w:rsidRPr="00FC7C70">
        <w:rPr>
          <w:rStyle w:val="sb8d990e2"/>
          <w:rFonts w:ascii="Times New Roman" w:hAnsi="Times New Roman" w:cs="Times New Roman"/>
          <w:color w:val="000000"/>
          <w:sz w:val="24"/>
          <w:szCs w:val="24"/>
        </w:rPr>
        <w:t>51500/08</w:t>
      </w:r>
      <w:r w:rsidR="0022130C">
        <w:rPr>
          <w:rStyle w:val="sb8d990e2"/>
          <w:rFonts w:ascii="Times New Roman" w:hAnsi="Times New Roman" w:cs="Times New Roman"/>
          <w:color w:val="000000"/>
          <w:sz w:val="24"/>
          <w:szCs w:val="24"/>
          <w:shd w:val="clear" w:color="auto" w:fill="FFFFFF"/>
        </w:rPr>
        <w:t>). F</w:t>
      </w:r>
      <w:r w:rsidR="0022130C" w:rsidRPr="0022130C">
        <w:rPr>
          <w:rStyle w:val="sb8d990e2"/>
          <w:rFonts w:ascii="Times New Roman" w:hAnsi="Times New Roman" w:cs="Times New Roman"/>
          <w:color w:val="000000"/>
          <w:sz w:val="24"/>
          <w:szCs w:val="24"/>
          <w:shd w:val="clear" w:color="auto" w:fill="FFFFFF"/>
        </w:rPr>
        <w:t xml:space="preserve">or the second </w:t>
      </w:r>
      <w:r w:rsidR="0022130C">
        <w:rPr>
          <w:rStyle w:val="sb8d990e2"/>
          <w:rFonts w:ascii="Times New Roman" w:hAnsi="Times New Roman" w:cs="Times New Roman"/>
          <w:color w:val="000000"/>
          <w:sz w:val="24"/>
          <w:szCs w:val="24"/>
          <w:shd w:val="clear" w:color="auto" w:fill="FFFFFF"/>
        </w:rPr>
        <w:t>(</w:t>
      </w:r>
      <w:r w:rsidR="0022130C" w:rsidRPr="0022130C">
        <w:rPr>
          <w:rStyle w:val="sb8d990e2"/>
          <w:rFonts w:ascii="Times New Roman" w:hAnsi="Times New Roman" w:cs="Times New Roman"/>
          <w:i/>
          <w:color w:val="000000"/>
          <w:sz w:val="24"/>
          <w:szCs w:val="24"/>
          <w:shd w:val="clear" w:color="auto" w:fill="FFFFFF"/>
        </w:rPr>
        <w:t>A</w:t>
      </w:r>
      <w:r w:rsidR="0022130C">
        <w:rPr>
          <w:rStyle w:val="sb8d990e2"/>
          <w:rFonts w:ascii="Times New Roman" w:hAnsi="Times New Roman" w:cs="Times New Roman"/>
          <w:color w:val="000000"/>
          <w:sz w:val="24"/>
          <w:szCs w:val="24"/>
          <w:shd w:val="clear" w:color="auto" w:fill="FFFFFF"/>
        </w:rPr>
        <w:t xml:space="preserve">), it is the failure to treat her differently under Reg.B13 that forms the basis of the indirect discrimination (as in </w:t>
      </w:r>
      <w:proofErr w:type="spellStart"/>
      <w:r w:rsidR="0022130C" w:rsidRPr="0022130C">
        <w:rPr>
          <w:rStyle w:val="sb8d990e2"/>
          <w:rFonts w:ascii="Times New Roman" w:hAnsi="Times New Roman" w:cs="Times New Roman"/>
          <w:i/>
          <w:color w:val="000000"/>
          <w:sz w:val="24"/>
          <w:szCs w:val="24"/>
          <w:shd w:val="clear" w:color="auto" w:fill="FFFFFF"/>
        </w:rPr>
        <w:t>Thlimmenos</w:t>
      </w:r>
      <w:proofErr w:type="spellEnd"/>
      <w:r w:rsidR="0022130C" w:rsidRPr="0022130C">
        <w:rPr>
          <w:rStyle w:val="sb8d990e2"/>
          <w:rFonts w:ascii="Times New Roman" w:hAnsi="Times New Roman" w:cs="Times New Roman"/>
          <w:i/>
          <w:color w:val="000000"/>
          <w:sz w:val="24"/>
          <w:szCs w:val="24"/>
          <w:shd w:val="clear" w:color="auto" w:fill="FFFFFF"/>
        </w:rPr>
        <w:t xml:space="preserve"> v. Greece </w:t>
      </w:r>
      <w:r w:rsidR="0022130C" w:rsidRPr="0022130C">
        <w:rPr>
          <w:rStyle w:val="sb8d990e2"/>
          <w:rFonts w:ascii="Times New Roman" w:hAnsi="Times New Roman" w:cs="Times New Roman"/>
          <w:color w:val="000000"/>
          <w:sz w:val="24"/>
          <w:szCs w:val="24"/>
          <w:shd w:val="clear" w:color="auto" w:fill="FFFFFF"/>
        </w:rPr>
        <w:t>([GC], no. 34369/97</w:t>
      </w:r>
      <w:r w:rsidR="0022130C" w:rsidRPr="00B53368">
        <w:rPr>
          <w:rStyle w:val="sb8d990e2"/>
          <w:rFonts w:ascii="Times New Roman" w:hAnsi="Times New Roman" w:cs="Times New Roman"/>
          <w:color w:val="000000"/>
          <w:sz w:val="24"/>
          <w:szCs w:val="24"/>
          <w:shd w:val="clear" w:color="auto" w:fill="FFFFFF"/>
        </w:rPr>
        <w:t>)</w:t>
      </w:r>
      <w:r w:rsidR="0022130C">
        <w:rPr>
          <w:rStyle w:val="sb8d990e2"/>
          <w:rFonts w:ascii="Times New Roman" w:hAnsi="Times New Roman" w:cs="Times New Roman"/>
          <w:i/>
          <w:color w:val="000000"/>
          <w:sz w:val="24"/>
          <w:szCs w:val="24"/>
          <w:shd w:val="clear" w:color="auto" w:fill="FFFFFF"/>
        </w:rPr>
        <w:t>.</w:t>
      </w:r>
      <w:r w:rsidR="00CF7131">
        <w:rPr>
          <w:rStyle w:val="sb8d990e2"/>
          <w:rFonts w:ascii="Times New Roman" w:hAnsi="Times New Roman" w:cs="Times New Roman"/>
          <w:i/>
          <w:color w:val="000000"/>
          <w:sz w:val="24"/>
          <w:szCs w:val="24"/>
          <w:shd w:val="clear" w:color="auto" w:fill="FFFFFF"/>
        </w:rPr>
        <w:t xml:space="preserve"> </w:t>
      </w:r>
    </w:p>
    <w:p w:rsidR="00EF778F" w:rsidRDefault="00E93445" w:rsidP="00D335F5">
      <w:pPr>
        <w:jc w:val="both"/>
        <w:rPr>
          <w:rStyle w:val="sb8d990e2"/>
          <w:rFonts w:ascii="Times New Roman" w:hAnsi="Times New Roman" w:cs="Times New Roman"/>
          <w:color w:val="000000"/>
          <w:sz w:val="24"/>
          <w:szCs w:val="24"/>
          <w:shd w:val="clear" w:color="auto" w:fill="FFFFFF"/>
        </w:rPr>
      </w:pPr>
      <w:r>
        <w:rPr>
          <w:rStyle w:val="sb8d990e2"/>
          <w:rFonts w:ascii="Times New Roman" w:hAnsi="Times New Roman" w:cs="Times New Roman"/>
          <w:color w:val="000000"/>
          <w:sz w:val="24"/>
          <w:szCs w:val="24"/>
          <w:shd w:val="clear" w:color="auto" w:fill="FFFFFF"/>
        </w:rPr>
        <w:t xml:space="preserve">The claimants argued that the aim behind the “bedroom tax” policy – attempting to incentivise households to downsize – did not have a rational connection the application of the policy on their respective facts. Both had a need to remain in their accommodation. Even if such a rational connection was to </w:t>
      </w:r>
      <w:proofErr w:type="gramStart"/>
      <w:r>
        <w:rPr>
          <w:rStyle w:val="sb8d990e2"/>
          <w:rFonts w:ascii="Times New Roman" w:hAnsi="Times New Roman" w:cs="Times New Roman"/>
          <w:color w:val="000000"/>
          <w:sz w:val="24"/>
          <w:szCs w:val="24"/>
          <w:shd w:val="clear" w:color="auto" w:fill="FFFFFF"/>
        </w:rPr>
        <w:t>the be</w:t>
      </w:r>
      <w:proofErr w:type="gramEnd"/>
      <w:r>
        <w:rPr>
          <w:rStyle w:val="sb8d990e2"/>
          <w:rFonts w:ascii="Times New Roman" w:hAnsi="Times New Roman" w:cs="Times New Roman"/>
          <w:color w:val="000000"/>
          <w:sz w:val="24"/>
          <w:szCs w:val="24"/>
          <w:shd w:val="clear" w:color="auto" w:fill="FFFFFF"/>
        </w:rPr>
        <w:t xml:space="preserve"> found, </w:t>
      </w:r>
      <w:r w:rsidR="00CF7131">
        <w:rPr>
          <w:rStyle w:val="sb8d990e2"/>
          <w:rFonts w:ascii="Times New Roman" w:hAnsi="Times New Roman" w:cs="Times New Roman"/>
          <w:color w:val="000000"/>
          <w:sz w:val="24"/>
          <w:szCs w:val="24"/>
          <w:shd w:val="clear" w:color="auto" w:fill="FFFFFF"/>
        </w:rPr>
        <w:t xml:space="preserve">the claimants argued that the test to apply to the justification of this discrimination is not the widely employed “manifestly without reasonable foundation” benchmark. Instead, for discrimination concerning disability and gender, the Government should demonstrate “weighty reasons”. </w:t>
      </w:r>
      <w:r w:rsidR="00EF778F">
        <w:rPr>
          <w:rStyle w:val="sb8d990e2"/>
          <w:rFonts w:ascii="Times New Roman" w:hAnsi="Times New Roman" w:cs="Times New Roman"/>
          <w:color w:val="000000"/>
          <w:sz w:val="24"/>
          <w:szCs w:val="24"/>
          <w:shd w:val="clear" w:color="auto" w:fill="FFFFFF"/>
        </w:rPr>
        <w:t>Both claimants contended that the DHP scheme was not a sufficient alternative to receipt of housing benefit</w:t>
      </w:r>
      <w:r w:rsidR="00FC7C70">
        <w:rPr>
          <w:rStyle w:val="sb8d990e2"/>
          <w:rFonts w:ascii="Times New Roman" w:hAnsi="Times New Roman" w:cs="Times New Roman"/>
          <w:color w:val="000000"/>
          <w:sz w:val="24"/>
          <w:szCs w:val="24"/>
          <w:shd w:val="clear" w:color="auto" w:fill="FFFFFF"/>
        </w:rPr>
        <w:t xml:space="preserve"> and did not obviate the discrimination </w:t>
      </w:r>
      <w:r w:rsidR="00FC7C70">
        <w:rPr>
          <w:rStyle w:val="sb8d990e2"/>
          <w:rFonts w:ascii="Times New Roman" w:hAnsi="Times New Roman" w:cs="Times New Roman"/>
          <w:color w:val="000000"/>
          <w:sz w:val="24"/>
          <w:szCs w:val="24"/>
          <w:shd w:val="clear" w:color="auto" w:fill="FFFFFF"/>
        </w:rPr>
        <w:lastRenderedPageBreak/>
        <w:t>at issue or justify its impact</w:t>
      </w:r>
      <w:r w:rsidR="00EF778F">
        <w:rPr>
          <w:rStyle w:val="sb8d990e2"/>
          <w:rFonts w:ascii="Times New Roman" w:hAnsi="Times New Roman" w:cs="Times New Roman"/>
          <w:color w:val="000000"/>
          <w:sz w:val="24"/>
          <w:szCs w:val="24"/>
          <w:shd w:val="clear" w:color="auto" w:fill="FFFFFF"/>
        </w:rPr>
        <w:t xml:space="preserve">. For reasons best summarised in </w:t>
      </w:r>
      <w:proofErr w:type="spellStart"/>
      <w:r w:rsidR="00EF778F" w:rsidRPr="00EF778F">
        <w:rPr>
          <w:rStyle w:val="sb8d990e2"/>
          <w:rFonts w:ascii="Times New Roman" w:hAnsi="Times New Roman" w:cs="Times New Roman"/>
          <w:i/>
          <w:color w:val="000000"/>
          <w:sz w:val="24"/>
          <w:szCs w:val="24"/>
          <w:shd w:val="clear" w:color="auto" w:fill="FFFFFF"/>
        </w:rPr>
        <w:t>Burnip</w:t>
      </w:r>
      <w:proofErr w:type="spellEnd"/>
      <w:r w:rsidR="00EF778F" w:rsidRPr="00EF778F">
        <w:rPr>
          <w:rStyle w:val="sb8d990e2"/>
          <w:rFonts w:ascii="Times New Roman" w:hAnsi="Times New Roman" w:cs="Times New Roman"/>
          <w:i/>
          <w:color w:val="000000"/>
          <w:sz w:val="24"/>
          <w:szCs w:val="24"/>
          <w:shd w:val="clear" w:color="auto" w:fill="FFFFFF"/>
        </w:rPr>
        <w:t xml:space="preserve"> v. Birmingham City Council and others</w:t>
      </w:r>
      <w:r w:rsidR="00EF778F" w:rsidRPr="00EF778F">
        <w:rPr>
          <w:rStyle w:val="sb8d990e2"/>
          <w:rFonts w:ascii="Times New Roman" w:hAnsi="Times New Roman" w:cs="Times New Roman"/>
          <w:color w:val="000000"/>
          <w:sz w:val="24"/>
          <w:szCs w:val="24"/>
          <w:shd w:val="clear" w:color="auto" w:fill="FFFFFF"/>
        </w:rPr>
        <w:t xml:space="preserve"> </w:t>
      </w:r>
      <w:r w:rsidR="00EF778F">
        <w:rPr>
          <w:rStyle w:val="sb8d990e2"/>
          <w:rFonts w:ascii="Times New Roman" w:hAnsi="Times New Roman" w:cs="Times New Roman"/>
          <w:color w:val="000000"/>
          <w:sz w:val="24"/>
          <w:szCs w:val="24"/>
          <w:shd w:val="clear" w:color="auto" w:fill="FFFFFF"/>
        </w:rPr>
        <w:t xml:space="preserve">[2012] EWCA </w:t>
      </w:r>
      <w:proofErr w:type="spellStart"/>
      <w:r w:rsidR="00EF778F">
        <w:rPr>
          <w:rStyle w:val="sb8d990e2"/>
          <w:rFonts w:ascii="Times New Roman" w:hAnsi="Times New Roman" w:cs="Times New Roman"/>
          <w:color w:val="000000"/>
          <w:sz w:val="24"/>
          <w:szCs w:val="24"/>
          <w:shd w:val="clear" w:color="auto" w:fill="FFFFFF"/>
        </w:rPr>
        <w:t>Civ</w:t>
      </w:r>
      <w:proofErr w:type="spellEnd"/>
      <w:r w:rsidR="00EF778F">
        <w:rPr>
          <w:rStyle w:val="sb8d990e2"/>
          <w:rFonts w:ascii="Times New Roman" w:hAnsi="Times New Roman" w:cs="Times New Roman"/>
          <w:color w:val="000000"/>
          <w:sz w:val="24"/>
          <w:szCs w:val="24"/>
          <w:shd w:val="clear" w:color="auto" w:fill="FFFFFF"/>
        </w:rPr>
        <w:t xml:space="preserve"> 629 [46</w:t>
      </w:r>
      <w:proofErr w:type="gramStart"/>
      <w:r w:rsidR="00EF778F">
        <w:rPr>
          <w:rStyle w:val="sb8d990e2"/>
          <w:rFonts w:ascii="Times New Roman" w:hAnsi="Times New Roman" w:cs="Times New Roman"/>
          <w:color w:val="000000"/>
          <w:sz w:val="24"/>
          <w:szCs w:val="24"/>
          <w:shd w:val="clear" w:color="auto" w:fill="FFFFFF"/>
        </w:rPr>
        <w:t>[ (</w:t>
      </w:r>
      <w:proofErr w:type="gramEnd"/>
      <w:r w:rsidR="00EF778F">
        <w:rPr>
          <w:rStyle w:val="sb8d990e2"/>
          <w:rFonts w:ascii="Times New Roman" w:hAnsi="Times New Roman" w:cs="Times New Roman"/>
          <w:color w:val="000000"/>
          <w:sz w:val="24"/>
          <w:szCs w:val="24"/>
          <w:shd w:val="clear" w:color="auto" w:fill="FFFFFF"/>
        </w:rPr>
        <w:t xml:space="preserve">Kay LJ), the payments are unreliable, administered from a capped fund, and (by </w:t>
      </w:r>
      <w:r w:rsidR="002161B1">
        <w:rPr>
          <w:rStyle w:val="sb8d990e2"/>
          <w:rFonts w:ascii="Times New Roman" w:hAnsi="Times New Roman" w:cs="Times New Roman"/>
          <w:color w:val="000000"/>
          <w:sz w:val="24"/>
          <w:szCs w:val="24"/>
          <w:shd w:val="clear" w:color="auto" w:fill="FFFFFF"/>
        </w:rPr>
        <w:t>very definition) discretionary.</w:t>
      </w:r>
      <w:r w:rsidR="00E27D13">
        <w:rPr>
          <w:rStyle w:val="sb8d990e2"/>
          <w:rFonts w:ascii="Times New Roman" w:hAnsi="Times New Roman" w:cs="Times New Roman"/>
          <w:color w:val="000000"/>
          <w:sz w:val="24"/>
          <w:szCs w:val="24"/>
          <w:shd w:val="clear" w:color="auto" w:fill="FFFFFF"/>
        </w:rPr>
        <w:t xml:space="preserve"> </w:t>
      </w:r>
    </w:p>
    <w:p w:rsidR="00A4738D" w:rsidRDefault="00756815"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Government’s arguments </w:t>
      </w:r>
      <w:r w:rsidR="00EF778F">
        <w:rPr>
          <w:rFonts w:ascii="Times New Roman" w:hAnsi="Times New Roman" w:cs="Times New Roman"/>
          <w:color w:val="000000"/>
          <w:sz w:val="24"/>
          <w:szCs w:val="24"/>
          <w:shd w:val="clear" w:color="auto" w:fill="FFFFFF"/>
        </w:rPr>
        <w:t>revisit</w:t>
      </w:r>
      <w:r w:rsidR="00FC7C70">
        <w:rPr>
          <w:rFonts w:ascii="Times New Roman" w:hAnsi="Times New Roman" w:cs="Times New Roman"/>
          <w:color w:val="000000"/>
          <w:sz w:val="24"/>
          <w:szCs w:val="24"/>
          <w:shd w:val="clear" w:color="auto" w:fill="FFFFFF"/>
        </w:rPr>
        <w:t>ed</w:t>
      </w:r>
      <w:r w:rsidR="00EF778F">
        <w:rPr>
          <w:rFonts w:ascii="Times New Roman" w:hAnsi="Times New Roman" w:cs="Times New Roman"/>
          <w:color w:val="000000"/>
          <w:sz w:val="24"/>
          <w:szCs w:val="24"/>
          <w:shd w:val="clear" w:color="auto" w:fill="FFFFFF"/>
        </w:rPr>
        <w:t xml:space="preserve"> their </w:t>
      </w:r>
      <w:r w:rsidR="00756076">
        <w:rPr>
          <w:rFonts w:ascii="Times New Roman" w:hAnsi="Times New Roman" w:cs="Times New Roman"/>
          <w:color w:val="000000"/>
          <w:sz w:val="24"/>
          <w:szCs w:val="24"/>
          <w:shd w:val="clear" w:color="auto" w:fill="FFFFFF"/>
        </w:rPr>
        <w:t xml:space="preserve">broad-ranging justification of the welfare reform agenda. </w:t>
      </w:r>
      <w:r w:rsidR="00D502A1">
        <w:rPr>
          <w:rFonts w:ascii="Times New Roman" w:hAnsi="Times New Roman" w:cs="Times New Roman"/>
          <w:color w:val="000000"/>
          <w:sz w:val="24"/>
          <w:szCs w:val="24"/>
          <w:shd w:val="clear" w:color="auto" w:fill="FFFFFF"/>
        </w:rPr>
        <w:t>The</w:t>
      </w:r>
      <w:r w:rsidR="00287D57">
        <w:rPr>
          <w:rFonts w:ascii="Times New Roman" w:hAnsi="Times New Roman" w:cs="Times New Roman"/>
          <w:color w:val="000000"/>
          <w:sz w:val="24"/>
          <w:szCs w:val="24"/>
          <w:shd w:val="clear" w:color="auto" w:fill="FFFFFF"/>
        </w:rPr>
        <w:t>y</w:t>
      </w:r>
      <w:r w:rsidR="00D502A1">
        <w:rPr>
          <w:rFonts w:ascii="Times New Roman" w:hAnsi="Times New Roman" w:cs="Times New Roman"/>
          <w:color w:val="000000"/>
          <w:sz w:val="24"/>
          <w:szCs w:val="24"/>
          <w:shd w:val="clear" w:color="auto" w:fill="FFFFFF"/>
        </w:rPr>
        <w:t xml:space="preserve"> argued that the policy had two legitimate aims: the </w:t>
      </w:r>
      <w:r w:rsidR="00D502A1" w:rsidRPr="00D502A1">
        <w:rPr>
          <w:rFonts w:ascii="Times New Roman" w:hAnsi="Times New Roman" w:cs="Times New Roman"/>
          <w:color w:val="000000"/>
          <w:sz w:val="24"/>
          <w:szCs w:val="24"/>
          <w:shd w:val="clear" w:color="auto" w:fill="FFFFFF"/>
        </w:rPr>
        <w:t>“saving of public funds in the context of a major state benefit” and “shifting the place of social security support in society”</w:t>
      </w:r>
      <w:r w:rsidR="00D502A1">
        <w:rPr>
          <w:rFonts w:ascii="Times New Roman" w:hAnsi="Times New Roman" w:cs="Times New Roman"/>
          <w:color w:val="000000"/>
          <w:sz w:val="24"/>
          <w:szCs w:val="24"/>
          <w:shd w:val="clear" w:color="auto" w:fill="FFFFFF"/>
        </w:rPr>
        <w:t>.</w:t>
      </w:r>
      <w:r w:rsidR="00D502A1">
        <w:rPr>
          <w:rStyle w:val="FootnoteReference"/>
          <w:rFonts w:ascii="Times New Roman" w:hAnsi="Times New Roman" w:cs="Times New Roman"/>
          <w:color w:val="000000"/>
          <w:sz w:val="24"/>
          <w:szCs w:val="24"/>
          <w:shd w:val="clear" w:color="auto" w:fill="FFFFFF"/>
        </w:rPr>
        <w:footnoteReference w:id="5"/>
      </w:r>
      <w:r w:rsidR="00287D57">
        <w:rPr>
          <w:rFonts w:ascii="Times New Roman" w:hAnsi="Times New Roman" w:cs="Times New Roman"/>
          <w:color w:val="000000"/>
          <w:sz w:val="24"/>
          <w:szCs w:val="24"/>
          <w:shd w:val="clear" w:color="auto" w:fill="FFFFFF"/>
        </w:rPr>
        <w:t xml:space="preserve"> The latter</w:t>
      </w:r>
      <w:r w:rsidR="00FC7C70">
        <w:rPr>
          <w:rFonts w:ascii="Times New Roman" w:hAnsi="Times New Roman" w:cs="Times New Roman"/>
          <w:color w:val="000000"/>
          <w:sz w:val="24"/>
          <w:szCs w:val="24"/>
          <w:shd w:val="clear" w:color="auto" w:fill="FFFFFF"/>
        </w:rPr>
        <w:t>, despite its unclear meaning</w:t>
      </w:r>
      <w:r w:rsidR="00B97338">
        <w:rPr>
          <w:rFonts w:ascii="Times New Roman" w:hAnsi="Times New Roman" w:cs="Times New Roman"/>
          <w:color w:val="000000"/>
          <w:sz w:val="24"/>
          <w:szCs w:val="24"/>
          <w:shd w:val="clear" w:color="auto" w:fill="FFFFFF"/>
        </w:rPr>
        <w:t>,</w:t>
      </w:r>
      <w:r w:rsidR="00287D57">
        <w:rPr>
          <w:rFonts w:ascii="Times New Roman" w:hAnsi="Times New Roman" w:cs="Times New Roman"/>
          <w:color w:val="000000"/>
          <w:sz w:val="24"/>
          <w:szCs w:val="24"/>
          <w:shd w:val="clear" w:color="auto" w:fill="FFFFFF"/>
        </w:rPr>
        <w:t xml:space="preserve"> will be a familiar formulation to those accustomed to legal challenges to welfare reform measures. In oral arguments to the UKSC, the Government has characterised this shift as being from “central government” to “local government”</w:t>
      </w:r>
      <w:r w:rsidR="00CB12D4">
        <w:rPr>
          <w:rFonts w:ascii="Times New Roman" w:hAnsi="Times New Roman" w:cs="Times New Roman"/>
          <w:color w:val="000000"/>
          <w:sz w:val="24"/>
          <w:szCs w:val="24"/>
          <w:shd w:val="clear" w:color="auto" w:fill="FFFFFF"/>
        </w:rPr>
        <w:t>;</w:t>
      </w:r>
      <w:r w:rsidR="00287D57">
        <w:rPr>
          <w:rStyle w:val="FootnoteReference"/>
          <w:rFonts w:ascii="Times New Roman" w:hAnsi="Times New Roman" w:cs="Times New Roman"/>
          <w:color w:val="000000"/>
          <w:sz w:val="24"/>
          <w:szCs w:val="24"/>
          <w:shd w:val="clear" w:color="auto" w:fill="FFFFFF"/>
        </w:rPr>
        <w:footnoteReference w:id="6"/>
      </w:r>
      <w:r w:rsidR="00B97338">
        <w:rPr>
          <w:rFonts w:ascii="Times New Roman" w:hAnsi="Times New Roman" w:cs="Times New Roman"/>
          <w:color w:val="000000"/>
          <w:sz w:val="24"/>
          <w:szCs w:val="24"/>
          <w:shd w:val="clear" w:color="auto" w:fill="FFFFFF"/>
        </w:rPr>
        <w:t xml:space="preserve"> particularly, in the context of the “bedroom tax”, the use of the locally administered DHP scheme to identify and mitigate problematic claimants on a case-by-case basis.</w:t>
      </w:r>
    </w:p>
    <w:p w:rsidR="00B97338" w:rsidRDefault="00472176"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They argued that these two aims are both rationally connected to the policy and that the failur</w:t>
      </w:r>
      <w:r w:rsidR="00CB12D4">
        <w:rPr>
          <w:rFonts w:ascii="Times New Roman" w:hAnsi="Times New Roman" w:cs="Times New Roman"/>
          <w:color w:val="000000"/>
          <w:sz w:val="24"/>
          <w:szCs w:val="24"/>
          <w:shd w:val="clear" w:color="auto" w:fill="FFFFFF"/>
        </w:rPr>
        <w:t>e to make specific exemptions to deal with claimants in analogous positions to</w:t>
      </w:r>
      <w:r>
        <w:rPr>
          <w:rFonts w:ascii="Times New Roman" w:hAnsi="Times New Roman" w:cs="Times New Roman"/>
          <w:color w:val="000000"/>
          <w:sz w:val="24"/>
          <w:szCs w:val="24"/>
          <w:shd w:val="clear" w:color="auto" w:fill="FFFFFF"/>
        </w:rPr>
        <w:t xml:space="preserve"> each case can be justified. Both claimants have recourse to DHPs and in each </w:t>
      </w:r>
      <w:r w:rsidR="00CB12D4">
        <w:rPr>
          <w:rFonts w:ascii="Times New Roman" w:hAnsi="Times New Roman" w:cs="Times New Roman"/>
          <w:color w:val="000000"/>
          <w:sz w:val="24"/>
          <w:szCs w:val="24"/>
          <w:shd w:val="clear" w:color="auto" w:fill="FFFFFF"/>
        </w:rPr>
        <w:t>instance</w:t>
      </w:r>
      <w:r>
        <w:rPr>
          <w:rFonts w:ascii="Times New Roman" w:hAnsi="Times New Roman" w:cs="Times New Roman"/>
          <w:color w:val="000000"/>
          <w:sz w:val="24"/>
          <w:szCs w:val="24"/>
          <w:shd w:val="clear" w:color="auto" w:fill="FFFFFF"/>
        </w:rPr>
        <w:t xml:space="preserve"> had been in receipt of these payments f</w:t>
      </w:r>
      <w:r w:rsidR="00CB12D4">
        <w:rPr>
          <w:rFonts w:ascii="Times New Roman" w:hAnsi="Times New Roman" w:cs="Times New Roman"/>
          <w:color w:val="000000"/>
          <w:sz w:val="24"/>
          <w:szCs w:val="24"/>
          <w:shd w:val="clear" w:color="auto" w:fill="FFFFFF"/>
        </w:rPr>
        <w:t xml:space="preserve">or a significant </w:t>
      </w:r>
      <w:proofErr w:type="gramStart"/>
      <w:r w:rsidR="00CB12D4">
        <w:rPr>
          <w:rFonts w:ascii="Times New Roman" w:hAnsi="Times New Roman" w:cs="Times New Roman"/>
          <w:color w:val="000000"/>
          <w:sz w:val="24"/>
          <w:szCs w:val="24"/>
          <w:shd w:val="clear" w:color="auto" w:fill="FFFFFF"/>
        </w:rPr>
        <w:t>period of time</w:t>
      </w:r>
      <w:proofErr w:type="gramEnd"/>
      <w:r w:rsidR="00CB12D4">
        <w:rPr>
          <w:rFonts w:ascii="Times New Roman" w:hAnsi="Times New Roman" w:cs="Times New Roman"/>
          <w:color w:val="000000"/>
          <w:sz w:val="24"/>
          <w:szCs w:val="24"/>
          <w:shd w:val="clear" w:color="auto" w:fill="FFFFFF"/>
        </w:rPr>
        <w:t>.</w:t>
      </w:r>
    </w:p>
    <w:p w:rsidR="00FC7C70" w:rsidRDefault="00FC7C70" w:rsidP="00D335F5">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The decision</w:t>
      </w:r>
    </w:p>
    <w:p w:rsidR="00FC7C70" w:rsidRDefault="00BB243B"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judgment of the court turned on two key issues: the standard to apply to the Government’s justification of discrimination and the rational connection, or lack thereof, between the (legitimate) aim behind the measure and its application to the claimants.</w:t>
      </w:r>
    </w:p>
    <w:p w:rsidR="00E93445" w:rsidRDefault="00E93445"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First, the court determined that the correct standard to apply to the justification of the discrimination at issue </w:t>
      </w:r>
      <w:r w:rsidR="001954AC">
        <w:rPr>
          <w:rFonts w:ascii="Times New Roman" w:hAnsi="Times New Roman" w:cs="Times New Roman"/>
          <w:color w:val="000000"/>
          <w:sz w:val="24"/>
          <w:szCs w:val="24"/>
          <w:shd w:val="clear" w:color="auto" w:fill="FFFFFF"/>
        </w:rPr>
        <w:t xml:space="preserve">for both claimants </w:t>
      </w:r>
      <w:r>
        <w:rPr>
          <w:rFonts w:ascii="Times New Roman" w:hAnsi="Times New Roman" w:cs="Times New Roman"/>
          <w:color w:val="000000"/>
          <w:sz w:val="24"/>
          <w:szCs w:val="24"/>
          <w:shd w:val="clear" w:color="auto" w:fill="FFFFFF"/>
        </w:rPr>
        <w:t xml:space="preserve">was “very weighty reasons”, and not the “manifestly without reasonable foundation” test. Indeed, the court limited the application of the latter benchmark to </w:t>
      </w:r>
      <w:r w:rsidR="001954AC">
        <w:rPr>
          <w:rFonts w:ascii="Times New Roman" w:hAnsi="Times New Roman" w:cs="Times New Roman"/>
          <w:color w:val="000000"/>
          <w:sz w:val="24"/>
          <w:szCs w:val="24"/>
          <w:shd w:val="clear" w:color="auto" w:fill="FFFFFF"/>
        </w:rPr>
        <w:t>transitional</w:t>
      </w:r>
      <w:r>
        <w:rPr>
          <w:rFonts w:ascii="Times New Roman" w:hAnsi="Times New Roman" w:cs="Times New Roman"/>
          <w:color w:val="000000"/>
          <w:sz w:val="24"/>
          <w:szCs w:val="24"/>
          <w:shd w:val="clear" w:color="auto" w:fill="FFFFFF"/>
        </w:rPr>
        <w:t xml:space="preserve"> measures, concluding that:</w:t>
      </w:r>
    </w:p>
    <w:p w:rsidR="00FC7C70" w:rsidRPr="00FC7C70" w:rsidRDefault="00E93445" w:rsidP="00E93445">
      <w:pPr>
        <w:ind w:left="567" w:right="521"/>
        <w:jc w:val="both"/>
        <w:rPr>
          <w:rFonts w:ascii="Times New Roman" w:hAnsi="Times New Roman" w:cs="Times New Roman"/>
          <w:color w:val="000000"/>
          <w:sz w:val="24"/>
          <w:szCs w:val="24"/>
          <w:shd w:val="clear" w:color="auto" w:fill="FFFFFF"/>
        </w:rPr>
      </w:pPr>
      <w:r w:rsidRPr="00E93445">
        <w:rPr>
          <w:rFonts w:ascii="Times New Roman" w:hAnsi="Times New Roman" w:cs="Times New Roman"/>
          <w:color w:val="000000"/>
          <w:sz w:val="24"/>
          <w:szCs w:val="24"/>
          <w:shd w:val="clear" w:color="auto" w:fill="FFFFFF"/>
        </w:rPr>
        <w:t>In the circumstances of the present cases – where the alleged discrimination was on the basis of disability and gender, and did not result from a transitional measure carried out in good faith in order to correct an inequality – very weighty reasons would be required to justify the impugned measure in respect of the applicants</w:t>
      </w:r>
      <w:r>
        <w:rPr>
          <w:rFonts w:ascii="Times New Roman" w:hAnsi="Times New Roman" w:cs="Times New Roman"/>
          <w:color w:val="000000"/>
          <w:sz w:val="24"/>
          <w:szCs w:val="24"/>
          <w:shd w:val="clear" w:color="auto" w:fill="FFFFFF"/>
        </w:rPr>
        <w:t>…</w:t>
      </w:r>
      <w:r>
        <w:rPr>
          <w:rStyle w:val="FootnoteReference"/>
          <w:rFonts w:ascii="Times New Roman" w:hAnsi="Times New Roman" w:cs="Times New Roman"/>
          <w:color w:val="000000"/>
          <w:sz w:val="24"/>
          <w:szCs w:val="24"/>
          <w:shd w:val="clear" w:color="auto" w:fill="FFFFFF"/>
        </w:rPr>
        <w:footnoteReference w:id="7"/>
      </w:r>
    </w:p>
    <w:p w:rsidR="00FC7C70" w:rsidRDefault="004A7D05"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Having established the discrimination at issue a</w:t>
      </w:r>
      <w:r w:rsidR="009E698A">
        <w:rPr>
          <w:rFonts w:ascii="Times New Roman" w:hAnsi="Times New Roman" w:cs="Times New Roman"/>
          <w:color w:val="000000"/>
          <w:sz w:val="24"/>
          <w:szCs w:val="24"/>
          <w:shd w:val="clear" w:color="auto" w:fill="FFFFFF"/>
        </w:rPr>
        <w:t>nd</w:t>
      </w:r>
      <w:r>
        <w:rPr>
          <w:rFonts w:ascii="Times New Roman" w:hAnsi="Times New Roman" w:cs="Times New Roman"/>
          <w:color w:val="000000"/>
          <w:sz w:val="24"/>
          <w:szCs w:val="24"/>
          <w:shd w:val="clear" w:color="auto" w:fill="FFFFFF"/>
        </w:rPr>
        <w:t xml:space="preserve"> the test to apply, the court then turned to the first two stages of a proportionality assessment: (</w:t>
      </w:r>
      <w:proofErr w:type="spellStart"/>
      <w:r>
        <w:rPr>
          <w:rFonts w:ascii="Times New Roman" w:hAnsi="Times New Roman" w:cs="Times New Roman"/>
          <w:color w:val="000000"/>
          <w:sz w:val="24"/>
          <w:szCs w:val="24"/>
          <w:shd w:val="clear" w:color="auto" w:fill="FFFFFF"/>
        </w:rPr>
        <w:t>i</w:t>
      </w:r>
      <w:proofErr w:type="spellEnd"/>
      <w:r>
        <w:rPr>
          <w:rFonts w:ascii="Times New Roman" w:hAnsi="Times New Roman" w:cs="Times New Roman"/>
          <w:color w:val="000000"/>
          <w:sz w:val="24"/>
          <w:szCs w:val="24"/>
          <w:shd w:val="clear" w:color="auto" w:fill="FFFFFF"/>
        </w:rPr>
        <w:t xml:space="preserve">) whether the measure has a legitimate aim, and (ii) whether the means </w:t>
      </w:r>
      <w:proofErr w:type="gramStart"/>
      <w:r>
        <w:rPr>
          <w:rFonts w:ascii="Times New Roman" w:hAnsi="Times New Roman" w:cs="Times New Roman"/>
          <w:color w:val="000000"/>
          <w:sz w:val="24"/>
          <w:szCs w:val="24"/>
          <w:shd w:val="clear" w:color="auto" w:fill="FFFFFF"/>
        </w:rPr>
        <w:t>are rationally connected</w:t>
      </w:r>
      <w:proofErr w:type="gramEnd"/>
      <w:r>
        <w:rPr>
          <w:rFonts w:ascii="Times New Roman" w:hAnsi="Times New Roman" w:cs="Times New Roman"/>
          <w:color w:val="000000"/>
          <w:sz w:val="24"/>
          <w:szCs w:val="24"/>
          <w:shd w:val="clear" w:color="auto" w:fill="FFFFFF"/>
        </w:rPr>
        <w:t xml:space="preserve"> to the aim. The court determined that the aims of the “bedroom tax” </w:t>
      </w:r>
      <w:r w:rsidR="00B77C21">
        <w:rPr>
          <w:rFonts w:ascii="Times New Roman" w:hAnsi="Times New Roman" w:cs="Times New Roman"/>
          <w:color w:val="000000"/>
          <w:sz w:val="24"/>
          <w:szCs w:val="24"/>
          <w:shd w:val="clear" w:color="auto" w:fill="FFFFFF"/>
        </w:rPr>
        <w:t xml:space="preserve">did not “appear” to be </w:t>
      </w:r>
      <w:r>
        <w:rPr>
          <w:rFonts w:ascii="Times New Roman" w:hAnsi="Times New Roman" w:cs="Times New Roman"/>
          <w:color w:val="000000"/>
          <w:sz w:val="24"/>
          <w:szCs w:val="24"/>
          <w:shd w:val="clear" w:color="auto" w:fill="FFFFFF"/>
        </w:rPr>
        <w:t xml:space="preserve">achieved by applying the policy to the applicants and – as a result – that the legitimate aim </w:t>
      </w:r>
      <w:r w:rsidR="00B77C21">
        <w:rPr>
          <w:rFonts w:ascii="Times New Roman" w:hAnsi="Times New Roman" w:cs="Times New Roman"/>
          <w:color w:val="000000"/>
          <w:sz w:val="24"/>
          <w:szCs w:val="24"/>
          <w:shd w:val="clear" w:color="auto" w:fill="FFFFFF"/>
        </w:rPr>
        <w:t>was not</w:t>
      </w:r>
      <w:r>
        <w:rPr>
          <w:rFonts w:ascii="Times New Roman" w:hAnsi="Times New Roman" w:cs="Times New Roman"/>
          <w:color w:val="000000"/>
          <w:sz w:val="24"/>
          <w:szCs w:val="24"/>
          <w:shd w:val="clear" w:color="auto" w:fill="FFFFFF"/>
        </w:rPr>
        <w:t xml:space="preserve"> rationally connected to the applicants in this instance. As noted by the court, the expectation that the claimants would be in receipt of DHPs</w:t>
      </w:r>
      <w:r w:rsidR="00B77C21">
        <w:rPr>
          <w:rFonts w:ascii="Times New Roman" w:hAnsi="Times New Roman" w:cs="Times New Roman"/>
          <w:color w:val="000000"/>
          <w:sz w:val="24"/>
          <w:szCs w:val="24"/>
          <w:shd w:val="clear" w:color="auto" w:fill="FFFFFF"/>
        </w:rPr>
        <w:t xml:space="preserve"> is in tension with the application of the penalty</w:t>
      </w:r>
      <w:r>
        <w:rPr>
          <w:rFonts w:ascii="Times New Roman" w:hAnsi="Times New Roman" w:cs="Times New Roman"/>
          <w:color w:val="000000"/>
          <w:sz w:val="24"/>
          <w:szCs w:val="24"/>
          <w:shd w:val="clear" w:color="auto" w:fill="FFFFFF"/>
        </w:rPr>
        <w:t>:</w:t>
      </w:r>
    </w:p>
    <w:p w:rsidR="004A7D05" w:rsidRPr="004A7D05" w:rsidRDefault="004A7D05" w:rsidP="004A7D05">
      <w:pPr>
        <w:ind w:left="567" w:right="521"/>
        <w:jc w:val="both"/>
        <w:rPr>
          <w:rFonts w:ascii="Times New Roman" w:hAnsi="Times New Roman" w:cs="Times New Roman"/>
          <w:color w:val="000000"/>
          <w:sz w:val="24"/>
          <w:szCs w:val="24"/>
          <w:shd w:val="clear" w:color="auto" w:fill="FFFFFF"/>
        </w:rPr>
      </w:pPr>
      <w:r w:rsidRPr="004A7D05">
        <w:rPr>
          <w:rStyle w:val="sb8d990e2"/>
          <w:rFonts w:ascii="Times New Roman" w:hAnsi="Times New Roman" w:cs="Times New Roman"/>
          <w:color w:val="000000"/>
          <w:sz w:val="24"/>
          <w:szCs w:val="24"/>
          <w:shd w:val="clear" w:color="auto" w:fill="FFFFFF"/>
        </w:rPr>
        <w:t xml:space="preserve">It is true that the Government has not put forward any detailed reasons as to how imposing the measures on the applicants might achieve the stated aims of reducing benefit payments; managing housing local authority stock; and encouraging employment. It </w:t>
      </w:r>
      <w:proofErr w:type="gramStart"/>
      <w:r w:rsidRPr="004A7D05">
        <w:rPr>
          <w:rStyle w:val="sb8d990e2"/>
          <w:rFonts w:ascii="Times New Roman" w:hAnsi="Times New Roman" w:cs="Times New Roman"/>
          <w:color w:val="000000"/>
          <w:sz w:val="24"/>
          <w:szCs w:val="24"/>
          <w:shd w:val="clear" w:color="auto" w:fill="FFFFFF"/>
        </w:rPr>
        <w:t>was accepted</w:t>
      </w:r>
      <w:proofErr w:type="gramEnd"/>
      <w:r w:rsidRPr="004A7D05">
        <w:rPr>
          <w:rStyle w:val="sb8d990e2"/>
          <w:rFonts w:ascii="Times New Roman" w:hAnsi="Times New Roman" w:cs="Times New Roman"/>
          <w:color w:val="000000"/>
          <w:sz w:val="24"/>
          <w:szCs w:val="24"/>
          <w:shd w:val="clear" w:color="auto" w:fill="FFFFFF"/>
        </w:rPr>
        <w:t xml:space="preserve"> that the applicants should be able to receive DHPs in </w:t>
      </w:r>
      <w:r w:rsidRPr="004A7D05">
        <w:rPr>
          <w:rStyle w:val="sb8d990e2"/>
          <w:rFonts w:ascii="Times New Roman" w:hAnsi="Times New Roman" w:cs="Times New Roman"/>
          <w:color w:val="000000"/>
          <w:sz w:val="24"/>
          <w:szCs w:val="24"/>
          <w:shd w:val="clear" w:color="auto" w:fill="FFFFFF"/>
        </w:rPr>
        <w:lastRenderedPageBreak/>
        <w:t xml:space="preserve">order that they could remain in their adapted </w:t>
      </w:r>
      <w:r w:rsidR="009E698A">
        <w:rPr>
          <w:rStyle w:val="sb8d990e2"/>
          <w:rFonts w:ascii="Times New Roman" w:hAnsi="Times New Roman" w:cs="Times New Roman"/>
          <w:color w:val="000000"/>
          <w:sz w:val="24"/>
          <w:szCs w:val="24"/>
          <w:shd w:val="clear" w:color="auto" w:fill="FFFFFF"/>
        </w:rPr>
        <w:t xml:space="preserve">[homes] </w:t>
      </w:r>
      <w:r>
        <w:rPr>
          <w:rStyle w:val="sb8d990e2"/>
          <w:rFonts w:ascii="Times New Roman" w:hAnsi="Times New Roman" w:cs="Times New Roman"/>
          <w:color w:val="000000"/>
          <w:sz w:val="24"/>
          <w:szCs w:val="24"/>
          <w:shd w:val="clear" w:color="auto" w:fill="FFFFFF"/>
        </w:rPr>
        <w:t>…</w:t>
      </w:r>
      <w:r w:rsidRPr="004A7D05">
        <w:rPr>
          <w:rStyle w:val="sb8d990e2"/>
          <w:rFonts w:ascii="Times New Roman" w:hAnsi="Times New Roman" w:cs="Times New Roman"/>
          <w:color w:val="000000"/>
          <w:sz w:val="24"/>
          <w:szCs w:val="24"/>
          <w:shd w:val="clear" w:color="auto" w:fill="FFFFFF"/>
        </w:rPr>
        <w:t xml:space="preserve"> Accordingly, it does not appear that the aims envisaged by the legislative changes could have been achieved by applying them to the applicants</w:t>
      </w:r>
      <w:r w:rsidR="009E698A">
        <w:rPr>
          <w:rStyle w:val="sb8d990e2"/>
          <w:rFonts w:ascii="Times New Roman" w:hAnsi="Times New Roman" w:cs="Times New Roman"/>
          <w:color w:val="000000"/>
          <w:sz w:val="24"/>
          <w:szCs w:val="24"/>
          <w:shd w:val="clear" w:color="auto" w:fill="FFFFFF"/>
        </w:rPr>
        <w:t>.</w:t>
      </w:r>
      <w:r w:rsidR="009E698A">
        <w:rPr>
          <w:rStyle w:val="FootnoteReference"/>
          <w:rFonts w:ascii="Times New Roman" w:hAnsi="Times New Roman" w:cs="Times New Roman"/>
          <w:color w:val="000000"/>
          <w:sz w:val="24"/>
          <w:szCs w:val="24"/>
          <w:shd w:val="clear" w:color="auto" w:fill="FFFFFF"/>
        </w:rPr>
        <w:footnoteReference w:id="8"/>
      </w:r>
    </w:p>
    <w:p w:rsidR="004B4A60" w:rsidRDefault="004B4A60"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However, having established the extent of the rational connection between the aim and the policy, the court went on to consider the “compatibility of the system as a whole”</w:t>
      </w:r>
      <w:r w:rsidR="008B4D54">
        <w:rPr>
          <w:rStyle w:val="FootnoteReference"/>
          <w:rFonts w:ascii="Times New Roman" w:hAnsi="Times New Roman" w:cs="Times New Roman"/>
          <w:color w:val="000000"/>
          <w:sz w:val="24"/>
          <w:szCs w:val="24"/>
          <w:shd w:val="clear" w:color="auto" w:fill="FFFFFF"/>
        </w:rPr>
        <w:footnoteReference w:id="9"/>
      </w:r>
      <w:r>
        <w:rPr>
          <w:rFonts w:ascii="Times New Roman" w:hAnsi="Times New Roman" w:cs="Times New Roman"/>
          <w:color w:val="000000"/>
          <w:sz w:val="24"/>
          <w:szCs w:val="24"/>
          <w:shd w:val="clear" w:color="auto" w:fill="FFFFFF"/>
        </w:rPr>
        <w:t xml:space="preserve"> with Article 14, rather than just to the claimants themselves.</w:t>
      </w:r>
    </w:p>
    <w:p w:rsidR="004B4A60" w:rsidRDefault="004B4A60"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is at this point of the assessment that the court applied the “weighty reasons” benchmark. For the first claimant, </w:t>
      </w:r>
      <w:r>
        <w:rPr>
          <w:rFonts w:ascii="Times New Roman" w:hAnsi="Times New Roman" w:cs="Times New Roman"/>
          <w:i/>
          <w:color w:val="000000"/>
          <w:sz w:val="24"/>
          <w:szCs w:val="24"/>
          <w:shd w:val="clear" w:color="auto" w:fill="FFFFFF"/>
        </w:rPr>
        <w:t>J.D.</w:t>
      </w:r>
      <w:r>
        <w:rPr>
          <w:rFonts w:ascii="Times New Roman" w:hAnsi="Times New Roman" w:cs="Times New Roman"/>
          <w:color w:val="000000"/>
          <w:sz w:val="24"/>
          <w:szCs w:val="24"/>
          <w:shd w:val="clear" w:color="auto" w:fill="FFFFFF"/>
        </w:rPr>
        <w:t xml:space="preserve">, </w:t>
      </w:r>
      <w:r w:rsidR="007B28CF">
        <w:rPr>
          <w:rFonts w:ascii="Times New Roman" w:hAnsi="Times New Roman" w:cs="Times New Roman"/>
          <w:color w:val="000000"/>
          <w:sz w:val="24"/>
          <w:szCs w:val="24"/>
          <w:shd w:val="clear" w:color="auto" w:fill="FFFFFF"/>
        </w:rPr>
        <w:t>it is not in “fundamental opposition” to the needs of disabled persons in adapted accommodation to move into “</w:t>
      </w:r>
      <w:r w:rsidR="007B28CF" w:rsidRPr="007B28CF">
        <w:rPr>
          <w:rFonts w:ascii="Times New Roman" w:hAnsi="Times New Roman" w:cs="Times New Roman"/>
          <w:color w:val="000000"/>
          <w:sz w:val="24"/>
          <w:szCs w:val="24"/>
          <w:shd w:val="clear" w:color="auto" w:fill="FFFFFF"/>
        </w:rPr>
        <w:t>smaller, appr</w:t>
      </w:r>
      <w:r w:rsidR="007B28CF">
        <w:rPr>
          <w:rFonts w:ascii="Times New Roman" w:hAnsi="Times New Roman" w:cs="Times New Roman"/>
          <w:color w:val="000000"/>
          <w:sz w:val="24"/>
          <w:szCs w:val="24"/>
          <w:shd w:val="clear" w:color="auto" w:fill="FFFFFF"/>
        </w:rPr>
        <w:t>opriately adapted accommodation”</w:t>
      </w:r>
      <w:r w:rsidR="007F1C88">
        <w:rPr>
          <w:rFonts w:ascii="Times New Roman" w:hAnsi="Times New Roman" w:cs="Times New Roman"/>
          <w:color w:val="000000"/>
          <w:sz w:val="24"/>
          <w:szCs w:val="24"/>
          <w:shd w:val="clear" w:color="auto" w:fill="FFFFFF"/>
        </w:rPr>
        <w:t>.</w:t>
      </w:r>
      <w:r w:rsidR="007F1C88">
        <w:rPr>
          <w:rStyle w:val="FootnoteReference"/>
          <w:rFonts w:ascii="Times New Roman" w:hAnsi="Times New Roman" w:cs="Times New Roman"/>
          <w:color w:val="000000"/>
          <w:sz w:val="24"/>
          <w:szCs w:val="24"/>
          <w:shd w:val="clear" w:color="auto" w:fill="FFFFFF"/>
        </w:rPr>
        <w:footnoteReference w:id="10"/>
      </w:r>
      <w:r w:rsidR="00C75B15">
        <w:rPr>
          <w:rFonts w:ascii="Times New Roman" w:hAnsi="Times New Roman" w:cs="Times New Roman"/>
          <w:color w:val="000000"/>
          <w:sz w:val="24"/>
          <w:szCs w:val="24"/>
          <w:shd w:val="clear" w:color="auto" w:fill="FFFFFF"/>
        </w:rPr>
        <w:t xml:space="preserve"> In such cases, given the demands of the Human Rights Act 1998 and the Public Sector Equality Duty</w:t>
      </w:r>
      <w:r w:rsidR="00C75B15">
        <w:rPr>
          <w:rStyle w:val="FootnoteReference"/>
          <w:rFonts w:ascii="Times New Roman" w:hAnsi="Times New Roman" w:cs="Times New Roman"/>
          <w:color w:val="000000"/>
          <w:sz w:val="24"/>
          <w:szCs w:val="24"/>
          <w:shd w:val="clear" w:color="auto" w:fill="FFFFFF"/>
        </w:rPr>
        <w:footnoteReference w:id="11"/>
      </w:r>
      <w:r w:rsidR="00C75B15">
        <w:rPr>
          <w:rFonts w:ascii="Times New Roman" w:hAnsi="Times New Roman" w:cs="Times New Roman"/>
          <w:color w:val="000000"/>
          <w:sz w:val="24"/>
          <w:szCs w:val="24"/>
          <w:shd w:val="clear" w:color="auto" w:fill="FFFFFF"/>
        </w:rPr>
        <w:t>, decisions as to the award of DHPs at the local authority level would be likely to meet their needs. Consequently</w:t>
      </w:r>
      <w:r w:rsidR="00EB2D09">
        <w:rPr>
          <w:rFonts w:ascii="Times New Roman" w:hAnsi="Times New Roman" w:cs="Times New Roman"/>
          <w:color w:val="000000"/>
          <w:sz w:val="24"/>
          <w:szCs w:val="24"/>
          <w:shd w:val="clear" w:color="auto" w:fill="FFFFFF"/>
        </w:rPr>
        <w:t>, the availability of DHPs</w:t>
      </w:r>
      <w:r w:rsidR="00C75B15">
        <w:rPr>
          <w:rFonts w:ascii="Times New Roman" w:hAnsi="Times New Roman" w:cs="Times New Roman"/>
          <w:color w:val="000000"/>
          <w:sz w:val="24"/>
          <w:szCs w:val="24"/>
          <w:shd w:val="clear" w:color="auto" w:fill="FFFFFF"/>
        </w:rPr>
        <w:t xml:space="preserve"> amounts</w:t>
      </w:r>
      <w:r w:rsidR="00EB2D09">
        <w:rPr>
          <w:rFonts w:ascii="Times New Roman" w:hAnsi="Times New Roman" w:cs="Times New Roman"/>
          <w:color w:val="000000"/>
          <w:sz w:val="24"/>
          <w:szCs w:val="24"/>
          <w:shd w:val="clear" w:color="auto" w:fill="FFFFFF"/>
        </w:rPr>
        <w:t xml:space="preserve"> to</w:t>
      </w:r>
      <w:r w:rsidR="00C75B15">
        <w:rPr>
          <w:rFonts w:ascii="Times New Roman" w:hAnsi="Times New Roman" w:cs="Times New Roman"/>
          <w:color w:val="000000"/>
          <w:sz w:val="24"/>
          <w:szCs w:val="24"/>
          <w:shd w:val="clear" w:color="auto" w:fill="FFFFFF"/>
        </w:rPr>
        <w:t xml:space="preserve"> “</w:t>
      </w:r>
      <w:r w:rsidR="00C75B15" w:rsidRPr="00C75B15">
        <w:rPr>
          <w:rFonts w:ascii="Times New Roman" w:hAnsi="Times New Roman" w:cs="Times New Roman"/>
          <w:color w:val="000000"/>
          <w:sz w:val="24"/>
          <w:szCs w:val="24"/>
          <w:shd w:val="clear" w:color="auto" w:fill="FFFFFF"/>
        </w:rPr>
        <w:t>a sufficiently weighty reason to satisfy the Court that the means employed to implement the measure had a reasonable relationship of propor</w:t>
      </w:r>
      <w:r w:rsidR="00C75B15">
        <w:rPr>
          <w:rFonts w:ascii="Times New Roman" w:hAnsi="Times New Roman" w:cs="Times New Roman"/>
          <w:color w:val="000000"/>
          <w:sz w:val="24"/>
          <w:szCs w:val="24"/>
          <w:shd w:val="clear" w:color="auto" w:fill="FFFFFF"/>
        </w:rPr>
        <w:t>tionality to its legitimate aim”.</w:t>
      </w:r>
      <w:r w:rsidR="00C75B15">
        <w:rPr>
          <w:rStyle w:val="FootnoteReference"/>
          <w:rFonts w:ascii="Times New Roman" w:hAnsi="Times New Roman" w:cs="Times New Roman"/>
          <w:color w:val="000000"/>
          <w:sz w:val="24"/>
          <w:szCs w:val="24"/>
          <w:shd w:val="clear" w:color="auto" w:fill="FFFFFF"/>
        </w:rPr>
        <w:footnoteReference w:id="12"/>
      </w:r>
    </w:p>
    <w:p w:rsidR="0060631B" w:rsidRDefault="00EE6937"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For </w:t>
      </w:r>
      <w:r w:rsidRPr="00EE6937">
        <w:rPr>
          <w:rFonts w:ascii="Times New Roman" w:hAnsi="Times New Roman" w:cs="Times New Roman"/>
          <w:i/>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sidR="006C7469">
        <w:rPr>
          <w:rFonts w:ascii="Times New Roman" w:hAnsi="Times New Roman" w:cs="Times New Roman"/>
          <w:color w:val="000000"/>
          <w:sz w:val="24"/>
          <w:szCs w:val="24"/>
          <w:shd w:val="clear" w:color="auto" w:fill="FFFFFF"/>
        </w:rPr>
        <w:t xml:space="preserve">the relationship between the legitimate aim and the “bedroom tax” means is more problematic. The court determined that the aim to incentivise downsizing could not align with the aim of a sanctuary scheme to enable victims of domestic violence to </w:t>
      </w:r>
      <w:r w:rsidR="006C7469">
        <w:rPr>
          <w:rFonts w:ascii="Times New Roman" w:hAnsi="Times New Roman" w:cs="Times New Roman"/>
          <w:i/>
          <w:color w:val="000000"/>
          <w:sz w:val="24"/>
          <w:szCs w:val="24"/>
          <w:shd w:val="clear" w:color="auto" w:fill="FFFFFF"/>
        </w:rPr>
        <w:t>remain</w:t>
      </w:r>
      <w:r w:rsidR="006C7469">
        <w:rPr>
          <w:rFonts w:ascii="Times New Roman" w:hAnsi="Times New Roman" w:cs="Times New Roman"/>
          <w:color w:val="000000"/>
          <w:sz w:val="24"/>
          <w:szCs w:val="24"/>
          <w:shd w:val="clear" w:color="auto" w:fill="FFFFFF"/>
        </w:rPr>
        <w:t xml:space="preserve"> in their property. The Government had provided no weighty reasons as to why </w:t>
      </w:r>
      <w:r w:rsidR="00E97263">
        <w:rPr>
          <w:rFonts w:ascii="Times New Roman" w:hAnsi="Times New Roman" w:cs="Times New Roman"/>
          <w:color w:val="000000"/>
          <w:sz w:val="24"/>
          <w:szCs w:val="24"/>
          <w:shd w:val="clear" w:color="auto" w:fill="FFFFFF"/>
        </w:rPr>
        <w:t xml:space="preserve">the aim </w:t>
      </w:r>
      <w:proofErr w:type="gramStart"/>
      <w:r w:rsidR="00E97263">
        <w:rPr>
          <w:rFonts w:ascii="Times New Roman" w:hAnsi="Times New Roman" w:cs="Times New Roman"/>
          <w:color w:val="000000"/>
          <w:sz w:val="24"/>
          <w:szCs w:val="24"/>
          <w:shd w:val="clear" w:color="auto" w:fill="FFFFFF"/>
        </w:rPr>
        <w:t>was rationally connected</w:t>
      </w:r>
      <w:proofErr w:type="gramEnd"/>
      <w:r w:rsidR="00E97263">
        <w:rPr>
          <w:rFonts w:ascii="Times New Roman" w:hAnsi="Times New Roman" w:cs="Times New Roman"/>
          <w:color w:val="000000"/>
          <w:sz w:val="24"/>
          <w:szCs w:val="24"/>
          <w:shd w:val="clear" w:color="auto" w:fill="FFFFFF"/>
        </w:rPr>
        <w:t xml:space="preserve"> to the means; DHPs were not sufficient to justify the discrimination for such a “small and easily identifiable group”.</w:t>
      </w:r>
      <w:r w:rsidR="00DF4AC5">
        <w:rPr>
          <w:rStyle w:val="FootnoteReference"/>
          <w:rFonts w:ascii="Times New Roman" w:hAnsi="Times New Roman" w:cs="Times New Roman"/>
          <w:color w:val="000000"/>
          <w:sz w:val="24"/>
          <w:szCs w:val="24"/>
          <w:shd w:val="clear" w:color="auto" w:fill="FFFFFF"/>
        </w:rPr>
        <w:footnoteReference w:id="13"/>
      </w:r>
    </w:p>
    <w:p w:rsidR="000401AC" w:rsidRDefault="003E6015"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a result, the appeal of the first claimant </w:t>
      </w:r>
      <w:r w:rsidRPr="003E6015">
        <w:rPr>
          <w:rFonts w:ascii="Times New Roman" w:hAnsi="Times New Roman" w:cs="Times New Roman"/>
          <w:color w:val="000000"/>
          <w:sz w:val="24"/>
          <w:szCs w:val="24"/>
          <w:shd w:val="clear" w:color="auto" w:fill="FFFFFF"/>
        </w:rPr>
        <w:t>(</w:t>
      </w:r>
      <w:r>
        <w:rPr>
          <w:rFonts w:ascii="Times New Roman" w:hAnsi="Times New Roman" w:cs="Times New Roman"/>
          <w:i/>
          <w:color w:val="000000"/>
          <w:sz w:val="24"/>
          <w:szCs w:val="24"/>
          <w:shd w:val="clear" w:color="auto" w:fill="FFFFFF"/>
        </w:rPr>
        <w:t>J.D</w:t>
      </w:r>
      <w:r w:rsidRPr="003E601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in respect of disability discrimination </w:t>
      </w:r>
      <w:proofErr w:type="gramStart"/>
      <w:r>
        <w:rPr>
          <w:rFonts w:ascii="Times New Roman" w:hAnsi="Times New Roman" w:cs="Times New Roman"/>
          <w:color w:val="000000"/>
          <w:sz w:val="24"/>
          <w:szCs w:val="24"/>
          <w:shd w:val="clear" w:color="auto" w:fill="FFFFFF"/>
        </w:rPr>
        <w:t>was dismissed</w:t>
      </w:r>
      <w:proofErr w:type="gramEnd"/>
      <w:r>
        <w:rPr>
          <w:rFonts w:ascii="Times New Roman" w:hAnsi="Times New Roman" w:cs="Times New Roman"/>
          <w:color w:val="000000"/>
          <w:sz w:val="24"/>
          <w:szCs w:val="24"/>
          <w:shd w:val="clear" w:color="auto" w:fill="FFFFFF"/>
        </w:rPr>
        <w:t xml:space="preserve"> and that of the second claimant (</w:t>
      </w:r>
      <w:r>
        <w:rPr>
          <w:rFonts w:ascii="Times New Roman" w:hAnsi="Times New Roman" w:cs="Times New Roman"/>
          <w:i/>
          <w:color w:val="000000"/>
          <w:sz w:val="24"/>
          <w:szCs w:val="24"/>
          <w:shd w:val="clear" w:color="auto" w:fill="FFFFFF"/>
        </w:rPr>
        <w:t>A</w:t>
      </w:r>
      <w:r>
        <w:rPr>
          <w:rFonts w:ascii="Times New Roman" w:hAnsi="Times New Roman" w:cs="Times New Roman"/>
          <w:color w:val="000000"/>
          <w:sz w:val="24"/>
          <w:szCs w:val="24"/>
          <w:shd w:val="clear" w:color="auto" w:fill="FFFFFF"/>
        </w:rPr>
        <w:t>) in respect of gender discrimination was allowed.</w:t>
      </w:r>
    </w:p>
    <w:p w:rsidR="003E6015" w:rsidRDefault="001969C0" w:rsidP="00D335F5">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Analysis</w:t>
      </w:r>
    </w:p>
    <w:p w:rsidR="003409B0" w:rsidRPr="005022DB" w:rsidRDefault="001969C0" w:rsidP="00D335F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These two cases were part of those left behind in the UKSC decision in </w:t>
      </w:r>
      <w:r>
        <w:rPr>
          <w:rFonts w:ascii="Times New Roman" w:hAnsi="Times New Roman" w:cs="Times New Roman"/>
          <w:i/>
          <w:color w:val="000000"/>
          <w:sz w:val="24"/>
          <w:szCs w:val="24"/>
          <w:shd w:val="clear" w:color="auto" w:fill="FFFFFF"/>
        </w:rPr>
        <w:t xml:space="preserve">Carmichael. </w:t>
      </w:r>
      <w:proofErr w:type="gramStart"/>
      <w:r w:rsidR="003409B0">
        <w:rPr>
          <w:rFonts w:ascii="Times New Roman" w:hAnsi="Times New Roman" w:cs="Times New Roman"/>
          <w:color w:val="000000"/>
          <w:sz w:val="24"/>
          <w:szCs w:val="24"/>
          <w:shd w:val="clear" w:color="auto" w:fill="FFFFFF"/>
        </w:rPr>
        <w:t>In my view, there are three key</w:t>
      </w:r>
      <w:r>
        <w:rPr>
          <w:rFonts w:ascii="Times New Roman" w:hAnsi="Times New Roman" w:cs="Times New Roman"/>
          <w:color w:val="000000"/>
          <w:sz w:val="24"/>
          <w:szCs w:val="24"/>
          <w:shd w:val="clear" w:color="auto" w:fill="FFFFFF"/>
        </w:rPr>
        <w:t xml:space="preserve"> differences in the reasoning by the Supreme Court and that by the </w:t>
      </w:r>
      <w:proofErr w:type="spellStart"/>
      <w:r w:rsidR="009E698A">
        <w:rPr>
          <w:rFonts w:ascii="Times New Roman" w:hAnsi="Times New Roman" w:cs="Times New Roman"/>
          <w:color w:val="000000"/>
          <w:sz w:val="24"/>
          <w:szCs w:val="24"/>
          <w:shd w:val="clear" w:color="auto" w:fill="FFFFFF"/>
        </w:rPr>
        <w:t>ECtHR</w:t>
      </w:r>
      <w:proofErr w:type="spellEnd"/>
      <w:r w:rsidR="009E698A">
        <w:rPr>
          <w:rFonts w:ascii="Times New Roman" w:hAnsi="Times New Roman" w:cs="Times New Roman"/>
          <w:color w:val="000000"/>
          <w:sz w:val="24"/>
          <w:szCs w:val="24"/>
          <w:shd w:val="clear" w:color="auto" w:fill="FFFFFF"/>
        </w:rPr>
        <w:t xml:space="preserve"> </w:t>
      </w:r>
      <w:r w:rsidR="00160752">
        <w:rPr>
          <w:rFonts w:ascii="Times New Roman" w:hAnsi="Times New Roman" w:cs="Times New Roman"/>
          <w:color w:val="000000"/>
          <w:sz w:val="24"/>
          <w:szCs w:val="24"/>
          <w:shd w:val="clear" w:color="auto" w:fill="FFFFFF"/>
        </w:rPr>
        <w:t xml:space="preserve">that led the court to both a different conclusion for </w:t>
      </w:r>
      <w:r w:rsidR="00160752" w:rsidRPr="00160752">
        <w:rPr>
          <w:rFonts w:ascii="Times New Roman" w:hAnsi="Times New Roman" w:cs="Times New Roman"/>
          <w:i/>
          <w:color w:val="000000"/>
          <w:sz w:val="24"/>
          <w:szCs w:val="24"/>
          <w:shd w:val="clear" w:color="auto" w:fill="FFFFFF"/>
        </w:rPr>
        <w:t>A</w:t>
      </w:r>
      <w:r w:rsidR="00160752">
        <w:rPr>
          <w:rFonts w:ascii="Times New Roman" w:hAnsi="Times New Roman" w:cs="Times New Roman"/>
          <w:i/>
          <w:color w:val="000000"/>
          <w:sz w:val="24"/>
          <w:szCs w:val="24"/>
          <w:shd w:val="clear" w:color="auto" w:fill="FFFFFF"/>
        </w:rPr>
        <w:t>,</w:t>
      </w:r>
      <w:r w:rsidR="00160752">
        <w:rPr>
          <w:rFonts w:ascii="Times New Roman" w:hAnsi="Times New Roman" w:cs="Times New Roman"/>
          <w:color w:val="000000"/>
          <w:sz w:val="24"/>
          <w:szCs w:val="24"/>
          <w:shd w:val="clear" w:color="auto" w:fill="FFFFFF"/>
        </w:rPr>
        <w:t xml:space="preserve"> and </w:t>
      </w:r>
      <w:r w:rsidR="005022DB">
        <w:rPr>
          <w:rFonts w:ascii="Times New Roman" w:hAnsi="Times New Roman" w:cs="Times New Roman"/>
          <w:color w:val="000000"/>
          <w:sz w:val="24"/>
          <w:szCs w:val="24"/>
          <w:shd w:val="clear" w:color="auto" w:fill="FFFFFF"/>
        </w:rPr>
        <w:t>the</w:t>
      </w:r>
      <w:r w:rsidR="009E698A">
        <w:rPr>
          <w:rFonts w:ascii="Times New Roman" w:hAnsi="Times New Roman" w:cs="Times New Roman"/>
          <w:color w:val="000000"/>
          <w:sz w:val="24"/>
          <w:szCs w:val="24"/>
          <w:shd w:val="clear" w:color="auto" w:fill="FFFFFF"/>
        </w:rPr>
        <w:t>ir</w:t>
      </w:r>
      <w:r w:rsidR="005022DB">
        <w:rPr>
          <w:rFonts w:ascii="Times New Roman" w:hAnsi="Times New Roman" w:cs="Times New Roman"/>
          <w:color w:val="000000"/>
          <w:sz w:val="24"/>
          <w:szCs w:val="24"/>
          <w:shd w:val="clear" w:color="auto" w:fill="FFFFFF"/>
        </w:rPr>
        <w:t xml:space="preserve"> differ</w:t>
      </w:r>
      <w:r w:rsidR="009E698A">
        <w:rPr>
          <w:rFonts w:ascii="Times New Roman" w:hAnsi="Times New Roman" w:cs="Times New Roman"/>
          <w:color w:val="000000"/>
          <w:sz w:val="24"/>
          <w:szCs w:val="24"/>
          <w:shd w:val="clear" w:color="auto" w:fill="FFFFFF"/>
        </w:rPr>
        <w:t>ing</w:t>
      </w:r>
      <w:r w:rsidR="00160752">
        <w:rPr>
          <w:rFonts w:ascii="Times New Roman" w:hAnsi="Times New Roman" w:cs="Times New Roman"/>
          <w:color w:val="000000"/>
          <w:sz w:val="24"/>
          <w:szCs w:val="24"/>
          <w:shd w:val="clear" w:color="auto" w:fill="FFFFFF"/>
        </w:rPr>
        <w:t xml:space="preserve"> reasoning </w:t>
      </w:r>
      <w:r w:rsidR="005022DB">
        <w:rPr>
          <w:rFonts w:ascii="Times New Roman" w:hAnsi="Times New Roman" w:cs="Times New Roman"/>
          <w:color w:val="000000"/>
          <w:sz w:val="24"/>
          <w:szCs w:val="24"/>
          <w:shd w:val="clear" w:color="auto" w:fill="FFFFFF"/>
        </w:rPr>
        <w:t xml:space="preserve">behind their dismissal of </w:t>
      </w:r>
      <w:r w:rsidR="00160752">
        <w:rPr>
          <w:rFonts w:ascii="Times New Roman" w:hAnsi="Times New Roman" w:cs="Times New Roman"/>
          <w:i/>
          <w:color w:val="000000"/>
          <w:sz w:val="24"/>
          <w:szCs w:val="24"/>
          <w:shd w:val="clear" w:color="auto" w:fill="FFFFFF"/>
        </w:rPr>
        <w:t>J.D</w:t>
      </w:r>
      <w:r w:rsidR="005022DB">
        <w:rPr>
          <w:rFonts w:ascii="Times New Roman" w:hAnsi="Times New Roman" w:cs="Times New Roman"/>
          <w:i/>
          <w:color w:val="000000"/>
          <w:sz w:val="24"/>
          <w:szCs w:val="24"/>
          <w:shd w:val="clear" w:color="auto" w:fill="FFFFFF"/>
        </w:rPr>
        <w:t xml:space="preserve">’s </w:t>
      </w:r>
      <w:r w:rsidR="005022DB">
        <w:rPr>
          <w:rFonts w:ascii="Times New Roman" w:hAnsi="Times New Roman" w:cs="Times New Roman"/>
          <w:color w:val="000000"/>
          <w:sz w:val="24"/>
          <w:szCs w:val="24"/>
          <w:shd w:val="clear" w:color="auto" w:fill="FFFFFF"/>
        </w:rPr>
        <w:t>appeal</w:t>
      </w:r>
      <w:r w:rsidR="00160752">
        <w:rPr>
          <w:rFonts w:ascii="Times New Roman" w:hAnsi="Times New Roman" w:cs="Times New Roman"/>
          <w:i/>
          <w:color w:val="000000"/>
          <w:sz w:val="24"/>
          <w:szCs w:val="24"/>
          <w:shd w:val="clear" w:color="auto" w:fill="FFFFFF"/>
        </w:rPr>
        <w:t>.</w:t>
      </w:r>
      <w:proofErr w:type="gramEnd"/>
      <w:r w:rsidR="00160752">
        <w:rPr>
          <w:rFonts w:ascii="Times New Roman" w:hAnsi="Times New Roman" w:cs="Times New Roman"/>
          <w:i/>
          <w:color w:val="000000"/>
          <w:sz w:val="24"/>
          <w:szCs w:val="24"/>
          <w:shd w:val="clear" w:color="auto" w:fill="FFFFFF"/>
        </w:rPr>
        <w:t xml:space="preserve"> </w:t>
      </w:r>
    </w:p>
    <w:p w:rsidR="005022DB" w:rsidRDefault="003409B0" w:rsidP="00CA7F8B">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First, the </w:t>
      </w:r>
      <w:proofErr w:type="spellStart"/>
      <w:r>
        <w:rPr>
          <w:rFonts w:ascii="Times New Roman" w:hAnsi="Times New Roman" w:cs="Times New Roman"/>
          <w:color w:val="000000"/>
          <w:sz w:val="24"/>
          <w:szCs w:val="24"/>
          <w:shd w:val="clear" w:color="auto" w:fill="FFFFFF"/>
        </w:rPr>
        <w:t>ECtHR</w:t>
      </w:r>
      <w:proofErr w:type="spellEnd"/>
      <w:r>
        <w:rPr>
          <w:rFonts w:ascii="Times New Roman" w:hAnsi="Times New Roman" w:cs="Times New Roman"/>
          <w:color w:val="000000"/>
          <w:sz w:val="24"/>
          <w:szCs w:val="24"/>
          <w:shd w:val="clear" w:color="auto" w:fill="FFFFFF"/>
        </w:rPr>
        <w:t xml:space="preserve"> accepted that higher standard of review for justification applies in the context of disability and gender </w:t>
      </w:r>
      <w:r w:rsidR="00294C94">
        <w:rPr>
          <w:rFonts w:ascii="Times New Roman" w:hAnsi="Times New Roman" w:cs="Times New Roman"/>
          <w:color w:val="000000"/>
          <w:sz w:val="24"/>
          <w:szCs w:val="24"/>
          <w:shd w:val="clear" w:color="auto" w:fill="FFFFFF"/>
        </w:rPr>
        <w:t>discrimination where the offending policy</w:t>
      </w:r>
      <w:r w:rsidR="005022DB">
        <w:rPr>
          <w:rFonts w:ascii="Times New Roman" w:hAnsi="Times New Roman" w:cs="Times New Roman"/>
          <w:color w:val="000000"/>
          <w:sz w:val="24"/>
          <w:szCs w:val="24"/>
          <w:shd w:val="clear" w:color="auto" w:fill="FFFFFF"/>
        </w:rPr>
        <w:t xml:space="preserve"> is</w:t>
      </w:r>
      <w:r>
        <w:rPr>
          <w:rFonts w:ascii="Times New Roman" w:hAnsi="Times New Roman" w:cs="Times New Roman"/>
          <w:color w:val="000000"/>
          <w:sz w:val="24"/>
          <w:szCs w:val="24"/>
          <w:shd w:val="clear" w:color="auto" w:fill="FFFFFF"/>
        </w:rPr>
        <w:t xml:space="preserve"> not transitional, even if the issue at play is one of a socio-economic nature. </w:t>
      </w:r>
      <w:r w:rsidR="005022DB">
        <w:rPr>
          <w:rFonts w:ascii="Times New Roman" w:hAnsi="Times New Roman" w:cs="Times New Roman"/>
          <w:color w:val="000000"/>
          <w:sz w:val="24"/>
          <w:szCs w:val="24"/>
          <w:shd w:val="clear" w:color="auto" w:fill="FFFFFF"/>
        </w:rPr>
        <w:t xml:space="preserve">Discrimination-based appeals against socio-economic measures in the UK have been dogged by a rigid application to the application of the “manifestly without reasonable foundation” benchmark. This is a difficult bar to pass. </w:t>
      </w:r>
      <w:proofErr w:type="gramStart"/>
      <w:r w:rsidR="005022DB">
        <w:rPr>
          <w:rFonts w:ascii="Times New Roman" w:hAnsi="Times New Roman" w:cs="Times New Roman"/>
          <w:color w:val="000000"/>
          <w:sz w:val="24"/>
          <w:szCs w:val="24"/>
          <w:shd w:val="clear" w:color="auto" w:fill="FFFFFF"/>
        </w:rPr>
        <w:t xml:space="preserve">Indeed, in </w:t>
      </w:r>
      <w:r w:rsidR="005022DB">
        <w:rPr>
          <w:rFonts w:ascii="Times New Roman" w:hAnsi="Times New Roman" w:cs="Times New Roman"/>
          <w:sz w:val="24"/>
          <w:szCs w:val="24"/>
        </w:rPr>
        <w:t xml:space="preserve">Lord Wilson’s lead judgment in </w:t>
      </w:r>
      <w:r w:rsidR="005022DB" w:rsidRPr="00ED3F64">
        <w:rPr>
          <w:rFonts w:ascii="Times New Roman" w:hAnsi="Times New Roman" w:cs="Times New Roman"/>
          <w:i/>
          <w:sz w:val="24"/>
          <w:szCs w:val="24"/>
        </w:rPr>
        <w:t>R. (on the application of DA) v Secretary of State for Work and Pensions</w:t>
      </w:r>
      <w:bookmarkStart w:id="1" w:name="_Ref16577610"/>
      <w:r w:rsidR="005022DB" w:rsidRPr="009E698A">
        <w:rPr>
          <w:rStyle w:val="FootnoteReference"/>
          <w:rFonts w:ascii="Times New Roman" w:hAnsi="Times New Roman" w:cs="Times New Roman"/>
          <w:sz w:val="24"/>
          <w:szCs w:val="24"/>
        </w:rPr>
        <w:footnoteReference w:id="14"/>
      </w:r>
      <w:bookmarkEnd w:id="1"/>
      <w:r w:rsidR="005022DB">
        <w:rPr>
          <w:rFonts w:ascii="Times New Roman" w:hAnsi="Times New Roman" w:cs="Times New Roman"/>
          <w:i/>
          <w:sz w:val="24"/>
          <w:szCs w:val="24"/>
        </w:rPr>
        <w:t xml:space="preserve">, </w:t>
      </w:r>
      <w:r w:rsidR="005022DB" w:rsidRPr="005022DB">
        <w:rPr>
          <w:rFonts w:ascii="Times New Roman" w:hAnsi="Times New Roman" w:cs="Times New Roman"/>
          <w:sz w:val="24"/>
          <w:szCs w:val="24"/>
        </w:rPr>
        <w:t>i</w:t>
      </w:r>
      <w:r w:rsidR="005022DB">
        <w:rPr>
          <w:rFonts w:ascii="Times New Roman" w:hAnsi="Times New Roman" w:cs="Times New Roman"/>
          <w:sz w:val="24"/>
          <w:szCs w:val="24"/>
        </w:rPr>
        <w:t xml:space="preserve">n deciding that the benefit cap policy did not unlawfully discriminate against lone parents and their children contrary to Article 14 ECHR (taken with Article 8), the majority </w:t>
      </w:r>
      <w:r w:rsidR="00063CAA">
        <w:rPr>
          <w:rFonts w:ascii="Times New Roman" w:hAnsi="Times New Roman" w:cs="Times New Roman"/>
          <w:sz w:val="24"/>
          <w:szCs w:val="24"/>
        </w:rPr>
        <w:lastRenderedPageBreak/>
        <w:t xml:space="preserve">of the Supreme Court </w:t>
      </w:r>
      <w:r w:rsidR="005022DB">
        <w:rPr>
          <w:rFonts w:ascii="Times New Roman" w:hAnsi="Times New Roman" w:cs="Times New Roman"/>
          <w:sz w:val="24"/>
          <w:szCs w:val="24"/>
        </w:rPr>
        <w:t xml:space="preserve">concluded that </w:t>
      </w:r>
      <w:proofErr w:type="spellStart"/>
      <w:r w:rsidR="005022DB">
        <w:rPr>
          <w:rFonts w:ascii="Times New Roman" w:hAnsi="Times New Roman" w:cs="Times New Roman"/>
          <w:sz w:val="24"/>
          <w:szCs w:val="24"/>
        </w:rPr>
        <w:t>ECtHR</w:t>
      </w:r>
      <w:proofErr w:type="spellEnd"/>
      <w:r w:rsidR="005022DB">
        <w:rPr>
          <w:rFonts w:ascii="Times New Roman" w:hAnsi="Times New Roman" w:cs="Times New Roman"/>
          <w:sz w:val="24"/>
          <w:szCs w:val="24"/>
        </w:rPr>
        <w:t xml:space="preserve"> derived authority “</w:t>
      </w:r>
      <w:r w:rsidR="005022DB" w:rsidRPr="00D82F2E">
        <w:rPr>
          <w:rFonts w:ascii="Times New Roman" w:hAnsi="Times New Roman" w:cs="Times New Roman"/>
          <w:sz w:val="24"/>
          <w:szCs w:val="24"/>
        </w:rPr>
        <w:t xml:space="preserve">mandates inquiry into the justification of the adverse effects of rules for entitlement to welfare benefits by reference to whether they are </w:t>
      </w:r>
      <w:r w:rsidR="005022DB" w:rsidRPr="00C450F0">
        <w:rPr>
          <w:rFonts w:ascii="Times New Roman" w:hAnsi="Times New Roman" w:cs="Times New Roman"/>
          <w:i/>
          <w:sz w:val="24"/>
          <w:szCs w:val="24"/>
        </w:rPr>
        <w:t>manifestly without reasonable foundation</w:t>
      </w:r>
      <w:r w:rsidR="005022DB">
        <w:rPr>
          <w:rFonts w:ascii="Times New Roman" w:hAnsi="Times New Roman" w:cs="Times New Roman"/>
          <w:sz w:val="24"/>
          <w:szCs w:val="24"/>
        </w:rPr>
        <w:t>”</w:t>
      </w:r>
      <w:r w:rsidR="005022DB">
        <w:rPr>
          <w:rStyle w:val="FootnoteReference"/>
          <w:rFonts w:ascii="Times New Roman" w:hAnsi="Times New Roman" w:cs="Times New Roman"/>
          <w:sz w:val="24"/>
          <w:szCs w:val="24"/>
        </w:rPr>
        <w:footnoteReference w:id="15"/>
      </w:r>
      <w:r w:rsidR="005022DB">
        <w:rPr>
          <w:rFonts w:ascii="Times New Roman" w:hAnsi="Times New Roman" w:cs="Times New Roman"/>
          <w:sz w:val="24"/>
          <w:szCs w:val="24"/>
        </w:rPr>
        <w:t>.</w:t>
      </w:r>
      <w:proofErr w:type="gramEnd"/>
      <w:r w:rsidR="005022DB">
        <w:rPr>
          <w:rFonts w:ascii="Times New Roman" w:hAnsi="Times New Roman" w:cs="Times New Roman"/>
          <w:sz w:val="24"/>
          <w:szCs w:val="24"/>
        </w:rPr>
        <w:t xml:space="preserve"> Lord Wilson declared</w:t>
      </w:r>
      <w:r w:rsidR="00063CAA">
        <w:rPr>
          <w:rFonts w:ascii="Times New Roman" w:hAnsi="Times New Roman" w:cs="Times New Roman"/>
          <w:sz w:val="24"/>
          <w:szCs w:val="24"/>
        </w:rPr>
        <w:t>,</w:t>
      </w:r>
      <w:r w:rsidR="005022DB">
        <w:rPr>
          <w:rFonts w:ascii="Times New Roman" w:hAnsi="Times New Roman" w:cs="Times New Roman"/>
          <w:sz w:val="24"/>
          <w:szCs w:val="24"/>
        </w:rPr>
        <w:t xml:space="preserve"> “</w:t>
      </w:r>
      <w:proofErr w:type="gramStart"/>
      <w:r w:rsidR="005022DB">
        <w:rPr>
          <w:rFonts w:ascii="Times New Roman" w:hAnsi="Times New Roman" w:cs="Times New Roman"/>
          <w:sz w:val="24"/>
          <w:szCs w:val="24"/>
        </w:rPr>
        <w:t>l</w:t>
      </w:r>
      <w:r w:rsidR="005022DB" w:rsidRPr="00D82F2E">
        <w:rPr>
          <w:rFonts w:ascii="Times New Roman" w:hAnsi="Times New Roman" w:cs="Times New Roman"/>
          <w:sz w:val="24"/>
          <w:szCs w:val="24"/>
        </w:rPr>
        <w:t>et</w:t>
      </w:r>
      <w:proofErr w:type="gramEnd"/>
      <w:r w:rsidR="005022DB" w:rsidRPr="00D82F2E">
        <w:rPr>
          <w:rFonts w:ascii="Times New Roman" w:hAnsi="Times New Roman" w:cs="Times New Roman"/>
          <w:sz w:val="24"/>
          <w:szCs w:val="24"/>
        </w:rPr>
        <w:t xml:space="preserve"> there be no future doubt about it</w:t>
      </w:r>
      <w:r w:rsidR="005022DB">
        <w:rPr>
          <w:rFonts w:ascii="Times New Roman" w:hAnsi="Times New Roman" w:cs="Times New Roman"/>
          <w:sz w:val="24"/>
          <w:szCs w:val="24"/>
        </w:rPr>
        <w:t>”</w:t>
      </w:r>
      <w:r w:rsidR="005022DB" w:rsidRPr="00D82F2E">
        <w:rPr>
          <w:rFonts w:ascii="Times New Roman" w:hAnsi="Times New Roman" w:cs="Times New Roman"/>
          <w:sz w:val="24"/>
          <w:szCs w:val="24"/>
        </w:rPr>
        <w:t>.</w:t>
      </w:r>
      <w:r w:rsidR="005022DB">
        <w:rPr>
          <w:rStyle w:val="FootnoteReference"/>
          <w:rFonts w:ascii="Times New Roman" w:hAnsi="Times New Roman" w:cs="Times New Roman"/>
          <w:sz w:val="24"/>
          <w:szCs w:val="24"/>
        </w:rPr>
        <w:footnoteReference w:id="16"/>
      </w:r>
      <w:r w:rsidR="00063CAA">
        <w:rPr>
          <w:rFonts w:ascii="Times New Roman" w:hAnsi="Times New Roman" w:cs="Times New Roman"/>
          <w:sz w:val="24"/>
          <w:szCs w:val="24"/>
        </w:rPr>
        <w:t xml:space="preserve"> The </w:t>
      </w:r>
      <w:proofErr w:type="spellStart"/>
      <w:r w:rsidR="00063CAA">
        <w:rPr>
          <w:rFonts w:ascii="Times New Roman" w:hAnsi="Times New Roman" w:cs="Times New Roman"/>
          <w:sz w:val="24"/>
          <w:szCs w:val="24"/>
        </w:rPr>
        <w:t>ECtHR’s</w:t>
      </w:r>
      <w:proofErr w:type="spellEnd"/>
      <w:r w:rsidR="00063CAA">
        <w:rPr>
          <w:rFonts w:ascii="Times New Roman" w:hAnsi="Times New Roman" w:cs="Times New Roman"/>
          <w:sz w:val="24"/>
          <w:szCs w:val="24"/>
        </w:rPr>
        <w:t xml:space="preserve"> acceptance of the higher standard of review for both claimants here questions the extent to which the domestic court’s assessment of justification of Article 14 discrimination is an accurate assessment of proportionality under the convention.</w:t>
      </w:r>
    </w:p>
    <w:p w:rsidR="001864DB" w:rsidRDefault="00400CAA" w:rsidP="00CA7F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Second, the </w:t>
      </w:r>
      <w:proofErr w:type="spellStart"/>
      <w:r>
        <w:rPr>
          <w:rFonts w:ascii="Times New Roman" w:hAnsi="Times New Roman" w:cs="Times New Roman"/>
          <w:sz w:val="24"/>
          <w:szCs w:val="24"/>
        </w:rPr>
        <w:t>ECtHR</w:t>
      </w:r>
      <w:proofErr w:type="spellEnd"/>
      <w:r>
        <w:rPr>
          <w:rFonts w:ascii="Times New Roman" w:hAnsi="Times New Roman" w:cs="Times New Roman"/>
          <w:sz w:val="24"/>
          <w:szCs w:val="24"/>
        </w:rPr>
        <w:t xml:space="preserve"> </w:t>
      </w:r>
      <w:r w:rsidR="00E334DA">
        <w:rPr>
          <w:rFonts w:ascii="Times New Roman" w:hAnsi="Times New Roman" w:cs="Times New Roman"/>
          <w:sz w:val="24"/>
          <w:szCs w:val="24"/>
        </w:rPr>
        <w:t xml:space="preserve">undertook a staged analysis of the proportionality of the measure, </w:t>
      </w:r>
      <w:r>
        <w:rPr>
          <w:rFonts w:ascii="Times New Roman" w:hAnsi="Times New Roman" w:cs="Times New Roman"/>
          <w:sz w:val="24"/>
          <w:szCs w:val="24"/>
        </w:rPr>
        <w:t>separat</w:t>
      </w:r>
      <w:r w:rsidR="00E334DA">
        <w:rPr>
          <w:rFonts w:ascii="Times New Roman" w:hAnsi="Times New Roman" w:cs="Times New Roman"/>
          <w:sz w:val="24"/>
          <w:szCs w:val="24"/>
        </w:rPr>
        <w:t>ing out explicitly</w:t>
      </w:r>
      <w:r>
        <w:rPr>
          <w:rFonts w:ascii="Times New Roman" w:hAnsi="Times New Roman" w:cs="Times New Roman"/>
          <w:sz w:val="24"/>
          <w:szCs w:val="24"/>
        </w:rPr>
        <w:t xml:space="preserve"> </w:t>
      </w:r>
      <w:r w:rsidR="00216C81">
        <w:rPr>
          <w:rFonts w:ascii="Times New Roman" w:hAnsi="Times New Roman" w:cs="Times New Roman"/>
          <w:sz w:val="24"/>
          <w:szCs w:val="24"/>
        </w:rPr>
        <w:t xml:space="preserve">their analysis of </w:t>
      </w:r>
      <w:r w:rsidR="00E334DA">
        <w:rPr>
          <w:rFonts w:ascii="Times New Roman" w:hAnsi="Times New Roman" w:cs="Times New Roman"/>
          <w:sz w:val="24"/>
          <w:szCs w:val="24"/>
        </w:rPr>
        <w:t>the legitimacy of the aim and its rational connection to the circumstances faced by both</w:t>
      </w:r>
      <w:r w:rsidR="009E1AE1">
        <w:rPr>
          <w:rFonts w:ascii="Times New Roman" w:hAnsi="Times New Roman" w:cs="Times New Roman"/>
          <w:sz w:val="24"/>
          <w:szCs w:val="24"/>
        </w:rPr>
        <w:t xml:space="preserve"> the</w:t>
      </w:r>
      <w:r w:rsidR="00E334DA">
        <w:rPr>
          <w:rFonts w:ascii="Times New Roman" w:hAnsi="Times New Roman" w:cs="Times New Roman"/>
          <w:sz w:val="24"/>
          <w:szCs w:val="24"/>
        </w:rPr>
        <w:t xml:space="preserve"> claimants and those in analogous</w:t>
      </w:r>
      <w:r w:rsidR="009E1AE1">
        <w:rPr>
          <w:rFonts w:ascii="Times New Roman" w:hAnsi="Times New Roman" w:cs="Times New Roman"/>
          <w:sz w:val="24"/>
          <w:szCs w:val="24"/>
        </w:rPr>
        <w:t xml:space="preserve"> positions. Within the UKSC decision in </w:t>
      </w:r>
      <w:r w:rsidR="009E1AE1">
        <w:rPr>
          <w:rFonts w:ascii="Times New Roman" w:hAnsi="Times New Roman" w:cs="Times New Roman"/>
          <w:i/>
          <w:sz w:val="24"/>
          <w:szCs w:val="24"/>
        </w:rPr>
        <w:t>Carmichael</w:t>
      </w:r>
      <w:r w:rsidR="009E1AE1">
        <w:rPr>
          <w:rFonts w:ascii="Times New Roman" w:hAnsi="Times New Roman" w:cs="Times New Roman"/>
          <w:sz w:val="24"/>
          <w:szCs w:val="24"/>
        </w:rPr>
        <w:t xml:space="preserve">, and in other challenges to policies made in the wake of the Welfare Reform Act 2012, the staged assessment of proportionality </w:t>
      </w:r>
      <w:proofErr w:type="gramStart"/>
      <w:r w:rsidR="009E1AE1">
        <w:rPr>
          <w:rFonts w:ascii="Times New Roman" w:hAnsi="Times New Roman" w:cs="Times New Roman"/>
          <w:sz w:val="24"/>
          <w:szCs w:val="24"/>
        </w:rPr>
        <w:t>is often supplanted</w:t>
      </w:r>
      <w:proofErr w:type="gramEnd"/>
      <w:r w:rsidR="009E1AE1">
        <w:rPr>
          <w:rFonts w:ascii="Times New Roman" w:hAnsi="Times New Roman" w:cs="Times New Roman"/>
          <w:sz w:val="24"/>
          <w:szCs w:val="24"/>
        </w:rPr>
        <w:t xml:space="preserve"> with a simple application of the question: is the policy “manifestly without reasonable foundation”?</w:t>
      </w:r>
      <w:r w:rsidR="00163881">
        <w:rPr>
          <w:rFonts w:ascii="Times New Roman" w:hAnsi="Times New Roman" w:cs="Times New Roman"/>
          <w:sz w:val="24"/>
          <w:szCs w:val="24"/>
        </w:rPr>
        <w:t xml:space="preserve"> </w:t>
      </w:r>
      <w:r w:rsidR="009E1AE1">
        <w:rPr>
          <w:rFonts w:ascii="Times New Roman" w:hAnsi="Times New Roman" w:cs="Times New Roman"/>
          <w:sz w:val="24"/>
          <w:szCs w:val="24"/>
        </w:rPr>
        <w:t xml:space="preserve">Here, the court’s focus on the extent to which the aim is capable of </w:t>
      </w:r>
      <w:proofErr w:type="gramStart"/>
      <w:r w:rsidR="009E1AE1">
        <w:rPr>
          <w:rFonts w:ascii="Times New Roman" w:hAnsi="Times New Roman" w:cs="Times New Roman"/>
          <w:sz w:val="24"/>
          <w:szCs w:val="24"/>
        </w:rPr>
        <w:t>being rationall</w:t>
      </w:r>
      <w:r w:rsidR="001864DB">
        <w:rPr>
          <w:rFonts w:ascii="Times New Roman" w:hAnsi="Times New Roman" w:cs="Times New Roman"/>
          <w:sz w:val="24"/>
          <w:szCs w:val="24"/>
        </w:rPr>
        <w:t>y connected</w:t>
      </w:r>
      <w:proofErr w:type="gramEnd"/>
      <w:r w:rsidR="001864DB">
        <w:rPr>
          <w:rFonts w:ascii="Times New Roman" w:hAnsi="Times New Roman" w:cs="Times New Roman"/>
          <w:sz w:val="24"/>
          <w:szCs w:val="24"/>
        </w:rPr>
        <w:t xml:space="preserve"> to the claimants narrows their inquiry substantially.</w:t>
      </w:r>
    </w:p>
    <w:p w:rsidR="00F559AB" w:rsidRDefault="001864DB" w:rsidP="00CA7F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Third, although the court relays the Government’s aim of “shifting the place of social security” within the policy, they do not return to this in their analysis of the justification of the discrimination. Instead, they focus on the aim of the “bedroom tax” </w:t>
      </w:r>
      <w:r w:rsidR="00F559AB">
        <w:rPr>
          <w:rFonts w:ascii="Times New Roman" w:hAnsi="Times New Roman" w:cs="Times New Roman"/>
          <w:sz w:val="24"/>
          <w:szCs w:val="24"/>
        </w:rPr>
        <w:t>to incentivise downsizing</w:t>
      </w:r>
      <w:r>
        <w:rPr>
          <w:rFonts w:ascii="Times New Roman" w:hAnsi="Times New Roman" w:cs="Times New Roman"/>
          <w:sz w:val="24"/>
          <w:szCs w:val="24"/>
        </w:rPr>
        <w:t>. This</w:t>
      </w:r>
      <w:r w:rsidR="00F559AB">
        <w:rPr>
          <w:rFonts w:ascii="Times New Roman" w:hAnsi="Times New Roman" w:cs="Times New Roman"/>
          <w:sz w:val="24"/>
          <w:szCs w:val="24"/>
        </w:rPr>
        <w:t xml:space="preserve"> may be a recognition that the</w:t>
      </w:r>
      <w:r>
        <w:rPr>
          <w:rFonts w:ascii="Times New Roman" w:hAnsi="Times New Roman" w:cs="Times New Roman"/>
          <w:sz w:val="24"/>
          <w:szCs w:val="24"/>
        </w:rPr>
        <w:t xml:space="preserve"> more porous motivation of “shifting the place of social security”</w:t>
      </w:r>
      <w:r w:rsidR="00F559AB">
        <w:rPr>
          <w:rFonts w:ascii="Times New Roman" w:hAnsi="Times New Roman" w:cs="Times New Roman"/>
          <w:sz w:val="24"/>
          <w:szCs w:val="24"/>
        </w:rPr>
        <w:t xml:space="preserve"> is less amenable to a rigorous proportionality assessment that the clear stated aims of a policy </w:t>
      </w:r>
      <w:r w:rsidR="00F559AB" w:rsidRPr="00F559AB">
        <w:rPr>
          <w:rFonts w:ascii="Times New Roman" w:hAnsi="Times New Roman" w:cs="Times New Roman"/>
          <w:i/>
          <w:sz w:val="24"/>
          <w:szCs w:val="24"/>
        </w:rPr>
        <w:t>prima facie</w:t>
      </w:r>
      <w:r w:rsidR="00F559AB">
        <w:rPr>
          <w:rFonts w:ascii="Times New Roman" w:hAnsi="Times New Roman" w:cs="Times New Roman"/>
          <w:sz w:val="24"/>
          <w:szCs w:val="24"/>
        </w:rPr>
        <w:t xml:space="preserve"> addressing under-occupation in the social rented sector.</w:t>
      </w:r>
      <w:r w:rsidR="001B7BB7">
        <w:rPr>
          <w:rFonts w:ascii="Times New Roman" w:hAnsi="Times New Roman" w:cs="Times New Roman"/>
          <w:sz w:val="24"/>
          <w:szCs w:val="24"/>
        </w:rPr>
        <w:t xml:space="preserve"> This is important, as this aim – as opposed to simply the intent to encourage downsizing and save money – speaks directly to the introduction of the DHP scheme.</w:t>
      </w:r>
    </w:p>
    <w:p w:rsidR="001B7BB7" w:rsidRPr="001B7BB7" w:rsidRDefault="001B7BB7" w:rsidP="00CA7F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decision of the court for </w:t>
      </w:r>
      <w:r>
        <w:rPr>
          <w:rFonts w:ascii="Times New Roman" w:hAnsi="Times New Roman" w:cs="Times New Roman"/>
          <w:i/>
          <w:sz w:val="24"/>
          <w:szCs w:val="24"/>
        </w:rPr>
        <w:t xml:space="preserve">A </w:t>
      </w:r>
      <w:r>
        <w:rPr>
          <w:rFonts w:ascii="Times New Roman" w:hAnsi="Times New Roman" w:cs="Times New Roman"/>
          <w:sz w:val="24"/>
          <w:szCs w:val="24"/>
        </w:rPr>
        <w:t xml:space="preserve">is a welcome one, and is testament to her and her lawyers’ tenacity. For such a small and easily identifiable group to be subject to the insecurity of the DHP scheme is clearly at odds with any effort to encourage downsizing. </w:t>
      </w:r>
      <w:r w:rsidR="006E1E6F">
        <w:rPr>
          <w:rFonts w:ascii="Times New Roman" w:hAnsi="Times New Roman" w:cs="Times New Roman"/>
          <w:sz w:val="24"/>
          <w:szCs w:val="24"/>
        </w:rPr>
        <w:t>However, t</w:t>
      </w:r>
      <w:r>
        <w:rPr>
          <w:rFonts w:ascii="Times New Roman" w:hAnsi="Times New Roman" w:cs="Times New Roman"/>
          <w:sz w:val="24"/>
          <w:szCs w:val="24"/>
        </w:rPr>
        <w:t xml:space="preserve">he decision for </w:t>
      </w:r>
      <w:r>
        <w:rPr>
          <w:rFonts w:ascii="Times New Roman" w:hAnsi="Times New Roman" w:cs="Times New Roman"/>
          <w:i/>
          <w:sz w:val="24"/>
          <w:szCs w:val="24"/>
        </w:rPr>
        <w:t xml:space="preserve">J.D. </w:t>
      </w:r>
      <w:r>
        <w:rPr>
          <w:rFonts w:ascii="Times New Roman" w:hAnsi="Times New Roman" w:cs="Times New Roman"/>
          <w:sz w:val="24"/>
          <w:szCs w:val="24"/>
        </w:rPr>
        <w:t xml:space="preserve">highlights the continued capacity of cash-limited discretionary payments to justify otherwise unlawful discrimination, even in the face of the application of a “weighty reasons” benchmark as opposed </w:t>
      </w:r>
      <w:r w:rsidR="006E1E6F">
        <w:rPr>
          <w:rFonts w:ascii="Times New Roman" w:hAnsi="Times New Roman" w:cs="Times New Roman"/>
          <w:sz w:val="24"/>
          <w:szCs w:val="24"/>
        </w:rPr>
        <w:t>to the widely employed</w:t>
      </w:r>
      <w:r>
        <w:rPr>
          <w:rFonts w:ascii="Times New Roman" w:hAnsi="Times New Roman" w:cs="Times New Roman"/>
          <w:sz w:val="24"/>
          <w:szCs w:val="24"/>
        </w:rPr>
        <w:t xml:space="preserve"> “manifestly without reasonable foundation”</w:t>
      </w:r>
      <w:r w:rsidR="006E1E6F">
        <w:rPr>
          <w:rFonts w:ascii="Times New Roman" w:hAnsi="Times New Roman" w:cs="Times New Roman"/>
          <w:sz w:val="24"/>
          <w:szCs w:val="24"/>
        </w:rPr>
        <w:t xml:space="preserve"> bar.</w:t>
      </w:r>
    </w:p>
    <w:p w:rsidR="003409B0" w:rsidRPr="001969C0" w:rsidRDefault="003409B0" w:rsidP="00D335F5">
      <w:pPr>
        <w:jc w:val="both"/>
        <w:rPr>
          <w:rFonts w:ascii="Times New Roman" w:hAnsi="Times New Roman" w:cs="Times New Roman"/>
          <w:color w:val="000000"/>
          <w:sz w:val="24"/>
          <w:szCs w:val="24"/>
          <w:shd w:val="clear" w:color="auto" w:fill="FFFFFF"/>
        </w:rPr>
      </w:pPr>
    </w:p>
    <w:p w:rsidR="00E93445" w:rsidRPr="00E03E6D" w:rsidRDefault="00E93445" w:rsidP="00E03E6D">
      <w:pPr>
        <w:jc w:val="both"/>
        <w:rPr>
          <w:rFonts w:ascii="Times New Roman" w:hAnsi="Times New Roman" w:cs="Times New Roman"/>
          <w:color w:val="000000"/>
          <w:sz w:val="24"/>
          <w:szCs w:val="24"/>
          <w:shd w:val="clear" w:color="auto" w:fill="FFFFFF"/>
        </w:rPr>
      </w:pPr>
    </w:p>
    <w:sectPr w:rsidR="00E93445" w:rsidRPr="00E03E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6B" w:rsidRDefault="007E3A6B" w:rsidP="00B072A8">
      <w:pPr>
        <w:spacing w:after="0" w:line="240" w:lineRule="auto"/>
      </w:pPr>
      <w:r>
        <w:separator/>
      </w:r>
    </w:p>
  </w:endnote>
  <w:endnote w:type="continuationSeparator" w:id="0">
    <w:p w:rsidR="007E3A6B" w:rsidRDefault="007E3A6B" w:rsidP="00B0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6B" w:rsidRDefault="007E3A6B" w:rsidP="00B072A8">
      <w:pPr>
        <w:spacing w:after="0" w:line="240" w:lineRule="auto"/>
      </w:pPr>
      <w:r>
        <w:separator/>
      </w:r>
    </w:p>
  </w:footnote>
  <w:footnote w:type="continuationSeparator" w:id="0">
    <w:p w:rsidR="007E3A6B" w:rsidRDefault="007E3A6B" w:rsidP="00B072A8">
      <w:pPr>
        <w:spacing w:after="0" w:line="240" w:lineRule="auto"/>
      </w:pPr>
      <w:r>
        <w:continuationSeparator/>
      </w:r>
    </w:p>
  </w:footnote>
  <w:footnote w:id="1">
    <w:p w:rsidR="00B1388C" w:rsidRPr="00B1388C" w:rsidRDefault="00B1388C">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Pr="00B1388C">
        <w:rPr>
          <w:rFonts w:ascii="Times New Roman" w:hAnsi="Times New Roman" w:cs="Times New Roman"/>
          <w:i/>
          <w:sz w:val="22"/>
          <w:szCs w:val="22"/>
        </w:rPr>
        <w:t xml:space="preserve">Applications nos. 32949/17 and 34614/17 </w:t>
      </w:r>
      <w:r w:rsidRPr="00B1388C">
        <w:rPr>
          <w:rFonts w:ascii="Times New Roman" w:hAnsi="Times New Roman" w:cs="Times New Roman"/>
          <w:sz w:val="22"/>
          <w:szCs w:val="22"/>
        </w:rPr>
        <w:t>(</w:t>
      </w:r>
      <w:proofErr w:type="spellStart"/>
      <w:r w:rsidRPr="00B1388C">
        <w:rPr>
          <w:rFonts w:ascii="Times New Roman" w:hAnsi="Times New Roman" w:cs="Times New Roman"/>
          <w:sz w:val="22"/>
          <w:szCs w:val="22"/>
        </w:rPr>
        <w:t>ECtHR</w:t>
      </w:r>
      <w:proofErr w:type="spellEnd"/>
      <w:r w:rsidRPr="00B1388C">
        <w:rPr>
          <w:rFonts w:ascii="Times New Roman" w:hAnsi="Times New Roman" w:cs="Times New Roman"/>
          <w:sz w:val="22"/>
          <w:szCs w:val="22"/>
        </w:rPr>
        <w:t>, 24 October 2019)</w:t>
      </w:r>
      <w:r>
        <w:rPr>
          <w:rFonts w:ascii="Times New Roman" w:hAnsi="Times New Roman" w:cs="Times New Roman"/>
          <w:sz w:val="22"/>
          <w:szCs w:val="22"/>
        </w:rPr>
        <w:t>.</w:t>
      </w:r>
    </w:p>
  </w:footnote>
  <w:footnote w:id="2">
    <w:p w:rsidR="00CD0BB4" w:rsidRPr="00B1388C" w:rsidRDefault="00CD0BB4">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See Reg.B13 of the amended Housing Benefit Regulations 2006.</w:t>
      </w:r>
    </w:p>
  </w:footnote>
  <w:footnote w:id="3">
    <w:p w:rsidR="00A964D6" w:rsidRPr="00B1388C" w:rsidRDefault="00A964D6">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00B1388C" w:rsidRPr="00B1388C">
        <w:rPr>
          <w:rFonts w:ascii="Times New Roman" w:hAnsi="Times New Roman" w:cs="Times New Roman"/>
          <w:sz w:val="22"/>
          <w:szCs w:val="22"/>
        </w:rPr>
        <w:t xml:space="preserve"> </w:t>
      </w:r>
      <w:r w:rsidR="00B1388C" w:rsidRPr="00B1388C">
        <w:rPr>
          <w:rFonts w:ascii="Times New Roman" w:hAnsi="Times New Roman" w:cs="Times New Roman"/>
          <w:i/>
          <w:sz w:val="22"/>
          <w:szCs w:val="22"/>
        </w:rPr>
        <w:t>A v UK</w:t>
      </w:r>
      <w:r w:rsidR="00B1388C">
        <w:rPr>
          <w:rFonts w:ascii="Times New Roman" w:hAnsi="Times New Roman" w:cs="Times New Roman"/>
          <w:sz w:val="22"/>
          <w:szCs w:val="22"/>
        </w:rPr>
        <w:t xml:space="preserve"> (n 1) </w:t>
      </w:r>
      <w:r w:rsidR="00B1388C" w:rsidRPr="00B1388C">
        <w:rPr>
          <w:rFonts w:ascii="Times New Roman" w:hAnsi="Times New Roman" w:cs="Times New Roman"/>
          <w:sz w:val="22"/>
          <w:szCs w:val="22"/>
        </w:rPr>
        <w:t>[</w:t>
      </w:r>
      <w:r w:rsidRPr="00B1388C">
        <w:rPr>
          <w:rFonts w:ascii="Times New Roman" w:hAnsi="Times New Roman" w:cs="Times New Roman"/>
          <w:sz w:val="22"/>
          <w:szCs w:val="22"/>
        </w:rPr>
        <w:t>93</w:t>
      </w:r>
      <w:r w:rsidR="00B1388C" w:rsidRPr="00B1388C">
        <w:rPr>
          <w:rFonts w:ascii="Times New Roman" w:hAnsi="Times New Roman" w:cs="Times New Roman"/>
          <w:sz w:val="22"/>
          <w:szCs w:val="22"/>
        </w:rPr>
        <w:t>]</w:t>
      </w:r>
      <w:r w:rsidRPr="00B1388C">
        <w:rPr>
          <w:rFonts w:ascii="Times New Roman" w:hAnsi="Times New Roman" w:cs="Times New Roman"/>
          <w:sz w:val="22"/>
          <w:szCs w:val="22"/>
        </w:rPr>
        <w:t>.</w:t>
      </w:r>
    </w:p>
  </w:footnote>
  <w:footnote w:id="4">
    <w:p w:rsidR="00B072A8" w:rsidRPr="00B1388C" w:rsidRDefault="00B072A8">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BC2577" w:rsidRPr="00B1388C">
        <w:rPr>
          <w:rFonts w:ascii="Times New Roman" w:hAnsi="Times New Roman" w:cs="Times New Roman"/>
          <w:i/>
          <w:sz w:val="22"/>
          <w:szCs w:val="22"/>
        </w:rPr>
        <w:t>A v UK</w:t>
      </w:r>
      <w:r w:rsidR="00BC2577">
        <w:rPr>
          <w:rFonts w:ascii="Times New Roman" w:hAnsi="Times New Roman" w:cs="Times New Roman"/>
          <w:sz w:val="22"/>
          <w:szCs w:val="22"/>
        </w:rPr>
        <w:t xml:space="preserve"> (n 1) </w:t>
      </w:r>
      <w:r w:rsidR="00BC2577" w:rsidRPr="00B1388C">
        <w:rPr>
          <w:rFonts w:ascii="Times New Roman" w:hAnsi="Times New Roman" w:cs="Times New Roman"/>
          <w:sz w:val="22"/>
          <w:szCs w:val="22"/>
        </w:rPr>
        <w:t>[</w:t>
      </w:r>
      <w:r w:rsidR="00BC2577">
        <w:rPr>
          <w:rFonts w:ascii="Times New Roman" w:hAnsi="Times New Roman" w:cs="Times New Roman"/>
          <w:sz w:val="22"/>
          <w:szCs w:val="22"/>
        </w:rPr>
        <w:t>14</w:t>
      </w:r>
      <w:r w:rsidR="00BC2577" w:rsidRPr="00B1388C">
        <w:rPr>
          <w:rFonts w:ascii="Times New Roman" w:hAnsi="Times New Roman" w:cs="Times New Roman"/>
          <w:sz w:val="22"/>
          <w:szCs w:val="22"/>
        </w:rPr>
        <w:t>].</w:t>
      </w:r>
    </w:p>
  </w:footnote>
  <w:footnote w:id="5">
    <w:p w:rsidR="00D502A1" w:rsidRPr="00B1388C" w:rsidRDefault="00D502A1">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BC2577">
        <w:rPr>
          <w:rFonts w:ascii="Times New Roman" w:hAnsi="Times New Roman" w:cs="Times New Roman"/>
          <w:sz w:val="22"/>
          <w:szCs w:val="22"/>
        </w:rPr>
        <w:t>Ibid [73].</w:t>
      </w:r>
    </w:p>
  </w:footnote>
  <w:footnote w:id="6">
    <w:p w:rsidR="00287D57" w:rsidRPr="00BC2577" w:rsidRDefault="00287D57">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hyperlink r:id="rId1" w:history="1"/>
      <w:r w:rsidR="00BC2577" w:rsidRPr="00BC2577">
        <w:rPr>
          <w:rStyle w:val="Hyperlink"/>
          <w:rFonts w:ascii="Times New Roman" w:hAnsi="Times New Roman" w:cs="Times New Roman"/>
          <w:color w:val="000000" w:themeColor="text1"/>
          <w:sz w:val="22"/>
          <w:szCs w:val="22"/>
          <w:u w:val="none"/>
        </w:rPr>
        <w:t xml:space="preserve"> Jed Meers</w:t>
      </w:r>
      <w:r w:rsidR="00BC2577">
        <w:rPr>
          <w:rStyle w:val="Hyperlink"/>
          <w:rFonts w:ascii="Times New Roman" w:hAnsi="Times New Roman" w:cs="Times New Roman"/>
          <w:color w:val="000000" w:themeColor="text1"/>
          <w:sz w:val="22"/>
          <w:szCs w:val="22"/>
          <w:u w:val="none"/>
        </w:rPr>
        <w:t>, ‘</w:t>
      </w:r>
      <w:proofErr w:type="gramStart"/>
      <w:r w:rsidR="00BC2577" w:rsidRPr="00BC2577">
        <w:rPr>
          <w:rStyle w:val="Hyperlink"/>
          <w:rFonts w:ascii="Times New Roman" w:hAnsi="Times New Roman" w:cs="Times New Roman"/>
          <w:color w:val="000000" w:themeColor="text1"/>
          <w:sz w:val="22"/>
          <w:szCs w:val="22"/>
          <w:u w:val="none"/>
        </w:rPr>
        <w:t>The</w:t>
      </w:r>
      <w:proofErr w:type="gramEnd"/>
      <w:r w:rsidR="00BC2577" w:rsidRPr="00BC2577">
        <w:rPr>
          <w:rStyle w:val="Hyperlink"/>
          <w:rFonts w:ascii="Times New Roman" w:hAnsi="Times New Roman" w:cs="Times New Roman"/>
          <w:color w:val="000000" w:themeColor="text1"/>
          <w:sz w:val="22"/>
          <w:szCs w:val="22"/>
          <w:u w:val="none"/>
        </w:rPr>
        <w:t xml:space="preserve"> bedroom tax in the Supreme Court: implications of the judgment</w:t>
      </w:r>
      <w:r w:rsidR="00BC2577">
        <w:rPr>
          <w:rStyle w:val="Hyperlink"/>
          <w:rFonts w:ascii="Times New Roman" w:hAnsi="Times New Roman" w:cs="Times New Roman"/>
          <w:color w:val="000000" w:themeColor="text1"/>
          <w:sz w:val="22"/>
          <w:szCs w:val="22"/>
          <w:u w:val="none"/>
        </w:rPr>
        <w:t xml:space="preserve">’ (2017) 25(2) </w:t>
      </w:r>
      <w:r w:rsidR="00BC2577" w:rsidRPr="00335301">
        <w:rPr>
          <w:rStyle w:val="Hyperlink"/>
          <w:rFonts w:ascii="Times New Roman" w:hAnsi="Times New Roman" w:cs="Times New Roman"/>
          <w:i/>
          <w:color w:val="000000" w:themeColor="text1"/>
          <w:sz w:val="22"/>
          <w:szCs w:val="22"/>
          <w:u w:val="none"/>
        </w:rPr>
        <w:t>Journal of Poverty and Social Justice</w:t>
      </w:r>
      <w:r w:rsidR="00BC2577">
        <w:rPr>
          <w:rStyle w:val="Hyperlink"/>
          <w:rFonts w:ascii="Times New Roman" w:hAnsi="Times New Roman" w:cs="Times New Roman"/>
          <w:color w:val="000000" w:themeColor="text1"/>
          <w:sz w:val="22"/>
          <w:szCs w:val="22"/>
          <w:u w:val="none"/>
        </w:rPr>
        <w:t xml:space="preserve"> 181.</w:t>
      </w:r>
    </w:p>
  </w:footnote>
  <w:footnote w:id="7">
    <w:p w:rsidR="00E93445" w:rsidRPr="00B1388C" w:rsidRDefault="00E93445">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3B60E5" w:rsidRPr="00B1388C">
        <w:rPr>
          <w:rFonts w:ascii="Times New Roman" w:hAnsi="Times New Roman" w:cs="Times New Roman"/>
          <w:i/>
          <w:sz w:val="22"/>
          <w:szCs w:val="22"/>
        </w:rPr>
        <w:t>A v UK</w:t>
      </w:r>
      <w:r w:rsidR="003B60E5">
        <w:rPr>
          <w:rFonts w:ascii="Times New Roman" w:hAnsi="Times New Roman" w:cs="Times New Roman"/>
          <w:sz w:val="22"/>
          <w:szCs w:val="22"/>
        </w:rPr>
        <w:t xml:space="preserve"> (n 1) </w:t>
      </w:r>
      <w:r w:rsidR="003B60E5" w:rsidRPr="00B1388C">
        <w:rPr>
          <w:rFonts w:ascii="Times New Roman" w:hAnsi="Times New Roman" w:cs="Times New Roman"/>
          <w:sz w:val="22"/>
          <w:szCs w:val="22"/>
        </w:rPr>
        <w:t>[9</w:t>
      </w:r>
      <w:r w:rsidR="003B60E5">
        <w:rPr>
          <w:rFonts w:ascii="Times New Roman" w:hAnsi="Times New Roman" w:cs="Times New Roman"/>
          <w:sz w:val="22"/>
          <w:szCs w:val="22"/>
        </w:rPr>
        <w:t>7</w:t>
      </w:r>
      <w:r w:rsidR="003B60E5" w:rsidRPr="00B1388C">
        <w:rPr>
          <w:rFonts w:ascii="Times New Roman" w:hAnsi="Times New Roman" w:cs="Times New Roman"/>
          <w:sz w:val="22"/>
          <w:szCs w:val="22"/>
        </w:rPr>
        <w:t>].</w:t>
      </w:r>
    </w:p>
  </w:footnote>
  <w:footnote w:id="8">
    <w:p w:rsidR="009E698A" w:rsidRDefault="009E698A">
      <w:pPr>
        <w:pStyle w:val="FootnoteText"/>
      </w:pPr>
      <w:r>
        <w:rPr>
          <w:rStyle w:val="FootnoteReference"/>
        </w:rPr>
        <w:footnoteRef/>
      </w:r>
      <w:r>
        <w:t xml:space="preserve"> </w:t>
      </w:r>
      <w:r>
        <w:rPr>
          <w:rFonts w:ascii="Times New Roman" w:hAnsi="Times New Roman" w:cs="Times New Roman"/>
          <w:sz w:val="22"/>
          <w:szCs w:val="22"/>
        </w:rPr>
        <w:t>Ibid [99</w:t>
      </w:r>
      <w:r>
        <w:rPr>
          <w:rFonts w:ascii="Times New Roman" w:hAnsi="Times New Roman" w:cs="Times New Roman"/>
          <w:sz w:val="22"/>
          <w:szCs w:val="22"/>
        </w:rPr>
        <w:t>].</w:t>
      </w:r>
    </w:p>
  </w:footnote>
  <w:footnote w:id="9">
    <w:p w:rsidR="008B4D54" w:rsidRPr="00B1388C" w:rsidRDefault="008B4D54">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3B60E5">
        <w:rPr>
          <w:rFonts w:ascii="Times New Roman" w:hAnsi="Times New Roman" w:cs="Times New Roman"/>
          <w:sz w:val="22"/>
          <w:szCs w:val="22"/>
        </w:rPr>
        <w:t>Ibid [100].</w:t>
      </w:r>
    </w:p>
  </w:footnote>
  <w:footnote w:id="10">
    <w:p w:rsidR="007F1C88" w:rsidRPr="00B1388C" w:rsidRDefault="007F1C88">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3B60E5">
        <w:rPr>
          <w:rFonts w:ascii="Times New Roman" w:hAnsi="Times New Roman" w:cs="Times New Roman"/>
          <w:sz w:val="22"/>
          <w:szCs w:val="22"/>
        </w:rPr>
        <w:t>Ibid [101</w:t>
      </w:r>
      <w:r w:rsidR="003B60E5">
        <w:rPr>
          <w:rFonts w:ascii="Times New Roman" w:hAnsi="Times New Roman" w:cs="Times New Roman"/>
          <w:sz w:val="22"/>
          <w:szCs w:val="22"/>
        </w:rPr>
        <w:t>].</w:t>
      </w:r>
    </w:p>
  </w:footnote>
  <w:footnote w:id="11">
    <w:p w:rsidR="00C75B15" w:rsidRPr="00B1388C" w:rsidRDefault="00C75B15">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Under s.149 Equality Act 2010.</w:t>
      </w:r>
    </w:p>
  </w:footnote>
  <w:footnote w:id="12">
    <w:p w:rsidR="00C75B15" w:rsidRPr="00B1388C" w:rsidRDefault="00C75B15">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F85595" w:rsidRPr="00B1388C">
        <w:rPr>
          <w:rFonts w:ascii="Times New Roman" w:hAnsi="Times New Roman" w:cs="Times New Roman"/>
          <w:i/>
          <w:sz w:val="22"/>
          <w:szCs w:val="22"/>
        </w:rPr>
        <w:t>A v UK</w:t>
      </w:r>
      <w:r w:rsidR="00F85595">
        <w:rPr>
          <w:rFonts w:ascii="Times New Roman" w:hAnsi="Times New Roman" w:cs="Times New Roman"/>
          <w:sz w:val="22"/>
          <w:szCs w:val="22"/>
        </w:rPr>
        <w:t xml:space="preserve"> (n 1) </w:t>
      </w:r>
      <w:r w:rsidR="00F85595" w:rsidRPr="00B1388C">
        <w:rPr>
          <w:rFonts w:ascii="Times New Roman" w:hAnsi="Times New Roman" w:cs="Times New Roman"/>
          <w:sz w:val="22"/>
          <w:szCs w:val="22"/>
        </w:rPr>
        <w:t>[</w:t>
      </w:r>
      <w:r w:rsidR="00F85595">
        <w:rPr>
          <w:rFonts w:ascii="Times New Roman" w:hAnsi="Times New Roman" w:cs="Times New Roman"/>
          <w:sz w:val="22"/>
          <w:szCs w:val="22"/>
        </w:rPr>
        <w:t>102</w:t>
      </w:r>
      <w:r w:rsidR="00F85595" w:rsidRPr="00B1388C">
        <w:rPr>
          <w:rFonts w:ascii="Times New Roman" w:hAnsi="Times New Roman" w:cs="Times New Roman"/>
          <w:sz w:val="22"/>
          <w:szCs w:val="22"/>
        </w:rPr>
        <w:t>].</w:t>
      </w:r>
    </w:p>
  </w:footnote>
  <w:footnote w:id="13">
    <w:p w:rsidR="00DF4AC5" w:rsidRPr="00B1388C" w:rsidRDefault="00DF4AC5">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w:t>
      </w:r>
      <w:r w:rsidR="00F85595">
        <w:rPr>
          <w:rFonts w:ascii="Times New Roman" w:hAnsi="Times New Roman" w:cs="Times New Roman"/>
          <w:sz w:val="22"/>
          <w:szCs w:val="22"/>
        </w:rPr>
        <w:t>Ibid [105].</w:t>
      </w:r>
    </w:p>
  </w:footnote>
  <w:footnote w:id="14">
    <w:p w:rsidR="005022DB" w:rsidRPr="00B1388C" w:rsidRDefault="005022DB" w:rsidP="005022DB">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[2019] UKSC 21</w:t>
      </w:r>
      <w:r w:rsidR="0018785C">
        <w:rPr>
          <w:rFonts w:ascii="Times New Roman" w:hAnsi="Times New Roman" w:cs="Times New Roman"/>
          <w:sz w:val="22"/>
          <w:szCs w:val="22"/>
        </w:rPr>
        <w:t>.</w:t>
      </w:r>
    </w:p>
  </w:footnote>
  <w:footnote w:id="15">
    <w:p w:rsidR="005022DB" w:rsidRPr="00B1388C" w:rsidRDefault="005022DB" w:rsidP="005022DB">
      <w:pPr>
        <w:pStyle w:val="FootnoteText"/>
        <w:jc w:val="both"/>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Ibid [59] (Lord Wilson).</w:t>
      </w:r>
    </w:p>
  </w:footnote>
  <w:footnote w:id="16">
    <w:p w:rsidR="005022DB" w:rsidRPr="00B1388C" w:rsidRDefault="005022DB" w:rsidP="005022DB">
      <w:pPr>
        <w:pStyle w:val="FootnoteText"/>
        <w:rPr>
          <w:rFonts w:ascii="Times New Roman" w:hAnsi="Times New Roman" w:cs="Times New Roman"/>
          <w:sz w:val="22"/>
          <w:szCs w:val="22"/>
        </w:rPr>
      </w:pPr>
      <w:r w:rsidRPr="00B1388C">
        <w:rPr>
          <w:rStyle w:val="FootnoteReference"/>
          <w:rFonts w:ascii="Times New Roman" w:hAnsi="Times New Roman" w:cs="Times New Roman"/>
          <w:sz w:val="22"/>
          <w:szCs w:val="22"/>
        </w:rPr>
        <w:footnoteRef/>
      </w:r>
      <w:r w:rsidRPr="00B1388C">
        <w:rPr>
          <w:rFonts w:ascii="Times New Roman" w:hAnsi="Times New Roman" w:cs="Times New Roman"/>
          <w:sz w:val="22"/>
          <w:szCs w:val="22"/>
        </w:rPr>
        <w:t xml:space="preserve"> Ibid [65].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27A78"/>
    <w:multiLevelType w:val="hybridMultilevel"/>
    <w:tmpl w:val="404C0FC4"/>
    <w:lvl w:ilvl="0" w:tplc="8C60C76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5F"/>
    <w:rsid w:val="000401AC"/>
    <w:rsid w:val="00063CAA"/>
    <w:rsid w:val="00071BD0"/>
    <w:rsid w:val="000B106F"/>
    <w:rsid w:val="000B2EFA"/>
    <w:rsid w:val="0010540A"/>
    <w:rsid w:val="00160752"/>
    <w:rsid w:val="00163881"/>
    <w:rsid w:val="001676A9"/>
    <w:rsid w:val="001864DB"/>
    <w:rsid w:val="0018785C"/>
    <w:rsid w:val="00194D1E"/>
    <w:rsid w:val="001954AC"/>
    <w:rsid w:val="001969C0"/>
    <w:rsid w:val="001B118D"/>
    <w:rsid w:val="001B7BB7"/>
    <w:rsid w:val="001D15BB"/>
    <w:rsid w:val="001E45A0"/>
    <w:rsid w:val="002161B1"/>
    <w:rsid w:val="00216C81"/>
    <w:rsid w:val="0022130C"/>
    <w:rsid w:val="0024106B"/>
    <w:rsid w:val="00254677"/>
    <w:rsid w:val="00287D57"/>
    <w:rsid w:val="00294C94"/>
    <w:rsid w:val="002950B9"/>
    <w:rsid w:val="002B18AB"/>
    <w:rsid w:val="002E717A"/>
    <w:rsid w:val="002F395F"/>
    <w:rsid w:val="00306F5D"/>
    <w:rsid w:val="00317027"/>
    <w:rsid w:val="00335301"/>
    <w:rsid w:val="003409B0"/>
    <w:rsid w:val="003B60E5"/>
    <w:rsid w:val="003B7B12"/>
    <w:rsid w:val="003E6015"/>
    <w:rsid w:val="00400CAA"/>
    <w:rsid w:val="00452DDF"/>
    <w:rsid w:val="00472176"/>
    <w:rsid w:val="004A7D05"/>
    <w:rsid w:val="004B4A60"/>
    <w:rsid w:val="005022DB"/>
    <w:rsid w:val="00575E26"/>
    <w:rsid w:val="005C5D22"/>
    <w:rsid w:val="0060631B"/>
    <w:rsid w:val="0062606C"/>
    <w:rsid w:val="00653DC3"/>
    <w:rsid w:val="006C427F"/>
    <w:rsid w:val="006C7469"/>
    <w:rsid w:val="006C755E"/>
    <w:rsid w:val="006E18F3"/>
    <w:rsid w:val="006E1E6F"/>
    <w:rsid w:val="00756076"/>
    <w:rsid w:val="00756815"/>
    <w:rsid w:val="007A3507"/>
    <w:rsid w:val="007B28CF"/>
    <w:rsid w:val="007B4A56"/>
    <w:rsid w:val="007D2377"/>
    <w:rsid w:val="007E3A6B"/>
    <w:rsid w:val="007F1C88"/>
    <w:rsid w:val="00831484"/>
    <w:rsid w:val="00865618"/>
    <w:rsid w:val="008910B4"/>
    <w:rsid w:val="008B4D54"/>
    <w:rsid w:val="00904810"/>
    <w:rsid w:val="00963C54"/>
    <w:rsid w:val="009E1AE1"/>
    <w:rsid w:val="009E698A"/>
    <w:rsid w:val="00A235CD"/>
    <w:rsid w:val="00A4738D"/>
    <w:rsid w:val="00A72EFD"/>
    <w:rsid w:val="00A964D6"/>
    <w:rsid w:val="00AA145C"/>
    <w:rsid w:val="00B072A8"/>
    <w:rsid w:val="00B1388C"/>
    <w:rsid w:val="00B34B3E"/>
    <w:rsid w:val="00B53368"/>
    <w:rsid w:val="00B77C21"/>
    <w:rsid w:val="00B97338"/>
    <w:rsid w:val="00BB243B"/>
    <w:rsid w:val="00BC2577"/>
    <w:rsid w:val="00C11166"/>
    <w:rsid w:val="00C24C18"/>
    <w:rsid w:val="00C377B6"/>
    <w:rsid w:val="00C50716"/>
    <w:rsid w:val="00C66FEA"/>
    <w:rsid w:val="00C75B15"/>
    <w:rsid w:val="00C8617F"/>
    <w:rsid w:val="00CA7F8B"/>
    <w:rsid w:val="00CB12D4"/>
    <w:rsid w:val="00CB4028"/>
    <w:rsid w:val="00CD0BB4"/>
    <w:rsid w:val="00CF7131"/>
    <w:rsid w:val="00D335F5"/>
    <w:rsid w:val="00D45D31"/>
    <w:rsid w:val="00D502A1"/>
    <w:rsid w:val="00DD3307"/>
    <w:rsid w:val="00DF4AC5"/>
    <w:rsid w:val="00E03E6D"/>
    <w:rsid w:val="00E25134"/>
    <w:rsid w:val="00E27D13"/>
    <w:rsid w:val="00E31F8F"/>
    <w:rsid w:val="00E334DA"/>
    <w:rsid w:val="00E83405"/>
    <w:rsid w:val="00E93445"/>
    <w:rsid w:val="00E97263"/>
    <w:rsid w:val="00EB2D09"/>
    <w:rsid w:val="00EC55DA"/>
    <w:rsid w:val="00EE6937"/>
    <w:rsid w:val="00EF778F"/>
    <w:rsid w:val="00F559AB"/>
    <w:rsid w:val="00F85595"/>
    <w:rsid w:val="00FC7C70"/>
    <w:rsid w:val="00FE7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791DF"/>
  <w15:chartTrackingRefBased/>
  <w15:docId w15:val="{8FC8625A-6C56-46DF-B459-4EB99E61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5CD"/>
    <w:pPr>
      <w:ind w:left="720"/>
      <w:contextualSpacing/>
    </w:pPr>
  </w:style>
  <w:style w:type="character" w:styleId="Hyperlink">
    <w:name w:val="Hyperlink"/>
    <w:basedOn w:val="DefaultParagraphFont"/>
    <w:uiPriority w:val="99"/>
    <w:unhideWhenUsed/>
    <w:rsid w:val="00A235CD"/>
    <w:rPr>
      <w:color w:val="0563C1" w:themeColor="hyperlink"/>
      <w:u w:val="single"/>
    </w:rPr>
  </w:style>
  <w:style w:type="paragraph" w:customStyle="1" w:styleId="scc3bcf28">
    <w:name w:val="scc3bcf28"/>
    <w:basedOn w:val="Normal"/>
    <w:rsid w:val="00C861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6b621b36">
    <w:name w:val="s6b621b36"/>
    <w:basedOn w:val="DefaultParagraphFont"/>
    <w:rsid w:val="00C8617F"/>
  </w:style>
  <w:style w:type="paragraph" w:customStyle="1" w:styleId="s30eec3f8">
    <w:name w:val="s30eec3f8"/>
    <w:basedOn w:val="Normal"/>
    <w:rsid w:val="00C861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b8d990e2">
    <w:name w:val="sb8d990e2"/>
    <w:basedOn w:val="DefaultParagraphFont"/>
    <w:rsid w:val="00C8617F"/>
  </w:style>
  <w:style w:type="character" w:customStyle="1" w:styleId="s7d2086b4">
    <w:name w:val="s7d2086b4"/>
    <w:basedOn w:val="DefaultParagraphFont"/>
    <w:rsid w:val="00C8617F"/>
  </w:style>
  <w:style w:type="character" w:styleId="FollowedHyperlink">
    <w:name w:val="FollowedHyperlink"/>
    <w:basedOn w:val="DefaultParagraphFont"/>
    <w:uiPriority w:val="99"/>
    <w:semiHidden/>
    <w:unhideWhenUsed/>
    <w:rsid w:val="00C11166"/>
    <w:rPr>
      <w:color w:val="954F72" w:themeColor="followedHyperlink"/>
      <w:u w:val="single"/>
    </w:rPr>
  </w:style>
  <w:style w:type="paragraph" w:styleId="FootnoteText">
    <w:name w:val="footnote text"/>
    <w:basedOn w:val="Normal"/>
    <w:link w:val="FootnoteTextChar"/>
    <w:uiPriority w:val="99"/>
    <w:semiHidden/>
    <w:unhideWhenUsed/>
    <w:rsid w:val="00B07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2A8"/>
    <w:rPr>
      <w:sz w:val="20"/>
      <w:szCs w:val="20"/>
    </w:rPr>
  </w:style>
  <w:style w:type="character" w:styleId="FootnoteReference">
    <w:name w:val="footnote reference"/>
    <w:basedOn w:val="DefaultParagraphFont"/>
    <w:uiPriority w:val="99"/>
    <w:semiHidden/>
    <w:unhideWhenUsed/>
    <w:rsid w:val="00B072A8"/>
    <w:rPr>
      <w:vertAlign w:val="superscript"/>
    </w:rPr>
  </w:style>
  <w:style w:type="paragraph" w:styleId="NormalWeb">
    <w:name w:val="Normal (Web)"/>
    <w:basedOn w:val="Normal"/>
    <w:uiPriority w:val="99"/>
    <w:semiHidden/>
    <w:unhideWhenUsed/>
    <w:rsid w:val="001878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7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1792">
      <w:bodyDiv w:val="1"/>
      <w:marLeft w:val="0"/>
      <w:marRight w:val="0"/>
      <w:marTop w:val="0"/>
      <w:marBottom w:val="0"/>
      <w:divBdr>
        <w:top w:val="none" w:sz="0" w:space="0" w:color="auto"/>
        <w:left w:val="none" w:sz="0" w:space="0" w:color="auto"/>
        <w:bottom w:val="none" w:sz="0" w:space="0" w:color="auto"/>
        <w:right w:val="none" w:sz="0" w:space="0" w:color="auto"/>
      </w:divBdr>
    </w:div>
    <w:div w:id="1532380754">
      <w:bodyDiv w:val="1"/>
      <w:marLeft w:val="0"/>
      <w:marRight w:val="0"/>
      <w:marTop w:val="0"/>
      <w:marBottom w:val="0"/>
      <w:divBdr>
        <w:top w:val="none" w:sz="0" w:space="0" w:color="auto"/>
        <w:left w:val="none" w:sz="0" w:space="0" w:color="auto"/>
        <w:bottom w:val="none" w:sz="0" w:space="0" w:color="auto"/>
        <w:right w:val="none" w:sz="0" w:space="0" w:color="auto"/>
      </w:divBdr>
    </w:div>
    <w:div w:id="153750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gentaconnect.com/content/tpp/jpsj/2017/00000025/00000002/art00007;jsessionid=4mnb6fvud8rb5.x-ic-live-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F32B-B21E-46F2-AE65-42FDAF79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5</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210</cp:revision>
  <dcterms:created xsi:type="dcterms:W3CDTF">2019-11-14T14:54:00Z</dcterms:created>
  <dcterms:modified xsi:type="dcterms:W3CDTF">2019-11-19T09:44:00Z</dcterms:modified>
</cp:coreProperties>
</file>