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407D02" w14:textId="0014CEF9" w:rsidR="00A705F5" w:rsidRPr="00B4301D" w:rsidRDefault="00CE74C2" w:rsidP="00CE74C2">
      <w:pPr>
        <w:spacing w:line="360" w:lineRule="auto"/>
        <w:rPr>
          <w:b/>
          <w:sz w:val="32"/>
          <w:szCs w:val="32"/>
        </w:rPr>
      </w:pPr>
      <w:r w:rsidRPr="00B4301D">
        <w:rPr>
          <w:b/>
          <w:sz w:val="32"/>
          <w:szCs w:val="32"/>
        </w:rPr>
        <w:t xml:space="preserve">Expressivity of Creativity </w:t>
      </w:r>
      <w:r w:rsidR="0020493C" w:rsidRPr="00B4301D">
        <w:rPr>
          <w:b/>
          <w:sz w:val="32"/>
          <w:szCs w:val="32"/>
        </w:rPr>
        <w:t>a</w:t>
      </w:r>
      <w:r w:rsidRPr="00B4301D">
        <w:rPr>
          <w:b/>
          <w:sz w:val="32"/>
          <w:szCs w:val="32"/>
        </w:rPr>
        <w:t xml:space="preserve">nd Creative Design </w:t>
      </w:r>
      <w:r w:rsidR="003D3F6D" w:rsidRPr="00B4301D">
        <w:rPr>
          <w:b/>
          <w:sz w:val="32"/>
          <w:szCs w:val="32"/>
        </w:rPr>
        <w:t>Considerations</w:t>
      </w:r>
      <w:r w:rsidRPr="00B4301D">
        <w:rPr>
          <w:b/>
          <w:sz w:val="32"/>
          <w:szCs w:val="32"/>
        </w:rPr>
        <w:t xml:space="preserve"> </w:t>
      </w:r>
      <w:r w:rsidR="0020493C" w:rsidRPr="00B4301D">
        <w:rPr>
          <w:b/>
          <w:sz w:val="32"/>
          <w:szCs w:val="32"/>
        </w:rPr>
        <w:t>i</w:t>
      </w:r>
      <w:r w:rsidRPr="00B4301D">
        <w:rPr>
          <w:b/>
          <w:sz w:val="32"/>
          <w:szCs w:val="32"/>
        </w:rPr>
        <w:t xml:space="preserve">n </w:t>
      </w:r>
      <w:r w:rsidR="003B4958" w:rsidRPr="00B4301D">
        <w:rPr>
          <w:b/>
          <w:sz w:val="32"/>
          <w:szCs w:val="32"/>
        </w:rPr>
        <w:t>Digital Games</w:t>
      </w:r>
    </w:p>
    <w:p w14:paraId="15906788" w14:textId="2C206BCA" w:rsidR="00CE74C2" w:rsidRPr="00B4301D" w:rsidRDefault="00CE74C2" w:rsidP="00CE74C2">
      <w:pPr>
        <w:spacing w:line="360" w:lineRule="auto"/>
      </w:pPr>
      <w:r w:rsidRPr="00B4301D">
        <w:rPr>
          <w:b/>
        </w:rPr>
        <w:t xml:space="preserve">Keywords: </w:t>
      </w:r>
      <w:r w:rsidR="00D741FA" w:rsidRPr="00B4301D">
        <w:t>creativity; qualitative; thematic analysis; digital games; video games; human computer interaction</w:t>
      </w:r>
    </w:p>
    <w:p w14:paraId="3FBE4A65" w14:textId="2E43799F" w:rsidR="004A1787" w:rsidRPr="00B4301D" w:rsidRDefault="00CE74C2" w:rsidP="00D52861">
      <w:pPr>
        <w:pStyle w:val="Heading1"/>
        <w:spacing w:line="360" w:lineRule="auto"/>
        <w:rPr>
          <w:color w:val="auto"/>
        </w:rPr>
      </w:pPr>
      <w:r w:rsidRPr="00B4301D">
        <w:rPr>
          <w:color w:val="auto"/>
        </w:rPr>
        <w:t>Abstract</w:t>
      </w:r>
    </w:p>
    <w:p w14:paraId="34D65BD9" w14:textId="6D47C5BB" w:rsidR="0054042B" w:rsidRPr="00B4301D" w:rsidRDefault="0054042B" w:rsidP="00CE74C2">
      <w:pPr>
        <w:spacing w:line="360" w:lineRule="auto"/>
      </w:pPr>
      <w:bookmarkStart w:id="0" w:name="_Hlk528749111"/>
      <w:r w:rsidRPr="00B4301D">
        <w:t xml:space="preserve">Currently </w:t>
      </w:r>
      <w:r w:rsidR="00FB026E" w:rsidRPr="00B4301D">
        <w:t>little is known about</w:t>
      </w:r>
      <w:r w:rsidR="001A7D38" w:rsidRPr="00B4301D">
        <w:t xml:space="preserve"> how creativity is </w:t>
      </w:r>
      <w:r w:rsidR="00FB026E" w:rsidRPr="00B4301D">
        <w:t xml:space="preserve">expressed in </w:t>
      </w:r>
      <w:r w:rsidR="00D2246B" w:rsidRPr="00B4301D">
        <w:t>digital entertainment games</w:t>
      </w:r>
      <w:r w:rsidR="002B1147" w:rsidRPr="00B4301D">
        <w:t xml:space="preserve"> or </w:t>
      </w:r>
      <w:r w:rsidR="00FB026E" w:rsidRPr="00B4301D">
        <w:t xml:space="preserve">what specific design elements may </w:t>
      </w:r>
      <w:r w:rsidR="00437051" w:rsidRPr="00B4301D">
        <w:t>foster</w:t>
      </w:r>
      <w:r w:rsidR="00FB026E" w:rsidRPr="00B4301D">
        <w:t xml:space="preserve"> </w:t>
      </w:r>
      <w:r w:rsidR="00437051" w:rsidRPr="00B4301D">
        <w:t>it</w:t>
      </w:r>
      <w:r w:rsidRPr="00B4301D">
        <w:t xml:space="preserve">. Using a qualitative methodology, this </w:t>
      </w:r>
      <w:r w:rsidR="00B32AD1" w:rsidRPr="00B4301D">
        <w:t>article</w:t>
      </w:r>
      <w:r w:rsidRPr="00B4301D">
        <w:t xml:space="preserve"> reports on the findings of 24 semi-structured interviews and 14 narrative surveys with regular players </w:t>
      </w:r>
      <w:r w:rsidR="00E56A27" w:rsidRPr="00B4301D">
        <w:t xml:space="preserve">of </w:t>
      </w:r>
      <w:r w:rsidR="00437051" w:rsidRPr="00B4301D">
        <w:t xml:space="preserve">different types </w:t>
      </w:r>
      <w:r w:rsidRPr="00B4301D">
        <w:t xml:space="preserve">of </w:t>
      </w:r>
      <w:r w:rsidR="00681EDC" w:rsidRPr="00B4301D">
        <w:t>digital games</w:t>
      </w:r>
      <w:r w:rsidRPr="00B4301D">
        <w:t>. Using a</w:t>
      </w:r>
      <w:r w:rsidR="003D3F6D" w:rsidRPr="00B4301D">
        <w:t xml:space="preserve"> hybrid</w:t>
      </w:r>
      <w:r w:rsidRPr="00B4301D">
        <w:t xml:space="preserve"> thematic approach </w:t>
      </w:r>
      <w:r w:rsidR="00D63C11" w:rsidRPr="00B4301D">
        <w:t>to</w:t>
      </w:r>
      <w:r w:rsidRPr="00B4301D">
        <w:t xml:space="preserve"> analysis</w:t>
      </w:r>
      <w:r w:rsidR="00825DA2" w:rsidRPr="00B4301D">
        <w:t xml:space="preserve"> involving both deductive and inductive phases</w:t>
      </w:r>
      <w:r w:rsidR="00D63C11" w:rsidRPr="00B4301D">
        <w:t>,</w:t>
      </w:r>
      <w:r w:rsidRPr="00B4301D">
        <w:t xml:space="preserve"> three main categories relating to the expressivity of creativity were discovered</w:t>
      </w:r>
      <w:r w:rsidR="00FB026E" w:rsidRPr="00B4301D">
        <w:t xml:space="preserve"> and one category relating to the specific game design </w:t>
      </w:r>
      <w:r w:rsidR="003D3F6D" w:rsidRPr="00B4301D">
        <w:t>considerations</w:t>
      </w:r>
      <w:r w:rsidR="00FB026E" w:rsidRPr="00B4301D">
        <w:t xml:space="preserve"> which give rise to such creative opportunities</w:t>
      </w:r>
      <w:r w:rsidRPr="00B4301D">
        <w:t xml:space="preserve">. </w:t>
      </w:r>
      <w:r w:rsidR="00A577CF" w:rsidRPr="00B4301D">
        <w:t>Creativity was found to be expressed in terms of creative problem-solving involving the creation of novel strategies, solutions and approaches to problems</w:t>
      </w:r>
      <w:r w:rsidR="00FC5A54" w:rsidRPr="00B4301D">
        <w:t>;</w:t>
      </w:r>
      <w:r w:rsidR="00A577CF" w:rsidRPr="00B4301D">
        <w:t xml:space="preserve"> in terms of appropriation involving emergent play practices and how gameplay was adapted for alternative goals</w:t>
      </w:r>
      <w:r w:rsidR="00FC5A54" w:rsidRPr="00B4301D">
        <w:t>;</w:t>
      </w:r>
      <w:r w:rsidR="00A577CF" w:rsidRPr="00B4301D">
        <w:t xml:space="preserve"> and finally, in terms of affective change involving the personally meaningful insights and changes in attitudes/perceptions which games elicited.</w:t>
      </w:r>
      <w:r w:rsidR="007230F8" w:rsidRPr="00B4301D">
        <w:t xml:space="preserve"> </w:t>
      </w:r>
      <w:r w:rsidR="00FC5A54" w:rsidRPr="00B4301D">
        <w:t>D</w:t>
      </w:r>
      <w:r w:rsidR="00A577CF" w:rsidRPr="00B4301D">
        <w:t>esign considerations were</w:t>
      </w:r>
      <w:r w:rsidR="00FC5A54" w:rsidRPr="00B4301D">
        <w:t xml:space="preserve"> also</w:t>
      </w:r>
      <w:r w:rsidR="00A577CF" w:rsidRPr="00B4301D">
        <w:t xml:space="preserve"> identified relating to</w:t>
      </w:r>
      <w:r w:rsidR="00FC5A54" w:rsidRPr="00B4301D">
        <w:t>:</w:t>
      </w:r>
      <w:r w:rsidR="00A577CF" w:rsidRPr="00B4301D">
        <w:t xml:space="preserve"> freedom of play, environment</w:t>
      </w:r>
      <w:r w:rsidR="00C855C9" w:rsidRPr="00B4301D">
        <w:t xml:space="preserve">, </w:t>
      </w:r>
      <w:proofErr w:type="spellStart"/>
      <w:r w:rsidR="00C855C9" w:rsidRPr="00B4301D">
        <w:t>replayability</w:t>
      </w:r>
      <w:proofErr w:type="spellEnd"/>
      <w:r w:rsidR="00C855C9" w:rsidRPr="00B4301D">
        <w:t xml:space="preserve">, tools, avatar design and content creation. </w:t>
      </w:r>
      <w:r w:rsidR="001769DB" w:rsidRPr="00B4301D">
        <w:t>By</w:t>
      </w:r>
      <w:r w:rsidR="00F66125" w:rsidRPr="00B4301D">
        <w:t xml:space="preserve"> shed</w:t>
      </w:r>
      <w:r w:rsidR="001769DB" w:rsidRPr="00B4301D">
        <w:t>ding</w:t>
      </w:r>
      <w:r w:rsidR="00F66125" w:rsidRPr="00B4301D">
        <w:t xml:space="preserve"> light on</w:t>
      </w:r>
      <w:r w:rsidR="00F7588E" w:rsidRPr="00B4301D">
        <w:t xml:space="preserve"> the</w:t>
      </w:r>
      <w:r w:rsidR="00F66125" w:rsidRPr="00B4301D">
        <w:t xml:space="preserve"> grey area of creativity in </w:t>
      </w:r>
      <w:r w:rsidR="00681EDC" w:rsidRPr="00B4301D">
        <w:t>digital games</w:t>
      </w:r>
      <w:r w:rsidR="00F66125" w:rsidRPr="00B4301D">
        <w:t xml:space="preserve"> and illuminat</w:t>
      </w:r>
      <w:r w:rsidR="001769DB" w:rsidRPr="00B4301D">
        <w:t>ing</w:t>
      </w:r>
      <w:r w:rsidR="00F66125" w:rsidRPr="00B4301D">
        <w:t xml:space="preserve"> </w:t>
      </w:r>
      <w:r w:rsidR="001769DB" w:rsidRPr="00B4301D">
        <w:t>how</w:t>
      </w:r>
      <w:r w:rsidR="00F66125" w:rsidRPr="00B4301D">
        <w:t xml:space="preserve"> </w:t>
      </w:r>
      <w:r w:rsidR="00E205AD" w:rsidRPr="00B4301D">
        <w:t>games</w:t>
      </w:r>
      <w:r w:rsidR="00F66125" w:rsidRPr="00B4301D">
        <w:t xml:space="preserve"> may support and promote creativity in </w:t>
      </w:r>
      <w:r w:rsidR="001769DB" w:rsidRPr="00B4301D">
        <w:t>players,</w:t>
      </w:r>
      <w:r w:rsidR="00D83898" w:rsidRPr="00B4301D">
        <w:t xml:space="preserve"> </w:t>
      </w:r>
      <w:r w:rsidR="002B1147" w:rsidRPr="00B4301D">
        <w:t xml:space="preserve">this article </w:t>
      </w:r>
      <w:r w:rsidR="00D83898" w:rsidRPr="00B4301D">
        <w:t>provide</w:t>
      </w:r>
      <w:r w:rsidR="00FC5A54" w:rsidRPr="00B4301D">
        <w:t>s</w:t>
      </w:r>
      <w:r w:rsidR="00D83898" w:rsidRPr="00B4301D">
        <w:t xml:space="preserve"> a basis for future </w:t>
      </w:r>
      <w:r w:rsidR="00FC5A54" w:rsidRPr="00B4301D">
        <w:t xml:space="preserve">research </w:t>
      </w:r>
      <w:r w:rsidR="00D83898" w:rsidRPr="00B4301D">
        <w:t xml:space="preserve">and </w:t>
      </w:r>
      <w:r w:rsidR="00FC5A54" w:rsidRPr="00B4301D">
        <w:t xml:space="preserve">can help </w:t>
      </w:r>
      <w:r w:rsidR="00D83898" w:rsidRPr="00B4301D">
        <w:t xml:space="preserve">inform game design practices in both digital entertainment games and games </w:t>
      </w:r>
      <w:r w:rsidR="003D3F6D" w:rsidRPr="00B4301D">
        <w:t>specifically designed to facilitate creativity</w:t>
      </w:r>
      <w:r w:rsidR="00D83898" w:rsidRPr="00B4301D">
        <w:t>.</w:t>
      </w:r>
    </w:p>
    <w:bookmarkEnd w:id="0"/>
    <w:p w14:paraId="4CF987FD" w14:textId="77777777" w:rsidR="00B21430" w:rsidRPr="00B4301D" w:rsidRDefault="00B21430" w:rsidP="00D52861">
      <w:pPr>
        <w:pStyle w:val="Heading1"/>
        <w:spacing w:line="360" w:lineRule="auto"/>
        <w:rPr>
          <w:color w:val="auto"/>
        </w:rPr>
      </w:pPr>
    </w:p>
    <w:p w14:paraId="1FC536BC" w14:textId="7E242DAF" w:rsidR="00E86E75" w:rsidRPr="006A4F78" w:rsidRDefault="003B4958" w:rsidP="00D52861">
      <w:pPr>
        <w:pStyle w:val="Heading1"/>
        <w:spacing w:line="360" w:lineRule="auto"/>
        <w:rPr>
          <w:color w:val="000000" w:themeColor="text1"/>
        </w:rPr>
      </w:pPr>
      <w:r w:rsidRPr="006A4F78">
        <w:rPr>
          <w:color w:val="000000" w:themeColor="text1"/>
        </w:rPr>
        <w:t xml:space="preserve">1. </w:t>
      </w:r>
      <w:r w:rsidR="00E067B9" w:rsidRPr="006A4F78">
        <w:rPr>
          <w:color w:val="000000" w:themeColor="text1"/>
        </w:rPr>
        <w:t>Introduction</w:t>
      </w:r>
    </w:p>
    <w:p w14:paraId="3B4E35A0" w14:textId="4576C773" w:rsidR="00171F32" w:rsidRPr="006A4F78" w:rsidRDefault="00C855C9" w:rsidP="00171F32">
      <w:pPr>
        <w:spacing w:line="360" w:lineRule="auto"/>
        <w:ind w:firstLine="720"/>
        <w:rPr>
          <w:color w:val="000000" w:themeColor="text1"/>
        </w:rPr>
      </w:pPr>
      <w:r w:rsidRPr="006A4F78">
        <w:rPr>
          <w:color w:val="000000" w:themeColor="text1"/>
        </w:rPr>
        <w:t>This paper explore</w:t>
      </w:r>
      <w:r w:rsidR="00FC5A54" w:rsidRPr="006A4F78">
        <w:rPr>
          <w:color w:val="000000" w:themeColor="text1"/>
        </w:rPr>
        <w:t>s</w:t>
      </w:r>
      <w:r w:rsidRPr="006A4F78">
        <w:rPr>
          <w:color w:val="000000" w:themeColor="text1"/>
        </w:rPr>
        <w:t xml:space="preserve"> how creativity is expressed within digital games and what design considerations may enable different forms of creative expression.</w:t>
      </w:r>
      <w:r w:rsidR="00AC2696" w:rsidRPr="006A4F78">
        <w:rPr>
          <w:color w:val="000000" w:themeColor="text1"/>
        </w:rPr>
        <w:t xml:space="preserve"> </w:t>
      </w:r>
      <w:r w:rsidR="00171F32" w:rsidRPr="006A4F78">
        <w:rPr>
          <w:color w:val="000000" w:themeColor="text1"/>
        </w:rPr>
        <w:t xml:space="preserve">It has been argued that “rather than quantifying creativity as a trait, process or outcome, creativity should be considered the assimilation of these factors and the integration of thoughts, ideas, and actions into new directions, solutions and viewpoints” </w:t>
      </w:r>
      <w:r w:rsidR="00171F32" w:rsidRPr="006A4F78">
        <w:rPr>
          <w:color w:val="000000" w:themeColor="text1"/>
        </w:rPr>
        <w:fldChar w:fldCharType="begin" w:fldLock="1"/>
      </w:r>
      <w:r w:rsidR="00482091" w:rsidRPr="006A4F78">
        <w:rPr>
          <w:color w:val="000000" w:themeColor="text1"/>
        </w:rPr>
        <w:instrText>ADDIN CSL_CITATION {"citationItems":[{"id":"ITEM-1","itemData":{"DOI":"10.1016/B978-0-12-801462-2.00002-3","ISBN":"9780128014622","abstract":"The impact of video games on society has been debated for decades. In this chapter, we examine the potential impact of video games, both violent and nonviolent, on players' creativity. We examine video games as a play activity that can foster creativity. We examine how the unique environment of video games makes them particularly well suited for fostering creativity and how examining darker material can create a safe space for examining the darker side of life creatively.","author":[{"dropping-particle":"","family":"Bowman","given":"Nicholas D.","non-dropping-particle":"","parse-names":false,"suffix":""},{"dropping-particle":"","family":"Kowert","given":"Rachel","non-dropping-particle":"","parse-names":false,"suffix":""},{"dropping-particle":"","family":"Ferguson","given":"Christopher J.","non-dropping-particle":"","parse-names":false,"suffix":""}],"container-title":"Video Games and Creativity","id":"ITEM-1","issue":"March 2018","issued":{"date-parts":[["2015"]]},"page":"39-60","title":"The Impact of Video Game Play on Human (and Orc) Creativity","type":"article-journal"},"locator":"42","uris":["http://www.mendeley.com/documents/?uuid=a856f71b-6345-49c5-8141-436e6e4a4c70"]}],"mendeley":{"formattedCitation":"(Bowman, Kowert, &amp; Ferguson, 2015, p. 42)","manualFormatting":"(Bowman et al., 2015, p. 42)","plainTextFormattedCitation":"(Bowman, Kowert, &amp; Ferguson, 2015, p. 42)","previouslyFormattedCitation":"(Bowman, Kowert, &amp; Ferguson, 2015, p. 42)"},"properties":{"noteIndex":0},"schema":"https://github.com/citation-style-language/schema/raw/master/csl-citation.json"}</w:instrText>
      </w:r>
      <w:r w:rsidR="00171F32" w:rsidRPr="006A4F78">
        <w:rPr>
          <w:color w:val="000000" w:themeColor="text1"/>
        </w:rPr>
        <w:fldChar w:fldCharType="separate"/>
      </w:r>
      <w:r w:rsidR="00171F32" w:rsidRPr="006A4F78">
        <w:rPr>
          <w:noProof/>
          <w:color w:val="000000" w:themeColor="text1"/>
        </w:rPr>
        <w:t>(Bowman</w:t>
      </w:r>
      <w:r w:rsidR="00482091" w:rsidRPr="006A4F78">
        <w:rPr>
          <w:noProof/>
          <w:color w:val="000000" w:themeColor="text1"/>
        </w:rPr>
        <w:t xml:space="preserve"> et al.</w:t>
      </w:r>
      <w:r w:rsidR="00171F32" w:rsidRPr="006A4F78">
        <w:rPr>
          <w:noProof/>
          <w:color w:val="000000" w:themeColor="text1"/>
        </w:rPr>
        <w:t>, 2015, p. 42)</w:t>
      </w:r>
      <w:r w:rsidR="00171F32" w:rsidRPr="006A4F78">
        <w:rPr>
          <w:color w:val="000000" w:themeColor="text1"/>
        </w:rPr>
        <w:fldChar w:fldCharType="end"/>
      </w:r>
      <w:r w:rsidR="00171F32" w:rsidRPr="006A4F78">
        <w:rPr>
          <w:color w:val="000000" w:themeColor="text1"/>
        </w:rPr>
        <w:t>.</w:t>
      </w:r>
    </w:p>
    <w:p w14:paraId="61108EC7" w14:textId="1EA50219" w:rsidR="00C855C9" w:rsidRPr="00B4301D" w:rsidRDefault="00C855C9" w:rsidP="00795A13">
      <w:pPr>
        <w:spacing w:line="360" w:lineRule="auto"/>
      </w:pPr>
    </w:p>
    <w:p w14:paraId="67777D02" w14:textId="18298514" w:rsidR="00E83E94" w:rsidRPr="00B4301D" w:rsidRDefault="00B21430" w:rsidP="00C855C9">
      <w:pPr>
        <w:spacing w:line="360" w:lineRule="auto"/>
        <w:ind w:firstLine="720"/>
      </w:pPr>
      <w:r w:rsidRPr="00B4301D">
        <w:lastRenderedPageBreak/>
        <w:t>A number of benefits have been argued to be associated with creativity. For example, the use of creativity to solve everyday problems has been suggested to contribute to positive psychological health</w:t>
      </w:r>
      <w:r w:rsidR="005012B5" w:rsidRPr="00B4301D">
        <w:t xml:space="preserve"> and well-being</w:t>
      </w:r>
      <w:r w:rsidRPr="00B4301D">
        <w:t xml:space="preserve"> </w:t>
      </w:r>
      <w:r w:rsidRPr="00B4301D">
        <w:fldChar w:fldCharType="begin" w:fldLock="1"/>
      </w:r>
      <w:r w:rsidR="00CA421C" w:rsidRPr="00B4301D">
        <w:instrText>ADDIN CSL_CITATION {"citationItems":[{"id":"ITEM-1","itemData":{"DOI":"10.1037/11595-001","ISBN":"9780979212574\\r097921257X","PMID":"14683369","abstract":"If most people know intuitively what their everyday creativity is, then why does our creativity not get more attention? Are we just so accustomed to it that our everyday creativity provides a backdrop whose presence is assumed and then quickly forgotten? This chapter suggests there is even more to it. Our everyday creativity may often be overlooked-either consciously or unconsciously, for a purpose. In this chapter, we look first at some background on the nature of everyday creativity, including reasons why some of its health benefits may not be well known. Next we consider obstacles which can get in the way of our creative impulses and expression, including both conscious and unconscious factors within ourselves and out in the world, individually and together. Here, the discussion includes one unconventional example of creative discovery, intended to challenge one's open-mindedness, while raising experientially the issue of these outside obstacles to innovation. Next, the chapter considers the benefits of everyday creativity that we may forfeit if we are too readily deterred, including advantages for our physical and psychological health, our well-being, and the ability to appreciate the creativity of others.","author":[{"dropping-particle":"","family":"Richards","given":"Ruth","non-dropping-particle":"","parse-names":false,"suffix":""}],"container-title":"Everyday creativity and new views of human nature: Psychological, social, and spiritual perspectives.","id":"ITEM-1","issued":{"date-parts":[["2007"]]},"page":"25-54","title":"Everyday Creativity: Our Hidden Potential","type":"article-journal"},"uris":["http://www.mendeley.com/documents/?uuid=e73a7318-3a76-4c61-b71a-95eafc02e8f3"]}],"mendeley":{"formattedCitation":"(Richards, 2007)","plainTextFormattedCitation":"(Richards, 2007)","previouslyFormattedCitation":"(Richards, 2007)"},"properties":{"noteIndex":0},"schema":"https://github.com/citation-style-language/schema/raw/master/csl-citation.json"}</w:instrText>
      </w:r>
      <w:r w:rsidRPr="00B4301D">
        <w:fldChar w:fldCharType="separate"/>
      </w:r>
      <w:r w:rsidRPr="00B4301D">
        <w:rPr>
          <w:noProof/>
        </w:rPr>
        <w:t>(Richards, 2007)</w:t>
      </w:r>
      <w:r w:rsidRPr="00B4301D">
        <w:fldChar w:fldCharType="end"/>
      </w:r>
      <w:r w:rsidRPr="00B4301D">
        <w:t xml:space="preserve">, and </w:t>
      </w:r>
      <w:r w:rsidR="00E83E94" w:rsidRPr="00B4301D">
        <w:t xml:space="preserve">that those who are engage in creative activities are more likely to be happy and active </w:t>
      </w:r>
      <w:r w:rsidR="004D0C16" w:rsidRPr="00B4301D">
        <w:fldChar w:fldCharType="begin" w:fldLock="1"/>
      </w:r>
      <w:r w:rsidR="005B798B" w:rsidRPr="00B4301D">
        <w:instrText>ADDIN CSL_CITATION {"citationItems":[{"id":"ITEM-1","itemData":{"DOI":"10.1037/a0035722","ISBN":"1931-3896\\n1931-390X","ISSN":"1931390X","abstract":"Richards proposed that everyday creativity—creative actions that are common among ordinary people in daily life, such as drawing, making recipes, writing, and any activity done with the purpose of being creative—both fosters and reflects psychological health. To explore when people are more likely to do something creative during the day, and to see who tends to act more creatively, we conducted a week-long experience-sampling study with a sample of young adults. Throughout the day, people’s actions and feelings were randomly sampled, with an emphasis on whether people were doing something creative. Consistent with the notion of everyday creativity as a psychological strength, within-person models showed that people who reported feeling happy and active were more likely to be doing something creative at the time. Between-person models found that openness to experience and conscientiousness had large effects on whether people spent their time on creative pursuits. Neither negative states (e.g., momentary feelings of anger, stress, and self-consciousness) nor traits (e.g., neuroticism) significantly predicted creative activity. The findings support Richards’s theorizing about everyday creative behavior as a cause and effect of positive psychological processes, and they illustrate the value of experience sampling for uncovering what creativity looks like in people’s idiosyncratic environments. (PsycINFO Database Record (c) 2014 APA, all rights reserved). (journal abstract) TS  - RIS","author":[{"dropping-particle":"","family":"Silvia","given":"Paul J.","non-dropping-particle":"","parse-names":false,"suffix":""},{"dropping-particle":"","family":"Beaty","given":"Roger E.","non-dropping-particle":"","parse-names":false,"suffix":""},{"dropping-particle":"","family":"Nusbaum","given":"Emily C.","non-dropping-particle":"","parse-names":false,"suffix":""},{"dropping-particle":"","family":"Eddington","given":"Kari M.","non-dropping-particle":"","parse-names":false,"suffix":""},{"dropping-particle":"","family":"Levin-Aspenson","given":"Holly","non-dropping-particle":"","parse-names":false,"suffix":""},{"dropping-particle":"","family":"Kwapil","given":"Thomas R.","non-dropping-particle":"","parse-names":false,"suffix":""}],"container-title":"Psychology of Aesthetics, Creativity, and the Arts","id":"ITEM-1","issue":"2","issued":{"date-parts":[["2014"]]},"page":"183-188","title":"Everyday creativity in daily life: An experience-sampling study of \"little c\" creativity","type":"article-journal","volume":"8"},"uris":["http://www.mendeley.com/documents/?uuid=88256ff9-31b1-3240-acba-1ce3e36ccb4a"]}],"mendeley":{"formattedCitation":"(Silvia et al., 2014)","plainTextFormattedCitation":"(Silvia et al., 2014)","previouslyFormattedCitation":"(Silvia et al., 2014)"},"properties":{"noteIndex":0},"schema":"https://github.com/citation-style-language/schema/raw/master/csl-citation.json"}</w:instrText>
      </w:r>
      <w:r w:rsidR="004D0C16" w:rsidRPr="00B4301D">
        <w:fldChar w:fldCharType="separate"/>
      </w:r>
      <w:r w:rsidR="004D0C16" w:rsidRPr="00B4301D">
        <w:rPr>
          <w:noProof/>
        </w:rPr>
        <w:t>(Silvia et al., 2014)</w:t>
      </w:r>
      <w:r w:rsidR="004D0C16" w:rsidRPr="00B4301D">
        <w:fldChar w:fldCharType="end"/>
      </w:r>
      <w:r w:rsidR="004D0C16" w:rsidRPr="00B4301D">
        <w:t>.</w:t>
      </w:r>
      <w:r w:rsidR="00E83E94" w:rsidRPr="00B4301D">
        <w:t xml:space="preserve"> </w:t>
      </w:r>
      <w:r w:rsidR="005012B5" w:rsidRPr="00B4301D">
        <w:t xml:space="preserve">According to </w:t>
      </w:r>
      <w:proofErr w:type="spellStart"/>
      <w:r w:rsidR="005012B5" w:rsidRPr="00B4301D">
        <w:t>Foregeard</w:t>
      </w:r>
      <w:proofErr w:type="spellEnd"/>
      <w:r w:rsidR="005012B5" w:rsidRPr="00B4301D">
        <w:t xml:space="preserve"> and </w:t>
      </w:r>
      <w:proofErr w:type="spellStart"/>
      <w:r w:rsidR="005012B5" w:rsidRPr="00B4301D">
        <w:t>Elstein</w:t>
      </w:r>
      <w:proofErr w:type="spellEnd"/>
      <w:r w:rsidR="005012B5" w:rsidRPr="00B4301D">
        <w:t xml:space="preserve"> </w:t>
      </w:r>
      <w:r w:rsidR="005012B5" w:rsidRPr="00B4301D">
        <w:fldChar w:fldCharType="begin" w:fldLock="1"/>
      </w:r>
      <w:r w:rsidR="006F78AE" w:rsidRPr="00B4301D">
        <w:instrText>ADDIN CSL_CITATION {"citationItems":[{"id":"ITEM-1","itemData":{"DOI":"10.3389/fpsyg.2014.00613","ISSN":"16641078","abstract":"The article discusses the therapeutic benefits of creativity associated with the psychopathology. Topics discussed include disorders beneficial for the creative cognition, openness of hypomania in the bipolar disorder and rumination that is happens in depression. Also discussed is that the overlapping of symptoms and at a high rate of comorbidity between the psychological disorders and research in future can investigate the effects of creative work on well-being in fields other than art.","author":[{"dropping-particle":"","family":"Forgeard","given":"Marie J.C.","non-dropping-particle":"","parse-names":false,"suffix":""},{"dropping-particle":"","family":"Elstein","given":"Jeanette G.","non-dropping-particle":"","parse-names":false,"suffix":""}],"container-title":"Frontiers in Psychology","id":"ITEM-1","issue":"JUN","issued":{"date-parts":[["2014"]]},"page":"1-4","title":"Advancing the clinical science of creativity","type":"article-journal","volume":"5"},"suppress-author":1,"uris":["http://www.mendeley.com/documents/?uuid=e7079531-07ef-4aa4-bf48-c6069457d599"]}],"mendeley":{"formattedCitation":"(2014)","plainTextFormattedCitation":"(2014)","previouslyFormattedCitation":"(2014)"},"properties":{"noteIndex":0},"schema":"https://github.com/citation-style-language/schema/raw/master/csl-citation.json"}</w:instrText>
      </w:r>
      <w:r w:rsidR="005012B5" w:rsidRPr="00B4301D">
        <w:fldChar w:fldCharType="separate"/>
      </w:r>
      <w:r w:rsidR="005012B5" w:rsidRPr="00B4301D">
        <w:rPr>
          <w:noProof/>
        </w:rPr>
        <w:t>(2014)</w:t>
      </w:r>
      <w:r w:rsidR="005012B5" w:rsidRPr="00B4301D">
        <w:fldChar w:fldCharType="end"/>
      </w:r>
      <w:r w:rsidR="006F78AE" w:rsidRPr="00B4301D">
        <w:t xml:space="preserve"> creative thinking may “enhance and strengthen psychological flexibility by allowing individuals to generate new and effective cognitive, emotional, and </w:t>
      </w:r>
      <w:proofErr w:type="spellStart"/>
      <w:r w:rsidR="006F78AE" w:rsidRPr="00B4301D">
        <w:t>behavioral</w:t>
      </w:r>
      <w:proofErr w:type="spellEnd"/>
      <w:r w:rsidR="006F78AE" w:rsidRPr="00B4301D">
        <w:t xml:space="preserve"> strategies on their own” </w:t>
      </w:r>
      <w:r w:rsidR="006F78AE" w:rsidRPr="00B4301D">
        <w:fldChar w:fldCharType="begin" w:fldLock="1"/>
      </w:r>
      <w:r w:rsidR="00282D8A" w:rsidRPr="00B4301D">
        <w:instrText>ADDIN CSL_CITATION {"citationItems":[{"id":"ITEM-1","itemData":{"DOI":"10.3389/fpsyg.2014.00613","ISSN":"16641078","abstract":"The article discusses the therapeutic benefits of creativity associated with the psychopathology. Topics discussed include disorders beneficial for the creative cognition, openness of hypomania in the bipolar disorder and rumination that is happens in depression. Also discussed is that the overlapping of symptoms and at a high rate of comorbidity between the psychological disorders and research in future can investigate the effects of creative work on well-being in fields other than art.","author":[{"dropping-particle":"","family":"Forgeard","given":"Marie J.C.","non-dropping-particle":"","parse-names":false,"suffix":""},{"dropping-particle":"","family":"Elstein","given":"Jeanette G.","non-dropping-particle":"","parse-names":false,"suffix":""}],"container-title":"Frontiers in Psychology","id":"ITEM-1","issue":"JUN","issued":{"date-parts":[["2014"]]},"page":"1-4","title":"Advancing the clinical science of creativity","type":"article-journal","volume":"5"},"locator":"1","uris":["http://www.mendeley.com/documents/?uuid=e7079531-07ef-4aa4-bf48-c6069457d599"]}],"mendeley":{"formattedCitation":"(Forgeard &amp; Elstein, 2014, p. 1)","plainTextFormattedCitation":"(Forgeard &amp; Elstein, 2014, p. 1)","previouslyFormattedCitation":"(Forgeard &amp; Elstein, 2014, p. 1)"},"properties":{"noteIndex":0},"schema":"https://github.com/citation-style-language/schema/raw/master/csl-citation.json"}</w:instrText>
      </w:r>
      <w:r w:rsidR="006F78AE" w:rsidRPr="00B4301D">
        <w:fldChar w:fldCharType="separate"/>
      </w:r>
      <w:r w:rsidR="006F78AE" w:rsidRPr="00B4301D">
        <w:rPr>
          <w:noProof/>
        </w:rPr>
        <w:t>(Forgeard &amp; Elstein, 2014, p. 1)</w:t>
      </w:r>
      <w:r w:rsidR="006F78AE" w:rsidRPr="00B4301D">
        <w:fldChar w:fldCharType="end"/>
      </w:r>
      <w:r w:rsidR="006F78AE" w:rsidRPr="00B4301D">
        <w:t xml:space="preserve">. </w:t>
      </w:r>
      <w:r w:rsidR="00E83E94" w:rsidRPr="00B4301D">
        <w:t>Furthermore, creativity</w:t>
      </w:r>
      <w:r w:rsidR="005B798B" w:rsidRPr="00B4301D">
        <w:t xml:space="preserve"> has been argued to facilitate</w:t>
      </w:r>
      <w:r w:rsidR="00E83E94" w:rsidRPr="00B4301D">
        <w:t xml:space="preserve"> adaptive prospection by enhancing other closely related processes such as psychological flexibility</w:t>
      </w:r>
      <w:r w:rsidR="005B798B" w:rsidRPr="00B4301D">
        <w:t xml:space="preserve"> which relates to </w:t>
      </w:r>
      <w:r w:rsidR="00E83E94" w:rsidRPr="00B4301D">
        <w:t>effectively adapt</w:t>
      </w:r>
      <w:r w:rsidR="005B798B" w:rsidRPr="00B4301D">
        <w:t>ing</w:t>
      </w:r>
      <w:r w:rsidR="00E83E94" w:rsidRPr="00B4301D">
        <w:t xml:space="preserve"> emotions, </w:t>
      </w:r>
      <w:r w:rsidR="005B798B" w:rsidRPr="00B4301D">
        <w:t>cognitions and</w:t>
      </w:r>
      <w:r w:rsidR="00E83E94" w:rsidRPr="00B4301D">
        <w:t xml:space="preserve"> </w:t>
      </w:r>
      <w:proofErr w:type="spellStart"/>
      <w:r w:rsidR="00E83E94" w:rsidRPr="00B4301D">
        <w:t>behaviors</w:t>
      </w:r>
      <w:proofErr w:type="spellEnd"/>
      <w:r w:rsidR="00E83E94" w:rsidRPr="00B4301D">
        <w:t xml:space="preserve"> </w:t>
      </w:r>
      <w:r w:rsidR="005B798B" w:rsidRPr="00B4301D">
        <w:t xml:space="preserve">to different situations </w:t>
      </w:r>
      <w:r w:rsidR="005B798B" w:rsidRPr="00B4301D">
        <w:fldChar w:fldCharType="begin" w:fldLock="1"/>
      </w:r>
      <w:r w:rsidR="002C259A" w:rsidRPr="00B4301D">
        <w:instrText>ADDIN CSL_CITATION {"citationItems":[{"id":"ITEM-1","itemData":{"DOI":"10.1016/j.cpr.2010.03.001","ISSN":"18737811","abstract":"Traditionally, positive emotions and thoughts, strengths, and the satisfaction of basic psychological needs for belonging, competence, and autonomy have been seen as the cornerstones of psychological health. Without disputing their importance, these foci fail to capture many of the fluctuating, conflicting forces that are readily apparent when people navigate the environment and social world. In this paper, we review literature to offer evidence for the prominence of psychological flexibility in understanding psychological health. Thus far, the importance of psychological flexibility has been obscured by the isolation and disconnection of research conducted on this topic. Psychological flexibility spans a wide range of human abilities to: recognize and adapt to various situational demands; shift mindsets or behavioral repertoires when these strategies compromise personal or social functioning; maintain balance among important life domains; and be aware, open, and committed to behaviors that are congruent with deeply held values. In many forms of psychopathology, these flexibility processes are absent. In hopes of creating a more coherent understanding, we synthesize work in emotion regulation, mindfulness and acceptance, social and personality psychology, and neuropsychology. Basic research findings provide insight into the nature, correlates, and consequences of psychological flexibility and applied research provides details on promising interventions. Throughout, we emphasize dynamic approaches that might capture this fluid construct in the real-world. © 2010 Elsevier Ltd.","author":[{"dropping-particle":"","family":"Kashdan","given":"Todd B.","non-dropping-particle":"","parse-names":false,"suffix":""},{"dropping-particle":"","family":"Rottenberg","given":"Jonathan","non-dropping-particle":"","parse-names":false,"suffix":""}],"container-title":"Clinical Psychology Review","id":"ITEM-1","issue":"4","issued":{"date-parts":[["2010"]]},"page":"865-878","title":"Psychological flexibility as a fundamental aspect of health","type":"article-journal","volume":"30"},"uris":["http://www.mendeley.com/documents/?uuid=ed90a876-bf75-4e1d-9652-530af3e67b51"]}],"mendeley":{"formattedCitation":"(Kashdan &amp; Rottenberg, 2010)","plainTextFormattedCitation":"(Kashdan &amp; Rottenberg, 2010)","previouslyFormattedCitation":"(Kashdan &amp; Rottenberg, 2010)"},"properties":{"noteIndex":0},"schema":"https://github.com/citation-style-language/schema/raw/master/csl-citation.json"}</w:instrText>
      </w:r>
      <w:r w:rsidR="005B798B" w:rsidRPr="00B4301D">
        <w:fldChar w:fldCharType="separate"/>
      </w:r>
      <w:r w:rsidR="005B798B" w:rsidRPr="00B4301D">
        <w:rPr>
          <w:noProof/>
        </w:rPr>
        <w:t>(Kashdan &amp; Rottenberg, 2010)</w:t>
      </w:r>
      <w:r w:rsidR="005B798B" w:rsidRPr="00B4301D">
        <w:fldChar w:fldCharType="end"/>
      </w:r>
      <w:r w:rsidR="00E83E94" w:rsidRPr="00B4301D">
        <w:t>. </w:t>
      </w:r>
      <w:r w:rsidR="005B798B" w:rsidRPr="00B4301D">
        <w:t>Similarly</w:t>
      </w:r>
      <w:r w:rsidR="00E83E94" w:rsidRPr="00B4301D">
        <w:t xml:space="preserve">, creative thinking </w:t>
      </w:r>
      <w:r w:rsidR="00FC5A54" w:rsidRPr="00B4301D">
        <w:t>can</w:t>
      </w:r>
      <w:r w:rsidR="008708E2" w:rsidRPr="00B4301D">
        <w:t xml:space="preserve"> </w:t>
      </w:r>
      <w:r w:rsidR="00E83E94" w:rsidRPr="00B4301D">
        <w:t xml:space="preserve">help counteract a number of negative psychological tendencies such as repetitive negative thinking </w:t>
      </w:r>
      <w:r w:rsidR="005B798B" w:rsidRPr="00B4301D">
        <w:fldChar w:fldCharType="begin" w:fldLock="1"/>
      </w:r>
      <w:r w:rsidR="005B798B" w:rsidRPr="00B4301D">
        <w:instrText>ADDIN CSL_CITATION {"citationItems":[{"id":"ITEM-1","itemData":{"DOI":"10.1002/erv.647","ISBN":"0198528884","ISSN":"1072-4133","PMID":"13611478","abstract":"Cognitive Behavioral Therapy (CBT) has established itself as one of the most effective therapies for treating a wide range of behavioral problems. However, research and treatment in this field typically adopts a DSM driven 'disorder-focused' approach-researchers and clinicians target a specific disorder, try to understand its aetiology and maintenance, and try to develop more effective strategies to treat the disorder. This book proposes a bold and original approach to understanding these disorders, one that focuses on what they have in common. Instead of examining in isolation, for example, obsessive compulsive disorders, insomnia, schizophrenia, it asks-what do patients with these disorders have in common? It takes each cognitive and behavioral process-attention, memory, reasoning, thought, behavior, and examines whether it is a transdiagnostic process-i.e., serves to maintain a broad range of psychological disorders. Having shown how these disorders share several important processes, it then describes the practical implications of such an approach to diagnosis and treatment. Importantly it explores why the different psychological disorders can present so differently, despite being maintained by the same cognitive and behavioral processes. This book will give clinicians and researchers a valuable new theoretical base for assessing and treating psychological disorders.","author":[{"dropping-particle":"","family":"Harvey","given":"Allison G","non-dropping-particle":"","parse-names":false,"suffix":""},{"dropping-particle":"","family":"Watkins","given":"Edward","non-dropping-particle":"","parse-names":false,"suffix":""},{"dropping-particle":"","family":"Mansell","given":"Warren","non-dropping-particle":"","parse-names":false,"suffix":""},{"dropping-particle":"","family":"Shafran","given":"Roz","non-dropping-particle":"","parse-names":false,"suffix":""}],"container-title":"Oxford Oxford University Press","id":"ITEM-1","issued":{"date-parts":[["2004"]]},"number-of-pages":"365","publisher":"Oxford University Press","publisher-place":"Oxford","title":"Cognitive behavioural processes across psychological disorders: A transdiagnostic approach to research and treatment","type":"book"},"uris":["http://www.mendeley.com/documents/?uuid=773a7b0b-6595-4521-90c9-870374d2d3e3"]}],"mendeley":{"formattedCitation":"(Harvey, Watkins, Mansell, &amp; Shafran, 2004)","manualFormatting":"(Harvey et al., 2004)","plainTextFormattedCitation":"(Harvey, Watkins, Mansell, &amp; Shafran, 2004)","previouslyFormattedCitation":"(Harvey, Watkins, Mansell, &amp; Shafran, 2004)"},"properties":{"noteIndex":0},"schema":"https://github.com/citation-style-language/schema/raw/master/csl-citation.json"}</w:instrText>
      </w:r>
      <w:r w:rsidR="005B798B" w:rsidRPr="00B4301D">
        <w:fldChar w:fldCharType="separate"/>
      </w:r>
      <w:r w:rsidR="005B798B" w:rsidRPr="00B4301D">
        <w:rPr>
          <w:noProof/>
        </w:rPr>
        <w:t>(Harvey et al., 2004)</w:t>
      </w:r>
      <w:r w:rsidR="005B798B" w:rsidRPr="00B4301D">
        <w:fldChar w:fldCharType="end"/>
      </w:r>
      <w:r w:rsidR="00E83E94" w:rsidRPr="00B4301D">
        <w:t xml:space="preserve"> and aid individuals in creating coping strategies and adopting adaptive interpretations </w:t>
      </w:r>
      <w:r w:rsidR="005B798B" w:rsidRPr="00B4301D">
        <w:fldChar w:fldCharType="begin" w:fldLock="1"/>
      </w:r>
      <w:r w:rsidR="005B798B" w:rsidRPr="00B4301D">
        <w:instrText>ADDIN CSL_CITATION {"citationItems":[{"id":"ITEM-1","itemData":{"DOI":"10.1007/s10608-006-9019-8","ISSN":"01475916","abstract":"Recent research on vulnerabilities to depression and anxiety has begun to de- emphasize cognitive content in favor of the responsiveness of the individual to variations in situational context in arriving at explanations of events (explanatory flexibility) or attempts to cope with negative events (coping flexibility). The present study integrates these promising av- enues of conceptualization by assessing the respective contributions of explanatory and coping flexibility to current levels of depression and anxiety symptoms. Results of structural equation modeling support a model of partial mediation in which both explanatory flexibility and cop- ing flexibility independently contribute to the prediction of latent negative affect, with coping flexibility partially mediating the influence of explanatory flexibility.","author":[{"dropping-particle":"","family":"Fresco","given":"David M.","non-dropping-particle":"","parse-names":false,"suffix":""},{"dropping-particle":"","family":"Williams","given":"Nathan L.","non-dropping-particle":"","parse-names":false,"suffix":""},{"dropping-particle":"","family":"Nugent","given":"Nicole R.","non-dropping-particle":"","parse-names":false,"suffix":""}],"container-title":"Cognitive Therapy and Research","id":"ITEM-1","issue":"2","issued":{"date-parts":[["2006"]]},"page":"201-210","title":"Flexibility and negative affect: Examining the associations of explanatory flexibility and coping flexibility to each other and to depression and anxiety","type":"article-journal","volume":"30"},"uris":["http://www.mendeley.com/documents/?uuid=1d8518a0-34cd-4437-b6e4-2e2abfd47f69"]}],"mendeley":{"formattedCitation":"(Fresco, Williams, &amp; Nugent, 2006)","manualFormatting":"(Fresco et al., 2006)","plainTextFormattedCitation":"(Fresco, Williams, &amp; Nugent, 2006)","previouslyFormattedCitation":"(Fresco, Williams, &amp; Nugent, 2006)"},"properties":{"noteIndex":0},"schema":"https://github.com/citation-style-language/schema/raw/master/csl-citation.json"}</w:instrText>
      </w:r>
      <w:r w:rsidR="005B798B" w:rsidRPr="00B4301D">
        <w:fldChar w:fldCharType="separate"/>
      </w:r>
      <w:r w:rsidR="005B798B" w:rsidRPr="00B4301D">
        <w:rPr>
          <w:noProof/>
        </w:rPr>
        <w:t>(Fresco et al., 2006)</w:t>
      </w:r>
      <w:r w:rsidR="005B798B" w:rsidRPr="00B4301D">
        <w:fldChar w:fldCharType="end"/>
      </w:r>
      <w:r w:rsidR="00E83E94" w:rsidRPr="00B4301D">
        <w:t xml:space="preserve">. </w:t>
      </w:r>
    </w:p>
    <w:p w14:paraId="062CF6B4" w14:textId="1CA2FC45" w:rsidR="00E86E75" w:rsidRPr="00B4301D" w:rsidRDefault="00E86E75" w:rsidP="00C855C9">
      <w:pPr>
        <w:spacing w:line="360" w:lineRule="auto"/>
        <w:ind w:firstLine="720"/>
      </w:pPr>
      <w:r w:rsidRPr="00B4301D">
        <w:t xml:space="preserve">Creativity has been widely investigated in areas such as work, music and education with findings suggesting a variety of benefits of creativity such as positive psychological health </w:t>
      </w:r>
      <w:r w:rsidRPr="00B4301D">
        <w:fldChar w:fldCharType="begin" w:fldLock="1"/>
      </w:r>
      <w:r w:rsidRPr="00B4301D">
        <w:instrText>ADDIN CSL_CITATION {"citationItems":[{"id":"ITEM-1","itemData":{"DOI":"10.1037/11595-001","ISBN":"9780979212574\\r097921257X","PMID":"14683369","abstract":"If most people know intuitively what their everyday creativity is, then why does our creativity not get more attention? Are we just so accustomed to it that our everyday creativity provides a backdrop whose presence is assumed and then quickly forgotten? This chapter suggests there is even more to it. Our everyday creativity may often be overlooked-either consciously or unconsciously, for a purpose. In this chapter, we look first at some background on the nature of everyday creativity, including reasons why some of its health benefits may not be well known. Next we consider obstacles which can get in the way of our creative impulses and expression, including both conscious and unconscious factors within ourselves and out in the world, individually and together. Here, the discussion includes one unconventional example of creative discovery, intended to challenge one's open-mindedness, while raising experientially the issue of these outside obstacles to innovation. Next, the chapter considers the benefits of everyday creativity that we may forfeit if we are too readily deterred, including advantages for our physical and psychological health, our well-being, and the ability to appreciate the creativity of others.","author":[{"dropping-particle":"","family":"Richards","given":"Ruth","non-dropping-particle":"","parse-names":false,"suffix":""}],"container-title":"Everyday creativity and new views of human nature: Psychological, social, and spiritual perspectives.","id":"ITEM-1","issued":{"date-parts":[["2007"]]},"page":"25-54","title":"Everyday Creativity: Our Hidden Potential","type":"article-journal"},"uris":["http://www.mendeley.com/documents/?uuid=e73a7318-3a76-4c61-b71a-95eafc02e8f3"]},{"id":"ITEM-2","itemData":{"ISBN":"9780521513661","author":[{"dropping-particle":"","family":"Richards","given":"Ruth","non-dropping-particle":"","parse-names":false,"suffix":""}],"container-title":"The Cambridge Handbook of Creativity","id":"ITEM-2","issued":{"date-parts":[["2010"]]},"page":"189-215","title":"Process and Way of Life – Four Key Issues","type":"article-journal"},"uris":["http://www.mendeley.com/documents/?uuid=fea7487e-ea71-4712-8c9f-e3e9c5a0bc2c"]}],"mendeley":{"formattedCitation":"(Richards, 2007, 2010)","plainTextFormattedCitation":"(Richards, 2007, 2010)","previouslyFormattedCitation":"(Richards, 2007, 2010)"},"properties":{"noteIndex":0},"schema":"https://github.com/citation-style-language/schema/raw/master/csl-citation.json"}</w:instrText>
      </w:r>
      <w:r w:rsidRPr="00B4301D">
        <w:fldChar w:fldCharType="separate"/>
      </w:r>
      <w:r w:rsidRPr="00B4301D">
        <w:rPr>
          <w:noProof/>
        </w:rPr>
        <w:t>(Richards, 2007, 2010)</w:t>
      </w:r>
      <w:r w:rsidRPr="00B4301D">
        <w:fldChar w:fldCharType="end"/>
      </w:r>
      <w:r w:rsidRPr="00B4301D">
        <w:t xml:space="preserve">. Conceptualisations of creativity such as Big C approaches focus on “professional” creativity, or works of creative genius </w:t>
      </w:r>
      <w:r w:rsidRPr="00B4301D">
        <w:fldChar w:fldCharType="begin" w:fldLock="1"/>
      </w:r>
      <w:r w:rsidR="00DD5139">
        <w:instrText>ADDIN CSL_CITATION {"citationItems":[{"id":"ITEM-1","itemData":{"author":[{"dropping-particle":"","family":"Csikszentmihalyi","given":"M.","non-dropping-particle":"","parse-names":false,"suffix":""}],"container-title":"Handbook of Creativity","editor":[{"dropping-particle":"","family":"Sternberg","given":"R.J.","non-dropping-particle":"","parse-names":false,"suffix":""}],"id":"ITEM-1","issued":{"date-parts":[["1999"]]},"page":"313-335","publisher":"Cambridge University Press","publisher-place":"Cambridge, NY","title":"Implications of a Systems Perspective for the Study of Creativity.","type":"chapter"},"uris":["http://www.mendeley.com/documents/?uuid=194bb180-d717-41c5-887f-6e97128b55f8"]},{"id":"ITEM-2","itemData":{"author":[{"dropping-particle":"","family":"Gardner","given":"H.","non-dropping-particle":"","parse-names":false,"suffix":""}],"id":"ITEM-2","issued":{"date-parts":[["1993"]]},"publisher":"Basic Books","publisher-place":"New York","title":"Creating minds.","type":"book"},"uris":["http://www.mendeley.com/documents/?uuid=c014fd3b-2e0c-41e1-a1e3-085a0b575030"]}],"mendeley":{"formattedCitation":"(Csikszentmihalyi, 1999; Gardner, 1993)","manualFormatting":"(e.g. Csikszentmilhalyi, 1999; Gardner, 1993)","plainTextFormattedCitation":"(Csikszentmihalyi, 1999; Gardner, 1993)","previouslyFormattedCitation":"(Csikszentmihalyi, 1999; Gardner, 1993)"},"properties":{"noteIndex":0},"schema":"https://github.com/citation-style-language/schema/raw/master/csl-citation.json"}</w:instrText>
      </w:r>
      <w:r w:rsidRPr="00B4301D">
        <w:fldChar w:fldCharType="separate"/>
      </w:r>
      <w:r w:rsidRPr="00B4301D">
        <w:rPr>
          <w:noProof/>
        </w:rPr>
        <w:t>(e.g. Csikszentmilhalyi, 1999; Gardner, 1993)</w:t>
      </w:r>
      <w:r w:rsidRPr="00B4301D">
        <w:fldChar w:fldCharType="end"/>
      </w:r>
      <w:r w:rsidRPr="00B4301D">
        <w:t xml:space="preserve">, while Little C approaches which argue everyone has creative ability which can be developed further by overcoming everyday problems and challenges </w:t>
      </w:r>
      <w:r w:rsidRPr="00B4301D">
        <w:fldChar w:fldCharType="begin" w:fldLock="1"/>
      </w:r>
      <w:r w:rsidRPr="00B4301D">
        <w:instrText>ADDIN CSL_CITATION {"citationItems":[{"id":"ITEM-1","itemData":{"DOI":"10.1037//0022-3514.54.3.476","ISBN":"00223514 (ISSN)","ISSN":"0022-3514","abstract":"A new research tool, the Lifetime Creativity Scales (LCS), is presented, along with validation evi- dence based on three personally interviewed,independent samples totalling 541 subjects. The LCS provide broad-based assessment of original activity at work and leisure, without the requirement that activities be socially recognized or limited to particular fields of endeavor. The LCS therefore allow study of everyday creativity in unselected populations, and they open up new research possibili- ties. The scales show high intcrraler reliability and multiple indications of construct validity. Find- ings with the validation samples raise interesting questions, including the relationship between voca- tional and avocational creativity.","author":[{"dropping-particle":"","family":"Richards","given":"Ruth","non-dropping-particle":"","parse-names":false,"suffix":""},{"dropping-particle":"","family":"Kinney","given":"Dennis K.","non-dropping-particle":"","parse-names":false,"suffix":""},{"dropping-particle":"","family":"Benet","given":"Maria","non-dropping-particle":"","parse-names":false,"suffix":""},{"dropping-particle":"","family":"Merzel","given":"Ann P.","non-dropping-particle":"","parse-names":false,"suffix":""}],"container-title":"Journal of Personality and Social Psychology","id":"ITEM-1","issue":"3","issued":{"date-parts":[["1988"]]},"page":"476-485","title":"Assessing everyday creativity: Characteristics of the Lifetime Creativity Scales and validation with three large samples.","type":"article-journal","volume":"54"},"uris":["http://www.mendeley.com/documents/?uuid=381f8209-aff6-4a17-ad4c-9343a9a9325f"]},{"id":"ITEM-2","itemData":{"author":[{"dropping-particle":"","family":"Maslow","given":"A.","non-dropping-particle":"","parse-names":false,"suffix":""}],"id":"ITEM-2","issued":{"date-parts":[["1968"]]},"publisher":"Van Nostrand, D.","publisher-place":"Princeton, NJ","title":"Toward a psychology of being","type":"book"},"uris":["http://www.mendeley.com/documents/?uuid=cb8ed2b4-c234-4256-aacc-bde08dfb65bc"]}],"mendeley":{"formattedCitation":"(Maslow, 1968; Richards, Kinney, Benet, &amp; Merzel, 1988)","manualFormatting":"(e.g. Maslow, 1968; Richards et al., 1988)","plainTextFormattedCitation":"(Maslow, 1968; Richards, Kinney, Benet, &amp; Merzel, 1988)","previouslyFormattedCitation":"(Maslow, 1968; Richards, Kinney, Benet, &amp; Merzel, 1988)"},"properties":{"noteIndex":0},"schema":"https://github.com/citation-style-language/schema/raw/master/csl-citation.json"}</w:instrText>
      </w:r>
      <w:r w:rsidRPr="00B4301D">
        <w:fldChar w:fldCharType="separate"/>
      </w:r>
      <w:r w:rsidRPr="00B4301D">
        <w:rPr>
          <w:noProof/>
        </w:rPr>
        <w:t>(e.g. Maslow, 1968; Richards et al., 1988)</w:t>
      </w:r>
      <w:r w:rsidRPr="00B4301D">
        <w:fldChar w:fldCharType="end"/>
      </w:r>
      <w:r w:rsidRPr="00B4301D">
        <w:t xml:space="preserve">. </w:t>
      </w:r>
    </w:p>
    <w:p w14:paraId="47F31D79" w14:textId="00BE8AA6" w:rsidR="00A55EC2" w:rsidRPr="00B4301D" w:rsidRDefault="00E86E75" w:rsidP="00E86E75">
      <w:pPr>
        <w:spacing w:line="360" w:lineRule="auto"/>
        <w:ind w:firstLine="720"/>
      </w:pPr>
      <w:r w:rsidRPr="00B4301D">
        <w:t xml:space="preserve">Approaches such as these have been criticised for failing to account for the many different categories of creativity between “genius” and “everyday” </w:t>
      </w:r>
      <w:r w:rsidRPr="00B4301D">
        <w:fldChar w:fldCharType="begin" w:fldLock="1"/>
      </w:r>
      <w:r w:rsidRPr="00B4301D">
        <w:instrText>ADDIN CSL_CITATION {"citationItems":[{"id":"ITEM-1","itemData":{"DOI":"10.1037/a0013688","ISBN":"1089-2680\\r1939-1552","ISSN":"1089-2680","PMID":"20854159","abstract":"Most investigations of creativity tend to take one of two directions: everyday creativity (also called “little-c”), which can be found in nearly all people, and eminent creativity (also called “Big-C”), which is reserved for the great. In this paper, the authors propose a Four C model of creativity that expands this dichotomy. Specifically, the authors add the idea of “mini-c,” creativity inherent in the learning process, and Pro-c, the developmental and effortful progression beyond little-c that represents professional-level expertise in any creative area. The authors include different transitions and gradations of these four dimensions of creativity, and then discuss advantages and examples of the Four C Model. (PsycINFO Database Record (c) 2012 APA, all rights reserved). (journal abstract)","author":[{"dropping-particle":"","family":"Kaufman","given":"James C.","non-dropping-particle":"","parse-names":false,"suffix":""},{"dropping-particle":"","family":"Beghetto","given":"Ronald a.","non-dropping-particle":"","parse-names":false,"suffix":""}],"container-title":"Review of General Psychology","id":"ITEM-1","issue":"1","issued":{"date-parts":[["2009"]]},"page":"1-12","title":"Beyond Big and Little: The Four C Model of Creativity.","type":"article-journal","volume":"13"},"uris":["http://www.mendeley.com/documents/?uuid=9d229fbb-caf4-444e-a3c5-694942a41679"]}],"mendeley":{"formattedCitation":"(Kaufman &amp; Beghetto, 2009)","plainTextFormattedCitation":"(Kaufman &amp; Beghetto, 2009)","previouslyFormattedCitation":"(Kaufman &amp; Beghetto, 2009)"},"properties":{"noteIndex":0},"schema":"https://github.com/citation-style-language/schema/raw/master/csl-citation.json"}</w:instrText>
      </w:r>
      <w:r w:rsidRPr="00B4301D">
        <w:fldChar w:fldCharType="separate"/>
      </w:r>
      <w:r w:rsidRPr="00B4301D">
        <w:rPr>
          <w:noProof/>
        </w:rPr>
        <w:t>(Kaufman &amp; Beghetto, 2009)</w:t>
      </w:r>
      <w:r w:rsidRPr="00B4301D">
        <w:fldChar w:fldCharType="end"/>
      </w:r>
      <w:r w:rsidRPr="00B4301D">
        <w:t xml:space="preserve"> and failing to recognise the multi-dimensionality of the nature of creativity. </w:t>
      </w:r>
      <w:r w:rsidR="001170D7" w:rsidRPr="00B4301D">
        <w:t xml:space="preserve">Works such as the Four C model of creativity </w:t>
      </w:r>
      <w:r w:rsidR="001D06C8" w:rsidRPr="00B4301D">
        <w:fldChar w:fldCharType="begin" w:fldLock="1"/>
      </w:r>
      <w:r w:rsidR="000A0D51" w:rsidRPr="00B4301D">
        <w:instrText>ADDIN CSL_CITATION {"citationItems":[{"id":"ITEM-1","itemData":{"DOI":"10.1037/a0013688","ISBN":"1089-2680\\r1939-1552","ISSN":"1089-2680","PMID":"20854159","abstract":"Most investigations of creativity tend to take one of two directions: everyday creativity (also called “little-c”), which can be found in nearly all people, and eminent creativity (also called “Big-C”), which is reserved for the great. In this paper, the authors propose a Four C model of creativity that expands this dichotomy. Specifically, the authors add the idea of “mini-c,” creativity inherent in the learning process, and Pro-c, the developmental and effortful progression beyond little-c that represents professional-level expertise in any creative area. The authors include different transitions and gradations of these four dimensions of creativity, and then discuss advantages and examples of the Four C Model. (PsycINFO Database Record (c) 2012 APA, all rights reserved). (journal abstract)","author":[{"dropping-particle":"","family":"Kaufman","given":"James C.","non-dropping-particle":"","parse-names":false,"suffix":""},{"dropping-particle":"","family":"Beghetto","given":"Ronald a.","non-dropping-particle":"","parse-names":false,"suffix":""}],"container-title":"Review of General Psychology","id":"ITEM-1","issue":"1","issued":{"date-parts":[["2009"]]},"page":"1-12","title":"Beyond Big and Little: The Four C Model of Creativity.","type":"article-journal","volume":"13"},"uris":["http://www.mendeley.com/documents/?uuid=9d229fbb-caf4-444e-a3c5-694942a41679"]}],"mendeley":{"formattedCitation":"(Kaufman &amp; Beghetto, 2009)","plainTextFormattedCitation":"(Kaufman &amp; Beghetto, 2009)","previouslyFormattedCitation":"(Kaufman &amp; Beghetto, 2009)"},"properties":{"noteIndex":0},"schema":"https://github.com/citation-style-language/schema/raw/master/csl-citation.json"}</w:instrText>
      </w:r>
      <w:r w:rsidR="001D06C8" w:rsidRPr="00B4301D">
        <w:fldChar w:fldCharType="separate"/>
      </w:r>
      <w:r w:rsidR="001D06C8" w:rsidRPr="00B4301D">
        <w:rPr>
          <w:noProof/>
        </w:rPr>
        <w:t>(Kaufman &amp; Beghetto, 2009)</w:t>
      </w:r>
      <w:r w:rsidR="001D06C8" w:rsidRPr="00B4301D">
        <w:fldChar w:fldCharType="end"/>
      </w:r>
      <w:r w:rsidR="001170D7" w:rsidRPr="00B4301D">
        <w:t xml:space="preserve"> attempt to bridge this gap by accounting for Proc C creativity</w:t>
      </w:r>
      <w:r w:rsidR="001D06C8" w:rsidRPr="00B4301D">
        <w:t xml:space="preserve"> which</w:t>
      </w:r>
      <w:r w:rsidR="001170D7" w:rsidRPr="00B4301D">
        <w:t xml:space="preserve"> refer</w:t>
      </w:r>
      <w:r w:rsidR="001D06C8" w:rsidRPr="00B4301D">
        <w:t>s</w:t>
      </w:r>
      <w:r w:rsidR="001170D7" w:rsidRPr="00B4301D">
        <w:t xml:space="preserve"> to the progression from Little to Big C achievements, and Mini C creativity which explains the micro level, personally meaningful insights and affective change occurring in individuals. Other approaches such as the Person, Product, Press and Process Framework </w:t>
      </w:r>
      <w:r w:rsidR="001170D7" w:rsidRPr="00B4301D">
        <w:fldChar w:fldCharType="begin" w:fldLock="1"/>
      </w:r>
      <w:r w:rsidR="00A55EC2" w:rsidRPr="00B4301D">
        <w:instrText>ADDIN CSL_CITATION {"citationItems":[{"id":"ITEM-1","itemData":{"DOI":"10.2307/20342603","author":[{"dropping-particle":"","family":"Rhodes","given":"Mel","non-dropping-particle":"","parse-names":false,"suffix":""}],"container-title":"The Phi Delta Kappan","id":"ITEM-1","issue":"7","issued":{"date-parts":[["1961"]]},"page":"305-310","publisher":"Phi Delta Kappa International","title":"An Analysis of Creativity","type":"article-journal","volume":"42"},"uris":["http://www.mendeley.com/documents/?uuid=d1c98568-07b1-34a5-9444-679bfba6029e"]}],"mendeley":{"formattedCitation":"(Rhodes, 1961)","plainTextFormattedCitation":"(Rhodes, 1961)","previouslyFormattedCitation":"(Rhodes, 1961)"},"properties":{"noteIndex":0},"schema":"https://github.com/citation-style-language/schema/raw/master/csl-citation.json"}</w:instrText>
      </w:r>
      <w:r w:rsidR="001170D7" w:rsidRPr="00B4301D">
        <w:fldChar w:fldCharType="separate"/>
      </w:r>
      <w:r w:rsidR="001170D7" w:rsidRPr="00B4301D">
        <w:rPr>
          <w:noProof/>
        </w:rPr>
        <w:t>(Rhodes, 1961)</w:t>
      </w:r>
      <w:r w:rsidR="001170D7" w:rsidRPr="00B4301D">
        <w:fldChar w:fldCharType="end"/>
      </w:r>
      <w:r w:rsidR="001170D7" w:rsidRPr="00B4301D">
        <w:t xml:space="preserve"> attempt to account for the </w:t>
      </w:r>
      <w:r w:rsidR="00A55EC2" w:rsidRPr="00B4301D">
        <w:t xml:space="preserve">multi-faceted nature of creativity by examining creativity from various different perspectives. For example, the “person” perspective illuminates how personality factors such as intrinsic motivation facilitate creative behaviour </w:t>
      </w:r>
      <w:r w:rsidR="00A55EC2" w:rsidRPr="00B4301D">
        <w:fldChar w:fldCharType="begin" w:fldLock="1"/>
      </w:r>
      <w:r w:rsidR="00A55EC2" w:rsidRPr="00B4301D">
        <w:instrText>ADDIN CSL_CITATION {"citationItems":[{"id":"ITEM-1","itemData":{"author":[{"dropping-particle":"","family":"Amabile","given":"Teresa M.","non-dropping-particle":"","parse-names":false,"suffix":""}],"container-title":"Theories of Creativity","id":"ITEM-1","issued":{"date-parts":[["1990"]]},"title":"Within you, without you: The social psycholgy of creativity, and beyond","type":"article-journal"},"uris":["http://www.mendeley.com/documents/?uuid=68f80efd-9632-4e7f-9863-3ab82cf45719"]},{"id":"ITEM-2","itemData":{"DOI":"10.1080/10400419209534438","ISBN":"1040-0419\\r1532-6934","ISSN":"15326934","abstract":"Compared the responses of 6 fine artists in fluid careers with 6 applied artists in stable careers regarding whether and why they produce art (at the start of mid-life). Both groups were queried 18–20 yrs after attending art school together. A content analysis and chi-square test revealed that the fine artists were significantly more likely than the applied artists to offer intrinsic motives as an explanation for why they produced art. Theories of intrinsic motivation were utilized to account for the sustained activity. (PsycINFO Database Record (c) 2010 APA, all rights reserved)","author":[{"dropping-particle":"","family":"Stohs","given":"Joanne Hoven","non-dropping-particle":"","parse-names":false,"suffix":""}],"container-title":"Creativity Research Journal","id":"ITEM-2","issue":"3","issued":{"date-parts":[["1992"]]},"page":"245-252","title":"Intrinsic Motivation and Sustained Art Activity Among Male Fine and Applied Artists","type":"article-journal","volume":"5"},"uris":["http://www.mendeley.com/documents/?uuid=cf654398-b584-4454-ac0d-89c8c347559e"]}],"mendeley":{"formattedCitation":"(Amabile, 1990; Stohs, 1992)","plainTextFormattedCitation":"(Amabile, 1990; Stohs, 1992)","previouslyFormattedCitation":"(Amabile, 1990; Stohs, 1992)"},"properties":{"noteIndex":0},"schema":"https://github.com/citation-style-language/schema/raw/master/csl-citation.json"}</w:instrText>
      </w:r>
      <w:r w:rsidR="00A55EC2" w:rsidRPr="00B4301D">
        <w:fldChar w:fldCharType="separate"/>
      </w:r>
      <w:r w:rsidR="00A55EC2" w:rsidRPr="00B4301D">
        <w:rPr>
          <w:noProof/>
        </w:rPr>
        <w:t>(Amabile, 1990; Stohs, 1992)</w:t>
      </w:r>
      <w:r w:rsidR="00A55EC2" w:rsidRPr="00B4301D">
        <w:fldChar w:fldCharType="end"/>
      </w:r>
      <w:r w:rsidR="00A55EC2" w:rsidRPr="00B4301D">
        <w:t xml:space="preserve">, while the “press” perspective examines how situational influences such as time and autonomy impact creativity </w:t>
      </w:r>
      <w:r w:rsidR="00A55EC2" w:rsidRPr="00B4301D">
        <w:fldChar w:fldCharType="begin" w:fldLock="1"/>
      </w:r>
      <w:r w:rsidR="007C5BFF" w:rsidRPr="00B4301D">
        <w:instrText>ADDIN CSL_CITATION {"citationItems":[{"id":"ITEM-1","itemData":{"DOI":"10.1080/10400418909534321","ISSN":"1040-0419","abstract":"Abstract: The Creative Environment Scales Work Environment Inventory (WEI) is a new paper‐and‐pencil instrument designed to assess stimulants and obstacles to creativity in the work environment. Unlike many instruments that are designed as comprehensive descriptions of the work environment, the WEI focuses on those factors in the work environment that are most likely to influence the expression and development of creative ideas. Designed to be used at any level within any function of an organization, the WEI is intended as an organizational development instrument to improve the climate for creativity. Conceptually grounded in previous empirical and theoretical work on creativity and innovation, the WEI has been administered to 645 respondents drawn from five different groups. Factor analyses, scale reliabilities (internal consistencies), and between/within scale correlations indicate a high degree of integrity in the WEI scales. Furthermore, test‐retest reliability is high. Preliminary validity analyses i...","author":[{"dropping-particle":"","family":"Amabile","given":"Teresa M.","non-dropping-particle":"","parse-names":false,"suffix":""},{"dropping-particle":"","family":"Gryskiewicz","given":"Nur D.","non-dropping-particle":"","parse-names":false,"suffix":""}],"container-title":"Creativity Research Journal","id":"ITEM-1","issue":"4","issued":{"date-parts":[["1989","9"]]},"page":"231-253","publisher":" Taylor &amp; Francis Group ","title":"The creative environment scales: Work environment inventory","type":"article-journal","volume":"2"},"uris":["http://www.mendeley.com/documents/?uuid=61ad3cde-ef8b-3c9e-9f24-94146217ec75"]},{"id":"ITEM-2","itemData":{"DOI":"10.1080/10400418909534298","abstract":"Abstract: The present study empirically examined the argument that a referent climate for creative productivity would be more useful than an omnibus measure of climate for assessing the creative norms in a specific work context. A 39‐item Climate for Creative Productivity Index (CCPI) was developed to test Amabile's theory of situational factors having an impact on creativity in an organization. Questionnaire and archival data from employees of a military organization were analyzed. Results suggested that climate for creative productivity was related to criteria of effectiveness (convergent validity). In addition, the CCPI accounted for variance in our measures not captured by job satisfaction (discriminant validity).","author":[{"dropping-particle":"","family":"Witt","given":"L. Alan","non-dropping-particle":"","parse-names":false,"suffix":""},{"dropping-particle":"","family":"Beorkrem","given":"Mark N.","non-dropping-particle":"","parse-names":false,"suffix":""}],"container-title":"Creativity Research Journal","id":"ITEM-2","issue":"1-2","issued":{"date-parts":[["1989","3"]]},"page":"30-40","publisher":"Taylor &amp; Francis Group","title":"Climate for creative productivity as a predictor of research usefulness and organizational effectiveness in an r&amp;amp;d organization","type":"article-journal","volume":"2"},"uris":["http://www.mendeley.com/documents/?uuid=3b69d378-3a1c-3957-b76e-e89ad54ba949"]}],"mendeley":{"formattedCitation":"(Amabile &amp; Gryskiewicz, 1989; Witt &amp; Beorkrem, 1989)","plainTextFormattedCitation":"(Amabile &amp; Gryskiewicz, 1989; Witt &amp; Beorkrem, 1989)","previouslyFormattedCitation":"(Amabile &amp; Gryskiewicz, 1989; Witt &amp; Beorkrem, 1989)"},"properties":{"noteIndex":0},"schema":"https://github.com/citation-style-language/schema/raw/master/csl-citation.json"}</w:instrText>
      </w:r>
      <w:r w:rsidR="00A55EC2" w:rsidRPr="00B4301D">
        <w:fldChar w:fldCharType="separate"/>
      </w:r>
      <w:r w:rsidR="00A55EC2" w:rsidRPr="00B4301D">
        <w:rPr>
          <w:noProof/>
        </w:rPr>
        <w:t>(Amabile &amp; Gryskiewicz, 1989; Witt &amp; Beorkrem, 1989)</w:t>
      </w:r>
      <w:r w:rsidR="00A55EC2" w:rsidRPr="00B4301D">
        <w:fldChar w:fldCharType="end"/>
      </w:r>
      <w:r w:rsidR="00A55EC2" w:rsidRPr="00B4301D">
        <w:t>.</w:t>
      </w:r>
    </w:p>
    <w:p w14:paraId="2F4E33D7" w14:textId="29C0D776" w:rsidR="00A55EC2" w:rsidRPr="00B4301D" w:rsidRDefault="00A55EC2" w:rsidP="00A55EC2">
      <w:pPr>
        <w:spacing w:line="360" w:lineRule="auto"/>
      </w:pPr>
      <w:r w:rsidRPr="00B4301D">
        <w:tab/>
        <w:t xml:space="preserve">Finally, </w:t>
      </w:r>
      <w:r w:rsidR="00E86E75" w:rsidRPr="00B4301D">
        <w:t xml:space="preserve">there is the demarcation between creativity as a product and creativity as a process. The former includes definitions which refer to creativity as </w:t>
      </w:r>
      <w:r w:rsidR="00373205" w:rsidRPr="00B4301D">
        <w:t>“</w:t>
      </w:r>
      <w:r w:rsidR="00E86E75" w:rsidRPr="00B4301D">
        <w:t>‘making up’ something new and valuable by transforming what is into something better” (</w:t>
      </w:r>
      <w:r w:rsidR="000B325C" w:rsidRPr="00B4301D">
        <w:fldChar w:fldCharType="begin" w:fldLock="1"/>
      </w:r>
      <w:r w:rsidR="00B21430" w:rsidRPr="00B4301D">
        <w:instrText>ADDIN CSL_CITATION {"citationItems":[{"id":"ITEM-1","itemData":{"author":[{"dropping-particle":"","family":"Young","given":"J.G.","non-dropping-particle":"","parse-names":false,"suffix":""}],"container-title":"Journal of Creative Behavior","id":"ITEM-1","issue":"2","issued":{"date-parts":[["1985"]]},"page":"77-87","title":"What is creativity?","type":"article-journal","volume":"19"},"uris":["http://www.mendeley.com/documents/?uuid=ebb275a9-d49f-4e0e-ba51-aa20b00a6364"]}],"mendeley":{"formattedCitation":"(J. G. Young, 1985)","manualFormatting":"Young, 1985, p.77)","plainTextFormattedCitation":"(J. G. Young, 1985)","previouslyFormattedCitation":"(J. G. Young, 1985)"},"properties":{"noteIndex":0},"schema":"https://github.com/citation-style-language/schema/raw/master/csl-citation.json"}</w:instrText>
      </w:r>
      <w:r w:rsidR="000B325C" w:rsidRPr="00B4301D">
        <w:fldChar w:fldCharType="separate"/>
      </w:r>
      <w:r w:rsidR="000B325C" w:rsidRPr="00B4301D">
        <w:rPr>
          <w:noProof/>
        </w:rPr>
        <w:t>Young, 1985</w:t>
      </w:r>
      <w:r w:rsidR="00961A43" w:rsidRPr="00B4301D">
        <w:rPr>
          <w:noProof/>
        </w:rPr>
        <w:t>, p.77</w:t>
      </w:r>
      <w:r w:rsidR="000B325C" w:rsidRPr="00B4301D">
        <w:rPr>
          <w:noProof/>
        </w:rPr>
        <w:t>)</w:t>
      </w:r>
      <w:r w:rsidR="000B325C" w:rsidRPr="00B4301D">
        <w:fldChar w:fldCharType="end"/>
      </w:r>
      <w:r w:rsidR="00E86E75" w:rsidRPr="00B4301D">
        <w:t xml:space="preserve">, or more commonly as creating </w:t>
      </w:r>
      <w:r w:rsidR="00E86E75" w:rsidRPr="00B4301D">
        <w:lastRenderedPageBreak/>
        <w:t xml:space="preserve">something which is both novel and appropriate </w:t>
      </w:r>
      <w:r w:rsidR="00E86E75" w:rsidRPr="00B4301D">
        <w:fldChar w:fldCharType="begin" w:fldLock="1"/>
      </w:r>
      <w:r w:rsidR="00DD5139">
        <w:instrText>ADDIN CSL_CITATION {"citationItems":[{"id":"ITEM-1","itemData":{"author":[{"dropping-particle":"","family":"Ochse","given":"R.","non-dropping-particle":"","parse-names":false,"suffix":""}],"id":"ITEM-1","issued":{"date-parts":[["1990"]]},"publisher":"Cambridge University Press","publisher-place":"Cambridge, MA","title":"Before the gates of excellence: The determinants of creative genius","type":"book"},"uris":["http://www.mendeley.com/documents/?uuid=c5a60c5d-52ae-4a09-ae99-c0780635a444"]},{"id":"ITEM-2","itemData":{"DOI":"10.1207/s15326934crj1801_10org/10.1207/s15326934crj1801_10","ISSN":"1532-6934","author":[{"dropping-particle":"","family":"Sternberg","given":"R. J.","non-dropping-particle":"","parse-names":false,"suffix":""}],"container-title":"Creativity Research Journal","id":"ITEM-2","issue":"1","issued":{"date-parts":[["2006"]]},"page":"87-98","title":"The Nature of Creativity","type":"article-journal","volume":"18"},"uris":["http://www.mendeley.com/documents/?uuid=5b0a3200-018b-3686-b4b4-b5dca6e2695f"]}],"mendeley":{"formattedCitation":"(Ochse, 1990; Sternberg, 2006)","manualFormatting":"(Ochse, 1990; Sternberg, 2006)","plainTextFormattedCitation":"(Ochse, 1990; Sternberg, 2006)","previouslyFormattedCitation":"(Ochse, 1990; Sternberg, 2006)"},"properties":{"noteIndex":0},"schema":"https://github.com/citation-style-language/schema/raw/master/csl-citation.json"}</w:instrText>
      </w:r>
      <w:r w:rsidR="00E86E75" w:rsidRPr="00B4301D">
        <w:fldChar w:fldCharType="separate"/>
      </w:r>
      <w:r w:rsidR="00E86E75" w:rsidRPr="00B4301D">
        <w:rPr>
          <w:noProof/>
        </w:rPr>
        <w:t>(Ochse, 1990; Sternberg, 2006)</w:t>
      </w:r>
      <w:r w:rsidR="00E86E75" w:rsidRPr="00B4301D">
        <w:fldChar w:fldCharType="end"/>
      </w:r>
      <w:r w:rsidR="00E86E75" w:rsidRPr="00B4301D">
        <w:t xml:space="preserve">. The latter focus stresses that it is not so much the outcome which constitutes creativity but the imaginative process (Robinson, 2001). Additionally, creative thinking has been suggested to comprise of various creative cognition skills such as divergent, metaphorical and analogical thinking </w:t>
      </w:r>
      <w:r w:rsidR="00E86E75" w:rsidRPr="00B4301D">
        <w:fldChar w:fldCharType="begin" w:fldLock="1"/>
      </w:r>
      <w:r w:rsidR="004162A5" w:rsidRPr="00B4301D">
        <w:instrText>ADDIN CSL_CITATION {"citationItems":[{"id":"ITEM-1","itemData":{"author":[{"dropping-particle":"","family":"Finke","given":"R.A.","non-dropping-particle":"","parse-names":false,"suffix":""},{"dropping-particle":"","family":"Ward","given":"T.B.","non-dropping-particle":"","parse-names":false,"suffix":""},{"dropping-particle":"","family":"Smith","given":"S.M.","non-dropping-particle":"","parse-names":false,"suffix":""}],"container-title":"Handbook of Creativity","editor":[{"dropping-particle":"","family":"Sternberg","given":"R. J.","non-dropping-particle":"","parse-names":false,"suffix":""}],"id":"ITEM-1","issued":{"date-parts":[["1999"]]},"page":"189-212","publisher":"Cambridge University Press","title":"Creative Cognition","type":"chapter"},"uris":["http://www.mendeley.com/documents/?uuid=df0a1664-1a24-42b6-b9ef-91784bd6a49f"]}],"mendeley":{"formattedCitation":"(Finke, Ward, &amp; Smith, 1999)","plainTextFormattedCitation":"(Finke, Ward, &amp; Smith, 1999)","previouslyFormattedCitation":"(Finke, Ward, &amp; Smith, 1999)"},"properties":{"noteIndex":0},"schema":"https://github.com/citation-style-language/schema/raw/master/csl-citation.json"}</w:instrText>
      </w:r>
      <w:r w:rsidR="00E86E75" w:rsidRPr="00B4301D">
        <w:fldChar w:fldCharType="separate"/>
      </w:r>
      <w:r w:rsidR="00357F49" w:rsidRPr="00B4301D">
        <w:rPr>
          <w:noProof/>
        </w:rPr>
        <w:t>(Finke, Ward, &amp; Smith, 1999)</w:t>
      </w:r>
      <w:r w:rsidR="00E86E75" w:rsidRPr="00B4301D">
        <w:fldChar w:fldCharType="end"/>
      </w:r>
      <w:r w:rsidR="00E86E75" w:rsidRPr="00B4301D">
        <w:t>.</w:t>
      </w:r>
      <w:r w:rsidR="001170D7" w:rsidRPr="00B4301D">
        <w:t xml:space="preserve"> </w:t>
      </w:r>
    </w:p>
    <w:p w14:paraId="5C5C8E23" w14:textId="644A5E5B" w:rsidR="00E86E75" w:rsidRPr="00B4301D" w:rsidRDefault="00E86E75" w:rsidP="00D52861">
      <w:pPr>
        <w:pStyle w:val="Heading2"/>
        <w:spacing w:line="360" w:lineRule="auto"/>
        <w:rPr>
          <w:color w:val="auto"/>
        </w:rPr>
      </w:pPr>
      <w:r w:rsidRPr="00B4301D">
        <w:rPr>
          <w:color w:val="auto"/>
        </w:rPr>
        <w:t>1.</w:t>
      </w:r>
      <w:r w:rsidR="00A14380" w:rsidRPr="00B4301D">
        <w:rPr>
          <w:color w:val="auto"/>
        </w:rPr>
        <w:t>1</w:t>
      </w:r>
      <w:r w:rsidRPr="00B4301D">
        <w:rPr>
          <w:color w:val="auto"/>
        </w:rPr>
        <w:t>. Creativity Contextualised within Digital Games</w:t>
      </w:r>
    </w:p>
    <w:p w14:paraId="3FF1A46F" w14:textId="3F03F7D8" w:rsidR="00955A01" w:rsidRPr="00B4301D" w:rsidRDefault="007C5BFF">
      <w:pPr>
        <w:spacing w:line="360" w:lineRule="auto"/>
      </w:pPr>
      <w:r w:rsidRPr="00B4301D">
        <w:t xml:space="preserve">Creativity within the context of digital games has been granted little focus, with very few studies giving the topic undivided attention. </w:t>
      </w:r>
      <w:r w:rsidR="00955A01" w:rsidRPr="00B4301D">
        <w:t xml:space="preserve">Several studies have illustrated the benefits of digital games on creativity, for example, </w:t>
      </w:r>
      <w:proofErr w:type="spellStart"/>
      <w:r w:rsidR="00955A01" w:rsidRPr="00B4301D">
        <w:rPr>
          <w:rFonts w:cstheme="minorHAnsi"/>
        </w:rPr>
        <w:t>Moffat</w:t>
      </w:r>
      <w:proofErr w:type="spellEnd"/>
      <w:r w:rsidR="00955A01" w:rsidRPr="00B4301D">
        <w:rPr>
          <w:rFonts w:cstheme="minorHAnsi"/>
        </w:rPr>
        <w:t xml:space="preserve"> et al. </w:t>
      </w:r>
      <w:r w:rsidR="00955A01" w:rsidRPr="00B4301D">
        <w:rPr>
          <w:rFonts w:cstheme="minorHAnsi"/>
        </w:rPr>
        <w:fldChar w:fldCharType="begin" w:fldLock="1"/>
      </w:r>
      <w:r w:rsidR="00955A01" w:rsidRPr="00B4301D">
        <w:rPr>
          <w:rFonts w:cstheme="minorHAnsi"/>
        </w:rPr>
        <w:instrText>ADDIN CSL_CITATION {"citationItems":[{"id":"ITEM-1","itemData":{"author":[{"dropping-particle":"","family":"Moffat","given":"D.C","non-dropping-particle":"","parse-names":false,"suffix":""},{"dropping-particle":"","family":"Crombie","given":"W.","non-dropping-particle":"","parse-names":false,"suffix":""},{"dropping-particle":"","family":"Shabalina","given":"O.","non-dropping-particle":"","parse-names":false,"suffix":""}],"container-title":"International Journal of Game-Based Learning (IJGBL)","id":"ITEM-1","issue":"2","issued":{"date-parts":[["2017"]]},"title":"Some Video Games Can Increase the Player's Creativity","type":"article-journal","volume":"7"},"suppress-author":1,"uris":["http://www.mendeley.com/documents/?uuid=e8d8d536-1add-45aa-9375-02bee35e7784"]}],"mendeley":{"formattedCitation":"(2017)","plainTextFormattedCitation":"(2017)","previouslyFormattedCitation":"(2017)"},"properties":{"noteIndex":0},"schema":"https://github.com/citation-style-language/schema/raw/master/csl-citation.json"}</w:instrText>
      </w:r>
      <w:r w:rsidR="00955A01" w:rsidRPr="00B4301D">
        <w:rPr>
          <w:rFonts w:cstheme="minorHAnsi"/>
        </w:rPr>
        <w:fldChar w:fldCharType="separate"/>
      </w:r>
      <w:r w:rsidR="00955A01" w:rsidRPr="00B4301D">
        <w:rPr>
          <w:rFonts w:cstheme="minorHAnsi"/>
          <w:noProof/>
        </w:rPr>
        <w:t>(2017)</w:t>
      </w:r>
      <w:r w:rsidR="00955A01" w:rsidRPr="00B4301D">
        <w:rPr>
          <w:rFonts w:cstheme="minorHAnsi"/>
        </w:rPr>
        <w:fldChar w:fldCharType="end"/>
      </w:r>
      <w:r w:rsidR="00955A01" w:rsidRPr="00B4301D">
        <w:rPr>
          <w:rFonts w:cstheme="minorHAnsi"/>
        </w:rPr>
        <w:t xml:space="preserve"> examined the effect of different genres of digital games on creativity scores (measured using Torrance Tests of Creative Thinking (TTCT)), finding gameplay contributed to a more creative state of mind. Similarly, Blanco-Herrera et al. </w:t>
      </w:r>
      <w:r w:rsidR="00955A01" w:rsidRPr="00B4301D">
        <w:rPr>
          <w:rFonts w:cstheme="minorHAnsi"/>
        </w:rPr>
        <w:fldChar w:fldCharType="begin" w:fldLock="1"/>
      </w:r>
      <w:r w:rsidR="00955A01" w:rsidRPr="00B4301D">
        <w:rPr>
          <w:rFonts w:cstheme="minorHAnsi"/>
        </w:rPr>
        <w:instrText>ADDIN CSL_CITATION {"citationItems":[{"id":"ITEM-1","itemData":{"DOI":"10.1080/10400419.2019.1594524","author":[{"dropping-particle":"","family":"Blanco-Herrera","given":"Jorge A","non-dropping-particle":"","parse-names":false,"suffix":""},{"dropping-particle":"","family":"Gentile","given":"Douglas A","non-dropping-particle":"","parse-names":false,"suffix":""},{"dropping-particle":"","family":"Rokkum","given":"Jeffrey N","non-dropping-particle":"","parse-names":false,"suffix":""}],"container-title":"Creativity Research Journal","id":"ITEM-1","issue":"2","issued":{"date-parts":[["2019"]]},"page":"119-131","title":"Video Games can Increase Creativity, but with Caveats","type":"article-journal","volume":"31"},"suppress-author":1,"uris":["http://www.mendeley.com/documents/?uuid=92ca3ba2-45fe-3da8-af5f-7552e0132c37"]}],"mendeley":{"formattedCitation":"(2019)","plainTextFormattedCitation":"(2019)","previouslyFormattedCitation":"(2019)"},"properties":{"noteIndex":0},"schema":"https://github.com/citation-style-language/schema/raw/master/csl-citation.json"}</w:instrText>
      </w:r>
      <w:r w:rsidR="00955A01" w:rsidRPr="00B4301D">
        <w:rPr>
          <w:rFonts w:cstheme="minorHAnsi"/>
        </w:rPr>
        <w:fldChar w:fldCharType="separate"/>
      </w:r>
      <w:r w:rsidR="00955A01" w:rsidRPr="00B4301D">
        <w:rPr>
          <w:rFonts w:cstheme="minorHAnsi"/>
          <w:noProof/>
        </w:rPr>
        <w:t>(2019)</w:t>
      </w:r>
      <w:r w:rsidR="00955A01" w:rsidRPr="00B4301D">
        <w:rPr>
          <w:rFonts w:cstheme="minorHAnsi"/>
        </w:rPr>
        <w:fldChar w:fldCharType="end"/>
      </w:r>
      <w:r w:rsidR="00955A01" w:rsidRPr="00B4301D">
        <w:rPr>
          <w:rFonts w:cstheme="minorHAnsi"/>
        </w:rPr>
        <w:t xml:space="preserve"> used various creativity metrics such as the remote association test (RAT),</w:t>
      </w:r>
      <w:r w:rsidR="00D67D98" w:rsidRPr="00B4301D">
        <w:rPr>
          <w:rFonts w:cstheme="minorHAnsi"/>
        </w:rPr>
        <w:t xml:space="preserve"> alternative uses test (AUT) and </w:t>
      </w:r>
      <w:r w:rsidR="00955A01" w:rsidRPr="00B4301D">
        <w:rPr>
          <w:rFonts w:cstheme="minorHAnsi"/>
        </w:rPr>
        <w:t xml:space="preserve">alien drawing task (ADT) to examine the relationship between creativity and gameplay exposure using </w:t>
      </w:r>
      <w:r w:rsidR="00955A01" w:rsidRPr="00B4301D">
        <w:rPr>
          <w:rFonts w:cstheme="minorHAnsi"/>
          <w:i/>
        </w:rPr>
        <w:t xml:space="preserve">Minecraft </w:t>
      </w:r>
      <w:r w:rsidR="00955A01" w:rsidRPr="00B4301D">
        <w:rPr>
          <w:rFonts w:cstheme="minorHAnsi"/>
          <w:i/>
        </w:rPr>
        <w:fldChar w:fldCharType="begin" w:fldLock="1"/>
      </w:r>
      <w:r w:rsidR="00955A01" w:rsidRPr="00B4301D">
        <w:rPr>
          <w:rFonts w:cstheme="minorHAnsi"/>
          <w:i/>
        </w:rPr>
        <w:instrText>ADDIN CSL_CITATION {"citationItems":[{"id":"ITEM-1","itemData":{"author":[{"dropping-particle":"","family":"Mojang","given":"","non-dropping-particle":"","parse-names":false,"suffix":""}],"id":"ITEM-1","issued":{"date-parts":[["2011"]]},"publisher":"Mojang","title":"Minecraft","type":"book"},"uris":["http://www.mendeley.com/documents/?uuid=1dafb1a5-2518-48e3-be18-486298b77f71"]}],"mendeley":{"formattedCitation":"(Mojang, 2011)","plainTextFormattedCitation":"(Mojang, 2011)","previouslyFormattedCitation":"(Mojang, 2011)"},"properties":{"noteIndex":0},"schema":"https://github.com/citation-style-language/schema/raw/master/csl-citation.json"}</w:instrText>
      </w:r>
      <w:r w:rsidR="00955A01" w:rsidRPr="00B4301D">
        <w:rPr>
          <w:rFonts w:cstheme="minorHAnsi"/>
          <w:i/>
        </w:rPr>
        <w:fldChar w:fldCharType="separate"/>
      </w:r>
      <w:r w:rsidR="00955A01" w:rsidRPr="00B4301D">
        <w:rPr>
          <w:rFonts w:cstheme="minorHAnsi"/>
          <w:noProof/>
        </w:rPr>
        <w:t>(Mojang, 2011)</w:t>
      </w:r>
      <w:r w:rsidR="00955A01" w:rsidRPr="00B4301D">
        <w:rPr>
          <w:rFonts w:cstheme="minorHAnsi"/>
          <w:i/>
        </w:rPr>
        <w:fldChar w:fldCharType="end"/>
      </w:r>
      <w:r w:rsidR="00D67D98" w:rsidRPr="00B4301D">
        <w:rPr>
          <w:rFonts w:cstheme="minorHAnsi"/>
        </w:rPr>
        <w:t>. They</w:t>
      </w:r>
      <w:r w:rsidR="00955A01" w:rsidRPr="00B4301D">
        <w:rPr>
          <w:rFonts w:cstheme="minorHAnsi"/>
          <w:i/>
        </w:rPr>
        <w:t xml:space="preserve"> </w:t>
      </w:r>
      <w:r w:rsidR="00D67D98" w:rsidRPr="00B4301D">
        <w:rPr>
          <w:rFonts w:cstheme="minorHAnsi"/>
        </w:rPr>
        <w:t>identified</w:t>
      </w:r>
      <w:r w:rsidR="00955A01" w:rsidRPr="00B4301D">
        <w:rPr>
          <w:rFonts w:cstheme="minorHAnsi"/>
        </w:rPr>
        <w:t xml:space="preserve"> an overall positive correlation between self-reported gameplay exposure and trait creativity scores, </w:t>
      </w:r>
      <w:r w:rsidR="00D67D98" w:rsidRPr="00B4301D">
        <w:rPr>
          <w:rFonts w:cstheme="minorHAnsi"/>
        </w:rPr>
        <w:t>with</w:t>
      </w:r>
      <w:r w:rsidR="00955A01" w:rsidRPr="00B4301D">
        <w:rPr>
          <w:rFonts w:cstheme="minorHAnsi"/>
        </w:rPr>
        <w:t xml:space="preserve"> creativity scores </w:t>
      </w:r>
      <w:r w:rsidR="00D67D98" w:rsidRPr="00B4301D">
        <w:rPr>
          <w:rFonts w:cstheme="minorHAnsi"/>
        </w:rPr>
        <w:t>being</w:t>
      </w:r>
      <w:r w:rsidR="00955A01" w:rsidRPr="00B4301D">
        <w:rPr>
          <w:rFonts w:cstheme="minorHAnsi"/>
        </w:rPr>
        <w:t xml:space="preserve"> highest when participants were not given explicit instructions on what to do in the game</w:t>
      </w:r>
      <w:r w:rsidR="00D67D98" w:rsidRPr="00B4301D">
        <w:rPr>
          <w:rFonts w:cstheme="minorHAnsi"/>
        </w:rPr>
        <w:t xml:space="preserve"> (i.e. the game was presented in an open-ended manner)</w:t>
      </w:r>
      <w:r w:rsidR="00955A01" w:rsidRPr="00B4301D">
        <w:rPr>
          <w:rFonts w:cstheme="minorHAnsi"/>
        </w:rPr>
        <w:t xml:space="preserve">. </w:t>
      </w:r>
      <w:r w:rsidR="0089417A" w:rsidRPr="00B4301D">
        <w:rPr>
          <w:rFonts w:cstheme="minorHAnsi"/>
        </w:rPr>
        <w:t>Cognitive flexibility</w:t>
      </w:r>
      <w:r w:rsidR="00FC5A54" w:rsidRPr="00B4301D">
        <w:rPr>
          <w:rFonts w:cstheme="minorHAnsi"/>
        </w:rPr>
        <w:t>,</w:t>
      </w:r>
      <w:r w:rsidR="0089417A" w:rsidRPr="00B4301D">
        <w:rPr>
          <w:rFonts w:cstheme="minorHAnsi"/>
        </w:rPr>
        <w:t xml:space="preserve"> a key component of creative behaviour, has also been argued to be increased through gameplay, </w:t>
      </w:r>
      <w:r w:rsidR="00D968A7" w:rsidRPr="00B4301D">
        <w:rPr>
          <w:rFonts w:cstheme="minorHAnsi"/>
        </w:rPr>
        <w:t xml:space="preserve">with </w:t>
      </w:r>
      <w:r w:rsidR="0089417A" w:rsidRPr="00B4301D">
        <w:rPr>
          <w:rFonts w:cstheme="minorHAnsi"/>
        </w:rPr>
        <w:t>findings suggesting that certain types of game genre</w:t>
      </w:r>
      <w:r w:rsidR="00D968A7" w:rsidRPr="00B4301D">
        <w:rPr>
          <w:rFonts w:cstheme="minorHAnsi"/>
        </w:rPr>
        <w:t>s</w:t>
      </w:r>
      <w:r w:rsidR="0089417A" w:rsidRPr="00B4301D">
        <w:rPr>
          <w:rFonts w:cstheme="minorHAnsi"/>
        </w:rPr>
        <w:t xml:space="preserve"> such as Real-Time Strategy</w:t>
      </w:r>
      <w:r w:rsidR="00D968A7" w:rsidRPr="00B4301D">
        <w:rPr>
          <w:rFonts w:cstheme="minorHAnsi"/>
        </w:rPr>
        <w:t xml:space="preserve"> can increase cognitive flexibility </w:t>
      </w:r>
      <w:r w:rsidR="00D968A7" w:rsidRPr="00B4301D">
        <w:rPr>
          <w:rFonts w:cstheme="minorHAnsi"/>
        </w:rPr>
        <w:fldChar w:fldCharType="begin" w:fldLock="1"/>
      </w:r>
      <w:r w:rsidR="00B4301D">
        <w:rPr>
          <w:rFonts w:cstheme="minorHAnsi"/>
        </w:rPr>
        <w:instrText>ADDIN CSL_CITATION {"citationItems":[{"id":"ITEM-1","itemData":{"abstract":"Training in action video games can increase the speed of perceptual processing. However, it is unknown whether video-game training can lead to broad-based changes in higher-level competencies such as cognitive flexibility, a core and neurally distributed component of cognition. To determine whether video gaming can enhance cognitive flexibility and, if so, why these changes occur, the current study compares two versions of a real-time strategy (RTS) game. Using a meta-analytic Bayes factor approach, we found that the gaming condition that emphasized maintenance and rapid switching between multiple information and action sources led to a large increase in cognitive flexibility as measured by a wide array of non-video gaming tasks. Theoretically, the results suggest that the distributed brain networks supporting cognitive flexibility can be tuned by engrossing video game experience that stresses maintenance and rapid manipulation of multiple information sources. Practically, these results suggest avenues for increasing cognitive function. 2013 Glass et al.","author":[{"dropping-particle":"","family":"Glass","given":"B.D.","non-dropping-particle":"","parse-names":false,"suffix":""},{"dropping-particle":"","family":"Maddox","given":"W.T.","non-dropping-particle":"","parse-names":false,"suffix":""},{"dropping-particle":"","family":"Love","given":"B.C.","non-dropping-particle":"","parse-names":false,"suffix":""}],"container-title":"PLoS ONE","id":"ITEM-1","issue":"8","issued":{"date-parts":[["2013"]]},"title":"Real-Time Strategy Game Training: Emergence of a Cognitive Flexibility Trait","type":"article-journal","volume":"8"},"uris":["http://www.mendeley.com/documents/?uuid=eacd1c72-f804-4445-8aa9-ec30689a8b39"]}],"mendeley":{"formattedCitation":"(Glass, Maddox, &amp; Love, 2013)","manualFormatting":"(Glass et al., 2013)","plainTextFormattedCitation":"(Glass, Maddox, &amp; Love, 2013)","previouslyFormattedCitation":"(Glass, Maddox, &amp; Love, 2013)"},"properties":{"noteIndex":0},"schema":"https://github.com/citation-style-language/schema/raw/master/csl-citation.json"}</w:instrText>
      </w:r>
      <w:r w:rsidR="00D968A7" w:rsidRPr="00B4301D">
        <w:rPr>
          <w:rFonts w:cstheme="minorHAnsi"/>
        </w:rPr>
        <w:fldChar w:fldCharType="separate"/>
      </w:r>
      <w:r w:rsidR="00D968A7" w:rsidRPr="00B4301D">
        <w:rPr>
          <w:rFonts w:cstheme="minorHAnsi"/>
          <w:noProof/>
        </w:rPr>
        <w:t>(Glass et al., 2013)</w:t>
      </w:r>
      <w:r w:rsidR="00D968A7" w:rsidRPr="00B4301D">
        <w:rPr>
          <w:rFonts w:cstheme="minorHAnsi"/>
        </w:rPr>
        <w:fldChar w:fldCharType="end"/>
      </w:r>
      <w:r w:rsidR="00D968A7" w:rsidRPr="00B4301D">
        <w:rPr>
          <w:rFonts w:cstheme="minorHAnsi"/>
        </w:rPr>
        <w:t xml:space="preserve"> and, also slow cognitive decline in older adults </w:t>
      </w:r>
      <w:r w:rsidR="00D968A7" w:rsidRPr="00B4301D">
        <w:rPr>
          <w:rFonts w:cstheme="minorHAnsi"/>
        </w:rPr>
        <w:fldChar w:fldCharType="begin" w:fldLock="1"/>
      </w:r>
      <w:r w:rsidR="00D968A7" w:rsidRPr="00B4301D">
        <w:rPr>
          <w:rFonts w:cstheme="minorHAnsi"/>
        </w:rPr>
        <w:instrText>ADDIN CSL_CITATION {"citationItems":[{"id":"ITEM-1","itemData":{"DOI":"10.1037/a0013494","ISSN":"1939-1498","author":[{"dropping-particle":"","family":"Basak","given":"Chandramallika","non-dropping-particle":"","parse-names":false,"suffix":""},{"dropping-particle":"","family":"Boot","given":"Walter R.","non-dropping-particle":"","parse-names":false,"suffix":""},{"dropping-particle":"","family":"Voss","given":"Michelle W.","non-dropping-particle":"","parse-names":false,"suffix":""},{"dropping-particle":"","family":"Kramer","given":"Arthur F.","non-dropping-particle":"","parse-names":false,"suffix":""}],"container-title":"Psychology and Aging","id":"ITEM-1","issue":"4","issued":{"date-parts":[["2008"]]},"page":"765-777","title":"Can training in a real-time strategy video game attenuate cognitive decline in older adults?","type":"article-journal","volume":"23"},"uris":["http://www.mendeley.com/documents/?uuid=c2976cc4-af9b-3117-b7b9-91941ae2bdab"]}],"mendeley":{"formattedCitation":"(Basak, Boot, Voss, &amp; Kramer, 2008)","manualFormatting":"(Basak et al., 2008)","plainTextFormattedCitation":"(Basak, Boot, Voss, &amp; Kramer, 2008)","previouslyFormattedCitation":"(Basak, Boot, Voss, &amp; Kramer, 2008)"},"properties":{"noteIndex":0},"schema":"https://github.com/citation-style-language/schema/raw/master/csl-citation.json"}</w:instrText>
      </w:r>
      <w:r w:rsidR="00D968A7" w:rsidRPr="00B4301D">
        <w:rPr>
          <w:rFonts w:cstheme="minorHAnsi"/>
        </w:rPr>
        <w:fldChar w:fldCharType="separate"/>
      </w:r>
      <w:r w:rsidR="00D968A7" w:rsidRPr="00B4301D">
        <w:rPr>
          <w:rFonts w:cstheme="minorHAnsi"/>
          <w:noProof/>
        </w:rPr>
        <w:t>(Basak et al., 2008)</w:t>
      </w:r>
      <w:r w:rsidR="00D968A7" w:rsidRPr="00B4301D">
        <w:rPr>
          <w:rFonts w:cstheme="minorHAnsi"/>
        </w:rPr>
        <w:fldChar w:fldCharType="end"/>
      </w:r>
      <w:r w:rsidR="00D968A7" w:rsidRPr="00B4301D">
        <w:rPr>
          <w:rFonts w:cstheme="minorHAnsi"/>
        </w:rPr>
        <w:t xml:space="preserve">. </w:t>
      </w:r>
    </w:p>
    <w:p w14:paraId="718CF4B8" w14:textId="0FA2C152" w:rsidR="00D67D98" w:rsidRPr="00B4301D" w:rsidRDefault="00D923B8" w:rsidP="00D923B8">
      <w:pPr>
        <w:spacing w:line="360" w:lineRule="auto"/>
        <w:ind w:firstLine="720"/>
      </w:pPr>
      <w:r w:rsidRPr="00B4301D">
        <w:t xml:space="preserve">The propensity of digital games to contribute towards greater creativity can also be seen in terms of learning, where creativity is argued to be a highly transferrable skill and incorporates a variety of traits and abilities such as problem-solving </w:t>
      </w:r>
      <w:r w:rsidRPr="00B4301D">
        <w:fldChar w:fldCharType="begin" w:fldLock="1"/>
      </w:r>
      <w:r w:rsidR="00BD4DD6" w:rsidRPr="00B4301D">
        <w:instrText>ADDIN CSL_CITATION {"citationItems":[{"id":"ITEM-1","itemData":{"DOI":"10.1016/j.compedu.2015.03.023","ISBN":"0360-1315","ISSN":"03601315","abstract":"There are currently a number of models, frameworks and methodologies for serious games analysis and design that provide useful interpretations of the possibilities and limitations offered by serious games. However, these tools focus mostly on high-level aspects and requirements and do not help understand how such high-level requirements can be concretely satisfied. In this paper, we present a conceptual model, called Activity Theory-based Model of Serious Games (ATMSG), that aims to fill this gap. ATMSG supports a systematic and detailed representation of educational serious games, depicting the ways that game elements are connected to each other throughout the game, and how these elements contribute to the achievement of the desired pedagogical goals. Three evaluation studies indicate that ATMSG helped participants, particularly those with gaming experience, identify and understand the roles of each component in the game and recognize the game's educational objectives.","author":[{"dropping-particle":"","family":"Carvalho","given":"Maira B.","non-dropping-particle":"","parse-names":false,"suffix":""},{"dropping-particle":"","family":"Bellotti","given":"Francesco","non-dropping-particle":"","parse-names":false,"suffix":""},{"dropping-particle":"","family":"Berta","given":"Riccardo","non-dropping-particle":"","parse-names":false,"suffix":""},{"dropping-particle":"","family":"Gloria","given":"Alessandro","non-dropping-particle":"De","parse-names":false,"suffix":""},{"dropping-particle":"","family":"Sedano","given":"Carolina Islas","non-dropping-particle":"","parse-names":false,"suffix":""},{"dropping-particle":"","family":"Hauge","given":"Jannicke Baalsrud","non-dropping-particle":"","parse-names":false,"suffix":""},{"dropping-particle":"","family":"Hu","given":"Jun","non-dropping-particle":"","parse-names":false,"suffix":""},{"dropping-particle":"","family":"Rauterberg","given":"Matthias","non-dropping-particle":"","parse-names":false,"suffix":""}],"container-title":"Computers and Education","id":"ITEM-1","issued":{"date-parts":[["2015"]]},"page":"166-181","publisher":"Elsevier Ltd","title":"An activity theory-based model for serious games analysis and conceptual design","type":"article-journal","volume":"87"},"uris":["http://www.mendeley.com/documents/?uuid=3a540bfc-8184-4f2e-a71b-d58f242b983f"]},{"id":"ITEM-2","itemData":{"DOI":"10.1016/0361-476X(89)90010-6","ISBN":"0361476X","ISSN":"10902384","abstract":"What is creativity and how can we foster it in our students? According to cognitive views of creativity, creative problem solving can be defined as producing a novel method of solving a new problem. Creative teaching occurs when a teacher teaches subject matter in ways that help students to transfer what they have learned to creative problem solving. Three examples involving science, mathematics, and computing problems are presented to show how teaching with analogical models can lead to improvements in students' creativity. Creative learning occurs when students use active learning strategies for mentally representing new material in ways that lead to problem solving transfer. Three examples involving science, mathematics, and computing problems are presented to demonstrate how learning strategies for forming mental representations can lead to improvements in students' creativity. New developments in cognitive theories of transfer, mental models, and learning strategies are likely to contribute to our understanding of how to foster creativity in our students. ?? 1989.","author":[{"dropping-particle":"","family":"Mayer","given":"Richard E.","non-dropping-particle":"","parse-names":false,"suffix":""}],"container-title":"Contemporary Educational Psychology","id":"ITEM-2","issue":"3","issued":{"date-parts":[["1989"]]},"page":"203-211","title":"Cognitive views of creativity: Creative teaching for creative learning","type":"article-journal","volume":"14"},"uris":["http://www.mendeley.com/documents/?uuid=9119f2c4-114f-4b8d-af4f-aa920aca40e6"]}],"mendeley":{"formattedCitation":"(Carvalho et al., 2015; Mayer, 1989)","plainTextFormattedCitation":"(Carvalho et al., 2015; Mayer, 1989)","previouslyFormattedCitation":"(Carvalho et al., 2015; Mayer, 1989)"},"properties":{"noteIndex":0},"schema":"https://github.com/citation-style-language/schema/raw/master/csl-citation.json"}</w:instrText>
      </w:r>
      <w:r w:rsidRPr="00B4301D">
        <w:fldChar w:fldCharType="separate"/>
      </w:r>
      <w:r w:rsidRPr="00B4301D">
        <w:rPr>
          <w:noProof/>
        </w:rPr>
        <w:t>(Carvalho et al., 2015; Mayer, 1989)</w:t>
      </w:r>
      <w:r w:rsidRPr="00B4301D">
        <w:fldChar w:fldCharType="end"/>
      </w:r>
      <w:r w:rsidRPr="00B4301D">
        <w:t xml:space="preserve">, openness </w:t>
      </w:r>
      <w:r w:rsidRPr="00B4301D">
        <w:fldChar w:fldCharType="begin" w:fldLock="1"/>
      </w:r>
      <w:r w:rsidRPr="00B4301D">
        <w:instrText>ADDIN CSL_CITATION {"citationItems":[{"id":"ITEM-1","itemData":{"author":[{"dropping-particle":"","family":"Rogers","given":"C.","non-dropping-particle":"","parse-names":false,"suffix":""}],"id":"ITEM-1","issued":{"date-parts":[["1961"]]},"publisher":"Houghton Mifflin","publisher-place":"Boston, MA","title":"On Becomming a Person","type":"book"},"uris":["http://www.mendeley.com/documents/?uuid=796c361f-3587-464d-9c4d-693c898662ac"]}],"mendeley":{"formattedCitation":"(Rogers, 1961)","plainTextFormattedCitation":"(Rogers, 1961)","previouslyFormattedCitation":"(Rogers, 1961)"},"properties":{"noteIndex":0},"schema":"https://github.com/citation-style-language/schema/raw/master/csl-citation.json"}</w:instrText>
      </w:r>
      <w:r w:rsidRPr="00B4301D">
        <w:fldChar w:fldCharType="separate"/>
      </w:r>
      <w:r w:rsidRPr="00B4301D">
        <w:rPr>
          <w:noProof/>
        </w:rPr>
        <w:t>(Rogers, 1961)</w:t>
      </w:r>
      <w:r w:rsidRPr="00B4301D">
        <w:fldChar w:fldCharType="end"/>
      </w:r>
      <w:r w:rsidRPr="00B4301D">
        <w:t xml:space="preserve">, adaptability and cognitive flexibility </w:t>
      </w:r>
      <w:r w:rsidRPr="00B4301D">
        <w:fldChar w:fldCharType="begin" w:fldLock="1"/>
      </w:r>
      <w:r w:rsidRPr="00B4301D">
        <w:instrText>ADDIN CSL_CITATION {"citationItems":[{"id":"ITEM-1","itemData":{"DOI":"10.1146/annurev.psych.55.090902.141502","author":[{"dropping-particle":"","family":"Runco","given":"Mark A.","non-dropping-particle":"","parse-names":false,"suffix":""}],"container-title":"Annu. Rev. Psychol","id":"ITEM-1","issued":{"date-parts":[["2004"]]},"page":"657-87","title":"Creativity","type":"article-journal","volume":"55"},"uris":["http://www.mendeley.com/documents/?uuid=1ec2b3f4-1dc7-3dfd-a9ab-4b83b0e4f87d"]}],"mendeley":{"formattedCitation":"(Runco, 2004)","plainTextFormattedCitation":"(Runco, 2004)","previouslyFormattedCitation":"(Runco, 2004)"},"properties":{"noteIndex":0},"schema":"https://github.com/citation-style-language/schema/raw/master/csl-citation.json"}</w:instrText>
      </w:r>
      <w:r w:rsidRPr="00B4301D">
        <w:fldChar w:fldCharType="separate"/>
      </w:r>
      <w:r w:rsidRPr="00B4301D">
        <w:rPr>
          <w:noProof/>
        </w:rPr>
        <w:t>(Runco, 2004)</w:t>
      </w:r>
      <w:r w:rsidRPr="00B4301D">
        <w:fldChar w:fldCharType="end"/>
      </w:r>
      <w:r w:rsidRPr="00B4301D">
        <w:t xml:space="preserve">. The education system is increasingly focusing on transferrable skills which are argued to be crucial in the new digital age, with several frameworks such as the </w:t>
      </w:r>
      <w:r w:rsidRPr="00B4301D">
        <w:rPr>
          <w:rFonts w:cstheme="minorHAnsi"/>
        </w:rPr>
        <w:t>21</w:t>
      </w:r>
      <w:r w:rsidRPr="00B4301D">
        <w:rPr>
          <w:rFonts w:cstheme="minorHAnsi"/>
          <w:vertAlign w:val="superscript"/>
        </w:rPr>
        <w:t>st</w:t>
      </w:r>
      <w:r w:rsidRPr="00B4301D">
        <w:rPr>
          <w:rFonts w:cstheme="minorHAnsi"/>
        </w:rPr>
        <w:t xml:space="preserve"> Century Learning Framework </w:t>
      </w:r>
      <w:r w:rsidRPr="00B4301D">
        <w:rPr>
          <w:rFonts w:cstheme="minorHAnsi"/>
        </w:rPr>
        <w:fldChar w:fldCharType="begin" w:fldLock="1"/>
      </w:r>
      <w:r w:rsidRPr="00B4301D">
        <w:rPr>
          <w:rFonts w:cstheme="minorHAnsi"/>
        </w:rPr>
        <w:instrText>ADDIN CSL_CITATION {"citationItems":[{"id":"ITEM-1","itemData":{"author":[{"dropping-particle":"","family":"Partnership for 21st Century Skills","given":"","non-dropping-particle":"","parse-names":false,"suffix":""}],"id":"ITEM-1","issued":{"date-parts":[["2019"]]},"title":"Partnership for 21st Century Learning: A Network of Battelle for Kids","type":"book"},"uris":["http://www.mendeley.com/documents/?uuid=7b36ea25-5ae5-4606-b409-8329c700a60d"]}],"mendeley":{"formattedCitation":"(Partnership for 21st Century Skills, 2019)","plainTextFormattedCitation":"(Partnership for 21st Century Skills, 2019)","previouslyFormattedCitation":"(Partnership for 21st Century Skills, 2019)"},"properties":{"noteIndex":0},"schema":"https://github.com/citation-style-language/schema/raw/master/csl-citation.json"}</w:instrText>
      </w:r>
      <w:r w:rsidRPr="00B4301D">
        <w:rPr>
          <w:rFonts w:cstheme="minorHAnsi"/>
        </w:rPr>
        <w:fldChar w:fldCharType="separate"/>
      </w:r>
      <w:r w:rsidRPr="00B4301D">
        <w:rPr>
          <w:rFonts w:cstheme="minorHAnsi"/>
          <w:noProof/>
        </w:rPr>
        <w:t>(Partnership for 21st Century Skills, 2019)</w:t>
      </w:r>
      <w:r w:rsidRPr="00B4301D">
        <w:rPr>
          <w:rFonts w:cstheme="minorHAnsi"/>
        </w:rPr>
        <w:fldChar w:fldCharType="end"/>
      </w:r>
      <w:r w:rsidRPr="00B4301D">
        <w:rPr>
          <w:rFonts w:cstheme="minorHAnsi"/>
        </w:rPr>
        <w:t xml:space="preserve">, Knowledge Age Skills Framework </w:t>
      </w:r>
      <w:r w:rsidRPr="00B4301D">
        <w:rPr>
          <w:rFonts w:cstheme="minorHAnsi"/>
        </w:rPr>
        <w:fldChar w:fldCharType="begin" w:fldLock="1"/>
      </w:r>
      <w:r w:rsidRPr="00B4301D">
        <w:rPr>
          <w:rFonts w:cstheme="minorHAnsi"/>
        </w:rPr>
        <w:instrText>ADDIN CSL_CITATION {"citationItems":[{"id":"ITEM-1","itemData":{"ISBN":"978-1-60876-261-3","abstract":"This chapter considers how 'meaningful learning' can be understood in   the context of knowledge-age skills. Through a study conducted in Second   Life it investigates whether terms such as 'authentic', 'active' and   'collaborative' can be applied to activities undertaken in virtual   worlds. It examines the knowledge-age skills employed in virtual worlds,   relating these skills to the characteristics of the learning   environment. Finally, it asks whether the distinction between meaningful   and non-meaningful learning environments is more important for the   development of knowledge-age skills than the distinction between formal   and informal situations or between staff-run and student-run situations.","author":[{"dropping-particle":"","family":"Clough","given":"Gill","non-dropping-particle":"","parse-names":false,"suffix":""},{"dropping-particle":"","family":"Ferguson","given":"Rebecca","non-dropping-particle":"","parse-names":false,"suffix":""}],"container-title":"Virtual Worlds: Controversies at the Frontier of Education","id":"ITEM-1","issued":{"date-parts":[["2010"]]},"title":"Virtual worlds are authentic sites for learning","type":"article-journal"},"uris":["http://www.mendeley.com/documents/?uuid=8220b2dd-f01b-3b83-a61c-d113af102ff7"]}],"mendeley":{"formattedCitation":"(Clough &amp; Ferguson, 2010)","plainTextFormattedCitation":"(Clough &amp; Ferguson, 2010)","previouslyFormattedCitation":"(Clough &amp; Ferguson, 2010)"},"properties":{"noteIndex":0},"schema":"https://github.com/citation-style-language/schema/raw/master/csl-citation.json"}</w:instrText>
      </w:r>
      <w:r w:rsidRPr="00B4301D">
        <w:rPr>
          <w:rFonts w:cstheme="minorHAnsi"/>
        </w:rPr>
        <w:fldChar w:fldCharType="separate"/>
      </w:r>
      <w:r w:rsidRPr="00B4301D">
        <w:rPr>
          <w:rFonts w:cstheme="minorHAnsi"/>
          <w:noProof/>
        </w:rPr>
        <w:t>(Clough &amp; Ferguson, 2010)</w:t>
      </w:r>
      <w:r w:rsidRPr="00B4301D">
        <w:rPr>
          <w:rFonts w:cstheme="minorHAnsi"/>
        </w:rPr>
        <w:fldChar w:fldCharType="end"/>
      </w:r>
      <w:r w:rsidRPr="00B4301D">
        <w:rPr>
          <w:rFonts w:cstheme="minorHAnsi"/>
        </w:rPr>
        <w:t xml:space="preserve"> and the European Commission’s Digital Competence Framework </w:t>
      </w:r>
      <w:r w:rsidRPr="00B4301D">
        <w:rPr>
          <w:rFonts w:cstheme="minorHAnsi"/>
        </w:rPr>
        <w:fldChar w:fldCharType="begin" w:fldLock="1"/>
      </w:r>
      <w:r w:rsidRPr="00B4301D">
        <w:rPr>
          <w:rFonts w:cstheme="minorHAnsi"/>
        </w:rPr>
        <w:instrText>ADDIN CSL_CITATION {"citationItems":[{"id":"ITEM-1","itemData":{"DOI":"10.2760/112945","ISBN":"9789279799013","ISSN":"1831-9424","abstract":"The purpose of this Guide is to support stakeholders with the sharing of experiences of existing inspiring DigComp implementations. Since the publication of the first DigComp Framework in 2013 two new versions have been released, the latest one in spring 2017. The open consultation process underlying these developments and the publication of accompanying documents beyond the official DigComp reports have been largely appreciated. However, the evolution of the framework has made apparent a need for further guidance. Therefore this Guide also intends to provide up-to-date information on the DigComp framework. Questions on translations, other frameworks and DigComp versions are addressed in Section 3.","author":[{"dropping-particle":"","family":"Kluzer","given":"Stefano;","non-dropping-particle":"","parse-names":false,"suffix":""},{"dropping-particle":"","family":"Pujol Priego","given":"Laia;","non-dropping-particle":"","parse-names":false,"suffix":""},{"dropping-particle":"","family":"Carretero","given":"Stephanie;","non-dropping-particle":"","parse-names":false,"suffix":""},{"dropping-particle":"","family":"Punie","given":"Yves;","non-dropping-particle":"","parse-names":false,"suffix":""},{"dropping-particle":"","family":"Vuorikari","given":"Riina;","non-dropping-particle":"","parse-names":false,"suffix":""},{"dropping-particle":"","family":"Cabrera, Marcelino; Keeffe","given":"William","non-dropping-particle":"","parse-names":false,"suffix":""}],"id":"ITEM-1","issued":{"date-parts":[["2018"]]},"number-of-pages":"140","publisher":"Publications Office of the European Union","title":"DigComp into action, get inspired make it happen: A user guide to the European Digital Competence framework.","type":"report"},"uris":["http://www.mendeley.com/documents/?uuid=8efdc6f0-16e1-495b-ae92-d76308c06504"]}],"mendeley":{"formattedCitation":"(Kluzer et al., 2018)","plainTextFormattedCitation":"(Kluzer et al., 2018)","previouslyFormattedCitation":"(Kluzer et al., 2018)"},"properties":{"noteIndex":0},"schema":"https://github.com/citation-style-language/schema/raw/master/csl-citation.json"}</w:instrText>
      </w:r>
      <w:r w:rsidRPr="00B4301D">
        <w:rPr>
          <w:rFonts w:cstheme="minorHAnsi"/>
        </w:rPr>
        <w:fldChar w:fldCharType="separate"/>
      </w:r>
      <w:r w:rsidRPr="00B4301D">
        <w:rPr>
          <w:rFonts w:cstheme="minorHAnsi"/>
          <w:noProof/>
        </w:rPr>
        <w:t>(Kluzer et al., 2018)</w:t>
      </w:r>
      <w:r w:rsidRPr="00B4301D">
        <w:rPr>
          <w:rFonts w:cstheme="minorHAnsi"/>
        </w:rPr>
        <w:fldChar w:fldCharType="end"/>
      </w:r>
      <w:r w:rsidRPr="00B4301D">
        <w:rPr>
          <w:rFonts w:cstheme="minorHAnsi"/>
        </w:rPr>
        <w:t xml:space="preserve"> highlighting creativity as an important skill for the growing economy. </w:t>
      </w:r>
    </w:p>
    <w:p w14:paraId="0B6B7228" w14:textId="1DFAD6FF" w:rsidR="006A5D84" w:rsidRPr="00B4301D" w:rsidRDefault="006A5D84" w:rsidP="00D67D98">
      <w:pPr>
        <w:spacing w:line="360" w:lineRule="auto"/>
        <w:ind w:firstLine="720"/>
      </w:pPr>
      <w:r w:rsidRPr="00B4301D">
        <w:t>The act of play is often viewed as an inherently creative process which allows us to approach novel and challenging situations in a way that is free from the constraints of our external milieu, allowing us to experiment with alternative solutions and approach problems in ways we would otherwise not have done (</w:t>
      </w:r>
      <w:proofErr w:type="spellStart"/>
      <w:r w:rsidRPr="00B4301D">
        <w:t>Basadur</w:t>
      </w:r>
      <w:proofErr w:type="spellEnd"/>
      <w:r w:rsidRPr="00B4301D">
        <w:t xml:space="preserve">, 1994; </w:t>
      </w:r>
      <w:proofErr w:type="spellStart"/>
      <w:r w:rsidRPr="00B4301D">
        <w:t>Mainemelis</w:t>
      </w:r>
      <w:proofErr w:type="spellEnd"/>
      <w:r w:rsidRPr="00B4301D">
        <w:t xml:space="preserve"> &amp; </w:t>
      </w:r>
      <w:proofErr w:type="spellStart"/>
      <w:r w:rsidRPr="00B4301D">
        <w:t>Ronson</w:t>
      </w:r>
      <w:proofErr w:type="spellEnd"/>
      <w:r w:rsidRPr="00B4301D">
        <w:t xml:space="preserve">, 2006; </w:t>
      </w:r>
      <w:proofErr w:type="spellStart"/>
      <w:r w:rsidRPr="00B4301D">
        <w:t>Runco</w:t>
      </w:r>
      <w:proofErr w:type="spellEnd"/>
      <w:r w:rsidRPr="00B4301D">
        <w:t xml:space="preserve"> &amp; Sakamoto, 1999). Ill-structured </w:t>
      </w:r>
      <w:r w:rsidR="000A0D51" w:rsidRPr="00B4301D">
        <w:t xml:space="preserve">challenges </w:t>
      </w:r>
      <w:r w:rsidRPr="00B4301D">
        <w:t xml:space="preserve">have been argued to be especially good at fostering creativity and contributing </w:t>
      </w:r>
      <w:r w:rsidRPr="00B4301D">
        <w:lastRenderedPageBreak/>
        <w:t xml:space="preserve">to intrinsically motivating flow experiences </w:t>
      </w:r>
      <w:r w:rsidRPr="00B4301D">
        <w:fldChar w:fldCharType="begin" w:fldLock="1"/>
      </w:r>
      <w:r w:rsidRPr="00B4301D">
        <w:instrText>ADDIN CSL_CITATION {"citationItems":[{"id":"ITEM-1","itemData":{"DOI":"10.1016/j.iheduc.2004.12.001","ISBN":"1096-7516","ISSN":"10967516","abstract":"Online games satisfy the basic requirements of learning environments and can provide engaging learning experiences for students. However, a model that successfully integrates educational theory and game design aspects do not exist. Thus, in this paper an experiential gaming model that is based on experiential learning theory, flow theory and game design is presented. The model stresses the importance of providing the player with immediate feedback, clear goals and challenges that are matched to his/her skill level. The flow theory is used as a framework to facilitate positive user experience in order to maximize the impact of educational games. Especially, the factors that contribute to flow experience are discussed. The experiential gaming model can be used to design and analyse educational computer games. However, the model works only as a link between educational theory and game design and does not provide the means to a whole game design project. © 2005 Elsevier Inc. All rights reserved.","author":[{"dropping-particle":"","family":"Kiili","given":"Kristian","non-dropping-particle":"","parse-names":false,"suffix":""}],"container-title":"Internet and Higher Education","id":"ITEM-1","issue":"1","issued":{"date-parts":[["2005"]]},"page":"13-24","title":"Digital game-based learning: Towards an experiential gaming model","type":"article-journal","volume":"8"},"uris":["http://www.mendeley.com/documents/?uuid=42b2db3f-e3ca-49af-bf02-bbe5fc1932be"]}],"mendeley":{"formattedCitation":"(Kiili, 2005)","plainTextFormattedCitation":"(Kiili, 2005)","previouslyFormattedCitation":"(Kiili, 2005)"},"properties":{"noteIndex":0},"schema":"https://github.com/citation-style-language/schema/raw/master/csl-citation.json"}</w:instrText>
      </w:r>
      <w:r w:rsidRPr="00B4301D">
        <w:fldChar w:fldCharType="separate"/>
      </w:r>
      <w:r w:rsidRPr="00B4301D">
        <w:rPr>
          <w:noProof/>
        </w:rPr>
        <w:t>(Kiili, 2005)</w:t>
      </w:r>
      <w:r w:rsidRPr="00B4301D">
        <w:fldChar w:fldCharType="end"/>
      </w:r>
      <w:r w:rsidR="000A0D51" w:rsidRPr="00B4301D">
        <w:t xml:space="preserve">. </w:t>
      </w:r>
      <w:r w:rsidRPr="00B4301D">
        <w:t xml:space="preserve">Games are apt at providing players with ill-structured problems while gameplay appears to aid the development of problem-solving skills and creativity by allowing players to link abstract concepts to concrete gaming experience </w:t>
      </w:r>
      <w:r w:rsidRPr="00B4301D">
        <w:fldChar w:fldCharType="begin" w:fldLock="1"/>
      </w:r>
      <w:r w:rsidRPr="00B4301D">
        <w:instrText>ADDIN CSL_CITATION {"citationItems":[{"id":"ITEM-1","itemData":{"DOI":"10.1016/j.compedu.2010.05.011","abstract":"a b s t r a c t Nurturing children into thinking creatively needs to take account of what interest them. Therefore, the study conducted engaged students with computer games development as it corresponded with the young generation's habits and interests. This was done with the purpose to enhance the creative process experienced by students. It involved 69 Malaysian form one (grade seven) students, aged 13–14 year-old. Appreciative learning approach, which consisted of discover, dream, design and destiny stages, was applied in treatment group whiles control group applied self-paced learning, followed by do-it-yourself session. Findings showed students in treatment group gained accelerated mean score in creative process experienced on the second week and stabilized thereafter for the following weeks. These mean scores were significantly higher than control group, throughout the study. Although students in control group exhibited significantly lower mean scores in creative process, yet these mean scores gradually getting higher and higher each week significantly. As a conclusion, appreciative learning approach contributes significantly on the level of creative process experienced by students. However, creative process expe-rienced did not happen in a clear-cut order of inspiration, clarification, evaluation, distillation, incuba-tion, perspiration (ICEDIP). In addition, it is not true that without appreciative learning approach, students will not experience any creative process. Creative process happens all the time when the mind is active but the level can be accelerated by appropriate pedagogical approach. Caution is warranted, as this article is just part of the action research being carried out in applying appreciative learning approach as a teaching practice in computer games development class.","author":[{"dropping-particle":"","family":"Leng","given":"Eow Yee","non-dropping-particle":"","parse-names":false,"suffix":""},{"dropping-particle":"","family":"Zah","given":"Wan","non-dropping-particle":"","parse-names":false,"suffix":""},{"dropping-particle":"","family":"Ali","given":"Wan","non-dropping-particle":"","parse-names":false,"suffix":""},{"dropping-particle":"","family":"Mahmud","given":"Rosnaini Bt","non-dropping-particle":"","parse-names":false,"suffix":""},{"dropping-particle":"","family":"Baki","given":"Roselan","non-dropping-particle":"","parse-names":false,"suffix":""}],"container-title":"Computers &amp; Education","id":"ITEM-1","issued":{"date-parts":[["2010"]]},"page":"1131-1144","title":"Computer games development experience and appreciative learning approach for creative process enhancement","type":"article-journal","volume":"55"},"uris":["http://www.mendeley.com/documents/?uuid=88b4f74f-b229-3122-b7a9-0f64e6b220ed"]}],"mendeley":{"formattedCitation":"(Leng, Zah, Ali, Mahmud, &amp; Baki, 2010)","manualFormatting":"(Leng et al., 2010)","plainTextFormattedCitation":"(Leng, Zah, Ali, Mahmud, &amp; Baki, 2010)","previouslyFormattedCitation":"(Leng, Zah, Ali, Mahmud, &amp; Baki, 2010)"},"properties":{"noteIndex":0},"schema":"https://github.com/citation-style-language/schema/raw/master/csl-citation.json"}</w:instrText>
      </w:r>
      <w:r w:rsidRPr="00B4301D">
        <w:fldChar w:fldCharType="separate"/>
      </w:r>
      <w:r w:rsidRPr="00B4301D">
        <w:rPr>
          <w:noProof/>
        </w:rPr>
        <w:t>(Leng et al., 2010)</w:t>
      </w:r>
      <w:r w:rsidRPr="00B4301D">
        <w:fldChar w:fldCharType="end"/>
      </w:r>
      <w:r w:rsidRPr="00B4301D">
        <w:t xml:space="preserve">. </w:t>
      </w:r>
      <w:r w:rsidR="00D923B8" w:rsidRPr="00B4301D">
        <w:rPr>
          <w:rFonts w:cstheme="minorHAnsi"/>
        </w:rPr>
        <w:t xml:space="preserve">Furthermore, </w:t>
      </w:r>
      <w:r w:rsidR="00D923B8" w:rsidRPr="00B4301D">
        <w:t xml:space="preserve">previous findings have suggested that the positive emotions elicited through gameplay may also act as an important facilitator of creative performance </w:t>
      </w:r>
      <w:r w:rsidR="00D923B8" w:rsidRPr="00B4301D">
        <w:fldChar w:fldCharType="begin" w:fldLock="1"/>
      </w:r>
      <w:r w:rsidR="00D923B8" w:rsidRPr="00B4301D">
        <w:instrText>ADDIN CSL_CITATION {"citationItems":[{"id":"ITEM-1","itemData":{"DOI":"10.1016/j.chb.2015.10.037","ISBN":"0747-5632(Print)","ISSN":"07475632","abstract":"Emotion has been identified as an important predictor of creativity, but little attention has been put on investigating how emotion, especially that considers regulation focus, may dynamically influence male and female students' creativity in game-based situations. To explore the dynamic relationship between various types of emotions and creativity during game playing, 266 college students were included and the Creativity Game-based Evaluation System (CGES) was developed in this study. Four types of emotions integrating perspectives of valence (positive vs. negative), activation (high vs. low), and regulatory focus (prevention vs. promotion) were investigated in this study: the positive-low activation-prevention emotion (P-L-Pre) (calm and relaxed), the positive-high activation-promotion emotion (P-H-Pro) (happy and elated), the negative-high activation-prevention emotion (N-H-Pre) (nervous and anxious), and the negative-high activation-promotion emotion (N-H-Pro) (frustrated and angry). The results revealed that, although there was a slight gender difference in game-based creativity, the prediction patterns of emotions in game-based creativity were very similar among participants with different genders. Specifically, emotions during game playing can better predict creativity than those of the baseline; moreover, the P-H-Pro emotion can facilitate performance on creativity, whereas the N-H-Pro emotion can decrease creativity performance. Thus, providing appropriate challenges to induce highly-activated and promotion-focused positive emotions are critical for the success of games designed to improve creativity.","author":[{"dropping-particle":"","family":"Yeh","given":"Yu chu","non-dropping-particle":"","parse-names":false,"suffix":""},{"dropping-particle":"","family":"Lai","given":"Ssu Chi","non-dropping-particle":"","parse-names":false,"suffix":""},{"dropping-particle":"","family":"Lin","given":"Chung Wei","non-dropping-particle":"","parse-names":false,"suffix":""}],"container-title":"Computers in Human Behavior","id":"ITEM-1","issued":{"date-parts":[["2016"]]},"page":"817-825","publisher":"Elsevier Ltd","title":"The dynamic influence of emotions on game-based creativity: An integrated analysis of emotional valence, activation strength, and regulation focus","type":"article-journal","volume":"55"},"uris":["http://www.mendeley.com/documents/?uuid=b386acff-12e8-4268-96f0-cf788936828e"]}],"mendeley":{"formattedCitation":"(Yeh, Lai, &amp; Lin, 2016)","manualFormatting":"(Yeh et al., 2016)","plainTextFormattedCitation":"(Yeh, Lai, &amp; Lin, 2016)","previouslyFormattedCitation":"(Yeh, Lai, &amp; Lin, 2016)"},"properties":{"noteIndex":0},"schema":"https://github.com/citation-style-language/schema/raw/master/csl-citation.json"}</w:instrText>
      </w:r>
      <w:r w:rsidR="00D923B8" w:rsidRPr="00B4301D">
        <w:fldChar w:fldCharType="separate"/>
      </w:r>
      <w:r w:rsidR="00D923B8" w:rsidRPr="00B4301D">
        <w:rPr>
          <w:noProof/>
        </w:rPr>
        <w:t>(Yeh et al., 2016)</w:t>
      </w:r>
      <w:r w:rsidR="00D923B8" w:rsidRPr="00B4301D">
        <w:fldChar w:fldCharType="end"/>
      </w:r>
      <w:r w:rsidR="00D923B8" w:rsidRPr="00B4301D">
        <w:t>.</w:t>
      </w:r>
      <w:r w:rsidR="003459BD" w:rsidRPr="00B4301D">
        <w:t xml:space="preserve"> </w:t>
      </w:r>
    </w:p>
    <w:p w14:paraId="6BEEDB60" w14:textId="35ECCC58" w:rsidR="007C5BFF" w:rsidRPr="00B4301D" w:rsidRDefault="007C5BFF">
      <w:pPr>
        <w:spacing w:line="360" w:lineRule="auto"/>
      </w:pPr>
      <w:r w:rsidRPr="00B4301D">
        <w:tab/>
        <w:t>While</w:t>
      </w:r>
      <w:r w:rsidR="00447E04" w:rsidRPr="00B4301D">
        <w:t xml:space="preserve"> ill-structured challenges have been cited to facilitate creative behaviour in games, the concept of emotional challenge has also been examined, with findings suggesting that games which provide emotional challenges may facilitate affective change in players. Emotional challenges often present players with emotionally difficult themes, leaving parts of the game narrative ambiguous and open to interpretation from the player. Bopp et al. </w:t>
      </w:r>
      <w:r w:rsidR="00447E04" w:rsidRPr="00B4301D">
        <w:fldChar w:fldCharType="begin" w:fldLock="1"/>
      </w:r>
      <w:r w:rsidR="00447E04" w:rsidRPr="00B4301D">
        <w:instrText>ADDIN CSL_CITATION {"citationItems":[{"id":"ITEM-1","itemData":{"DOI":"10.1145/3173574.3173615","abstract":"Recent work introduced the notion of emotional challenge as a means to afford more unique and diverse gaming experien-ces. However, players' experience of emotional challenge has received little empirical attention. It remains unclear whether players enjoy it and what exactly constitutes the challenge thereof. We surveyed 171 players about a challenging or an emotionally challenging experience, and analyzed their re-sponses with regards to what made the experience challen-ging, their emotional response, and the relation to core play-er experience constructs. We found that emotional challen-ge manifested itself in different ways, by confronting play-ers with difficult themes or decisions, as well as having them deal with intense emotions. In contrast to more 'conventio-nal' challenge, emotional challenge evoked a wider range of negative emotions and was appreciated significantly more by players. Our findings showcase the appeal of uncomfortable gaming experiences, and extend current conceptualizations of challenge in games.","author":[{"dropping-particle":"","family":"Bopp","given":"Julia Ayumi","non-dropping-particle":"","parse-names":false,"suffix":""},{"dropping-particle":"","family":"Opwis","given":"Klaus","non-dropping-particle":"","parse-names":false,"suffix":""},{"dropping-particle":"","family":"Mekler","given":"Elisa D","non-dropping-particle":"","parse-names":false,"suffix":""}],"container-title":"CHI 2018 April 21-26","id":"ITEM-1","issued":{"date-parts":[["2018"]]},"publisher-place":"Montreal","title":"An Odd Kind of Pleasure: Differentiating Emotional Challenge in Digital Games","type":"paper-conference"},"suppress-author":1,"uris":["http://www.mendeley.com/documents/?uuid=f822117a-976d-30c2-9f61-98173c982307"]}],"mendeley":{"formattedCitation":"(2018)","plainTextFormattedCitation":"(2018)","previouslyFormattedCitation":"(2018)"},"properties":{"noteIndex":0},"schema":"https://github.com/citation-style-language/schema/raw/master/csl-citation.json"}</w:instrText>
      </w:r>
      <w:r w:rsidR="00447E04" w:rsidRPr="00B4301D">
        <w:fldChar w:fldCharType="separate"/>
      </w:r>
      <w:r w:rsidR="00447E04" w:rsidRPr="00B4301D">
        <w:rPr>
          <w:noProof/>
        </w:rPr>
        <w:t>(2018)</w:t>
      </w:r>
      <w:r w:rsidR="00447E04" w:rsidRPr="00B4301D">
        <w:fldChar w:fldCharType="end"/>
      </w:r>
      <w:r w:rsidR="00447E04" w:rsidRPr="00B4301D">
        <w:t xml:space="preserve"> examined emotional challenge within the context of commercial entertainment games and found when players confronted emotionally difficult themes which mirrored issues they had experienced in their real lives (e.g. death, illness or war) they “could derive personally meaningful insights” </w:t>
      </w:r>
      <w:r w:rsidR="00447E04" w:rsidRPr="00B4301D">
        <w:fldChar w:fldCharType="begin" w:fldLock="1"/>
      </w:r>
      <w:r w:rsidR="00447E04" w:rsidRPr="00B4301D">
        <w:instrText>ADDIN CSL_CITATION {"citationItems":[{"id":"ITEM-1","itemData":{"DOI":"10.1145/3173574.3173615","abstract":"Recent work introduced the notion of emotional challenge as a means to afford more unique and diverse gaming experien-ces. However, players' experience of emotional challenge has received little empirical attention. It remains unclear whether players enjoy it and what exactly constitutes the challenge thereof. We surveyed 171 players about a challenging or an emotionally challenging experience, and analyzed their re-sponses with regards to what made the experience challen-ging, their emotional response, and the relation to core play-er experience constructs. We found that emotional challen-ge manifested itself in different ways, by confronting play-ers with difficult themes or decisions, as well as having them deal with intense emotions. In contrast to more 'conventio-nal' challenge, emotional challenge evoked a wider range of negative emotions and was appreciated significantly more by players. Our findings showcase the appeal of uncomfortable gaming experiences, and extend current conceptualizations of challenge in games.","author":[{"dropping-particle":"","family":"Bopp","given":"Julia Ayumi","non-dropping-particle":"","parse-names":false,"suffix":""},{"dropping-particle":"","family":"Opwis","given":"Klaus","non-dropping-particle":"","parse-names":false,"suffix":""},{"dropping-particle":"","family":"Mekler","given":"Elisa D","non-dropping-particle":"","parse-names":false,"suffix":""}],"container-title":"CHI 2018 April 21-26","id":"ITEM-1","issued":{"date-parts":[["2018"]]},"publisher-place":"Montreal","title":"An Odd Kind of Pleasure: Differentiating Emotional Challenge in Digital Games","type":"paper-conference"},"locator":"9","uris":["http://www.mendeley.com/documents/?uuid=f822117a-976d-30c2-9f61-98173c982307"]}],"mendeley":{"formattedCitation":"(Bopp et al., 2018, p. 9)","plainTextFormattedCitation":"(Bopp et al., 2018, p. 9)","previouslyFormattedCitation":"(Bopp et al., 2018, p. 9)"},"properties":{"noteIndex":0},"schema":"https://github.com/citation-style-language/schema/raw/master/csl-citation.json"}</w:instrText>
      </w:r>
      <w:r w:rsidR="00447E04" w:rsidRPr="00B4301D">
        <w:fldChar w:fldCharType="separate"/>
      </w:r>
      <w:r w:rsidR="00447E04" w:rsidRPr="00B4301D">
        <w:rPr>
          <w:noProof/>
        </w:rPr>
        <w:t>(Bopp et al., 2018, p. 9)</w:t>
      </w:r>
      <w:r w:rsidR="00447E04" w:rsidRPr="00B4301D">
        <w:fldChar w:fldCharType="end"/>
      </w:r>
      <w:r w:rsidR="00447E04" w:rsidRPr="00B4301D">
        <w:t xml:space="preserve">. Despite the negative feelings such </w:t>
      </w:r>
      <w:r w:rsidR="001D06C8" w:rsidRPr="00B4301D">
        <w:t>challenges</w:t>
      </w:r>
      <w:r w:rsidR="00447E04" w:rsidRPr="00B4301D">
        <w:t xml:space="preserve"> provoked, players often rated the overall experience as enjoyable and positive, and said that such experiences prompted them to further reflect on their actions within the game </w:t>
      </w:r>
      <w:r w:rsidR="00447E04" w:rsidRPr="00B4301D">
        <w:fldChar w:fldCharType="begin" w:fldLock="1"/>
      </w:r>
      <w:r w:rsidR="000C1A94" w:rsidRPr="00B4301D">
        <w:instrText>ADDIN CSL_CITATION {"citationItems":[{"id":"ITEM-1","itemData":{"DOI":"10.1145/3173574.3173615","abstract":"Recent work introduced the notion of emotional challenge as a means to afford more unique and diverse gaming experien-ces. However, players' experience of emotional challenge has received little empirical attention. It remains unclear whether players enjoy it and what exactly constitutes the challenge thereof. We surveyed 171 players about a challenging or an emotionally challenging experience, and analyzed their re-sponses with regards to what made the experience challen-ging, their emotional response, and the relation to core play-er experience constructs. We found that emotional challen-ge manifested itself in different ways, by confronting play-ers with difficult themes or decisions, as well as having them deal with intense emotions. In contrast to more 'conventio-nal' challenge, emotional challenge evoked a wider range of negative emotions and was appreciated significantly more by players. Our findings showcase the appeal of uncomfortable gaming experiences, and extend current conceptualizations of challenge in games.","author":[{"dropping-particle":"","family":"Bopp","given":"Julia Ayumi","non-dropping-particle":"","parse-names":false,"suffix":""},{"dropping-particle":"","family":"Opwis","given":"Klaus","non-dropping-particle":"","parse-names":false,"suffix":""},{"dropping-particle":"","family":"Mekler","given":"Elisa D","non-dropping-particle":"","parse-names":false,"suffix":""}],"container-title":"CHI 2018 April 21-26","id":"ITEM-1","issued":{"date-parts":[["2018"]]},"publisher-place":"Montreal","title":"An Odd Kind of Pleasure: Differentiating Emotional Challenge in Digital Games","type":"paper-conference"},"uris":["http://www.mendeley.com/documents/?uuid=f822117a-976d-30c2-9f61-98173c982307"]}],"mendeley":{"formattedCitation":"(Bopp et al., 2018)","plainTextFormattedCitation":"(Bopp et al., 2018)","previouslyFormattedCitation":"(Bopp et al., 2018)"},"properties":{"noteIndex":0},"schema":"https://github.com/citation-style-language/schema/raw/master/csl-citation.json"}</w:instrText>
      </w:r>
      <w:r w:rsidR="00447E04" w:rsidRPr="00B4301D">
        <w:fldChar w:fldCharType="separate"/>
      </w:r>
      <w:r w:rsidR="00447E04" w:rsidRPr="00B4301D">
        <w:rPr>
          <w:noProof/>
        </w:rPr>
        <w:t>(Bopp et al., 2018)</w:t>
      </w:r>
      <w:r w:rsidR="00447E04" w:rsidRPr="00B4301D">
        <w:fldChar w:fldCharType="end"/>
      </w:r>
      <w:r w:rsidR="00447E04" w:rsidRPr="00B4301D">
        <w:t>.</w:t>
      </w:r>
      <w:r w:rsidR="000C1A94" w:rsidRPr="00B4301D">
        <w:t xml:space="preserve"> A subsequent study by Mekler et al. </w:t>
      </w:r>
      <w:r w:rsidR="000C1A94" w:rsidRPr="00B4301D">
        <w:fldChar w:fldCharType="begin" w:fldLock="1"/>
      </w:r>
      <w:r w:rsidR="009A037B" w:rsidRPr="00B4301D">
        <w:instrText>ADDIN CSL_CITATION {"citationItems":[{"id":"ITEM-1","itemData":{"ISBN":"9781450356244","author":[{"dropping-particle":"","family":"Mekler","given":"Elisa D","non-dropping-particle":"","parse-names":false,"suffix":""},{"dropping-particle":"","family":"Iacovides","given":"Ioanna","non-dropping-particle":"","parse-names":false,"suffix":""},{"dropping-particle":"","family":"Bopp","given":"Julia Ayumi","non-dropping-particle":"","parse-names":false,"suffix":""}],"container-title":"CHI PLAY '18 Proceedings of the 2018 Annual Symposium on Computer-Human Interaction in Play","id":"ITEM-1","issued":{"date-parts":[["2018"]]},"page":"315-327","publisher-place":"Melbourne, Australia","title":"“ A Game that Makes You Question ...” Exploring the Role of Reflection for the Player Experience","type":"paper-conference"},"suppress-author":1,"uris":["http://www.mendeley.com/documents/?uuid=9ec344d1-82cb-45d6-9ce6-564c155fde5f"]}],"mendeley":{"formattedCitation":"(2018)","plainTextFormattedCitation":"(2018)","previouslyFormattedCitation":"(2018)"},"properties":{"noteIndex":0},"schema":"https://github.com/citation-style-language/schema/raw/master/csl-citation.json"}</w:instrText>
      </w:r>
      <w:r w:rsidR="000C1A94" w:rsidRPr="00B4301D">
        <w:fldChar w:fldCharType="separate"/>
      </w:r>
      <w:r w:rsidR="000C1A94" w:rsidRPr="00B4301D">
        <w:rPr>
          <w:noProof/>
        </w:rPr>
        <w:t>(2018)</w:t>
      </w:r>
      <w:r w:rsidR="000C1A94" w:rsidRPr="00B4301D">
        <w:fldChar w:fldCharType="end"/>
      </w:r>
      <w:r w:rsidR="000C1A94" w:rsidRPr="00B4301D">
        <w:t xml:space="preserve"> also found that games could provoke reflection in relation to the games themselves, and in the relation to the parallels to other aspects of life</w:t>
      </w:r>
      <w:r w:rsidR="001D06C8" w:rsidRPr="00B4301D">
        <w:t>.</w:t>
      </w:r>
      <w:r w:rsidR="00653355" w:rsidRPr="00B4301D">
        <w:t xml:space="preserve"> </w:t>
      </w:r>
      <w:r w:rsidR="001D06C8" w:rsidRPr="00B4301D">
        <w:t>H</w:t>
      </w:r>
      <w:r w:rsidR="00653355" w:rsidRPr="00B4301D">
        <w:t xml:space="preserve">owever, they reported fewer instances of transformative reflection (e.g. reflection which resulted in the altering of </w:t>
      </w:r>
      <w:proofErr w:type="spellStart"/>
      <w:r w:rsidR="00653355" w:rsidRPr="00B4301D">
        <w:t>behaviors</w:t>
      </w:r>
      <w:proofErr w:type="spellEnd"/>
      <w:r w:rsidR="00653355" w:rsidRPr="00B4301D">
        <w:t>, assumptions or views)</w:t>
      </w:r>
      <w:r w:rsidR="001D06C8" w:rsidRPr="00B4301D">
        <w:t xml:space="preserve">, something which could be attributed to the fact that </w:t>
      </w:r>
      <w:r w:rsidR="001D06C8" w:rsidRPr="00B4301D">
        <w:rPr>
          <w:rFonts w:ascii="Calibri" w:hAnsi="Calibri" w:cs="Calibri"/>
          <w:lang w:val="en"/>
        </w:rPr>
        <w:t>the majority of participants did not play games which focused on prompting reflection outside the context of the game.</w:t>
      </w:r>
    </w:p>
    <w:p w14:paraId="55557B77" w14:textId="6766DC16" w:rsidR="007C5BFF" w:rsidRPr="00B4301D" w:rsidRDefault="000C1A94" w:rsidP="006A5D84">
      <w:pPr>
        <w:spacing w:line="360" w:lineRule="auto"/>
        <w:ind w:firstLine="720"/>
      </w:pPr>
      <w:r w:rsidRPr="00B4301D">
        <w:t xml:space="preserve">While the notion of challenge (both ill-structured and emotional) has been examined in relation to aspects of creativity, other work has looked at how players are able to appropriate their gaming experience. </w:t>
      </w:r>
      <w:r w:rsidR="00044A86" w:rsidRPr="00B4301D">
        <w:t xml:space="preserve">The term appropriation provides a broad overview of the ways in which players “adopt, adapt and incorporate technology in their practices, work, or leisure” </w:t>
      </w:r>
      <w:r w:rsidR="00044A86" w:rsidRPr="00B4301D">
        <w:fldChar w:fldCharType="begin" w:fldLock="1"/>
      </w:r>
      <w:r w:rsidR="00044A86" w:rsidRPr="00B4301D">
        <w:instrText>ADDIN CSL_CITATION {"citationItems":[{"id":"ITEM-1","itemData":{"DOI":"10.1080/10447318.2011.566108","ISSN":"1044-7318","abstract":"Game appropriation is currently not well conceptualized.What literature does exists (Griffiths &amp; Light, 2008; Lowood, 2005; Postigo, 2008; Stalker, 2005) uses the term primarily to denote gamers’ practices beyond the designers’ original intentions, for instance, game content modifications. This article frames game appropriation in a different manner; unlike existing appropriation models, game appropriation is conceptualized as a motivational process underpinned by three primary factors: game design char- acteristics, social interaction, and the psychological characteristics of the gamer. The main contribution of this article is the develop- ment of the firstmodel of game appropriation, the game appropri- ation model (GAM). GAM explains the process of digital games’ incorporation into gamers’ daily practices as well as the nature of their gameplay. Game appropriation recognizes the online–offline continuity; it contributes to understating gameplay as a long-term, dynamic activity, directly interrelated with a gamers’ everyday life rather than a set of defined moments of participation.","author":[{"dropping-particle":"","family":"Herodotou","given":"C.","non-dropping-particle":"","parse-names":false,"suffix":""},{"dropping-particle":"","family":"Winters","given":"N.","non-dropping-particle":"","parse-names":false,"suffix":""},{"dropping-particle":"","family":"Kambouri","given":"M.","non-dropping-particle":"","parse-names":false,"suffix":""}],"container-title":"International Journal of Human-Computer Interaction","id":"ITEM-1","issue":"1","issued":{"date-parts":[["2012"]]},"page":"34-47","title":"A Motivationally Oriented Approach to Understanding Game Appropriation","type":"article-journal","volume":"28"},"locator":"34","uris":["http://www.mendeley.com/documents/?uuid=00cc5ddb-7891-4bef-944c-87dd4573c847"]}],"mendeley":{"formattedCitation":"(Herodotou, Winters, &amp; Kambouri, 2012, p. 34)","manualFormatting":"(Herodotou et al., 2012, p. 34)","plainTextFormattedCitation":"(Herodotou, Winters, &amp; Kambouri, 2012, p. 34)","previouslyFormattedCitation":"(Herodotou, Winters, &amp; Kambouri, 2012, p. 34)"},"properties":{"noteIndex":0},"schema":"https://github.com/citation-style-language/schema/raw/master/csl-citation.json"}</w:instrText>
      </w:r>
      <w:r w:rsidR="00044A86" w:rsidRPr="00B4301D">
        <w:fldChar w:fldCharType="separate"/>
      </w:r>
      <w:r w:rsidR="00044A86" w:rsidRPr="00B4301D">
        <w:rPr>
          <w:noProof/>
        </w:rPr>
        <w:t>(Herodotou et al., 2012, p. 34)</w:t>
      </w:r>
      <w:r w:rsidR="00044A86" w:rsidRPr="00B4301D">
        <w:fldChar w:fldCharType="end"/>
      </w:r>
      <w:r w:rsidR="00044A86" w:rsidRPr="00B4301D">
        <w:t xml:space="preserve">. Game appropriation includes but is not limited to: the creation of game modifications, the creation of game (or game-based) content as well as how players are able to make novel, and often unintended uses of game mechanics and alter the overall rules of a game. </w:t>
      </w:r>
      <w:r w:rsidRPr="00B4301D">
        <w:t xml:space="preserve">For example, </w:t>
      </w:r>
      <w:r w:rsidR="006A5D84" w:rsidRPr="00B4301D">
        <w:t xml:space="preserve">work by Jarret </w:t>
      </w:r>
      <w:r w:rsidR="006A5D84" w:rsidRPr="00B4301D">
        <w:fldChar w:fldCharType="begin" w:fldLock="1"/>
      </w:r>
      <w:r w:rsidR="00B4301D">
        <w:instrText>ADDIN CSL_CITATION {"citationItems":[{"id":"ITEM-1","itemData":{"abstract":"The role of playful innovations in the Multiplayer Online Battle Arena (MOBA) genre has become a hugely important, contested and under studied activity. Through a case study of the 'fountain hook' and an exploration of exploitative and emergent notions of play, this paper explores how the dynamics of co-creativity function in online play spaces such as the MOBA genre. In what ways these co-creative dynamics impact different stakeholders of the play space and open up critical questions similar to that of wider participatory platforms is a particular focus here. Informed by online ethnographic research that forms part of a wider PhD project this paper also touches upon specific themes related to the unexplored genre of MOBAs such as why they are so appealing and what it is that makes them so challenging to study.","author":[{"dropping-particle":"","family":"Jarrett","given":"Josh","non-dropping-particle":"","parse-names":false,"suffix":""}],"container-title":"Videogame Cultures and the Future of Interactive Entertainment 6th Global Conference, July 19th 2014","id":"ITEM-1","issued":{"date-parts":[["2014"]]},"publisher-place":"Oxford","title":"Fountain Hooks, Emergent Exploits and the Playful Co-Creativity of MOBAs","type":"paper-conference"},"uris":["http://www.mendeley.com/documents/?uuid=669469aa-d3d9-3fd1-b277-5c453f251e40"]},{"id":"ITEM-2","itemData":{"abstract":"‘It is common knowledge that what to begin with seems to be a situation\r\nsusceptible to indefinite repetition turns out to be capable of producing ever new\r\ncombinations.’ (Caillois, 1958: 30)\r\n‘TL; DR: Don't nerf something when it is played differently to how it was intended,\r\nbecause that innovation is the beautiful thing about competing within system like a\r\nvideogame: You look at what is known and you try to prove it wrong.’ (1)\r\nThe two above statements describe a central dynamic that underpins the appeal and\r\ncontinual reinvention of the Multiplayer Online Battle Arena (MOBA) genre. As\r\nCaillios noted in 1958, even in closed rule systems that encourage a competitive or\r\n‘agon’ mode of play and are therefore strict in their ludic boundaries such as Chess, Go\r\nor Bridge there is an almost ‘indefinite’ depth of playful variation. The emergence of\r\nnew play styles or strategies represent a development of the rules by players who play\r\nthese games as rule sets that are far more open to exploration than their seemingly rigid\r\nform suggests.","author":[{"dropping-particle":"","family":"Jarrett","given":"Josh","non-dropping-particle":"","parse-names":false,"suffix":""}],"container-title":"DiGRA 2015: Diversity of Play","id":"ITEM-2","issued":{"date-parts":[["2015"]]},"title":"Playing Between Rules : Negotiating the Ludic Innovations of the MOBA genre","type":"article-journal"},"uris":["http://www.mendeley.com/documents/?uuid=b19e286e-a820-4849-b316-bbac3ad897e5"]}],"mendeley":{"formattedCitation":"(Jarrett, 2014, 2015)","manualFormatting":"(2014, 2015)","plainTextFormattedCitation":"(Jarrett, 2014, 2015)","previouslyFormattedCitation":"(Jarrett, 2014, 2015)"},"properties":{"noteIndex":0},"schema":"https://github.com/citation-style-language/schema/raw/master/csl-citation.json"}</w:instrText>
      </w:r>
      <w:r w:rsidR="006A5D84" w:rsidRPr="00B4301D">
        <w:fldChar w:fldCharType="separate"/>
      </w:r>
      <w:r w:rsidR="006A5D84" w:rsidRPr="00B4301D">
        <w:rPr>
          <w:noProof/>
        </w:rPr>
        <w:t>(2014, 2015)</w:t>
      </w:r>
      <w:r w:rsidR="006A5D84" w:rsidRPr="00B4301D">
        <w:fldChar w:fldCharType="end"/>
      </w:r>
      <w:r w:rsidRPr="00B4301D">
        <w:t xml:space="preserve"> which </w:t>
      </w:r>
      <w:r w:rsidR="006A5D84" w:rsidRPr="00B4301D">
        <w:t xml:space="preserve">on the notion of </w:t>
      </w:r>
      <w:r w:rsidR="006A5D84" w:rsidRPr="00B4301D">
        <w:rPr>
          <w:i/>
        </w:rPr>
        <w:t>emergent play</w:t>
      </w:r>
      <w:r w:rsidR="006A5D84" w:rsidRPr="00B4301D">
        <w:t xml:space="preserve"> </w:t>
      </w:r>
      <w:r w:rsidR="006A5D84" w:rsidRPr="00B4301D">
        <w:fldChar w:fldCharType="begin" w:fldLock="1"/>
      </w:r>
      <w:r w:rsidR="006A5D84" w:rsidRPr="00B4301D">
        <w:instrText>ADDIN CSL_CITATION {"citationItems":[{"id":"ITEM-1","itemData":{"ISBN":"9514453719","ISSN":"1545861X","PMID":"20414188","abstract":"\"This paper proposes a conceptual framework for examining computer game structure and applies it to the massive multiplayer game EverQuest.\\nKeywords:\\nGameplay, emergence, game history, game variation, EverQuest\"","author":[{"dropping-particle":"","family":"Juul","given":"Jesper","non-dropping-particle":"","parse-names":false,"suffix":""}],"container-title":"In Proc. Computer Game and Digital Cultures","id":"ITEM-1","issued":{"date-parts":[["2002"]]},"page":"323-329","title":"The Open and the Closed: Game of emergence and games of progression","type":"article-journal"},"uris":["http://www.mendeley.com/documents/?uuid=5e5810a6-9887-4cc4-9881-d74877369b18"]}],"mendeley":{"formattedCitation":"(Juul, 2002)","plainTextFormattedCitation":"(Juul, 2002)","previouslyFormattedCitation":"(Juul, 2002)"},"properties":{"noteIndex":0},"schema":"https://github.com/citation-style-language/schema/raw/master/csl-citation.json"}</w:instrText>
      </w:r>
      <w:r w:rsidR="006A5D84" w:rsidRPr="00B4301D">
        <w:fldChar w:fldCharType="separate"/>
      </w:r>
      <w:r w:rsidR="006A5D84" w:rsidRPr="00B4301D">
        <w:rPr>
          <w:noProof/>
        </w:rPr>
        <w:t>(Juul, 2002)</w:t>
      </w:r>
      <w:r w:rsidR="006A5D84" w:rsidRPr="00B4301D">
        <w:fldChar w:fldCharType="end"/>
      </w:r>
      <w:r w:rsidR="006A5D84" w:rsidRPr="00B4301D">
        <w:t xml:space="preserve">, found that players of Massively Multiplayer Online Battle Area (MOBA) games were able to combine multiple game variables in ways not foreseen by developers e.g. the “Fountain Hook” move in </w:t>
      </w:r>
      <w:proofErr w:type="spellStart"/>
      <w:r w:rsidR="006A5D84" w:rsidRPr="00B4301D">
        <w:rPr>
          <w:i/>
          <w:iCs/>
        </w:rPr>
        <w:t>Dota</w:t>
      </w:r>
      <w:proofErr w:type="spellEnd"/>
      <w:r w:rsidR="006A5D84" w:rsidRPr="00B4301D">
        <w:rPr>
          <w:i/>
          <w:iCs/>
        </w:rPr>
        <w:t xml:space="preserve"> 2</w:t>
      </w:r>
      <w:r w:rsidR="005F4510" w:rsidRPr="00B4301D">
        <w:rPr>
          <w:i/>
          <w:iCs/>
        </w:rPr>
        <w:t xml:space="preserve"> </w:t>
      </w:r>
      <w:r w:rsidR="005F4510" w:rsidRPr="00B4301D">
        <w:rPr>
          <w:i/>
          <w:iCs/>
        </w:rPr>
        <w:fldChar w:fldCharType="begin" w:fldLock="1"/>
      </w:r>
      <w:r w:rsidR="00D24AE9" w:rsidRPr="00B4301D">
        <w:rPr>
          <w:i/>
          <w:iCs/>
        </w:rPr>
        <w:instrText>ADDIN CSL_CITATION {"citationItems":[{"id":"ITEM-1","itemData":{"author":[{"dropping-particle":"","family":"Valve","given":"","non-dropping-particle":"","parse-names":false,"suffix":""}],"id":"ITEM-1","issued":{"date-parts":[["2013"]]},"publisher":"Valve","title":"DoTA 2","type":"book"},"uris":["http://www.mendeley.com/documents/?uuid=d7d2e24d-1b8d-4190-b77a-446ac27c4404"]}],"mendeley":{"formattedCitation":"(Valve, 2013)","plainTextFormattedCitation":"(Valve, 2013)","previouslyFormattedCitation":"(Valve, 2013)"},"properties":{"noteIndex":0},"schema":"https://github.com/citation-style-language/schema/raw/master/csl-citation.json"}</w:instrText>
      </w:r>
      <w:r w:rsidR="005F4510" w:rsidRPr="00B4301D">
        <w:rPr>
          <w:i/>
          <w:iCs/>
        </w:rPr>
        <w:fldChar w:fldCharType="separate"/>
      </w:r>
      <w:r w:rsidR="00D24AE9" w:rsidRPr="00B4301D">
        <w:rPr>
          <w:iCs/>
          <w:noProof/>
        </w:rPr>
        <w:t>(Valve, 2013)</w:t>
      </w:r>
      <w:r w:rsidR="005F4510" w:rsidRPr="00B4301D">
        <w:rPr>
          <w:i/>
          <w:iCs/>
        </w:rPr>
        <w:fldChar w:fldCharType="end"/>
      </w:r>
      <w:r w:rsidR="006A5D84" w:rsidRPr="00B4301D">
        <w:t xml:space="preserve">. Similarly, </w:t>
      </w:r>
      <w:r w:rsidR="006A5D84" w:rsidRPr="00B4301D">
        <w:fldChar w:fldCharType="begin" w:fldLock="1"/>
      </w:r>
      <w:r w:rsidR="00D24AE9" w:rsidRPr="00B4301D">
        <w:instrText>ADDIN CSL_CITATION {"citationItems":[{"id":"ITEM-1","itemData":{"author":[{"dropping-particle":"","family":"Aarseth","given":"E.","non-dropping-particle":"","parse-names":false,"suffix":""}],"container-title":"Situated Play, Proceedings of DiGRA 2007 Conference","id":"ITEM-1","issued":{"date-parts":[["2007"]]},"title":"I Fought the Law: Transgressive Play and The Implied Player","type":"paper-conference"},"uris":["http://www.mendeley.com/documents/?uuid=6a7cb9e1-7c81-3d1c-805c-82083db2fcd4"]}],"mendeley":{"formattedCitation":"(Aarseth, 2007)","manualFormatting":"Aarseth's (2007)","plainTextFormattedCitation":"(Aarseth, 2007)","previouslyFormattedCitation":"(Aarseth, 2007)"},"properties":{"noteIndex":0},"schema":"https://github.com/citation-style-language/schema/raw/master/csl-citation.json"}</w:instrText>
      </w:r>
      <w:r w:rsidR="006A5D84" w:rsidRPr="00B4301D">
        <w:fldChar w:fldCharType="separate"/>
      </w:r>
      <w:r w:rsidR="006A5D84" w:rsidRPr="00B4301D">
        <w:rPr>
          <w:noProof/>
        </w:rPr>
        <w:t>Aarseth's (2007)</w:t>
      </w:r>
      <w:r w:rsidR="006A5D84" w:rsidRPr="00B4301D">
        <w:fldChar w:fldCharType="end"/>
      </w:r>
      <w:r w:rsidR="006A5D84" w:rsidRPr="00B4301D">
        <w:t xml:space="preserve"> notion of </w:t>
      </w:r>
      <w:r w:rsidR="006A5D84" w:rsidRPr="00B4301D">
        <w:rPr>
          <w:i/>
        </w:rPr>
        <w:t>transgressive play</w:t>
      </w:r>
      <w:r w:rsidR="006A5D84" w:rsidRPr="00B4301D">
        <w:t xml:space="preserve"> may illuminate how players are able to “exit the structure and rules of the game” </w:t>
      </w:r>
      <w:r w:rsidR="006A5D84" w:rsidRPr="00B4301D">
        <w:fldChar w:fldCharType="begin" w:fldLock="1"/>
      </w:r>
      <w:r w:rsidR="00357F49" w:rsidRPr="00B4301D">
        <w:instrText>ADDIN CSL_CITATION {"citationItems":[{"id":"ITEM-1","itemData":{"abstract":"This paper deals with play as an important methodological issue when studying games as texts and is intended as a practical methodological guide. After considering text as both the structuring object as well as its plural processual activations, we argue that different methodological considerations can turn the focus towards one of the two. After outlining and synthesizing a broad range of existing research we move beyond the more general advice to be reflective about the type of players that we are, and explore two methodological considerations more concretely. First of all, we discuss the various considerations to have with regards to the different choices to make when playing a game. Here we show how different instrumental and free strategies lay bare different parts of the game as object or process. Secondly, we consider how different contexts in which the game and the player exist, can function as different reference points for meaning construction and the way they can put limitations on the claims we can make about our object of analysis.","author":[{"dropping-particle":"","family":"Vught","given":"Jasper","non-dropping-particle":"Van","parse-names":false,"suffix":""},{"dropping-particle":"","family":"Glas","given":"René","non-dropping-particle":"","parse-names":false,"suffix":""}],"container-title":"Proceedings of DiGRA 2017","id":"ITEM-1","issued":{"date-parts":[["2017"]]},"title":"Considering play: From method to analysis","type":"paper-conference"},"uris":["http://www.mendeley.com/documents/?uuid=039e31a3-4d22-3108-9710-91131274be8f"]}],"mendeley":{"formattedCitation":"(Van Vught &amp; Glas, 2017)","manualFormatting":"(Van Vught &amp; Glas, 2017, p.3)","plainTextFormattedCitation":"(Van Vught &amp; Glas, 2017)","previouslyFormattedCitation":"(Van Vught &amp; Glas, 2017)"},"properties":{"noteIndex":0},"schema":"https://github.com/citation-style-language/schema/raw/master/csl-citation.json"}</w:instrText>
      </w:r>
      <w:r w:rsidR="006A5D84" w:rsidRPr="00B4301D">
        <w:fldChar w:fldCharType="separate"/>
      </w:r>
      <w:r w:rsidR="006A5D84" w:rsidRPr="00B4301D">
        <w:rPr>
          <w:noProof/>
        </w:rPr>
        <w:t>(Van Vught &amp; Glas, 2017, p.3)</w:t>
      </w:r>
      <w:r w:rsidR="006A5D84" w:rsidRPr="00B4301D">
        <w:fldChar w:fldCharType="end"/>
      </w:r>
      <w:r w:rsidR="006A5D84" w:rsidRPr="00B4301D">
        <w:t xml:space="preserve"> and perform unexpected actions. </w:t>
      </w:r>
      <w:r w:rsidR="009A037B" w:rsidRPr="00B4301D">
        <w:t xml:space="preserve">However, emergent and transgressive forms of play </w:t>
      </w:r>
      <w:r w:rsidR="005F4510" w:rsidRPr="00B4301D">
        <w:t>are</w:t>
      </w:r>
      <w:r w:rsidR="009A037B" w:rsidRPr="00B4301D">
        <w:t xml:space="preserve"> restricted to </w:t>
      </w:r>
      <w:r w:rsidR="001D06C8" w:rsidRPr="00B4301D">
        <w:t>gameplay only</w:t>
      </w:r>
      <w:r w:rsidR="009A037B" w:rsidRPr="00B4301D">
        <w:t xml:space="preserve">, and it has been </w:t>
      </w:r>
      <w:r w:rsidR="009A037B" w:rsidRPr="00B4301D">
        <w:lastRenderedPageBreak/>
        <w:t xml:space="preserve">suggested that the term </w:t>
      </w:r>
      <w:r w:rsidR="009A037B" w:rsidRPr="00B4301D">
        <w:rPr>
          <w:i/>
          <w:iCs/>
        </w:rPr>
        <w:t xml:space="preserve">transformative play </w:t>
      </w:r>
      <w:r w:rsidR="009A037B" w:rsidRPr="00B4301D">
        <w:t xml:space="preserve">should be used instead as it applies to both play within the game and how aspects of play may flow from the game to other </w:t>
      </w:r>
      <w:r w:rsidR="001D06C8" w:rsidRPr="00B4301D">
        <w:t>domains</w:t>
      </w:r>
      <w:r w:rsidR="009A037B" w:rsidRPr="00B4301D">
        <w:t xml:space="preserve">, such as the case of fan creations </w:t>
      </w:r>
      <w:r w:rsidR="009A037B" w:rsidRPr="00B4301D">
        <w:fldChar w:fldCharType="begin" w:fldLock="1"/>
      </w:r>
      <w:r w:rsidR="001D06C8" w:rsidRPr="00B4301D">
        <w:instrText>ADDIN CSL_CITATION {"citationItems":[{"id":"ITEM-1","itemData":{"DOI":"10.1177/1354856507081961","ISSN":"13548565","abstract":"/ This article examines the contested issue of player productivity, with a focus on the multifaceted relations between players and the game industry. These relations are explored using the movie studio simulation The Movies (Lionhead Studios, 2005) as a case study. Firstly, through an examination of the game, some of the prevailing game industry's practices, and their relations to the ones applied amongst other creative industries (particularly the film industry) are introduced. Secondly, the game, and especially the accompanying moviemaking editor, is analysed from the perspective of `transformative play'. Further, the reasons behind, and consequences of, allowing the players to make and distribute short movies of their own are contemplated. Finally the article addresses the mechanisms of control and reward that are applied by the corporate actors in relation to The Movies. The article suggests that in the age of commodified play, players face trade-offs all the time. Therefore, the study of rules that has become central in game studies has to be expanded to the `out-game rules' defined by the corporate players.","author":[{"dropping-particle":"","family":"Sotamaa","given":"Olli","non-dropping-particle":"","parse-names":false,"suffix":""}],"container-title":"Convergence","id":"ITEM-1","issue":"4","issued":{"date-parts":[["2007"]]},"page":"383-401","title":"Let me take you to the movies: Productive players, commodification and transformative play","type":"article-journal","volume":"13"},"uris":["http://www.mendeley.com/documents/?uuid=7de7c827-9d1e-43b9-8d0c-90e10b6e2efb"]}],"mendeley":{"formattedCitation":"(Sotamaa, 2007)","plainTextFormattedCitation":"(Sotamaa, 2007)","previouslyFormattedCitation":"(Sotamaa, 2007)"},"properties":{"noteIndex":0},"schema":"https://github.com/citation-style-language/schema/raw/master/csl-citation.json"}</w:instrText>
      </w:r>
      <w:r w:rsidR="009A037B" w:rsidRPr="00B4301D">
        <w:fldChar w:fldCharType="separate"/>
      </w:r>
      <w:r w:rsidR="009A037B" w:rsidRPr="00B4301D">
        <w:rPr>
          <w:noProof/>
        </w:rPr>
        <w:t>(Sotamaa, 2007)</w:t>
      </w:r>
      <w:r w:rsidR="009A037B" w:rsidRPr="00B4301D">
        <w:fldChar w:fldCharType="end"/>
      </w:r>
      <w:r w:rsidR="009A037B" w:rsidRPr="00B4301D">
        <w:t xml:space="preserve">.   </w:t>
      </w:r>
    </w:p>
    <w:p w14:paraId="72ADE7CA" w14:textId="4BA0D607" w:rsidR="007C5BFF" w:rsidRPr="00B4301D" w:rsidRDefault="00D23216" w:rsidP="00447E04">
      <w:pPr>
        <w:spacing w:line="360" w:lineRule="auto"/>
        <w:ind w:firstLine="720"/>
      </w:pPr>
      <w:r w:rsidRPr="00B4301D">
        <w:t>Creativity has also been examined from a social innovation standpoint</w:t>
      </w:r>
      <w:r w:rsidR="006A5D84" w:rsidRPr="00B4301D">
        <w:t xml:space="preserve"> in how players challenge and reproduce the rules of social interaction. </w:t>
      </w:r>
      <w:r w:rsidR="003D3F6D" w:rsidRPr="00B4301D">
        <w:t xml:space="preserve">For example, </w:t>
      </w:r>
      <w:r w:rsidR="006A5D84" w:rsidRPr="00B4301D">
        <w:t xml:space="preserve">Wright et al. </w:t>
      </w:r>
      <w:r w:rsidR="006A5D84" w:rsidRPr="00B4301D">
        <w:fldChar w:fldCharType="begin" w:fldLock="1"/>
      </w:r>
      <w:r w:rsidR="006A5D84" w:rsidRPr="00B4301D">
        <w:instrText>ADDIN CSL_CITATION {"citationItems":[{"id":"ITEM-1","itemData":{"author":[{"dropping-particle":"","family":"Wright","given":"Talmadge","non-dropping-particle":"","parse-names":false,"suffix":""},{"dropping-particle":"","family":"Boria","given":"Eric","non-dropping-particle":"","parse-names":false,"suffix":""},{"dropping-particle":"","family":"Breidenbach","given":"Paul","non-dropping-particle":"","parse-names":false,"suffix":""}],"container-title":"Game Studies","id":"ITEM-1","issued":{"date-parts":[["2002"]]},"title":"Creative Player Actions in FPS Online Video Games Playing Counter-Strike","type":"article-journal","volume":"2"},"uris":["http://www.mendeley.com/documents/?uuid=26c94281-7fed-344e-9705-50e4f807916c"]}],"mendeley":{"formattedCitation":"(Wright, Boria, &amp; Breidenbach, 2002)","manualFormatting":"(2002)","plainTextFormattedCitation":"(Wright, Boria, &amp; Breidenbach, 2002)","previouslyFormattedCitation":"(Wright, Boria, &amp; Breidenbach, 2002)"},"properties":{"noteIndex":0},"schema":"https://github.com/citation-style-language/schema/raw/master/csl-citation.json"}</w:instrText>
      </w:r>
      <w:r w:rsidR="006A5D84" w:rsidRPr="00B4301D">
        <w:fldChar w:fldCharType="separate"/>
      </w:r>
      <w:r w:rsidR="006A5D84" w:rsidRPr="00B4301D">
        <w:rPr>
          <w:noProof/>
        </w:rPr>
        <w:t>(2002)</w:t>
      </w:r>
      <w:r w:rsidR="006A5D84" w:rsidRPr="00B4301D">
        <w:fldChar w:fldCharType="end"/>
      </w:r>
      <w:r w:rsidR="006A5D84" w:rsidRPr="00B4301D">
        <w:t xml:space="preserve"> found players of the game </w:t>
      </w:r>
      <w:r w:rsidR="006A5D84" w:rsidRPr="00B4301D">
        <w:rPr>
          <w:i/>
        </w:rPr>
        <w:t xml:space="preserve">Counter-Strike </w:t>
      </w:r>
      <w:r w:rsidR="006A5D84" w:rsidRPr="00B4301D">
        <w:fldChar w:fldCharType="begin" w:fldLock="1"/>
      </w:r>
      <w:r w:rsidR="00D24AE9" w:rsidRPr="00B4301D">
        <w:instrText>ADDIN CSL_CITATION {"citationItems":[{"id":"ITEM-1","itemData":{"author":[{"dropping-particle":"","family":"Valve","given":"","non-dropping-particle":"","parse-names":false,"suffix":""},{"dropping-particle":"","family":"Turtle Rock Studios","given":"","non-dropping-particle":"","parse-names":false,"suffix":""}],"id":"ITEM-1","issued":{"date-parts":[["2000"]]},"publisher":"Valve, Nexon, Sierra Entertainment","title":"Counter-Strike","type":"book"},"uris":["http://www.mendeley.com/documents/?uuid=b0bcd2a1-11e1-436c-b1e2-201ebfe8cb56"]}],"mendeley":{"formattedCitation":"(Valve &amp; Turtle Rock Studios, 2000)","plainTextFormattedCitation":"(Valve &amp; Turtle Rock Studios, 2000)","previouslyFormattedCitation":"(Valve &amp; Turtle Rock Studios, 2000)"},"properties":{"noteIndex":0},"schema":"https://github.com/citation-style-language/schema/raw/master/csl-citation.json"}</w:instrText>
      </w:r>
      <w:r w:rsidR="006A5D84" w:rsidRPr="00B4301D">
        <w:fldChar w:fldCharType="separate"/>
      </w:r>
      <w:r w:rsidR="00D24AE9" w:rsidRPr="00B4301D">
        <w:rPr>
          <w:noProof/>
        </w:rPr>
        <w:t>(Valve &amp; Turtle Rock Studios, 2000)</w:t>
      </w:r>
      <w:r w:rsidR="006A5D84" w:rsidRPr="00B4301D">
        <w:fldChar w:fldCharType="end"/>
      </w:r>
      <w:r w:rsidR="006A5D84" w:rsidRPr="00B4301D">
        <w:t xml:space="preserve"> created a variety of innovations in verbal dialogue and non-verbal expressions such as word plays, logos, and borrowing from popular culture (both in verbal references and map creations). Similarly, </w:t>
      </w:r>
      <w:r w:rsidR="006A5D84" w:rsidRPr="00B4301D">
        <w:fldChar w:fldCharType="begin" w:fldLock="1"/>
      </w:r>
      <w:r w:rsidR="006A5D84" w:rsidRPr="00B4301D">
        <w:instrText>ADDIN CSL_CITATION {"citationItems":[{"id":"ITEM-1","itemData":{"DOI":"10.1016/j.tsc.2011.07.001","abstract":"a b s t r a c t Virtual worlds open new possibilities for learners, prompting a reconsideration of how learning takes place, and setting education in a context of playfulness, delight and cre-ativity. They provide environments in which it is not only possible but also necessary to generate and try out ideas. They therefore offer opportunities to explore new possibilities related to teaching and learning about creativity and to challenge assumptions about the creative capabilities of young learners. The research reported here focuses on a group of teenaged learners who worked together online in the virtual world of Second Life®, as well as using other online tools. It applies thematic analysis to a 120-post forum discussion carried out over two weeks, in which 19 learners and educators debated how to develop their virtual island, and sets this discussion in the context of ongoing interaction within this group. Their focus widened from building plans to cover the creation and maintenance of a community, creatively synthesising considerations relating to environment, ethics, gover-nance, aesthetics and purpose. The teenagers' creativity when dealing with this authentic problem extended well beyond the elements identified by England's National Curriculum, and was supported by staff's active and supportive engagement in the debate.","author":[{"dropping-particle":"","family":"Ferguson","given":"Rebecca","non-dropping-particle":"","parse-names":false,"suffix":""}],"container-title":"Thinking Skills and Creativity","id":"ITEM-1","issued":{"date-parts":[["2011"]]},"page":"169-178","title":"Meaningful learning and creativity in virtual worlds","type":"article-journal","volume":"6"},"uris":["http://www.mendeley.com/documents/?uuid=0a98d659-58c4-3696-a438-c64af17c6485"]}],"mendeley":{"formattedCitation":"(Ferguson, 2011)","manualFormatting":"Ferguson (2011)","plainTextFormattedCitation":"(Ferguson, 2011)","previouslyFormattedCitation":"(Ferguson, 2011)"},"properties":{"noteIndex":0},"schema":"https://github.com/citation-style-language/schema/raw/master/csl-citation.json"}</w:instrText>
      </w:r>
      <w:r w:rsidR="006A5D84" w:rsidRPr="00B4301D">
        <w:fldChar w:fldCharType="separate"/>
      </w:r>
      <w:r w:rsidR="006A5D84" w:rsidRPr="00B4301D">
        <w:rPr>
          <w:noProof/>
        </w:rPr>
        <w:t>Ferguson (2011)</w:t>
      </w:r>
      <w:r w:rsidR="006A5D84" w:rsidRPr="00B4301D">
        <w:fldChar w:fldCharType="end"/>
      </w:r>
      <w:r w:rsidR="006A5D84" w:rsidRPr="00B4301D">
        <w:t xml:space="preserve"> looked at the how teenagers in the </w:t>
      </w:r>
      <w:proofErr w:type="spellStart"/>
      <w:r w:rsidR="006A5D84" w:rsidRPr="00B4301D">
        <w:t>Schome</w:t>
      </w:r>
      <w:proofErr w:type="spellEnd"/>
      <w:r w:rsidR="006A5D84" w:rsidRPr="00B4301D">
        <w:t xml:space="preserve"> Park Programme within the world of </w:t>
      </w:r>
      <w:r w:rsidR="006A5D84" w:rsidRPr="00B4301D">
        <w:rPr>
          <w:i/>
        </w:rPr>
        <w:t>Teen Second Life</w:t>
      </w:r>
      <w:r w:rsidR="006A5D84" w:rsidRPr="00B4301D">
        <w:t xml:space="preserve"> </w:t>
      </w:r>
      <w:r w:rsidR="006A5D84" w:rsidRPr="00B4301D">
        <w:fldChar w:fldCharType="begin" w:fldLock="1"/>
      </w:r>
      <w:r w:rsidR="00357F49" w:rsidRPr="00B4301D">
        <w:instrText>ADDIN CSL_CITATION {"citationItems":[{"id":"ITEM-1","itemData":{"author":[{"dropping-particle":"","family":"Linden Labs","given":"","non-dropping-particle":"","parse-names":false,"suffix":""}],"id":"ITEM-1","issued":{"date-parts":[["2005"]]},"publisher":"Linden Labs","title":"Teen Second Life","type":"book"},"uris":["http://www.mendeley.com/documents/?uuid=fa2d8fe0-0548-4905-a45d-cae336e4f23d"]}],"mendeley":{"formattedCitation":"(Linden Labs, 2005)","plainTextFormattedCitation":"(Linden Labs, 2005)","previouslyFormattedCitation":"(Linden Labs, 2005)"},"properties":{"noteIndex":0},"schema":"https://github.com/citation-style-language/schema/raw/master/csl-citation.json"}</w:instrText>
      </w:r>
      <w:r w:rsidR="006A5D84" w:rsidRPr="00B4301D">
        <w:fldChar w:fldCharType="separate"/>
      </w:r>
      <w:r w:rsidR="006A5D84" w:rsidRPr="00B4301D">
        <w:rPr>
          <w:noProof/>
        </w:rPr>
        <w:t>(Linden Labs, 2005)</w:t>
      </w:r>
      <w:r w:rsidR="006A5D84" w:rsidRPr="00B4301D">
        <w:fldChar w:fldCharType="end"/>
      </w:r>
      <w:r w:rsidR="006A5D84" w:rsidRPr="00B4301D">
        <w:t xml:space="preserve"> were able to blend and reconfigure ideas and collaboratively develop a creative vision of their intended project </w:t>
      </w:r>
      <w:r w:rsidR="006A5D84" w:rsidRPr="00B4301D">
        <w:fldChar w:fldCharType="begin" w:fldLock="1"/>
      </w:r>
      <w:r w:rsidR="006A5D84" w:rsidRPr="00B4301D">
        <w:instrText>ADDIN CSL_CITATION {"citationItems":[{"id":"ITEM-1","itemData":{"DOI":"10.1016/j.tsc.2011.07.001","abstract":"a b s t r a c t Virtual worlds open new possibilities for learners, prompting a reconsideration of how learning takes place, and setting education in a context of playfulness, delight and cre-ativity. They provide environments in which it is not only possible but also necessary to generate and try out ideas. They therefore offer opportunities to explore new possibilities related to teaching and learning about creativity and to challenge assumptions about the creative capabilities of young learners. The research reported here focuses on a group of teenaged learners who worked together online in the virtual world of Second Life®, as well as using other online tools. It applies thematic analysis to a 120-post forum discussion carried out over two weeks, in which 19 learners and educators debated how to develop their virtual island, and sets this discussion in the context of ongoing interaction within this group. Their focus widened from building plans to cover the creation and maintenance of a community, creatively synthesising considerations relating to environment, ethics, gover-nance, aesthetics and purpose. The teenagers' creativity when dealing with this authentic problem extended well beyond the elements identified by England's National Curriculum, and was supported by staff's active and supportive engagement in the debate.","author":[{"dropping-particle":"","family":"Ferguson","given":"Rebecca","non-dropping-particle":"","parse-names":false,"suffix":""}],"container-title":"Thinking Skills and Creativity","id":"ITEM-1","issued":{"date-parts":[["2011"]]},"page":"169-178","title":"Meaningful learning and creativity in virtual worlds","type":"article-journal","volume":"6"},"uris":["http://www.mendeley.com/documents/?uuid=0a98d659-58c4-3696-a438-c64af17c6485"]}],"mendeley":{"formattedCitation":"(Ferguson, 2011)","plainTextFormattedCitation":"(Ferguson, 2011)","previouslyFormattedCitation":"(Ferguson, 2011)"},"properties":{"noteIndex":0},"schema":"https://github.com/citation-style-language/schema/raw/master/csl-citation.json"}</w:instrText>
      </w:r>
      <w:r w:rsidR="006A5D84" w:rsidRPr="00B4301D">
        <w:fldChar w:fldCharType="separate"/>
      </w:r>
      <w:r w:rsidR="006A5D84" w:rsidRPr="00B4301D">
        <w:rPr>
          <w:noProof/>
        </w:rPr>
        <w:t>(Ferguson, 2011)</w:t>
      </w:r>
      <w:r w:rsidR="006A5D84" w:rsidRPr="00B4301D">
        <w:fldChar w:fldCharType="end"/>
      </w:r>
      <w:r w:rsidR="006A5D84" w:rsidRPr="00B4301D">
        <w:t xml:space="preserve">. </w:t>
      </w:r>
      <w:r w:rsidR="007C5BFF" w:rsidRPr="00B4301D">
        <w:t xml:space="preserve">Similarly, from a storytelling perspective, Banks </w:t>
      </w:r>
      <w:r w:rsidR="007C5BFF" w:rsidRPr="00B4301D">
        <w:fldChar w:fldCharType="begin" w:fldLock="1"/>
      </w:r>
      <w:r w:rsidR="007C5BFF" w:rsidRPr="00B4301D">
        <w:instrText>ADDIN CSL_CITATION {"citationItems":[{"id":"ITEM-1","itemData":{"author":[{"dropping-particle":"","family":"Banks","given":"J.","non-dropping-particle":"","parse-names":false,"suffix":""}],"id":"ITEM-1","issued":{"date-parts":[["2013"]]},"publisher":"Fort Collins, CO: Colorado State University","title":"Human-technology relationality and self-network organization: Players and avatars in World of Warcraft","type":"thesis"},"suppress-author":1,"uris":["http://www.mendeley.com/documents/?uuid=e9fd2081-e23c-4493-87f9-d96464e6d6d9"]}],"mendeley":{"formattedCitation":"(2013)","plainTextFormattedCitation":"(2013)","previouslyFormattedCitation":"(2013)"},"properties":{"noteIndex":0},"schema":"https://github.com/citation-style-language/schema/raw/master/csl-citation.json"}</w:instrText>
      </w:r>
      <w:r w:rsidR="007C5BFF" w:rsidRPr="00B4301D">
        <w:fldChar w:fldCharType="separate"/>
      </w:r>
      <w:r w:rsidR="007C5BFF" w:rsidRPr="00B4301D">
        <w:rPr>
          <w:noProof/>
        </w:rPr>
        <w:t>(2013)</w:t>
      </w:r>
      <w:r w:rsidR="007C5BFF" w:rsidRPr="00B4301D">
        <w:fldChar w:fldCharType="end"/>
      </w:r>
      <w:r w:rsidR="007C5BFF" w:rsidRPr="00B4301D">
        <w:t xml:space="preserve">, who focused on </w:t>
      </w:r>
      <w:r w:rsidR="007C5BFF" w:rsidRPr="00B4301D">
        <w:rPr>
          <w:i/>
          <w:iCs/>
        </w:rPr>
        <w:t xml:space="preserve">World of Warcraft </w:t>
      </w:r>
      <w:r w:rsidR="007C5BFF" w:rsidRPr="00B4301D">
        <w:rPr>
          <w:i/>
          <w:iCs/>
        </w:rPr>
        <w:fldChar w:fldCharType="begin" w:fldLock="1"/>
      </w:r>
      <w:r w:rsidR="00447E04" w:rsidRPr="00B4301D">
        <w:rPr>
          <w:i/>
          <w:iCs/>
        </w:rPr>
        <w:instrText>ADDIN CSL_CITATION {"citationItems":[{"id":"ITEM-1","itemData":{"author":[{"dropping-particle":"","family":"Blizzard Entertainment","given":"","non-dropping-particle":"","parse-names":false,"suffix":""}],"id":"ITEM-1","issued":{"date-parts":[["2004"]]},"publisher":"Blizzard Entertainment","title":"World of Warcraft (WoW)","type":"book"},"uris":["http://www.mendeley.com/documents/?uuid=26d3f362-5b9d-493f-9b8c-dcffe58fe006"]}],"mendeley":{"formattedCitation":"(Blizzard Entertainment, 2004)","plainTextFormattedCitation":"(Blizzard Entertainment, 2004)","previouslyFormattedCitation":"(Blizzard Entertainment, 2004)"},"properties":{"noteIndex":0},"schema":"https://github.com/citation-style-language/schema/raw/master/csl-citation.json"}</w:instrText>
      </w:r>
      <w:r w:rsidR="007C5BFF" w:rsidRPr="00B4301D">
        <w:rPr>
          <w:i/>
          <w:iCs/>
        </w:rPr>
        <w:fldChar w:fldCharType="separate"/>
      </w:r>
      <w:r w:rsidR="007C5BFF" w:rsidRPr="00B4301D">
        <w:rPr>
          <w:iCs/>
          <w:noProof/>
        </w:rPr>
        <w:t>(Blizzard Entertainment, 2004)</w:t>
      </w:r>
      <w:r w:rsidR="007C5BFF" w:rsidRPr="00B4301D">
        <w:rPr>
          <w:i/>
          <w:iCs/>
        </w:rPr>
        <w:fldChar w:fldCharType="end"/>
      </w:r>
      <w:r w:rsidR="007C5BFF" w:rsidRPr="00B4301D">
        <w:t xml:space="preserve">, found that players constructed stories about their characters, including how their gaming experience influenced said character’s </w:t>
      </w:r>
      <w:proofErr w:type="spellStart"/>
      <w:r w:rsidR="007C5BFF" w:rsidRPr="00B4301D">
        <w:t>behaviors</w:t>
      </w:r>
      <w:proofErr w:type="spellEnd"/>
      <w:r w:rsidR="007C5BFF" w:rsidRPr="00B4301D">
        <w:t xml:space="preserve"> and emotions. </w:t>
      </w:r>
    </w:p>
    <w:p w14:paraId="4BCEFF04" w14:textId="0C331235" w:rsidR="001A7D38" w:rsidRPr="00B4301D" w:rsidRDefault="00D23216">
      <w:pPr>
        <w:spacing w:line="360" w:lineRule="auto"/>
        <w:ind w:firstLine="720"/>
      </w:pPr>
      <w:r w:rsidRPr="00B4301D">
        <w:t>While c</w:t>
      </w:r>
      <w:r w:rsidR="006A5D84" w:rsidRPr="00B4301D">
        <w:t>reativity can take place within the game itself</w:t>
      </w:r>
      <w:r w:rsidR="007C5BFF" w:rsidRPr="00B4301D">
        <w:t>,</w:t>
      </w:r>
      <w:r w:rsidR="006A5D84" w:rsidRPr="00B4301D">
        <w:t xml:space="preserve"> players also create a multitude of artefacts around the game such as fanfictions, after action reports (AARs), game guides, game art and modifications. </w:t>
      </w:r>
      <w:proofErr w:type="spellStart"/>
      <w:r w:rsidR="006A5D84" w:rsidRPr="00B4301D">
        <w:t>Burri</w:t>
      </w:r>
      <w:proofErr w:type="spellEnd"/>
      <w:r w:rsidR="006A5D84" w:rsidRPr="00B4301D">
        <w:t xml:space="preserve"> (2011) defines User Created Content</w:t>
      </w:r>
      <w:r w:rsidR="007900AA" w:rsidRPr="00B4301D">
        <w:t xml:space="preserve"> (UCC)</w:t>
      </w:r>
      <w:r w:rsidR="006A5D84" w:rsidRPr="00B4301D">
        <w:t xml:space="preserve"> as “all forms of expression made by users [which] range from contributions to chats, email or instant message exchanges, shared links, texts, videos and photographs created from scratch authored stories and films” </w:t>
      </w:r>
      <w:r w:rsidR="00574E1F">
        <w:fldChar w:fldCharType="begin" w:fldLock="1"/>
      </w:r>
      <w:r w:rsidR="00574E1F">
        <w:instrText>ADDIN CSL_CITATION {"citationItems":[{"id":"ITEM-1","itemData":{"abstract":"Virtual worlds have moved from being a geek topic to one of mainstream academic interest. This transition is contingent not only on the augmented economic, societal and cultural value of these virtual realities and their effect upon real life but also on their convenience as fields for experimentation, for testing models and paradigms. User creation is however not something that has been transplanted from the real to the virtual world but a phenomenon and a dynamic process that happens from within and is defined through complex relationships between commercial and non-commercial, commodified and not commodified, individual and of the community, amateur and professional, art and not art. Accounting for this complex environment, the present paper explores user created content in virtual worlds, its dimensions and value and above all, its constraints by code and law. It puts forward suggestions for better understanding and harnessing this creativity.","author":[{"dropping-particle":"","family":"Burri","given":"Mira","non-dropping-particle":"","parse-names":false,"suffix":""}],"container-title":"International Journal of Communications Law &amp; Policy","id":"ITEM-1","issue":"March","issued":{"date-parts":[["2011"]]},"page":"1-28","title":"Misunderstanding Creativity: User Created Content in Virtual Worlds and Its Constraints by Code and Law","type":"article-journal","volume":"14"},"locator":"3","uris":["http://www.mendeley.com/documents/?uuid=2fae0be9-1a0b-4079-8854-c367f924511e"]}],"mendeley":{"formattedCitation":"(Burri, 2011, p. 3)","plainTextFormattedCitation":"(Burri, 2011, p. 3)","previouslyFormattedCitation":"(Burri, 2011, p. 3)"},"properties":{"noteIndex":0},"schema":"https://github.com/citation-style-language/schema/raw/master/csl-citation.json"}</w:instrText>
      </w:r>
      <w:r w:rsidR="00574E1F">
        <w:fldChar w:fldCharType="separate"/>
      </w:r>
      <w:r w:rsidR="00574E1F" w:rsidRPr="00574E1F">
        <w:rPr>
          <w:noProof/>
        </w:rPr>
        <w:t>(Burri, 2011, p. 3)</w:t>
      </w:r>
      <w:r w:rsidR="00574E1F">
        <w:fldChar w:fldCharType="end"/>
      </w:r>
      <w:r w:rsidR="006A5D84" w:rsidRPr="00B4301D">
        <w:t xml:space="preserve">. She highlights the distinction between games where the developers allow and even encourage forms of UCC (e.g. Minecraft, Second Life) and games where it heavily restricted (e.g. World of Warcraft). </w:t>
      </w:r>
    </w:p>
    <w:p w14:paraId="05B3B9FC" w14:textId="6D88E90C" w:rsidR="001A7D38" w:rsidRPr="00B4301D" w:rsidRDefault="001A7D38" w:rsidP="00D52861">
      <w:pPr>
        <w:pStyle w:val="Heading2"/>
        <w:spacing w:line="360" w:lineRule="auto"/>
        <w:rPr>
          <w:color w:val="auto"/>
        </w:rPr>
      </w:pPr>
      <w:r w:rsidRPr="00B4301D">
        <w:rPr>
          <w:color w:val="auto"/>
        </w:rPr>
        <w:t>1.</w:t>
      </w:r>
      <w:r w:rsidR="00A14380" w:rsidRPr="00B4301D">
        <w:rPr>
          <w:color w:val="auto"/>
        </w:rPr>
        <w:t>2</w:t>
      </w:r>
      <w:r w:rsidRPr="00B4301D">
        <w:rPr>
          <w:color w:val="auto"/>
        </w:rPr>
        <w:t>. Research Questions</w:t>
      </w:r>
    </w:p>
    <w:p w14:paraId="66C3D49B" w14:textId="31268A53" w:rsidR="006A5D84" w:rsidRPr="00B4301D" w:rsidRDefault="001A7D38" w:rsidP="00D52861">
      <w:pPr>
        <w:spacing w:line="360" w:lineRule="auto"/>
      </w:pPr>
      <w:r w:rsidRPr="00B4301D">
        <w:t>P</w:t>
      </w:r>
      <w:r w:rsidR="006A5D84" w:rsidRPr="00B4301D">
        <w:t xml:space="preserve">revious work has examined some aspects of player creativity in </w:t>
      </w:r>
      <w:r w:rsidR="00681EDC" w:rsidRPr="00B4301D">
        <w:t>digital games</w:t>
      </w:r>
      <w:r w:rsidR="006A5D84" w:rsidRPr="00B4301D">
        <w:t xml:space="preserve"> such as</w:t>
      </w:r>
      <w:r w:rsidR="000C1A94" w:rsidRPr="00B4301D">
        <w:t xml:space="preserve"> ill-structured and emotional challenges,</w:t>
      </w:r>
      <w:r w:rsidR="006A5D84" w:rsidRPr="00B4301D">
        <w:t xml:space="preserve"> emergent</w:t>
      </w:r>
      <w:r w:rsidR="00BE3B98" w:rsidRPr="00B4301D">
        <w:t xml:space="preserve">, </w:t>
      </w:r>
      <w:r w:rsidR="000C1A94" w:rsidRPr="00B4301D">
        <w:t>transgressive</w:t>
      </w:r>
      <w:r w:rsidR="00BE3B98" w:rsidRPr="00B4301D">
        <w:t xml:space="preserve"> and transformative</w:t>
      </w:r>
      <w:r w:rsidR="006A5D84" w:rsidRPr="00B4301D">
        <w:t xml:space="preserve"> play, social innovations and player creations based on the game. However, questions remain in relation to how player creations may differ depending on the level of restriction for UCC and whether players of different types of games view creativity in different ways? Not all games are created equal in their allowance for player created content though players appear to still able to be very creative in even the most restricted games. Thus, the research questions this paper seeks to address are twofold: </w:t>
      </w:r>
    </w:p>
    <w:p w14:paraId="0BDA8508" w14:textId="7EF0D9C3" w:rsidR="006A5D84" w:rsidRPr="00B4301D" w:rsidRDefault="006A5D84" w:rsidP="006A5D84">
      <w:pPr>
        <w:spacing w:line="360" w:lineRule="auto"/>
        <w:rPr>
          <w:bCs/>
          <w:i/>
          <w:iCs/>
        </w:rPr>
      </w:pPr>
      <w:r w:rsidRPr="00B4301D">
        <w:rPr>
          <w:bCs/>
          <w:i/>
          <w:iCs/>
        </w:rPr>
        <w:t xml:space="preserve">RQ1: What expressions of creativity can </w:t>
      </w:r>
      <w:r w:rsidR="004B0EF2" w:rsidRPr="00B4301D">
        <w:rPr>
          <w:bCs/>
          <w:i/>
          <w:iCs/>
        </w:rPr>
        <w:t>occur across</w:t>
      </w:r>
      <w:r w:rsidRPr="00B4301D">
        <w:rPr>
          <w:bCs/>
          <w:i/>
          <w:iCs/>
        </w:rPr>
        <w:t xml:space="preserve"> different types of digital games? </w:t>
      </w:r>
    </w:p>
    <w:p w14:paraId="350B3E8D" w14:textId="386173A9" w:rsidR="006A5D84" w:rsidRPr="00B4301D" w:rsidRDefault="006A5D84" w:rsidP="006A5D84">
      <w:pPr>
        <w:spacing w:line="360" w:lineRule="auto"/>
        <w:rPr>
          <w:bCs/>
          <w:i/>
          <w:iCs/>
        </w:rPr>
      </w:pPr>
      <w:r w:rsidRPr="00B4301D">
        <w:rPr>
          <w:bCs/>
          <w:i/>
          <w:iCs/>
        </w:rPr>
        <w:t xml:space="preserve">RQ2: What design </w:t>
      </w:r>
      <w:r w:rsidR="008C2A2B" w:rsidRPr="00B4301D">
        <w:rPr>
          <w:bCs/>
          <w:i/>
          <w:iCs/>
        </w:rPr>
        <w:t xml:space="preserve">considerations </w:t>
      </w:r>
      <w:r w:rsidRPr="00B4301D">
        <w:rPr>
          <w:bCs/>
          <w:i/>
          <w:iCs/>
        </w:rPr>
        <w:t xml:space="preserve">of these games facilitate </w:t>
      </w:r>
      <w:r w:rsidR="004B0EF2" w:rsidRPr="00B4301D">
        <w:rPr>
          <w:bCs/>
          <w:i/>
          <w:iCs/>
        </w:rPr>
        <w:t xml:space="preserve">player </w:t>
      </w:r>
      <w:r w:rsidRPr="00B4301D">
        <w:rPr>
          <w:bCs/>
          <w:i/>
          <w:iCs/>
        </w:rPr>
        <w:t xml:space="preserve">creativity? </w:t>
      </w:r>
    </w:p>
    <w:p w14:paraId="798338D0" w14:textId="0D9EEF71" w:rsidR="00C47C74" w:rsidRPr="00B4301D" w:rsidRDefault="00C47C74" w:rsidP="00D52861">
      <w:pPr>
        <w:pStyle w:val="Heading2"/>
        <w:spacing w:line="360" w:lineRule="auto"/>
        <w:rPr>
          <w:color w:val="auto"/>
        </w:rPr>
      </w:pPr>
      <w:r w:rsidRPr="00B4301D">
        <w:rPr>
          <w:color w:val="auto"/>
        </w:rPr>
        <w:lastRenderedPageBreak/>
        <w:t>1.</w:t>
      </w:r>
      <w:r w:rsidR="00A14380" w:rsidRPr="00B4301D">
        <w:rPr>
          <w:color w:val="auto"/>
        </w:rPr>
        <w:t>3</w:t>
      </w:r>
      <w:r w:rsidRPr="00B4301D">
        <w:rPr>
          <w:color w:val="auto"/>
        </w:rPr>
        <w:t>. Pu</w:t>
      </w:r>
      <w:r w:rsidR="00BE35E7" w:rsidRPr="00B4301D">
        <w:rPr>
          <w:color w:val="auto"/>
        </w:rPr>
        <w:t>rpose of the study</w:t>
      </w:r>
    </w:p>
    <w:p w14:paraId="09D515F8" w14:textId="14C59839" w:rsidR="00F53B54" w:rsidRPr="00B4301D" w:rsidRDefault="00562736" w:rsidP="003B17E9">
      <w:pPr>
        <w:spacing w:line="360" w:lineRule="auto"/>
      </w:pPr>
      <w:r w:rsidRPr="00B4301D">
        <w:t xml:space="preserve">This study </w:t>
      </w:r>
      <w:r w:rsidR="00BE35E7" w:rsidRPr="00B4301D">
        <w:t>aims</w:t>
      </w:r>
      <w:r w:rsidRPr="00B4301D">
        <w:t xml:space="preserve"> to add to the under-researched area of creativity and digital games and lay groundwork for </w:t>
      </w:r>
      <w:r w:rsidR="007B0EDB" w:rsidRPr="00B4301D">
        <w:t>future</w:t>
      </w:r>
      <w:r w:rsidRPr="00B4301D">
        <w:t xml:space="preserve"> studies which explore</w:t>
      </w:r>
      <w:r w:rsidR="00B05CCF" w:rsidRPr="00B4301D">
        <w:t xml:space="preserve"> more explicitly the different forms of creative expression by players</w:t>
      </w:r>
      <w:r w:rsidRPr="00B4301D">
        <w:t>. Additionally, t</w:t>
      </w:r>
      <w:r w:rsidR="006A5D84" w:rsidRPr="00B4301D">
        <w:t xml:space="preserve">hrough illuminating how creativity in expressed in digital games and what </w:t>
      </w:r>
      <w:r w:rsidR="003D3F6D" w:rsidRPr="00B4301D">
        <w:t>possibilities</w:t>
      </w:r>
      <w:r w:rsidR="006A5D84" w:rsidRPr="00B4301D">
        <w:t xml:space="preserve"> the medium may offer for </w:t>
      </w:r>
      <w:r w:rsidR="004A4DE5" w:rsidRPr="00B4301D">
        <w:t>creative behaviour</w:t>
      </w:r>
      <w:r w:rsidR="006A5D84" w:rsidRPr="00B4301D">
        <w:t xml:space="preserve">, a greater understanding may be gained in terms of how digital games could be used to foster creativity in both </w:t>
      </w:r>
      <w:r w:rsidR="00AD3201" w:rsidRPr="00B4301D">
        <w:t>entertainment games and educational games</w:t>
      </w:r>
      <w:r w:rsidR="006A5D84" w:rsidRPr="00B4301D">
        <w:t xml:space="preserve">. </w:t>
      </w:r>
      <w:r w:rsidRPr="00B4301D">
        <w:t>This could apply to both games designed with the intent to encourage creative behaviour, as well as the use of commercial entertainment games in educational settings.</w:t>
      </w:r>
    </w:p>
    <w:p w14:paraId="1CABAC0A" w14:textId="41DE8311" w:rsidR="00F53B54" w:rsidRPr="00B4301D" w:rsidRDefault="003B4958" w:rsidP="00D52861">
      <w:pPr>
        <w:pStyle w:val="Heading1"/>
        <w:spacing w:line="360" w:lineRule="auto"/>
        <w:rPr>
          <w:color w:val="auto"/>
        </w:rPr>
      </w:pPr>
      <w:r w:rsidRPr="00B4301D">
        <w:rPr>
          <w:color w:val="auto"/>
        </w:rPr>
        <w:t xml:space="preserve">2. </w:t>
      </w:r>
      <w:r w:rsidR="00F53B54" w:rsidRPr="00B4301D">
        <w:rPr>
          <w:color w:val="auto"/>
        </w:rPr>
        <w:t>M</w:t>
      </w:r>
      <w:r w:rsidR="00B1781E" w:rsidRPr="00B4301D">
        <w:rPr>
          <w:color w:val="auto"/>
        </w:rPr>
        <w:t>aterials and Methods</w:t>
      </w:r>
    </w:p>
    <w:p w14:paraId="4C412EDA" w14:textId="105708C8" w:rsidR="00696FDF" w:rsidRPr="00B4301D" w:rsidRDefault="003B4958" w:rsidP="00D52861">
      <w:pPr>
        <w:pStyle w:val="Heading2"/>
        <w:spacing w:line="360" w:lineRule="auto"/>
        <w:rPr>
          <w:b/>
          <w:color w:val="auto"/>
        </w:rPr>
      </w:pPr>
      <w:r w:rsidRPr="00B4301D">
        <w:rPr>
          <w:color w:val="auto"/>
        </w:rPr>
        <w:t>2.</w:t>
      </w:r>
      <w:r w:rsidR="00E86E75" w:rsidRPr="00B4301D">
        <w:rPr>
          <w:color w:val="auto"/>
        </w:rPr>
        <w:t>1.</w:t>
      </w:r>
      <w:r w:rsidRPr="00B4301D">
        <w:rPr>
          <w:color w:val="auto"/>
        </w:rPr>
        <w:t xml:space="preserve"> </w:t>
      </w:r>
      <w:r w:rsidR="00696FDF" w:rsidRPr="00B4301D">
        <w:rPr>
          <w:color w:val="auto"/>
        </w:rPr>
        <w:t>Methods of Data Collection</w:t>
      </w:r>
    </w:p>
    <w:p w14:paraId="5E6B81CB" w14:textId="2508C662" w:rsidR="009A408E" w:rsidRPr="00B4301D" w:rsidRDefault="004E4E8C">
      <w:pPr>
        <w:spacing w:line="360" w:lineRule="auto"/>
      </w:pPr>
      <w:r w:rsidRPr="00B4301D">
        <w:t xml:space="preserve">Creativity has been argued to be highly subjective and dependent on a variety of other factors such as personality, past gaming experience and preferred playstyle and as such qualitative studies </w:t>
      </w:r>
      <w:r w:rsidR="00551704" w:rsidRPr="00B4301D">
        <w:t xml:space="preserve">are </w:t>
      </w:r>
      <w:r w:rsidRPr="00B4301D">
        <w:t xml:space="preserve">aptly suited to explore it. For example, Jarret </w:t>
      </w:r>
      <w:r w:rsidRPr="00B4301D">
        <w:fldChar w:fldCharType="begin" w:fldLock="1"/>
      </w:r>
      <w:r w:rsidR="00357F49" w:rsidRPr="00B4301D">
        <w:instrText>ADDIN CSL_CITATION {"citationItems":[{"id":"ITEM-1","itemData":{"abstract":"The role of playful innovations in the Multiplayer Online Battle Arena (MOBA) genre has become a hugely important, contested and under studied activity. Through a case study of the 'fountain hook' and an exploration of exploitative and emergent notions of play, this paper explores how the dynamics of co-creativity function in online play spaces such as the MOBA genre. In what ways these co-creative dynamics impact different stakeholders of the play space and open up critical questions similar to that of wider participatory platforms is a particular focus here. Informed by online ethnographic research that forms part of a wider PhD project this paper also touches upon specific themes related to the unexplored genre of MOBAs such as why they are so appealing and what it is that makes them so challenging to study.","author":[{"dropping-particle":"","family":"Jarrett","given":"Josh","non-dropping-particle":"","parse-names":false,"suffix":""}],"container-title":"Videogame Cultures and the Future of Interactive Entertainment 6th Global Conference, July 19th 2014","id":"ITEM-1","issued":{"date-parts":[["2014"]]},"publisher-place":"Oxford","title":"Fountain Hooks, Emergent Exploits and the Playful Co-Creativity of MOBAs","type":"paper-conference"},"uris":["http://www.mendeley.com/documents/?uuid=669469aa-d3d9-3fd1-b277-5c453f251e40"]}],"mendeley":{"formattedCitation":"(Jarrett, 2014)","manualFormatting":"(2014)","plainTextFormattedCitation":"(Jarrett, 2014)","previouslyFormattedCitation":"(Jarrett, 2014)"},"properties":{"noteIndex":0},"schema":"https://github.com/citation-style-language/schema/raw/master/csl-citation.json"}</w:instrText>
      </w:r>
      <w:r w:rsidRPr="00B4301D">
        <w:fldChar w:fldCharType="separate"/>
      </w:r>
      <w:r w:rsidRPr="00B4301D">
        <w:rPr>
          <w:noProof/>
        </w:rPr>
        <w:t>(2014)</w:t>
      </w:r>
      <w:r w:rsidRPr="00B4301D">
        <w:fldChar w:fldCharType="end"/>
      </w:r>
      <w:r w:rsidRPr="00B4301D">
        <w:t xml:space="preserve"> used an ethnographic method to examine emergent play in MOBA games, </w:t>
      </w:r>
      <w:r w:rsidR="00E74DC0" w:rsidRPr="00B4301D">
        <w:t>while</w:t>
      </w:r>
      <w:r w:rsidRPr="00B4301D">
        <w:t xml:space="preserve"> Wright et al. </w:t>
      </w:r>
      <w:r w:rsidRPr="00B4301D">
        <w:fldChar w:fldCharType="begin" w:fldLock="1"/>
      </w:r>
      <w:r w:rsidR="00E245A6" w:rsidRPr="00B4301D">
        <w:instrText>ADDIN CSL_CITATION {"citationItems":[{"id":"ITEM-1","itemData":{"author":[{"dropping-particle":"","family":"Wright","given":"Talmadge","non-dropping-particle":"","parse-names":false,"suffix":""},{"dropping-particle":"","family":"Boria","given":"Eric","non-dropping-particle":"","parse-names":false,"suffix":""},{"dropping-particle":"","family":"Breidenbach","given":"Paul","non-dropping-particle":"","parse-names":false,"suffix":""}],"container-title":"Game Studies","id":"ITEM-1","issued":{"date-parts":[["2002"]]},"title":"Creative Player Actions in FPS Online Video Games Playing Counter-Strike","type":"article-journal","volume":"2"},"uris":["http://www.mendeley.com/documents/?uuid=26c94281-7fed-344e-9705-50e4f807916c"]}],"mendeley":{"formattedCitation":"(Wright et al., 2002)","manualFormatting":"(2002)","plainTextFormattedCitation":"(Wright et al., 2002)","previouslyFormattedCitation":"(Wright et al., 2002)"},"properties":{"noteIndex":0},"schema":"https://github.com/citation-style-language/schema/raw/master/csl-citation.json"}</w:instrText>
      </w:r>
      <w:r w:rsidRPr="00B4301D">
        <w:fldChar w:fldCharType="separate"/>
      </w:r>
      <w:r w:rsidRPr="00B4301D">
        <w:rPr>
          <w:noProof/>
        </w:rPr>
        <w:t>(2002)</w:t>
      </w:r>
      <w:r w:rsidRPr="00B4301D">
        <w:fldChar w:fldCharType="end"/>
      </w:r>
      <w:r w:rsidR="00E74DC0" w:rsidRPr="00B4301D">
        <w:t xml:space="preserve"> and Fergusson </w:t>
      </w:r>
      <w:r w:rsidR="00E74DC0" w:rsidRPr="00B4301D">
        <w:fldChar w:fldCharType="begin" w:fldLock="1"/>
      </w:r>
      <w:r w:rsidR="00E00DAE" w:rsidRPr="00B4301D">
        <w:instrText>ADDIN CSL_CITATION {"citationItems":[{"id":"ITEM-1","itemData":{"DOI":"10.1016/j.tsc.2011.07.001","abstract":"a b s t r a c t Virtual worlds open new possibilities for learners, prompting a reconsideration of how learning takes place, and setting education in a context of playfulness, delight and cre-ativity. They provide environments in which it is not only possible but also necessary to generate and try out ideas. They therefore offer opportunities to explore new possibilities related to teaching and learning about creativity and to challenge assumptions about the creative capabilities of young learners. The research reported here focuses on a group of teenaged learners who worked together online in the virtual world of Second Life®, as well as using other online tools. It applies thematic analysis to a 120-post forum discussion carried out over two weeks, in which 19 learners and educators debated how to develop their virtual island, and sets this discussion in the context of ongoing interaction within this group. Their focus widened from building plans to cover the creation and maintenance of a community, creatively synthesising considerations relating to environment, ethics, gover-nance, aesthetics and purpose. The teenagers' creativity when dealing with this authentic problem extended well beyond the elements identified by England's National Curriculum, and was supported by staff's active and supportive engagement in the debate.","author":[{"dropping-particle":"","family":"Ferguson","given":"Rebecca","non-dropping-particle":"","parse-names":false,"suffix":""}],"container-title":"Thinking Skills and Creativity","id":"ITEM-1","issued":{"date-parts":[["2011"]]},"page":"169-178","title":"Meaningful learning and creativity in virtual worlds","type":"article-journal","volume":"6"},"uris":["http://www.mendeley.com/documents/?uuid=0a98d659-58c4-3696-a438-c64af17c6485"]}],"mendeley":{"formattedCitation":"(Ferguson, 2011)","manualFormatting":"(2011)","plainTextFormattedCitation":"(Ferguson, 2011)","previouslyFormattedCitation":"(Ferguson, 2011)"},"properties":{"noteIndex":0},"schema":"https://github.com/citation-style-language/schema/raw/master/csl-citation.json"}</w:instrText>
      </w:r>
      <w:r w:rsidR="00E74DC0" w:rsidRPr="00B4301D">
        <w:fldChar w:fldCharType="separate"/>
      </w:r>
      <w:r w:rsidR="00E74DC0" w:rsidRPr="00B4301D">
        <w:rPr>
          <w:noProof/>
        </w:rPr>
        <w:t>(2011)</w:t>
      </w:r>
      <w:r w:rsidR="00E74DC0" w:rsidRPr="00B4301D">
        <w:fldChar w:fldCharType="end"/>
      </w:r>
      <w:r w:rsidR="00E74DC0" w:rsidRPr="00B4301D">
        <w:t xml:space="preserve"> analysed chat logs</w:t>
      </w:r>
      <w:r w:rsidRPr="00B4301D">
        <w:t>.</w:t>
      </w:r>
      <w:r w:rsidR="00F53B54" w:rsidRPr="00B4301D">
        <w:t xml:space="preserve"> </w:t>
      </w:r>
      <w:r w:rsidRPr="00B4301D">
        <w:t xml:space="preserve">Studies such as these provide a rich and detailed insight into </w:t>
      </w:r>
      <w:r w:rsidR="00221740" w:rsidRPr="00B4301D">
        <w:t xml:space="preserve">how players </w:t>
      </w:r>
      <w:r w:rsidR="009A408E" w:rsidRPr="00B4301D">
        <w:t>appropriate and adapt their gaming behaviour</w:t>
      </w:r>
      <w:r w:rsidR="00221740" w:rsidRPr="00B4301D">
        <w:t>.</w:t>
      </w:r>
      <w:r w:rsidR="00581E3B" w:rsidRPr="00B4301D">
        <w:t xml:space="preserve"> </w:t>
      </w:r>
      <w:r w:rsidR="00051F85" w:rsidRPr="00B4301D">
        <w:t xml:space="preserve">This study follows in the same footsteps by adopting an explorative approach to the study of player creativity in </w:t>
      </w:r>
      <w:r w:rsidR="00681EDC" w:rsidRPr="00B4301D">
        <w:t>digital games</w:t>
      </w:r>
      <w:r w:rsidR="00051F85" w:rsidRPr="00B4301D">
        <w:t xml:space="preserve">. </w:t>
      </w:r>
      <w:r w:rsidR="00C656C0" w:rsidRPr="00B4301D">
        <w:t>While not providing the same micro level of detail as an ethnography or the social illumination of chat analysis, s</w:t>
      </w:r>
      <w:r w:rsidR="00696FDF" w:rsidRPr="00B4301D">
        <w:t xml:space="preserve">emi-structured interviews were chosen to provide a detailed insight into the different types of creative expression across a range of games and illuminate the </w:t>
      </w:r>
      <w:r w:rsidR="003D3F6D" w:rsidRPr="00B4301D">
        <w:t>design aspects</w:t>
      </w:r>
      <w:r w:rsidR="00696FDF" w:rsidRPr="00B4301D">
        <w:t xml:space="preserve"> that enable them. </w:t>
      </w:r>
      <w:r w:rsidR="00F47C00" w:rsidRPr="00B4301D">
        <w:t>While the nature of the study was exploratory, the use of prompts in the semi-structured interviews provided a loose structure on which to guide the discussion</w:t>
      </w:r>
      <w:r w:rsidR="00A10E7B" w:rsidRPr="00B4301D">
        <w:t xml:space="preserve"> while still</w:t>
      </w:r>
      <w:r w:rsidR="00F47C00" w:rsidRPr="00B4301D">
        <w:t xml:space="preserve"> le</w:t>
      </w:r>
      <w:r w:rsidR="00A10E7B" w:rsidRPr="00B4301D">
        <w:t>aving</w:t>
      </w:r>
      <w:r w:rsidR="00F47C00" w:rsidRPr="00B4301D">
        <w:t xml:space="preserve"> scope for </w:t>
      </w:r>
      <w:r w:rsidR="00473FF1" w:rsidRPr="00B4301D">
        <w:t>asking probing questions and exploring connected topics</w:t>
      </w:r>
      <w:r w:rsidR="00F47C00" w:rsidRPr="00B4301D">
        <w:t>.</w:t>
      </w:r>
      <w:r w:rsidR="00C93055" w:rsidRPr="00B4301D">
        <w:t xml:space="preserve"> Please see table 1.1 for interview prompts.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2"/>
        <w:gridCol w:w="1743"/>
        <w:gridCol w:w="6231"/>
      </w:tblGrid>
      <w:tr w:rsidR="00B4301D" w:rsidRPr="00B4301D" w14:paraId="5425B74B" w14:textId="77777777" w:rsidTr="002A760B">
        <w:tc>
          <w:tcPr>
            <w:tcW w:w="1052" w:type="dxa"/>
            <w:tcBorders>
              <w:top w:val="single" w:sz="4" w:space="0" w:color="auto"/>
              <w:bottom w:val="single" w:sz="4" w:space="0" w:color="auto"/>
            </w:tcBorders>
          </w:tcPr>
          <w:p w14:paraId="27F2BAAF" w14:textId="77777777" w:rsidR="00147BCD" w:rsidRPr="00B4301D" w:rsidRDefault="00147BCD" w:rsidP="002A760B">
            <w:pPr>
              <w:rPr>
                <w:rFonts w:cstheme="minorHAnsi"/>
                <w:b/>
                <w:sz w:val="18"/>
                <w:szCs w:val="18"/>
              </w:rPr>
            </w:pPr>
            <w:r w:rsidRPr="00B4301D">
              <w:rPr>
                <w:rFonts w:cstheme="minorHAnsi"/>
                <w:b/>
                <w:sz w:val="18"/>
                <w:szCs w:val="18"/>
              </w:rPr>
              <w:t>Question No.</w:t>
            </w:r>
          </w:p>
        </w:tc>
        <w:tc>
          <w:tcPr>
            <w:tcW w:w="1743" w:type="dxa"/>
            <w:tcBorders>
              <w:top w:val="single" w:sz="4" w:space="0" w:color="auto"/>
              <w:bottom w:val="single" w:sz="4" w:space="0" w:color="auto"/>
            </w:tcBorders>
          </w:tcPr>
          <w:p w14:paraId="25F09634" w14:textId="77777777" w:rsidR="00147BCD" w:rsidRPr="00B4301D" w:rsidRDefault="00147BCD" w:rsidP="002A760B">
            <w:pPr>
              <w:rPr>
                <w:rFonts w:cstheme="minorHAnsi"/>
                <w:b/>
                <w:sz w:val="18"/>
                <w:szCs w:val="18"/>
              </w:rPr>
            </w:pPr>
            <w:r w:rsidRPr="00B4301D">
              <w:rPr>
                <w:rFonts w:cstheme="minorHAnsi"/>
                <w:b/>
                <w:sz w:val="18"/>
                <w:szCs w:val="18"/>
              </w:rPr>
              <w:t>Literature Area</w:t>
            </w:r>
          </w:p>
        </w:tc>
        <w:tc>
          <w:tcPr>
            <w:tcW w:w="6231" w:type="dxa"/>
            <w:tcBorders>
              <w:top w:val="single" w:sz="4" w:space="0" w:color="auto"/>
              <w:bottom w:val="single" w:sz="4" w:space="0" w:color="auto"/>
            </w:tcBorders>
          </w:tcPr>
          <w:p w14:paraId="19BF1F6F" w14:textId="77777777" w:rsidR="00147BCD" w:rsidRPr="00B4301D" w:rsidRDefault="00147BCD" w:rsidP="002A760B">
            <w:pPr>
              <w:rPr>
                <w:rFonts w:cstheme="minorHAnsi"/>
                <w:b/>
                <w:sz w:val="18"/>
                <w:szCs w:val="18"/>
              </w:rPr>
            </w:pPr>
            <w:r w:rsidRPr="00B4301D">
              <w:rPr>
                <w:rFonts w:cstheme="minorHAnsi"/>
                <w:b/>
                <w:sz w:val="18"/>
                <w:szCs w:val="18"/>
              </w:rPr>
              <w:t>Question Text</w:t>
            </w:r>
          </w:p>
        </w:tc>
      </w:tr>
      <w:tr w:rsidR="00B4301D" w:rsidRPr="00B4301D" w14:paraId="634E3594" w14:textId="77777777" w:rsidTr="002A760B">
        <w:tc>
          <w:tcPr>
            <w:tcW w:w="1052" w:type="dxa"/>
          </w:tcPr>
          <w:p w14:paraId="45F5AD82" w14:textId="77777777" w:rsidR="00147BCD" w:rsidRPr="00B4301D" w:rsidRDefault="00147BCD" w:rsidP="002A760B">
            <w:pPr>
              <w:jc w:val="center"/>
              <w:rPr>
                <w:rFonts w:cstheme="minorHAnsi"/>
                <w:sz w:val="18"/>
                <w:szCs w:val="18"/>
              </w:rPr>
            </w:pPr>
            <w:r w:rsidRPr="00B4301D">
              <w:rPr>
                <w:rFonts w:cstheme="minorHAnsi"/>
                <w:sz w:val="18"/>
                <w:szCs w:val="18"/>
              </w:rPr>
              <w:t>1</w:t>
            </w:r>
          </w:p>
        </w:tc>
        <w:tc>
          <w:tcPr>
            <w:tcW w:w="1743" w:type="dxa"/>
          </w:tcPr>
          <w:p w14:paraId="7D0E3854" w14:textId="6EB5C771" w:rsidR="00147BCD" w:rsidRPr="00B4301D" w:rsidRDefault="00147BCD" w:rsidP="002A760B">
            <w:pPr>
              <w:rPr>
                <w:rFonts w:cstheme="minorHAnsi"/>
                <w:sz w:val="18"/>
                <w:szCs w:val="18"/>
              </w:rPr>
            </w:pPr>
            <w:r w:rsidRPr="00B4301D">
              <w:rPr>
                <w:rFonts w:cstheme="minorHAnsi"/>
                <w:sz w:val="18"/>
                <w:szCs w:val="18"/>
              </w:rPr>
              <w:t>General</w:t>
            </w:r>
            <w:r w:rsidR="00FC5A54" w:rsidRPr="00B4301D">
              <w:rPr>
                <w:rFonts w:cstheme="minorHAnsi"/>
                <w:sz w:val="18"/>
                <w:szCs w:val="18"/>
              </w:rPr>
              <w:t xml:space="preserve">  gameplay</w:t>
            </w:r>
          </w:p>
        </w:tc>
        <w:tc>
          <w:tcPr>
            <w:tcW w:w="6231" w:type="dxa"/>
          </w:tcPr>
          <w:p w14:paraId="2593E222" w14:textId="77777777" w:rsidR="00147BCD" w:rsidRPr="00B4301D" w:rsidRDefault="00147BCD" w:rsidP="002A760B">
            <w:pPr>
              <w:rPr>
                <w:rFonts w:cstheme="minorHAnsi"/>
                <w:sz w:val="18"/>
                <w:szCs w:val="18"/>
              </w:rPr>
            </w:pPr>
            <w:r w:rsidRPr="00B4301D">
              <w:rPr>
                <w:rFonts w:cstheme="minorHAnsi"/>
                <w:sz w:val="18"/>
                <w:szCs w:val="18"/>
              </w:rPr>
              <w:t>What games are you currently playing?</w:t>
            </w:r>
          </w:p>
          <w:p w14:paraId="3556F051" w14:textId="77777777" w:rsidR="00147BCD" w:rsidRPr="00B4301D" w:rsidRDefault="00147BCD" w:rsidP="00147BCD">
            <w:pPr>
              <w:pStyle w:val="ListParagraph"/>
              <w:numPr>
                <w:ilvl w:val="0"/>
                <w:numId w:val="7"/>
              </w:numPr>
              <w:rPr>
                <w:rFonts w:cstheme="minorHAnsi"/>
                <w:sz w:val="18"/>
                <w:szCs w:val="18"/>
              </w:rPr>
            </w:pPr>
            <w:r w:rsidRPr="00B4301D">
              <w:rPr>
                <w:rFonts w:cstheme="minorHAnsi"/>
                <w:sz w:val="18"/>
                <w:szCs w:val="18"/>
              </w:rPr>
              <w:t>What gaming platforms are you using?</w:t>
            </w:r>
          </w:p>
        </w:tc>
      </w:tr>
      <w:tr w:rsidR="00B4301D" w:rsidRPr="00B4301D" w14:paraId="63D66EEB" w14:textId="77777777" w:rsidTr="002A760B">
        <w:tc>
          <w:tcPr>
            <w:tcW w:w="1052" w:type="dxa"/>
          </w:tcPr>
          <w:p w14:paraId="4A6A6D05" w14:textId="77777777" w:rsidR="00147BCD" w:rsidRPr="00B4301D" w:rsidRDefault="00147BCD" w:rsidP="002A760B">
            <w:pPr>
              <w:jc w:val="center"/>
              <w:rPr>
                <w:rFonts w:cstheme="minorHAnsi"/>
                <w:sz w:val="18"/>
                <w:szCs w:val="18"/>
              </w:rPr>
            </w:pPr>
            <w:r w:rsidRPr="00B4301D">
              <w:rPr>
                <w:rFonts w:cstheme="minorHAnsi"/>
                <w:sz w:val="18"/>
                <w:szCs w:val="18"/>
              </w:rPr>
              <w:t>2</w:t>
            </w:r>
          </w:p>
        </w:tc>
        <w:tc>
          <w:tcPr>
            <w:tcW w:w="1743" w:type="dxa"/>
          </w:tcPr>
          <w:p w14:paraId="6FE53520" w14:textId="6F855B1D" w:rsidR="00147BCD" w:rsidRPr="00B4301D" w:rsidRDefault="00147BCD" w:rsidP="002A760B">
            <w:pPr>
              <w:rPr>
                <w:rFonts w:cstheme="minorHAnsi"/>
                <w:sz w:val="18"/>
                <w:szCs w:val="18"/>
              </w:rPr>
            </w:pPr>
            <w:r w:rsidRPr="00B4301D">
              <w:rPr>
                <w:rFonts w:cstheme="minorHAnsi"/>
                <w:sz w:val="18"/>
                <w:szCs w:val="18"/>
              </w:rPr>
              <w:t>General</w:t>
            </w:r>
            <w:r w:rsidR="00FC5A54" w:rsidRPr="00B4301D">
              <w:rPr>
                <w:rFonts w:cstheme="minorHAnsi"/>
                <w:sz w:val="18"/>
                <w:szCs w:val="18"/>
              </w:rPr>
              <w:t xml:space="preserve"> gameplay</w:t>
            </w:r>
          </w:p>
        </w:tc>
        <w:tc>
          <w:tcPr>
            <w:tcW w:w="6231" w:type="dxa"/>
          </w:tcPr>
          <w:p w14:paraId="4734046F" w14:textId="77777777" w:rsidR="00147BCD" w:rsidRPr="00B4301D" w:rsidRDefault="00147BCD" w:rsidP="002A760B">
            <w:pPr>
              <w:rPr>
                <w:rFonts w:cstheme="minorHAnsi"/>
                <w:sz w:val="18"/>
                <w:szCs w:val="18"/>
              </w:rPr>
            </w:pPr>
            <w:r w:rsidRPr="00B4301D">
              <w:rPr>
                <w:rFonts w:cstheme="minorHAnsi"/>
                <w:sz w:val="18"/>
                <w:szCs w:val="18"/>
              </w:rPr>
              <w:t>Can you describe a particularly engaging experience you have had recently whilst playing a game?</w:t>
            </w:r>
          </w:p>
          <w:p w14:paraId="319B0140" w14:textId="77777777" w:rsidR="00147BCD" w:rsidRPr="00B4301D" w:rsidRDefault="00147BCD" w:rsidP="00147BCD">
            <w:pPr>
              <w:pStyle w:val="ListParagraph"/>
              <w:numPr>
                <w:ilvl w:val="0"/>
                <w:numId w:val="2"/>
              </w:numPr>
              <w:ind w:left="360"/>
              <w:rPr>
                <w:rFonts w:cstheme="minorHAnsi"/>
                <w:sz w:val="18"/>
                <w:szCs w:val="18"/>
              </w:rPr>
            </w:pPr>
            <w:r w:rsidRPr="00B4301D">
              <w:rPr>
                <w:rFonts w:cstheme="minorHAnsi"/>
                <w:sz w:val="18"/>
                <w:szCs w:val="18"/>
              </w:rPr>
              <w:t>What do you think contributed to making these experiences so engaging?</w:t>
            </w:r>
          </w:p>
          <w:p w14:paraId="228BAF72" w14:textId="77777777" w:rsidR="00147BCD" w:rsidRPr="00B4301D" w:rsidRDefault="00147BCD" w:rsidP="002A760B">
            <w:pPr>
              <w:ind w:left="360"/>
              <w:rPr>
                <w:rFonts w:cstheme="minorHAnsi"/>
                <w:sz w:val="18"/>
                <w:szCs w:val="18"/>
              </w:rPr>
            </w:pPr>
          </w:p>
        </w:tc>
      </w:tr>
      <w:tr w:rsidR="00B4301D" w:rsidRPr="00B4301D" w14:paraId="64B8D964" w14:textId="77777777" w:rsidTr="002A760B">
        <w:tc>
          <w:tcPr>
            <w:tcW w:w="1052" w:type="dxa"/>
          </w:tcPr>
          <w:p w14:paraId="346A2AA7" w14:textId="77777777" w:rsidR="00147BCD" w:rsidRPr="00B4301D" w:rsidRDefault="00147BCD" w:rsidP="002A760B">
            <w:pPr>
              <w:jc w:val="center"/>
              <w:rPr>
                <w:rFonts w:cstheme="minorHAnsi"/>
                <w:sz w:val="18"/>
                <w:szCs w:val="18"/>
              </w:rPr>
            </w:pPr>
            <w:r w:rsidRPr="00B4301D">
              <w:rPr>
                <w:rFonts w:cstheme="minorHAnsi"/>
                <w:sz w:val="18"/>
                <w:szCs w:val="18"/>
              </w:rPr>
              <w:t>3</w:t>
            </w:r>
          </w:p>
        </w:tc>
        <w:tc>
          <w:tcPr>
            <w:tcW w:w="1743" w:type="dxa"/>
          </w:tcPr>
          <w:p w14:paraId="67F3171E" w14:textId="77777777" w:rsidR="00147BCD" w:rsidRPr="00B4301D" w:rsidRDefault="00147BCD" w:rsidP="002A760B">
            <w:pPr>
              <w:rPr>
                <w:rFonts w:cstheme="minorHAnsi"/>
                <w:sz w:val="18"/>
                <w:szCs w:val="18"/>
              </w:rPr>
            </w:pPr>
            <w:r w:rsidRPr="00B4301D">
              <w:rPr>
                <w:rFonts w:cstheme="minorHAnsi"/>
                <w:sz w:val="18"/>
                <w:szCs w:val="18"/>
              </w:rPr>
              <w:t>Problem-Solving</w:t>
            </w:r>
          </w:p>
        </w:tc>
        <w:tc>
          <w:tcPr>
            <w:tcW w:w="6231" w:type="dxa"/>
          </w:tcPr>
          <w:p w14:paraId="73CABA8E" w14:textId="77777777" w:rsidR="00147BCD" w:rsidRPr="00B4301D" w:rsidRDefault="00147BCD" w:rsidP="002A760B">
            <w:pPr>
              <w:rPr>
                <w:rFonts w:cstheme="minorHAnsi"/>
                <w:sz w:val="18"/>
                <w:szCs w:val="18"/>
              </w:rPr>
            </w:pPr>
            <w:r w:rsidRPr="00B4301D">
              <w:rPr>
                <w:rFonts w:cstheme="minorHAnsi"/>
                <w:sz w:val="18"/>
                <w:szCs w:val="18"/>
              </w:rPr>
              <w:t>Has there ever been a time when you tried out or created a new way of doing something – either on your own or in a team?</w:t>
            </w:r>
          </w:p>
          <w:p w14:paraId="4363BF90" w14:textId="77777777" w:rsidR="00147BCD" w:rsidRPr="00B4301D" w:rsidRDefault="00147BCD" w:rsidP="002A760B">
            <w:pPr>
              <w:rPr>
                <w:rFonts w:cstheme="minorHAnsi"/>
                <w:sz w:val="18"/>
                <w:szCs w:val="18"/>
              </w:rPr>
            </w:pPr>
          </w:p>
        </w:tc>
      </w:tr>
      <w:tr w:rsidR="00B4301D" w:rsidRPr="00B4301D" w14:paraId="0180F9D3" w14:textId="77777777" w:rsidTr="002A760B">
        <w:tc>
          <w:tcPr>
            <w:tcW w:w="1052" w:type="dxa"/>
          </w:tcPr>
          <w:p w14:paraId="2278C89E" w14:textId="77777777" w:rsidR="00147BCD" w:rsidRPr="00B4301D" w:rsidRDefault="00147BCD" w:rsidP="002A760B">
            <w:pPr>
              <w:jc w:val="center"/>
              <w:rPr>
                <w:rFonts w:cstheme="minorHAnsi"/>
                <w:sz w:val="18"/>
                <w:szCs w:val="18"/>
              </w:rPr>
            </w:pPr>
            <w:r w:rsidRPr="00B4301D">
              <w:rPr>
                <w:rFonts w:cstheme="minorHAnsi"/>
                <w:sz w:val="18"/>
                <w:szCs w:val="18"/>
              </w:rPr>
              <w:t>4</w:t>
            </w:r>
          </w:p>
        </w:tc>
        <w:tc>
          <w:tcPr>
            <w:tcW w:w="1743" w:type="dxa"/>
          </w:tcPr>
          <w:p w14:paraId="0EB50F79" w14:textId="77777777" w:rsidR="00147BCD" w:rsidRPr="00B4301D" w:rsidRDefault="00147BCD" w:rsidP="002A760B">
            <w:pPr>
              <w:rPr>
                <w:rFonts w:cstheme="minorHAnsi"/>
                <w:sz w:val="18"/>
                <w:szCs w:val="18"/>
              </w:rPr>
            </w:pPr>
            <w:r w:rsidRPr="00B4301D">
              <w:rPr>
                <w:rFonts w:cstheme="minorHAnsi"/>
                <w:sz w:val="18"/>
                <w:szCs w:val="18"/>
              </w:rPr>
              <w:t>Affective Change</w:t>
            </w:r>
          </w:p>
        </w:tc>
        <w:tc>
          <w:tcPr>
            <w:tcW w:w="6231" w:type="dxa"/>
          </w:tcPr>
          <w:p w14:paraId="531F3FAA" w14:textId="77777777" w:rsidR="00147BCD" w:rsidRPr="00B4301D" w:rsidRDefault="00147BCD" w:rsidP="002A760B">
            <w:pPr>
              <w:rPr>
                <w:rFonts w:cstheme="minorHAnsi"/>
                <w:sz w:val="18"/>
                <w:szCs w:val="18"/>
              </w:rPr>
            </w:pPr>
            <w:r w:rsidRPr="00B4301D">
              <w:rPr>
                <w:rFonts w:cstheme="minorHAnsi"/>
                <w:sz w:val="18"/>
                <w:szCs w:val="18"/>
              </w:rPr>
              <w:t>Have there been any times during your gaming experience when you began to view things in a different way? For instance, when your views were challenged or changed?</w:t>
            </w:r>
          </w:p>
          <w:p w14:paraId="70DA4B20" w14:textId="77777777" w:rsidR="00147BCD" w:rsidRPr="00B4301D" w:rsidRDefault="00147BCD" w:rsidP="002A760B">
            <w:pPr>
              <w:rPr>
                <w:rFonts w:cstheme="minorHAnsi"/>
                <w:sz w:val="18"/>
                <w:szCs w:val="18"/>
              </w:rPr>
            </w:pPr>
          </w:p>
        </w:tc>
      </w:tr>
      <w:tr w:rsidR="00B4301D" w:rsidRPr="00B4301D" w14:paraId="6B46A0C7" w14:textId="77777777" w:rsidTr="002A760B">
        <w:tc>
          <w:tcPr>
            <w:tcW w:w="1052" w:type="dxa"/>
          </w:tcPr>
          <w:p w14:paraId="4BFCB60B" w14:textId="77777777" w:rsidR="00147BCD" w:rsidRPr="00B4301D" w:rsidRDefault="00147BCD" w:rsidP="002A760B">
            <w:pPr>
              <w:jc w:val="center"/>
              <w:rPr>
                <w:rFonts w:cstheme="minorHAnsi"/>
                <w:sz w:val="18"/>
                <w:szCs w:val="18"/>
              </w:rPr>
            </w:pPr>
            <w:r w:rsidRPr="00B4301D">
              <w:rPr>
                <w:rFonts w:cstheme="minorHAnsi"/>
                <w:sz w:val="18"/>
                <w:szCs w:val="18"/>
              </w:rPr>
              <w:t>5</w:t>
            </w:r>
          </w:p>
        </w:tc>
        <w:tc>
          <w:tcPr>
            <w:tcW w:w="1743" w:type="dxa"/>
          </w:tcPr>
          <w:p w14:paraId="38E0AC26" w14:textId="77777777" w:rsidR="00147BCD" w:rsidRPr="00B4301D" w:rsidRDefault="00147BCD" w:rsidP="002A760B">
            <w:pPr>
              <w:rPr>
                <w:rFonts w:cstheme="minorHAnsi"/>
                <w:sz w:val="18"/>
                <w:szCs w:val="18"/>
              </w:rPr>
            </w:pPr>
            <w:r w:rsidRPr="00B4301D">
              <w:rPr>
                <w:rFonts w:cstheme="minorHAnsi"/>
                <w:sz w:val="18"/>
                <w:szCs w:val="18"/>
              </w:rPr>
              <w:t>Problem-Solving</w:t>
            </w:r>
          </w:p>
        </w:tc>
        <w:tc>
          <w:tcPr>
            <w:tcW w:w="6231" w:type="dxa"/>
          </w:tcPr>
          <w:p w14:paraId="1E38FF2E" w14:textId="77777777" w:rsidR="00147BCD" w:rsidRPr="00B4301D" w:rsidRDefault="00147BCD" w:rsidP="002A760B">
            <w:pPr>
              <w:rPr>
                <w:rFonts w:cstheme="minorHAnsi"/>
                <w:sz w:val="18"/>
                <w:szCs w:val="18"/>
              </w:rPr>
            </w:pPr>
            <w:r w:rsidRPr="00B4301D">
              <w:rPr>
                <w:rFonts w:cstheme="minorHAnsi"/>
                <w:sz w:val="18"/>
                <w:szCs w:val="18"/>
              </w:rPr>
              <w:t>Have you ever “discovered” a new way to go about something or use something in the game? (e.g. something you didn’t know was there before)</w:t>
            </w:r>
          </w:p>
          <w:p w14:paraId="0BA2453B" w14:textId="77777777" w:rsidR="00147BCD" w:rsidRPr="00B4301D" w:rsidRDefault="00147BCD" w:rsidP="002A760B">
            <w:pPr>
              <w:rPr>
                <w:rFonts w:cstheme="minorHAnsi"/>
                <w:sz w:val="18"/>
                <w:szCs w:val="18"/>
              </w:rPr>
            </w:pPr>
          </w:p>
        </w:tc>
      </w:tr>
      <w:tr w:rsidR="00B4301D" w:rsidRPr="00B4301D" w14:paraId="0EDAB4D6" w14:textId="77777777" w:rsidTr="002A760B">
        <w:tc>
          <w:tcPr>
            <w:tcW w:w="1052" w:type="dxa"/>
          </w:tcPr>
          <w:p w14:paraId="0F92E2EA" w14:textId="77777777" w:rsidR="00147BCD" w:rsidRPr="00B4301D" w:rsidRDefault="00147BCD" w:rsidP="002A760B">
            <w:pPr>
              <w:jc w:val="center"/>
              <w:rPr>
                <w:rFonts w:cstheme="minorHAnsi"/>
                <w:sz w:val="18"/>
                <w:szCs w:val="18"/>
              </w:rPr>
            </w:pPr>
            <w:r w:rsidRPr="00B4301D">
              <w:rPr>
                <w:rFonts w:cstheme="minorHAnsi"/>
                <w:sz w:val="18"/>
                <w:szCs w:val="18"/>
              </w:rPr>
              <w:lastRenderedPageBreak/>
              <w:t>6</w:t>
            </w:r>
          </w:p>
        </w:tc>
        <w:tc>
          <w:tcPr>
            <w:tcW w:w="1743" w:type="dxa"/>
          </w:tcPr>
          <w:p w14:paraId="1117DEC9" w14:textId="77777777" w:rsidR="00147BCD" w:rsidRPr="00B4301D" w:rsidRDefault="00147BCD" w:rsidP="002A760B">
            <w:pPr>
              <w:rPr>
                <w:rFonts w:cstheme="minorHAnsi"/>
                <w:sz w:val="18"/>
                <w:szCs w:val="18"/>
              </w:rPr>
            </w:pPr>
            <w:r w:rsidRPr="00B4301D">
              <w:rPr>
                <w:rFonts w:cstheme="minorHAnsi"/>
                <w:sz w:val="18"/>
                <w:szCs w:val="18"/>
              </w:rPr>
              <w:t>Appropriation</w:t>
            </w:r>
          </w:p>
        </w:tc>
        <w:tc>
          <w:tcPr>
            <w:tcW w:w="6231" w:type="dxa"/>
          </w:tcPr>
          <w:p w14:paraId="5BCA8C33" w14:textId="77777777" w:rsidR="00147BCD" w:rsidRPr="00B4301D" w:rsidRDefault="00147BCD" w:rsidP="002A760B">
            <w:pPr>
              <w:rPr>
                <w:rFonts w:cstheme="minorHAnsi"/>
                <w:sz w:val="18"/>
                <w:szCs w:val="18"/>
              </w:rPr>
            </w:pPr>
            <w:r w:rsidRPr="00B4301D">
              <w:rPr>
                <w:rFonts w:cstheme="minorHAnsi"/>
                <w:sz w:val="18"/>
                <w:szCs w:val="18"/>
              </w:rPr>
              <w:t xml:space="preserve">Have you ever used the game mechanics for uses other than what they were intended for? (e.g. glitches, cheats, alternative uses for game variables) </w:t>
            </w:r>
          </w:p>
          <w:p w14:paraId="04716FCD" w14:textId="77777777" w:rsidR="00147BCD" w:rsidRPr="00B4301D" w:rsidRDefault="00147BCD" w:rsidP="002A760B">
            <w:pPr>
              <w:rPr>
                <w:rFonts w:cstheme="minorHAnsi"/>
                <w:sz w:val="18"/>
                <w:szCs w:val="18"/>
              </w:rPr>
            </w:pPr>
          </w:p>
        </w:tc>
      </w:tr>
      <w:tr w:rsidR="00B4301D" w:rsidRPr="00B4301D" w14:paraId="513B6987" w14:textId="77777777" w:rsidTr="002A760B">
        <w:tc>
          <w:tcPr>
            <w:tcW w:w="1052" w:type="dxa"/>
          </w:tcPr>
          <w:p w14:paraId="77583368" w14:textId="77777777" w:rsidR="00147BCD" w:rsidRPr="00B4301D" w:rsidRDefault="00147BCD" w:rsidP="002A760B">
            <w:pPr>
              <w:jc w:val="center"/>
              <w:rPr>
                <w:rFonts w:cstheme="minorHAnsi"/>
                <w:sz w:val="18"/>
                <w:szCs w:val="18"/>
              </w:rPr>
            </w:pPr>
            <w:r w:rsidRPr="00B4301D">
              <w:rPr>
                <w:rFonts w:cstheme="minorHAnsi"/>
                <w:sz w:val="18"/>
                <w:szCs w:val="18"/>
              </w:rPr>
              <w:t>6</w:t>
            </w:r>
          </w:p>
        </w:tc>
        <w:tc>
          <w:tcPr>
            <w:tcW w:w="1743" w:type="dxa"/>
          </w:tcPr>
          <w:p w14:paraId="0DB9096E" w14:textId="77777777" w:rsidR="00147BCD" w:rsidRPr="00B4301D" w:rsidRDefault="00147BCD" w:rsidP="002A760B">
            <w:pPr>
              <w:rPr>
                <w:rFonts w:cstheme="minorHAnsi"/>
                <w:sz w:val="18"/>
                <w:szCs w:val="18"/>
              </w:rPr>
            </w:pPr>
            <w:r w:rsidRPr="00B4301D">
              <w:rPr>
                <w:rFonts w:cstheme="minorHAnsi"/>
                <w:sz w:val="18"/>
                <w:szCs w:val="18"/>
              </w:rPr>
              <w:t>Appropriation</w:t>
            </w:r>
          </w:p>
        </w:tc>
        <w:tc>
          <w:tcPr>
            <w:tcW w:w="6231" w:type="dxa"/>
          </w:tcPr>
          <w:p w14:paraId="0EAB8320" w14:textId="77777777" w:rsidR="00147BCD" w:rsidRPr="00B4301D" w:rsidRDefault="00147BCD" w:rsidP="002A760B">
            <w:pPr>
              <w:rPr>
                <w:rFonts w:cstheme="minorHAnsi"/>
                <w:sz w:val="18"/>
                <w:szCs w:val="18"/>
              </w:rPr>
            </w:pPr>
            <w:r w:rsidRPr="00B4301D">
              <w:rPr>
                <w:rFonts w:cstheme="minorHAnsi"/>
                <w:sz w:val="18"/>
                <w:szCs w:val="18"/>
              </w:rPr>
              <w:t xml:space="preserve">Have you ever created anything for the game or based on the game such as modifications, walkthroughs or fanfiction? </w:t>
            </w:r>
          </w:p>
          <w:p w14:paraId="64D22502" w14:textId="77777777" w:rsidR="00147BCD" w:rsidRPr="00B4301D" w:rsidRDefault="00147BCD" w:rsidP="00147BCD">
            <w:pPr>
              <w:pStyle w:val="ListParagraph"/>
              <w:numPr>
                <w:ilvl w:val="0"/>
                <w:numId w:val="5"/>
              </w:numPr>
              <w:ind w:left="360"/>
              <w:rPr>
                <w:rFonts w:cstheme="minorHAnsi"/>
                <w:sz w:val="18"/>
                <w:szCs w:val="18"/>
              </w:rPr>
            </w:pPr>
            <w:r w:rsidRPr="00B4301D">
              <w:rPr>
                <w:rFonts w:cstheme="minorHAnsi"/>
                <w:sz w:val="18"/>
                <w:szCs w:val="18"/>
              </w:rPr>
              <w:t>What motivated you to do this?</w:t>
            </w:r>
          </w:p>
          <w:p w14:paraId="6CE2BB61" w14:textId="77777777" w:rsidR="00147BCD" w:rsidRPr="00B4301D" w:rsidRDefault="00147BCD" w:rsidP="002A760B">
            <w:pPr>
              <w:rPr>
                <w:rFonts w:cstheme="minorHAnsi"/>
                <w:sz w:val="18"/>
                <w:szCs w:val="18"/>
              </w:rPr>
            </w:pPr>
          </w:p>
        </w:tc>
      </w:tr>
      <w:tr w:rsidR="00B4301D" w:rsidRPr="00B4301D" w14:paraId="638E30B7" w14:textId="77777777" w:rsidTr="002A760B">
        <w:tc>
          <w:tcPr>
            <w:tcW w:w="1052" w:type="dxa"/>
          </w:tcPr>
          <w:p w14:paraId="6F4C5275" w14:textId="77777777" w:rsidR="00147BCD" w:rsidRPr="00B4301D" w:rsidRDefault="00147BCD" w:rsidP="002A760B">
            <w:pPr>
              <w:jc w:val="center"/>
              <w:rPr>
                <w:rFonts w:cstheme="minorHAnsi"/>
                <w:sz w:val="18"/>
                <w:szCs w:val="18"/>
              </w:rPr>
            </w:pPr>
            <w:r w:rsidRPr="00B4301D">
              <w:rPr>
                <w:rFonts w:cstheme="minorHAnsi"/>
                <w:sz w:val="18"/>
                <w:szCs w:val="18"/>
              </w:rPr>
              <w:t>7</w:t>
            </w:r>
          </w:p>
        </w:tc>
        <w:tc>
          <w:tcPr>
            <w:tcW w:w="1743" w:type="dxa"/>
          </w:tcPr>
          <w:p w14:paraId="5E043A5A" w14:textId="77777777" w:rsidR="00147BCD" w:rsidRPr="00B4301D" w:rsidRDefault="00147BCD" w:rsidP="002A760B">
            <w:pPr>
              <w:rPr>
                <w:rFonts w:cstheme="minorHAnsi"/>
                <w:sz w:val="18"/>
                <w:szCs w:val="18"/>
              </w:rPr>
            </w:pPr>
            <w:r w:rsidRPr="00B4301D">
              <w:rPr>
                <w:rFonts w:cstheme="minorHAnsi"/>
                <w:sz w:val="18"/>
                <w:szCs w:val="18"/>
              </w:rPr>
              <w:t>Personal Perspective on Creativity</w:t>
            </w:r>
          </w:p>
        </w:tc>
        <w:tc>
          <w:tcPr>
            <w:tcW w:w="6231" w:type="dxa"/>
          </w:tcPr>
          <w:p w14:paraId="633F859B" w14:textId="77777777" w:rsidR="00147BCD" w:rsidRPr="00B4301D" w:rsidRDefault="00147BCD" w:rsidP="002A760B">
            <w:pPr>
              <w:rPr>
                <w:rFonts w:cstheme="minorHAnsi"/>
                <w:sz w:val="18"/>
                <w:szCs w:val="18"/>
              </w:rPr>
            </w:pPr>
            <w:r w:rsidRPr="00B4301D">
              <w:rPr>
                <w:rFonts w:cstheme="minorHAnsi"/>
                <w:sz w:val="18"/>
                <w:szCs w:val="18"/>
              </w:rPr>
              <w:t>Do you think you are or can be creative when you play games?</w:t>
            </w:r>
          </w:p>
          <w:p w14:paraId="16F56F44" w14:textId="77777777" w:rsidR="00147BCD" w:rsidRPr="00B4301D" w:rsidRDefault="00147BCD" w:rsidP="00147BCD">
            <w:pPr>
              <w:pStyle w:val="ListParagraph"/>
              <w:numPr>
                <w:ilvl w:val="0"/>
                <w:numId w:val="6"/>
              </w:numPr>
              <w:ind w:left="360"/>
              <w:rPr>
                <w:rFonts w:cstheme="minorHAnsi"/>
                <w:sz w:val="18"/>
                <w:szCs w:val="18"/>
              </w:rPr>
            </w:pPr>
            <w:r w:rsidRPr="00B4301D">
              <w:rPr>
                <w:rFonts w:cstheme="minorHAnsi"/>
                <w:sz w:val="18"/>
                <w:szCs w:val="18"/>
              </w:rPr>
              <w:t>Do you feel you gain anything in particular from being creative in games?</w:t>
            </w:r>
          </w:p>
          <w:p w14:paraId="60BA4304" w14:textId="77777777" w:rsidR="00147BCD" w:rsidRPr="00B4301D" w:rsidRDefault="00147BCD" w:rsidP="00147BCD">
            <w:pPr>
              <w:pStyle w:val="ListParagraph"/>
              <w:numPr>
                <w:ilvl w:val="0"/>
                <w:numId w:val="6"/>
              </w:numPr>
              <w:ind w:left="360"/>
              <w:rPr>
                <w:rFonts w:cstheme="minorHAnsi"/>
                <w:sz w:val="18"/>
                <w:szCs w:val="18"/>
              </w:rPr>
            </w:pPr>
            <w:r w:rsidRPr="00B4301D">
              <w:rPr>
                <w:rFonts w:cstheme="minorHAnsi"/>
                <w:sz w:val="18"/>
                <w:szCs w:val="18"/>
              </w:rPr>
              <w:t>Would you use any of the skills/experience from being creative in other aspects of life?</w:t>
            </w:r>
          </w:p>
          <w:p w14:paraId="64A9DCF3" w14:textId="77777777" w:rsidR="00147BCD" w:rsidRPr="00B4301D" w:rsidRDefault="00147BCD" w:rsidP="002A760B">
            <w:pPr>
              <w:rPr>
                <w:rFonts w:cstheme="minorHAnsi"/>
                <w:sz w:val="18"/>
                <w:szCs w:val="18"/>
              </w:rPr>
            </w:pPr>
          </w:p>
        </w:tc>
      </w:tr>
    </w:tbl>
    <w:p w14:paraId="44CEE515" w14:textId="50372DFF" w:rsidR="0005570E" w:rsidRPr="00B4301D" w:rsidRDefault="00147BCD">
      <w:pPr>
        <w:spacing w:line="360" w:lineRule="auto"/>
        <w:rPr>
          <w:rFonts w:cstheme="minorHAnsi"/>
          <w:i/>
          <w:sz w:val="18"/>
          <w:szCs w:val="18"/>
        </w:rPr>
      </w:pPr>
      <w:r w:rsidRPr="00B4301D">
        <w:rPr>
          <w:rFonts w:cstheme="minorHAnsi"/>
          <w:i/>
          <w:sz w:val="18"/>
          <w:szCs w:val="18"/>
        </w:rPr>
        <w:t>Table 1.1: Interview Prompts</w:t>
      </w:r>
    </w:p>
    <w:p w14:paraId="1C242890" w14:textId="52D7E85B" w:rsidR="00B32AD1" w:rsidRPr="00B4301D" w:rsidRDefault="00B32AD1" w:rsidP="00CE74C2">
      <w:pPr>
        <w:spacing w:line="360" w:lineRule="auto"/>
        <w:ind w:firstLine="720"/>
      </w:pPr>
      <w:r w:rsidRPr="00B4301D">
        <w:t>Due to a large volume of participants originally signing up for the study, additional data was collected using a narrative survey consisting of various “frames” relating to the interview questions. A narrative frame comprises of “a written story template consisting of a series of incomplete sentences and blank spaces of var</w:t>
      </w:r>
      <w:r w:rsidR="00551704" w:rsidRPr="00B4301D">
        <w:t>ying</w:t>
      </w:r>
      <w:r w:rsidRPr="00B4301D">
        <w:t xml:space="preserve"> length”</w:t>
      </w:r>
      <w:r w:rsidR="00E3690D" w:rsidRPr="00B4301D">
        <w:t xml:space="preserve"> </w:t>
      </w:r>
      <w:r w:rsidR="00E3690D" w:rsidRPr="00B4301D">
        <w:fldChar w:fldCharType="begin" w:fldLock="1"/>
      </w:r>
      <w:r w:rsidR="001170D7" w:rsidRPr="00B4301D">
        <w:instrText>ADDIN CSL_CITATION {"citationItems":[{"id":"ITEM-1","itemData":{"DOI":"10.1057/9780230306790_13","author":[{"dropping-particle":"","family":"Barkhuizen","given":"Gary","non-dropping-particle":"","parse-names":false,"suffix":""}],"container-title":"Beyond the Language Classroom","id":"ITEM-1","issued":{"date-parts":[["2011"]]},"page":"161-174","publisher":"Palgrave Macmillan UK","publisher-place":"London","title":"Home Tutor Cognitions and the Nature of Tutor—Learner Relationships","type":"chapter"},"locator":"402","uris":["http://www.mendeley.com/documents/?uuid=15c31e73-67e3-355f-9052-672440652f36"]}],"mendeley":{"formattedCitation":"(Barkhuizen, 2011, p. 402)","plainTextFormattedCitation":"(Barkhuizen, 2011, p. 402)","previouslyFormattedCitation":"(Barkhuizen, 2011, p. 402)"},"properties":{"noteIndex":0},"schema":"https://github.com/citation-style-language/schema/raw/master/csl-citation.json"}</w:instrText>
      </w:r>
      <w:r w:rsidR="00E3690D" w:rsidRPr="00B4301D">
        <w:fldChar w:fldCharType="separate"/>
      </w:r>
      <w:r w:rsidR="00E3690D" w:rsidRPr="00B4301D">
        <w:rPr>
          <w:noProof/>
        </w:rPr>
        <w:t>(Barkhuizen, 2011, p. 402)</w:t>
      </w:r>
      <w:r w:rsidR="00E3690D" w:rsidRPr="00B4301D">
        <w:fldChar w:fldCharType="end"/>
      </w:r>
      <w:r w:rsidRPr="00B4301D">
        <w:t xml:space="preserve">. </w:t>
      </w:r>
      <w:r w:rsidR="009A7D2A" w:rsidRPr="00B4301D">
        <w:t>A</w:t>
      </w:r>
      <w:r w:rsidRPr="00B4301D">
        <w:t xml:space="preserve"> narrative survey enables focused collection of </w:t>
      </w:r>
      <w:r w:rsidR="001769DB" w:rsidRPr="00B4301D">
        <w:t xml:space="preserve">textual </w:t>
      </w:r>
      <w:r w:rsidRPr="00B4301D">
        <w:t>data relating to the research question</w:t>
      </w:r>
      <w:r w:rsidR="009A7D2A" w:rsidRPr="00B4301D">
        <w:t>s</w:t>
      </w:r>
      <w:r w:rsidRPr="00B4301D">
        <w:t xml:space="preserve"> and provides participants with a skeletal template on which to write their experiences, providing support in terms of both content and structure </w:t>
      </w:r>
      <w:r w:rsidRPr="00B4301D">
        <w:fldChar w:fldCharType="begin" w:fldLock="1"/>
      </w:r>
      <w:r w:rsidR="00E00DAE" w:rsidRPr="00B4301D">
        <w:instrText>ADDIN CSL_CITATION {"citationItems":[{"id":"ITEM-1","itemData":{"DOI":"10.1016/j.system.2014.09.014","ISBN":"0346-251X","ISSN":"0346251X","abstract":"This article revisits the use of narrative frames as a research instrument first proposed in a 2008 System article. It starts by describing what narrative frames are and considering the significance of narrative in research on language teaching and learning. It then re-examines the strengths and limitations of narrative frames discussed in the original article. Following a summary of recent narrative frames research, an example of a frame used in an ongoing research project is presented and its use illustrated. Finally, to reinforce the basic narrative frames tenets, ten essential features of narrative frames to be conscious of when designing and using frames are noted. Finally, suggestions for ways in which narrative frames can be used in future research are made.","author":[{"dropping-particle":"","family":"Barkhuizen","given":"Gary","non-dropping-particle":"","parse-names":false,"suffix":""}],"container-title":"System","id":"ITEM-1","issued":{"date-parts":[["2014"]]},"page":"12-27","publisher":"Elsevier Ltd","title":"Revisiting narrative frames: An instrument for investigating language teaching and learning","type":"article-journal","volume":"47"},"uris":["http://www.mendeley.com/documents/?uuid=d1341d4f-658e-436a-b33b-e02c28689787"]}],"mendeley":{"formattedCitation":"(Barkhuizen, 2014)","plainTextFormattedCitation":"(Barkhuizen, 2014)","previouslyFormattedCitation":"(Barkhuizen, 2014)"},"properties":{"noteIndex":0},"schema":"https://github.com/citation-style-language/schema/raw/master/csl-citation.json"}</w:instrText>
      </w:r>
      <w:r w:rsidRPr="00B4301D">
        <w:fldChar w:fldCharType="separate"/>
      </w:r>
      <w:r w:rsidRPr="00B4301D">
        <w:rPr>
          <w:noProof/>
        </w:rPr>
        <w:t>(Barkhuizen, 2014)</w:t>
      </w:r>
      <w:r w:rsidRPr="00B4301D">
        <w:fldChar w:fldCharType="end"/>
      </w:r>
      <w:r w:rsidRPr="00B4301D">
        <w:t>.</w:t>
      </w:r>
      <w:r w:rsidR="008569C2" w:rsidRPr="00B4301D">
        <w:t xml:space="preserve"> While not yielding the same amount of rich </w:t>
      </w:r>
      <w:r w:rsidR="00310359" w:rsidRPr="00B4301D">
        <w:t xml:space="preserve">qualitative </w:t>
      </w:r>
      <w:r w:rsidR="008569C2" w:rsidRPr="00B4301D">
        <w:t xml:space="preserve">data as an interview, </w:t>
      </w:r>
      <w:r w:rsidR="00310359" w:rsidRPr="00B4301D">
        <w:t>narrative surveys can be aptly used to complement existing data from interviews</w:t>
      </w:r>
      <w:r w:rsidR="001769DB" w:rsidRPr="00B4301D">
        <w:t>,</w:t>
      </w:r>
      <w:r w:rsidR="00310359" w:rsidRPr="00B4301D">
        <w:t xml:space="preserve"> and also in</w:t>
      </w:r>
      <w:r w:rsidR="0099538A" w:rsidRPr="00B4301D">
        <w:t xml:space="preserve"> the case of this study, aid in the triangulation </w:t>
      </w:r>
      <w:r w:rsidR="00FA7FF0" w:rsidRPr="00B4301D">
        <w:t>of findings by using different</w:t>
      </w:r>
      <w:r w:rsidR="0099538A" w:rsidRPr="00B4301D">
        <w:t xml:space="preserve"> </w:t>
      </w:r>
      <w:r w:rsidR="007230F8" w:rsidRPr="00B4301D">
        <w:t xml:space="preserve">data collection methods </w:t>
      </w:r>
      <w:r w:rsidR="00FA7FF0" w:rsidRPr="00B4301D">
        <w:fldChar w:fldCharType="begin" w:fldLock="1"/>
      </w:r>
      <w:r w:rsidR="00FA7FF0" w:rsidRPr="00B4301D">
        <w:instrText>ADDIN CSL_CITATION {"citationItems":[{"id":"ITEM-1","itemData":{"DOI":"10.1016/j.compedu.2016.12.002","ISBN":"03601315","ISSN":"03601315","PMID":"18352969","abstract":"This paper sets out to address the problem of the imbalance between the number of quantitative and qualitative articles published in highly ranked research journals, by providing guidelines for the design, implementation and reporting of qualitative research. Clarification is provided of key terms (such as quantitative and qualitative) and the interrelationships between them. The relative risks and benefits of using guidelines for qualitative research are considered, and the importance of using any such guidelines flexibly is highlighted. The proposed guidelines are based on a synthesis of existing guidelines and syntheses of guidelines from a range of fields.","author":[{"dropping-particle":"","family":"Twining","given":"Peter","non-dropping-particle":"","parse-names":false,"suffix":""},{"dropping-particle":"","family":"Heller","given":"Rachelle S.","non-dropping-particle":"","parse-names":false,"suffix":""},{"dropping-particle":"","family":"Nussbaum","given":"Miguel","non-dropping-particle":"","parse-names":false,"suffix":""},{"dropping-particle":"","family":"Tsai","given":"Chin Chung","non-dropping-particle":"","parse-names":false,"suffix":""}],"container-title":"Computers and Education","id":"ITEM-1","issued":{"date-parts":[["2017"]]},"page":"A1-A9","title":"Some guidance on conducting and reporting qualitative studies","type":"article-journal","volume":"106"},"uris":["http://www.mendeley.com/documents/?uuid=33c611dc-cabb-3a75-98aa-3d40d7b82448"]},{"id":"ITEM-2","itemData":{"ISBN":"978-87-92964-00-7","ISSN":"8792964001","abstract":"HCI addresses problems of interaction design: delivering novel designs, evaluating existing designs, and understanding user needs for future designs. Qualitative methods have an essential role to play in this enterprise, particularly in understanding user needs and behaviours and evaluating situated use of technology. There are, however, a huge number of qualitative methods, often minor variants of each other, and it can seem difficult to choose (or design) an appropriate method for a particular study. The focus of this chapter is on semi-?‐structured qualitative studies, which occupy a space between ethnography and surveys, typically involving observations, interviews and similar methods for data gathering, and methods for analysis based on systematic coding of data. This chapter is pragmatic, focusing on principles for designing, conducting and reporting on a qualitative study and conversely, as a reader, assessing a study. The starting premise is that all studies have a purpose, and that methods need to address the purpose, taking into account practical considerations. The chapter closes with a checklist of questions to consider when designing and reporting studies","author":[{"dropping-particle":"","family":"Blandford","given":"Ann","non-dropping-particle":"","parse-names":false,"suffix":""}],"container-title":"The Encyclopedia of Human-Computer Intreraction","id":"ITEM-2","issued":{"date-parts":[["2013"]]},"page":"53","title":"Semi-Structured Qualitative Studies","type":"article-journal","volume":"2"},"uris":["http://www.mendeley.com/documents/?uuid=17699453-ddf6-3427-9d52-5094749b4310"]}],"mendeley":{"formattedCitation":"(Blandford, 2013; Twining, Heller, Nussbaum, &amp; Tsai, 2017)","manualFormatting":"(Blandford, 2013; Twining et al., 2017)","plainTextFormattedCitation":"(Blandford, 2013; Twining, Heller, Nussbaum, &amp; Tsai, 2017)","previouslyFormattedCitation":"(Blandford, 2013; Twining, Heller, Nussbaum, &amp; Tsai, 2017)"},"properties":{"noteIndex":0},"schema":"https://github.com/citation-style-language/schema/raw/master/csl-citation.json"}</w:instrText>
      </w:r>
      <w:r w:rsidR="00FA7FF0" w:rsidRPr="00B4301D">
        <w:fldChar w:fldCharType="separate"/>
      </w:r>
      <w:r w:rsidR="00FA7FF0" w:rsidRPr="00B4301D">
        <w:rPr>
          <w:noProof/>
        </w:rPr>
        <w:t>(Blandford, 2013; Twining et al., 2017)</w:t>
      </w:r>
      <w:r w:rsidR="00FA7FF0" w:rsidRPr="00B4301D">
        <w:fldChar w:fldCharType="end"/>
      </w:r>
      <w:r w:rsidR="00310359" w:rsidRPr="00B4301D">
        <w:t>.</w:t>
      </w:r>
      <w:r w:rsidR="00147BCD" w:rsidRPr="00B4301D">
        <w:t xml:space="preserve"> Please see table 1.2 for a list of the narrative frames.</w:t>
      </w:r>
    </w:p>
    <w:tbl>
      <w:tblPr>
        <w:tblStyle w:val="TableGrid"/>
        <w:tblW w:w="96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1843"/>
        <w:gridCol w:w="6564"/>
      </w:tblGrid>
      <w:tr w:rsidR="00B4301D" w:rsidRPr="00B4301D" w14:paraId="53221FCA" w14:textId="77777777" w:rsidTr="00147BCD">
        <w:tc>
          <w:tcPr>
            <w:tcW w:w="1276" w:type="dxa"/>
            <w:tcBorders>
              <w:top w:val="single" w:sz="4" w:space="0" w:color="auto"/>
              <w:bottom w:val="single" w:sz="4" w:space="0" w:color="auto"/>
            </w:tcBorders>
          </w:tcPr>
          <w:p w14:paraId="6A8A7924" w14:textId="737254EA" w:rsidR="00147BCD" w:rsidRPr="00B4301D" w:rsidRDefault="00147BCD" w:rsidP="00147BCD">
            <w:pPr>
              <w:rPr>
                <w:rFonts w:cstheme="minorHAnsi"/>
                <w:b/>
                <w:sz w:val="18"/>
                <w:szCs w:val="18"/>
              </w:rPr>
            </w:pPr>
            <w:r w:rsidRPr="00B4301D">
              <w:rPr>
                <w:rFonts w:cstheme="minorHAnsi"/>
                <w:b/>
                <w:sz w:val="18"/>
                <w:szCs w:val="18"/>
              </w:rPr>
              <w:t>Question No.</w:t>
            </w:r>
          </w:p>
        </w:tc>
        <w:tc>
          <w:tcPr>
            <w:tcW w:w="1843" w:type="dxa"/>
            <w:tcBorders>
              <w:top w:val="single" w:sz="4" w:space="0" w:color="auto"/>
              <w:bottom w:val="single" w:sz="4" w:space="0" w:color="auto"/>
            </w:tcBorders>
          </w:tcPr>
          <w:p w14:paraId="3C2F3D54" w14:textId="300C7FAA" w:rsidR="00147BCD" w:rsidRPr="00B4301D" w:rsidRDefault="00147BCD" w:rsidP="00147BCD">
            <w:pPr>
              <w:rPr>
                <w:rFonts w:cstheme="minorHAnsi"/>
                <w:b/>
                <w:sz w:val="18"/>
                <w:szCs w:val="18"/>
              </w:rPr>
            </w:pPr>
            <w:r w:rsidRPr="00B4301D">
              <w:rPr>
                <w:rFonts w:cstheme="minorHAnsi"/>
                <w:b/>
                <w:sz w:val="18"/>
                <w:szCs w:val="18"/>
              </w:rPr>
              <w:t>Literature Area</w:t>
            </w:r>
          </w:p>
        </w:tc>
        <w:tc>
          <w:tcPr>
            <w:tcW w:w="6564" w:type="dxa"/>
            <w:tcBorders>
              <w:top w:val="single" w:sz="4" w:space="0" w:color="auto"/>
              <w:bottom w:val="single" w:sz="4" w:space="0" w:color="auto"/>
            </w:tcBorders>
          </w:tcPr>
          <w:p w14:paraId="5F657ABA" w14:textId="3F50DD2E" w:rsidR="00147BCD" w:rsidRPr="00B4301D" w:rsidRDefault="00147BCD" w:rsidP="00147BCD">
            <w:pPr>
              <w:jc w:val="center"/>
              <w:rPr>
                <w:rFonts w:cstheme="minorHAnsi"/>
                <w:b/>
                <w:sz w:val="18"/>
                <w:szCs w:val="18"/>
              </w:rPr>
            </w:pPr>
            <w:r w:rsidRPr="00B4301D">
              <w:rPr>
                <w:rFonts w:cstheme="minorHAnsi"/>
                <w:b/>
                <w:sz w:val="18"/>
                <w:szCs w:val="18"/>
              </w:rPr>
              <w:t>Frame</w:t>
            </w:r>
          </w:p>
        </w:tc>
      </w:tr>
      <w:tr w:rsidR="00B4301D" w:rsidRPr="00B4301D" w14:paraId="53049F83" w14:textId="77777777" w:rsidTr="00147BCD">
        <w:tc>
          <w:tcPr>
            <w:tcW w:w="1276" w:type="dxa"/>
            <w:tcBorders>
              <w:bottom w:val="single" w:sz="4" w:space="0" w:color="auto"/>
            </w:tcBorders>
          </w:tcPr>
          <w:p w14:paraId="549BB049" w14:textId="0430901E" w:rsidR="00147BCD" w:rsidRPr="00B4301D" w:rsidRDefault="00147BCD" w:rsidP="00147BCD">
            <w:pPr>
              <w:rPr>
                <w:rFonts w:cstheme="minorHAnsi"/>
                <w:b/>
                <w:sz w:val="18"/>
                <w:szCs w:val="18"/>
              </w:rPr>
            </w:pPr>
            <w:r w:rsidRPr="00B4301D">
              <w:rPr>
                <w:rFonts w:cstheme="minorHAnsi"/>
                <w:sz w:val="18"/>
                <w:szCs w:val="18"/>
              </w:rPr>
              <w:t>Q1b</w:t>
            </w:r>
          </w:p>
        </w:tc>
        <w:tc>
          <w:tcPr>
            <w:tcW w:w="1843" w:type="dxa"/>
            <w:tcBorders>
              <w:bottom w:val="single" w:sz="4" w:space="0" w:color="auto"/>
            </w:tcBorders>
          </w:tcPr>
          <w:p w14:paraId="5F2A69A3" w14:textId="5D5658DB" w:rsidR="00147BCD" w:rsidRPr="00B4301D" w:rsidRDefault="00147BCD" w:rsidP="00147BCD">
            <w:pPr>
              <w:rPr>
                <w:rFonts w:cstheme="minorHAnsi"/>
                <w:b/>
                <w:sz w:val="18"/>
                <w:szCs w:val="18"/>
              </w:rPr>
            </w:pPr>
            <w:r w:rsidRPr="00B4301D">
              <w:rPr>
                <w:rFonts w:cstheme="minorHAnsi"/>
                <w:b/>
                <w:sz w:val="18"/>
                <w:szCs w:val="18"/>
              </w:rPr>
              <w:t>General</w:t>
            </w:r>
          </w:p>
        </w:tc>
        <w:tc>
          <w:tcPr>
            <w:tcW w:w="6564" w:type="dxa"/>
            <w:tcBorders>
              <w:bottom w:val="single" w:sz="4" w:space="0" w:color="auto"/>
            </w:tcBorders>
          </w:tcPr>
          <w:p w14:paraId="6361B3CD" w14:textId="77777777" w:rsidR="00147BCD" w:rsidRPr="00B4301D" w:rsidRDefault="00147BCD" w:rsidP="00147BCD">
            <w:pPr>
              <w:rPr>
                <w:rFonts w:cstheme="minorHAnsi"/>
                <w:sz w:val="18"/>
                <w:szCs w:val="18"/>
              </w:rPr>
            </w:pPr>
            <w:r w:rsidRPr="00B4301D">
              <w:rPr>
                <w:rFonts w:cstheme="minorHAnsi"/>
                <w:sz w:val="18"/>
                <w:szCs w:val="18"/>
              </w:rPr>
              <w:t>An engaging experience I have had recently with a digital game was…..</w:t>
            </w:r>
          </w:p>
          <w:p w14:paraId="363BB2CA" w14:textId="77777777" w:rsidR="00147BCD" w:rsidRPr="00B4301D" w:rsidRDefault="00147BCD" w:rsidP="00147BCD">
            <w:pPr>
              <w:pStyle w:val="ListParagraph"/>
              <w:numPr>
                <w:ilvl w:val="0"/>
                <w:numId w:val="11"/>
              </w:numPr>
              <w:rPr>
                <w:rFonts w:cstheme="minorHAnsi"/>
                <w:sz w:val="18"/>
                <w:szCs w:val="18"/>
              </w:rPr>
            </w:pPr>
            <w:r w:rsidRPr="00B4301D">
              <w:rPr>
                <w:rFonts w:cstheme="minorHAnsi"/>
                <w:sz w:val="18"/>
                <w:szCs w:val="18"/>
              </w:rPr>
              <w:t>I found it particularly engaging because…</w:t>
            </w:r>
          </w:p>
          <w:p w14:paraId="2B46B7C4" w14:textId="77777777" w:rsidR="00147BCD" w:rsidRPr="00B4301D" w:rsidRDefault="00147BCD" w:rsidP="00147BCD">
            <w:pPr>
              <w:rPr>
                <w:rFonts w:cstheme="minorHAnsi"/>
                <w:i/>
                <w:sz w:val="18"/>
                <w:szCs w:val="18"/>
              </w:rPr>
            </w:pPr>
          </w:p>
        </w:tc>
      </w:tr>
      <w:tr w:rsidR="00B4301D" w:rsidRPr="00B4301D" w14:paraId="30185863" w14:textId="77777777" w:rsidTr="00147BCD">
        <w:tc>
          <w:tcPr>
            <w:tcW w:w="1276" w:type="dxa"/>
            <w:tcBorders>
              <w:top w:val="single" w:sz="4" w:space="0" w:color="auto"/>
            </w:tcBorders>
          </w:tcPr>
          <w:p w14:paraId="2A134B28" w14:textId="56159328" w:rsidR="00147BCD" w:rsidRPr="00B4301D" w:rsidRDefault="00147BCD" w:rsidP="00147BCD">
            <w:pPr>
              <w:rPr>
                <w:rFonts w:cstheme="minorHAnsi"/>
                <w:b/>
                <w:sz w:val="18"/>
                <w:szCs w:val="18"/>
              </w:rPr>
            </w:pPr>
            <w:r w:rsidRPr="00B4301D">
              <w:rPr>
                <w:rFonts w:cstheme="minorHAnsi"/>
                <w:sz w:val="18"/>
                <w:szCs w:val="18"/>
              </w:rPr>
              <w:t>Q2a</w:t>
            </w:r>
          </w:p>
        </w:tc>
        <w:tc>
          <w:tcPr>
            <w:tcW w:w="1843" w:type="dxa"/>
            <w:tcBorders>
              <w:top w:val="single" w:sz="4" w:space="0" w:color="auto"/>
            </w:tcBorders>
          </w:tcPr>
          <w:p w14:paraId="73683F1A" w14:textId="73C6BB7B" w:rsidR="00147BCD" w:rsidRPr="00B4301D" w:rsidRDefault="00147BCD" w:rsidP="00147BCD">
            <w:pPr>
              <w:rPr>
                <w:rFonts w:cstheme="minorHAnsi"/>
                <w:b/>
                <w:sz w:val="18"/>
                <w:szCs w:val="18"/>
              </w:rPr>
            </w:pPr>
            <w:r w:rsidRPr="00B4301D">
              <w:rPr>
                <w:rFonts w:cstheme="minorHAnsi"/>
                <w:b/>
                <w:sz w:val="18"/>
                <w:szCs w:val="18"/>
              </w:rPr>
              <w:t>Problem-Solving</w:t>
            </w:r>
          </w:p>
        </w:tc>
        <w:tc>
          <w:tcPr>
            <w:tcW w:w="6564" w:type="dxa"/>
            <w:tcBorders>
              <w:top w:val="single" w:sz="4" w:space="0" w:color="auto"/>
            </w:tcBorders>
          </w:tcPr>
          <w:p w14:paraId="03508056" w14:textId="77777777" w:rsidR="00147BCD" w:rsidRPr="00B4301D" w:rsidRDefault="00147BCD" w:rsidP="00147BCD">
            <w:pPr>
              <w:rPr>
                <w:rFonts w:cstheme="minorHAnsi"/>
                <w:sz w:val="18"/>
                <w:szCs w:val="18"/>
              </w:rPr>
            </w:pPr>
            <w:r w:rsidRPr="00B4301D">
              <w:rPr>
                <w:rFonts w:cstheme="minorHAnsi"/>
                <w:sz w:val="18"/>
                <w:szCs w:val="18"/>
              </w:rPr>
              <w:t>A time when I tried out or created a new way of doing something in a game was when….</w:t>
            </w:r>
          </w:p>
          <w:p w14:paraId="42581572" w14:textId="77777777" w:rsidR="00147BCD" w:rsidRPr="00B4301D" w:rsidRDefault="00147BCD" w:rsidP="00147BCD">
            <w:pPr>
              <w:pStyle w:val="ListParagraph"/>
              <w:numPr>
                <w:ilvl w:val="0"/>
                <w:numId w:val="8"/>
              </w:numPr>
              <w:rPr>
                <w:rFonts w:cstheme="minorHAnsi"/>
                <w:sz w:val="18"/>
                <w:szCs w:val="18"/>
              </w:rPr>
            </w:pPr>
            <w:r w:rsidRPr="00B4301D">
              <w:rPr>
                <w:rFonts w:cstheme="minorHAnsi"/>
                <w:sz w:val="18"/>
                <w:szCs w:val="18"/>
              </w:rPr>
              <w:t>I did this by…</w:t>
            </w:r>
          </w:p>
          <w:p w14:paraId="483B9037" w14:textId="77777777" w:rsidR="00147BCD" w:rsidRPr="00B4301D" w:rsidRDefault="00147BCD" w:rsidP="00147BCD">
            <w:pPr>
              <w:rPr>
                <w:rFonts w:cstheme="minorHAnsi"/>
                <w:sz w:val="18"/>
                <w:szCs w:val="18"/>
              </w:rPr>
            </w:pPr>
          </w:p>
        </w:tc>
      </w:tr>
      <w:tr w:rsidR="00B4301D" w:rsidRPr="00B4301D" w14:paraId="4C83FFDE" w14:textId="77777777" w:rsidTr="00147BCD">
        <w:tc>
          <w:tcPr>
            <w:tcW w:w="1276" w:type="dxa"/>
          </w:tcPr>
          <w:p w14:paraId="75F6524E" w14:textId="14BB5195" w:rsidR="00147BCD" w:rsidRPr="00B4301D" w:rsidRDefault="00147BCD" w:rsidP="00147BCD">
            <w:pPr>
              <w:rPr>
                <w:rFonts w:cstheme="minorHAnsi"/>
                <w:b/>
                <w:sz w:val="18"/>
                <w:szCs w:val="18"/>
              </w:rPr>
            </w:pPr>
            <w:r w:rsidRPr="00B4301D">
              <w:rPr>
                <w:rFonts w:cstheme="minorHAnsi"/>
                <w:sz w:val="18"/>
                <w:szCs w:val="18"/>
              </w:rPr>
              <w:t>Q2b</w:t>
            </w:r>
          </w:p>
        </w:tc>
        <w:tc>
          <w:tcPr>
            <w:tcW w:w="1843" w:type="dxa"/>
          </w:tcPr>
          <w:p w14:paraId="31038F9A" w14:textId="4136FF8B" w:rsidR="00147BCD" w:rsidRPr="00B4301D" w:rsidRDefault="00147BCD" w:rsidP="00147BCD">
            <w:pPr>
              <w:rPr>
                <w:rFonts w:cstheme="minorHAnsi"/>
                <w:b/>
                <w:sz w:val="18"/>
                <w:szCs w:val="18"/>
              </w:rPr>
            </w:pPr>
            <w:r w:rsidRPr="00B4301D">
              <w:rPr>
                <w:rFonts w:cstheme="minorHAnsi"/>
                <w:b/>
                <w:sz w:val="18"/>
                <w:szCs w:val="18"/>
              </w:rPr>
              <w:t>Affective Change</w:t>
            </w:r>
          </w:p>
        </w:tc>
        <w:tc>
          <w:tcPr>
            <w:tcW w:w="6564" w:type="dxa"/>
          </w:tcPr>
          <w:p w14:paraId="1A70C8EF" w14:textId="77777777" w:rsidR="00147BCD" w:rsidRPr="00B4301D" w:rsidRDefault="00147BCD" w:rsidP="00147BCD">
            <w:pPr>
              <w:rPr>
                <w:rFonts w:cstheme="minorHAnsi"/>
                <w:sz w:val="18"/>
                <w:szCs w:val="18"/>
              </w:rPr>
            </w:pPr>
            <w:r w:rsidRPr="00B4301D">
              <w:rPr>
                <w:rFonts w:cstheme="minorHAnsi"/>
                <w:sz w:val="18"/>
                <w:szCs w:val="18"/>
              </w:rPr>
              <w:t>A game which changed my views or made me view things differently was…</w:t>
            </w:r>
          </w:p>
          <w:p w14:paraId="73D94147" w14:textId="77777777" w:rsidR="00147BCD" w:rsidRPr="00B4301D" w:rsidRDefault="00147BCD" w:rsidP="00147BCD">
            <w:pPr>
              <w:pStyle w:val="ListParagraph"/>
              <w:numPr>
                <w:ilvl w:val="0"/>
                <w:numId w:val="9"/>
              </w:numPr>
              <w:rPr>
                <w:rFonts w:cstheme="minorHAnsi"/>
                <w:sz w:val="18"/>
                <w:szCs w:val="18"/>
              </w:rPr>
            </w:pPr>
            <w:r w:rsidRPr="00B4301D">
              <w:rPr>
                <w:rFonts w:cstheme="minorHAnsi"/>
                <w:sz w:val="18"/>
                <w:szCs w:val="18"/>
              </w:rPr>
              <w:t>This was because…</w:t>
            </w:r>
          </w:p>
          <w:p w14:paraId="70AA336E" w14:textId="77777777" w:rsidR="00147BCD" w:rsidRPr="00B4301D" w:rsidRDefault="00147BCD" w:rsidP="00147BCD">
            <w:pPr>
              <w:pStyle w:val="ListParagraph"/>
              <w:rPr>
                <w:rFonts w:cstheme="minorHAnsi"/>
                <w:sz w:val="18"/>
                <w:szCs w:val="18"/>
              </w:rPr>
            </w:pPr>
          </w:p>
        </w:tc>
      </w:tr>
      <w:tr w:rsidR="00B4301D" w:rsidRPr="00B4301D" w14:paraId="680BE627" w14:textId="77777777" w:rsidTr="00147BCD">
        <w:tc>
          <w:tcPr>
            <w:tcW w:w="1276" w:type="dxa"/>
          </w:tcPr>
          <w:p w14:paraId="4504480D" w14:textId="713571C1" w:rsidR="00147BCD" w:rsidRPr="00B4301D" w:rsidRDefault="00147BCD" w:rsidP="00147BCD">
            <w:pPr>
              <w:rPr>
                <w:rFonts w:cstheme="minorHAnsi"/>
                <w:b/>
                <w:sz w:val="18"/>
                <w:szCs w:val="18"/>
              </w:rPr>
            </w:pPr>
            <w:r w:rsidRPr="00B4301D">
              <w:rPr>
                <w:rFonts w:cstheme="minorHAnsi"/>
                <w:sz w:val="18"/>
                <w:szCs w:val="18"/>
              </w:rPr>
              <w:t>Q2c</w:t>
            </w:r>
          </w:p>
        </w:tc>
        <w:tc>
          <w:tcPr>
            <w:tcW w:w="1843" w:type="dxa"/>
          </w:tcPr>
          <w:p w14:paraId="7EFBB9B1" w14:textId="05C0803D" w:rsidR="00147BCD" w:rsidRPr="00B4301D" w:rsidRDefault="00147BCD" w:rsidP="00147BCD">
            <w:pPr>
              <w:rPr>
                <w:rFonts w:cstheme="minorHAnsi"/>
                <w:b/>
                <w:sz w:val="18"/>
                <w:szCs w:val="18"/>
              </w:rPr>
            </w:pPr>
            <w:r w:rsidRPr="00B4301D">
              <w:rPr>
                <w:rFonts w:cstheme="minorHAnsi"/>
                <w:b/>
                <w:sz w:val="18"/>
                <w:szCs w:val="18"/>
              </w:rPr>
              <w:t>Problem-Solving</w:t>
            </w:r>
          </w:p>
        </w:tc>
        <w:tc>
          <w:tcPr>
            <w:tcW w:w="6564" w:type="dxa"/>
          </w:tcPr>
          <w:p w14:paraId="6800BC8A" w14:textId="77777777" w:rsidR="00147BCD" w:rsidRPr="00B4301D" w:rsidRDefault="00147BCD" w:rsidP="00147BCD">
            <w:pPr>
              <w:rPr>
                <w:rFonts w:cstheme="minorHAnsi"/>
                <w:sz w:val="18"/>
                <w:szCs w:val="18"/>
              </w:rPr>
            </w:pPr>
            <w:r w:rsidRPr="00B4301D">
              <w:rPr>
                <w:rFonts w:cstheme="minorHAnsi"/>
                <w:sz w:val="18"/>
                <w:szCs w:val="18"/>
              </w:rPr>
              <w:t>A time when I discovered a new way to go about something or use something in the game was….</w:t>
            </w:r>
          </w:p>
          <w:p w14:paraId="7F4DD5B1" w14:textId="77777777" w:rsidR="00147BCD" w:rsidRPr="00B4301D" w:rsidRDefault="00147BCD" w:rsidP="00147BCD">
            <w:pPr>
              <w:rPr>
                <w:rFonts w:cstheme="minorHAnsi"/>
                <w:sz w:val="18"/>
                <w:szCs w:val="18"/>
              </w:rPr>
            </w:pPr>
          </w:p>
        </w:tc>
      </w:tr>
      <w:tr w:rsidR="00B4301D" w:rsidRPr="00B4301D" w14:paraId="7882267B" w14:textId="77777777" w:rsidTr="00147BCD">
        <w:tc>
          <w:tcPr>
            <w:tcW w:w="1276" w:type="dxa"/>
          </w:tcPr>
          <w:p w14:paraId="3357A999" w14:textId="2A59F4E5" w:rsidR="00147BCD" w:rsidRPr="00B4301D" w:rsidRDefault="00147BCD" w:rsidP="00147BCD">
            <w:pPr>
              <w:rPr>
                <w:rFonts w:cstheme="minorHAnsi"/>
                <w:b/>
                <w:sz w:val="18"/>
                <w:szCs w:val="18"/>
              </w:rPr>
            </w:pPr>
            <w:r w:rsidRPr="00B4301D">
              <w:rPr>
                <w:rFonts w:cstheme="minorHAnsi"/>
                <w:sz w:val="18"/>
                <w:szCs w:val="18"/>
              </w:rPr>
              <w:t>Q2d</w:t>
            </w:r>
          </w:p>
        </w:tc>
        <w:tc>
          <w:tcPr>
            <w:tcW w:w="1843" w:type="dxa"/>
          </w:tcPr>
          <w:p w14:paraId="2B8953F1" w14:textId="504CF4C9" w:rsidR="00147BCD" w:rsidRPr="00B4301D" w:rsidRDefault="00147BCD" w:rsidP="00147BCD">
            <w:pPr>
              <w:rPr>
                <w:rFonts w:cstheme="minorHAnsi"/>
                <w:b/>
                <w:sz w:val="18"/>
                <w:szCs w:val="18"/>
              </w:rPr>
            </w:pPr>
            <w:r w:rsidRPr="00B4301D">
              <w:rPr>
                <w:rFonts w:cstheme="minorHAnsi"/>
                <w:b/>
                <w:sz w:val="18"/>
                <w:szCs w:val="18"/>
              </w:rPr>
              <w:t>Appropriation</w:t>
            </w:r>
          </w:p>
        </w:tc>
        <w:tc>
          <w:tcPr>
            <w:tcW w:w="6564" w:type="dxa"/>
          </w:tcPr>
          <w:p w14:paraId="39814F5C" w14:textId="77777777" w:rsidR="00147BCD" w:rsidRPr="00B4301D" w:rsidRDefault="00147BCD" w:rsidP="00147BCD">
            <w:pPr>
              <w:rPr>
                <w:rFonts w:cstheme="minorHAnsi"/>
                <w:sz w:val="18"/>
                <w:szCs w:val="18"/>
              </w:rPr>
            </w:pPr>
            <w:r w:rsidRPr="00B4301D">
              <w:rPr>
                <w:rFonts w:cstheme="minorHAnsi"/>
                <w:sz w:val="18"/>
                <w:szCs w:val="18"/>
              </w:rPr>
              <w:t>An example of when I have used game mechanics for uses other than they were intended was when…</w:t>
            </w:r>
          </w:p>
          <w:p w14:paraId="30CE6194" w14:textId="77777777" w:rsidR="00147BCD" w:rsidRPr="00B4301D" w:rsidRDefault="00147BCD" w:rsidP="00147BCD">
            <w:pPr>
              <w:rPr>
                <w:rFonts w:cstheme="minorHAnsi"/>
                <w:sz w:val="18"/>
                <w:szCs w:val="18"/>
              </w:rPr>
            </w:pPr>
          </w:p>
        </w:tc>
      </w:tr>
      <w:tr w:rsidR="00B4301D" w:rsidRPr="00B4301D" w14:paraId="2A3AED4B" w14:textId="77777777" w:rsidTr="00147BCD">
        <w:tc>
          <w:tcPr>
            <w:tcW w:w="1276" w:type="dxa"/>
            <w:tcBorders>
              <w:bottom w:val="single" w:sz="4" w:space="0" w:color="auto"/>
            </w:tcBorders>
          </w:tcPr>
          <w:p w14:paraId="63537305" w14:textId="5814D1BA" w:rsidR="00147BCD" w:rsidRPr="00B4301D" w:rsidRDefault="00147BCD" w:rsidP="00147BCD">
            <w:pPr>
              <w:rPr>
                <w:rFonts w:cstheme="minorHAnsi"/>
                <w:b/>
                <w:sz w:val="18"/>
                <w:szCs w:val="18"/>
              </w:rPr>
            </w:pPr>
            <w:r w:rsidRPr="00B4301D">
              <w:rPr>
                <w:rFonts w:cstheme="minorHAnsi"/>
                <w:sz w:val="18"/>
                <w:szCs w:val="18"/>
              </w:rPr>
              <w:t>Q2e</w:t>
            </w:r>
          </w:p>
        </w:tc>
        <w:tc>
          <w:tcPr>
            <w:tcW w:w="1843" w:type="dxa"/>
            <w:tcBorders>
              <w:bottom w:val="single" w:sz="4" w:space="0" w:color="auto"/>
            </w:tcBorders>
          </w:tcPr>
          <w:p w14:paraId="340B33F8" w14:textId="45121F9C" w:rsidR="00147BCD" w:rsidRPr="00B4301D" w:rsidRDefault="00147BCD" w:rsidP="00147BCD">
            <w:pPr>
              <w:rPr>
                <w:rFonts w:cstheme="minorHAnsi"/>
                <w:b/>
                <w:sz w:val="18"/>
                <w:szCs w:val="18"/>
              </w:rPr>
            </w:pPr>
            <w:r w:rsidRPr="00B4301D">
              <w:rPr>
                <w:rFonts w:cstheme="minorHAnsi"/>
                <w:b/>
                <w:sz w:val="18"/>
                <w:szCs w:val="18"/>
              </w:rPr>
              <w:t>Appropriation</w:t>
            </w:r>
          </w:p>
        </w:tc>
        <w:tc>
          <w:tcPr>
            <w:tcW w:w="6564" w:type="dxa"/>
            <w:tcBorders>
              <w:bottom w:val="single" w:sz="4" w:space="0" w:color="auto"/>
            </w:tcBorders>
          </w:tcPr>
          <w:p w14:paraId="183CB91E" w14:textId="77777777" w:rsidR="00147BCD" w:rsidRPr="00B4301D" w:rsidRDefault="00147BCD" w:rsidP="00147BCD">
            <w:pPr>
              <w:rPr>
                <w:rFonts w:cstheme="minorHAnsi"/>
                <w:sz w:val="18"/>
                <w:szCs w:val="18"/>
              </w:rPr>
            </w:pPr>
            <w:r w:rsidRPr="00B4301D">
              <w:rPr>
                <w:rFonts w:cstheme="minorHAnsi"/>
                <w:sz w:val="18"/>
                <w:szCs w:val="18"/>
              </w:rPr>
              <w:t>Material I have created for a game/based on a game would include….</w:t>
            </w:r>
          </w:p>
          <w:p w14:paraId="6C967BE7" w14:textId="77777777" w:rsidR="00147BCD" w:rsidRPr="00B4301D" w:rsidRDefault="00147BCD" w:rsidP="00147BCD">
            <w:pPr>
              <w:pStyle w:val="ListParagraph"/>
              <w:numPr>
                <w:ilvl w:val="0"/>
                <w:numId w:val="10"/>
              </w:numPr>
              <w:rPr>
                <w:rFonts w:cstheme="minorHAnsi"/>
                <w:sz w:val="18"/>
                <w:szCs w:val="18"/>
              </w:rPr>
            </w:pPr>
            <w:r w:rsidRPr="00B4301D">
              <w:rPr>
                <w:rFonts w:cstheme="minorHAnsi"/>
                <w:sz w:val="18"/>
                <w:szCs w:val="18"/>
              </w:rPr>
              <w:t>I was motivated to do this because….</w:t>
            </w:r>
          </w:p>
          <w:p w14:paraId="641C3C1C" w14:textId="77777777" w:rsidR="00147BCD" w:rsidRPr="00B4301D" w:rsidRDefault="00147BCD" w:rsidP="00147BCD">
            <w:pPr>
              <w:rPr>
                <w:rFonts w:cstheme="minorHAnsi"/>
                <w:sz w:val="18"/>
                <w:szCs w:val="18"/>
              </w:rPr>
            </w:pPr>
          </w:p>
        </w:tc>
      </w:tr>
      <w:tr w:rsidR="00B4301D" w:rsidRPr="00B4301D" w14:paraId="044094BC" w14:textId="77777777" w:rsidTr="00147BCD">
        <w:tc>
          <w:tcPr>
            <w:tcW w:w="1276" w:type="dxa"/>
            <w:tcBorders>
              <w:top w:val="single" w:sz="4" w:space="0" w:color="auto"/>
              <w:bottom w:val="single" w:sz="4" w:space="0" w:color="auto"/>
            </w:tcBorders>
          </w:tcPr>
          <w:p w14:paraId="5B46E709" w14:textId="31BEB2EC" w:rsidR="00147BCD" w:rsidRPr="00B4301D" w:rsidRDefault="00147BCD" w:rsidP="00147BCD">
            <w:pPr>
              <w:rPr>
                <w:rFonts w:cstheme="minorHAnsi"/>
                <w:b/>
                <w:sz w:val="18"/>
                <w:szCs w:val="18"/>
              </w:rPr>
            </w:pPr>
            <w:r w:rsidRPr="00B4301D">
              <w:rPr>
                <w:rFonts w:cstheme="minorHAnsi"/>
                <w:sz w:val="18"/>
                <w:szCs w:val="18"/>
              </w:rPr>
              <w:t>Q3</w:t>
            </w:r>
          </w:p>
        </w:tc>
        <w:tc>
          <w:tcPr>
            <w:tcW w:w="1843" w:type="dxa"/>
            <w:tcBorders>
              <w:top w:val="single" w:sz="4" w:space="0" w:color="auto"/>
              <w:bottom w:val="single" w:sz="4" w:space="0" w:color="auto"/>
            </w:tcBorders>
          </w:tcPr>
          <w:p w14:paraId="31AE1809" w14:textId="13706E5F" w:rsidR="00147BCD" w:rsidRPr="00B4301D" w:rsidRDefault="00147BCD" w:rsidP="00147BCD">
            <w:pPr>
              <w:rPr>
                <w:rFonts w:cstheme="minorHAnsi"/>
                <w:b/>
                <w:sz w:val="18"/>
                <w:szCs w:val="18"/>
              </w:rPr>
            </w:pPr>
            <w:r w:rsidRPr="00B4301D">
              <w:rPr>
                <w:rFonts w:cstheme="minorHAnsi"/>
                <w:b/>
                <w:sz w:val="18"/>
                <w:szCs w:val="18"/>
              </w:rPr>
              <w:t>Personal Perspective on Creativity</w:t>
            </w:r>
          </w:p>
        </w:tc>
        <w:tc>
          <w:tcPr>
            <w:tcW w:w="6564" w:type="dxa"/>
            <w:tcBorders>
              <w:top w:val="single" w:sz="4" w:space="0" w:color="auto"/>
              <w:bottom w:val="single" w:sz="4" w:space="0" w:color="auto"/>
            </w:tcBorders>
          </w:tcPr>
          <w:p w14:paraId="7937C53E" w14:textId="77777777" w:rsidR="00147BCD" w:rsidRPr="00B4301D" w:rsidRDefault="00147BCD" w:rsidP="00147BCD">
            <w:pPr>
              <w:rPr>
                <w:rFonts w:cstheme="minorHAnsi"/>
                <w:sz w:val="18"/>
                <w:szCs w:val="18"/>
              </w:rPr>
            </w:pPr>
            <w:r w:rsidRPr="00B4301D">
              <w:rPr>
                <w:rFonts w:cstheme="minorHAnsi"/>
                <w:sz w:val="18"/>
                <w:szCs w:val="18"/>
              </w:rPr>
              <w:t>I think games are creative – yes/no</w:t>
            </w:r>
          </w:p>
          <w:p w14:paraId="6B96CAF1" w14:textId="77777777" w:rsidR="00147BCD" w:rsidRPr="00B4301D" w:rsidRDefault="00147BCD" w:rsidP="00147BCD">
            <w:pPr>
              <w:pStyle w:val="ListParagraph"/>
              <w:numPr>
                <w:ilvl w:val="0"/>
                <w:numId w:val="12"/>
              </w:numPr>
              <w:rPr>
                <w:rFonts w:cstheme="minorHAnsi"/>
                <w:sz w:val="18"/>
                <w:szCs w:val="18"/>
              </w:rPr>
            </w:pPr>
            <w:r w:rsidRPr="00B4301D">
              <w:rPr>
                <w:rFonts w:cstheme="minorHAnsi"/>
                <w:sz w:val="18"/>
                <w:szCs w:val="18"/>
              </w:rPr>
              <w:t>If yes, I think games are creative because…</w:t>
            </w:r>
          </w:p>
          <w:p w14:paraId="12F45D4A" w14:textId="77777777" w:rsidR="00147BCD" w:rsidRPr="00B4301D" w:rsidRDefault="00147BCD" w:rsidP="00147BCD">
            <w:pPr>
              <w:pStyle w:val="ListParagraph"/>
              <w:numPr>
                <w:ilvl w:val="1"/>
                <w:numId w:val="12"/>
              </w:numPr>
              <w:rPr>
                <w:rFonts w:cstheme="minorHAnsi"/>
                <w:sz w:val="18"/>
                <w:szCs w:val="18"/>
              </w:rPr>
            </w:pPr>
            <w:r w:rsidRPr="00B4301D">
              <w:rPr>
                <w:rFonts w:cstheme="minorHAnsi"/>
                <w:sz w:val="18"/>
                <w:szCs w:val="18"/>
              </w:rPr>
              <w:t>When I am creative in games I feel I gain…</w:t>
            </w:r>
          </w:p>
          <w:p w14:paraId="43AB9C5A" w14:textId="77777777" w:rsidR="00147BCD" w:rsidRPr="00B4301D" w:rsidRDefault="00147BCD" w:rsidP="00147BCD">
            <w:pPr>
              <w:pStyle w:val="ListParagraph"/>
              <w:numPr>
                <w:ilvl w:val="1"/>
                <w:numId w:val="12"/>
              </w:numPr>
              <w:rPr>
                <w:rFonts w:cstheme="minorHAnsi"/>
                <w:sz w:val="18"/>
                <w:szCs w:val="18"/>
              </w:rPr>
            </w:pPr>
            <w:r w:rsidRPr="00B4301D">
              <w:rPr>
                <w:rFonts w:cstheme="minorHAnsi"/>
                <w:sz w:val="18"/>
                <w:szCs w:val="18"/>
              </w:rPr>
              <w:t>I feel I am able to use the skills/experience gained from being creative in other areas of my life such as…</w:t>
            </w:r>
          </w:p>
          <w:p w14:paraId="2999F294" w14:textId="77777777" w:rsidR="00147BCD" w:rsidRPr="00B4301D" w:rsidRDefault="00147BCD" w:rsidP="00147BCD">
            <w:pPr>
              <w:pStyle w:val="ListParagraph"/>
              <w:numPr>
                <w:ilvl w:val="0"/>
                <w:numId w:val="12"/>
              </w:numPr>
              <w:rPr>
                <w:rFonts w:cstheme="minorHAnsi"/>
                <w:sz w:val="18"/>
                <w:szCs w:val="18"/>
              </w:rPr>
            </w:pPr>
            <w:r w:rsidRPr="00B4301D">
              <w:rPr>
                <w:rFonts w:cstheme="minorHAnsi"/>
                <w:sz w:val="18"/>
                <w:szCs w:val="18"/>
              </w:rPr>
              <w:t>If no, I think games are not creative because…</w:t>
            </w:r>
          </w:p>
          <w:p w14:paraId="11FBCEFE" w14:textId="77777777" w:rsidR="00147BCD" w:rsidRPr="00B4301D" w:rsidRDefault="00147BCD" w:rsidP="00147BCD">
            <w:pPr>
              <w:pStyle w:val="ListParagraph"/>
              <w:rPr>
                <w:rFonts w:cstheme="minorHAnsi"/>
                <w:sz w:val="18"/>
                <w:szCs w:val="18"/>
              </w:rPr>
            </w:pPr>
          </w:p>
        </w:tc>
      </w:tr>
    </w:tbl>
    <w:p w14:paraId="3C969516" w14:textId="20E11883" w:rsidR="00147BCD" w:rsidRPr="00B4301D" w:rsidRDefault="00147BCD" w:rsidP="00147BCD">
      <w:pPr>
        <w:spacing w:line="240" w:lineRule="auto"/>
        <w:rPr>
          <w:rFonts w:cstheme="minorHAnsi"/>
          <w:i/>
          <w:sz w:val="18"/>
          <w:szCs w:val="18"/>
        </w:rPr>
      </w:pPr>
      <w:r w:rsidRPr="00B4301D">
        <w:rPr>
          <w:rFonts w:cstheme="minorHAnsi"/>
          <w:i/>
          <w:sz w:val="18"/>
          <w:szCs w:val="18"/>
        </w:rPr>
        <w:lastRenderedPageBreak/>
        <w:t>Table 1.2: Narrative Frames</w:t>
      </w:r>
    </w:p>
    <w:p w14:paraId="00AB97AB" w14:textId="77777777" w:rsidR="00147BCD" w:rsidRPr="00B4301D" w:rsidRDefault="00147BCD" w:rsidP="00CE74C2">
      <w:pPr>
        <w:spacing w:line="360" w:lineRule="auto"/>
        <w:ind w:firstLine="720"/>
      </w:pPr>
    </w:p>
    <w:p w14:paraId="09D3C076" w14:textId="3676F9FE" w:rsidR="00CE7B5F" w:rsidRPr="00B4301D" w:rsidRDefault="00CE7B5F" w:rsidP="00CE7B5F">
      <w:pPr>
        <w:pStyle w:val="Heading2"/>
        <w:spacing w:line="360" w:lineRule="auto"/>
        <w:rPr>
          <w:color w:val="auto"/>
        </w:rPr>
      </w:pPr>
      <w:r w:rsidRPr="00B4301D">
        <w:rPr>
          <w:color w:val="auto"/>
        </w:rPr>
        <w:t>2.2. Sample and Recruitment</w:t>
      </w:r>
    </w:p>
    <w:p w14:paraId="23556AE1" w14:textId="7BF62843" w:rsidR="00D65139" w:rsidRPr="00B4301D" w:rsidRDefault="00A50B56" w:rsidP="005F4510">
      <w:pPr>
        <w:spacing w:line="360" w:lineRule="auto"/>
      </w:pPr>
      <w:r w:rsidRPr="006A4F78">
        <w:rPr>
          <w:color w:val="000000" w:themeColor="text1"/>
        </w:rPr>
        <w:t>T</w:t>
      </w:r>
      <w:r w:rsidR="00BD208B" w:rsidRPr="006A4F78">
        <w:rPr>
          <w:color w:val="000000" w:themeColor="text1"/>
        </w:rPr>
        <w:t xml:space="preserve">he average age of those who play digital games in the US is 33 years old </w:t>
      </w:r>
      <w:r w:rsidR="00BD208B" w:rsidRPr="006A4F78">
        <w:rPr>
          <w:color w:val="000000" w:themeColor="text1"/>
        </w:rPr>
        <w:fldChar w:fldCharType="begin" w:fldLock="1"/>
      </w:r>
      <w:r w:rsidR="00BD208B" w:rsidRPr="006A4F78">
        <w:rPr>
          <w:color w:val="000000" w:themeColor="text1"/>
        </w:rPr>
        <w:instrText>ADDIN CSL_CITATION {"citationItems":[{"id":"ITEM-1","itemData":{"author":[{"dropping-particle":"","family":"ESA","given":"","non-dropping-particle":"","parse-names":false,"suffix":""}],"id":"ITEM-1","issued":{"date-parts":[["2019"]]},"title":"2019 Essential Facts About the Computer and Video Game Industry","type":"report"},"uris":["http://www.mendeley.com/documents/?uuid=0700ad1b-081f-3be1-8134-b09abdd65311"]}],"mendeley":{"formattedCitation":"(ESA, 2019)","plainTextFormattedCitation":"(ESA, 2019)","previouslyFormattedCitation":"(ESA, 2019)"},"properties":{"noteIndex":0},"schema":"https://github.com/citation-style-language/schema/raw/master/csl-citation.json"}</w:instrText>
      </w:r>
      <w:r w:rsidR="00BD208B" w:rsidRPr="006A4F78">
        <w:rPr>
          <w:color w:val="000000" w:themeColor="text1"/>
        </w:rPr>
        <w:fldChar w:fldCharType="separate"/>
      </w:r>
      <w:r w:rsidR="00BD208B" w:rsidRPr="006A4F78">
        <w:rPr>
          <w:noProof/>
          <w:color w:val="000000" w:themeColor="text1"/>
        </w:rPr>
        <w:t>(ESA, 2019)</w:t>
      </w:r>
      <w:r w:rsidR="00BD208B" w:rsidRPr="006A4F78">
        <w:rPr>
          <w:color w:val="000000" w:themeColor="text1"/>
        </w:rPr>
        <w:fldChar w:fldCharType="end"/>
      </w:r>
      <w:r w:rsidRPr="006A4F78">
        <w:rPr>
          <w:color w:val="000000" w:themeColor="text1"/>
        </w:rPr>
        <w:t xml:space="preserve">, while in the UK it is older at 43 years old </w:t>
      </w:r>
      <w:r w:rsidRPr="006A4F78">
        <w:rPr>
          <w:color w:val="000000" w:themeColor="text1"/>
        </w:rPr>
        <w:fldChar w:fldCharType="begin" w:fldLock="1"/>
      </w:r>
      <w:r w:rsidR="001B7A4A" w:rsidRPr="006A4F78">
        <w:rPr>
          <w:color w:val="000000" w:themeColor="text1"/>
        </w:rPr>
        <w:instrText>ADDIN CSL_CITATION {"citationItems":[{"id":"ITEM-1","itemData":{"DOI":"10.1192/bjp.112.483.211-a","ISSN":"0007-1250","author":[{"dropping-particle":"","family":"Ukie","given":"","non-dropping-particle":"","parse-names":false,"suffix":""}],"container-title":"The Association for UK Interactice Entertainment","id":"ITEM-1","issued":{"date-parts":[["2018"]]},"title":"UK Video Games Fact Sheet","type":"report"},"uris":["http://www.mendeley.com/documents/?uuid=afcd16d7-bc80-419a-ac19-31cd6625863e"]}],"mendeley":{"formattedCitation":"(Ukie, 2018)","plainTextFormattedCitation":"(Ukie, 2018)","previouslyFormattedCitation":"(Ukie, 2018)"},"properties":{"noteIndex":0},"schema":"https://github.com/citation-style-language/schema/raw/master/csl-citation.json"}</w:instrText>
      </w:r>
      <w:r w:rsidRPr="006A4F78">
        <w:rPr>
          <w:color w:val="000000" w:themeColor="text1"/>
        </w:rPr>
        <w:fldChar w:fldCharType="separate"/>
      </w:r>
      <w:r w:rsidRPr="006A4F78">
        <w:rPr>
          <w:noProof/>
          <w:color w:val="000000" w:themeColor="text1"/>
        </w:rPr>
        <w:t>(Ukie, 2018)</w:t>
      </w:r>
      <w:r w:rsidRPr="006A4F78">
        <w:rPr>
          <w:color w:val="000000" w:themeColor="text1"/>
        </w:rPr>
        <w:fldChar w:fldCharType="end"/>
      </w:r>
      <w:r w:rsidR="00BD208B" w:rsidRPr="006A4F78">
        <w:rPr>
          <w:color w:val="000000" w:themeColor="text1"/>
        </w:rPr>
        <w:t>. In Europe</w:t>
      </w:r>
      <w:r w:rsidRPr="006A4F78">
        <w:rPr>
          <w:color w:val="000000" w:themeColor="text1"/>
        </w:rPr>
        <w:t xml:space="preserve"> </w:t>
      </w:r>
      <w:r w:rsidR="00BD208B" w:rsidRPr="006A4F78">
        <w:rPr>
          <w:color w:val="000000" w:themeColor="text1"/>
        </w:rPr>
        <w:t xml:space="preserve">the statistics are similar with those in the 25-34 year age bracket being the group with the fastest growth in gaming </w:t>
      </w:r>
      <w:r w:rsidR="00BD208B" w:rsidRPr="006A4F78">
        <w:rPr>
          <w:color w:val="000000" w:themeColor="text1"/>
        </w:rPr>
        <w:fldChar w:fldCharType="begin" w:fldLock="1"/>
      </w:r>
      <w:r w:rsidR="00BD208B" w:rsidRPr="006A4F78">
        <w:rPr>
          <w:color w:val="000000" w:themeColor="text1"/>
        </w:rPr>
        <w:instrText>ADDIN CSL_CITATION {"citationItems":[{"id":"ITEM-1","itemData":{"DOI":"10.3389/fnhum.2018.00047","URL":"http://journal.frontiersin.org/article/10.3389/fnhum.2018.00047/full","accessed":{"date-parts":[["2019","9","12"]]},"author":[{"dropping-particle":"","family":"ISFE","given":"","non-dropping-particle":"","parse-names":false,"suffix":""}],"id":"ITEM-1","issued":{"date-parts":[["2019","9","12"]]},"title":"Games in Society","type":"webpage"},"uris":["http://www.mendeley.com/documents/?uuid=fa35d849-02fe-3a6a-a809-5eae02ef8f07"]}],"mendeley":{"formattedCitation":"(ISFE, 2019)","plainTextFormattedCitation":"(ISFE, 2019)","previouslyFormattedCitation":"(ISFE, 2019)"},"properties":{"noteIndex":0},"schema":"https://github.com/citation-style-language/schema/raw/master/csl-citation.json"}</w:instrText>
      </w:r>
      <w:r w:rsidR="00BD208B" w:rsidRPr="006A4F78">
        <w:rPr>
          <w:color w:val="000000" w:themeColor="text1"/>
        </w:rPr>
        <w:fldChar w:fldCharType="separate"/>
      </w:r>
      <w:r w:rsidR="00BD208B" w:rsidRPr="006A4F78">
        <w:rPr>
          <w:noProof/>
          <w:color w:val="000000" w:themeColor="text1"/>
        </w:rPr>
        <w:t>(ISFE, 2019)</w:t>
      </w:r>
      <w:r w:rsidR="00BD208B" w:rsidRPr="006A4F78">
        <w:rPr>
          <w:color w:val="000000" w:themeColor="text1"/>
        </w:rPr>
        <w:fldChar w:fldCharType="end"/>
      </w:r>
      <w:r w:rsidR="00BD208B" w:rsidRPr="006A4F78">
        <w:rPr>
          <w:color w:val="000000" w:themeColor="text1"/>
        </w:rPr>
        <w:t xml:space="preserve">. Of those that play digital games in the UK, there are no significant differences in effects of nationality, religious background, ethnicity and sexual orientation on gameplay behaviour </w:t>
      </w:r>
      <w:r w:rsidR="00BD208B" w:rsidRPr="006A4F78">
        <w:rPr>
          <w:color w:val="000000" w:themeColor="text1"/>
        </w:rPr>
        <w:fldChar w:fldCharType="begin" w:fldLock="1"/>
      </w:r>
      <w:r w:rsidR="00BD208B" w:rsidRPr="006A4F78">
        <w:rPr>
          <w:color w:val="000000" w:themeColor="text1"/>
        </w:rPr>
        <w:instrText>ADDIN CSL_CITATION {"citationItems":[{"id":"ITEM-1","itemData":{"DOI":"10.1016/j.rie.2017.06.004","ISSN":"10909443","abstract":"This study addresses the important and recurring question of whether playing video games is detrimental to the socio-economic development of a person. It does this by using novel data from the Taking Part Survey in England to establish whether games playing is associated with particular socio-economic characteristics and/or other forms of cultural participation. The results do not indicate any obviously negative effects of video games playing: rather, those who play are typically better educated and no less wealthier, and games players are also more likely than non-games players to participate in other forms of culture, particularly active forms of participation. These findings are reinforced when comparing the characteristics of individuals who did and did not play video games when younger.","author":[{"dropping-particle":"","family":"Borowiecki","given":"Karol J.","non-dropping-particle":"","parse-names":false,"suffix":""},{"dropping-particle":"","family":"Bakhshi","given":"Hasan","non-dropping-particle":"","parse-names":false,"suffix":""}],"container-title":"Nesta","id":"ITEM-1","issued":{"date-parts":[["2017"]]},"title":"Did you really take a hit? Understanding how video games playing affects individuals","type":"report"},"uris":["http://www.mendeley.com/documents/?uuid=1e5cae3f-26b4-4ed1-b606-d3bff02072ec"]}],"mendeley":{"formattedCitation":"(Borowiecki &amp; Bakhshi, 2017)","plainTextFormattedCitation":"(Borowiecki &amp; Bakhshi, 2017)","previouslyFormattedCitation":"(Borowiecki &amp; Bakhshi, 2017)"},"properties":{"noteIndex":0},"schema":"https://github.com/citation-style-language/schema/raw/master/csl-citation.json"}</w:instrText>
      </w:r>
      <w:r w:rsidR="00BD208B" w:rsidRPr="006A4F78">
        <w:rPr>
          <w:color w:val="000000" w:themeColor="text1"/>
        </w:rPr>
        <w:fldChar w:fldCharType="separate"/>
      </w:r>
      <w:r w:rsidR="00BD208B" w:rsidRPr="006A4F78">
        <w:rPr>
          <w:noProof/>
          <w:color w:val="000000" w:themeColor="text1"/>
        </w:rPr>
        <w:t>(Borowiecki &amp; Bakhshi, 2017)</w:t>
      </w:r>
      <w:r w:rsidR="00BD208B" w:rsidRPr="006A4F78">
        <w:rPr>
          <w:color w:val="000000" w:themeColor="text1"/>
        </w:rPr>
        <w:fldChar w:fldCharType="end"/>
      </w:r>
      <w:r w:rsidR="00BD208B" w:rsidRPr="006A4F78">
        <w:rPr>
          <w:color w:val="000000" w:themeColor="text1"/>
        </w:rPr>
        <w:t xml:space="preserve">. </w:t>
      </w:r>
      <w:r w:rsidRPr="00A50B56">
        <w:t xml:space="preserve">As such </w:t>
      </w:r>
      <w:r>
        <w:t>t</w:t>
      </w:r>
      <w:r w:rsidR="00466ECE" w:rsidRPr="00B4301D">
        <w:t>he sample chosen for this study was adults aged 18 and over, with consideration being given to obtain as equal number</w:t>
      </w:r>
      <w:r w:rsidR="002C259A" w:rsidRPr="00B4301D">
        <w:t>s</w:t>
      </w:r>
      <w:r w:rsidR="00466ECE" w:rsidRPr="00B4301D">
        <w:t xml:space="preserve"> as possible of both genders.</w:t>
      </w:r>
      <w:r w:rsidR="003E0AF4" w:rsidRPr="00B4301D">
        <w:t xml:space="preserve"> Participants were required to be regular gamers and play digital games at least three times a week.</w:t>
      </w:r>
    </w:p>
    <w:p w14:paraId="1B8B3527" w14:textId="3DA3CE4C" w:rsidR="00CE7B5F" w:rsidRPr="00B4301D" w:rsidRDefault="00653355" w:rsidP="00466ECE">
      <w:pPr>
        <w:spacing w:line="360" w:lineRule="auto"/>
        <w:ind w:firstLine="720"/>
      </w:pPr>
      <w:r w:rsidRPr="00B4301D">
        <w:t>A total of 38 participants</w:t>
      </w:r>
      <w:r w:rsidR="005F4510" w:rsidRPr="00B4301D">
        <w:t>, consisting of 24 interview participants, and 14 narrative survey participants,</w:t>
      </w:r>
      <w:r w:rsidRPr="00B4301D">
        <w:t xml:space="preserve"> took part in the study. </w:t>
      </w:r>
      <w:r w:rsidR="00CE7B5F" w:rsidRPr="00B4301D">
        <w:t xml:space="preserve">The semi-structured interview questions were piloted with four regular players (male = 2, female = 2, age median: 33). As no significant changes were made to the question list, the pilot data was included in the main analysis. For the main study convenience sampling was conducted via a wider recruitment survey advertised on various gaming forums and social media. </w:t>
      </w:r>
      <w:r w:rsidR="003E0AF4" w:rsidRPr="00B4301D">
        <w:t xml:space="preserve">Due to an imbalance of genders, the survey was advertised to female gaming groups on social media in order to obtain a more balanced sample. While this was achieved for the narrative survey, the interview sample consisted of a disproportionate number of males. </w:t>
      </w:r>
    </w:p>
    <w:p w14:paraId="4682DB2E" w14:textId="4F94E629" w:rsidR="00CE7B5F" w:rsidRPr="00B4301D" w:rsidRDefault="00CE7B5F" w:rsidP="00CE7B5F">
      <w:pPr>
        <w:spacing w:line="360" w:lineRule="auto"/>
        <w:ind w:firstLine="720"/>
      </w:pPr>
      <w:r w:rsidRPr="00B4301D">
        <w:t>Participants who volunteered were sent a short survey to collect basic demographic and gaming habit information. 20 interviews were arranged and completed with participants. The 20 participants (male = 14, female = 6, age median: 28.5) consisted of 12 British, 2 German, 2 Spanish, 1 American, 1 Maltese, 1 Northern Irish and 1 undisclosed. Participants played a range of different digital games, both online and offline and the median gaming session lasted 3 hours. Interviews were conducted and recorded over Skype before being transcribed into textual format in preparation for analysis.</w:t>
      </w:r>
    </w:p>
    <w:p w14:paraId="1749EB47" w14:textId="6F770AEC" w:rsidR="00CE7B5F" w:rsidRPr="00B4301D" w:rsidRDefault="00CE7B5F" w:rsidP="00D52861">
      <w:pPr>
        <w:spacing w:line="360" w:lineRule="auto"/>
      </w:pPr>
      <w:r w:rsidRPr="00B4301D">
        <w:tab/>
        <w:t>14 participants completed the narrative survey (male = 7, female = 7, age median: 31.5) consisting of 6 British, 4 American, 1 Australian, 1 Canadian, 1 Colombian and 1 Spanish. Participants played a range of online and offline digital games with the median gaming session lasting 1.86 hours.</w:t>
      </w:r>
    </w:p>
    <w:p w14:paraId="28BFFB28" w14:textId="6851B252" w:rsidR="00696FDF" w:rsidRPr="00B4301D" w:rsidRDefault="003B4958" w:rsidP="00D52861">
      <w:pPr>
        <w:pStyle w:val="Heading2"/>
        <w:spacing w:line="360" w:lineRule="auto"/>
        <w:rPr>
          <w:color w:val="auto"/>
        </w:rPr>
      </w:pPr>
      <w:r w:rsidRPr="00B4301D">
        <w:rPr>
          <w:color w:val="auto"/>
        </w:rPr>
        <w:t>2.</w:t>
      </w:r>
      <w:r w:rsidR="00CE7B5F" w:rsidRPr="00B4301D">
        <w:rPr>
          <w:color w:val="auto"/>
        </w:rPr>
        <w:t>3</w:t>
      </w:r>
      <w:r w:rsidR="00E86E75" w:rsidRPr="00B4301D">
        <w:rPr>
          <w:color w:val="auto"/>
        </w:rPr>
        <w:t>.</w:t>
      </w:r>
      <w:r w:rsidRPr="00B4301D">
        <w:rPr>
          <w:color w:val="auto"/>
        </w:rPr>
        <w:t xml:space="preserve"> </w:t>
      </w:r>
      <w:r w:rsidR="00696FDF" w:rsidRPr="00B4301D">
        <w:rPr>
          <w:color w:val="auto"/>
        </w:rPr>
        <w:t>Data Analysis</w:t>
      </w:r>
    </w:p>
    <w:p w14:paraId="6A524358" w14:textId="670893BD" w:rsidR="00CA2DA8" w:rsidRPr="00B4301D" w:rsidRDefault="00BE4929" w:rsidP="00696FDF">
      <w:pPr>
        <w:spacing w:line="360" w:lineRule="auto"/>
      </w:pPr>
      <w:r w:rsidRPr="00B4301D">
        <w:t xml:space="preserve">Thematic analysis was </w:t>
      </w:r>
      <w:r w:rsidR="009A7D2A" w:rsidRPr="00B4301D">
        <w:t>adopted to</w:t>
      </w:r>
      <w:r w:rsidRPr="00B4301D">
        <w:t xml:space="preserve"> identify categories relating to the expressivity of creativity and player conceptualisations of creativity. </w:t>
      </w:r>
      <w:r w:rsidR="008569C2" w:rsidRPr="00B4301D">
        <w:t xml:space="preserve">Thematic analysis is a “method for identifying, analysing, and </w:t>
      </w:r>
      <w:r w:rsidR="008569C2" w:rsidRPr="00B4301D">
        <w:lastRenderedPageBreak/>
        <w:t xml:space="preserve">reporting patterns (themes) within data. It </w:t>
      </w:r>
      <w:r w:rsidR="004F2F16" w:rsidRPr="00B4301D">
        <w:t>organize</w:t>
      </w:r>
      <w:r w:rsidR="008569C2" w:rsidRPr="00B4301D">
        <w:t>s and describes a data set in (rich) detail”</w:t>
      </w:r>
      <w:r w:rsidR="005F4510" w:rsidRPr="00B4301D">
        <w:t xml:space="preserve"> </w:t>
      </w:r>
      <w:r w:rsidR="005F4510" w:rsidRPr="00B4301D">
        <w:fldChar w:fldCharType="begin" w:fldLock="1"/>
      </w:r>
      <w:r w:rsidR="005F4510" w:rsidRPr="00B4301D">
        <w:instrText>ADDIN CSL_CITATION {"citationItems":[{"id":"ITEM-1","itemData":{"DOI":"10.1191/1478088706qp063oa","author":[{"dropping-particle":"","family":"Braun","given":"V","non-dropping-particle":"","parse-names":false,"suffix":""},{"dropping-particle":"","family":"Clarke","given":"V","non-dropping-particle":"","parse-names":false,"suffix":""}],"container-title":"Qualitative Research in Psychology","id":"ITEM-1","issue":"2","issued":{"date-parts":[["2006"]]},"page":"77-101","title":"Using thematic analysis in psychology.","type":"article-journal","volume":"3"},"locator":"6","uris":["http://www.mendeley.com/documents/?uuid=67242db5-44e2-3be6-a1d1-435107f988e3"]}],"mendeley":{"formattedCitation":"(Braun &amp; Clarke, 2006, p. 6)","plainTextFormattedCitation":"(Braun &amp; Clarke, 2006, p. 6)","previouslyFormattedCitation":"(Braun &amp; Clarke, 2006, p. 6)"},"properties":{"noteIndex":0},"schema":"https://github.com/citation-style-language/schema/raw/master/csl-citation.json"}</w:instrText>
      </w:r>
      <w:r w:rsidR="005F4510" w:rsidRPr="00B4301D">
        <w:fldChar w:fldCharType="separate"/>
      </w:r>
      <w:r w:rsidR="005F4510" w:rsidRPr="00B4301D">
        <w:rPr>
          <w:noProof/>
        </w:rPr>
        <w:t>(Braun &amp; Clarke, 2006, p. 6)</w:t>
      </w:r>
      <w:r w:rsidR="005F4510" w:rsidRPr="00B4301D">
        <w:fldChar w:fldCharType="end"/>
      </w:r>
      <w:r w:rsidR="008569C2" w:rsidRPr="00B4301D">
        <w:t xml:space="preserve">. A theme aims to identify something important within the data, in relation to the research question and represents a pattern of meaning within the data set. As such themes were identified across the whole data set (24 interviews and 14 narrative surveys). A </w:t>
      </w:r>
      <w:r w:rsidR="00357F49" w:rsidRPr="00B4301D">
        <w:t xml:space="preserve">hybrid </w:t>
      </w:r>
      <w:r w:rsidR="008569C2" w:rsidRPr="00B4301D">
        <w:t>approach</w:t>
      </w:r>
      <w:r w:rsidR="00357F49" w:rsidRPr="00B4301D">
        <w:t xml:space="preserve"> </w:t>
      </w:r>
      <w:r w:rsidR="00357F49" w:rsidRPr="00B4301D">
        <w:fldChar w:fldCharType="begin" w:fldLock="1"/>
      </w:r>
      <w:r w:rsidR="004162A5" w:rsidRPr="00B4301D">
        <w:instrText>ADDIN CSL_CITATION {"citationItems":[{"id":"ITEM-1","itemData":{"DOI":"10.4135/9781526435477","ISBN":"9781526435477","abstract":"currently works at University College London where he is a senior researcher and lecturer. He mainly carries out qualitative research, which has included a series of numeracy and literacy projects in the post-16 sector. He has also written many articles on boys' masculinities.","author":[{"dropping-particle":"","family":"Swain","given":"Jon","non-dropping-particle":"","parse-names":false,"suffix":""}],"container-title":"A Hybrid Approach to Thematic Analysis in Qualitative Research: Using a Practical Example","id":"ITEM-1","issued":{"date-parts":[["2018"]]},"title":"A Hybrid Approach to Thematic Analysis in Qualitative Research: Using a Practical Example","type":"article-journal"},"uris":["http://www.mendeley.com/documents/?uuid=af9e10fc-b052-4b94-ab35-d5cd08d1f168"]}],"mendeley":{"formattedCitation":"(Swain, 2018)","plainTextFormattedCitation":"(Swain, 2018)","previouslyFormattedCitation":"(Swain, 2018)"},"properties":{"noteIndex":0},"schema":"https://github.com/citation-style-language/schema/raw/master/csl-citation.json"}</w:instrText>
      </w:r>
      <w:r w:rsidR="00357F49" w:rsidRPr="00B4301D">
        <w:fldChar w:fldCharType="separate"/>
      </w:r>
      <w:r w:rsidR="00357F49" w:rsidRPr="00B4301D">
        <w:rPr>
          <w:noProof/>
        </w:rPr>
        <w:t>(Swain, 2018)</w:t>
      </w:r>
      <w:r w:rsidR="00357F49" w:rsidRPr="00B4301D">
        <w:fldChar w:fldCharType="end"/>
      </w:r>
      <w:r w:rsidR="008569C2" w:rsidRPr="00B4301D">
        <w:t xml:space="preserve"> to theme development was applied consisting of both a</w:t>
      </w:r>
      <w:r w:rsidR="00325DCF" w:rsidRPr="00B4301D">
        <w:t>n</w:t>
      </w:r>
      <w:r w:rsidR="008569C2" w:rsidRPr="00B4301D">
        <w:t xml:space="preserve"> </w:t>
      </w:r>
      <w:r w:rsidR="00CA2DA8" w:rsidRPr="00B4301D">
        <w:t xml:space="preserve">initial </w:t>
      </w:r>
      <w:r w:rsidR="00551704" w:rsidRPr="00B4301D">
        <w:t xml:space="preserve">deductive </w:t>
      </w:r>
      <w:r w:rsidR="00357F49" w:rsidRPr="00B4301D">
        <w:t xml:space="preserve">phase </w:t>
      </w:r>
      <w:r w:rsidR="008569C2" w:rsidRPr="00B4301D">
        <w:t xml:space="preserve">guided by previous literature on creativity in </w:t>
      </w:r>
      <w:r w:rsidR="00681EDC" w:rsidRPr="00B4301D">
        <w:t>digital games</w:t>
      </w:r>
      <w:r w:rsidR="008569C2" w:rsidRPr="00B4301D">
        <w:t>, and a</w:t>
      </w:r>
      <w:r w:rsidR="00CA2DA8" w:rsidRPr="00B4301D">
        <w:t xml:space="preserve"> second</w:t>
      </w:r>
      <w:r w:rsidR="008569C2" w:rsidRPr="00B4301D">
        <w:t xml:space="preserve"> </w:t>
      </w:r>
      <w:r w:rsidR="00551704" w:rsidRPr="00B4301D">
        <w:t>inductive</w:t>
      </w:r>
      <w:r w:rsidR="00357F49" w:rsidRPr="00B4301D">
        <w:t xml:space="preserve"> iterative</w:t>
      </w:r>
      <w:r w:rsidR="00551704" w:rsidRPr="00B4301D">
        <w:t xml:space="preserve"> </w:t>
      </w:r>
      <w:r w:rsidR="00357F49" w:rsidRPr="00B4301D">
        <w:t xml:space="preserve">phase </w:t>
      </w:r>
      <w:r w:rsidR="008569C2" w:rsidRPr="00B4301D">
        <w:t>to allow for additional themes</w:t>
      </w:r>
      <w:r w:rsidR="00AA60C0" w:rsidRPr="00B4301D">
        <w:t xml:space="preserve"> and sub-themes</w:t>
      </w:r>
      <w:r w:rsidR="008569C2" w:rsidRPr="00B4301D">
        <w:t xml:space="preserve"> </w:t>
      </w:r>
      <w:r w:rsidR="00F47C00" w:rsidRPr="00B4301D">
        <w:t xml:space="preserve">and </w:t>
      </w:r>
      <w:r w:rsidR="008569C2" w:rsidRPr="00B4301D">
        <w:t>to be identified.</w:t>
      </w:r>
      <w:r w:rsidR="00CA2DA8" w:rsidRPr="00B4301D">
        <w:t xml:space="preserve"> </w:t>
      </w:r>
    </w:p>
    <w:p w14:paraId="78E77B09" w14:textId="03BE5440" w:rsidR="00CA2DA8" w:rsidRPr="00B4301D" w:rsidRDefault="00C656C0" w:rsidP="00696FDF">
      <w:pPr>
        <w:spacing w:line="360" w:lineRule="auto"/>
      </w:pPr>
      <w:r w:rsidRPr="00B4301D">
        <w:tab/>
      </w:r>
      <w:r w:rsidR="00867E86" w:rsidRPr="00B4301D">
        <w:t>A</w:t>
      </w:r>
      <w:r w:rsidRPr="00B4301D">
        <w:t xml:space="preserve">fter </w:t>
      </w:r>
      <w:r w:rsidR="00346A76" w:rsidRPr="00B4301D">
        <w:t>the initial development of themes</w:t>
      </w:r>
      <w:r w:rsidR="00FA7FF0" w:rsidRPr="00B4301D">
        <w:t xml:space="preserve"> by the principal researcher</w:t>
      </w:r>
      <w:r w:rsidRPr="00B4301D">
        <w:t xml:space="preserve"> the data was cross-checked by three colleagues.</w:t>
      </w:r>
      <w:r w:rsidR="00346A76" w:rsidRPr="00B4301D">
        <w:t xml:space="preserve"> This </w:t>
      </w:r>
      <w:r w:rsidR="00FA7FF0" w:rsidRPr="00B4301D">
        <w:t>aided in investigator triangulation by ensuring</w:t>
      </w:r>
      <w:r w:rsidR="00346A76" w:rsidRPr="00B4301D">
        <w:t xml:space="preserve"> the themes</w:t>
      </w:r>
      <w:r w:rsidR="000160EA" w:rsidRPr="00B4301D">
        <w:t xml:space="preserve"> were consistent and</w:t>
      </w:r>
      <w:r w:rsidR="00346A76" w:rsidRPr="00B4301D">
        <w:t xml:space="preserve"> accurately captured the concepts portrayed</w:t>
      </w:r>
      <w:r w:rsidR="00DB3EA4" w:rsidRPr="00B4301D">
        <w:t xml:space="preserve"> </w:t>
      </w:r>
      <w:r w:rsidR="00DB3EA4" w:rsidRPr="00B4301D">
        <w:fldChar w:fldCharType="begin" w:fldLock="1"/>
      </w:r>
      <w:r w:rsidR="00FA7FF0" w:rsidRPr="00B4301D">
        <w:instrText>ADDIN CSL_CITATION {"citationItems":[{"id":"ITEM-1","itemData":{"ISBN":"978-87-92964-00-7","ISSN":"8792964001","abstract":"HCI addresses problems of interaction design: delivering novel designs, evaluating existing designs, and understanding user needs for future designs. Qualitative methods have an essential role to play in this enterprise, particularly in understanding user needs and behaviours and evaluating situated use of technology. There are, however, a huge number of qualitative methods, often minor variants of each other, and it can seem difficult to choose (or design) an appropriate method for a particular study. The focus of this chapter is on semi-?‐structured qualitative studies, which occupy a space between ethnography and surveys, typically involving observations, interviews and similar methods for data gathering, and methods for analysis based on systematic coding of data. This chapter is pragmatic, focusing on principles for designing, conducting and reporting on a qualitative study and conversely, as a reader, assessing a study. The starting premise is that all studies have a purpose, and that methods need to address the purpose, taking into account practical considerations. The chapter closes with a checklist of questions to consider when designing and reporting studies","author":[{"dropping-particle":"","family":"Blandford","given":"Ann","non-dropping-particle":"","parse-names":false,"suffix":""}],"container-title":"The Encyclopedia of Human-Computer Intreraction","id":"ITEM-1","issued":{"date-parts":[["2013"]]},"page":"53","title":"Semi-Structured Qualitative Studies","type":"article-journal","volume":"2"},"uris":["http://www.mendeley.com/documents/?uuid=17699453-ddf6-3427-9d52-5094749b4310"]},{"id":"ITEM-2","itemData":{"DOI":"10.1016/j.compedu.2016.12.002","ISBN":"03601315","ISSN":"03601315","PMID":"18352969","abstract":"This paper sets out to address the problem of the imbalance between the number of quantitative and qualitative articles published in highly ranked research journals, by providing guidelines for the design, implementation and reporting of qualitative research. Clarification is provided of key terms (such as quantitative and qualitative) and the interrelationships between them. The relative risks and benefits of using guidelines for qualitative research are considered, and the importance of using any such guidelines flexibly is highlighted. The proposed guidelines are based on a synthesis of existing guidelines and syntheses of guidelines from a range of fields.","author":[{"dropping-particle":"","family":"Twining","given":"Peter","non-dropping-particle":"","parse-names":false,"suffix":""},{"dropping-particle":"","family":"Heller","given":"Rachelle S.","non-dropping-particle":"","parse-names":false,"suffix":""},{"dropping-particle":"","family":"Nussbaum","given":"Miguel","non-dropping-particle":"","parse-names":false,"suffix":""},{"dropping-particle":"","family":"Tsai","given":"Chin Chung","non-dropping-particle":"","parse-names":false,"suffix":""}],"container-title":"Computers and Education","id":"ITEM-2","issued":{"date-parts":[["2017"]]},"page":"A1-A9","title":"Some guidance on conducting and reporting qualitative studies","type":"article-journal","volume":"106"},"uris":["http://www.mendeley.com/documents/?uuid=33c611dc-cabb-3a75-98aa-3d40d7b82448"]}],"mendeley":{"formattedCitation":"(Blandford, 2013; Twining et al., 2017)","plainTextFormattedCitation":"(Blandford, 2013; Twining et al., 2017)","previouslyFormattedCitation":"(Blandford, 2013; Twining et al., 2017)"},"properties":{"noteIndex":0},"schema":"https://github.com/citation-style-language/schema/raw/master/csl-citation.json"}</w:instrText>
      </w:r>
      <w:r w:rsidR="00DB3EA4" w:rsidRPr="00B4301D">
        <w:fldChar w:fldCharType="separate"/>
      </w:r>
      <w:r w:rsidR="00FA7FF0" w:rsidRPr="00B4301D">
        <w:rPr>
          <w:noProof/>
        </w:rPr>
        <w:t>(Blandford, 2013; Twining et al., 2017)</w:t>
      </w:r>
      <w:r w:rsidR="00DB3EA4" w:rsidRPr="00B4301D">
        <w:fldChar w:fldCharType="end"/>
      </w:r>
      <w:r w:rsidR="00DB3EA4" w:rsidRPr="00B4301D">
        <w:t xml:space="preserve">. </w:t>
      </w:r>
      <w:r w:rsidR="00CA2DA8" w:rsidRPr="00B4301D">
        <w:t xml:space="preserve">Three </w:t>
      </w:r>
      <w:r w:rsidRPr="00B4301D">
        <w:t>iterations of</w:t>
      </w:r>
      <w:r w:rsidR="00CA2DA8" w:rsidRPr="00B4301D">
        <w:t xml:space="preserve"> inductive </w:t>
      </w:r>
      <w:r w:rsidRPr="00B4301D">
        <w:t>theme development took place before a theme agreement was unanimous due</w:t>
      </w:r>
      <w:r w:rsidR="00CE7B5F" w:rsidRPr="00B4301D">
        <w:t xml:space="preserve"> to</w:t>
      </w:r>
      <w:r w:rsidRPr="00B4301D">
        <w:t xml:space="preserve"> dispute over several sub-themes.</w:t>
      </w:r>
      <w:r w:rsidR="00B81CD0" w:rsidRPr="00B4301D">
        <w:t xml:space="preserve"> This resulted in the </w:t>
      </w:r>
      <w:r w:rsidR="00373205" w:rsidRPr="00B4301D">
        <w:t>combining and reframing less prevalent</w:t>
      </w:r>
      <w:r w:rsidR="00B81CD0" w:rsidRPr="00B4301D">
        <w:t xml:space="preserve"> sub-themes in the </w:t>
      </w:r>
      <w:r w:rsidR="00B81CD0" w:rsidRPr="00B4301D">
        <w:rPr>
          <w:i/>
        </w:rPr>
        <w:t xml:space="preserve">Creativity as Affective Change </w:t>
      </w:r>
      <w:r w:rsidR="00B81CD0" w:rsidRPr="00B4301D">
        <w:t xml:space="preserve">and </w:t>
      </w:r>
      <w:r w:rsidR="00B81CD0" w:rsidRPr="00B4301D">
        <w:rPr>
          <w:i/>
        </w:rPr>
        <w:t xml:space="preserve">Design </w:t>
      </w:r>
      <w:r w:rsidR="003D3F6D" w:rsidRPr="00B4301D">
        <w:rPr>
          <w:i/>
        </w:rPr>
        <w:t>Considerations</w:t>
      </w:r>
      <w:r w:rsidR="00B81CD0" w:rsidRPr="00B4301D">
        <w:t xml:space="preserve"> themes. As the majority of references concerned appropriation examples it was decided to place it within the theme of </w:t>
      </w:r>
      <w:r w:rsidR="00B81CD0" w:rsidRPr="00B4301D">
        <w:rPr>
          <w:i/>
        </w:rPr>
        <w:t>Creativity as Appropriation</w:t>
      </w:r>
      <w:r w:rsidR="00B81CD0" w:rsidRPr="00B4301D">
        <w:t xml:space="preserve">. </w:t>
      </w:r>
    </w:p>
    <w:p w14:paraId="6D21E45B" w14:textId="48427683" w:rsidR="003B4958" w:rsidRPr="00B4301D" w:rsidRDefault="003B4958" w:rsidP="00CE74C2">
      <w:pPr>
        <w:spacing w:line="360" w:lineRule="auto"/>
        <w:rPr>
          <w:b/>
        </w:rPr>
      </w:pPr>
    </w:p>
    <w:p w14:paraId="38C95861" w14:textId="740EC4F8" w:rsidR="003B4958" w:rsidRPr="00B4301D" w:rsidRDefault="003B4958" w:rsidP="00D52861">
      <w:pPr>
        <w:pStyle w:val="Heading1"/>
        <w:spacing w:line="360" w:lineRule="auto"/>
        <w:rPr>
          <w:color w:val="auto"/>
        </w:rPr>
      </w:pPr>
      <w:r w:rsidRPr="00B4301D">
        <w:rPr>
          <w:color w:val="auto"/>
        </w:rPr>
        <w:t>3. Results</w:t>
      </w:r>
    </w:p>
    <w:p w14:paraId="75A74245" w14:textId="3A1EE466" w:rsidR="001B204A" w:rsidRPr="006A4F78" w:rsidRDefault="001B204A" w:rsidP="001B204A">
      <w:pPr>
        <w:spacing w:line="360" w:lineRule="auto"/>
        <w:rPr>
          <w:color w:val="000000" w:themeColor="text1"/>
        </w:rPr>
      </w:pPr>
      <w:r w:rsidRPr="00B4301D">
        <w:t xml:space="preserve">Themes were divided into two categories, the first of which related to the different types of creative expression within games, and the second relating to the design considerations which supported creativity. See table </w:t>
      </w:r>
      <w:r w:rsidR="00DE3B7D" w:rsidRPr="00B4301D">
        <w:t>2</w:t>
      </w:r>
      <w:r w:rsidRPr="00B4301D">
        <w:t xml:space="preserve">.1 for </w:t>
      </w:r>
      <w:r w:rsidR="004267A5" w:rsidRPr="00B4301D">
        <w:t xml:space="preserve">expressivity of creativity </w:t>
      </w:r>
      <w:r w:rsidRPr="00B4301D">
        <w:t>theme descriptors</w:t>
      </w:r>
      <w:r w:rsidR="004267A5" w:rsidRPr="00B4301D">
        <w:t xml:space="preserve"> and table </w:t>
      </w:r>
      <w:r w:rsidR="00DE3B7D" w:rsidRPr="00B4301D">
        <w:t>2</w:t>
      </w:r>
      <w:r w:rsidR="004267A5" w:rsidRPr="00B4301D">
        <w:t xml:space="preserve">.2 for design </w:t>
      </w:r>
      <w:r w:rsidR="004267A5" w:rsidRPr="006A4F78">
        <w:rPr>
          <w:color w:val="000000" w:themeColor="text1"/>
        </w:rPr>
        <w:t>considerations theme descriptors</w:t>
      </w:r>
      <w:r w:rsidRPr="006A4F78">
        <w:rPr>
          <w:color w:val="000000" w:themeColor="text1"/>
        </w:rPr>
        <w:t>.</w:t>
      </w:r>
    </w:p>
    <w:p w14:paraId="4DD3B688" w14:textId="247D4878" w:rsidR="007904D4" w:rsidRPr="006A4F78" w:rsidRDefault="007904D4" w:rsidP="001B204A">
      <w:pPr>
        <w:spacing w:line="360" w:lineRule="auto"/>
        <w:rPr>
          <w:b/>
          <w:color w:val="000000" w:themeColor="text1"/>
        </w:rPr>
      </w:pPr>
      <w:r w:rsidRPr="006A4F78">
        <w:rPr>
          <w:b/>
          <w:color w:val="000000" w:themeColor="text1"/>
        </w:rPr>
        <w:t xml:space="preserve">Table </w:t>
      </w:r>
      <w:r w:rsidR="00DE3B7D" w:rsidRPr="006A4F78">
        <w:rPr>
          <w:b/>
          <w:color w:val="000000" w:themeColor="text1"/>
        </w:rPr>
        <w:t>2</w:t>
      </w:r>
      <w:r w:rsidRPr="006A4F78">
        <w:rPr>
          <w:b/>
          <w:color w:val="000000" w:themeColor="text1"/>
        </w:rPr>
        <w:t>.</w:t>
      </w:r>
      <w:r w:rsidR="00B4301D" w:rsidRPr="006A4F78">
        <w:rPr>
          <w:b/>
          <w:color w:val="000000" w:themeColor="text1"/>
        </w:rPr>
        <w:t>1</w:t>
      </w:r>
      <w:r w:rsidRPr="006A4F78">
        <w:rPr>
          <w:b/>
          <w:color w:val="000000" w:themeColor="text1"/>
        </w:rPr>
        <w:t>: Expressivity of Creativity</w:t>
      </w:r>
    </w:p>
    <w:tbl>
      <w:tblPr>
        <w:tblStyle w:val="TableGrid"/>
        <w:tblW w:w="9214" w:type="dxa"/>
        <w:tblInd w:w="-147"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7"/>
        <w:gridCol w:w="1984"/>
        <w:gridCol w:w="5103"/>
      </w:tblGrid>
      <w:tr w:rsidR="00B4301D" w:rsidRPr="00B4301D" w14:paraId="038007FA" w14:textId="77777777" w:rsidTr="007904D4">
        <w:trPr>
          <w:trHeight w:val="370"/>
        </w:trPr>
        <w:tc>
          <w:tcPr>
            <w:tcW w:w="2127" w:type="dxa"/>
            <w:tcBorders>
              <w:top w:val="single" w:sz="4" w:space="0" w:color="auto"/>
              <w:bottom w:val="single" w:sz="4" w:space="0" w:color="auto"/>
            </w:tcBorders>
          </w:tcPr>
          <w:p w14:paraId="03D29105" w14:textId="77777777" w:rsidR="001B204A" w:rsidRPr="00B4301D" w:rsidRDefault="001B204A" w:rsidP="004A2F65">
            <w:pPr>
              <w:rPr>
                <w:rFonts w:cstheme="minorHAnsi"/>
                <w:b/>
                <w:sz w:val="18"/>
                <w:szCs w:val="18"/>
              </w:rPr>
            </w:pPr>
            <w:r w:rsidRPr="00B4301D">
              <w:rPr>
                <w:rFonts w:cstheme="minorHAnsi"/>
                <w:b/>
                <w:sz w:val="18"/>
                <w:szCs w:val="18"/>
              </w:rPr>
              <w:t>Main Theme</w:t>
            </w:r>
          </w:p>
        </w:tc>
        <w:tc>
          <w:tcPr>
            <w:tcW w:w="1984" w:type="dxa"/>
            <w:tcBorders>
              <w:top w:val="single" w:sz="4" w:space="0" w:color="auto"/>
              <w:bottom w:val="single" w:sz="4" w:space="0" w:color="auto"/>
            </w:tcBorders>
          </w:tcPr>
          <w:p w14:paraId="401211C2" w14:textId="77777777" w:rsidR="001B204A" w:rsidRPr="00B4301D" w:rsidRDefault="001B204A" w:rsidP="004A2F65">
            <w:pPr>
              <w:rPr>
                <w:rFonts w:cstheme="minorHAnsi"/>
                <w:b/>
                <w:sz w:val="18"/>
                <w:szCs w:val="18"/>
              </w:rPr>
            </w:pPr>
            <w:r w:rsidRPr="00B4301D">
              <w:rPr>
                <w:rFonts w:cstheme="minorHAnsi"/>
                <w:b/>
                <w:sz w:val="18"/>
                <w:szCs w:val="18"/>
              </w:rPr>
              <w:t>Sub-Themes</w:t>
            </w:r>
          </w:p>
        </w:tc>
        <w:tc>
          <w:tcPr>
            <w:tcW w:w="5103" w:type="dxa"/>
            <w:tcBorders>
              <w:top w:val="single" w:sz="4" w:space="0" w:color="auto"/>
              <w:bottom w:val="single" w:sz="4" w:space="0" w:color="auto"/>
            </w:tcBorders>
          </w:tcPr>
          <w:p w14:paraId="10400803" w14:textId="77777777" w:rsidR="001B204A" w:rsidRPr="00B4301D" w:rsidRDefault="001B204A" w:rsidP="004A2F65">
            <w:pPr>
              <w:rPr>
                <w:rFonts w:cstheme="minorHAnsi"/>
                <w:b/>
                <w:sz w:val="18"/>
                <w:szCs w:val="18"/>
              </w:rPr>
            </w:pPr>
            <w:r w:rsidRPr="00B4301D">
              <w:rPr>
                <w:rFonts w:cstheme="minorHAnsi"/>
                <w:b/>
                <w:sz w:val="18"/>
                <w:szCs w:val="18"/>
              </w:rPr>
              <w:t>Description</w:t>
            </w:r>
          </w:p>
        </w:tc>
      </w:tr>
      <w:tr w:rsidR="00B4301D" w:rsidRPr="00B4301D" w14:paraId="7A02ED79" w14:textId="77777777" w:rsidTr="004A2F65">
        <w:trPr>
          <w:trHeight w:val="787"/>
        </w:trPr>
        <w:tc>
          <w:tcPr>
            <w:tcW w:w="2127" w:type="dxa"/>
            <w:vMerge w:val="restart"/>
            <w:tcBorders>
              <w:top w:val="single" w:sz="4" w:space="0" w:color="auto"/>
              <w:bottom w:val="nil"/>
            </w:tcBorders>
          </w:tcPr>
          <w:p w14:paraId="61BEADBA" w14:textId="77777777" w:rsidR="001B204A" w:rsidRPr="00B4301D" w:rsidRDefault="001B204A" w:rsidP="004A2F65">
            <w:pPr>
              <w:rPr>
                <w:rFonts w:cstheme="minorHAnsi"/>
                <w:sz w:val="18"/>
                <w:szCs w:val="18"/>
              </w:rPr>
            </w:pPr>
            <w:r w:rsidRPr="00B4301D">
              <w:rPr>
                <w:rFonts w:cstheme="minorHAnsi"/>
                <w:sz w:val="18"/>
                <w:szCs w:val="18"/>
              </w:rPr>
              <w:t>Creativity as Problem-Solving</w:t>
            </w:r>
          </w:p>
          <w:p w14:paraId="6B1BA357" w14:textId="77777777" w:rsidR="001B204A" w:rsidRPr="00B4301D" w:rsidRDefault="001B204A" w:rsidP="004A2F65">
            <w:pPr>
              <w:rPr>
                <w:rFonts w:cstheme="minorHAnsi"/>
                <w:sz w:val="18"/>
                <w:szCs w:val="18"/>
              </w:rPr>
            </w:pPr>
          </w:p>
        </w:tc>
        <w:tc>
          <w:tcPr>
            <w:tcW w:w="1984" w:type="dxa"/>
            <w:tcBorders>
              <w:top w:val="single" w:sz="4" w:space="0" w:color="auto"/>
              <w:bottom w:val="nil"/>
            </w:tcBorders>
          </w:tcPr>
          <w:p w14:paraId="1E563A97" w14:textId="77777777" w:rsidR="001B204A" w:rsidRPr="00B4301D" w:rsidRDefault="001B204A" w:rsidP="004A2F65">
            <w:pPr>
              <w:rPr>
                <w:rFonts w:cstheme="minorHAnsi"/>
                <w:sz w:val="18"/>
                <w:szCs w:val="18"/>
              </w:rPr>
            </w:pPr>
            <w:r w:rsidRPr="00B4301D">
              <w:rPr>
                <w:rFonts w:cstheme="minorHAnsi"/>
                <w:sz w:val="18"/>
                <w:szCs w:val="18"/>
              </w:rPr>
              <w:t>Creating Strategies</w:t>
            </w:r>
          </w:p>
        </w:tc>
        <w:tc>
          <w:tcPr>
            <w:tcW w:w="5103" w:type="dxa"/>
            <w:tcBorders>
              <w:top w:val="single" w:sz="4" w:space="0" w:color="auto"/>
              <w:bottom w:val="nil"/>
            </w:tcBorders>
          </w:tcPr>
          <w:p w14:paraId="6D12819A" w14:textId="77777777" w:rsidR="001B204A" w:rsidRPr="00B4301D" w:rsidRDefault="001B204A" w:rsidP="004A2F65">
            <w:pPr>
              <w:rPr>
                <w:rFonts w:cstheme="minorHAnsi"/>
                <w:sz w:val="18"/>
                <w:szCs w:val="18"/>
              </w:rPr>
            </w:pPr>
            <w:r w:rsidRPr="00B4301D">
              <w:rPr>
                <w:rFonts w:cstheme="minorHAnsi"/>
                <w:sz w:val="18"/>
                <w:szCs w:val="18"/>
              </w:rPr>
              <w:t>Relates to instances where a player creates strategies to use in the game, often involving experiential and trial and error approaches. This can either be done alone or within a team.</w:t>
            </w:r>
          </w:p>
        </w:tc>
      </w:tr>
      <w:tr w:rsidR="00B4301D" w:rsidRPr="00B4301D" w14:paraId="3DFC4DB6" w14:textId="77777777" w:rsidTr="004A2F65">
        <w:trPr>
          <w:trHeight w:val="787"/>
        </w:trPr>
        <w:tc>
          <w:tcPr>
            <w:tcW w:w="2127" w:type="dxa"/>
            <w:vMerge/>
            <w:tcBorders>
              <w:top w:val="nil"/>
              <w:bottom w:val="single" w:sz="4" w:space="0" w:color="auto"/>
            </w:tcBorders>
          </w:tcPr>
          <w:p w14:paraId="5D5D36F6" w14:textId="77777777" w:rsidR="001B204A" w:rsidRPr="00B4301D" w:rsidRDefault="001B204A" w:rsidP="004A2F65">
            <w:pPr>
              <w:rPr>
                <w:rFonts w:cstheme="minorHAnsi"/>
                <w:sz w:val="18"/>
                <w:szCs w:val="18"/>
              </w:rPr>
            </w:pPr>
          </w:p>
        </w:tc>
        <w:tc>
          <w:tcPr>
            <w:tcW w:w="1984" w:type="dxa"/>
            <w:tcBorders>
              <w:top w:val="nil"/>
              <w:bottom w:val="single" w:sz="4" w:space="0" w:color="auto"/>
            </w:tcBorders>
          </w:tcPr>
          <w:p w14:paraId="5C126CE2" w14:textId="77777777" w:rsidR="001B204A" w:rsidRPr="00B4301D" w:rsidRDefault="001B204A" w:rsidP="004A2F65">
            <w:pPr>
              <w:rPr>
                <w:rFonts w:cstheme="minorHAnsi"/>
                <w:sz w:val="18"/>
                <w:szCs w:val="18"/>
              </w:rPr>
            </w:pPr>
            <w:r w:rsidRPr="00B4301D">
              <w:rPr>
                <w:rFonts w:cstheme="minorHAnsi"/>
                <w:sz w:val="18"/>
                <w:szCs w:val="18"/>
              </w:rPr>
              <w:t>Approaching Problems</w:t>
            </w:r>
          </w:p>
        </w:tc>
        <w:tc>
          <w:tcPr>
            <w:tcW w:w="5103" w:type="dxa"/>
            <w:tcBorders>
              <w:top w:val="nil"/>
              <w:bottom w:val="single" w:sz="4" w:space="0" w:color="auto"/>
            </w:tcBorders>
          </w:tcPr>
          <w:p w14:paraId="49E7FB0F" w14:textId="77777777" w:rsidR="001B204A" w:rsidRPr="00B4301D" w:rsidRDefault="001B204A" w:rsidP="004A2F65">
            <w:pPr>
              <w:rPr>
                <w:rFonts w:cstheme="minorHAnsi"/>
                <w:sz w:val="18"/>
                <w:szCs w:val="18"/>
              </w:rPr>
            </w:pPr>
            <w:r w:rsidRPr="00B4301D">
              <w:rPr>
                <w:rFonts w:cstheme="minorHAnsi"/>
                <w:sz w:val="18"/>
                <w:szCs w:val="18"/>
              </w:rPr>
              <w:t>Relates to the planning involved before deploying a strategy or set of tactics, such as consulting guides beforehand. Or alternatively, a specific way of approaching and managing difficult problems such as frustration.</w:t>
            </w:r>
          </w:p>
          <w:p w14:paraId="639749EF" w14:textId="77777777" w:rsidR="001B204A" w:rsidRPr="00B4301D" w:rsidRDefault="001B204A" w:rsidP="004A2F65">
            <w:pPr>
              <w:rPr>
                <w:rFonts w:cstheme="minorHAnsi"/>
                <w:sz w:val="18"/>
                <w:szCs w:val="18"/>
              </w:rPr>
            </w:pPr>
          </w:p>
        </w:tc>
      </w:tr>
      <w:tr w:rsidR="00B4301D" w:rsidRPr="00B4301D" w14:paraId="4E95F974" w14:textId="77777777" w:rsidTr="004A2F65">
        <w:trPr>
          <w:trHeight w:val="976"/>
        </w:trPr>
        <w:tc>
          <w:tcPr>
            <w:tcW w:w="2127" w:type="dxa"/>
            <w:vMerge w:val="restart"/>
            <w:tcBorders>
              <w:top w:val="single" w:sz="4" w:space="0" w:color="auto"/>
              <w:bottom w:val="single" w:sz="4" w:space="0" w:color="auto"/>
            </w:tcBorders>
          </w:tcPr>
          <w:p w14:paraId="133E0A93" w14:textId="77777777" w:rsidR="001B204A" w:rsidRPr="00B4301D" w:rsidRDefault="001B204A" w:rsidP="004A2F65">
            <w:pPr>
              <w:rPr>
                <w:rFonts w:cstheme="minorHAnsi"/>
                <w:sz w:val="18"/>
                <w:szCs w:val="18"/>
              </w:rPr>
            </w:pPr>
            <w:r w:rsidRPr="00B4301D">
              <w:rPr>
                <w:rFonts w:cstheme="minorHAnsi"/>
                <w:sz w:val="18"/>
                <w:szCs w:val="18"/>
              </w:rPr>
              <w:t>Creativity as Appropriation</w:t>
            </w:r>
          </w:p>
        </w:tc>
        <w:tc>
          <w:tcPr>
            <w:tcW w:w="1984" w:type="dxa"/>
            <w:tcBorders>
              <w:top w:val="single" w:sz="4" w:space="0" w:color="auto"/>
              <w:bottom w:val="nil"/>
            </w:tcBorders>
          </w:tcPr>
          <w:p w14:paraId="4E285981" w14:textId="77777777" w:rsidR="001B204A" w:rsidRPr="00B4301D" w:rsidRDefault="001B204A" w:rsidP="004A2F65">
            <w:pPr>
              <w:rPr>
                <w:rFonts w:cstheme="minorHAnsi"/>
                <w:sz w:val="18"/>
                <w:szCs w:val="18"/>
              </w:rPr>
            </w:pPr>
            <w:r w:rsidRPr="00B4301D">
              <w:rPr>
                <w:rFonts w:cstheme="minorHAnsi"/>
                <w:sz w:val="18"/>
                <w:szCs w:val="18"/>
              </w:rPr>
              <w:t>New Use for Existing Game Mechanic</w:t>
            </w:r>
          </w:p>
        </w:tc>
        <w:tc>
          <w:tcPr>
            <w:tcW w:w="5103" w:type="dxa"/>
            <w:tcBorders>
              <w:top w:val="single" w:sz="4" w:space="0" w:color="auto"/>
              <w:bottom w:val="nil"/>
            </w:tcBorders>
          </w:tcPr>
          <w:p w14:paraId="7CFE9B3A" w14:textId="77777777" w:rsidR="001B204A" w:rsidRPr="00B4301D" w:rsidRDefault="001B204A" w:rsidP="004A2F65">
            <w:pPr>
              <w:rPr>
                <w:rFonts w:cstheme="minorHAnsi"/>
                <w:sz w:val="18"/>
                <w:szCs w:val="18"/>
              </w:rPr>
            </w:pPr>
            <w:r w:rsidRPr="00B4301D">
              <w:rPr>
                <w:rFonts w:cstheme="minorHAnsi"/>
                <w:sz w:val="18"/>
                <w:szCs w:val="18"/>
              </w:rPr>
              <w:t xml:space="preserve">Relates to the ways in which players were able to discover and use game mechanics for alternative uses. </w:t>
            </w:r>
          </w:p>
        </w:tc>
      </w:tr>
      <w:tr w:rsidR="00B4301D" w:rsidRPr="00B4301D" w14:paraId="037A2346" w14:textId="77777777" w:rsidTr="004A2F65">
        <w:trPr>
          <w:trHeight w:val="787"/>
        </w:trPr>
        <w:tc>
          <w:tcPr>
            <w:tcW w:w="2127" w:type="dxa"/>
            <w:vMerge/>
            <w:tcBorders>
              <w:top w:val="single" w:sz="4" w:space="0" w:color="auto"/>
            </w:tcBorders>
          </w:tcPr>
          <w:p w14:paraId="6A8FBADE" w14:textId="77777777" w:rsidR="001B204A" w:rsidRPr="00B4301D" w:rsidRDefault="001B204A" w:rsidP="004A2F65">
            <w:pPr>
              <w:rPr>
                <w:rFonts w:cstheme="minorHAnsi"/>
                <w:sz w:val="18"/>
                <w:szCs w:val="18"/>
              </w:rPr>
            </w:pPr>
          </w:p>
        </w:tc>
        <w:tc>
          <w:tcPr>
            <w:tcW w:w="1984" w:type="dxa"/>
            <w:tcBorders>
              <w:top w:val="nil"/>
              <w:bottom w:val="nil"/>
            </w:tcBorders>
          </w:tcPr>
          <w:p w14:paraId="2700CDC9" w14:textId="5B1418F3" w:rsidR="001B204A" w:rsidRPr="00B4301D" w:rsidRDefault="00B31412" w:rsidP="004A2F65">
            <w:pPr>
              <w:rPr>
                <w:rFonts w:cstheme="minorHAnsi"/>
                <w:sz w:val="18"/>
                <w:szCs w:val="18"/>
              </w:rPr>
            </w:pPr>
            <w:r w:rsidRPr="00B4301D">
              <w:rPr>
                <w:rFonts w:cstheme="minorHAnsi"/>
                <w:sz w:val="18"/>
                <w:szCs w:val="18"/>
              </w:rPr>
              <w:t>Creating New Challenges</w:t>
            </w:r>
          </w:p>
        </w:tc>
        <w:tc>
          <w:tcPr>
            <w:tcW w:w="5103" w:type="dxa"/>
            <w:tcBorders>
              <w:top w:val="nil"/>
              <w:bottom w:val="nil"/>
            </w:tcBorders>
          </w:tcPr>
          <w:p w14:paraId="75827489" w14:textId="77777777" w:rsidR="00B31412" w:rsidRPr="00B4301D" w:rsidRDefault="00B31412" w:rsidP="00B31412">
            <w:pPr>
              <w:rPr>
                <w:rFonts w:cstheme="minorHAnsi"/>
                <w:sz w:val="18"/>
                <w:szCs w:val="18"/>
              </w:rPr>
            </w:pPr>
            <w:r w:rsidRPr="00B4301D">
              <w:rPr>
                <w:rFonts w:cstheme="minorHAnsi"/>
                <w:sz w:val="18"/>
                <w:szCs w:val="18"/>
              </w:rPr>
              <w:t>Relates to instances where players had created new games or goals within the game or deliberately created additional challenges, such as upping the difficulty level or finding alternative, more challenging ways to play a game.</w:t>
            </w:r>
          </w:p>
          <w:p w14:paraId="64E36A83" w14:textId="0D1CBC6C" w:rsidR="001B204A" w:rsidRPr="00B4301D" w:rsidRDefault="001B204A" w:rsidP="004A2F65">
            <w:pPr>
              <w:rPr>
                <w:rFonts w:cstheme="minorHAnsi"/>
                <w:sz w:val="18"/>
                <w:szCs w:val="18"/>
              </w:rPr>
            </w:pPr>
          </w:p>
        </w:tc>
      </w:tr>
      <w:tr w:rsidR="00B4301D" w:rsidRPr="00B4301D" w14:paraId="08732B61" w14:textId="77777777" w:rsidTr="004267A5">
        <w:trPr>
          <w:trHeight w:val="787"/>
        </w:trPr>
        <w:tc>
          <w:tcPr>
            <w:tcW w:w="2127" w:type="dxa"/>
            <w:vMerge/>
            <w:tcBorders>
              <w:bottom w:val="single" w:sz="4" w:space="0" w:color="auto"/>
            </w:tcBorders>
          </w:tcPr>
          <w:p w14:paraId="7FA7D552" w14:textId="77777777" w:rsidR="001B204A" w:rsidRPr="00B4301D" w:rsidRDefault="001B204A" w:rsidP="004A2F65">
            <w:pPr>
              <w:rPr>
                <w:rFonts w:cstheme="minorHAnsi"/>
                <w:sz w:val="18"/>
                <w:szCs w:val="18"/>
              </w:rPr>
            </w:pPr>
          </w:p>
        </w:tc>
        <w:tc>
          <w:tcPr>
            <w:tcW w:w="1984" w:type="dxa"/>
            <w:tcBorders>
              <w:top w:val="nil"/>
              <w:bottom w:val="single" w:sz="4" w:space="0" w:color="auto"/>
            </w:tcBorders>
          </w:tcPr>
          <w:p w14:paraId="64AFA106" w14:textId="2D0E0FAD" w:rsidR="001B204A" w:rsidRPr="00B4301D" w:rsidRDefault="00B31412" w:rsidP="004A2F65">
            <w:pPr>
              <w:rPr>
                <w:rFonts w:cstheme="minorHAnsi"/>
                <w:sz w:val="18"/>
                <w:szCs w:val="18"/>
              </w:rPr>
            </w:pPr>
            <w:r w:rsidRPr="00B4301D">
              <w:rPr>
                <w:rFonts w:cstheme="minorHAnsi"/>
                <w:sz w:val="18"/>
                <w:szCs w:val="18"/>
              </w:rPr>
              <w:t>Glitches</w:t>
            </w:r>
          </w:p>
        </w:tc>
        <w:tc>
          <w:tcPr>
            <w:tcW w:w="5103" w:type="dxa"/>
            <w:tcBorders>
              <w:top w:val="nil"/>
              <w:bottom w:val="single" w:sz="4" w:space="0" w:color="auto"/>
            </w:tcBorders>
          </w:tcPr>
          <w:p w14:paraId="53F21096" w14:textId="22752173" w:rsidR="001B204A" w:rsidRPr="00B4301D" w:rsidRDefault="00B31412" w:rsidP="00B31412">
            <w:pPr>
              <w:rPr>
                <w:rFonts w:cstheme="minorHAnsi"/>
                <w:sz w:val="18"/>
                <w:szCs w:val="18"/>
              </w:rPr>
            </w:pPr>
            <w:r w:rsidRPr="00B4301D">
              <w:rPr>
                <w:rFonts w:cstheme="minorHAnsi"/>
                <w:sz w:val="18"/>
                <w:szCs w:val="18"/>
              </w:rPr>
              <w:t>Relates to the use of glitches either as a source of fun or as a means of progression in the game.</w:t>
            </w:r>
          </w:p>
        </w:tc>
      </w:tr>
      <w:tr w:rsidR="00B4301D" w:rsidRPr="00B4301D" w14:paraId="76223FC6" w14:textId="77777777" w:rsidTr="004A2F65">
        <w:trPr>
          <w:trHeight w:val="787"/>
        </w:trPr>
        <w:tc>
          <w:tcPr>
            <w:tcW w:w="2127" w:type="dxa"/>
            <w:vMerge w:val="restart"/>
            <w:tcBorders>
              <w:top w:val="single" w:sz="4" w:space="0" w:color="auto"/>
              <w:bottom w:val="nil"/>
            </w:tcBorders>
          </w:tcPr>
          <w:p w14:paraId="4553D665" w14:textId="77777777" w:rsidR="001B204A" w:rsidRPr="00B4301D" w:rsidRDefault="001B204A" w:rsidP="004A2F65">
            <w:pPr>
              <w:rPr>
                <w:rFonts w:cstheme="minorHAnsi"/>
                <w:sz w:val="18"/>
                <w:szCs w:val="18"/>
              </w:rPr>
            </w:pPr>
            <w:r w:rsidRPr="00B4301D">
              <w:rPr>
                <w:rFonts w:cstheme="minorHAnsi"/>
                <w:sz w:val="18"/>
                <w:szCs w:val="18"/>
              </w:rPr>
              <w:t>Creativity as Affective Change</w:t>
            </w:r>
          </w:p>
        </w:tc>
        <w:tc>
          <w:tcPr>
            <w:tcW w:w="1984" w:type="dxa"/>
            <w:tcBorders>
              <w:top w:val="single" w:sz="4" w:space="0" w:color="auto"/>
              <w:bottom w:val="nil"/>
            </w:tcBorders>
          </w:tcPr>
          <w:p w14:paraId="3C54B656" w14:textId="77777777" w:rsidR="001B204A" w:rsidRPr="00B4301D" w:rsidRDefault="001B204A" w:rsidP="004A2F65">
            <w:pPr>
              <w:rPr>
                <w:rFonts w:cstheme="minorHAnsi"/>
                <w:sz w:val="18"/>
                <w:szCs w:val="18"/>
              </w:rPr>
            </w:pPr>
            <w:r w:rsidRPr="00B4301D">
              <w:rPr>
                <w:rFonts w:cstheme="minorHAnsi"/>
                <w:sz w:val="18"/>
                <w:szCs w:val="18"/>
              </w:rPr>
              <w:t>Moral</w:t>
            </w:r>
          </w:p>
        </w:tc>
        <w:tc>
          <w:tcPr>
            <w:tcW w:w="5103" w:type="dxa"/>
            <w:tcBorders>
              <w:top w:val="single" w:sz="4" w:space="0" w:color="auto"/>
              <w:bottom w:val="nil"/>
            </w:tcBorders>
          </w:tcPr>
          <w:p w14:paraId="18E3CC53" w14:textId="77777777" w:rsidR="001B204A" w:rsidRPr="00B4301D" w:rsidRDefault="001B204A" w:rsidP="004A2F65">
            <w:pPr>
              <w:rPr>
                <w:rFonts w:cstheme="minorHAnsi"/>
                <w:sz w:val="18"/>
                <w:szCs w:val="18"/>
              </w:rPr>
            </w:pPr>
            <w:r w:rsidRPr="00B4301D">
              <w:rPr>
                <w:rFonts w:cstheme="minorHAnsi"/>
                <w:sz w:val="18"/>
                <w:szCs w:val="18"/>
              </w:rPr>
              <w:t>Relates to the changing or challenging of beliefs and views associated with moral issues such as right and wrong, good or evil, religion and gender equality.</w:t>
            </w:r>
          </w:p>
        </w:tc>
      </w:tr>
      <w:tr w:rsidR="00B4301D" w:rsidRPr="00B4301D" w14:paraId="13059EF2" w14:textId="77777777" w:rsidTr="004267A5">
        <w:trPr>
          <w:trHeight w:val="787"/>
        </w:trPr>
        <w:tc>
          <w:tcPr>
            <w:tcW w:w="2127" w:type="dxa"/>
            <w:vMerge/>
            <w:tcBorders>
              <w:top w:val="nil"/>
              <w:bottom w:val="nil"/>
            </w:tcBorders>
          </w:tcPr>
          <w:p w14:paraId="1AF594E7" w14:textId="77777777" w:rsidR="001B204A" w:rsidRPr="00B4301D" w:rsidRDefault="001B204A" w:rsidP="004A2F65">
            <w:pPr>
              <w:rPr>
                <w:rFonts w:cstheme="minorHAnsi"/>
                <w:sz w:val="18"/>
                <w:szCs w:val="18"/>
              </w:rPr>
            </w:pPr>
          </w:p>
        </w:tc>
        <w:tc>
          <w:tcPr>
            <w:tcW w:w="1984" w:type="dxa"/>
            <w:tcBorders>
              <w:top w:val="nil"/>
              <w:bottom w:val="nil"/>
            </w:tcBorders>
          </w:tcPr>
          <w:p w14:paraId="5A5E3310" w14:textId="77777777" w:rsidR="001B204A" w:rsidRPr="00B4301D" w:rsidRDefault="001B204A" w:rsidP="004A2F65">
            <w:pPr>
              <w:rPr>
                <w:rFonts w:cstheme="minorHAnsi"/>
                <w:sz w:val="18"/>
                <w:szCs w:val="18"/>
              </w:rPr>
            </w:pPr>
            <w:r w:rsidRPr="00B4301D">
              <w:rPr>
                <w:rFonts w:cstheme="minorHAnsi"/>
                <w:sz w:val="18"/>
                <w:szCs w:val="18"/>
              </w:rPr>
              <w:t>Personal</w:t>
            </w:r>
          </w:p>
        </w:tc>
        <w:tc>
          <w:tcPr>
            <w:tcW w:w="5103" w:type="dxa"/>
            <w:tcBorders>
              <w:top w:val="nil"/>
            </w:tcBorders>
          </w:tcPr>
          <w:p w14:paraId="6AD9E226" w14:textId="77777777" w:rsidR="001B204A" w:rsidRPr="00B4301D" w:rsidRDefault="001B204A" w:rsidP="004A2F65">
            <w:pPr>
              <w:rPr>
                <w:rFonts w:cstheme="minorHAnsi"/>
                <w:sz w:val="18"/>
                <w:szCs w:val="18"/>
              </w:rPr>
            </w:pPr>
            <w:r w:rsidRPr="00B4301D">
              <w:rPr>
                <w:rFonts w:cstheme="minorHAnsi"/>
                <w:sz w:val="18"/>
                <w:szCs w:val="18"/>
              </w:rPr>
              <w:t>Relates to instances where players had changed or challenged opinions about themselves and their abilities, for instance realising that they could succeed at something they had otherwise believed they were not good at. Additionally, it included instances where the general outlook on daily life was changed, such as looking at things in a new light or thinking in a different way.</w:t>
            </w:r>
          </w:p>
          <w:p w14:paraId="43C5B6E1" w14:textId="77777777" w:rsidR="001B204A" w:rsidRPr="00B4301D" w:rsidRDefault="001B204A" w:rsidP="004A2F65">
            <w:pPr>
              <w:rPr>
                <w:rFonts w:cstheme="minorHAnsi"/>
                <w:sz w:val="18"/>
                <w:szCs w:val="18"/>
              </w:rPr>
            </w:pPr>
          </w:p>
        </w:tc>
      </w:tr>
      <w:tr w:rsidR="00B4301D" w:rsidRPr="00B4301D" w14:paraId="487A2BDD" w14:textId="77777777" w:rsidTr="004267A5">
        <w:trPr>
          <w:trHeight w:val="787"/>
        </w:trPr>
        <w:tc>
          <w:tcPr>
            <w:tcW w:w="2127" w:type="dxa"/>
            <w:vMerge/>
            <w:tcBorders>
              <w:top w:val="nil"/>
              <w:bottom w:val="nil"/>
            </w:tcBorders>
          </w:tcPr>
          <w:p w14:paraId="59AF6F26" w14:textId="77777777" w:rsidR="001B204A" w:rsidRPr="00B4301D" w:rsidRDefault="001B204A" w:rsidP="004A2F65">
            <w:pPr>
              <w:rPr>
                <w:rFonts w:cstheme="minorHAnsi"/>
                <w:sz w:val="18"/>
                <w:szCs w:val="18"/>
              </w:rPr>
            </w:pPr>
          </w:p>
        </w:tc>
        <w:tc>
          <w:tcPr>
            <w:tcW w:w="1984" w:type="dxa"/>
            <w:tcBorders>
              <w:top w:val="nil"/>
              <w:bottom w:val="nil"/>
            </w:tcBorders>
          </w:tcPr>
          <w:p w14:paraId="3A47D85A" w14:textId="77777777" w:rsidR="001B204A" w:rsidRPr="00B4301D" w:rsidRDefault="001B204A" w:rsidP="004A2F65">
            <w:pPr>
              <w:rPr>
                <w:rFonts w:cstheme="minorHAnsi"/>
                <w:sz w:val="18"/>
                <w:szCs w:val="18"/>
              </w:rPr>
            </w:pPr>
            <w:r w:rsidRPr="00B4301D">
              <w:rPr>
                <w:rFonts w:cstheme="minorHAnsi"/>
                <w:sz w:val="18"/>
                <w:szCs w:val="18"/>
              </w:rPr>
              <w:t>Narrative</w:t>
            </w:r>
          </w:p>
        </w:tc>
        <w:tc>
          <w:tcPr>
            <w:tcW w:w="5103" w:type="dxa"/>
          </w:tcPr>
          <w:p w14:paraId="7143BC79" w14:textId="77777777" w:rsidR="001B204A" w:rsidRPr="00B4301D" w:rsidRDefault="001B204A" w:rsidP="004A2F65">
            <w:pPr>
              <w:rPr>
                <w:rFonts w:cstheme="minorHAnsi"/>
                <w:sz w:val="18"/>
                <w:szCs w:val="18"/>
              </w:rPr>
            </w:pPr>
            <w:r w:rsidRPr="00B4301D">
              <w:rPr>
                <w:rFonts w:cstheme="minorHAnsi"/>
                <w:sz w:val="18"/>
                <w:szCs w:val="18"/>
              </w:rPr>
              <w:t>Focused on emotional connections with a game’s narrative and characters, such as where a player felt empathy with an in-game character due to experiencing a similar circumstance or set of issues in their past.</w:t>
            </w:r>
          </w:p>
          <w:p w14:paraId="4EA26E9C" w14:textId="77777777" w:rsidR="001B204A" w:rsidRPr="00B4301D" w:rsidRDefault="001B204A" w:rsidP="004A2F65">
            <w:pPr>
              <w:rPr>
                <w:rFonts w:cstheme="minorHAnsi"/>
                <w:sz w:val="18"/>
                <w:szCs w:val="18"/>
              </w:rPr>
            </w:pPr>
          </w:p>
        </w:tc>
      </w:tr>
      <w:tr w:rsidR="00B4301D" w:rsidRPr="00B4301D" w14:paraId="748675EB" w14:textId="77777777" w:rsidTr="004267A5">
        <w:trPr>
          <w:trHeight w:val="787"/>
        </w:trPr>
        <w:tc>
          <w:tcPr>
            <w:tcW w:w="2127" w:type="dxa"/>
            <w:vMerge/>
            <w:tcBorders>
              <w:top w:val="nil"/>
              <w:bottom w:val="nil"/>
            </w:tcBorders>
          </w:tcPr>
          <w:p w14:paraId="11F1AB48" w14:textId="77777777" w:rsidR="001B204A" w:rsidRPr="00B4301D" w:rsidRDefault="001B204A" w:rsidP="004A2F65">
            <w:pPr>
              <w:rPr>
                <w:rFonts w:cstheme="minorHAnsi"/>
                <w:sz w:val="18"/>
                <w:szCs w:val="18"/>
              </w:rPr>
            </w:pPr>
          </w:p>
        </w:tc>
        <w:tc>
          <w:tcPr>
            <w:tcW w:w="1984" w:type="dxa"/>
            <w:tcBorders>
              <w:top w:val="nil"/>
              <w:bottom w:val="nil"/>
            </w:tcBorders>
          </w:tcPr>
          <w:p w14:paraId="7F44B581" w14:textId="77777777" w:rsidR="001B204A" w:rsidRPr="00B4301D" w:rsidRDefault="001B204A" w:rsidP="004A2F65">
            <w:pPr>
              <w:rPr>
                <w:rFonts w:cstheme="minorHAnsi"/>
                <w:sz w:val="18"/>
                <w:szCs w:val="18"/>
              </w:rPr>
            </w:pPr>
            <w:r w:rsidRPr="00B4301D">
              <w:rPr>
                <w:rFonts w:cstheme="minorHAnsi"/>
                <w:sz w:val="18"/>
                <w:szCs w:val="18"/>
              </w:rPr>
              <w:t>Games</w:t>
            </w:r>
          </w:p>
        </w:tc>
        <w:tc>
          <w:tcPr>
            <w:tcW w:w="5103" w:type="dxa"/>
          </w:tcPr>
          <w:p w14:paraId="09F41997" w14:textId="77777777" w:rsidR="001B204A" w:rsidRPr="00B4301D" w:rsidRDefault="001B204A" w:rsidP="004A2F65">
            <w:pPr>
              <w:rPr>
                <w:rFonts w:cstheme="minorHAnsi"/>
                <w:sz w:val="18"/>
                <w:szCs w:val="18"/>
              </w:rPr>
            </w:pPr>
            <w:r w:rsidRPr="00B4301D">
              <w:rPr>
                <w:rFonts w:cstheme="minorHAnsi"/>
                <w:sz w:val="18"/>
                <w:szCs w:val="18"/>
              </w:rPr>
              <w:t>Focused changes in the way players viewed games in general. Examples of this could be games which utilised new mechanics or storytelling methods which players had never seen before.</w:t>
            </w:r>
          </w:p>
        </w:tc>
      </w:tr>
      <w:tr w:rsidR="00B4301D" w:rsidRPr="00B4301D" w14:paraId="59ABA9DD" w14:textId="77777777" w:rsidTr="004267A5">
        <w:trPr>
          <w:trHeight w:val="787"/>
        </w:trPr>
        <w:tc>
          <w:tcPr>
            <w:tcW w:w="2127" w:type="dxa"/>
            <w:vMerge/>
            <w:tcBorders>
              <w:top w:val="nil"/>
              <w:bottom w:val="nil"/>
            </w:tcBorders>
          </w:tcPr>
          <w:p w14:paraId="65669DD2" w14:textId="77777777" w:rsidR="001B204A" w:rsidRPr="00B4301D" w:rsidRDefault="001B204A" w:rsidP="004A2F65">
            <w:pPr>
              <w:rPr>
                <w:rFonts w:cstheme="minorHAnsi"/>
                <w:sz w:val="18"/>
                <w:szCs w:val="18"/>
              </w:rPr>
            </w:pPr>
          </w:p>
        </w:tc>
        <w:tc>
          <w:tcPr>
            <w:tcW w:w="1984" w:type="dxa"/>
            <w:tcBorders>
              <w:top w:val="nil"/>
              <w:bottom w:val="nil"/>
            </w:tcBorders>
          </w:tcPr>
          <w:p w14:paraId="2CC17F65" w14:textId="77777777" w:rsidR="001B204A" w:rsidRPr="00B4301D" w:rsidRDefault="001B204A" w:rsidP="004A2F65">
            <w:pPr>
              <w:rPr>
                <w:rFonts w:cstheme="minorHAnsi"/>
                <w:sz w:val="18"/>
                <w:szCs w:val="18"/>
              </w:rPr>
            </w:pPr>
            <w:r w:rsidRPr="00B4301D">
              <w:rPr>
                <w:rFonts w:cstheme="minorHAnsi"/>
                <w:sz w:val="18"/>
                <w:szCs w:val="18"/>
              </w:rPr>
              <w:t>Cultural</w:t>
            </w:r>
          </w:p>
        </w:tc>
        <w:tc>
          <w:tcPr>
            <w:tcW w:w="5103" w:type="dxa"/>
          </w:tcPr>
          <w:p w14:paraId="16411412" w14:textId="77777777" w:rsidR="001B204A" w:rsidRPr="00B4301D" w:rsidRDefault="001B204A" w:rsidP="004A2F65">
            <w:pPr>
              <w:rPr>
                <w:rFonts w:cstheme="minorHAnsi"/>
                <w:sz w:val="18"/>
                <w:szCs w:val="18"/>
              </w:rPr>
            </w:pPr>
            <w:r w:rsidRPr="00B4301D">
              <w:rPr>
                <w:rFonts w:cstheme="minorHAnsi"/>
                <w:sz w:val="18"/>
                <w:szCs w:val="18"/>
              </w:rPr>
              <w:t>Relates to instances where a player’s cultural views have been changed or they have come to regard other cultures in a new light.</w:t>
            </w:r>
          </w:p>
        </w:tc>
      </w:tr>
      <w:tr w:rsidR="00B4301D" w:rsidRPr="00B4301D" w14:paraId="7C200939" w14:textId="77777777" w:rsidTr="004267A5">
        <w:trPr>
          <w:trHeight w:val="787"/>
        </w:trPr>
        <w:tc>
          <w:tcPr>
            <w:tcW w:w="2127" w:type="dxa"/>
            <w:vMerge/>
            <w:tcBorders>
              <w:top w:val="nil"/>
              <w:bottom w:val="single" w:sz="4" w:space="0" w:color="auto"/>
            </w:tcBorders>
          </w:tcPr>
          <w:p w14:paraId="29A06D63" w14:textId="77777777" w:rsidR="001B204A" w:rsidRPr="00B4301D" w:rsidRDefault="001B204A" w:rsidP="004A2F65">
            <w:pPr>
              <w:rPr>
                <w:rFonts w:cstheme="minorHAnsi"/>
                <w:sz w:val="18"/>
                <w:szCs w:val="18"/>
              </w:rPr>
            </w:pPr>
          </w:p>
        </w:tc>
        <w:tc>
          <w:tcPr>
            <w:tcW w:w="1984" w:type="dxa"/>
            <w:tcBorders>
              <w:top w:val="nil"/>
              <w:bottom w:val="single" w:sz="4" w:space="0" w:color="auto"/>
            </w:tcBorders>
          </w:tcPr>
          <w:p w14:paraId="0A912A3D" w14:textId="77777777" w:rsidR="001B204A" w:rsidRPr="00B4301D" w:rsidRDefault="001B204A" w:rsidP="004A2F65">
            <w:pPr>
              <w:rPr>
                <w:rFonts w:cstheme="minorHAnsi"/>
                <w:sz w:val="18"/>
                <w:szCs w:val="18"/>
              </w:rPr>
            </w:pPr>
            <w:r w:rsidRPr="00B4301D">
              <w:rPr>
                <w:rFonts w:cstheme="minorHAnsi"/>
                <w:sz w:val="18"/>
                <w:szCs w:val="18"/>
              </w:rPr>
              <w:t>Existential</w:t>
            </w:r>
          </w:p>
        </w:tc>
        <w:tc>
          <w:tcPr>
            <w:tcW w:w="5103" w:type="dxa"/>
            <w:tcBorders>
              <w:bottom w:val="single" w:sz="4" w:space="0" w:color="auto"/>
            </w:tcBorders>
          </w:tcPr>
          <w:p w14:paraId="7E0E0D45" w14:textId="77777777" w:rsidR="001B204A" w:rsidRPr="00B4301D" w:rsidRDefault="001B204A" w:rsidP="004A2F65">
            <w:pPr>
              <w:rPr>
                <w:rFonts w:cstheme="minorHAnsi"/>
                <w:sz w:val="18"/>
                <w:szCs w:val="18"/>
              </w:rPr>
            </w:pPr>
            <w:r w:rsidRPr="00B4301D">
              <w:rPr>
                <w:rFonts w:cstheme="minorHAnsi"/>
                <w:sz w:val="18"/>
                <w:szCs w:val="18"/>
              </w:rPr>
              <w:t>Relates to wider existential matters concerning humanity, existence and philosophical dilemmas</w:t>
            </w:r>
          </w:p>
        </w:tc>
      </w:tr>
    </w:tbl>
    <w:p w14:paraId="771FC893" w14:textId="651134DD" w:rsidR="001B204A" w:rsidRPr="00B4301D" w:rsidRDefault="004267A5" w:rsidP="004A2F65">
      <w:pPr>
        <w:rPr>
          <w:i/>
          <w:sz w:val="18"/>
          <w:szCs w:val="18"/>
        </w:rPr>
      </w:pPr>
      <w:r w:rsidRPr="00B4301D">
        <w:rPr>
          <w:i/>
          <w:sz w:val="18"/>
          <w:szCs w:val="18"/>
        </w:rPr>
        <w:t xml:space="preserve">Table </w:t>
      </w:r>
      <w:r w:rsidR="00DE3B7D" w:rsidRPr="00B4301D">
        <w:rPr>
          <w:i/>
          <w:sz w:val="18"/>
          <w:szCs w:val="18"/>
        </w:rPr>
        <w:t>2</w:t>
      </w:r>
      <w:r w:rsidRPr="00B4301D">
        <w:rPr>
          <w:i/>
          <w:sz w:val="18"/>
          <w:szCs w:val="18"/>
        </w:rPr>
        <w:t>.1: Expressivity of Creativity Theme Descriptors</w:t>
      </w:r>
    </w:p>
    <w:p w14:paraId="187F031E" w14:textId="72EEEF7F" w:rsidR="004267A5" w:rsidRPr="00B4301D" w:rsidRDefault="004267A5" w:rsidP="004A2F65">
      <w:pPr>
        <w:rPr>
          <w:b/>
        </w:rPr>
      </w:pPr>
    </w:p>
    <w:p w14:paraId="5366C8C2" w14:textId="7F265463" w:rsidR="007904D4" w:rsidRPr="00B4301D" w:rsidRDefault="007904D4" w:rsidP="004A2F65">
      <w:pPr>
        <w:rPr>
          <w:b/>
        </w:rPr>
      </w:pPr>
      <w:r w:rsidRPr="00B4301D">
        <w:rPr>
          <w:b/>
        </w:rPr>
        <w:t xml:space="preserve">Table </w:t>
      </w:r>
      <w:r w:rsidR="00DE3B7D" w:rsidRPr="00B4301D">
        <w:rPr>
          <w:b/>
        </w:rPr>
        <w:t>2</w:t>
      </w:r>
      <w:r w:rsidRPr="00B4301D">
        <w:rPr>
          <w:b/>
        </w:rPr>
        <w:t>.2: Design Considerations</w:t>
      </w:r>
    </w:p>
    <w:tbl>
      <w:tblPr>
        <w:tblStyle w:val="TableGrid"/>
        <w:tblW w:w="9214" w:type="dxa"/>
        <w:tblInd w:w="-147"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7"/>
        <w:gridCol w:w="1984"/>
        <w:gridCol w:w="5103"/>
      </w:tblGrid>
      <w:tr w:rsidR="00B4301D" w:rsidRPr="00B4301D" w14:paraId="3346AA48" w14:textId="77777777" w:rsidTr="004267A5">
        <w:trPr>
          <w:trHeight w:val="306"/>
        </w:trPr>
        <w:tc>
          <w:tcPr>
            <w:tcW w:w="2127" w:type="dxa"/>
            <w:tcBorders>
              <w:top w:val="single" w:sz="4" w:space="0" w:color="auto"/>
              <w:bottom w:val="nil"/>
            </w:tcBorders>
          </w:tcPr>
          <w:p w14:paraId="19CBBF87" w14:textId="07F6556F" w:rsidR="004267A5" w:rsidRPr="00B4301D" w:rsidRDefault="004267A5" w:rsidP="004267A5">
            <w:pPr>
              <w:rPr>
                <w:rFonts w:cstheme="minorHAnsi"/>
                <w:sz w:val="18"/>
                <w:szCs w:val="18"/>
              </w:rPr>
            </w:pPr>
            <w:r w:rsidRPr="00B4301D">
              <w:rPr>
                <w:rFonts w:cstheme="minorHAnsi"/>
                <w:b/>
                <w:sz w:val="18"/>
                <w:szCs w:val="18"/>
              </w:rPr>
              <w:t>Main Theme</w:t>
            </w:r>
          </w:p>
        </w:tc>
        <w:tc>
          <w:tcPr>
            <w:tcW w:w="1984" w:type="dxa"/>
            <w:tcBorders>
              <w:top w:val="single" w:sz="4" w:space="0" w:color="auto"/>
              <w:bottom w:val="nil"/>
            </w:tcBorders>
          </w:tcPr>
          <w:p w14:paraId="387F6826" w14:textId="10384B42" w:rsidR="004267A5" w:rsidRPr="00B4301D" w:rsidRDefault="004267A5" w:rsidP="004267A5">
            <w:pPr>
              <w:rPr>
                <w:rFonts w:cstheme="minorHAnsi"/>
                <w:sz w:val="18"/>
                <w:szCs w:val="18"/>
              </w:rPr>
            </w:pPr>
            <w:r w:rsidRPr="00B4301D">
              <w:rPr>
                <w:rFonts w:cstheme="minorHAnsi"/>
                <w:b/>
                <w:sz w:val="18"/>
                <w:szCs w:val="18"/>
              </w:rPr>
              <w:t>Sub-Themes</w:t>
            </w:r>
          </w:p>
        </w:tc>
        <w:tc>
          <w:tcPr>
            <w:tcW w:w="5103" w:type="dxa"/>
            <w:tcBorders>
              <w:top w:val="single" w:sz="4" w:space="0" w:color="auto"/>
              <w:bottom w:val="nil"/>
            </w:tcBorders>
          </w:tcPr>
          <w:p w14:paraId="0ACB45EF" w14:textId="5AABE4D6" w:rsidR="004267A5" w:rsidRPr="00B4301D" w:rsidRDefault="004267A5" w:rsidP="004267A5">
            <w:pPr>
              <w:rPr>
                <w:rFonts w:cstheme="minorHAnsi"/>
                <w:sz w:val="18"/>
                <w:szCs w:val="18"/>
              </w:rPr>
            </w:pPr>
            <w:r w:rsidRPr="00B4301D">
              <w:rPr>
                <w:rFonts w:cstheme="minorHAnsi"/>
                <w:b/>
                <w:sz w:val="18"/>
                <w:szCs w:val="18"/>
              </w:rPr>
              <w:t>Description</w:t>
            </w:r>
          </w:p>
        </w:tc>
      </w:tr>
      <w:tr w:rsidR="00B4301D" w:rsidRPr="00B4301D" w14:paraId="3C4632C0" w14:textId="77777777" w:rsidTr="004A2F65">
        <w:trPr>
          <w:trHeight w:val="787"/>
        </w:trPr>
        <w:tc>
          <w:tcPr>
            <w:tcW w:w="2127" w:type="dxa"/>
            <w:tcBorders>
              <w:top w:val="single" w:sz="4" w:space="0" w:color="auto"/>
              <w:bottom w:val="nil"/>
            </w:tcBorders>
          </w:tcPr>
          <w:p w14:paraId="23E4B253" w14:textId="77777777" w:rsidR="004A2F65" w:rsidRPr="00B4301D" w:rsidRDefault="004A2F65" w:rsidP="004A2F65">
            <w:pPr>
              <w:rPr>
                <w:rFonts w:cstheme="minorHAnsi"/>
                <w:sz w:val="18"/>
                <w:szCs w:val="18"/>
              </w:rPr>
            </w:pPr>
            <w:r w:rsidRPr="00B4301D">
              <w:rPr>
                <w:rFonts w:cstheme="minorHAnsi"/>
                <w:sz w:val="18"/>
                <w:szCs w:val="18"/>
              </w:rPr>
              <w:t>Design Considerations</w:t>
            </w:r>
          </w:p>
        </w:tc>
        <w:tc>
          <w:tcPr>
            <w:tcW w:w="1984" w:type="dxa"/>
            <w:tcBorders>
              <w:top w:val="single" w:sz="4" w:space="0" w:color="auto"/>
              <w:bottom w:val="nil"/>
            </w:tcBorders>
          </w:tcPr>
          <w:p w14:paraId="1799E36F" w14:textId="77777777" w:rsidR="004A2F65" w:rsidRPr="00B4301D" w:rsidRDefault="004A2F65" w:rsidP="004A2F65">
            <w:pPr>
              <w:rPr>
                <w:rFonts w:cstheme="minorHAnsi"/>
                <w:sz w:val="18"/>
                <w:szCs w:val="18"/>
              </w:rPr>
            </w:pPr>
            <w:r w:rsidRPr="00B4301D">
              <w:rPr>
                <w:rFonts w:cstheme="minorHAnsi"/>
                <w:sz w:val="18"/>
                <w:szCs w:val="18"/>
              </w:rPr>
              <w:t>Freedom of Play</w:t>
            </w:r>
          </w:p>
        </w:tc>
        <w:tc>
          <w:tcPr>
            <w:tcW w:w="5103" w:type="dxa"/>
            <w:tcBorders>
              <w:top w:val="single" w:sz="4" w:space="0" w:color="auto"/>
              <w:bottom w:val="nil"/>
            </w:tcBorders>
          </w:tcPr>
          <w:p w14:paraId="05B6E588" w14:textId="77777777" w:rsidR="004A2F65" w:rsidRPr="00B4301D" w:rsidRDefault="004A2F65" w:rsidP="004A2F65">
            <w:pPr>
              <w:rPr>
                <w:rFonts w:cstheme="minorHAnsi"/>
                <w:sz w:val="18"/>
                <w:szCs w:val="18"/>
              </w:rPr>
            </w:pPr>
            <w:r w:rsidRPr="00B4301D">
              <w:rPr>
                <w:rFonts w:cstheme="minorHAnsi"/>
                <w:sz w:val="18"/>
                <w:szCs w:val="18"/>
              </w:rPr>
              <w:t>Relates to what a game affords in terms of how players can choose to play (e.g. are there multiple ways of doing something? Is it suited to multiple playstyles?) and how accessible it is to test the boundaries imposed by developers (e.g. what combinations of variables are permitted? Can glitches be found?).</w:t>
            </w:r>
          </w:p>
          <w:p w14:paraId="54903B77" w14:textId="77777777" w:rsidR="004A2F65" w:rsidRPr="00B4301D" w:rsidRDefault="004A2F65" w:rsidP="004A2F65">
            <w:pPr>
              <w:rPr>
                <w:rFonts w:cstheme="minorHAnsi"/>
                <w:sz w:val="18"/>
                <w:szCs w:val="18"/>
              </w:rPr>
            </w:pPr>
          </w:p>
        </w:tc>
      </w:tr>
      <w:tr w:rsidR="00B4301D" w:rsidRPr="00B4301D" w14:paraId="2C572B1C" w14:textId="77777777" w:rsidTr="004A2F65">
        <w:trPr>
          <w:trHeight w:val="787"/>
        </w:trPr>
        <w:tc>
          <w:tcPr>
            <w:tcW w:w="2127" w:type="dxa"/>
            <w:tcBorders>
              <w:top w:val="nil"/>
              <w:bottom w:val="nil"/>
            </w:tcBorders>
          </w:tcPr>
          <w:p w14:paraId="6C15C684" w14:textId="77777777" w:rsidR="004A2F65" w:rsidRPr="00B4301D" w:rsidRDefault="004A2F65" w:rsidP="004A2F65">
            <w:pPr>
              <w:rPr>
                <w:rFonts w:cstheme="minorHAnsi"/>
                <w:sz w:val="18"/>
                <w:szCs w:val="18"/>
              </w:rPr>
            </w:pPr>
          </w:p>
        </w:tc>
        <w:tc>
          <w:tcPr>
            <w:tcW w:w="1984" w:type="dxa"/>
            <w:tcBorders>
              <w:top w:val="nil"/>
              <w:bottom w:val="nil"/>
            </w:tcBorders>
          </w:tcPr>
          <w:p w14:paraId="1A6D9CD5" w14:textId="77777777" w:rsidR="004A2F65" w:rsidRPr="00B4301D" w:rsidRDefault="004A2F65" w:rsidP="004A2F65">
            <w:pPr>
              <w:rPr>
                <w:rFonts w:cstheme="minorHAnsi"/>
                <w:sz w:val="18"/>
                <w:szCs w:val="18"/>
              </w:rPr>
            </w:pPr>
            <w:r w:rsidRPr="00B4301D">
              <w:rPr>
                <w:rFonts w:cstheme="minorHAnsi"/>
                <w:sz w:val="18"/>
                <w:szCs w:val="18"/>
              </w:rPr>
              <w:t>Environment</w:t>
            </w:r>
          </w:p>
        </w:tc>
        <w:tc>
          <w:tcPr>
            <w:tcW w:w="5103" w:type="dxa"/>
            <w:tcBorders>
              <w:top w:val="nil"/>
              <w:bottom w:val="nil"/>
            </w:tcBorders>
          </w:tcPr>
          <w:p w14:paraId="7A2659FD" w14:textId="77777777" w:rsidR="004A2F65" w:rsidRPr="00B4301D" w:rsidRDefault="004A2F65" w:rsidP="004A2F65">
            <w:pPr>
              <w:rPr>
                <w:rFonts w:cstheme="minorHAnsi"/>
                <w:sz w:val="18"/>
                <w:szCs w:val="18"/>
              </w:rPr>
            </w:pPr>
            <w:r w:rsidRPr="00B4301D">
              <w:rPr>
                <w:rFonts w:cstheme="minorHAnsi"/>
                <w:sz w:val="18"/>
                <w:szCs w:val="18"/>
              </w:rPr>
              <w:t>Includes opportunities to interact with the environment such as being able to utilise terrain and environmental objects, as well as opportunities to explore.</w:t>
            </w:r>
          </w:p>
        </w:tc>
      </w:tr>
      <w:tr w:rsidR="00B4301D" w:rsidRPr="00B4301D" w14:paraId="2E52E0DA" w14:textId="77777777" w:rsidTr="004A2F65">
        <w:trPr>
          <w:trHeight w:val="787"/>
        </w:trPr>
        <w:tc>
          <w:tcPr>
            <w:tcW w:w="2127" w:type="dxa"/>
            <w:tcBorders>
              <w:top w:val="nil"/>
              <w:bottom w:val="nil"/>
            </w:tcBorders>
          </w:tcPr>
          <w:p w14:paraId="271D8FBD" w14:textId="77777777" w:rsidR="004A2F65" w:rsidRPr="00B4301D" w:rsidRDefault="004A2F65" w:rsidP="004A2F65">
            <w:pPr>
              <w:rPr>
                <w:rFonts w:cstheme="minorHAnsi"/>
                <w:sz w:val="18"/>
                <w:szCs w:val="18"/>
              </w:rPr>
            </w:pPr>
          </w:p>
        </w:tc>
        <w:tc>
          <w:tcPr>
            <w:tcW w:w="1984" w:type="dxa"/>
            <w:tcBorders>
              <w:top w:val="nil"/>
              <w:bottom w:val="nil"/>
            </w:tcBorders>
          </w:tcPr>
          <w:p w14:paraId="342012D6" w14:textId="77777777" w:rsidR="004A2F65" w:rsidRPr="00B4301D" w:rsidRDefault="004A2F65" w:rsidP="004A2F65">
            <w:pPr>
              <w:rPr>
                <w:rFonts w:cstheme="minorHAnsi"/>
                <w:sz w:val="18"/>
                <w:szCs w:val="18"/>
              </w:rPr>
            </w:pPr>
            <w:proofErr w:type="spellStart"/>
            <w:r w:rsidRPr="00B4301D">
              <w:rPr>
                <w:rFonts w:cstheme="minorHAnsi"/>
                <w:sz w:val="18"/>
                <w:szCs w:val="18"/>
              </w:rPr>
              <w:t>Replayability</w:t>
            </w:r>
            <w:proofErr w:type="spellEnd"/>
          </w:p>
        </w:tc>
        <w:tc>
          <w:tcPr>
            <w:tcW w:w="5103" w:type="dxa"/>
            <w:tcBorders>
              <w:top w:val="nil"/>
              <w:bottom w:val="nil"/>
            </w:tcBorders>
          </w:tcPr>
          <w:p w14:paraId="4D7F7907" w14:textId="77777777" w:rsidR="004A2F65" w:rsidRPr="00B4301D" w:rsidRDefault="004A2F65" w:rsidP="004A2F65">
            <w:pPr>
              <w:rPr>
                <w:rFonts w:cstheme="minorHAnsi"/>
                <w:sz w:val="18"/>
                <w:szCs w:val="18"/>
              </w:rPr>
            </w:pPr>
            <w:r w:rsidRPr="00B4301D">
              <w:rPr>
                <w:rFonts w:cstheme="minorHAnsi"/>
                <w:sz w:val="18"/>
                <w:szCs w:val="18"/>
              </w:rPr>
              <w:t>Encompasses what possibilities for replay there is (e.g. are there different endings? Can the game be played differently on each playthrough? Can each playthrough be a different experience?).</w:t>
            </w:r>
          </w:p>
        </w:tc>
      </w:tr>
      <w:tr w:rsidR="00B4301D" w:rsidRPr="00B4301D" w14:paraId="795B41B7" w14:textId="77777777" w:rsidTr="004A2F65">
        <w:trPr>
          <w:trHeight w:val="787"/>
        </w:trPr>
        <w:tc>
          <w:tcPr>
            <w:tcW w:w="2127" w:type="dxa"/>
            <w:tcBorders>
              <w:top w:val="nil"/>
              <w:bottom w:val="nil"/>
            </w:tcBorders>
          </w:tcPr>
          <w:p w14:paraId="3C88E6D5" w14:textId="77777777" w:rsidR="004A2F65" w:rsidRPr="00B4301D" w:rsidRDefault="004A2F65" w:rsidP="004A2F65">
            <w:pPr>
              <w:rPr>
                <w:rFonts w:cstheme="minorHAnsi"/>
                <w:sz w:val="18"/>
                <w:szCs w:val="18"/>
              </w:rPr>
            </w:pPr>
          </w:p>
        </w:tc>
        <w:tc>
          <w:tcPr>
            <w:tcW w:w="1984" w:type="dxa"/>
            <w:tcBorders>
              <w:top w:val="nil"/>
              <w:bottom w:val="nil"/>
            </w:tcBorders>
          </w:tcPr>
          <w:p w14:paraId="6B0C58D6" w14:textId="77777777" w:rsidR="004A2F65" w:rsidRPr="00B4301D" w:rsidRDefault="004A2F65" w:rsidP="004A2F65">
            <w:pPr>
              <w:rPr>
                <w:rFonts w:cstheme="minorHAnsi"/>
                <w:sz w:val="18"/>
                <w:szCs w:val="18"/>
              </w:rPr>
            </w:pPr>
            <w:r w:rsidRPr="00B4301D">
              <w:rPr>
                <w:rFonts w:cstheme="minorHAnsi"/>
                <w:sz w:val="18"/>
                <w:szCs w:val="18"/>
              </w:rPr>
              <w:t>Tools</w:t>
            </w:r>
          </w:p>
        </w:tc>
        <w:tc>
          <w:tcPr>
            <w:tcW w:w="5103" w:type="dxa"/>
            <w:tcBorders>
              <w:top w:val="nil"/>
              <w:bottom w:val="nil"/>
            </w:tcBorders>
          </w:tcPr>
          <w:p w14:paraId="53B8F351" w14:textId="4E2CEA9B" w:rsidR="004A2F65" w:rsidRPr="00B4301D" w:rsidRDefault="004A2F65" w:rsidP="004A2F65">
            <w:pPr>
              <w:rPr>
                <w:rFonts w:cstheme="minorHAnsi"/>
                <w:sz w:val="18"/>
                <w:szCs w:val="18"/>
              </w:rPr>
            </w:pPr>
            <w:r w:rsidRPr="00B4301D">
              <w:rPr>
                <w:rFonts w:cstheme="minorHAnsi"/>
                <w:sz w:val="18"/>
                <w:szCs w:val="18"/>
              </w:rPr>
              <w:t>Relates to affor</w:t>
            </w:r>
            <w:r w:rsidR="00DE3B7D" w:rsidRPr="00B4301D">
              <w:rPr>
                <w:rFonts w:cstheme="minorHAnsi"/>
                <w:sz w:val="18"/>
                <w:szCs w:val="18"/>
              </w:rPr>
              <w:t>d</w:t>
            </w:r>
            <w:r w:rsidRPr="00B4301D">
              <w:rPr>
                <w:rFonts w:cstheme="minorHAnsi"/>
                <w:sz w:val="18"/>
                <w:szCs w:val="18"/>
              </w:rPr>
              <w:t>ances for the use of different types of tools. This includes weapons, abilities, controls and items.</w:t>
            </w:r>
          </w:p>
        </w:tc>
      </w:tr>
      <w:tr w:rsidR="00B4301D" w:rsidRPr="00B4301D" w14:paraId="1571CBAC" w14:textId="77777777" w:rsidTr="004A2F65">
        <w:trPr>
          <w:trHeight w:val="787"/>
        </w:trPr>
        <w:tc>
          <w:tcPr>
            <w:tcW w:w="2127" w:type="dxa"/>
            <w:tcBorders>
              <w:top w:val="nil"/>
              <w:bottom w:val="nil"/>
            </w:tcBorders>
          </w:tcPr>
          <w:p w14:paraId="3CF4FAC6" w14:textId="77777777" w:rsidR="004A2F65" w:rsidRPr="00B4301D" w:rsidRDefault="004A2F65" w:rsidP="004A2F65">
            <w:pPr>
              <w:rPr>
                <w:rFonts w:cstheme="minorHAnsi"/>
                <w:sz w:val="18"/>
                <w:szCs w:val="18"/>
              </w:rPr>
            </w:pPr>
          </w:p>
        </w:tc>
        <w:tc>
          <w:tcPr>
            <w:tcW w:w="1984" w:type="dxa"/>
            <w:tcBorders>
              <w:top w:val="nil"/>
              <w:bottom w:val="nil"/>
            </w:tcBorders>
          </w:tcPr>
          <w:p w14:paraId="1D4549FC" w14:textId="77777777" w:rsidR="004A2F65" w:rsidRPr="00B4301D" w:rsidRDefault="004A2F65" w:rsidP="004A2F65">
            <w:pPr>
              <w:rPr>
                <w:rFonts w:cstheme="minorHAnsi"/>
                <w:sz w:val="18"/>
                <w:szCs w:val="18"/>
              </w:rPr>
            </w:pPr>
            <w:r w:rsidRPr="00B4301D">
              <w:rPr>
                <w:rFonts w:cstheme="minorHAnsi"/>
                <w:sz w:val="18"/>
                <w:szCs w:val="18"/>
              </w:rPr>
              <w:t>Avatar</w:t>
            </w:r>
          </w:p>
        </w:tc>
        <w:tc>
          <w:tcPr>
            <w:tcW w:w="5103" w:type="dxa"/>
            <w:tcBorders>
              <w:top w:val="nil"/>
              <w:bottom w:val="nil"/>
            </w:tcBorders>
          </w:tcPr>
          <w:p w14:paraId="06340A0A" w14:textId="77777777" w:rsidR="004A2F65" w:rsidRPr="00B4301D" w:rsidRDefault="004A2F65" w:rsidP="004A2F65">
            <w:pPr>
              <w:rPr>
                <w:rFonts w:cstheme="minorHAnsi"/>
                <w:sz w:val="18"/>
                <w:szCs w:val="18"/>
              </w:rPr>
            </w:pPr>
            <w:r w:rsidRPr="00B4301D">
              <w:rPr>
                <w:rFonts w:cstheme="minorHAnsi"/>
                <w:sz w:val="18"/>
                <w:szCs w:val="18"/>
              </w:rPr>
              <w:t>Relates to what possibilities there are for avatar and character customisation, such as appearance, personality, dialogue options and classes.</w:t>
            </w:r>
          </w:p>
        </w:tc>
      </w:tr>
      <w:tr w:rsidR="00B4301D" w:rsidRPr="00B4301D" w14:paraId="22F7A175" w14:textId="77777777" w:rsidTr="004A2F65">
        <w:trPr>
          <w:trHeight w:val="787"/>
        </w:trPr>
        <w:tc>
          <w:tcPr>
            <w:tcW w:w="2127" w:type="dxa"/>
            <w:tcBorders>
              <w:top w:val="nil"/>
              <w:bottom w:val="single" w:sz="4" w:space="0" w:color="auto"/>
            </w:tcBorders>
          </w:tcPr>
          <w:p w14:paraId="499F3523" w14:textId="77777777" w:rsidR="004A2F65" w:rsidRPr="00B4301D" w:rsidRDefault="004A2F65" w:rsidP="004A2F65">
            <w:pPr>
              <w:rPr>
                <w:rFonts w:cstheme="minorHAnsi"/>
                <w:sz w:val="18"/>
                <w:szCs w:val="18"/>
              </w:rPr>
            </w:pPr>
          </w:p>
        </w:tc>
        <w:tc>
          <w:tcPr>
            <w:tcW w:w="1984" w:type="dxa"/>
            <w:tcBorders>
              <w:top w:val="nil"/>
              <w:bottom w:val="single" w:sz="4" w:space="0" w:color="auto"/>
            </w:tcBorders>
          </w:tcPr>
          <w:p w14:paraId="7BC66DA2" w14:textId="77777777" w:rsidR="004A2F65" w:rsidRPr="00B4301D" w:rsidRDefault="004A2F65" w:rsidP="004A2F65">
            <w:pPr>
              <w:rPr>
                <w:rFonts w:cstheme="minorHAnsi"/>
                <w:sz w:val="18"/>
                <w:szCs w:val="18"/>
              </w:rPr>
            </w:pPr>
            <w:r w:rsidRPr="00B4301D">
              <w:rPr>
                <w:rFonts w:cstheme="minorHAnsi"/>
                <w:sz w:val="18"/>
                <w:szCs w:val="18"/>
              </w:rPr>
              <w:t>Creation</w:t>
            </w:r>
          </w:p>
        </w:tc>
        <w:tc>
          <w:tcPr>
            <w:tcW w:w="5103" w:type="dxa"/>
            <w:tcBorders>
              <w:top w:val="nil"/>
              <w:bottom w:val="single" w:sz="4" w:space="0" w:color="auto"/>
            </w:tcBorders>
          </w:tcPr>
          <w:p w14:paraId="0668CB9A" w14:textId="77777777" w:rsidR="004A2F65" w:rsidRPr="00B4301D" w:rsidRDefault="004A2F65" w:rsidP="004A2F65">
            <w:pPr>
              <w:rPr>
                <w:rFonts w:cstheme="minorHAnsi"/>
                <w:sz w:val="18"/>
                <w:szCs w:val="18"/>
              </w:rPr>
            </w:pPr>
            <w:r w:rsidRPr="00B4301D">
              <w:rPr>
                <w:rFonts w:cstheme="minorHAnsi"/>
                <w:sz w:val="18"/>
                <w:szCs w:val="18"/>
              </w:rPr>
              <w:t>Relates to what considerations there are for creating in-game content such as building or crafting things. Additionally, what possibilities there are for creating and integrating mods and add-ons.</w:t>
            </w:r>
          </w:p>
          <w:p w14:paraId="7D578E36" w14:textId="77777777" w:rsidR="004A2F65" w:rsidRPr="00B4301D" w:rsidRDefault="004A2F65" w:rsidP="004A2F65">
            <w:pPr>
              <w:rPr>
                <w:rFonts w:cstheme="minorHAnsi"/>
                <w:sz w:val="18"/>
                <w:szCs w:val="18"/>
              </w:rPr>
            </w:pPr>
          </w:p>
        </w:tc>
      </w:tr>
    </w:tbl>
    <w:p w14:paraId="5CFA27B7" w14:textId="2827018A" w:rsidR="001B204A" w:rsidRPr="00B4301D" w:rsidRDefault="004267A5" w:rsidP="00121A9E">
      <w:pPr>
        <w:rPr>
          <w:i/>
          <w:sz w:val="18"/>
          <w:szCs w:val="18"/>
        </w:rPr>
      </w:pPr>
      <w:r w:rsidRPr="00B4301D">
        <w:rPr>
          <w:i/>
          <w:sz w:val="18"/>
          <w:szCs w:val="18"/>
        </w:rPr>
        <w:t xml:space="preserve">Table </w:t>
      </w:r>
      <w:r w:rsidR="00DE3B7D" w:rsidRPr="00B4301D">
        <w:rPr>
          <w:i/>
          <w:sz w:val="18"/>
          <w:szCs w:val="18"/>
        </w:rPr>
        <w:t>2</w:t>
      </w:r>
      <w:r w:rsidRPr="00B4301D">
        <w:rPr>
          <w:i/>
          <w:sz w:val="18"/>
          <w:szCs w:val="18"/>
        </w:rPr>
        <w:t>.2: Design Consideration Theme Descriptors</w:t>
      </w:r>
    </w:p>
    <w:p w14:paraId="3CE4DA5E" w14:textId="77777777" w:rsidR="00121A9E" w:rsidRPr="00B4301D" w:rsidRDefault="00121A9E" w:rsidP="00121A9E">
      <w:pPr>
        <w:rPr>
          <w:i/>
          <w:sz w:val="18"/>
          <w:szCs w:val="18"/>
        </w:rPr>
      </w:pPr>
    </w:p>
    <w:p w14:paraId="628A529E" w14:textId="195E9801" w:rsidR="00664C06" w:rsidRPr="00B4301D" w:rsidRDefault="003B4958" w:rsidP="00D52861">
      <w:pPr>
        <w:pStyle w:val="Heading2"/>
        <w:spacing w:line="360" w:lineRule="auto"/>
        <w:rPr>
          <w:color w:val="auto"/>
        </w:rPr>
      </w:pPr>
      <w:r w:rsidRPr="00B4301D">
        <w:rPr>
          <w:color w:val="auto"/>
        </w:rPr>
        <w:t>3.</w:t>
      </w:r>
      <w:r w:rsidR="00E86E75" w:rsidRPr="00B4301D">
        <w:rPr>
          <w:color w:val="auto"/>
        </w:rPr>
        <w:t>1.</w:t>
      </w:r>
      <w:r w:rsidRPr="00B4301D">
        <w:rPr>
          <w:color w:val="auto"/>
        </w:rPr>
        <w:t xml:space="preserve"> </w:t>
      </w:r>
      <w:r w:rsidR="00664C06" w:rsidRPr="00B4301D">
        <w:rPr>
          <w:color w:val="auto"/>
        </w:rPr>
        <w:t>Creativity as Problem-Solving</w:t>
      </w:r>
    </w:p>
    <w:p w14:paraId="4CE6D71E" w14:textId="55D4D8AE" w:rsidR="00E00DAE" w:rsidRPr="00B4301D" w:rsidRDefault="00664C06" w:rsidP="00CE74C2">
      <w:pPr>
        <w:spacing w:line="360" w:lineRule="auto"/>
      </w:pPr>
      <w:r w:rsidRPr="00B4301D">
        <w:t>Creativity as problem-solving was</w:t>
      </w:r>
      <w:r w:rsidR="00E00DAE" w:rsidRPr="00B4301D">
        <w:t xml:space="preserve"> a deductive theme identified originally from the literature review and </w:t>
      </w:r>
      <w:r w:rsidR="00551704" w:rsidRPr="00B4301D">
        <w:t>centred</w:t>
      </w:r>
      <w:r w:rsidR="00E00DAE" w:rsidRPr="00B4301D">
        <w:t xml:space="preserve"> around the novel ways in which players were able to overcome ill-structured game challenges. </w:t>
      </w:r>
      <w:r w:rsidR="004A71AB" w:rsidRPr="00B4301D">
        <w:t xml:space="preserve">The most common method for inventing such strategies was through a “trial and error” approach whereby participants would test various tactics or strategies to </w:t>
      </w:r>
      <w:r w:rsidR="00412239" w:rsidRPr="00B4301D">
        <w:t>determine</w:t>
      </w:r>
      <w:r w:rsidR="004A71AB" w:rsidRPr="00B4301D">
        <w:t xml:space="preserve"> which </w:t>
      </w:r>
      <w:r w:rsidR="00412239" w:rsidRPr="00B4301D">
        <w:t>are successful</w:t>
      </w:r>
      <w:r w:rsidR="004A71AB" w:rsidRPr="00B4301D">
        <w:t xml:space="preserve">.  </w:t>
      </w:r>
    </w:p>
    <w:p w14:paraId="3BF607EF" w14:textId="33F846FB" w:rsidR="00412239" w:rsidRPr="00B4301D" w:rsidRDefault="00412239" w:rsidP="00D528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567" w:right="567"/>
        <w:jc w:val="both"/>
        <w:rPr>
          <w:rFonts w:cstheme="minorHAnsi"/>
          <w:sz w:val="20"/>
          <w:szCs w:val="20"/>
        </w:rPr>
      </w:pPr>
      <w:r w:rsidRPr="00B4301D">
        <w:rPr>
          <w:rFonts w:cstheme="minorHAnsi"/>
          <w:sz w:val="20"/>
          <w:szCs w:val="20"/>
        </w:rPr>
        <w:t>“</w:t>
      </w:r>
      <w:r w:rsidR="008500CD" w:rsidRPr="00B4301D">
        <w:rPr>
          <w:rFonts w:cstheme="minorHAnsi"/>
          <w:sz w:val="20"/>
          <w:szCs w:val="20"/>
        </w:rPr>
        <w:t>I tend to invent stuff first. So, I would see what works and what didn’t, and then continue with what works, a bit of a process of elimination.”</w:t>
      </w:r>
      <w:r w:rsidRPr="00B4301D">
        <w:rPr>
          <w:rFonts w:cstheme="minorHAnsi"/>
          <w:sz w:val="20"/>
          <w:szCs w:val="20"/>
        </w:rPr>
        <w:t xml:space="preserve">– </w:t>
      </w:r>
      <w:r w:rsidR="000A768C" w:rsidRPr="00B4301D">
        <w:rPr>
          <w:rFonts w:cstheme="minorHAnsi"/>
          <w:sz w:val="20"/>
          <w:szCs w:val="20"/>
        </w:rPr>
        <w:t>Female</w:t>
      </w:r>
      <w:r w:rsidRPr="00B4301D">
        <w:rPr>
          <w:rFonts w:cstheme="minorHAnsi"/>
          <w:sz w:val="20"/>
          <w:szCs w:val="20"/>
        </w:rPr>
        <w:t xml:space="preserve">, </w:t>
      </w:r>
      <w:r w:rsidR="008500CD" w:rsidRPr="00B4301D">
        <w:rPr>
          <w:rFonts w:cstheme="minorHAnsi"/>
          <w:sz w:val="20"/>
          <w:szCs w:val="20"/>
        </w:rPr>
        <w:t>29</w:t>
      </w:r>
      <w:r w:rsidRPr="00B4301D">
        <w:rPr>
          <w:rFonts w:cstheme="minorHAnsi"/>
          <w:sz w:val="20"/>
          <w:szCs w:val="20"/>
        </w:rPr>
        <w:t xml:space="preserve"> (Interview)</w:t>
      </w:r>
    </w:p>
    <w:p w14:paraId="442C33A0" w14:textId="1781219B" w:rsidR="007355AC" w:rsidRPr="00B4301D" w:rsidRDefault="00412239" w:rsidP="00CE74C2">
      <w:pPr>
        <w:spacing w:line="360" w:lineRule="auto"/>
      </w:pPr>
      <w:r w:rsidRPr="00B4301D">
        <w:t>This approach to overcoming challenges involved a significant amount of practising and refining</w:t>
      </w:r>
      <w:r w:rsidR="007355AC" w:rsidRPr="00B4301D">
        <w:t>. After an initial reflection on the outcome of the actions, participants described refining their strategies and forming hypothes</w:t>
      </w:r>
      <w:r w:rsidR="00E56A27" w:rsidRPr="00B4301D">
        <w:t>es</w:t>
      </w:r>
      <w:r w:rsidR="007355AC" w:rsidRPr="00B4301D">
        <w:t xml:space="preserve"> </w:t>
      </w:r>
      <w:r w:rsidR="00364A99" w:rsidRPr="00B4301D">
        <w:t xml:space="preserve">about </w:t>
      </w:r>
      <w:r w:rsidR="007355AC" w:rsidRPr="00B4301D">
        <w:t>which combination of actions may be fruitful</w:t>
      </w:r>
      <w:r w:rsidR="00961730" w:rsidRPr="00B4301D">
        <w:t>: “you kind of almost pick apart what you did right and what you did wrong and then have another go and refine it and refine it” (male, 41, interview)</w:t>
      </w:r>
      <w:r w:rsidR="007355AC" w:rsidRPr="00B4301D">
        <w:t>.</w:t>
      </w:r>
      <w:r w:rsidRPr="00B4301D">
        <w:t xml:space="preserve"> </w:t>
      </w:r>
    </w:p>
    <w:p w14:paraId="3FB6155B" w14:textId="3975C3CE" w:rsidR="001522ED" w:rsidRPr="00B4301D" w:rsidRDefault="005D51AC" w:rsidP="00CE74C2">
      <w:pPr>
        <w:spacing w:line="360" w:lineRule="auto"/>
        <w:ind w:firstLine="567"/>
      </w:pPr>
      <w:r w:rsidRPr="00B4301D">
        <w:t>Participants stated that they always preferred to “</w:t>
      </w:r>
      <w:r w:rsidR="00961730" w:rsidRPr="00B4301D">
        <w:t xml:space="preserve">give it a good go to </w:t>
      </w:r>
      <w:r w:rsidRPr="00B4301D">
        <w:t xml:space="preserve">work </w:t>
      </w:r>
      <w:r w:rsidR="00961730" w:rsidRPr="00B4301D">
        <w:t>it out</w:t>
      </w:r>
      <w:r w:rsidRPr="00B4301D">
        <w:t>”</w:t>
      </w:r>
      <w:r w:rsidR="00961730" w:rsidRPr="00B4301D">
        <w:t xml:space="preserve"> (male, 31, interview)</w:t>
      </w:r>
      <w:r w:rsidRPr="00B4301D">
        <w:t xml:space="preserve"> and felt a sense of achievement when they finally figured out the correct strategy.</w:t>
      </w:r>
      <w:r w:rsidR="00603C2C" w:rsidRPr="00B4301D">
        <w:t xml:space="preserve"> As one participant describes upon managing to beat a difficult monster in </w:t>
      </w:r>
      <w:r w:rsidR="00603C2C" w:rsidRPr="00B4301D">
        <w:rPr>
          <w:i/>
        </w:rPr>
        <w:t xml:space="preserve">Legend of Zelda: Breath of the Wild </w:t>
      </w:r>
      <w:r w:rsidR="00603C2C" w:rsidRPr="00B4301D">
        <w:rPr>
          <w:i/>
        </w:rPr>
        <w:fldChar w:fldCharType="begin" w:fldLock="1"/>
      </w:r>
      <w:r w:rsidR="00357F49" w:rsidRPr="00B4301D">
        <w:rPr>
          <w:i/>
        </w:rPr>
        <w:instrText>ADDIN CSL_CITATION {"citationItems":[{"id":"ITEM-1","itemData":{"author":[{"dropping-particle":"","family":"Nintendo","given":"","non-dropping-particle":"","parse-names":false,"suffix":""}],"container-title":"Nintendo","id":"ITEM-1","issued":{"date-parts":[["2017"]]},"title":"Legend of Zelda: Breath of the Wild","type":"article-journal"},"uris":["http://www.mendeley.com/documents/?uuid=977e60a7-2a42-4573-8236-a27dc5dc32d9"]}],"mendeley":{"formattedCitation":"(Nintendo, 2017)","plainTextFormattedCitation":"(Nintendo, 2017)","previouslyFormattedCitation":"(Nintendo, 2017)"},"properties":{"noteIndex":0},"schema":"https://github.com/citation-style-language/schema/raw/master/csl-citation.json"}</w:instrText>
      </w:r>
      <w:r w:rsidR="00603C2C" w:rsidRPr="00B4301D">
        <w:rPr>
          <w:i/>
        </w:rPr>
        <w:fldChar w:fldCharType="separate"/>
      </w:r>
      <w:r w:rsidR="00603C2C" w:rsidRPr="00B4301D">
        <w:rPr>
          <w:noProof/>
        </w:rPr>
        <w:t>(Nintendo, 2017)</w:t>
      </w:r>
      <w:r w:rsidR="00603C2C" w:rsidRPr="00B4301D">
        <w:rPr>
          <w:i/>
        </w:rPr>
        <w:fldChar w:fldCharType="end"/>
      </w:r>
      <w:r w:rsidR="00603C2C" w:rsidRPr="00B4301D">
        <w:t>:</w:t>
      </w:r>
    </w:p>
    <w:p w14:paraId="17EE076B" w14:textId="593F4D5E" w:rsidR="008A789C" w:rsidRPr="00B4301D" w:rsidRDefault="00603C2C" w:rsidP="00D528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ind w:left="567" w:right="567"/>
        <w:jc w:val="both"/>
        <w:rPr>
          <w:rFonts w:ascii="Verdana" w:hAnsi="Verdana" w:cs="Verdana"/>
          <w:sz w:val="20"/>
          <w:szCs w:val="20"/>
        </w:rPr>
      </w:pPr>
      <w:r w:rsidRPr="00B4301D">
        <w:rPr>
          <w:rFonts w:cstheme="minorHAnsi"/>
          <w:sz w:val="20"/>
          <w:szCs w:val="20"/>
        </w:rPr>
        <w:t>“You can work out ways to compensate for the fact that you’ve only got really a crappy weapon and use your environment around you to work it out. And I managed to figure out a way to chip away at this massive beast thing, kill it, and I was so proud of myself.”</w:t>
      </w:r>
      <w:r w:rsidRPr="00B4301D">
        <w:rPr>
          <w:rFonts w:ascii="Verdana" w:hAnsi="Verdana" w:cs="Verdana"/>
          <w:sz w:val="20"/>
          <w:szCs w:val="20"/>
        </w:rPr>
        <w:t xml:space="preserve"> </w:t>
      </w:r>
      <w:r w:rsidRPr="00B4301D">
        <w:rPr>
          <w:rFonts w:cstheme="minorHAnsi"/>
          <w:sz w:val="20"/>
          <w:szCs w:val="20"/>
        </w:rPr>
        <w:t>– Female, 31 (Interview)</w:t>
      </w:r>
    </w:p>
    <w:p w14:paraId="75649CD6" w14:textId="085F18D3" w:rsidR="00603C2C" w:rsidRPr="00B4301D" w:rsidRDefault="00603C2C" w:rsidP="00CE74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20" w:after="0" w:line="360" w:lineRule="auto"/>
        <w:ind w:right="567"/>
        <w:jc w:val="both"/>
        <w:rPr>
          <w:rFonts w:cstheme="minorHAnsi"/>
        </w:rPr>
      </w:pPr>
      <w:r w:rsidRPr="00B4301D">
        <w:rPr>
          <w:rFonts w:cstheme="minorHAnsi"/>
        </w:rPr>
        <w:t xml:space="preserve">The sense of discovery of </w:t>
      </w:r>
      <w:r w:rsidR="008A789C" w:rsidRPr="00B4301D">
        <w:rPr>
          <w:rFonts w:cstheme="minorHAnsi"/>
        </w:rPr>
        <w:t>“</w:t>
      </w:r>
      <w:r w:rsidRPr="00B4301D">
        <w:rPr>
          <w:rFonts w:cstheme="minorHAnsi"/>
        </w:rPr>
        <w:t>working it out</w:t>
      </w:r>
      <w:r w:rsidR="008A789C" w:rsidRPr="00B4301D">
        <w:rPr>
          <w:rFonts w:cstheme="minorHAnsi"/>
        </w:rPr>
        <w:t>”</w:t>
      </w:r>
      <w:r w:rsidRPr="00B4301D">
        <w:rPr>
          <w:rFonts w:cstheme="minorHAnsi"/>
        </w:rPr>
        <w:t xml:space="preserve"> often added to the overall enjoyment, suggesting taking an active role in the reflection and refinement process was a source of fun. </w:t>
      </w:r>
    </w:p>
    <w:p w14:paraId="7E37529A" w14:textId="3E5B2E67" w:rsidR="008A789C" w:rsidRPr="00B4301D" w:rsidRDefault="008A789C" w:rsidP="00CE74C2">
      <w:pPr>
        <w:spacing w:line="360" w:lineRule="auto"/>
        <w:ind w:firstLine="720"/>
      </w:pPr>
      <w:r w:rsidRPr="00B4301D">
        <w:t xml:space="preserve">In addition to the instances of solo creativity mentioned, participants also cited times when they created strategies as part of a team effort. This included instances </w:t>
      </w:r>
      <w:r w:rsidR="00F26D16" w:rsidRPr="00B4301D">
        <w:t xml:space="preserve">of </w:t>
      </w:r>
      <w:r w:rsidRPr="00B4301D">
        <w:t xml:space="preserve">playing with friends, relatives or as part of gaming guilds/clans. In reference to </w:t>
      </w:r>
      <w:r w:rsidR="00F26D16" w:rsidRPr="00B4301D">
        <w:t>Massively Multiplayer Online Games (</w:t>
      </w:r>
      <w:r w:rsidRPr="00B4301D">
        <w:t>MMO</w:t>
      </w:r>
      <w:r w:rsidR="00F26D16" w:rsidRPr="00B4301D">
        <w:t>’s)</w:t>
      </w:r>
      <w:r w:rsidRPr="00B4301D">
        <w:t>, participants often cited negotiating strategies and engaging in co-creativity with other team members. As one participant put it:</w:t>
      </w:r>
    </w:p>
    <w:p w14:paraId="2B68E56B" w14:textId="0B27359E" w:rsidR="008A789C" w:rsidRPr="00B4301D" w:rsidRDefault="008A789C" w:rsidP="00D528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567" w:right="567"/>
        <w:jc w:val="both"/>
        <w:rPr>
          <w:rFonts w:cstheme="minorHAnsi"/>
          <w:sz w:val="20"/>
          <w:szCs w:val="20"/>
        </w:rPr>
      </w:pPr>
      <w:r w:rsidRPr="00B4301D">
        <w:rPr>
          <w:rFonts w:cstheme="minorHAnsi"/>
          <w:sz w:val="20"/>
          <w:szCs w:val="20"/>
        </w:rPr>
        <w:lastRenderedPageBreak/>
        <w:t>“</w:t>
      </w:r>
      <w:r w:rsidR="00A84823" w:rsidRPr="00B4301D">
        <w:rPr>
          <w:rFonts w:cstheme="minorHAnsi"/>
          <w:sz w:val="20"/>
          <w:szCs w:val="20"/>
        </w:rPr>
        <w:t>[I was] randomly put together with a squad where we had a good teamplay dynamic…</w:t>
      </w:r>
      <w:r w:rsidR="00A84823" w:rsidRPr="00B4301D">
        <w:t>i</w:t>
      </w:r>
      <w:r w:rsidR="00A84823" w:rsidRPr="00B4301D">
        <w:rPr>
          <w:rFonts w:cstheme="minorHAnsi"/>
          <w:sz w:val="20"/>
          <w:szCs w:val="20"/>
        </w:rPr>
        <w:t>t made the game more fun. We performed very well together. Some of the guys were on voice chat too and despite speaking different languages we were able to joke around some in each other's languages too</w:t>
      </w:r>
      <w:r w:rsidRPr="00B4301D">
        <w:rPr>
          <w:rFonts w:cstheme="minorHAnsi"/>
          <w:sz w:val="20"/>
          <w:szCs w:val="20"/>
        </w:rPr>
        <w:t>” – Male, 2</w:t>
      </w:r>
      <w:r w:rsidR="00A84823" w:rsidRPr="00B4301D">
        <w:rPr>
          <w:rFonts w:cstheme="minorHAnsi"/>
          <w:sz w:val="20"/>
          <w:szCs w:val="20"/>
        </w:rPr>
        <w:t>8</w:t>
      </w:r>
      <w:r w:rsidRPr="00B4301D">
        <w:rPr>
          <w:rFonts w:cstheme="minorHAnsi"/>
          <w:sz w:val="20"/>
          <w:szCs w:val="20"/>
        </w:rPr>
        <w:t xml:space="preserve"> (</w:t>
      </w:r>
      <w:r w:rsidR="00A84823" w:rsidRPr="00B4301D">
        <w:rPr>
          <w:rFonts w:cstheme="minorHAnsi"/>
          <w:sz w:val="20"/>
          <w:szCs w:val="20"/>
        </w:rPr>
        <w:t>Narrative Survey</w:t>
      </w:r>
      <w:r w:rsidRPr="00B4301D">
        <w:rPr>
          <w:rFonts w:cstheme="minorHAnsi"/>
          <w:sz w:val="20"/>
          <w:szCs w:val="20"/>
        </w:rPr>
        <w:t>)</w:t>
      </w:r>
    </w:p>
    <w:p w14:paraId="222C4777" w14:textId="5B3C873D" w:rsidR="00767D0B" w:rsidRPr="00B4301D" w:rsidRDefault="008A789C" w:rsidP="00CE74C2">
      <w:pPr>
        <w:spacing w:line="360" w:lineRule="auto"/>
        <w:ind w:firstLine="567"/>
      </w:pPr>
      <w:r w:rsidRPr="00B4301D">
        <w:rPr>
          <w:rFonts w:cstheme="minorHAnsi"/>
        </w:rPr>
        <w:t>While the creation of novel strategies was an existing theme identified from the current literature,</w:t>
      </w:r>
      <w:r w:rsidRPr="00B4301D">
        <w:rPr>
          <w:rFonts w:ascii="Verdana" w:hAnsi="Verdana" w:cs="Verdana"/>
          <w:sz w:val="20"/>
          <w:szCs w:val="20"/>
        </w:rPr>
        <w:t xml:space="preserve"> </w:t>
      </w:r>
      <w:r w:rsidR="00364A99" w:rsidRPr="00B4301D">
        <w:t xml:space="preserve">one </w:t>
      </w:r>
      <w:r w:rsidR="00767D0B" w:rsidRPr="00B4301D">
        <w:t xml:space="preserve">area of creativity in relation to problem-solving </w:t>
      </w:r>
      <w:r w:rsidR="00364A99" w:rsidRPr="00B4301D">
        <w:t>that has not been identified previously</w:t>
      </w:r>
      <w:r w:rsidR="008D226D" w:rsidRPr="00B4301D">
        <w:t xml:space="preserve"> in relation to creativity</w:t>
      </w:r>
      <w:r w:rsidR="00364A99" w:rsidRPr="00B4301D">
        <w:t xml:space="preserve"> relates to </w:t>
      </w:r>
      <w:r w:rsidR="00767D0B" w:rsidRPr="00B4301D">
        <w:t>how player</w:t>
      </w:r>
      <w:r w:rsidR="00364A99" w:rsidRPr="00B4301D">
        <w:t>s</w:t>
      </w:r>
      <w:r w:rsidR="00767D0B" w:rsidRPr="00B4301D">
        <w:t xml:space="preserve"> plan and approach various gaming issues. Unlike in the instances where participants created strategies via reflection and refinement, in these instances the general strategy was usually already anticipated or known through previous gaming knowledge. </w:t>
      </w:r>
      <w:r w:rsidR="00E8484B" w:rsidRPr="00B4301D">
        <w:t xml:space="preserve">As one participant </w:t>
      </w:r>
      <w:r w:rsidR="00375312" w:rsidRPr="00B4301D">
        <w:t>pointed out:</w:t>
      </w:r>
    </w:p>
    <w:p w14:paraId="2467C598" w14:textId="5AC4C08B" w:rsidR="007355AC" w:rsidRPr="00B4301D" w:rsidRDefault="00767D0B" w:rsidP="00D52861">
      <w:pPr>
        <w:spacing w:line="360" w:lineRule="auto"/>
        <w:ind w:left="567" w:right="567"/>
      </w:pPr>
      <w:r w:rsidRPr="00B4301D">
        <w:rPr>
          <w:rFonts w:cstheme="minorHAnsi"/>
          <w:sz w:val="20"/>
          <w:szCs w:val="20"/>
        </w:rPr>
        <w:t>“You get something and you think that’s definitely going to have to be used later, and you just figure out the dots before the dots are even there.” – Female, 29 (Interview)</w:t>
      </w:r>
    </w:p>
    <w:p w14:paraId="13D14F4C" w14:textId="3C8494C8" w:rsidR="00B63E8E" w:rsidRPr="00B4301D" w:rsidRDefault="00AF2275" w:rsidP="00CE74C2">
      <w:pPr>
        <w:spacing w:line="360" w:lineRule="auto"/>
      </w:pPr>
      <w:r w:rsidRPr="00B4301D">
        <w:t xml:space="preserve">While such instances may not ultimately </w:t>
      </w:r>
      <w:r w:rsidR="000E3343" w:rsidRPr="00B4301D">
        <w:t>guarantee</w:t>
      </w:r>
      <w:r w:rsidRPr="00B4301D">
        <w:t xml:space="preserve"> a successful solution, </w:t>
      </w:r>
      <w:r w:rsidR="008A789C" w:rsidRPr="00B4301D">
        <w:t xml:space="preserve">they are able to provide players with </w:t>
      </w:r>
      <w:r w:rsidR="00E8484B" w:rsidRPr="00B4301D">
        <w:t>a certain amount of scaffolding for difficult challenges. Other instances which involved participants approaching problems included instances when they got “stuck” or when repeated attempts at completing a particular challenge became too frustrating</w:t>
      </w:r>
      <w:r w:rsidR="00987AED" w:rsidRPr="00B4301D">
        <w:t>, often</w:t>
      </w:r>
      <w:r w:rsidR="00E8484B" w:rsidRPr="00B4301D">
        <w:t xml:space="preserve"> le</w:t>
      </w:r>
      <w:r w:rsidR="00987AED" w:rsidRPr="00B4301D">
        <w:t>a</w:t>
      </w:r>
      <w:r w:rsidR="00E8484B" w:rsidRPr="00B4301D">
        <w:t>d</w:t>
      </w:r>
      <w:r w:rsidR="00987AED" w:rsidRPr="00B4301D">
        <w:t>ing</w:t>
      </w:r>
      <w:r w:rsidR="00E8484B" w:rsidRPr="00B4301D">
        <w:t xml:space="preserve"> to a breakdown in gameplay. </w:t>
      </w:r>
      <w:r w:rsidR="00121A9E" w:rsidRPr="00B4301D">
        <w:t>Instead of giving up, participants cited numerous strategies to manage these situations</w:t>
      </w:r>
      <w:r w:rsidR="00961730" w:rsidRPr="00B4301D">
        <w:t>, such as “taking it slowly to avoid anxiety” (female, 21, narrative survey) and “taking a break [and] going back to it later” (male, 19, interview).</w:t>
      </w:r>
    </w:p>
    <w:p w14:paraId="47E66492" w14:textId="6418ECA3" w:rsidR="00D50755" w:rsidRPr="00B4301D" w:rsidRDefault="003B4958" w:rsidP="00D52861">
      <w:pPr>
        <w:pStyle w:val="Heading2"/>
        <w:spacing w:line="360" w:lineRule="auto"/>
        <w:rPr>
          <w:color w:val="auto"/>
        </w:rPr>
      </w:pPr>
      <w:r w:rsidRPr="00B4301D">
        <w:rPr>
          <w:color w:val="auto"/>
        </w:rPr>
        <w:t>3.</w:t>
      </w:r>
      <w:r w:rsidR="00E86E75" w:rsidRPr="00B4301D">
        <w:rPr>
          <w:color w:val="auto"/>
        </w:rPr>
        <w:t>2.</w:t>
      </w:r>
      <w:r w:rsidRPr="00B4301D">
        <w:rPr>
          <w:color w:val="auto"/>
        </w:rPr>
        <w:t xml:space="preserve"> </w:t>
      </w:r>
      <w:r w:rsidR="00D50755" w:rsidRPr="00B4301D">
        <w:rPr>
          <w:color w:val="auto"/>
        </w:rPr>
        <w:t>Creativity as Appropriation</w:t>
      </w:r>
    </w:p>
    <w:p w14:paraId="0A27C344" w14:textId="2C311613" w:rsidR="00AC780B" w:rsidRPr="00B4301D" w:rsidRDefault="00D50755" w:rsidP="00DE3B7D">
      <w:pPr>
        <w:spacing w:line="360" w:lineRule="auto"/>
      </w:pPr>
      <w:r w:rsidRPr="00B4301D">
        <w:t xml:space="preserve">Similar to creativity as problem-solving, the theme of creativity as appropriation was deductively derived from the current literature. </w:t>
      </w:r>
      <w:r w:rsidR="00AC780B" w:rsidRPr="00B4301D">
        <w:t>In terms of finding new uses for existing game mechanics, participants referenced instances where they had use</w:t>
      </w:r>
      <w:r w:rsidR="00F26D16" w:rsidRPr="00B4301D">
        <w:t xml:space="preserve">d game mechanics in alternative ways to create </w:t>
      </w:r>
      <w:r w:rsidR="00AC780B" w:rsidRPr="00B4301D">
        <w:t xml:space="preserve">shortcuts, overcome challenges or create mini-games within the game itself. </w:t>
      </w:r>
      <w:r w:rsidR="00F171A0" w:rsidRPr="00B4301D">
        <w:t xml:space="preserve">New uses of game mechanics were often discovered as opposed to being looked up, and often were found as a result of experimenting with game variables or by accident. As one participant illustrated while playing </w:t>
      </w:r>
      <w:r w:rsidR="00F171A0" w:rsidRPr="00B4301D">
        <w:rPr>
          <w:i/>
        </w:rPr>
        <w:t xml:space="preserve">Divinity: Original Sin </w:t>
      </w:r>
      <w:r w:rsidR="00F171A0" w:rsidRPr="00B4301D">
        <w:rPr>
          <w:i/>
        </w:rPr>
        <w:fldChar w:fldCharType="begin" w:fldLock="1"/>
      </w:r>
      <w:r w:rsidR="00C108F3" w:rsidRPr="00B4301D">
        <w:rPr>
          <w:i/>
        </w:rPr>
        <w:instrText>ADDIN CSL_CITATION {"citationItems":[{"id":"ITEM-1","itemData":{"author":[{"dropping-particle":"","family":"Larian Studios","given":"","non-dropping-particle":"","parse-names":false,"suffix":""}],"id":"ITEM-1","issued":{"date-parts":[["2014"]]},"title":"Divinity: Original Sin","type":"book"},"uris":["http://www.mendeley.com/documents/?uuid=c6d76075-d6fe-4af9-ba9b-66b0fd1d6c60"]}],"mendeley":{"formattedCitation":"(Larian Studios, 2014)","plainTextFormattedCitation":"(Larian Studios, 2014)","previouslyFormattedCitation":"(Larian Studios, 2014)"},"properties":{"noteIndex":0},"schema":"https://github.com/citation-style-language/schema/raw/master/csl-citation.json"}</w:instrText>
      </w:r>
      <w:r w:rsidR="00F171A0" w:rsidRPr="00B4301D">
        <w:rPr>
          <w:i/>
        </w:rPr>
        <w:fldChar w:fldCharType="separate"/>
      </w:r>
      <w:r w:rsidR="00F171A0" w:rsidRPr="00B4301D">
        <w:rPr>
          <w:noProof/>
        </w:rPr>
        <w:t>(Larian Studios, 2014)</w:t>
      </w:r>
      <w:r w:rsidR="00F171A0" w:rsidRPr="00B4301D">
        <w:rPr>
          <w:i/>
        </w:rPr>
        <w:fldChar w:fldCharType="end"/>
      </w:r>
      <w:r w:rsidR="00F171A0" w:rsidRPr="00B4301D">
        <w:t xml:space="preserve">: </w:t>
      </w:r>
    </w:p>
    <w:p w14:paraId="38219150" w14:textId="486AAF49" w:rsidR="00F171A0" w:rsidRPr="00B4301D" w:rsidRDefault="00B75B79" w:rsidP="00D52861">
      <w:pPr>
        <w:spacing w:line="360" w:lineRule="auto"/>
        <w:ind w:left="567" w:right="567"/>
      </w:pPr>
      <w:r w:rsidRPr="00B4301D">
        <w:rPr>
          <w:rFonts w:cstheme="minorHAnsi"/>
          <w:sz w:val="20"/>
          <w:szCs w:val="20"/>
        </w:rPr>
        <w:t>“I found that you could put heavy things in this bag and then if you were to take that bag and put it in a box or something within the game world, that box would suddenly weigh thousands and thousands and thousands of kilograms. So</w:t>
      </w:r>
      <w:r w:rsidR="003B49E6" w:rsidRPr="00B4301D">
        <w:rPr>
          <w:rFonts w:cstheme="minorHAnsi"/>
          <w:sz w:val="20"/>
          <w:szCs w:val="20"/>
        </w:rPr>
        <w:t>,</w:t>
      </w:r>
      <w:r w:rsidRPr="00B4301D">
        <w:rPr>
          <w:rFonts w:cstheme="minorHAnsi"/>
          <w:sz w:val="20"/>
          <w:szCs w:val="20"/>
        </w:rPr>
        <w:t xml:space="preserve"> I once beat an enemy I was stuck on by filling a box full of ridiculously heavy things and dropping it on his head. And instantly killed him.” – Male, 26 (Interview)</w:t>
      </w:r>
    </w:p>
    <w:p w14:paraId="28D89BE3" w14:textId="48C966EB" w:rsidR="00375540" w:rsidRPr="00B4301D" w:rsidRDefault="00B75B79" w:rsidP="00CE74C2">
      <w:pPr>
        <w:spacing w:line="360" w:lineRule="auto"/>
      </w:pPr>
      <w:r w:rsidRPr="00B4301D">
        <w:lastRenderedPageBreak/>
        <w:t xml:space="preserve">In addition to providing ingenious ways to kill monsters or tackle challenges, game mechanics were also used </w:t>
      </w:r>
      <w:r w:rsidR="005746BF" w:rsidRPr="00B4301D">
        <w:t xml:space="preserve">to </w:t>
      </w:r>
      <w:r w:rsidR="00581FDA" w:rsidRPr="00B4301D">
        <w:t>creat</w:t>
      </w:r>
      <w:r w:rsidR="005746BF" w:rsidRPr="00B4301D">
        <w:t>e</w:t>
      </w:r>
      <w:r w:rsidR="00581FDA" w:rsidRPr="00B4301D">
        <w:t xml:space="preserve"> shortcuts through the game, </w:t>
      </w:r>
      <w:r w:rsidR="005746BF" w:rsidRPr="00B4301D">
        <w:t xml:space="preserve">as </w:t>
      </w:r>
      <w:r w:rsidR="00581FDA" w:rsidRPr="00B4301D">
        <w:t xml:space="preserve">in the case of </w:t>
      </w:r>
      <w:r w:rsidR="005746BF" w:rsidRPr="00B4301D">
        <w:t xml:space="preserve">using </w:t>
      </w:r>
      <w:r w:rsidR="00581FDA" w:rsidRPr="00B4301D">
        <w:t>dying and respawning mechanic</w:t>
      </w:r>
      <w:r w:rsidR="005E7216" w:rsidRPr="00B4301D">
        <w:t xml:space="preserve"> in certain games</w:t>
      </w:r>
      <w:r w:rsidR="00581FDA" w:rsidRPr="00B4301D">
        <w:t xml:space="preserve"> </w:t>
      </w:r>
      <w:r w:rsidR="00961730" w:rsidRPr="00B4301D">
        <w:t>which could be used “strategically because there is no penalty for dying” (male, 35, narrative survey)</w:t>
      </w:r>
      <w:r w:rsidR="00581FDA" w:rsidRPr="00B4301D">
        <w:t xml:space="preserve">. </w:t>
      </w:r>
      <w:r w:rsidR="00CF7EF2" w:rsidRPr="00B4301D">
        <w:t xml:space="preserve"> </w:t>
      </w:r>
    </w:p>
    <w:p w14:paraId="409C1E4D" w14:textId="3FF9DB74" w:rsidR="00044A86" w:rsidRPr="00B4301D" w:rsidRDefault="005E7216" w:rsidP="005E72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cstheme="minorHAnsi"/>
        </w:rPr>
      </w:pPr>
      <w:r w:rsidRPr="00B4301D">
        <w:rPr>
          <w:rFonts w:cstheme="minorHAnsi"/>
        </w:rPr>
        <w:tab/>
        <w:t xml:space="preserve">In terms of the ways in which players created their own challenges within games, participants mentioned a) upping the difficulty of the game or using a playstyle they were not </w:t>
      </w:r>
      <w:r w:rsidR="00B31412" w:rsidRPr="00B4301D">
        <w:rPr>
          <w:rFonts w:cstheme="minorHAnsi"/>
        </w:rPr>
        <w:t>accustomed</w:t>
      </w:r>
      <w:r w:rsidRPr="00B4301D">
        <w:rPr>
          <w:rFonts w:cstheme="minorHAnsi"/>
        </w:rPr>
        <w:t xml:space="preserve"> to or b) deliberately play</w:t>
      </w:r>
      <w:r w:rsidR="00B31412" w:rsidRPr="00B4301D">
        <w:rPr>
          <w:rFonts w:cstheme="minorHAnsi"/>
        </w:rPr>
        <w:t>ing</w:t>
      </w:r>
      <w:r w:rsidRPr="00B4301D">
        <w:rPr>
          <w:rFonts w:cstheme="minorHAnsi"/>
        </w:rPr>
        <w:t xml:space="preserve"> the game in a way not intended by developers by adapting the rules. In the former, participants cited using the in-game difficulty scaling to create additional challenges for games they were already familiar with (i.e. had already played through at least once)</w:t>
      </w:r>
      <w:r w:rsidR="007904D4" w:rsidRPr="00B4301D">
        <w:rPr>
          <w:rFonts w:cstheme="minorHAnsi"/>
        </w:rPr>
        <w:t xml:space="preserve">, such as in the case of one participant who, referencing </w:t>
      </w:r>
      <w:r w:rsidR="007904D4" w:rsidRPr="00B4301D">
        <w:rPr>
          <w:rFonts w:cstheme="minorHAnsi"/>
          <w:i/>
        </w:rPr>
        <w:t xml:space="preserve">Wolfenstein: The New Order </w:t>
      </w:r>
      <w:r w:rsidR="007904D4" w:rsidRPr="00B4301D">
        <w:rPr>
          <w:rFonts w:cstheme="minorHAnsi"/>
          <w:i/>
        </w:rPr>
        <w:fldChar w:fldCharType="begin" w:fldLock="1"/>
      </w:r>
      <w:r w:rsidR="00982706" w:rsidRPr="00B4301D">
        <w:rPr>
          <w:rFonts w:cstheme="minorHAnsi"/>
          <w:i/>
        </w:rPr>
        <w:instrText>ADDIN CSL_CITATION {"citationItems":[{"id":"ITEM-1","itemData":{"author":[{"dropping-particle":"","family":"MachineGames","given":"","non-dropping-particle":"","parse-names":false,"suffix":""}],"id":"ITEM-1","issued":{"date-parts":[["2014"]]},"publisher":"Bethesda Softworks,","title":"Wolfenstein: The New Order","type":"book"},"uris":["http://www.mendeley.com/documents/?uuid=a6909dc8-3c8a-4064-ac08-12b5c3133234"]}],"mendeley":{"formattedCitation":"(MachineGames, 2014)","plainTextFormattedCitation":"(MachineGames, 2014)","previouslyFormattedCitation":"(MachineGames, 2014)"},"properties":{"noteIndex":0},"schema":"https://github.com/citation-style-language/schema/raw/master/csl-citation.json"}</w:instrText>
      </w:r>
      <w:r w:rsidR="007904D4" w:rsidRPr="00B4301D">
        <w:rPr>
          <w:rFonts w:cstheme="minorHAnsi"/>
          <w:i/>
        </w:rPr>
        <w:fldChar w:fldCharType="separate"/>
      </w:r>
      <w:r w:rsidR="007904D4" w:rsidRPr="00B4301D">
        <w:rPr>
          <w:rFonts w:cstheme="minorHAnsi"/>
          <w:noProof/>
        </w:rPr>
        <w:t>(MachineGames, 2014)</w:t>
      </w:r>
      <w:r w:rsidR="007904D4" w:rsidRPr="00B4301D">
        <w:rPr>
          <w:rFonts w:cstheme="minorHAnsi"/>
          <w:i/>
        </w:rPr>
        <w:fldChar w:fldCharType="end"/>
      </w:r>
      <w:r w:rsidR="007904D4" w:rsidRPr="00B4301D">
        <w:rPr>
          <w:rFonts w:cstheme="minorHAnsi"/>
          <w:i/>
        </w:rPr>
        <w:t xml:space="preserve"> </w:t>
      </w:r>
      <w:r w:rsidR="007904D4" w:rsidRPr="00B4301D">
        <w:rPr>
          <w:rFonts w:cstheme="minorHAnsi"/>
        </w:rPr>
        <w:t>said</w:t>
      </w:r>
      <w:r w:rsidR="00044A86" w:rsidRPr="00B4301D">
        <w:rPr>
          <w:rFonts w:cstheme="minorHAnsi"/>
        </w:rPr>
        <w:t xml:space="preserve"> he “decided to [play] it on the hardest difficulty just because I enjoy it so much” (male, 26, interview)</w:t>
      </w:r>
      <w:r w:rsidRPr="00B4301D">
        <w:rPr>
          <w:rFonts w:cstheme="minorHAnsi"/>
        </w:rPr>
        <w:t xml:space="preserve">. Many games allow players the option to either lower or higher the difficulty either at the start of the game, or else at any point during it. </w:t>
      </w:r>
    </w:p>
    <w:p w14:paraId="717E2008" w14:textId="0207B81D" w:rsidR="005E7216" w:rsidRPr="00B4301D" w:rsidRDefault="00044A86" w:rsidP="005E72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cstheme="minorHAnsi"/>
        </w:rPr>
      </w:pPr>
      <w:r w:rsidRPr="00B4301D">
        <w:rPr>
          <w:rFonts w:cstheme="minorHAnsi"/>
        </w:rPr>
        <w:tab/>
        <w:t xml:space="preserve">Where participants had mentioned playing games in ways not intended by developers by </w:t>
      </w:r>
      <w:r w:rsidRPr="006A4F78">
        <w:rPr>
          <w:rFonts w:cstheme="minorHAnsi"/>
          <w:color w:val="000000" w:themeColor="text1"/>
        </w:rPr>
        <w:t>adapting the rules</w:t>
      </w:r>
      <w:r w:rsidR="007904D4" w:rsidRPr="006A4F78">
        <w:rPr>
          <w:rFonts w:cstheme="minorHAnsi"/>
          <w:color w:val="000000" w:themeColor="text1"/>
        </w:rPr>
        <w:t xml:space="preserve">, the most common example </w:t>
      </w:r>
      <w:r w:rsidRPr="006A4F78">
        <w:rPr>
          <w:rFonts w:cstheme="minorHAnsi"/>
          <w:color w:val="000000" w:themeColor="text1"/>
        </w:rPr>
        <w:t>cited</w:t>
      </w:r>
      <w:r w:rsidR="007904D4" w:rsidRPr="006A4F78">
        <w:rPr>
          <w:rFonts w:cstheme="minorHAnsi"/>
          <w:color w:val="000000" w:themeColor="text1"/>
        </w:rPr>
        <w:t xml:space="preserve"> was </w:t>
      </w:r>
      <w:proofErr w:type="spellStart"/>
      <w:r w:rsidR="007904D4" w:rsidRPr="006A4F78">
        <w:rPr>
          <w:rFonts w:cstheme="minorHAnsi"/>
          <w:color w:val="000000" w:themeColor="text1"/>
        </w:rPr>
        <w:t>speedrunning</w:t>
      </w:r>
      <w:proofErr w:type="spellEnd"/>
      <w:r w:rsidRPr="006A4F78">
        <w:rPr>
          <w:rFonts w:cstheme="minorHAnsi"/>
          <w:color w:val="000000" w:themeColor="text1"/>
        </w:rPr>
        <w:t>. This involved</w:t>
      </w:r>
      <w:r w:rsidR="007904D4" w:rsidRPr="006A4F78">
        <w:rPr>
          <w:rFonts w:cstheme="minorHAnsi"/>
          <w:color w:val="000000" w:themeColor="text1"/>
        </w:rPr>
        <w:t xml:space="preserve"> intentionally alter</w:t>
      </w:r>
      <w:r w:rsidRPr="006A4F78">
        <w:rPr>
          <w:rFonts w:cstheme="minorHAnsi"/>
          <w:color w:val="000000" w:themeColor="text1"/>
        </w:rPr>
        <w:t>ing</w:t>
      </w:r>
      <w:r w:rsidR="007904D4" w:rsidRPr="006A4F78">
        <w:rPr>
          <w:rFonts w:cstheme="minorHAnsi"/>
          <w:color w:val="000000" w:themeColor="text1"/>
        </w:rPr>
        <w:t xml:space="preserve"> the overall goal of the game to finish it as fast as possible</w:t>
      </w:r>
      <w:r w:rsidRPr="006A4F78">
        <w:rPr>
          <w:rFonts w:cstheme="minorHAnsi"/>
          <w:color w:val="000000" w:themeColor="text1"/>
        </w:rPr>
        <w:t xml:space="preserve"> and</w:t>
      </w:r>
      <w:r w:rsidR="007904D4" w:rsidRPr="006A4F78">
        <w:rPr>
          <w:rFonts w:cstheme="minorHAnsi"/>
          <w:color w:val="000000" w:themeColor="text1"/>
        </w:rPr>
        <w:t xml:space="preserve"> created additional challenges in the way the game needed to be played.</w:t>
      </w:r>
      <w:r w:rsidRPr="006A4F78">
        <w:rPr>
          <w:rFonts w:cstheme="minorHAnsi"/>
          <w:color w:val="000000" w:themeColor="text1"/>
        </w:rPr>
        <w:t xml:space="preserve"> As one </w:t>
      </w:r>
      <w:r w:rsidR="00B4301D" w:rsidRPr="006A4F78">
        <w:rPr>
          <w:rFonts w:cstheme="minorHAnsi"/>
          <w:color w:val="000000" w:themeColor="text1"/>
        </w:rPr>
        <w:t xml:space="preserve">participant referenced in relation to </w:t>
      </w:r>
      <w:r w:rsidR="00B4301D" w:rsidRPr="006A4F78">
        <w:rPr>
          <w:rFonts w:cstheme="minorHAnsi"/>
          <w:i/>
          <w:color w:val="000000" w:themeColor="text1"/>
        </w:rPr>
        <w:t xml:space="preserve">Skyrim </w:t>
      </w:r>
      <w:r w:rsidR="00B4301D" w:rsidRPr="006A4F78">
        <w:rPr>
          <w:rFonts w:cstheme="minorHAnsi"/>
          <w:i/>
          <w:color w:val="000000" w:themeColor="text1"/>
        </w:rPr>
        <w:fldChar w:fldCharType="begin" w:fldLock="1"/>
      </w:r>
      <w:r w:rsidR="00DD5139" w:rsidRPr="006A4F78">
        <w:rPr>
          <w:rFonts w:cstheme="minorHAnsi"/>
          <w:i/>
          <w:color w:val="000000" w:themeColor="text1"/>
        </w:rPr>
        <w:instrText>ADDIN CSL_CITATION {"citationItems":[{"id":"ITEM-1","itemData":{"author":[{"dropping-particle":"","family":"Bethesda Game Studios","given":"","non-dropping-particle":"","parse-names":false,"suffix":""}],"id":"ITEM-1","issued":{"date-parts":[["2011"]]},"title":"The Elder Scrolls V: Skyrim","type":"book"},"uris":["http://www.mendeley.com/documents/?uuid=e2aff6bf-209a-4d53-97ae-35e8b8c7ce89"]}],"mendeley":{"formattedCitation":"(Bethesda Game Studios, 2011)","plainTextFormattedCitation":"(Bethesda Game Studios, 2011)","previouslyFormattedCitation":"(Bethesda Game Studios, 2011)"},"properties":{"noteIndex":0},"schema":"https://github.com/citation-style-language/schema/raw/master/csl-citation.json"}</w:instrText>
      </w:r>
      <w:r w:rsidR="00B4301D" w:rsidRPr="006A4F78">
        <w:rPr>
          <w:rFonts w:cstheme="minorHAnsi"/>
          <w:i/>
          <w:color w:val="000000" w:themeColor="text1"/>
        </w:rPr>
        <w:fldChar w:fldCharType="separate"/>
      </w:r>
      <w:r w:rsidR="00B4301D" w:rsidRPr="006A4F78">
        <w:rPr>
          <w:rFonts w:cstheme="minorHAnsi"/>
          <w:noProof/>
          <w:color w:val="000000" w:themeColor="text1"/>
        </w:rPr>
        <w:t>(Bethesda Game Studios, 2011)</w:t>
      </w:r>
      <w:r w:rsidR="00B4301D" w:rsidRPr="006A4F78">
        <w:rPr>
          <w:rFonts w:cstheme="minorHAnsi"/>
          <w:i/>
          <w:color w:val="000000" w:themeColor="text1"/>
        </w:rPr>
        <w:fldChar w:fldCharType="end"/>
      </w:r>
      <w:r w:rsidRPr="006A4F78">
        <w:rPr>
          <w:rFonts w:cstheme="minorHAnsi"/>
          <w:color w:val="000000" w:themeColor="text1"/>
        </w:rPr>
        <w:t xml:space="preserve">: </w:t>
      </w:r>
    </w:p>
    <w:p w14:paraId="6A09DC38" w14:textId="3CEE6E67" w:rsidR="00044A86" w:rsidRPr="00B4301D" w:rsidRDefault="00044A86" w:rsidP="007900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567" w:right="567"/>
        <w:jc w:val="both"/>
        <w:rPr>
          <w:rFonts w:cstheme="minorHAnsi"/>
        </w:rPr>
      </w:pPr>
      <w:r w:rsidRPr="00B4301D">
        <w:rPr>
          <w:rFonts w:cstheme="minorHAnsi"/>
          <w:i/>
          <w:sz w:val="20"/>
          <w:szCs w:val="20"/>
        </w:rPr>
        <w:t xml:space="preserve">“I did a </w:t>
      </w:r>
      <w:proofErr w:type="spellStart"/>
      <w:r w:rsidRPr="00B4301D">
        <w:rPr>
          <w:rFonts w:cstheme="minorHAnsi"/>
          <w:i/>
          <w:sz w:val="20"/>
          <w:szCs w:val="20"/>
        </w:rPr>
        <w:t>speedrun</w:t>
      </w:r>
      <w:proofErr w:type="spellEnd"/>
      <w:r w:rsidRPr="00B4301D">
        <w:rPr>
          <w:rFonts w:cstheme="minorHAnsi"/>
          <w:i/>
          <w:sz w:val="20"/>
          <w:szCs w:val="20"/>
        </w:rPr>
        <w:t xml:space="preserve"> where instead of trying to beat the game, it’s got a weird name; it’s called Chef%. Basically, it’s a </w:t>
      </w:r>
      <w:proofErr w:type="spellStart"/>
      <w:r w:rsidRPr="00B4301D">
        <w:rPr>
          <w:rFonts w:cstheme="minorHAnsi"/>
          <w:i/>
          <w:sz w:val="20"/>
          <w:szCs w:val="20"/>
        </w:rPr>
        <w:t>speedrun</w:t>
      </w:r>
      <w:proofErr w:type="spellEnd"/>
      <w:r w:rsidRPr="00B4301D">
        <w:rPr>
          <w:rFonts w:cstheme="minorHAnsi"/>
          <w:i/>
          <w:sz w:val="20"/>
          <w:szCs w:val="20"/>
        </w:rPr>
        <w:t xml:space="preserve"> in which you try to collect a chef’s hat and a chef’s top and then try to make like some meatloaf thing and make like five meals as quickly as possible and then, even though you don’t beat the game, you just stop the time when you’ve completed what is considered the Chef% run.” </w:t>
      </w:r>
      <w:r w:rsidRPr="00B4301D">
        <w:rPr>
          <w:rFonts w:cstheme="minorHAnsi"/>
          <w:sz w:val="20"/>
          <w:szCs w:val="20"/>
        </w:rPr>
        <w:t>– Male, 36 (Interview)</w:t>
      </w:r>
    </w:p>
    <w:p w14:paraId="6EC27943" w14:textId="462CD5D7" w:rsidR="005E7216" w:rsidRPr="00B4301D" w:rsidRDefault="00581FDA" w:rsidP="00CE74C2">
      <w:pPr>
        <w:spacing w:line="360" w:lineRule="auto"/>
      </w:pPr>
      <w:r w:rsidRPr="00B4301D">
        <w:tab/>
        <w:t xml:space="preserve">In terms </w:t>
      </w:r>
      <w:r w:rsidR="00044A86" w:rsidRPr="00B4301D">
        <w:t>the use of</w:t>
      </w:r>
      <w:r w:rsidRPr="00B4301D">
        <w:t xml:space="preserve"> glitches participants often held mixed views with some feeling that the use of glitches detracted from the way a game was meant to be played.</w:t>
      </w:r>
      <w:r w:rsidR="005E7216" w:rsidRPr="00B4301D">
        <w:t xml:space="preserve"> As one participant noted, glitches could disrupt the experience in games which were based on real-life historical events:</w:t>
      </w:r>
    </w:p>
    <w:p w14:paraId="2E501143" w14:textId="5A8B65E4" w:rsidR="005E7216" w:rsidRPr="00B4301D" w:rsidRDefault="005E7216" w:rsidP="005E721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567" w:right="567"/>
        <w:rPr>
          <w:rFonts w:cstheme="minorHAnsi"/>
          <w:sz w:val="20"/>
          <w:szCs w:val="20"/>
        </w:rPr>
      </w:pPr>
      <w:r w:rsidRPr="00B4301D">
        <w:rPr>
          <w:rFonts w:cstheme="minorHAnsi"/>
          <w:sz w:val="20"/>
          <w:szCs w:val="20"/>
        </w:rPr>
        <w:t>“I feel often with strategy games because ones I play are historical I’ll tend not to use the glitches because it doesn’t feel like it’s the proper history but, you know, that’s a personal preference thing.” – Female, 33 (Interview)</w:t>
      </w:r>
    </w:p>
    <w:p w14:paraId="17D00476" w14:textId="4754AB2A" w:rsidR="00C108F3" w:rsidRPr="00B4301D" w:rsidRDefault="00581FDA" w:rsidP="00CE74C2">
      <w:pPr>
        <w:spacing w:line="360" w:lineRule="auto"/>
        <w:rPr>
          <w:rFonts w:cstheme="minorHAnsi"/>
        </w:rPr>
      </w:pPr>
      <w:r w:rsidRPr="00B4301D">
        <w:t>Others used glitches as a form of exploration and fun</w:t>
      </w:r>
      <w:r w:rsidR="00A00227" w:rsidRPr="00B4301D">
        <w:t xml:space="preserve"> with the most common cited being the “</w:t>
      </w:r>
      <w:proofErr w:type="spellStart"/>
      <w:r w:rsidR="00A00227" w:rsidRPr="00B4301D">
        <w:t>MissingNo</w:t>
      </w:r>
      <w:proofErr w:type="spellEnd"/>
      <w:r w:rsidR="00A00227" w:rsidRPr="00B4301D">
        <w:t xml:space="preserve">” glitch in </w:t>
      </w:r>
      <w:proofErr w:type="spellStart"/>
      <w:r w:rsidR="00A00227" w:rsidRPr="00B4301D">
        <w:rPr>
          <w:rFonts w:cstheme="minorHAnsi"/>
          <w:i/>
        </w:rPr>
        <w:t>Pokemon</w:t>
      </w:r>
      <w:proofErr w:type="spellEnd"/>
      <w:r w:rsidR="00A00227" w:rsidRPr="00B4301D">
        <w:rPr>
          <w:rFonts w:cstheme="minorHAnsi"/>
          <w:i/>
        </w:rPr>
        <w:t xml:space="preserve"> Red and Blue </w:t>
      </w:r>
      <w:r w:rsidR="00A00227" w:rsidRPr="00B4301D">
        <w:rPr>
          <w:rFonts w:cstheme="minorHAnsi"/>
          <w:i/>
        </w:rPr>
        <w:fldChar w:fldCharType="begin" w:fldLock="1"/>
      </w:r>
      <w:r w:rsidR="00A00227" w:rsidRPr="00B4301D">
        <w:rPr>
          <w:rFonts w:cstheme="minorHAnsi"/>
          <w:i/>
        </w:rPr>
        <w:instrText>ADDIN CSL_CITATION {"citationItems":[{"id":"ITEM-1","itemData":{"author":[{"dropping-particle":"","family":"Game Freak","given":"","non-dropping-particle":"","parse-names":false,"suffix":""}],"id":"ITEM-1","issued":{"date-parts":[["1996"]]},"publisher":"Nintendo","title":"Pokemon Red and Blue","type":"book"},"uris":["http://www.mendeley.com/documents/?uuid=a553c0f0-9ffe-447c-b314-90c624881ba7"]}],"mendeley":{"formattedCitation":"(Game Freak, 1996)","plainTextFormattedCitation":"(Game Freak, 1996)","previouslyFormattedCitation":"(Game Freak, 1996)"},"properties":{"noteIndex":0},"schema":"https://github.com/citation-style-language/schema/raw/master/csl-citation.json"}</w:instrText>
      </w:r>
      <w:r w:rsidR="00A00227" w:rsidRPr="00B4301D">
        <w:rPr>
          <w:rFonts w:cstheme="minorHAnsi"/>
          <w:i/>
        </w:rPr>
        <w:fldChar w:fldCharType="separate"/>
      </w:r>
      <w:r w:rsidR="00A00227" w:rsidRPr="00B4301D">
        <w:rPr>
          <w:rFonts w:cstheme="minorHAnsi"/>
          <w:noProof/>
        </w:rPr>
        <w:t>(Game Freak, 1996)</w:t>
      </w:r>
      <w:r w:rsidR="00A00227" w:rsidRPr="00B4301D">
        <w:rPr>
          <w:rFonts w:cstheme="minorHAnsi"/>
          <w:i/>
        </w:rPr>
        <w:fldChar w:fldCharType="end"/>
      </w:r>
      <w:r w:rsidR="00A00227" w:rsidRPr="00B4301D">
        <w:rPr>
          <w:rFonts w:cstheme="minorHAnsi"/>
        </w:rPr>
        <w:t xml:space="preserve">. </w:t>
      </w:r>
      <w:r w:rsidR="00C108F3" w:rsidRPr="00B4301D">
        <w:rPr>
          <w:rFonts w:cstheme="minorHAnsi"/>
        </w:rPr>
        <w:t xml:space="preserve">Many participants cited they wanted to “try out” glitches which they had heard about, suggesting that curiosity was the main motivational factor and that they were exploring what was possible within the game. </w:t>
      </w:r>
    </w:p>
    <w:p w14:paraId="0131F2C5" w14:textId="3F140533" w:rsidR="00581FDA" w:rsidRPr="00B4301D" w:rsidRDefault="00A00227" w:rsidP="00CE74C2">
      <w:pPr>
        <w:spacing w:line="360" w:lineRule="auto"/>
        <w:ind w:firstLine="567"/>
        <w:rPr>
          <w:rFonts w:cstheme="minorHAnsi"/>
        </w:rPr>
      </w:pPr>
      <w:r w:rsidRPr="00B4301D">
        <w:rPr>
          <w:rFonts w:cstheme="minorHAnsi"/>
        </w:rPr>
        <w:lastRenderedPageBreak/>
        <w:t xml:space="preserve">Glitches were also used for more serious activities such as </w:t>
      </w:r>
      <w:proofErr w:type="spellStart"/>
      <w:r w:rsidRPr="00B4301D">
        <w:rPr>
          <w:rFonts w:cstheme="minorHAnsi"/>
        </w:rPr>
        <w:t>speedrunning</w:t>
      </w:r>
      <w:proofErr w:type="spellEnd"/>
      <w:r w:rsidRPr="00B4301D">
        <w:rPr>
          <w:rFonts w:cstheme="minorHAnsi"/>
        </w:rPr>
        <w:t xml:space="preserve">. </w:t>
      </w:r>
      <w:r w:rsidR="007900AA" w:rsidRPr="00B4301D">
        <w:rPr>
          <w:rFonts w:cstheme="minorHAnsi"/>
        </w:rPr>
        <w:t>Whereas participants who had cited using glitches as a form of exploratory usually referenced more openly structured games (e.g. open-world games), those who used glitches in a more serious manner</w:t>
      </w:r>
      <w:r w:rsidR="00893EA1" w:rsidRPr="00B4301D">
        <w:rPr>
          <w:rFonts w:cstheme="minorHAnsi"/>
        </w:rPr>
        <w:t xml:space="preserve"> often referenced more linearly structured games where the route of play was dictated (e.g. the player had to clear one area before moving to the next). </w:t>
      </w:r>
      <w:r w:rsidR="00C108F3" w:rsidRPr="00B4301D">
        <w:rPr>
          <w:rFonts w:cstheme="minorHAnsi"/>
        </w:rPr>
        <w:t xml:space="preserve">As one participant referenced when he discovered a climbing glitch which aided him in his </w:t>
      </w:r>
      <w:proofErr w:type="spellStart"/>
      <w:r w:rsidR="00C108F3" w:rsidRPr="00B4301D">
        <w:rPr>
          <w:rFonts w:cstheme="minorHAnsi"/>
        </w:rPr>
        <w:t>speedrun</w:t>
      </w:r>
      <w:proofErr w:type="spellEnd"/>
      <w:r w:rsidR="00C108F3" w:rsidRPr="00B4301D">
        <w:rPr>
          <w:rFonts w:cstheme="minorHAnsi"/>
        </w:rPr>
        <w:t xml:space="preserve"> of the game </w:t>
      </w:r>
      <w:r w:rsidR="00C108F3" w:rsidRPr="00B4301D">
        <w:rPr>
          <w:rFonts w:cstheme="minorHAnsi"/>
          <w:i/>
        </w:rPr>
        <w:t xml:space="preserve">Strider </w:t>
      </w:r>
      <w:r w:rsidR="00C108F3" w:rsidRPr="00B4301D">
        <w:rPr>
          <w:rFonts w:cstheme="minorHAnsi"/>
          <w:i/>
        </w:rPr>
        <w:fldChar w:fldCharType="begin" w:fldLock="1"/>
      </w:r>
      <w:r w:rsidR="00357F49" w:rsidRPr="00B4301D">
        <w:rPr>
          <w:rFonts w:cstheme="minorHAnsi"/>
          <w:i/>
        </w:rPr>
        <w:instrText>ADDIN CSL_CITATION {"citationItems":[{"id":"ITEM-1","itemData":{"author":[{"dropping-particle":"","family":"Capcom","given":"","non-dropping-particle":"","parse-names":false,"suffix":""},{"dropping-particle":"","family":"Double Helix Games","given":"","non-dropping-particle":"","parse-names":false,"suffix":""}],"id":"ITEM-1","issued":{"date-parts":[["2014"]]},"publisher":"Capcom, Double Helix Games","title":"Strider","type":"book"},"uris":["http://www.mendeley.com/documents/?uuid=f302cf85-a57e-45c8-8921-a474c2e1cb60"]}],"mendeley":{"formattedCitation":"(Capcom &amp; Double Helix Games, 2014)","plainTextFormattedCitation":"(Capcom &amp; Double Helix Games, 2014)","previouslyFormattedCitation":"(Capcom &amp; Double Helix Games, 2014)"},"properties":{"noteIndex":0},"schema":"https://github.com/citation-style-language/schema/raw/master/csl-citation.json"}</w:instrText>
      </w:r>
      <w:r w:rsidR="00C108F3" w:rsidRPr="00B4301D">
        <w:rPr>
          <w:rFonts w:cstheme="minorHAnsi"/>
          <w:i/>
        </w:rPr>
        <w:fldChar w:fldCharType="separate"/>
      </w:r>
      <w:r w:rsidR="00C108F3" w:rsidRPr="00B4301D">
        <w:rPr>
          <w:rFonts w:cstheme="minorHAnsi"/>
          <w:noProof/>
        </w:rPr>
        <w:t>(Capcom &amp; Double Helix Games, 2014)</w:t>
      </w:r>
      <w:r w:rsidR="00C108F3" w:rsidRPr="00B4301D">
        <w:rPr>
          <w:rFonts w:cstheme="minorHAnsi"/>
          <w:i/>
        </w:rPr>
        <w:fldChar w:fldCharType="end"/>
      </w:r>
      <w:r w:rsidR="00C108F3" w:rsidRPr="00B4301D">
        <w:rPr>
          <w:rFonts w:cstheme="minorHAnsi"/>
        </w:rPr>
        <w:t>:</w:t>
      </w:r>
    </w:p>
    <w:p w14:paraId="0049F313" w14:textId="5BA45D12" w:rsidR="005E7216" w:rsidRPr="00B4301D" w:rsidRDefault="00C108F3" w:rsidP="005E72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567" w:right="567"/>
        <w:jc w:val="both"/>
        <w:rPr>
          <w:rFonts w:ascii="Calibri" w:hAnsi="Calibri" w:cs="Calibri"/>
          <w:lang w:val="en"/>
        </w:rPr>
      </w:pPr>
      <w:r w:rsidRPr="00B4301D">
        <w:rPr>
          <w:rFonts w:cstheme="minorHAnsi"/>
          <w:sz w:val="20"/>
          <w:szCs w:val="20"/>
        </w:rPr>
        <w:t>“We found that if at any point for a single frame one of those hooks goes between two parts of the ceiling that are at a 45-degree angle to each other, he has like a vaulting animation to get on top of ledges and the game freaks out, thinks you’re on the other side and vaults you outside of the room. And so that is basically used to bypass two thirds of the game essentially and skip to the latter half.” – Male, 27 (Interview)</w:t>
      </w:r>
      <w:bookmarkStart w:id="1" w:name="_Hlk18842985"/>
      <w:r w:rsidRPr="00B4301D">
        <w:rPr>
          <w:rFonts w:ascii="Calibri" w:hAnsi="Calibri" w:cs="Calibri"/>
          <w:lang w:val="en"/>
        </w:rPr>
        <w:t xml:space="preserve"> </w:t>
      </w:r>
      <w:bookmarkEnd w:id="1"/>
    </w:p>
    <w:p w14:paraId="4147B42D" w14:textId="7DBD0B99" w:rsidR="005E7216" w:rsidRPr="00B4301D" w:rsidRDefault="005E7216" w:rsidP="00DE3B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cstheme="minorHAnsi"/>
        </w:rPr>
      </w:pPr>
      <w:r w:rsidRPr="00B4301D">
        <w:t xml:space="preserve">In examples of </w:t>
      </w:r>
      <w:proofErr w:type="spellStart"/>
      <w:r w:rsidRPr="00B4301D">
        <w:t>speedrunning</w:t>
      </w:r>
      <w:proofErr w:type="spellEnd"/>
      <w:r w:rsidRPr="00B4301D">
        <w:t xml:space="preserve">, glitches were commonly used to bypass sections of the game. In this way glitches were used strategically in order to overcome </w:t>
      </w:r>
      <w:r w:rsidR="00DE3B7D" w:rsidRPr="00B4301D">
        <w:t>new</w:t>
      </w:r>
      <w:r w:rsidR="00B31412" w:rsidRPr="00B4301D">
        <w:t xml:space="preserve"> challenges players had created.</w:t>
      </w:r>
      <w:r w:rsidRPr="00B4301D">
        <w:t xml:space="preserve"> </w:t>
      </w:r>
    </w:p>
    <w:p w14:paraId="5872DC86" w14:textId="77777777" w:rsidR="00DE3B7D" w:rsidRPr="00B4301D" w:rsidRDefault="00DE3B7D" w:rsidP="00DE3B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cstheme="minorHAnsi"/>
        </w:rPr>
      </w:pPr>
    </w:p>
    <w:p w14:paraId="72EFB70F" w14:textId="66C5D317" w:rsidR="00D734B8" w:rsidRPr="00B4301D" w:rsidRDefault="003B4958" w:rsidP="00D52861">
      <w:pPr>
        <w:pStyle w:val="Heading2"/>
        <w:spacing w:line="360" w:lineRule="auto"/>
        <w:rPr>
          <w:color w:val="auto"/>
        </w:rPr>
      </w:pPr>
      <w:r w:rsidRPr="00B4301D">
        <w:rPr>
          <w:color w:val="auto"/>
        </w:rPr>
        <w:t>3.</w:t>
      </w:r>
      <w:r w:rsidR="00E86E75" w:rsidRPr="00B4301D">
        <w:rPr>
          <w:color w:val="auto"/>
        </w:rPr>
        <w:t>3.</w:t>
      </w:r>
      <w:r w:rsidRPr="00B4301D">
        <w:rPr>
          <w:color w:val="auto"/>
        </w:rPr>
        <w:t xml:space="preserve"> </w:t>
      </w:r>
      <w:r w:rsidR="00D734B8" w:rsidRPr="00B4301D">
        <w:rPr>
          <w:color w:val="auto"/>
        </w:rPr>
        <w:t>Creativity as Affective Change</w:t>
      </w:r>
    </w:p>
    <w:p w14:paraId="1D4C4AB0" w14:textId="347C2B7F" w:rsidR="00D734B8" w:rsidRPr="00B4301D" w:rsidRDefault="00D734B8" w:rsidP="00CE74C2">
      <w:pPr>
        <w:spacing w:line="360" w:lineRule="auto"/>
      </w:pPr>
      <w:r w:rsidRPr="00B4301D">
        <w:t xml:space="preserve">Creativity as affective change was an inductive theme which </w:t>
      </w:r>
      <w:r w:rsidR="000E2C00" w:rsidRPr="00B4301D">
        <w:t xml:space="preserve">developed </w:t>
      </w:r>
      <w:r w:rsidRPr="00B4301D">
        <w:t>during the analysis</w:t>
      </w:r>
      <w:r w:rsidR="000E2C00" w:rsidRPr="00B4301D">
        <w:t>, to capture</w:t>
      </w:r>
      <w:r w:rsidRPr="00B4301D">
        <w:t xml:space="preserve"> the ways in which participants views of themselves and the world had changed as a result of playing games. </w:t>
      </w:r>
      <w:bookmarkStart w:id="2" w:name="_Hlk18843236"/>
    </w:p>
    <w:bookmarkEnd w:id="2"/>
    <w:p w14:paraId="62A276D5" w14:textId="7CB734EF" w:rsidR="00C108F3" w:rsidRPr="00B4301D" w:rsidRDefault="007E6D2E" w:rsidP="00CE74C2">
      <w:pPr>
        <w:spacing w:line="360" w:lineRule="auto"/>
        <w:rPr>
          <w:rFonts w:cstheme="minorHAnsi"/>
        </w:rPr>
      </w:pPr>
      <w:r w:rsidRPr="00B4301D">
        <w:tab/>
        <w:t xml:space="preserve">The most frequently cited instances of affective change involved </w:t>
      </w:r>
      <w:r w:rsidR="000E2C00" w:rsidRPr="00B4301D">
        <w:t xml:space="preserve">a game narrative </w:t>
      </w:r>
      <w:r w:rsidR="005B640B" w:rsidRPr="00B4301D">
        <w:t>invok</w:t>
      </w:r>
      <w:r w:rsidR="000E2C00" w:rsidRPr="00B4301D">
        <w:t>ing</w:t>
      </w:r>
      <w:r w:rsidR="005B640B" w:rsidRPr="00B4301D">
        <w:t xml:space="preserve"> personal reflection</w:t>
      </w:r>
      <w:r w:rsidR="00F7759E" w:rsidRPr="00B4301D">
        <w:t xml:space="preserve"> and changes in perception regarding moral and cultural issues</w:t>
      </w:r>
      <w:r w:rsidR="005B640B" w:rsidRPr="00B4301D">
        <w:t xml:space="preserve">. Often this was in relation to games which allowed the play to choose dialogue options such as </w:t>
      </w:r>
      <w:r w:rsidR="005B640B" w:rsidRPr="00B4301D">
        <w:rPr>
          <w:rFonts w:cstheme="minorHAnsi"/>
          <w:i/>
        </w:rPr>
        <w:t>The Elder Scrolls V: Skyrim</w:t>
      </w:r>
      <w:r w:rsidR="005B640B" w:rsidRPr="00B4301D">
        <w:rPr>
          <w:rFonts w:cstheme="minorHAnsi"/>
        </w:rPr>
        <w:t xml:space="preserve"> </w:t>
      </w:r>
      <w:r w:rsidR="005B640B" w:rsidRPr="00B4301D">
        <w:rPr>
          <w:rFonts w:cstheme="minorHAnsi"/>
        </w:rPr>
        <w:fldChar w:fldCharType="begin" w:fldLock="1"/>
      </w:r>
      <w:r w:rsidR="005B640B" w:rsidRPr="00B4301D">
        <w:rPr>
          <w:rFonts w:cstheme="minorHAnsi"/>
        </w:rPr>
        <w:instrText>ADDIN CSL_CITATION {"citationItems":[{"id":"ITEM-1","itemData":{"author":[{"dropping-particle":"","family":"Bethesda Game Studios","given":"","non-dropping-particle":"","parse-names":false,"suffix":""}],"id":"ITEM-1","issued":{"date-parts":[["2011"]]},"title":"The Elder Scrolls V: Skyrim","type":"book"},"uris":["http://www.mendeley.com/documents/?uuid=e2aff6bf-209a-4d53-97ae-35e8b8c7ce89"]}],"mendeley":{"formattedCitation":"(Bethesda Game Studios, 2011)","plainTextFormattedCitation":"(Bethesda Game Studios, 2011)","previouslyFormattedCitation":"(Bethesda Game Studios, 2011)"},"properties":{"noteIndex":0},"schema":"https://github.com/citation-style-language/schema/raw/master/csl-citation.json"}</w:instrText>
      </w:r>
      <w:r w:rsidR="005B640B" w:rsidRPr="00B4301D">
        <w:rPr>
          <w:rFonts w:cstheme="minorHAnsi"/>
        </w:rPr>
        <w:fldChar w:fldCharType="separate"/>
      </w:r>
      <w:r w:rsidR="005B640B" w:rsidRPr="00B4301D">
        <w:rPr>
          <w:rFonts w:cstheme="minorHAnsi"/>
          <w:noProof/>
        </w:rPr>
        <w:t>(Bethesda Game Studios, 2011)</w:t>
      </w:r>
      <w:r w:rsidR="005B640B" w:rsidRPr="00B4301D">
        <w:rPr>
          <w:rFonts w:cstheme="minorHAnsi"/>
        </w:rPr>
        <w:fldChar w:fldCharType="end"/>
      </w:r>
      <w:r w:rsidR="005B640B" w:rsidRPr="00B4301D">
        <w:rPr>
          <w:rFonts w:cstheme="minorHAnsi"/>
        </w:rPr>
        <w:t xml:space="preserve"> or </w:t>
      </w:r>
      <w:r w:rsidR="005B640B" w:rsidRPr="00B4301D">
        <w:rPr>
          <w:rFonts w:cstheme="minorHAnsi"/>
          <w:i/>
        </w:rPr>
        <w:t>Mass Effect</w:t>
      </w:r>
      <w:r w:rsidR="005B640B" w:rsidRPr="00B4301D">
        <w:rPr>
          <w:rFonts w:cstheme="minorHAnsi"/>
        </w:rPr>
        <w:t xml:space="preserve"> </w:t>
      </w:r>
      <w:r w:rsidR="005B640B" w:rsidRPr="00B4301D">
        <w:rPr>
          <w:rFonts w:cstheme="minorHAnsi"/>
        </w:rPr>
        <w:fldChar w:fldCharType="begin" w:fldLock="1"/>
      </w:r>
      <w:r w:rsidR="004162A5" w:rsidRPr="00B4301D">
        <w:rPr>
          <w:rFonts w:cstheme="minorHAnsi"/>
        </w:rPr>
        <w:instrText>ADDIN CSL_CITATION {"citationItems":[{"id":"ITEM-1","itemData":{"author":[{"dropping-particle":"","family":"Bioware","given":"","non-dropping-particle":"","parse-names":false,"suffix":""}],"container-title":"Electronic Arts","id":"ITEM-1","issued":{"date-parts":[["2007"]]},"title":"Mass Effect","type":"article-journal"},"uris":["http://www.mendeley.com/documents/?uuid=bf6c1d7f-ff96-42c3-bba9-3762c2d08de2"]}],"mendeley":{"formattedCitation":"(Bioware, 2007)","plainTextFormattedCitation":"(Bioware, 2007)","previouslyFormattedCitation":"(Bioware, 2007)"},"properties":{"noteIndex":0},"schema":"https://github.com/citation-style-language/schema/raw/master/csl-citation.json"}</w:instrText>
      </w:r>
      <w:r w:rsidR="005B640B" w:rsidRPr="00B4301D">
        <w:rPr>
          <w:rFonts w:cstheme="minorHAnsi"/>
        </w:rPr>
        <w:fldChar w:fldCharType="separate"/>
      </w:r>
      <w:r w:rsidR="00357F49" w:rsidRPr="00B4301D">
        <w:rPr>
          <w:rFonts w:cstheme="minorHAnsi"/>
          <w:noProof/>
        </w:rPr>
        <w:t>(Bioware, 2007)</w:t>
      </w:r>
      <w:r w:rsidR="005B640B" w:rsidRPr="00B4301D">
        <w:rPr>
          <w:rFonts w:cstheme="minorHAnsi"/>
        </w:rPr>
        <w:fldChar w:fldCharType="end"/>
      </w:r>
      <w:r w:rsidR="005B640B" w:rsidRPr="00B4301D">
        <w:rPr>
          <w:rFonts w:cstheme="minorHAnsi"/>
        </w:rPr>
        <w:t>. As one participant illustrated</w:t>
      </w:r>
      <w:r w:rsidR="00F24CAB" w:rsidRPr="00B4301D">
        <w:rPr>
          <w:rFonts w:cstheme="minorHAnsi"/>
        </w:rPr>
        <w:t xml:space="preserve"> in reference to </w:t>
      </w:r>
      <w:r w:rsidR="00F24CAB" w:rsidRPr="00B4301D">
        <w:rPr>
          <w:rFonts w:cstheme="minorHAnsi"/>
          <w:i/>
        </w:rPr>
        <w:t xml:space="preserve">Fallout 4 </w:t>
      </w:r>
      <w:r w:rsidR="00F24CAB" w:rsidRPr="00B4301D">
        <w:rPr>
          <w:rFonts w:cstheme="minorHAnsi"/>
          <w:i/>
        </w:rPr>
        <w:fldChar w:fldCharType="begin" w:fldLock="1"/>
      </w:r>
      <w:r w:rsidR="004162A5" w:rsidRPr="00B4301D">
        <w:rPr>
          <w:rFonts w:cstheme="minorHAnsi"/>
          <w:i/>
        </w:rPr>
        <w:instrText>ADDIN CSL_CITATION {"citationItems":[{"id":"ITEM-1","itemData":{"author":[{"dropping-particle":"","family":"Bethesda Game Studios","given":"","non-dropping-particle":"","parse-names":false,"suffix":""}],"id":"ITEM-1","issued":{"date-parts":[["2015"]]},"publisher":"Bethseda Softworks","title":"Fallout 4","type":"book"},"uris":["http://www.mendeley.com/documents/?uuid=667b15eb-2dfc-494b-914d-e1c75fb85b8b"]}],"mendeley":{"formattedCitation":"(Bethesda Game Studios, 2015)","plainTextFormattedCitation":"(Bethesda Game Studios, 2015)","previouslyFormattedCitation":"(Bethesda Game Studios, 2015)"},"properties":{"noteIndex":0},"schema":"https://github.com/citation-style-language/schema/raw/master/csl-citation.json"}</w:instrText>
      </w:r>
      <w:r w:rsidR="00F24CAB" w:rsidRPr="00B4301D">
        <w:rPr>
          <w:rFonts w:cstheme="minorHAnsi"/>
          <w:i/>
        </w:rPr>
        <w:fldChar w:fldCharType="separate"/>
      </w:r>
      <w:r w:rsidR="00357F49" w:rsidRPr="00B4301D">
        <w:rPr>
          <w:rFonts w:cstheme="minorHAnsi"/>
          <w:noProof/>
        </w:rPr>
        <w:t>(Bethesda Game Studios, 2015)</w:t>
      </w:r>
      <w:r w:rsidR="00F24CAB" w:rsidRPr="00B4301D">
        <w:rPr>
          <w:rFonts w:cstheme="minorHAnsi"/>
          <w:i/>
        </w:rPr>
        <w:fldChar w:fldCharType="end"/>
      </w:r>
      <w:r w:rsidR="005B640B" w:rsidRPr="00B4301D">
        <w:rPr>
          <w:rFonts w:cstheme="minorHAnsi"/>
        </w:rPr>
        <w:t>:</w:t>
      </w:r>
    </w:p>
    <w:p w14:paraId="3148FC0F" w14:textId="79980ED4" w:rsidR="005B640B" w:rsidRPr="00B4301D" w:rsidRDefault="005B640B" w:rsidP="00D52861">
      <w:pPr>
        <w:spacing w:line="360" w:lineRule="auto"/>
        <w:ind w:left="567" w:right="567"/>
        <w:rPr>
          <w:rFonts w:cstheme="minorHAnsi"/>
          <w:sz w:val="20"/>
          <w:szCs w:val="20"/>
        </w:rPr>
      </w:pPr>
      <w:r w:rsidRPr="00B4301D">
        <w:rPr>
          <w:rFonts w:cstheme="minorHAnsi"/>
          <w:sz w:val="20"/>
          <w:szCs w:val="20"/>
        </w:rPr>
        <w:t>“</w:t>
      </w:r>
      <w:r w:rsidR="00F24CAB" w:rsidRPr="00B4301D">
        <w:rPr>
          <w:rFonts w:cstheme="minorHAnsi"/>
          <w:sz w:val="20"/>
          <w:szCs w:val="20"/>
        </w:rPr>
        <w:t>[It]</w:t>
      </w:r>
      <w:r w:rsidR="00976CDF" w:rsidRPr="00B4301D">
        <w:rPr>
          <w:rFonts w:cstheme="minorHAnsi"/>
          <w:sz w:val="20"/>
          <w:szCs w:val="20"/>
        </w:rPr>
        <w:t xml:space="preserve"> really called into question the concept of humanity. The whole game theorises the idea of whether synthetics and 'zombies' can be seen as human and this really questioned my </w:t>
      </w:r>
      <w:r w:rsidR="00F24CAB" w:rsidRPr="00B4301D">
        <w:rPr>
          <w:rFonts w:cstheme="minorHAnsi"/>
          <w:sz w:val="20"/>
          <w:szCs w:val="20"/>
        </w:rPr>
        <w:t>ideologies</w:t>
      </w:r>
      <w:r w:rsidR="00976CDF" w:rsidRPr="00B4301D">
        <w:rPr>
          <w:rFonts w:cstheme="minorHAnsi"/>
          <w:sz w:val="20"/>
          <w:szCs w:val="20"/>
        </w:rPr>
        <w:t xml:space="preserve"> on what makes someone human</w:t>
      </w:r>
      <w:r w:rsidRPr="00B4301D">
        <w:rPr>
          <w:rFonts w:cstheme="minorHAnsi"/>
          <w:sz w:val="20"/>
          <w:szCs w:val="20"/>
        </w:rPr>
        <w:t>.” –</w:t>
      </w:r>
      <w:r w:rsidR="00857A37" w:rsidRPr="00B4301D">
        <w:rPr>
          <w:rFonts w:cstheme="minorHAnsi"/>
          <w:sz w:val="20"/>
          <w:szCs w:val="20"/>
        </w:rPr>
        <w:t xml:space="preserve"> Female</w:t>
      </w:r>
      <w:r w:rsidRPr="00B4301D">
        <w:rPr>
          <w:rFonts w:cstheme="minorHAnsi"/>
          <w:sz w:val="20"/>
          <w:szCs w:val="20"/>
        </w:rPr>
        <w:t xml:space="preserve">, </w:t>
      </w:r>
      <w:r w:rsidR="00F24CAB" w:rsidRPr="00B4301D">
        <w:rPr>
          <w:rFonts w:cstheme="minorHAnsi"/>
          <w:sz w:val="20"/>
          <w:szCs w:val="20"/>
        </w:rPr>
        <w:t>30</w:t>
      </w:r>
      <w:r w:rsidRPr="00B4301D">
        <w:rPr>
          <w:rFonts w:cstheme="minorHAnsi"/>
          <w:sz w:val="20"/>
          <w:szCs w:val="20"/>
        </w:rPr>
        <w:t xml:space="preserve"> (</w:t>
      </w:r>
      <w:r w:rsidR="00F24CAB" w:rsidRPr="00B4301D">
        <w:rPr>
          <w:rFonts w:cstheme="minorHAnsi"/>
          <w:sz w:val="20"/>
          <w:szCs w:val="20"/>
        </w:rPr>
        <w:t>Narrative Survey</w:t>
      </w:r>
      <w:r w:rsidRPr="00B4301D">
        <w:rPr>
          <w:rFonts w:cstheme="minorHAnsi"/>
          <w:sz w:val="20"/>
          <w:szCs w:val="20"/>
        </w:rPr>
        <w:t>)</w:t>
      </w:r>
    </w:p>
    <w:p w14:paraId="40F677D2" w14:textId="3B8E7320" w:rsidR="00F7759E" w:rsidRPr="00B4301D" w:rsidRDefault="00EB6460" w:rsidP="00CE74C2">
      <w:pPr>
        <w:spacing w:line="360" w:lineRule="auto"/>
        <w:rPr>
          <w:rFonts w:ascii="Calibri" w:hAnsi="Calibri" w:cs="Calibri"/>
          <w:lang w:val="en"/>
        </w:rPr>
      </w:pPr>
      <w:r w:rsidRPr="00B4301D">
        <w:rPr>
          <w:rFonts w:cstheme="minorHAnsi"/>
        </w:rPr>
        <w:t xml:space="preserve">Through providing </w:t>
      </w:r>
      <w:r w:rsidR="00DE3B7D" w:rsidRPr="00B4301D">
        <w:rPr>
          <w:rFonts w:cstheme="minorHAnsi"/>
        </w:rPr>
        <w:t>strong narratives, often involving dialogue choices</w:t>
      </w:r>
      <w:r w:rsidRPr="00B4301D">
        <w:rPr>
          <w:rFonts w:cstheme="minorHAnsi"/>
        </w:rPr>
        <w:t xml:space="preserve">, players </w:t>
      </w:r>
      <w:r w:rsidR="00DE3B7D" w:rsidRPr="00B4301D">
        <w:rPr>
          <w:rFonts w:cstheme="minorHAnsi"/>
        </w:rPr>
        <w:t>can</w:t>
      </w:r>
      <w:r w:rsidRPr="00B4301D">
        <w:rPr>
          <w:rFonts w:cstheme="minorHAnsi"/>
        </w:rPr>
        <w:t xml:space="preserve"> explore aspects of their personality they may not have been given cause to analyse otherwise. While many participants cited these instances of affective change in a positive light, </w:t>
      </w:r>
      <w:r w:rsidRPr="00B4301D">
        <w:rPr>
          <w:rFonts w:ascii="Calibri" w:hAnsi="Calibri" w:cs="Calibri"/>
          <w:lang w:val="en"/>
        </w:rPr>
        <w:t>i</w:t>
      </w:r>
      <w:r w:rsidR="00614EC9" w:rsidRPr="00B4301D">
        <w:rPr>
          <w:rFonts w:ascii="Calibri" w:hAnsi="Calibri" w:cs="Calibri"/>
          <w:lang w:val="en"/>
        </w:rPr>
        <w:t xml:space="preserve">t is worth noting, that some participants also recounted negative feelings associated with such </w:t>
      </w:r>
      <w:r w:rsidRPr="00B4301D">
        <w:rPr>
          <w:rFonts w:ascii="Calibri" w:hAnsi="Calibri" w:cs="Calibri"/>
          <w:lang w:val="en"/>
        </w:rPr>
        <w:t>experiences</w:t>
      </w:r>
      <w:r w:rsidR="00F7759E" w:rsidRPr="00B4301D">
        <w:rPr>
          <w:rFonts w:ascii="Calibri" w:hAnsi="Calibri" w:cs="Calibri"/>
          <w:lang w:val="en"/>
        </w:rPr>
        <w:t xml:space="preserve">, such as the depiction of the game </w:t>
      </w:r>
      <w:r w:rsidR="00F7759E" w:rsidRPr="00B4301D">
        <w:rPr>
          <w:rFonts w:ascii="Calibri" w:hAnsi="Calibri" w:cs="Calibri"/>
          <w:i/>
          <w:lang w:val="en"/>
        </w:rPr>
        <w:t xml:space="preserve">This War of Mine </w:t>
      </w:r>
      <w:r w:rsidR="00F7759E" w:rsidRPr="00B4301D">
        <w:rPr>
          <w:rFonts w:ascii="Calibri" w:hAnsi="Calibri" w:cs="Calibri"/>
          <w:i/>
          <w:lang w:val="en"/>
        </w:rPr>
        <w:fldChar w:fldCharType="begin" w:fldLock="1"/>
      </w:r>
      <w:r w:rsidR="00357F49" w:rsidRPr="00B4301D">
        <w:rPr>
          <w:rFonts w:ascii="Calibri" w:hAnsi="Calibri" w:cs="Calibri"/>
          <w:i/>
          <w:lang w:val="en"/>
        </w:rPr>
        <w:instrText>ADDIN CSL_CITATION {"citationItems":[{"id":"ITEM-1","itemData":{"author":[{"dropping-particle":"","family":"11 Bit Studios","given":"","non-dropping-particle":"","parse-names":false,"suffix":""}],"container-title":"11 Bit Studios","id":"ITEM-1","issued":{"date-parts":[["2014"]]},"title":"This War of Mine","type":"article-journal"},"uris":["http://www.mendeley.com/documents/?uuid=7062c631-df00-4df6-a081-daafeec1eea9"]}],"mendeley":{"formattedCitation":"(11 Bit Studios, 2014)","plainTextFormattedCitation":"(11 Bit Studios, 2014)","previouslyFormattedCitation":"(11 Bit Studios, 2014)"},"properties":{"noteIndex":0},"schema":"https://github.com/citation-style-language/schema/raw/master/csl-citation.json"}</w:instrText>
      </w:r>
      <w:r w:rsidR="00F7759E" w:rsidRPr="00B4301D">
        <w:rPr>
          <w:rFonts w:ascii="Calibri" w:hAnsi="Calibri" w:cs="Calibri"/>
          <w:i/>
          <w:lang w:val="en"/>
        </w:rPr>
        <w:fldChar w:fldCharType="separate"/>
      </w:r>
      <w:r w:rsidR="00F7759E" w:rsidRPr="00B4301D">
        <w:rPr>
          <w:rFonts w:ascii="Calibri" w:hAnsi="Calibri" w:cs="Calibri"/>
          <w:noProof/>
          <w:lang w:val="en"/>
        </w:rPr>
        <w:t>(11 Bit Studios, 2014)</w:t>
      </w:r>
      <w:r w:rsidR="00F7759E" w:rsidRPr="00B4301D">
        <w:rPr>
          <w:rFonts w:ascii="Calibri" w:hAnsi="Calibri" w:cs="Calibri"/>
          <w:i/>
          <w:lang w:val="en"/>
        </w:rPr>
        <w:fldChar w:fldCharType="end"/>
      </w:r>
      <w:r w:rsidR="00F7759E" w:rsidRPr="00B4301D">
        <w:rPr>
          <w:rFonts w:ascii="Calibri" w:hAnsi="Calibri" w:cs="Calibri"/>
          <w:lang w:val="en"/>
        </w:rPr>
        <w:t>:</w:t>
      </w:r>
    </w:p>
    <w:p w14:paraId="50FD8268" w14:textId="19FAE6B7" w:rsidR="00F7759E" w:rsidRPr="00B4301D" w:rsidRDefault="00F7759E" w:rsidP="00D528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567" w:right="567"/>
        <w:jc w:val="both"/>
        <w:rPr>
          <w:rFonts w:cstheme="minorHAnsi"/>
          <w:sz w:val="20"/>
          <w:szCs w:val="20"/>
        </w:rPr>
      </w:pPr>
      <w:r w:rsidRPr="00B4301D">
        <w:rPr>
          <w:rFonts w:cstheme="minorHAnsi"/>
          <w:sz w:val="20"/>
          <w:szCs w:val="20"/>
        </w:rPr>
        <w:lastRenderedPageBreak/>
        <w:t>“It's fantastic but it's awful because it makes you feel things, like consider things that you didn’t really have to think about previously. And it helps you think about how people can - the things that you have to do to survive and then obviously, it makes you feel bad. It's like, dude, this is actually a really bad decision and this is actually a really hard time. And you understand what many people had to go through.” – Male, 30 (Interview)</w:t>
      </w:r>
    </w:p>
    <w:p w14:paraId="2AF13F4D" w14:textId="4B3D71F6" w:rsidR="00DE3C69" w:rsidRPr="00B4301D" w:rsidRDefault="00C727E9" w:rsidP="00EB6460">
      <w:pPr>
        <w:spacing w:line="360" w:lineRule="auto"/>
        <w:rPr>
          <w:rFonts w:ascii="Calibri" w:hAnsi="Calibri" w:cs="Calibri"/>
          <w:lang w:val="en"/>
        </w:rPr>
      </w:pPr>
      <w:r w:rsidRPr="00B4301D">
        <w:rPr>
          <w:rFonts w:ascii="Calibri" w:hAnsi="Calibri" w:cs="Calibri"/>
          <w:lang w:val="en"/>
        </w:rPr>
        <w:t xml:space="preserve">In the example above, parallels were </w:t>
      </w:r>
      <w:r w:rsidR="00A50222" w:rsidRPr="00B4301D">
        <w:rPr>
          <w:rFonts w:ascii="Calibri" w:hAnsi="Calibri" w:cs="Calibri"/>
          <w:lang w:val="en"/>
        </w:rPr>
        <w:t>drawn</w:t>
      </w:r>
      <w:r w:rsidRPr="00B4301D">
        <w:rPr>
          <w:rFonts w:ascii="Calibri" w:hAnsi="Calibri" w:cs="Calibri"/>
          <w:lang w:val="en"/>
        </w:rPr>
        <w:t xml:space="preserve"> between the game’s narrative and similar situations in real life leading </w:t>
      </w:r>
      <w:r w:rsidR="00464F8C" w:rsidRPr="00B4301D">
        <w:rPr>
          <w:rFonts w:ascii="Calibri" w:hAnsi="Calibri" w:cs="Calibri"/>
          <w:lang w:val="en"/>
        </w:rPr>
        <w:t>to changes in perceptions and deeper understandings</w:t>
      </w:r>
      <w:r w:rsidR="00EB6460" w:rsidRPr="00B4301D">
        <w:rPr>
          <w:rFonts w:ascii="Calibri" w:hAnsi="Calibri" w:cs="Calibri"/>
          <w:lang w:val="en"/>
        </w:rPr>
        <w:t>.</w:t>
      </w:r>
      <w:r w:rsidR="009D4ADC" w:rsidRPr="00B4301D">
        <w:rPr>
          <w:rFonts w:ascii="Calibri" w:hAnsi="Calibri" w:cs="Calibri"/>
          <w:lang w:val="en"/>
        </w:rPr>
        <w:t xml:space="preserve"> </w:t>
      </w:r>
      <w:r w:rsidR="00EB6460" w:rsidRPr="00B4301D">
        <w:rPr>
          <w:rFonts w:ascii="Calibri" w:hAnsi="Calibri" w:cs="Calibri"/>
          <w:lang w:val="en"/>
        </w:rPr>
        <w:t>Similarly, p</w:t>
      </w:r>
      <w:r w:rsidR="00E72534" w:rsidRPr="00B4301D">
        <w:rPr>
          <w:rFonts w:ascii="Calibri" w:hAnsi="Calibri" w:cs="Calibri"/>
          <w:lang w:val="en"/>
        </w:rPr>
        <w:t xml:space="preserve">articipants mentioned games in which they could connect with the characters or situations on a personal level to be especially good at allowing them to view a situation or individual from a different light. </w:t>
      </w:r>
      <w:r w:rsidR="00DE3C69" w:rsidRPr="00B4301D">
        <w:rPr>
          <w:rFonts w:ascii="Calibri" w:hAnsi="Calibri" w:cs="Calibri"/>
          <w:lang w:val="en"/>
        </w:rPr>
        <w:t>As one participant illustrated:</w:t>
      </w:r>
    </w:p>
    <w:p w14:paraId="6400DE3E" w14:textId="60A3D852" w:rsidR="00DE3C69" w:rsidRPr="00B4301D" w:rsidRDefault="00DE3C69" w:rsidP="00DE3C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567" w:right="567"/>
        <w:jc w:val="both"/>
        <w:rPr>
          <w:rFonts w:cstheme="minorHAnsi"/>
          <w:sz w:val="20"/>
          <w:szCs w:val="20"/>
        </w:rPr>
      </w:pPr>
      <w:r w:rsidRPr="00B4301D">
        <w:rPr>
          <w:rFonts w:cstheme="minorHAnsi"/>
          <w:sz w:val="20"/>
          <w:szCs w:val="20"/>
        </w:rPr>
        <w:t xml:space="preserve">“There have been some really good games in the past, and it’s all about good story telling and good character development. And when you start to relate to characters, you sort of start to, it can actually raise your awareness of different types of people, different conditions and things like that.” – Female, 31 (Interview) </w:t>
      </w:r>
    </w:p>
    <w:p w14:paraId="19292788" w14:textId="7CC658F8" w:rsidR="00E72534" w:rsidRPr="00B4301D" w:rsidRDefault="00E72534" w:rsidP="00CE74C2">
      <w:pPr>
        <w:spacing w:line="360" w:lineRule="auto"/>
        <w:rPr>
          <w:rFonts w:ascii="Calibri" w:hAnsi="Calibri" w:cs="Calibri"/>
          <w:lang w:val="en"/>
        </w:rPr>
      </w:pPr>
      <w:r w:rsidRPr="00B4301D">
        <w:rPr>
          <w:rFonts w:ascii="Calibri" w:hAnsi="Calibri" w:cs="Calibri"/>
          <w:lang w:val="en"/>
        </w:rPr>
        <w:t xml:space="preserve">Often participants had experienced similar situations in their real-life and through playing a game portraying a similar situation were able to derive new insight and understanding of the issues at hand. </w:t>
      </w:r>
      <w:r w:rsidR="000E3343" w:rsidRPr="00B4301D">
        <w:rPr>
          <w:rFonts w:ascii="Calibri" w:hAnsi="Calibri" w:cs="Calibri"/>
          <w:lang w:val="en"/>
        </w:rPr>
        <w:t>R</w:t>
      </w:r>
      <w:r w:rsidRPr="00B4301D">
        <w:rPr>
          <w:rFonts w:ascii="Calibri" w:hAnsi="Calibri" w:cs="Calibri"/>
          <w:lang w:val="en"/>
        </w:rPr>
        <w:t xml:space="preserve">eflection and personal change </w:t>
      </w:r>
      <w:r w:rsidR="000E3343" w:rsidRPr="00B4301D">
        <w:rPr>
          <w:rFonts w:ascii="Calibri" w:hAnsi="Calibri" w:cs="Calibri"/>
          <w:lang w:val="en"/>
        </w:rPr>
        <w:t>were</w:t>
      </w:r>
      <w:r w:rsidRPr="00B4301D">
        <w:rPr>
          <w:rFonts w:ascii="Calibri" w:hAnsi="Calibri" w:cs="Calibri"/>
          <w:lang w:val="en"/>
        </w:rPr>
        <w:t xml:space="preserve"> not solely instigated by the game’s narrative</w:t>
      </w:r>
      <w:r w:rsidR="00F57632" w:rsidRPr="00B4301D">
        <w:rPr>
          <w:rFonts w:ascii="Calibri" w:hAnsi="Calibri" w:cs="Calibri"/>
          <w:lang w:val="en"/>
        </w:rPr>
        <w:t xml:space="preserve">, but also within the mechanics of gameplay itself. Many participants mentioned how games taught them that failure was </w:t>
      </w:r>
      <w:r w:rsidR="000E3343" w:rsidRPr="00B4301D">
        <w:rPr>
          <w:rFonts w:ascii="Calibri" w:hAnsi="Calibri" w:cs="Calibri"/>
          <w:lang w:val="en"/>
        </w:rPr>
        <w:t>acceptable</w:t>
      </w:r>
      <w:r w:rsidR="00F57632" w:rsidRPr="00B4301D">
        <w:rPr>
          <w:rFonts w:ascii="Calibri" w:hAnsi="Calibri" w:cs="Calibri"/>
          <w:lang w:val="en"/>
        </w:rPr>
        <w:t xml:space="preserve">. As one participant put it when referencing the game </w:t>
      </w:r>
      <w:r w:rsidR="00F57632" w:rsidRPr="00B4301D">
        <w:rPr>
          <w:rFonts w:ascii="Calibri" w:hAnsi="Calibri" w:cs="Calibri"/>
          <w:i/>
          <w:lang w:val="en"/>
        </w:rPr>
        <w:t xml:space="preserve">StarCraft II </w:t>
      </w:r>
      <w:r w:rsidR="00F57632" w:rsidRPr="00B4301D">
        <w:rPr>
          <w:rFonts w:ascii="Calibri" w:hAnsi="Calibri" w:cs="Calibri"/>
          <w:i/>
          <w:lang w:val="en"/>
        </w:rPr>
        <w:fldChar w:fldCharType="begin" w:fldLock="1"/>
      </w:r>
      <w:r w:rsidR="00357F49" w:rsidRPr="00B4301D">
        <w:rPr>
          <w:rFonts w:ascii="Calibri" w:hAnsi="Calibri" w:cs="Calibri"/>
          <w:i/>
          <w:lang w:val="en"/>
        </w:rPr>
        <w:instrText>ADDIN CSL_CITATION {"citationItems":[{"id":"ITEM-1","itemData":{"author":[{"dropping-particle":"","family":"Blizzard Entertainment","given":"","non-dropping-particle":"","parse-names":false,"suffix":""}],"id":"ITEM-1","issued":{"date-parts":[["2010"]]},"publisher":"Blizzard Entertainment","title":"Starcraft II","type":"book"},"uris":["http://www.mendeley.com/documents/?uuid=842de5f5-1a79-4727-8d5b-34b54e416807"]}],"mendeley":{"formattedCitation":"(Blizzard Entertainment, 2010)","plainTextFormattedCitation":"(Blizzard Entertainment, 2010)","previouslyFormattedCitation":"(Blizzard Entertainment, 2010)"},"properties":{"noteIndex":0},"schema":"https://github.com/citation-style-language/schema/raw/master/csl-citation.json"}</w:instrText>
      </w:r>
      <w:r w:rsidR="00F57632" w:rsidRPr="00B4301D">
        <w:rPr>
          <w:rFonts w:ascii="Calibri" w:hAnsi="Calibri" w:cs="Calibri"/>
          <w:i/>
          <w:lang w:val="en"/>
        </w:rPr>
        <w:fldChar w:fldCharType="separate"/>
      </w:r>
      <w:r w:rsidR="00F57632" w:rsidRPr="00B4301D">
        <w:rPr>
          <w:rFonts w:ascii="Calibri" w:hAnsi="Calibri" w:cs="Calibri"/>
          <w:noProof/>
          <w:lang w:val="en"/>
        </w:rPr>
        <w:t>(Blizzard Entertainment, 2010)</w:t>
      </w:r>
      <w:r w:rsidR="00F57632" w:rsidRPr="00B4301D">
        <w:rPr>
          <w:rFonts w:ascii="Calibri" w:hAnsi="Calibri" w:cs="Calibri"/>
          <w:i/>
          <w:lang w:val="en"/>
        </w:rPr>
        <w:fldChar w:fldCharType="end"/>
      </w:r>
      <w:r w:rsidR="00F57632" w:rsidRPr="00B4301D">
        <w:rPr>
          <w:rFonts w:ascii="Calibri" w:hAnsi="Calibri" w:cs="Calibri"/>
          <w:lang w:val="en"/>
        </w:rPr>
        <w:t>:</w:t>
      </w:r>
    </w:p>
    <w:p w14:paraId="76D9BE3A" w14:textId="0E5EFC13" w:rsidR="00F57632" w:rsidRPr="00B4301D" w:rsidRDefault="00F57632" w:rsidP="00D528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567" w:right="567"/>
        <w:jc w:val="both"/>
        <w:rPr>
          <w:rFonts w:cstheme="minorHAnsi"/>
          <w:sz w:val="20"/>
          <w:szCs w:val="20"/>
        </w:rPr>
      </w:pPr>
      <w:r w:rsidRPr="00B4301D">
        <w:rPr>
          <w:rFonts w:cstheme="minorHAnsi"/>
          <w:sz w:val="20"/>
          <w:szCs w:val="20"/>
        </w:rPr>
        <w:t xml:space="preserve">“If you lost a game, it’s not that you played very bad, maybe you played very well, so it’s better to lose a game versus a world class table tennis or football player: that’s an achievement I think. So, it depends on the situation. And you will always make mistakes, but I think it’s how you use that experience.”– Male, 34 (Interview) </w:t>
      </w:r>
    </w:p>
    <w:p w14:paraId="72B48025" w14:textId="4A1F75D4" w:rsidR="00F7759E" w:rsidRPr="00B4301D" w:rsidRDefault="008A24C2" w:rsidP="00CE74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right="567"/>
        <w:jc w:val="both"/>
        <w:rPr>
          <w:rFonts w:cstheme="minorHAnsi"/>
        </w:rPr>
      </w:pPr>
      <w:r w:rsidRPr="00B4301D">
        <w:rPr>
          <w:rFonts w:cstheme="minorHAnsi"/>
        </w:rPr>
        <w:tab/>
      </w:r>
      <w:r w:rsidR="00B871E3" w:rsidRPr="00B4301D">
        <w:rPr>
          <w:rFonts w:cstheme="minorHAnsi"/>
        </w:rPr>
        <w:t xml:space="preserve">Similar to this, a few participants also mentioned </w:t>
      </w:r>
      <w:r w:rsidR="000A6A4F" w:rsidRPr="00B4301D">
        <w:rPr>
          <w:rFonts w:cstheme="minorHAnsi"/>
        </w:rPr>
        <w:t>viewing</w:t>
      </w:r>
      <w:r w:rsidR="00B871E3" w:rsidRPr="00B4301D">
        <w:rPr>
          <w:rFonts w:cstheme="minorHAnsi"/>
        </w:rPr>
        <w:t xml:space="preserve"> competition in a new light with one participant </w:t>
      </w:r>
      <w:r w:rsidR="000A6A4F" w:rsidRPr="00B4301D">
        <w:rPr>
          <w:rFonts w:cstheme="minorHAnsi"/>
        </w:rPr>
        <w:t xml:space="preserve">stating </w:t>
      </w:r>
      <w:r w:rsidR="00B871E3" w:rsidRPr="00B4301D">
        <w:rPr>
          <w:rFonts w:cstheme="minorHAnsi"/>
        </w:rPr>
        <w:t>that he was only able to fully understand how people managed to become masters at games after he had “thrown himself at it about several million times”</w:t>
      </w:r>
      <w:r w:rsidR="009E622F" w:rsidRPr="00B4301D">
        <w:rPr>
          <w:rFonts w:cstheme="minorHAnsi"/>
        </w:rPr>
        <w:t xml:space="preserve"> (Male, 23, interview)</w:t>
      </w:r>
      <w:r w:rsidR="00B871E3" w:rsidRPr="00B4301D">
        <w:rPr>
          <w:rFonts w:cstheme="minorHAnsi"/>
        </w:rPr>
        <w:t xml:space="preserve">. </w:t>
      </w:r>
      <w:r w:rsidR="00005F2C" w:rsidRPr="00B4301D">
        <w:rPr>
          <w:rFonts w:cstheme="minorHAnsi"/>
        </w:rPr>
        <w:t xml:space="preserve"> </w:t>
      </w:r>
    </w:p>
    <w:p w14:paraId="3436EEEE" w14:textId="505F74CE" w:rsidR="00B63E8E" w:rsidRPr="00B4301D" w:rsidRDefault="00B871E3" w:rsidP="00CE74C2">
      <w:pPr>
        <w:spacing w:line="360" w:lineRule="auto"/>
        <w:ind w:firstLine="720"/>
        <w:rPr>
          <w:rFonts w:ascii="Calibri" w:hAnsi="Calibri" w:cs="Calibri"/>
          <w:lang w:val="en"/>
        </w:rPr>
      </w:pPr>
      <w:r w:rsidRPr="00B4301D">
        <w:rPr>
          <w:rFonts w:ascii="Calibri" w:hAnsi="Calibri" w:cs="Calibri"/>
          <w:lang w:val="en"/>
        </w:rPr>
        <w:t xml:space="preserve">In essence, </w:t>
      </w:r>
      <w:r w:rsidR="000A6A4F" w:rsidRPr="00B4301D">
        <w:rPr>
          <w:rFonts w:ascii="Calibri" w:hAnsi="Calibri" w:cs="Calibri"/>
          <w:lang w:val="en"/>
        </w:rPr>
        <w:t xml:space="preserve">while </w:t>
      </w:r>
      <w:r w:rsidRPr="00B4301D">
        <w:rPr>
          <w:rFonts w:ascii="Calibri" w:hAnsi="Calibri" w:cs="Calibri"/>
          <w:lang w:val="en"/>
        </w:rPr>
        <w:t xml:space="preserve">games </w:t>
      </w:r>
      <w:r w:rsidR="000A6A4F" w:rsidRPr="00B4301D">
        <w:rPr>
          <w:rFonts w:ascii="Calibri" w:hAnsi="Calibri" w:cs="Calibri"/>
          <w:lang w:val="en"/>
        </w:rPr>
        <w:t>that</w:t>
      </w:r>
      <w:r w:rsidRPr="00B4301D">
        <w:rPr>
          <w:rFonts w:ascii="Calibri" w:hAnsi="Calibri" w:cs="Calibri"/>
          <w:lang w:val="en"/>
        </w:rPr>
        <w:t xml:space="preserve"> utili</w:t>
      </w:r>
      <w:r w:rsidR="000A6A4F" w:rsidRPr="00B4301D">
        <w:rPr>
          <w:rFonts w:ascii="Calibri" w:hAnsi="Calibri" w:cs="Calibri"/>
          <w:lang w:val="en"/>
        </w:rPr>
        <w:t>z</w:t>
      </w:r>
      <w:r w:rsidRPr="00B4301D">
        <w:rPr>
          <w:rFonts w:ascii="Calibri" w:hAnsi="Calibri" w:cs="Calibri"/>
          <w:lang w:val="en"/>
        </w:rPr>
        <w:t xml:space="preserve">e strong moral and emotionally challenging themes may provide limited </w:t>
      </w:r>
      <w:r w:rsidR="003D3F6D" w:rsidRPr="00B4301D">
        <w:rPr>
          <w:rFonts w:ascii="Calibri" w:hAnsi="Calibri" w:cs="Calibri"/>
          <w:lang w:val="en"/>
        </w:rPr>
        <w:t>possibilities</w:t>
      </w:r>
      <w:r w:rsidRPr="00B4301D">
        <w:rPr>
          <w:rFonts w:ascii="Calibri" w:hAnsi="Calibri" w:cs="Calibri"/>
          <w:lang w:val="en"/>
        </w:rPr>
        <w:t xml:space="preserve"> for different types of play such as alternate routes through the game or different strategies to use in combat, they </w:t>
      </w:r>
      <w:r w:rsidR="00645B58" w:rsidRPr="00B4301D">
        <w:rPr>
          <w:rFonts w:ascii="Calibri" w:hAnsi="Calibri" w:cs="Calibri"/>
          <w:lang w:val="en"/>
        </w:rPr>
        <w:t>can</w:t>
      </w:r>
      <w:r w:rsidRPr="00B4301D">
        <w:rPr>
          <w:rFonts w:ascii="Calibri" w:hAnsi="Calibri" w:cs="Calibri"/>
          <w:lang w:val="en"/>
        </w:rPr>
        <w:t xml:space="preserve"> provide complex and extensive dialogue options. Such options allow the exploration of not only the moral or emotional issues at hand but also the personality of the player. </w:t>
      </w:r>
      <w:r w:rsidR="009E622F" w:rsidRPr="00B4301D">
        <w:rPr>
          <w:rFonts w:ascii="Calibri" w:hAnsi="Calibri" w:cs="Calibri"/>
          <w:lang w:val="en"/>
        </w:rPr>
        <w:t xml:space="preserve">This </w:t>
      </w:r>
      <w:r w:rsidRPr="00B4301D">
        <w:rPr>
          <w:rFonts w:ascii="Calibri" w:hAnsi="Calibri" w:cs="Calibri"/>
          <w:lang w:val="en"/>
        </w:rPr>
        <w:t xml:space="preserve">exploration invokes personal reflection, changes in identity and </w:t>
      </w:r>
      <w:r w:rsidRPr="00B4301D">
        <w:rPr>
          <w:rFonts w:ascii="Calibri" w:hAnsi="Calibri" w:cs="Calibri"/>
          <w:lang w:val="en"/>
        </w:rPr>
        <w:lastRenderedPageBreak/>
        <w:t xml:space="preserve">worldviews and the creation of personally meaningful insights. </w:t>
      </w:r>
      <w:r w:rsidR="001640B6" w:rsidRPr="00B4301D">
        <w:rPr>
          <w:rFonts w:ascii="Calibri" w:hAnsi="Calibri" w:cs="Calibri"/>
          <w:lang w:val="en"/>
        </w:rPr>
        <w:t xml:space="preserve">In addition, games which may not be as strong on narrative </w:t>
      </w:r>
      <w:r w:rsidR="009E622F" w:rsidRPr="00B4301D">
        <w:rPr>
          <w:rFonts w:ascii="Calibri" w:hAnsi="Calibri" w:cs="Calibri"/>
          <w:lang w:val="en"/>
        </w:rPr>
        <w:t xml:space="preserve">can </w:t>
      </w:r>
      <w:r w:rsidR="001640B6" w:rsidRPr="00B4301D">
        <w:rPr>
          <w:rFonts w:ascii="Calibri" w:hAnsi="Calibri" w:cs="Calibri"/>
          <w:lang w:val="en"/>
        </w:rPr>
        <w:t xml:space="preserve">still </w:t>
      </w:r>
      <w:r w:rsidR="00A50222" w:rsidRPr="00B4301D">
        <w:rPr>
          <w:rFonts w:ascii="Calibri" w:hAnsi="Calibri" w:cs="Calibri"/>
          <w:lang w:val="en"/>
        </w:rPr>
        <w:t>offer</w:t>
      </w:r>
      <w:r w:rsidR="001640B6" w:rsidRPr="00B4301D">
        <w:rPr>
          <w:rFonts w:ascii="Calibri" w:hAnsi="Calibri" w:cs="Calibri"/>
          <w:lang w:val="en"/>
        </w:rPr>
        <w:t xml:space="preserve"> players opportunities for meaningful growth. Games </w:t>
      </w:r>
      <w:r w:rsidR="00A50222" w:rsidRPr="00B4301D">
        <w:rPr>
          <w:rFonts w:ascii="Calibri" w:hAnsi="Calibri" w:cs="Calibri"/>
          <w:lang w:val="en"/>
        </w:rPr>
        <w:t>provide players with a safe space to fail,</w:t>
      </w:r>
      <w:r w:rsidR="001640B6" w:rsidRPr="00B4301D">
        <w:rPr>
          <w:rFonts w:ascii="Calibri" w:hAnsi="Calibri" w:cs="Calibri"/>
          <w:lang w:val="en"/>
        </w:rPr>
        <w:t xml:space="preserve"> allowing them to come to terms with what it means “to be bad at something”</w:t>
      </w:r>
      <w:r w:rsidR="00645B58" w:rsidRPr="00B4301D">
        <w:rPr>
          <w:rFonts w:ascii="Calibri" w:hAnsi="Calibri" w:cs="Calibri"/>
          <w:lang w:val="en"/>
        </w:rPr>
        <w:t xml:space="preserve"> and instead view failure as a development opportunity and learning experience. </w:t>
      </w:r>
    </w:p>
    <w:p w14:paraId="3D947EAA" w14:textId="7910F180" w:rsidR="00C762F2" w:rsidRPr="00B4301D" w:rsidRDefault="00AE5C10" w:rsidP="00D52861">
      <w:pPr>
        <w:pStyle w:val="Heading2"/>
        <w:spacing w:line="360" w:lineRule="auto"/>
        <w:rPr>
          <w:color w:val="auto"/>
          <w:lang w:val="en"/>
        </w:rPr>
      </w:pPr>
      <w:r w:rsidRPr="00B4301D">
        <w:rPr>
          <w:color w:val="auto"/>
          <w:lang w:val="en"/>
        </w:rPr>
        <w:t>3.</w:t>
      </w:r>
      <w:r w:rsidR="00E86E75" w:rsidRPr="00B4301D">
        <w:rPr>
          <w:color w:val="auto"/>
          <w:lang w:val="en"/>
        </w:rPr>
        <w:t>4.</w:t>
      </w:r>
      <w:r w:rsidRPr="00B4301D">
        <w:rPr>
          <w:color w:val="auto"/>
          <w:lang w:val="en"/>
        </w:rPr>
        <w:t xml:space="preserve"> Design </w:t>
      </w:r>
      <w:r w:rsidR="003D3F6D" w:rsidRPr="00B4301D">
        <w:rPr>
          <w:color w:val="auto"/>
          <w:lang w:val="en"/>
        </w:rPr>
        <w:t>Considerations</w:t>
      </w:r>
    </w:p>
    <w:p w14:paraId="77B2DCFF" w14:textId="1D878750" w:rsidR="005F2741" w:rsidRPr="00B4301D" w:rsidRDefault="00C762F2" w:rsidP="00CE74C2">
      <w:pPr>
        <w:spacing w:line="360" w:lineRule="auto"/>
        <w:rPr>
          <w:rFonts w:ascii="Calibri" w:hAnsi="Calibri" w:cs="Calibri"/>
          <w:lang w:val="en"/>
        </w:rPr>
      </w:pPr>
      <w:r w:rsidRPr="00B4301D">
        <w:rPr>
          <w:rFonts w:ascii="Calibri" w:hAnsi="Calibri" w:cs="Calibri"/>
          <w:lang w:val="en"/>
        </w:rPr>
        <w:t>Three main categories of creative expression were defined from this study. In terms of how these types of expression related to different types of games, an additional category</w:t>
      </w:r>
      <w:r w:rsidR="000A6A4F" w:rsidRPr="00B4301D">
        <w:rPr>
          <w:rFonts w:ascii="Calibri" w:hAnsi="Calibri" w:cs="Calibri"/>
          <w:lang w:val="en"/>
        </w:rPr>
        <w:t xml:space="preserve"> was developed during</w:t>
      </w:r>
      <w:r w:rsidRPr="00B4301D">
        <w:rPr>
          <w:rFonts w:ascii="Calibri" w:hAnsi="Calibri" w:cs="Calibri"/>
          <w:lang w:val="en"/>
        </w:rPr>
        <w:t xml:space="preserve"> analysis, focusing on the specific </w:t>
      </w:r>
      <w:r w:rsidR="003D3F6D" w:rsidRPr="00B4301D">
        <w:rPr>
          <w:rFonts w:ascii="Calibri" w:hAnsi="Calibri" w:cs="Calibri"/>
          <w:lang w:val="en"/>
        </w:rPr>
        <w:t>possibilities</w:t>
      </w:r>
      <w:r w:rsidR="000D7585" w:rsidRPr="00B4301D">
        <w:rPr>
          <w:rFonts w:ascii="Calibri" w:hAnsi="Calibri" w:cs="Calibri"/>
          <w:lang w:val="en"/>
        </w:rPr>
        <w:t xml:space="preserve"> for creative expression in games. The different types of </w:t>
      </w:r>
      <w:r w:rsidR="00E83416" w:rsidRPr="00B4301D">
        <w:rPr>
          <w:rFonts w:ascii="Calibri" w:hAnsi="Calibri" w:cs="Calibri"/>
          <w:lang w:val="en"/>
        </w:rPr>
        <w:t xml:space="preserve">design </w:t>
      </w:r>
      <w:r w:rsidR="00B05CCF" w:rsidRPr="00B4301D">
        <w:rPr>
          <w:rFonts w:ascii="Calibri" w:hAnsi="Calibri" w:cs="Calibri"/>
          <w:lang w:val="en"/>
        </w:rPr>
        <w:t>considerations</w:t>
      </w:r>
      <w:r w:rsidR="000D7585" w:rsidRPr="00B4301D">
        <w:rPr>
          <w:rFonts w:ascii="Calibri" w:hAnsi="Calibri" w:cs="Calibri"/>
          <w:lang w:val="en"/>
        </w:rPr>
        <w:t xml:space="preserve"> contributing to creative expression were as follows: </w:t>
      </w:r>
      <w:r w:rsidR="000D7585" w:rsidRPr="00B4301D">
        <w:rPr>
          <w:rFonts w:ascii="Calibri" w:hAnsi="Calibri" w:cs="Calibri"/>
          <w:i/>
          <w:lang w:val="en"/>
        </w:rPr>
        <w:t xml:space="preserve">freedom of play, </w:t>
      </w:r>
      <w:r w:rsidR="00E83416" w:rsidRPr="00B4301D">
        <w:rPr>
          <w:rFonts w:ascii="Calibri" w:hAnsi="Calibri" w:cs="Calibri"/>
          <w:i/>
          <w:lang w:val="en"/>
        </w:rPr>
        <w:t xml:space="preserve">tools, </w:t>
      </w:r>
      <w:r w:rsidR="000D7585" w:rsidRPr="00B4301D">
        <w:rPr>
          <w:rFonts w:ascii="Calibri" w:hAnsi="Calibri" w:cs="Calibri"/>
          <w:i/>
          <w:lang w:val="en"/>
        </w:rPr>
        <w:t xml:space="preserve">environment, </w:t>
      </w:r>
      <w:proofErr w:type="spellStart"/>
      <w:r w:rsidR="000D7585" w:rsidRPr="00B4301D">
        <w:rPr>
          <w:rFonts w:ascii="Calibri" w:hAnsi="Calibri" w:cs="Calibri"/>
          <w:i/>
          <w:lang w:val="en"/>
        </w:rPr>
        <w:t>replayability</w:t>
      </w:r>
      <w:proofErr w:type="spellEnd"/>
      <w:r w:rsidR="000D7585" w:rsidRPr="00B4301D">
        <w:rPr>
          <w:rFonts w:ascii="Calibri" w:hAnsi="Calibri" w:cs="Calibri"/>
          <w:i/>
          <w:lang w:val="en"/>
        </w:rPr>
        <w:t xml:space="preserve">, avatar </w:t>
      </w:r>
      <w:r w:rsidR="000D7585" w:rsidRPr="00B4301D">
        <w:rPr>
          <w:rFonts w:ascii="Calibri" w:hAnsi="Calibri" w:cs="Calibri"/>
          <w:lang w:val="en"/>
        </w:rPr>
        <w:t>and</w:t>
      </w:r>
      <w:r w:rsidR="000D7585" w:rsidRPr="00B4301D">
        <w:rPr>
          <w:rFonts w:ascii="Calibri" w:hAnsi="Calibri" w:cs="Calibri"/>
          <w:i/>
          <w:lang w:val="en"/>
        </w:rPr>
        <w:t xml:space="preserve"> creation</w:t>
      </w:r>
      <w:r w:rsidR="005F2741" w:rsidRPr="00B4301D">
        <w:rPr>
          <w:rFonts w:ascii="Calibri" w:hAnsi="Calibri" w:cs="Calibri"/>
          <w:lang w:val="en"/>
        </w:rPr>
        <w:t xml:space="preserve">. </w:t>
      </w:r>
    </w:p>
    <w:p w14:paraId="073D114A" w14:textId="58C6FFA6" w:rsidR="005F2741" w:rsidRPr="00B4301D" w:rsidRDefault="005F2741" w:rsidP="00CE74C2">
      <w:pPr>
        <w:spacing w:line="360" w:lineRule="auto"/>
        <w:ind w:firstLine="567"/>
        <w:rPr>
          <w:rFonts w:ascii="Calibri" w:hAnsi="Calibri" w:cs="Calibri"/>
          <w:lang w:val="en"/>
        </w:rPr>
      </w:pPr>
      <w:r w:rsidRPr="00B4301D">
        <w:rPr>
          <w:rFonts w:ascii="Calibri" w:hAnsi="Calibri" w:cs="Calibri"/>
          <w:i/>
          <w:lang w:val="en"/>
        </w:rPr>
        <w:t>Freedom of play</w:t>
      </w:r>
      <w:r w:rsidRPr="00B4301D">
        <w:rPr>
          <w:rFonts w:ascii="Calibri" w:hAnsi="Calibri" w:cs="Calibri"/>
          <w:lang w:val="en"/>
        </w:rPr>
        <w:t xml:space="preserve"> </w:t>
      </w:r>
      <w:r w:rsidR="000A6A4F" w:rsidRPr="00B4301D">
        <w:rPr>
          <w:rFonts w:ascii="Calibri" w:hAnsi="Calibri" w:cs="Calibri"/>
          <w:lang w:val="en"/>
        </w:rPr>
        <w:t xml:space="preserve">related </w:t>
      </w:r>
      <w:r w:rsidRPr="00B4301D">
        <w:rPr>
          <w:rFonts w:ascii="Calibri" w:hAnsi="Calibri" w:cs="Calibri"/>
          <w:lang w:val="en"/>
        </w:rPr>
        <w:t xml:space="preserve">to games which allowed the player to experiment with different ways of doing things and </w:t>
      </w:r>
      <w:r w:rsidR="00855335" w:rsidRPr="00B4301D">
        <w:rPr>
          <w:rFonts w:ascii="Calibri" w:hAnsi="Calibri" w:cs="Calibri"/>
          <w:lang w:val="en"/>
        </w:rPr>
        <w:t>accommodated different player motivations</w:t>
      </w:r>
      <w:r w:rsidRPr="00B4301D">
        <w:rPr>
          <w:rFonts w:ascii="Calibri" w:hAnsi="Calibri" w:cs="Calibri"/>
          <w:lang w:val="en"/>
        </w:rPr>
        <w:t xml:space="preserve">. </w:t>
      </w:r>
      <w:r w:rsidR="004E0C26" w:rsidRPr="00B4301D">
        <w:t xml:space="preserve">The majority of games referenced by participants </w:t>
      </w:r>
      <w:r w:rsidR="00273681" w:rsidRPr="00B4301D">
        <w:t>in this category</w:t>
      </w:r>
      <w:r w:rsidR="004E0C26" w:rsidRPr="00B4301D">
        <w:t xml:space="preserve"> were newer, open-world or MMO games</w:t>
      </w:r>
      <w:r w:rsidR="000A6A4F" w:rsidRPr="00B4301D">
        <w:t xml:space="preserve"> such as </w:t>
      </w:r>
      <w:r w:rsidR="000A6A4F" w:rsidRPr="00B4301D">
        <w:rPr>
          <w:i/>
        </w:rPr>
        <w:t xml:space="preserve">Monster Hunter: World </w:t>
      </w:r>
      <w:r w:rsidR="000A6A4F" w:rsidRPr="00B4301D">
        <w:rPr>
          <w:i/>
        </w:rPr>
        <w:fldChar w:fldCharType="begin" w:fldLock="1"/>
      </w:r>
      <w:r w:rsidR="000A6A4F" w:rsidRPr="00B4301D">
        <w:rPr>
          <w:i/>
        </w:rPr>
        <w:instrText>ADDIN CSL_CITATION {"citationItems":[{"id":"ITEM-1","itemData":{"author":[{"dropping-particle":"","family":"Capcom","given":"","non-dropping-particle":"","parse-names":false,"suffix":""}],"id":"ITEM-1","issued":{"date-parts":[["2018"]]},"title":"Monster Hunter: World","type":"book"},"uris":["http://www.mendeley.com/documents/?uuid=006ffda9-fd90-4d7a-be1f-494020c3dc10"]}],"mendeley":{"formattedCitation":"(Capcom, 2018)","plainTextFormattedCitation":"(Capcom, 2018)","previouslyFormattedCitation":"(Capcom, 2018)"},"properties":{"noteIndex":0},"schema":"https://github.com/citation-style-language/schema/raw/master/csl-citation.json"}</w:instrText>
      </w:r>
      <w:r w:rsidR="000A6A4F" w:rsidRPr="00B4301D">
        <w:rPr>
          <w:i/>
        </w:rPr>
        <w:fldChar w:fldCharType="separate"/>
      </w:r>
      <w:r w:rsidR="000A6A4F" w:rsidRPr="00B4301D">
        <w:rPr>
          <w:noProof/>
        </w:rPr>
        <w:t>(Capcom, 2018)</w:t>
      </w:r>
      <w:r w:rsidR="000A6A4F" w:rsidRPr="00B4301D">
        <w:rPr>
          <w:i/>
        </w:rPr>
        <w:fldChar w:fldCharType="end"/>
      </w:r>
      <w:r w:rsidR="000A6A4F" w:rsidRPr="00B4301D">
        <w:rPr>
          <w:i/>
        </w:rPr>
        <w:t xml:space="preserve"> </w:t>
      </w:r>
      <w:r w:rsidR="000A6A4F" w:rsidRPr="00B4301D">
        <w:t xml:space="preserve">and </w:t>
      </w:r>
      <w:r w:rsidR="000A6A4F" w:rsidRPr="00B4301D">
        <w:rPr>
          <w:i/>
        </w:rPr>
        <w:t xml:space="preserve">Legend of Zelda: Breath of the Wild </w:t>
      </w:r>
      <w:r w:rsidR="000A6A4F" w:rsidRPr="00B4301D">
        <w:rPr>
          <w:i/>
        </w:rPr>
        <w:fldChar w:fldCharType="begin" w:fldLock="1"/>
      </w:r>
      <w:r w:rsidR="00357F49" w:rsidRPr="00B4301D">
        <w:rPr>
          <w:i/>
        </w:rPr>
        <w:instrText>ADDIN CSL_CITATION {"citationItems":[{"id":"ITEM-1","itemData":{"author":[{"dropping-particle":"","family":"Nintendo","given":"","non-dropping-particle":"","parse-names":false,"suffix":""}],"container-title":"Nintendo","id":"ITEM-1","issued":{"date-parts":[["2017"]]},"title":"Legend of Zelda: Breath of the Wild","type":"article-journal"},"uris":["http://www.mendeley.com/documents/?uuid=977e60a7-2a42-4573-8236-a27dc5dc32d9"]}],"mendeley":{"formattedCitation":"(Nintendo, 2017)","plainTextFormattedCitation":"(Nintendo, 2017)","previouslyFormattedCitation":"(Nintendo, 2017)"},"properties":{"noteIndex":0},"schema":"https://github.com/citation-style-language/schema/raw/master/csl-citation.json"}</w:instrText>
      </w:r>
      <w:r w:rsidR="000A6A4F" w:rsidRPr="00B4301D">
        <w:rPr>
          <w:i/>
        </w:rPr>
        <w:fldChar w:fldCharType="separate"/>
      </w:r>
      <w:r w:rsidR="000A6A4F" w:rsidRPr="00B4301D">
        <w:rPr>
          <w:noProof/>
        </w:rPr>
        <w:t>(Nintendo, 2017)</w:t>
      </w:r>
      <w:r w:rsidR="000A6A4F" w:rsidRPr="00B4301D">
        <w:rPr>
          <w:i/>
        </w:rPr>
        <w:fldChar w:fldCharType="end"/>
      </w:r>
      <w:r w:rsidR="004E0C26" w:rsidRPr="00B4301D">
        <w:t xml:space="preserve">. </w:t>
      </w:r>
      <w:r w:rsidR="000A6A4F" w:rsidRPr="00B4301D">
        <w:rPr>
          <w:rFonts w:ascii="Calibri" w:hAnsi="Calibri" w:cs="Calibri"/>
          <w:lang w:val="en"/>
        </w:rPr>
        <w:t>These games</w:t>
      </w:r>
      <w:r w:rsidR="004E0C26" w:rsidRPr="00B4301D">
        <w:rPr>
          <w:rFonts w:ascii="Calibri" w:hAnsi="Calibri" w:cs="Calibri"/>
          <w:lang w:val="en"/>
        </w:rPr>
        <w:t xml:space="preserve"> were </w:t>
      </w:r>
      <w:r w:rsidRPr="00B4301D">
        <w:rPr>
          <w:rFonts w:ascii="Calibri" w:hAnsi="Calibri" w:cs="Calibri"/>
          <w:lang w:val="en"/>
        </w:rPr>
        <w:t>non-linear, allowing the player to choose what route to take, in addition to providing opportunities for diverging from the main game narrative in the form of side activities. The inclusion of side quests and activities such as crafting, cooking and mini-games added variety to the play experience and allow</w:t>
      </w:r>
      <w:r w:rsidR="00273681" w:rsidRPr="00B4301D">
        <w:rPr>
          <w:rFonts w:ascii="Calibri" w:hAnsi="Calibri" w:cs="Calibri"/>
          <w:lang w:val="en"/>
        </w:rPr>
        <w:t>ed</w:t>
      </w:r>
      <w:r w:rsidRPr="00B4301D">
        <w:rPr>
          <w:rFonts w:ascii="Calibri" w:hAnsi="Calibri" w:cs="Calibri"/>
          <w:lang w:val="en"/>
        </w:rPr>
        <w:t xml:space="preserve"> exploration and discovery of game elements. As one participant </w:t>
      </w:r>
      <w:r w:rsidR="002716EA" w:rsidRPr="00B4301D">
        <w:rPr>
          <w:rFonts w:ascii="Calibri" w:hAnsi="Calibri" w:cs="Calibri"/>
          <w:lang w:val="en"/>
        </w:rPr>
        <w:t>put it:</w:t>
      </w:r>
    </w:p>
    <w:p w14:paraId="52FBC7F9" w14:textId="74D0FB02" w:rsidR="002716EA" w:rsidRPr="00B4301D" w:rsidRDefault="002716EA" w:rsidP="00D528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567" w:right="567"/>
        <w:jc w:val="both"/>
        <w:rPr>
          <w:rFonts w:cstheme="minorHAnsi"/>
          <w:sz w:val="20"/>
          <w:szCs w:val="20"/>
        </w:rPr>
      </w:pPr>
      <w:r w:rsidRPr="00B4301D">
        <w:rPr>
          <w:rFonts w:cstheme="minorHAnsi"/>
          <w:sz w:val="20"/>
          <w:szCs w:val="20"/>
        </w:rPr>
        <w:t>“When you realize you’re playing a game where you’re not asked to just go from A to Z, and where problems and puzzles can be solved in thousands of ways, sometimes in the most apparently uncanny way you could imagine, using every item or enemy or character in your surroundings... it makes the game feel like a true challenge, and the victories feel much more real.” – Male, 36 (Narrative Survey)</w:t>
      </w:r>
    </w:p>
    <w:p w14:paraId="48DF2228" w14:textId="156A024F" w:rsidR="000A6A4F" w:rsidRPr="00B4301D" w:rsidRDefault="000A6A4F" w:rsidP="00D52861">
      <w:pPr>
        <w:spacing w:line="360" w:lineRule="auto"/>
        <w:ind w:firstLine="720"/>
      </w:pPr>
      <w:r w:rsidRPr="00B4301D">
        <w:t xml:space="preserve">Additionally, the majority of participants cited games which afforded </w:t>
      </w:r>
      <w:r w:rsidRPr="00B4301D">
        <w:rPr>
          <w:i/>
        </w:rPr>
        <w:t>freedom of play</w:t>
      </w:r>
      <w:r w:rsidRPr="00B4301D">
        <w:t xml:space="preserve"> as being the most engaging and granting the greatest sense of achievement. Games which offer players multiple possibilities enable different </w:t>
      </w:r>
      <w:r w:rsidR="00557CCB" w:rsidRPr="00B4301D">
        <w:t xml:space="preserve">types of player </w:t>
      </w:r>
      <w:r w:rsidRPr="00B4301D">
        <w:t xml:space="preserve">motivations to be catered for, and as a result provide a meaningful play experience where players are able to express their creativity through such things as experimenting with different strategies, creating social conventions, and tailoring their route through the game.  </w:t>
      </w:r>
    </w:p>
    <w:p w14:paraId="54A9E056" w14:textId="2534671E" w:rsidR="00E83416" w:rsidRPr="00B4301D" w:rsidRDefault="000A6A4F">
      <w:pPr>
        <w:spacing w:line="360" w:lineRule="auto"/>
        <w:ind w:firstLine="720"/>
      </w:pPr>
      <w:r w:rsidRPr="00B4301D">
        <w:t>T</w:t>
      </w:r>
      <w:r w:rsidR="00855335" w:rsidRPr="00B4301D">
        <w:t xml:space="preserve">he inclusion of different </w:t>
      </w:r>
      <w:r w:rsidR="00E83416" w:rsidRPr="00B4301D">
        <w:rPr>
          <w:i/>
        </w:rPr>
        <w:t>t</w:t>
      </w:r>
      <w:r w:rsidR="00855335" w:rsidRPr="00B4301D">
        <w:rPr>
          <w:i/>
        </w:rPr>
        <w:t xml:space="preserve">ools </w:t>
      </w:r>
      <w:r w:rsidR="00855335" w:rsidRPr="00B4301D">
        <w:t>such as weapons</w:t>
      </w:r>
      <w:r w:rsidR="00845B83" w:rsidRPr="00B4301D">
        <w:t>,</w:t>
      </w:r>
      <w:r w:rsidR="00855335" w:rsidRPr="00B4301D">
        <w:t xml:space="preserve"> abilities</w:t>
      </w:r>
      <w:r w:rsidR="00845B83" w:rsidRPr="00B4301D">
        <w:t xml:space="preserve"> and actions</w:t>
      </w:r>
      <w:r w:rsidR="00855335" w:rsidRPr="00B4301D">
        <w:t xml:space="preserve"> also added to customisation of the ex</w:t>
      </w:r>
      <w:r w:rsidR="00E83416" w:rsidRPr="00B4301D">
        <w:t>perience</w:t>
      </w:r>
      <w:r w:rsidR="00845B83" w:rsidRPr="00B4301D">
        <w:t xml:space="preserve"> and was synonymous with the expression of creativity as problem-solving and appropriation</w:t>
      </w:r>
      <w:r w:rsidR="00E83416" w:rsidRPr="00B4301D">
        <w:t>.</w:t>
      </w:r>
      <w:r w:rsidR="00845B83" w:rsidRPr="00B4301D">
        <w:t xml:space="preserve"> </w:t>
      </w:r>
      <w:r w:rsidRPr="00B4301D">
        <w:t>M</w:t>
      </w:r>
      <w:r w:rsidR="00845B83" w:rsidRPr="00B4301D">
        <w:t xml:space="preserve">ore tools at </w:t>
      </w:r>
      <w:r w:rsidR="00273681" w:rsidRPr="00B4301D">
        <w:t>a</w:t>
      </w:r>
      <w:r w:rsidR="00845B83" w:rsidRPr="00B4301D">
        <w:t xml:space="preserve"> player</w:t>
      </w:r>
      <w:r w:rsidR="00273681" w:rsidRPr="00B4301D">
        <w:t>’</w:t>
      </w:r>
      <w:r w:rsidR="00845B83" w:rsidRPr="00B4301D">
        <w:t>s disposal allow</w:t>
      </w:r>
      <w:r w:rsidR="00273681" w:rsidRPr="00B4301D">
        <w:t>s</w:t>
      </w:r>
      <w:r w:rsidR="00845B83" w:rsidRPr="00B4301D">
        <w:t xml:space="preserve"> for a greater number of combinations and ways to solve ill-structured problems. </w:t>
      </w:r>
      <w:r w:rsidRPr="00B4301D">
        <w:t>W</w:t>
      </w:r>
      <w:r w:rsidR="002716EA" w:rsidRPr="00B4301D">
        <w:t xml:space="preserve">hile the majority of these combinations </w:t>
      </w:r>
      <w:r w:rsidR="002716EA" w:rsidRPr="00B4301D">
        <w:lastRenderedPageBreak/>
        <w:t>are accounted for by the developers</w:t>
      </w:r>
      <w:r w:rsidR="00845B83" w:rsidRPr="00B4301D">
        <w:t>, there is still opportunity for emergent play and the discovery of exploits and glitches</w:t>
      </w:r>
      <w:r w:rsidR="002716EA" w:rsidRPr="00B4301D">
        <w:t xml:space="preserve">. </w:t>
      </w:r>
    </w:p>
    <w:p w14:paraId="6A298AB8" w14:textId="071297AF" w:rsidR="00A84823" w:rsidRPr="00B4301D" w:rsidRDefault="00A84823" w:rsidP="00D528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567" w:right="567"/>
        <w:jc w:val="both"/>
        <w:rPr>
          <w:rFonts w:cstheme="minorHAnsi"/>
          <w:sz w:val="20"/>
          <w:szCs w:val="20"/>
        </w:rPr>
      </w:pPr>
      <w:r w:rsidRPr="00B4301D">
        <w:rPr>
          <w:rFonts w:cstheme="minorHAnsi"/>
          <w:sz w:val="20"/>
          <w:szCs w:val="20"/>
        </w:rPr>
        <w:t>“You can do lots of different combinations of different weapons and things like that. And you have to think on your feet about different strategies to use and stuff like that to defeat the enemy.</w:t>
      </w:r>
      <w:r w:rsidR="008500CD" w:rsidRPr="00B4301D">
        <w:rPr>
          <w:rFonts w:cstheme="minorHAnsi"/>
          <w:sz w:val="20"/>
          <w:szCs w:val="20"/>
        </w:rPr>
        <w:t>” – Female, 31 (Interview)</w:t>
      </w:r>
    </w:p>
    <w:p w14:paraId="6F80448E" w14:textId="16ABF385" w:rsidR="00C86896" w:rsidRPr="00B4301D" w:rsidRDefault="00C86896" w:rsidP="00CE74C2">
      <w:pPr>
        <w:spacing w:line="360" w:lineRule="auto"/>
      </w:pPr>
      <w:r w:rsidRPr="00B4301D">
        <w:tab/>
        <w:t xml:space="preserve">Opportunities to explore the </w:t>
      </w:r>
      <w:r w:rsidRPr="00B4301D">
        <w:rPr>
          <w:i/>
        </w:rPr>
        <w:t>environment</w:t>
      </w:r>
      <w:r w:rsidRPr="00B4301D">
        <w:t xml:space="preserve"> </w:t>
      </w:r>
      <w:r w:rsidR="00557CCB" w:rsidRPr="00B4301D">
        <w:t>and</w:t>
      </w:r>
      <w:r w:rsidRPr="00B4301D">
        <w:t xml:space="preserve"> interact with it were also cited as important </w:t>
      </w:r>
      <w:r w:rsidR="003D3F6D" w:rsidRPr="00B4301D">
        <w:t>considerations</w:t>
      </w:r>
      <w:r w:rsidRPr="00B4301D">
        <w:t xml:space="preserve"> for creativity. Participants talked about how the environment played a </w:t>
      </w:r>
      <w:r w:rsidR="00C57D2E" w:rsidRPr="00B4301D">
        <w:t xml:space="preserve">significant </w:t>
      </w:r>
      <w:r w:rsidRPr="00B4301D">
        <w:t xml:space="preserve">role in </w:t>
      </w:r>
      <w:r w:rsidR="00557CCB" w:rsidRPr="00B4301D">
        <w:t xml:space="preserve">the expression of </w:t>
      </w:r>
      <w:r w:rsidRPr="00B4301D">
        <w:t>creativity in terms of problem-solving and appropriation. In the former, the environment was utilised in strategy creat</w:t>
      </w:r>
      <w:r w:rsidR="00557CCB" w:rsidRPr="00B4301D">
        <w:t>ion</w:t>
      </w:r>
      <w:r w:rsidRPr="00B4301D">
        <w:t xml:space="preserve">, often involving </w:t>
      </w:r>
      <w:r w:rsidR="00557CCB" w:rsidRPr="00B4301D">
        <w:t xml:space="preserve">interactive </w:t>
      </w:r>
      <w:r w:rsidRPr="00B4301D">
        <w:t>objects and terrain. As one participant illustrated</w:t>
      </w:r>
      <w:r w:rsidR="0056647E" w:rsidRPr="00B4301D">
        <w:t xml:space="preserve"> in reference to </w:t>
      </w:r>
      <w:r w:rsidR="0056647E" w:rsidRPr="00B4301D">
        <w:rPr>
          <w:i/>
        </w:rPr>
        <w:t xml:space="preserve">Monster Hunter: World </w:t>
      </w:r>
      <w:r w:rsidR="0056647E" w:rsidRPr="00B4301D">
        <w:rPr>
          <w:i/>
        </w:rPr>
        <w:fldChar w:fldCharType="begin" w:fldLock="1"/>
      </w:r>
      <w:r w:rsidR="00F24CAB" w:rsidRPr="00B4301D">
        <w:rPr>
          <w:i/>
        </w:rPr>
        <w:instrText>ADDIN CSL_CITATION {"citationItems":[{"id":"ITEM-1","itemData":{"author":[{"dropping-particle":"","family":"Capcom","given":"","non-dropping-particle":"","parse-names":false,"suffix":""}],"id":"ITEM-1","issued":{"date-parts":[["2018"]]},"title":"Monster Hunter: World","type":"book"},"uris":["http://www.mendeley.com/documents/?uuid=006ffda9-fd90-4d7a-be1f-494020c3dc10"]}],"mendeley":{"formattedCitation":"(Capcom, 2018)","plainTextFormattedCitation":"(Capcom, 2018)","previouslyFormattedCitation":"(Capcom, 2018)"},"properties":{"noteIndex":0},"schema":"https://github.com/citation-style-language/schema/raw/master/csl-citation.json"}</w:instrText>
      </w:r>
      <w:r w:rsidR="0056647E" w:rsidRPr="00B4301D">
        <w:rPr>
          <w:i/>
        </w:rPr>
        <w:fldChar w:fldCharType="separate"/>
      </w:r>
      <w:r w:rsidR="0056647E" w:rsidRPr="00B4301D">
        <w:rPr>
          <w:noProof/>
        </w:rPr>
        <w:t>(Capcom, 2018)</w:t>
      </w:r>
      <w:r w:rsidR="0056647E" w:rsidRPr="00B4301D">
        <w:rPr>
          <w:i/>
        </w:rPr>
        <w:fldChar w:fldCharType="end"/>
      </w:r>
      <w:r w:rsidRPr="00B4301D">
        <w:t>:</w:t>
      </w:r>
    </w:p>
    <w:p w14:paraId="027BAE22" w14:textId="7E226AA1" w:rsidR="0056647E" w:rsidRPr="00B4301D" w:rsidRDefault="0056647E" w:rsidP="00D528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567" w:right="567"/>
        <w:jc w:val="both"/>
        <w:rPr>
          <w:rFonts w:ascii="Verdana" w:hAnsi="Verdana" w:cs="Verdana"/>
          <w:sz w:val="20"/>
          <w:szCs w:val="20"/>
        </w:rPr>
      </w:pPr>
      <w:r w:rsidRPr="00B4301D">
        <w:rPr>
          <w:rFonts w:cstheme="minorHAnsi"/>
          <w:sz w:val="20"/>
          <w:szCs w:val="20"/>
        </w:rPr>
        <w:t>“So you can get like little balls of water mossy stuff and there are monsters that cover themselves in mud to protect themselves, but if you get this little ball of moss and you shoot it with your crossbow, it actually cleans the mud off the monster and it’s like the game doesn’t tell you this is a thing that you can do, but you can just go around and pick up little clumps of moss and pew-pew them</w:t>
      </w:r>
      <w:r w:rsidRPr="00B4301D">
        <w:rPr>
          <w:rFonts w:ascii="Verdana" w:hAnsi="Verdana" w:cs="Verdana"/>
          <w:sz w:val="20"/>
          <w:szCs w:val="20"/>
        </w:rPr>
        <w:t xml:space="preserve">.” </w:t>
      </w:r>
      <w:r w:rsidRPr="00B4301D">
        <w:rPr>
          <w:rFonts w:cstheme="minorHAnsi"/>
          <w:sz w:val="20"/>
          <w:szCs w:val="20"/>
        </w:rPr>
        <w:t>– Male, 23</w:t>
      </w:r>
      <w:r w:rsidR="00E01EFF" w:rsidRPr="00B4301D">
        <w:rPr>
          <w:rFonts w:cstheme="minorHAnsi"/>
          <w:sz w:val="20"/>
          <w:szCs w:val="20"/>
        </w:rPr>
        <w:t xml:space="preserve"> (</w:t>
      </w:r>
      <w:r w:rsidRPr="00B4301D">
        <w:rPr>
          <w:rFonts w:cstheme="minorHAnsi"/>
          <w:sz w:val="20"/>
          <w:szCs w:val="20"/>
        </w:rPr>
        <w:t>Interview</w:t>
      </w:r>
      <w:r w:rsidR="00E01EFF" w:rsidRPr="00B4301D">
        <w:rPr>
          <w:rFonts w:cstheme="minorHAnsi"/>
          <w:sz w:val="20"/>
          <w:szCs w:val="20"/>
        </w:rPr>
        <w:t>)</w:t>
      </w:r>
    </w:p>
    <w:p w14:paraId="552CFF74" w14:textId="63B75F9D" w:rsidR="00C86896" w:rsidRPr="00B4301D" w:rsidRDefault="00C86896" w:rsidP="00CE74C2">
      <w:pPr>
        <w:spacing w:line="360" w:lineRule="auto"/>
      </w:pPr>
      <w:r w:rsidRPr="00B4301D">
        <w:t xml:space="preserve">Allowing players to not just passively experience the game world but </w:t>
      </w:r>
      <w:r w:rsidR="009D2E93" w:rsidRPr="00B4301D">
        <w:t xml:space="preserve">play an active role in interacting with environmental elements </w:t>
      </w:r>
      <w:r w:rsidR="00557CCB" w:rsidRPr="00B4301D">
        <w:t xml:space="preserve">enables </w:t>
      </w:r>
      <w:r w:rsidR="009D2E93" w:rsidRPr="00B4301D">
        <w:t xml:space="preserve">the discovery of different game aspects. </w:t>
      </w:r>
      <w:r w:rsidR="000D5CB7" w:rsidRPr="00B4301D">
        <w:t>This discovery is not solely confined to the use of</w:t>
      </w:r>
      <w:r w:rsidR="00557CCB" w:rsidRPr="00B4301D">
        <w:t xml:space="preserve"> interactive</w:t>
      </w:r>
      <w:r w:rsidR="000D5CB7" w:rsidRPr="00B4301D">
        <w:t xml:space="preserve"> environmental objects, but also what </w:t>
      </w:r>
      <w:r w:rsidR="00D61D34" w:rsidRPr="00B4301D">
        <w:t>effects</w:t>
      </w:r>
      <w:r w:rsidR="000D5CB7" w:rsidRPr="00B4301D">
        <w:t xml:space="preserve"> such objects may have on the wider game world. </w:t>
      </w:r>
    </w:p>
    <w:p w14:paraId="14E9F281" w14:textId="1B7D5C7D" w:rsidR="0003280E" w:rsidRPr="00B4301D" w:rsidRDefault="00551B38" w:rsidP="00CE74C2">
      <w:pPr>
        <w:spacing w:line="360" w:lineRule="auto"/>
      </w:pPr>
      <w:r w:rsidRPr="00B4301D">
        <w:tab/>
        <w:t>In addition</w:t>
      </w:r>
      <w:r w:rsidR="00D61D34" w:rsidRPr="00B4301D">
        <w:t xml:space="preserve"> to</w:t>
      </w:r>
      <w:r w:rsidRPr="00B4301D">
        <w:t xml:space="preserve"> </w:t>
      </w:r>
      <w:r w:rsidR="00D61D34" w:rsidRPr="00B4301D">
        <w:t>freedom of play and environmental interactivity</w:t>
      </w:r>
      <w:r w:rsidRPr="00B4301D">
        <w:t xml:space="preserve">, participants also cited </w:t>
      </w:r>
      <w:proofErr w:type="spellStart"/>
      <w:r w:rsidRPr="00B4301D">
        <w:rPr>
          <w:i/>
        </w:rPr>
        <w:t>replayability</w:t>
      </w:r>
      <w:proofErr w:type="spellEnd"/>
      <w:r w:rsidRPr="00B4301D">
        <w:t xml:space="preserve"> as being a major feature in</w:t>
      </w:r>
      <w:r w:rsidR="00C86896" w:rsidRPr="00B4301D">
        <w:t xml:space="preserve"> allowing them to be creative. </w:t>
      </w:r>
      <w:r w:rsidR="00855335" w:rsidRPr="00B4301D">
        <w:t>Most often involving</w:t>
      </w:r>
      <w:r w:rsidR="00C86896" w:rsidRPr="00B4301D">
        <w:t xml:space="preserve"> single</w:t>
      </w:r>
      <w:r w:rsidR="00855335" w:rsidRPr="00B4301D">
        <w:t>-</w:t>
      </w:r>
      <w:r w:rsidR="00C86896" w:rsidRPr="00B4301D">
        <w:t>player games</w:t>
      </w:r>
      <w:r w:rsidR="00855335" w:rsidRPr="00B4301D">
        <w:t xml:space="preserve">, </w:t>
      </w:r>
      <w:proofErr w:type="spellStart"/>
      <w:r w:rsidR="00855335" w:rsidRPr="00B4301D">
        <w:rPr>
          <w:i/>
        </w:rPr>
        <w:t>replayability</w:t>
      </w:r>
      <w:proofErr w:type="spellEnd"/>
      <w:r w:rsidR="00855335" w:rsidRPr="00B4301D">
        <w:t xml:space="preserve"> </w:t>
      </w:r>
      <w:r w:rsidR="00C86896" w:rsidRPr="00B4301D">
        <w:t>involved the different ways that the game could unfold, often resulting in different endings based on player choices and route</w:t>
      </w:r>
      <w:r w:rsidR="00A50222" w:rsidRPr="00B4301D">
        <w:t>s</w:t>
      </w:r>
      <w:r w:rsidR="00C86896" w:rsidRPr="00B4301D">
        <w:t xml:space="preserve"> taken through the game</w:t>
      </w:r>
      <w:r w:rsidR="00304DF7" w:rsidRPr="00B4301D">
        <w:t xml:space="preserve">. Games which afforded these </w:t>
      </w:r>
      <w:r w:rsidR="00A50222" w:rsidRPr="00B4301D">
        <w:t xml:space="preserve">options </w:t>
      </w:r>
      <w:r w:rsidR="00304DF7" w:rsidRPr="00B4301D">
        <w:t>encouraged players to replay them to discover the outcome of different actions</w:t>
      </w:r>
      <w:r w:rsidR="0003280E" w:rsidRPr="00B4301D">
        <w:t xml:space="preserve">, making each playthrough a unique experience. In reference to the single-player game </w:t>
      </w:r>
      <w:r w:rsidR="0003280E" w:rsidRPr="00B4301D">
        <w:rPr>
          <w:i/>
        </w:rPr>
        <w:t xml:space="preserve">The Witcher 2: Assassin of Kings </w:t>
      </w:r>
      <w:r w:rsidR="0003280E" w:rsidRPr="00B4301D">
        <w:rPr>
          <w:i/>
        </w:rPr>
        <w:fldChar w:fldCharType="begin" w:fldLock="1"/>
      </w:r>
      <w:r w:rsidR="00357F49" w:rsidRPr="00B4301D">
        <w:rPr>
          <w:i/>
        </w:rPr>
        <w:instrText>ADDIN CSL_CITATION {"citationItems":[{"id":"ITEM-1","itemData":{"author":[{"dropping-particle":"","family":"CD Projekt Red","given":"","non-dropping-particle":"","parse-names":false,"suffix":""}],"id":"ITEM-1","issued":{"date-parts":[["2011"]]},"publisher":"CD Projekt Red","title":"The Witcher 2: Assassins of Kings","type":"book"},"uris":["http://www.mendeley.com/documents/?uuid=18dd6621-7626-4615-8e65-9579c0fbe1a5"]}],"mendeley":{"formattedCitation":"(CD Projekt Red, 2011)","plainTextFormattedCitation":"(CD Projekt Red, 2011)","previouslyFormattedCitation":"(CD Projekt Red, 2011)"},"properties":{"noteIndex":0},"schema":"https://github.com/citation-style-language/schema/raw/master/csl-citation.json"}</w:instrText>
      </w:r>
      <w:r w:rsidR="0003280E" w:rsidRPr="00B4301D">
        <w:rPr>
          <w:i/>
        </w:rPr>
        <w:fldChar w:fldCharType="separate"/>
      </w:r>
      <w:r w:rsidR="0003280E" w:rsidRPr="00B4301D">
        <w:rPr>
          <w:noProof/>
        </w:rPr>
        <w:t>(CD Projekt Red, 2011)</w:t>
      </w:r>
      <w:r w:rsidR="0003280E" w:rsidRPr="00B4301D">
        <w:rPr>
          <w:i/>
        </w:rPr>
        <w:fldChar w:fldCharType="end"/>
      </w:r>
      <w:r w:rsidR="0003280E" w:rsidRPr="00B4301D">
        <w:t xml:space="preserve"> one participant detailed how the game could unfold in numerous ways based on the player’s actions:</w:t>
      </w:r>
    </w:p>
    <w:p w14:paraId="6E090BF6" w14:textId="1A41D493" w:rsidR="0003280E" w:rsidRPr="00B4301D" w:rsidRDefault="0003280E" w:rsidP="00D528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567" w:right="567"/>
        <w:rPr>
          <w:rFonts w:cstheme="minorHAnsi"/>
          <w:sz w:val="20"/>
          <w:szCs w:val="20"/>
        </w:rPr>
      </w:pPr>
      <w:r w:rsidRPr="00B4301D">
        <w:rPr>
          <w:rFonts w:cstheme="minorHAnsi"/>
          <w:sz w:val="20"/>
          <w:szCs w:val="20"/>
        </w:rPr>
        <w:t>“</w:t>
      </w:r>
      <w:r w:rsidR="00557CCB" w:rsidRPr="00B4301D">
        <w:rPr>
          <w:rFonts w:cstheme="minorHAnsi"/>
          <w:sz w:val="20"/>
          <w:szCs w:val="20"/>
        </w:rPr>
        <w:t>[</w:t>
      </w:r>
      <w:r w:rsidRPr="00B4301D">
        <w:rPr>
          <w:rFonts w:cstheme="minorHAnsi"/>
          <w:sz w:val="20"/>
          <w:szCs w:val="20"/>
        </w:rPr>
        <w:t>There is</w:t>
      </w:r>
      <w:r w:rsidR="00557CCB" w:rsidRPr="00B4301D">
        <w:rPr>
          <w:rFonts w:cstheme="minorHAnsi"/>
          <w:sz w:val="20"/>
          <w:szCs w:val="20"/>
        </w:rPr>
        <w:t>]</w:t>
      </w:r>
      <w:r w:rsidRPr="00B4301D">
        <w:rPr>
          <w:rFonts w:cstheme="minorHAnsi"/>
          <w:sz w:val="20"/>
          <w:szCs w:val="20"/>
        </w:rPr>
        <w:t xml:space="preserve"> like two completely different areas depending on your choice at that stage in the game</w:t>
      </w:r>
      <w:r w:rsidR="003B49E6" w:rsidRPr="00B4301D">
        <w:rPr>
          <w:rFonts w:cstheme="minorHAnsi"/>
          <w:sz w:val="20"/>
          <w:szCs w:val="20"/>
        </w:rPr>
        <w:t>…</w:t>
      </w:r>
      <w:r w:rsidRPr="00B4301D">
        <w:rPr>
          <w:rFonts w:cstheme="minorHAnsi"/>
          <w:sz w:val="20"/>
          <w:szCs w:val="20"/>
        </w:rPr>
        <w:t>even with small sub-quests there’s consequences depending on what you choose. It can be anything as little as what item you get as a reward, right up to effecting quests staged through the game later on.” – Male, 31 (Interview)</w:t>
      </w:r>
    </w:p>
    <w:p w14:paraId="58C04444" w14:textId="58964918" w:rsidR="00FD393F" w:rsidRPr="00B4301D" w:rsidRDefault="00DE3B7D" w:rsidP="00CE74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cstheme="minorHAnsi"/>
        </w:rPr>
      </w:pPr>
      <w:proofErr w:type="spellStart"/>
      <w:r w:rsidRPr="00B4301D">
        <w:rPr>
          <w:rFonts w:cstheme="minorHAnsi"/>
          <w:i/>
        </w:rPr>
        <w:t>Replayability</w:t>
      </w:r>
      <w:proofErr w:type="spellEnd"/>
      <w:r w:rsidRPr="00B4301D">
        <w:rPr>
          <w:rFonts w:cstheme="minorHAnsi"/>
        </w:rPr>
        <w:t xml:space="preserve"> was related to the game structure, with linearly structured games providing less opportunities for renewal of the gaming experience. As one participant noted: “why am I going to </w:t>
      </w:r>
      <w:r w:rsidRPr="00B4301D">
        <w:rPr>
          <w:rFonts w:cstheme="minorHAnsi"/>
        </w:rPr>
        <w:lastRenderedPageBreak/>
        <w:t xml:space="preserve">beat What Remains of Edith Flinch again if it’s pretty much a linear story?” (male, 30, interview). In this way, </w:t>
      </w:r>
      <w:proofErr w:type="spellStart"/>
      <w:r w:rsidRPr="00B4301D">
        <w:rPr>
          <w:rFonts w:cstheme="minorHAnsi"/>
          <w:i/>
        </w:rPr>
        <w:t>replayability</w:t>
      </w:r>
      <w:proofErr w:type="spellEnd"/>
      <w:r w:rsidRPr="00B4301D">
        <w:rPr>
          <w:rFonts w:cstheme="minorHAnsi"/>
        </w:rPr>
        <w:t xml:space="preserve"> was tied to both the gameplay itself (e.g. in terms of different areas to explore, different consequences) and the narrative (e.g. the story can unfold differently each playthrough). </w:t>
      </w:r>
      <w:r w:rsidR="00FC2342" w:rsidRPr="00B4301D">
        <w:rPr>
          <w:rFonts w:cstheme="minorHAnsi"/>
        </w:rPr>
        <w:t xml:space="preserve">The </w:t>
      </w:r>
      <w:r w:rsidR="003D3F6D" w:rsidRPr="00B4301D">
        <w:rPr>
          <w:rFonts w:cstheme="minorHAnsi"/>
        </w:rPr>
        <w:t>possibilities</w:t>
      </w:r>
      <w:r w:rsidR="00FC2342" w:rsidRPr="00B4301D">
        <w:rPr>
          <w:rFonts w:cstheme="minorHAnsi"/>
        </w:rPr>
        <w:t xml:space="preserve"> for </w:t>
      </w:r>
      <w:r w:rsidR="00FD393F" w:rsidRPr="00B4301D">
        <w:rPr>
          <w:rFonts w:cstheme="minorHAnsi"/>
        </w:rPr>
        <w:t>divergent narratives</w:t>
      </w:r>
      <w:r w:rsidR="00FC2342" w:rsidRPr="00B4301D">
        <w:rPr>
          <w:rFonts w:cstheme="minorHAnsi"/>
        </w:rPr>
        <w:t xml:space="preserve"> was most synonymous with the expression of creativity as affective change</w:t>
      </w:r>
      <w:r w:rsidR="00557CCB" w:rsidRPr="00B4301D">
        <w:rPr>
          <w:rFonts w:cstheme="minorHAnsi"/>
        </w:rPr>
        <w:t xml:space="preserve"> where </w:t>
      </w:r>
      <w:r w:rsidR="00FC2342" w:rsidRPr="00B4301D">
        <w:rPr>
          <w:rFonts w:cstheme="minorHAnsi"/>
        </w:rPr>
        <w:t>participants often played through the game multiple times choosing different options or taking different actions each time</w:t>
      </w:r>
      <w:r w:rsidR="00557CCB" w:rsidRPr="00B4301D">
        <w:rPr>
          <w:rFonts w:cstheme="minorHAnsi"/>
        </w:rPr>
        <w:t>. Each new experience highlighted important decisions within the game</w:t>
      </w:r>
      <w:r w:rsidR="007B18BD" w:rsidRPr="00B4301D">
        <w:rPr>
          <w:rFonts w:cstheme="minorHAnsi"/>
        </w:rPr>
        <w:t>’s</w:t>
      </w:r>
      <w:r w:rsidR="00557CCB" w:rsidRPr="00B4301D">
        <w:rPr>
          <w:rFonts w:cstheme="minorHAnsi"/>
        </w:rPr>
        <w:t xml:space="preserve"> narrative</w:t>
      </w:r>
      <w:r w:rsidR="007B18BD" w:rsidRPr="00B4301D">
        <w:rPr>
          <w:rFonts w:cstheme="minorHAnsi"/>
        </w:rPr>
        <w:t xml:space="preserve"> and allowed players to explore the consequences of their actions.</w:t>
      </w:r>
      <w:r w:rsidR="00FC2342" w:rsidRPr="00B4301D">
        <w:rPr>
          <w:rFonts w:cstheme="minorHAnsi"/>
        </w:rPr>
        <w:t xml:space="preserve"> </w:t>
      </w:r>
    </w:p>
    <w:p w14:paraId="61975B15" w14:textId="7937DD1C" w:rsidR="007B18BD" w:rsidRPr="00B4301D" w:rsidRDefault="00903570" w:rsidP="00CE74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cstheme="minorHAnsi"/>
        </w:rPr>
      </w:pPr>
      <w:r w:rsidRPr="00B4301D">
        <w:rPr>
          <w:rFonts w:cstheme="minorHAnsi"/>
        </w:rPr>
        <w:tab/>
      </w:r>
      <w:r w:rsidR="00FD393F" w:rsidRPr="00B4301D">
        <w:rPr>
          <w:rFonts w:cstheme="minorHAnsi"/>
        </w:rPr>
        <w:t xml:space="preserve">The category of </w:t>
      </w:r>
      <w:r w:rsidR="00FD393F" w:rsidRPr="00B4301D">
        <w:rPr>
          <w:rFonts w:cstheme="minorHAnsi"/>
          <w:i/>
        </w:rPr>
        <w:t xml:space="preserve">avatar </w:t>
      </w:r>
      <w:r w:rsidR="007B18BD" w:rsidRPr="00B4301D">
        <w:rPr>
          <w:rFonts w:cstheme="minorHAnsi"/>
        </w:rPr>
        <w:t xml:space="preserve">related to </w:t>
      </w:r>
      <w:r w:rsidR="003D3F6D" w:rsidRPr="00B4301D">
        <w:rPr>
          <w:rFonts w:cstheme="minorHAnsi"/>
        </w:rPr>
        <w:t>possibilities</w:t>
      </w:r>
      <w:r w:rsidR="00FD393F" w:rsidRPr="00B4301D">
        <w:rPr>
          <w:rFonts w:cstheme="minorHAnsi"/>
        </w:rPr>
        <w:t xml:space="preserve"> for customisation in terms of both look and personality of the playable character. </w:t>
      </w:r>
      <w:r w:rsidR="007B18BD" w:rsidRPr="00B4301D">
        <w:rPr>
          <w:rFonts w:cstheme="minorHAnsi"/>
        </w:rPr>
        <w:t>For instance,</w:t>
      </w:r>
      <w:r w:rsidR="00FD393F" w:rsidRPr="00B4301D">
        <w:rPr>
          <w:rFonts w:cstheme="minorHAnsi"/>
        </w:rPr>
        <w:t xml:space="preserve"> it was noted that </w:t>
      </w:r>
      <w:r w:rsidRPr="00B4301D">
        <w:rPr>
          <w:rFonts w:cstheme="minorHAnsi"/>
        </w:rPr>
        <w:t xml:space="preserve">in </w:t>
      </w:r>
      <w:r w:rsidR="00FD393F" w:rsidRPr="00B4301D">
        <w:rPr>
          <w:rFonts w:cstheme="minorHAnsi"/>
        </w:rPr>
        <w:t xml:space="preserve">some games </w:t>
      </w:r>
      <w:r w:rsidR="005E4E71" w:rsidRPr="00B4301D">
        <w:rPr>
          <w:rFonts w:cstheme="minorHAnsi"/>
        </w:rPr>
        <w:t>dressing the player’s avatar became an additional goal in itself, with one participant even noting that he disregarded</w:t>
      </w:r>
      <w:r w:rsidRPr="00B4301D">
        <w:rPr>
          <w:rFonts w:cstheme="minorHAnsi"/>
        </w:rPr>
        <w:t xml:space="preserve"> item stats in favour of looks</w:t>
      </w:r>
      <w:r w:rsidR="007B18BD" w:rsidRPr="00B4301D">
        <w:rPr>
          <w:rFonts w:cstheme="minorHAnsi"/>
        </w:rPr>
        <w:t xml:space="preserve"> (male, 26, interview)</w:t>
      </w:r>
      <w:r w:rsidRPr="00B4301D">
        <w:rPr>
          <w:rFonts w:cstheme="minorHAnsi"/>
        </w:rPr>
        <w:t xml:space="preserve">. In </w:t>
      </w:r>
      <w:r w:rsidR="007B18BD" w:rsidRPr="00B4301D">
        <w:rPr>
          <w:rFonts w:cstheme="minorHAnsi"/>
        </w:rPr>
        <w:t>addition</w:t>
      </w:r>
      <w:r w:rsidRPr="00B4301D">
        <w:rPr>
          <w:rFonts w:cstheme="minorHAnsi"/>
        </w:rPr>
        <w:t xml:space="preserve">, games which allowed participants to define the personality of their character gave opportunity for the expression of creativity as affective change. Different dialogue options relating to character personality traits allowed the </w:t>
      </w:r>
      <w:r w:rsidR="00FC2342" w:rsidRPr="00B4301D">
        <w:rPr>
          <w:rFonts w:cstheme="minorHAnsi"/>
        </w:rPr>
        <w:t xml:space="preserve">exploration of alternate identities – for example one player attempted to play through </w:t>
      </w:r>
      <w:r w:rsidR="00FC2342" w:rsidRPr="00B4301D">
        <w:rPr>
          <w:rFonts w:cstheme="minorHAnsi"/>
          <w:i/>
        </w:rPr>
        <w:t xml:space="preserve">Mass Effect </w:t>
      </w:r>
      <w:r w:rsidR="00FC2342" w:rsidRPr="00B4301D">
        <w:rPr>
          <w:rFonts w:cstheme="minorHAnsi"/>
          <w:i/>
        </w:rPr>
        <w:fldChar w:fldCharType="begin" w:fldLock="1"/>
      </w:r>
      <w:r w:rsidR="004162A5" w:rsidRPr="00B4301D">
        <w:rPr>
          <w:rFonts w:cstheme="minorHAnsi"/>
          <w:i/>
        </w:rPr>
        <w:instrText>ADDIN CSL_CITATION {"citationItems":[{"id":"ITEM-1","itemData":{"author":[{"dropping-particle":"","family":"Bioware","given":"","non-dropping-particle":"","parse-names":false,"suffix":""}],"container-title":"Electronic Arts","id":"ITEM-1","issued":{"date-parts":[["2007"]]},"title":"Mass Effect","type":"article-journal"},"uris":["http://www.mendeley.com/documents/?uuid=bf6c1d7f-ff96-42c3-bba9-3762c2d08de2"]}],"mendeley":{"formattedCitation":"(Bioware, 2007)","plainTextFormattedCitation":"(Bioware, 2007)","previouslyFormattedCitation":"(Bioware, 2007)"},"properties":{"noteIndex":0},"schema":"https://github.com/citation-style-language/schema/raw/master/csl-citation.json"}</w:instrText>
      </w:r>
      <w:r w:rsidR="00FC2342" w:rsidRPr="00B4301D">
        <w:rPr>
          <w:rFonts w:cstheme="minorHAnsi"/>
          <w:i/>
        </w:rPr>
        <w:fldChar w:fldCharType="separate"/>
      </w:r>
      <w:r w:rsidR="00357F49" w:rsidRPr="00B4301D">
        <w:rPr>
          <w:rFonts w:cstheme="minorHAnsi"/>
          <w:noProof/>
        </w:rPr>
        <w:t>(Bioware, 2007)</w:t>
      </w:r>
      <w:r w:rsidR="00FC2342" w:rsidRPr="00B4301D">
        <w:rPr>
          <w:rFonts w:cstheme="minorHAnsi"/>
          <w:i/>
        </w:rPr>
        <w:fldChar w:fldCharType="end"/>
      </w:r>
      <w:r w:rsidR="00FC2342" w:rsidRPr="00B4301D">
        <w:rPr>
          <w:rFonts w:cstheme="minorHAnsi"/>
        </w:rPr>
        <w:t xml:space="preserve"> as a re</w:t>
      </w:r>
      <w:r w:rsidR="007B18BD" w:rsidRPr="00B4301D">
        <w:rPr>
          <w:rFonts w:cstheme="minorHAnsi"/>
        </w:rPr>
        <w:t>n</w:t>
      </w:r>
      <w:r w:rsidR="00FC2342" w:rsidRPr="00B4301D">
        <w:rPr>
          <w:rFonts w:cstheme="minorHAnsi"/>
        </w:rPr>
        <w:t>e</w:t>
      </w:r>
      <w:r w:rsidR="007B18BD" w:rsidRPr="00B4301D">
        <w:rPr>
          <w:rFonts w:cstheme="minorHAnsi"/>
        </w:rPr>
        <w:t>g</w:t>
      </w:r>
      <w:r w:rsidR="00FC2342" w:rsidRPr="00B4301D">
        <w:rPr>
          <w:rFonts w:cstheme="minorHAnsi"/>
        </w:rPr>
        <w:t>ade character (characterised by aggressive, ruthless dialogue options) and</w:t>
      </w:r>
      <w:r w:rsidR="00596332" w:rsidRPr="00B4301D">
        <w:rPr>
          <w:rFonts w:cstheme="minorHAnsi"/>
        </w:rPr>
        <w:t xml:space="preserve"> found</w:t>
      </w:r>
      <w:r w:rsidR="00FC2342" w:rsidRPr="00B4301D">
        <w:rPr>
          <w:rFonts w:cstheme="minorHAnsi"/>
        </w:rPr>
        <w:t xml:space="preserve"> it too difficult to continue playing due to the clash with her own personality</w:t>
      </w:r>
      <w:r w:rsidR="007B18BD" w:rsidRPr="00B4301D">
        <w:rPr>
          <w:rFonts w:cstheme="minorHAnsi"/>
        </w:rPr>
        <w:t>.</w:t>
      </w:r>
      <w:r w:rsidRPr="00B4301D">
        <w:rPr>
          <w:rFonts w:cstheme="minorHAnsi"/>
        </w:rPr>
        <w:t xml:space="preserve"> </w:t>
      </w:r>
    </w:p>
    <w:p w14:paraId="067EB8E1" w14:textId="79ADBCBB" w:rsidR="0003280E" w:rsidRPr="00B4301D" w:rsidRDefault="007B18BD" w:rsidP="00D528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567" w:right="567"/>
        <w:rPr>
          <w:rFonts w:cstheme="minorHAnsi"/>
          <w:sz w:val="20"/>
          <w:szCs w:val="20"/>
        </w:rPr>
      </w:pPr>
      <w:r w:rsidRPr="00B4301D">
        <w:rPr>
          <w:rFonts w:cstheme="minorHAnsi"/>
          <w:sz w:val="20"/>
          <w:szCs w:val="20"/>
        </w:rPr>
        <w:t xml:space="preserve">“I tried to play a renegade character in Mass Effect. It didn’t work, I can’t bring myself to be that type of person even though it’s not real.” – Female, 21 </w:t>
      </w:r>
      <w:r w:rsidR="008500CD" w:rsidRPr="00B4301D">
        <w:rPr>
          <w:rFonts w:cstheme="minorHAnsi"/>
          <w:sz w:val="20"/>
          <w:szCs w:val="20"/>
        </w:rPr>
        <w:t>(</w:t>
      </w:r>
      <w:r w:rsidRPr="00B4301D">
        <w:rPr>
          <w:rFonts w:cstheme="minorHAnsi"/>
          <w:sz w:val="20"/>
          <w:szCs w:val="20"/>
        </w:rPr>
        <w:t>Narrative Survey</w:t>
      </w:r>
      <w:r w:rsidR="008500CD" w:rsidRPr="00B4301D">
        <w:rPr>
          <w:rFonts w:cstheme="minorHAnsi"/>
          <w:sz w:val="20"/>
          <w:szCs w:val="20"/>
        </w:rPr>
        <w:t>)</w:t>
      </w:r>
      <w:r w:rsidR="00903570" w:rsidRPr="00B4301D">
        <w:rPr>
          <w:rFonts w:cstheme="minorHAnsi"/>
          <w:sz w:val="20"/>
          <w:szCs w:val="20"/>
        </w:rPr>
        <w:t xml:space="preserve"> </w:t>
      </w:r>
    </w:p>
    <w:p w14:paraId="5AA4D65E" w14:textId="1A08AD3E" w:rsidR="00D90B90" w:rsidRPr="00B4301D" w:rsidRDefault="00903570" w:rsidP="00D90B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cstheme="minorHAnsi"/>
        </w:rPr>
      </w:pPr>
      <w:r w:rsidRPr="00B4301D">
        <w:rPr>
          <w:rFonts w:cstheme="minorHAnsi"/>
        </w:rPr>
        <w:tab/>
      </w:r>
      <w:r w:rsidR="0014687B" w:rsidRPr="00B4301D">
        <w:rPr>
          <w:rFonts w:cstheme="minorHAnsi"/>
        </w:rPr>
        <w:t xml:space="preserve">Finally, in </w:t>
      </w:r>
      <w:r w:rsidR="007B18BD" w:rsidRPr="00B4301D">
        <w:rPr>
          <w:rFonts w:cstheme="minorHAnsi"/>
        </w:rPr>
        <w:t>terms of</w:t>
      </w:r>
      <w:r w:rsidR="0014687B" w:rsidRPr="00B4301D">
        <w:rPr>
          <w:rFonts w:cstheme="minorHAnsi"/>
        </w:rPr>
        <w:t xml:space="preserve"> </w:t>
      </w:r>
      <w:r w:rsidR="0014687B" w:rsidRPr="00B4301D">
        <w:rPr>
          <w:rFonts w:cstheme="minorHAnsi"/>
          <w:i/>
        </w:rPr>
        <w:t>creation</w:t>
      </w:r>
      <w:r w:rsidR="007B18BD" w:rsidRPr="00B4301D">
        <w:rPr>
          <w:rFonts w:cstheme="minorHAnsi"/>
          <w:i/>
        </w:rPr>
        <w:t>,</w:t>
      </w:r>
      <w:r w:rsidR="0014687B" w:rsidRPr="00B4301D">
        <w:rPr>
          <w:rFonts w:cstheme="minorHAnsi"/>
        </w:rPr>
        <w:t xml:space="preserve"> participants noted games which allowed freedom to tailor the gaming environment through creation of structures</w:t>
      </w:r>
      <w:r w:rsidR="002C1FFC" w:rsidRPr="00B4301D">
        <w:rPr>
          <w:rFonts w:cstheme="minorHAnsi"/>
        </w:rPr>
        <w:t xml:space="preserve">, a feature most commonly cited in relation to sandbox style </w:t>
      </w:r>
      <w:r w:rsidR="00813D7B" w:rsidRPr="00B4301D">
        <w:rPr>
          <w:rFonts w:cstheme="minorHAnsi"/>
        </w:rPr>
        <w:t xml:space="preserve">and simulation </w:t>
      </w:r>
      <w:r w:rsidR="002C1FFC" w:rsidRPr="00B4301D">
        <w:rPr>
          <w:rFonts w:cstheme="minorHAnsi"/>
        </w:rPr>
        <w:t>games</w:t>
      </w:r>
      <w:r w:rsidR="00D90B90" w:rsidRPr="00B4301D">
        <w:rPr>
          <w:rFonts w:cstheme="minorHAnsi"/>
        </w:rPr>
        <w:t>.</w:t>
      </w:r>
      <w:r w:rsidR="00813D7B" w:rsidRPr="00B4301D">
        <w:rPr>
          <w:rFonts w:cstheme="minorHAnsi"/>
        </w:rPr>
        <w:t xml:space="preserve"> </w:t>
      </w:r>
      <w:r w:rsidR="00D90B90" w:rsidRPr="00B4301D">
        <w:rPr>
          <w:rFonts w:cstheme="minorHAnsi"/>
        </w:rPr>
        <w:t xml:space="preserve">The freedom of creation that such games allowed provided opportunities for players to </w:t>
      </w:r>
      <w:r w:rsidR="00813D7B" w:rsidRPr="00B4301D">
        <w:rPr>
          <w:rFonts w:cstheme="minorHAnsi"/>
        </w:rPr>
        <w:t>tailor the game to their own goals and create, in some cases, almost anything they wished</w:t>
      </w:r>
      <w:r w:rsidR="00D90B90" w:rsidRPr="00B4301D">
        <w:rPr>
          <w:rFonts w:cstheme="minorHAnsi"/>
        </w:rPr>
        <w:t xml:space="preserve">. As </w:t>
      </w:r>
      <w:r w:rsidR="00282D8A" w:rsidRPr="00B4301D">
        <w:rPr>
          <w:rFonts w:cstheme="minorHAnsi"/>
        </w:rPr>
        <w:t>one</w:t>
      </w:r>
      <w:r w:rsidR="00D90B90" w:rsidRPr="00B4301D">
        <w:rPr>
          <w:rFonts w:cstheme="minorHAnsi"/>
        </w:rPr>
        <w:t xml:space="preserve"> participant</w:t>
      </w:r>
      <w:r w:rsidR="00813D7B" w:rsidRPr="00B4301D">
        <w:rPr>
          <w:rFonts w:cstheme="minorHAnsi"/>
        </w:rPr>
        <w:t>s</w:t>
      </w:r>
      <w:r w:rsidR="00D90B90" w:rsidRPr="00B4301D">
        <w:rPr>
          <w:rFonts w:cstheme="minorHAnsi"/>
        </w:rPr>
        <w:t xml:space="preserve"> noted</w:t>
      </w:r>
      <w:r w:rsidR="00282D8A" w:rsidRPr="00B4301D">
        <w:rPr>
          <w:rFonts w:cstheme="minorHAnsi"/>
        </w:rPr>
        <w:t xml:space="preserve"> in relation to </w:t>
      </w:r>
      <w:r w:rsidR="00282D8A" w:rsidRPr="00B4301D">
        <w:rPr>
          <w:rFonts w:cstheme="minorHAnsi"/>
          <w:i/>
        </w:rPr>
        <w:t xml:space="preserve">The Sims </w:t>
      </w:r>
      <w:r w:rsidR="00282D8A" w:rsidRPr="00B4301D">
        <w:rPr>
          <w:rFonts w:cstheme="minorHAnsi"/>
          <w:i/>
        </w:rPr>
        <w:fldChar w:fldCharType="begin" w:fldLock="1"/>
      </w:r>
      <w:r w:rsidR="00563EE3" w:rsidRPr="00B4301D">
        <w:rPr>
          <w:rFonts w:cstheme="minorHAnsi"/>
          <w:i/>
        </w:rPr>
        <w:instrText>ADDIN CSL_CITATION {"citationItems":[{"id":"ITEM-1","itemData":{"author":[{"dropping-particle":"","family":"Maxis","given":"","non-dropping-particle":"","parse-names":false,"suffix":""}],"id":"ITEM-1","issued":{"date-parts":[["2000"]]},"publisher":"Electronic Arts","title":"The Sims","type":"book"},"uris":["http://www.mendeley.com/documents/?uuid=ecf8984b-3779-453a-9657-d8423dd4e5c7"]}],"mendeley":{"formattedCitation":"(Maxis, 2000)","plainTextFormattedCitation":"(Maxis, 2000)","previouslyFormattedCitation":"(Maxis, 2000)"},"properties":{"noteIndex":0},"schema":"https://github.com/citation-style-language/schema/raw/master/csl-citation.json"}</w:instrText>
      </w:r>
      <w:r w:rsidR="00282D8A" w:rsidRPr="00B4301D">
        <w:rPr>
          <w:rFonts w:cstheme="minorHAnsi"/>
          <w:i/>
        </w:rPr>
        <w:fldChar w:fldCharType="separate"/>
      </w:r>
      <w:r w:rsidR="00282D8A" w:rsidRPr="00B4301D">
        <w:rPr>
          <w:rFonts w:cstheme="minorHAnsi"/>
          <w:noProof/>
        </w:rPr>
        <w:t>(Maxis, 2000)</w:t>
      </w:r>
      <w:r w:rsidR="00282D8A" w:rsidRPr="00B4301D">
        <w:rPr>
          <w:rFonts w:cstheme="minorHAnsi"/>
          <w:i/>
        </w:rPr>
        <w:fldChar w:fldCharType="end"/>
      </w:r>
      <w:r w:rsidR="00D90B90" w:rsidRPr="00B4301D">
        <w:rPr>
          <w:rFonts w:cstheme="minorHAnsi"/>
        </w:rPr>
        <w:t>:</w:t>
      </w:r>
    </w:p>
    <w:p w14:paraId="290D3201" w14:textId="02310CAB" w:rsidR="00813D7B" w:rsidRPr="00B4301D" w:rsidRDefault="00813D7B" w:rsidP="00813D7B">
      <w:pPr>
        <w:spacing w:line="360" w:lineRule="auto"/>
        <w:ind w:left="567" w:right="567"/>
        <w:rPr>
          <w:sz w:val="20"/>
          <w:szCs w:val="20"/>
        </w:rPr>
      </w:pPr>
      <w:r w:rsidRPr="00B4301D">
        <w:rPr>
          <w:sz w:val="20"/>
          <w:szCs w:val="20"/>
        </w:rPr>
        <w:t xml:space="preserve"> “I have created material within the Sims where you can build/decorate houses. This allowed me to create a universe and made it an enjoyable way to play the game.” – Female, 30 (Narrative Survey)</w:t>
      </w:r>
    </w:p>
    <w:p w14:paraId="2DEB0761" w14:textId="1ABE3E46" w:rsidR="00813D7B" w:rsidRPr="00B4301D" w:rsidRDefault="00D90B90" w:rsidP="00282D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cstheme="minorHAnsi"/>
        </w:rPr>
      </w:pPr>
      <w:r w:rsidRPr="00B4301D">
        <w:rPr>
          <w:rFonts w:cstheme="minorHAnsi"/>
        </w:rPr>
        <w:t>When it came to map and level editors, several players “tried out” designing their own levels</w:t>
      </w:r>
      <w:r w:rsidR="00813D7B" w:rsidRPr="00B4301D">
        <w:rPr>
          <w:rFonts w:cstheme="minorHAnsi"/>
        </w:rPr>
        <w:t xml:space="preserve"> and maps. However, this was usually referenced in more explorative terms</w:t>
      </w:r>
      <w:r w:rsidR="00282D8A" w:rsidRPr="00B4301D">
        <w:rPr>
          <w:rFonts w:cstheme="minorHAnsi"/>
        </w:rPr>
        <w:t xml:space="preserve"> and “mainly just for fun” (male</w:t>
      </w:r>
      <w:r w:rsidR="00813D7B" w:rsidRPr="00B4301D">
        <w:rPr>
          <w:rFonts w:cstheme="minorHAnsi"/>
        </w:rPr>
        <w:t>,</w:t>
      </w:r>
      <w:r w:rsidR="00282D8A" w:rsidRPr="00B4301D">
        <w:rPr>
          <w:rFonts w:cstheme="minorHAnsi"/>
        </w:rPr>
        <w:t xml:space="preserve"> 34, interview),</w:t>
      </w:r>
      <w:r w:rsidR="00813D7B" w:rsidRPr="00B4301D">
        <w:rPr>
          <w:rFonts w:cstheme="minorHAnsi"/>
        </w:rPr>
        <w:t xml:space="preserve"> rather than a serious activity. For example, as one participant described: </w:t>
      </w:r>
    </w:p>
    <w:p w14:paraId="3537E4DA" w14:textId="538E060A" w:rsidR="00D90B90" w:rsidRPr="00B4301D" w:rsidRDefault="00282D8A" w:rsidP="00676A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ind w:left="567" w:right="567"/>
        <w:jc w:val="both"/>
        <w:rPr>
          <w:rFonts w:cstheme="minorHAnsi"/>
          <w:sz w:val="20"/>
          <w:szCs w:val="20"/>
        </w:rPr>
      </w:pPr>
      <w:r w:rsidRPr="00B4301D">
        <w:rPr>
          <w:rFonts w:cstheme="minorHAnsi"/>
          <w:sz w:val="20"/>
          <w:szCs w:val="20"/>
        </w:rPr>
        <w:t>“I've done a couple of little bits and pieces physically to a game. So a couple of maps and levels and things. But it tends to be if the game comes with its own map-maker or editor or something. I haven't gone into and modified the code and made a full standalone mod.” – Male, 26 (Interview)</w:t>
      </w:r>
    </w:p>
    <w:p w14:paraId="0A8A883A" w14:textId="77777777" w:rsidR="00676AF2" w:rsidRPr="00B4301D" w:rsidRDefault="00676AF2" w:rsidP="00676A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ind w:left="567" w:right="567"/>
        <w:jc w:val="both"/>
        <w:rPr>
          <w:rFonts w:cstheme="minorHAnsi"/>
          <w:sz w:val="20"/>
          <w:szCs w:val="20"/>
        </w:rPr>
      </w:pPr>
    </w:p>
    <w:p w14:paraId="7831B0B2" w14:textId="7F98BD55" w:rsidR="00563EE3" w:rsidRPr="00B4301D" w:rsidRDefault="00676AF2" w:rsidP="00D90B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cstheme="minorHAnsi"/>
        </w:rPr>
      </w:pPr>
      <w:r w:rsidRPr="00B4301D">
        <w:rPr>
          <w:rFonts w:cstheme="minorHAnsi"/>
        </w:rPr>
        <w:tab/>
      </w:r>
      <w:r w:rsidR="00563EE3" w:rsidRPr="00B4301D">
        <w:rPr>
          <w:rFonts w:cstheme="minorHAnsi"/>
        </w:rPr>
        <w:t xml:space="preserve">Finally, </w:t>
      </w:r>
      <w:r w:rsidR="00D90B90" w:rsidRPr="00B4301D">
        <w:rPr>
          <w:rFonts w:cstheme="minorHAnsi"/>
        </w:rPr>
        <w:t>p</w:t>
      </w:r>
      <w:r w:rsidR="00EB635B" w:rsidRPr="00B4301D">
        <w:rPr>
          <w:rFonts w:cstheme="minorHAnsi"/>
        </w:rPr>
        <w:t>articipants</w:t>
      </w:r>
      <w:r w:rsidR="00596332" w:rsidRPr="00B4301D">
        <w:rPr>
          <w:rFonts w:cstheme="minorHAnsi"/>
        </w:rPr>
        <w:t xml:space="preserve"> </w:t>
      </w:r>
      <w:r w:rsidR="00EB635B" w:rsidRPr="00B4301D">
        <w:rPr>
          <w:rFonts w:cstheme="minorHAnsi"/>
        </w:rPr>
        <w:t xml:space="preserve">cited </w:t>
      </w:r>
      <w:r w:rsidR="002C1FFC" w:rsidRPr="00B4301D">
        <w:rPr>
          <w:rFonts w:cstheme="minorHAnsi"/>
        </w:rPr>
        <w:t xml:space="preserve">games which were </w:t>
      </w:r>
      <w:r w:rsidR="00A25BC6" w:rsidRPr="00B4301D">
        <w:rPr>
          <w:rFonts w:cstheme="minorHAnsi"/>
        </w:rPr>
        <w:t xml:space="preserve">freely </w:t>
      </w:r>
      <w:r w:rsidR="002C1FFC" w:rsidRPr="00B4301D">
        <w:rPr>
          <w:rFonts w:cstheme="minorHAnsi"/>
        </w:rPr>
        <w:t xml:space="preserve">open to player modifications such as </w:t>
      </w:r>
      <w:r w:rsidR="002C1FFC" w:rsidRPr="00B4301D">
        <w:rPr>
          <w:rFonts w:cstheme="minorHAnsi"/>
          <w:i/>
        </w:rPr>
        <w:t xml:space="preserve">Skyrim </w:t>
      </w:r>
      <w:r w:rsidR="002C1FFC" w:rsidRPr="00B4301D">
        <w:rPr>
          <w:rFonts w:cstheme="minorHAnsi"/>
          <w:i/>
        </w:rPr>
        <w:fldChar w:fldCharType="begin" w:fldLock="1"/>
      </w:r>
      <w:r w:rsidR="00A25BC6" w:rsidRPr="00B4301D">
        <w:rPr>
          <w:rFonts w:cstheme="minorHAnsi"/>
          <w:i/>
        </w:rPr>
        <w:instrText>ADDIN CSL_CITATION {"citationItems":[{"id":"ITEM-1","itemData":{"author":[{"dropping-particle":"","family":"Bethesda Game Studios","given":"","non-dropping-particle":"","parse-names":false,"suffix":""}],"id":"ITEM-1","issued":{"date-parts":[["2011"]]},"title":"The Elder Scrolls V: Skyrim","type":"book"},"uris":["http://www.mendeley.com/documents/?uuid=e2aff6bf-209a-4d53-97ae-35e8b8c7ce89"]}],"mendeley":{"formattedCitation":"(Bethesda Game Studios, 2011)","plainTextFormattedCitation":"(Bethesda Game Studios, 2011)","previouslyFormattedCitation":"(Bethesda Game Studios, 2011)"},"properties":{"noteIndex":0},"schema":"https://github.com/citation-style-language/schema/raw/master/csl-citation.json"}</w:instrText>
      </w:r>
      <w:r w:rsidR="002C1FFC" w:rsidRPr="00B4301D">
        <w:rPr>
          <w:rFonts w:cstheme="minorHAnsi"/>
          <w:i/>
        </w:rPr>
        <w:fldChar w:fldCharType="separate"/>
      </w:r>
      <w:r w:rsidR="002C1FFC" w:rsidRPr="00B4301D">
        <w:rPr>
          <w:rFonts w:cstheme="minorHAnsi"/>
          <w:noProof/>
        </w:rPr>
        <w:t>(Bethesda Game Studios, 2011)</w:t>
      </w:r>
      <w:r w:rsidR="002C1FFC" w:rsidRPr="00B4301D">
        <w:rPr>
          <w:rFonts w:cstheme="minorHAnsi"/>
          <w:i/>
        </w:rPr>
        <w:fldChar w:fldCharType="end"/>
      </w:r>
      <w:r w:rsidR="00563EE3" w:rsidRPr="00B4301D">
        <w:rPr>
          <w:rFonts w:cstheme="minorHAnsi"/>
          <w:i/>
        </w:rPr>
        <w:t xml:space="preserve"> </w:t>
      </w:r>
      <w:r w:rsidR="00563EE3" w:rsidRPr="00B4301D">
        <w:rPr>
          <w:rFonts w:cstheme="minorHAnsi"/>
        </w:rPr>
        <w:t xml:space="preserve">and </w:t>
      </w:r>
      <w:r w:rsidR="00563EE3" w:rsidRPr="00B4301D">
        <w:rPr>
          <w:rFonts w:cstheme="minorHAnsi"/>
          <w:i/>
        </w:rPr>
        <w:t xml:space="preserve">Minecraft </w:t>
      </w:r>
      <w:r w:rsidR="00563EE3" w:rsidRPr="00B4301D">
        <w:rPr>
          <w:rFonts w:cstheme="minorHAnsi"/>
          <w:i/>
        </w:rPr>
        <w:fldChar w:fldCharType="begin" w:fldLock="1"/>
      </w:r>
      <w:r w:rsidR="0087761A" w:rsidRPr="00B4301D">
        <w:rPr>
          <w:rFonts w:cstheme="minorHAnsi"/>
          <w:i/>
        </w:rPr>
        <w:instrText>ADDIN CSL_CITATION {"citationItems":[{"id":"ITEM-1","itemData":{"author":[{"dropping-particle":"","family":"Mojang","given":"","non-dropping-particle":"","parse-names":false,"suffix":""}],"id":"ITEM-1","issued":{"date-parts":[["2011"]]},"publisher":"Mojang","title":"Minecraft","type":"book"},"uris":["http://www.mendeley.com/documents/?uuid=1dafb1a5-2518-48e3-be18-486298b77f71"]}],"mendeley":{"formattedCitation":"(Mojang, 2011)","plainTextFormattedCitation":"(Mojang, 2011)","previouslyFormattedCitation":"(Mojang, 2011)"},"properties":{"noteIndex":0},"schema":"https://github.com/citation-style-language/schema/raw/master/csl-citation.json"}</w:instrText>
      </w:r>
      <w:r w:rsidR="00563EE3" w:rsidRPr="00B4301D">
        <w:rPr>
          <w:rFonts w:cstheme="minorHAnsi"/>
          <w:i/>
        </w:rPr>
        <w:fldChar w:fldCharType="separate"/>
      </w:r>
      <w:r w:rsidR="00563EE3" w:rsidRPr="00B4301D">
        <w:rPr>
          <w:rFonts w:cstheme="minorHAnsi"/>
          <w:noProof/>
        </w:rPr>
        <w:t>(Mojang, 2011)</w:t>
      </w:r>
      <w:r w:rsidR="00563EE3" w:rsidRPr="00B4301D">
        <w:rPr>
          <w:rFonts w:cstheme="minorHAnsi"/>
          <w:i/>
        </w:rPr>
        <w:fldChar w:fldCharType="end"/>
      </w:r>
      <w:r w:rsidR="00A25BC6" w:rsidRPr="00B4301D">
        <w:rPr>
          <w:rFonts w:cstheme="minorHAnsi"/>
          <w:i/>
        </w:rPr>
        <w:t xml:space="preserve"> </w:t>
      </w:r>
      <w:r w:rsidR="00A25BC6" w:rsidRPr="00B4301D">
        <w:rPr>
          <w:rFonts w:cstheme="minorHAnsi"/>
        </w:rPr>
        <w:t>and usually included game mod editors</w:t>
      </w:r>
      <w:r w:rsidR="002C1FFC" w:rsidRPr="00B4301D">
        <w:rPr>
          <w:rFonts w:cstheme="minorHAnsi"/>
        </w:rPr>
        <w:t>.</w:t>
      </w:r>
      <w:r w:rsidR="00E91453" w:rsidRPr="00B4301D">
        <w:rPr>
          <w:rFonts w:cstheme="minorHAnsi"/>
        </w:rPr>
        <w:t xml:space="preserve"> </w:t>
      </w:r>
      <w:bookmarkStart w:id="3" w:name="_Hlk19029518"/>
      <w:r w:rsidR="006D3AEC" w:rsidRPr="00B4301D">
        <w:rPr>
          <w:rFonts w:cstheme="minorHAnsi"/>
        </w:rPr>
        <w:t>As one participant explained:</w:t>
      </w:r>
    </w:p>
    <w:p w14:paraId="090034B7" w14:textId="77777777" w:rsidR="00D65139" w:rsidRPr="00B4301D" w:rsidRDefault="006D3AEC" w:rsidP="00D65139">
      <w:pPr>
        <w:spacing w:line="360" w:lineRule="auto"/>
        <w:ind w:left="567" w:right="567"/>
        <w:rPr>
          <w:sz w:val="20"/>
          <w:szCs w:val="20"/>
        </w:rPr>
      </w:pPr>
      <w:r w:rsidRPr="00B4301D">
        <w:rPr>
          <w:sz w:val="20"/>
          <w:szCs w:val="20"/>
        </w:rPr>
        <w:t>“</w:t>
      </w:r>
      <w:r w:rsidR="00563EE3" w:rsidRPr="00B4301D">
        <w:rPr>
          <w:sz w:val="20"/>
          <w:szCs w:val="20"/>
        </w:rPr>
        <w:t xml:space="preserve">I enjoy </w:t>
      </w:r>
      <w:proofErr w:type="spellStart"/>
      <w:r w:rsidR="00563EE3" w:rsidRPr="00B4301D">
        <w:rPr>
          <w:sz w:val="20"/>
          <w:szCs w:val="20"/>
        </w:rPr>
        <w:t>modding</w:t>
      </w:r>
      <w:proofErr w:type="spellEnd"/>
      <w:r w:rsidR="00563EE3" w:rsidRPr="00B4301D">
        <w:rPr>
          <w:sz w:val="20"/>
          <w:szCs w:val="20"/>
        </w:rPr>
        <w:t xml:space="preserve"> it</w:t>
      </w:r>
      <w:r w:rsidRPr="00B4301D">
        <w:rPr>
          <w:sz w:val="20"/>
          <w:szCs w:val="20"/>
        </w:rPr>
        <w:t xml:space="preserve"> [Minecraft]</w:t>
      </w:r>
      <w:r w:rsidR="00563EE3" w:rsidRPr="00B4301D">
        <w:rPr>
          <w:sz w:val="20"/>
          <w:szCs w:val="20"/>
        </w:rPr>
        <w:t>, so adding things that weren't in there originally. And I am fascinated by automation systems, so I’ll have mods that allow me to instead of building my own stuff, I'll start a factory that will build the stuff for me.</w:t>
      </w:r>
      <w:r w:rsidRPr="00B4301D">
        <w:rPr>
          <w:sz w:val="20"/>
          <w:szCs w:val="20"/>
        </w:rPr>
        <w:t>” – Male, 26 (Interview)</w:t>
      </w:r>
    </w:p>
    <w:p w14:paraId="3CBEFCD1" w14:textId="3F4F38C5" w:rsidR="004361AF" w:rsidRPr="00B4301D" w:rsidRDefault="00D65139" w:rsidP="00D65139">
      <w:pPr>
        <w:spacing w:line="360" w:lineRule="auto"/>
        <w:rPr>
          <w:sz w:val="20"/>
          <w:szCs w:val="20"/>
        </w:rPr>
      </w:pPr>
      <w:r w:rsidRPr="00B4301D">
        <w:rPr>
          <w:rFonts w:cstheme="minorHAnsi"/>
        </w:rPr>
        <w:t xml:space="preserve">By allowing the implementation of player mods, additional functionality can be added to the game which allows </w:t>
      </w:r>
      <w:r w:rsidR="00563EE3" w:rsidRPr="00B4301D">
        <w:rPr>
          <w:rFonts w:cstheme="minorHAnsi"/>
        </w:rPr>
        <w:t xml:space="preserve">players to customise their </w:t>
      </w:r>
      <w:r w:rsidRPr="00B4301D">
        <w:rPr>
          <w:rFonts w:cstheme="minorHAnsi"/>
        </w:rPr>
        <w:t>gaming experience further.</w:t>
      </w:r>
      <w:r w:rsidR="00563EE3" w:rsidRPr="00B4301D">
        <w:rPr>
          <w:rFonts w:cstheme="minorHAnsi"/>
        </w:rPr>
        <w:t xml:space="preserve"> </w:t>
      </w:r>
      <w:r w:rsidR="004361AF" w:rsidRPr="00B4301D">
        <w:rPr>
          <w:rFonts w:cstheme="minorHAnsi"/>
        </w:rPr>
        <w:t xml:space="preserve"> </w:t>
      </w:r>
    </w:p>
    <w:bookmarkEnd w:id="3"/>
    <w:p w14:paraId="7051B13C" w14:textId="372C8143" w:rsidR="00611BF9" w:rsidRPr="00B4301D" w:rsidRDefault="00611BF9" w:rsidP="00611BF9"/>
    <w:p w14:paraId="4167AFA5" w14:textId="01177ED4" w:rsidR="00315E1A" w:rsidRPr="00B4301D" w:rsidRDefault="00315E1A" w:rsidP="00315E1A">
      <w:pPr>
        <w:pStyle w:val="Heading1"/>
        <w:spacing w:line="360" w:lineRule="auto"/>
        <w:rPr>
          <w:color w:val="auto"/>
        </w:rPr>
      </w:pPr>
      <w:r w:rsidRPr="00B4301D">
        <w:rPr>
          <w:color w:val="auto"/>
        </w:rPr>
        <w:t>4. Discussion</w:t>
      </w:r>
    </w:p>
    <w:p w14:paraId="4D7E353A" w14:textId="199E6C01" w:rsidR="001F7C53" w:rsidRPr="00B4301D" w:rsidRDefault="001F7C53" w:rsidP="00B21430">
      <w:pPr>
        <w:pStyle w:val="Heading2"/>
        <w:spacing w:line="360" w:lineRule="auto"/>
        <w:rPr>
          <w:color w:val="auto"/>
        </w:rPr>
      </w:pPr>
      <w:r w:rsidRPr="00B4301D">
        <w:rPr>
          <w:color w:val="auto"/>
        </w:rPr>
        <w:t xml:space="preserve">4.1 </w:t>
      </w:r>
      <w:r w:rsidR="00B21430" w:rsidRPr="00B4301D">
        <w:rPr>
          <w:color w:val="auto"/>
        </w:rPr>
        <w:t>Expressivity of Creativity</w:t>
      </w:r>
    </w:p>
    <w:p w14:paraId="4205DA57" w14:textId="78D1FB1A" w:rsidR="00315E1A" w:rsidRPr="00B4301D" w:rsidRDefault="00315E1A" w:rsidP="00315E1A">
      <w:pPr>
        <w:spacing w:line="360" w:lineRule="auto"/>
      </w:pPr>
      <w:r w:rsidRPr="00B4301D">
        <w:t xml:space="preserve">In </w:t>
      </w:r>
      <w:r w:rsidRPr="00B4301D">
        <w:rPr>
          <w:i/>
        </w:rPr>
        <w:t xml:space="preserve">creativity as problem-solving, </w:t>
      </w:r>
      <w:r w:rsidRPr="00B4301D">
        <w:t xml:space="preserve">participants referenced </w:t>
      </w:r>
      <w:r w:rsidRPr="00B4301D">
        <w:rPr>
          <w:i/>
        </w:rPr>
        <w:t>creating strategies</w:t>
      </w:r>
      <w:r w:rsidRPr="00B4301D">
        <w:t xml:space="preserve"> and </w:t>
      </w:r>
      <w:r w:rsidRPr="00B4301D">
        <w:rPr>
          <w:i/>
        </w:rPr>
        <w:t>approaching problems</w:t>
      </w:r>
      <w:r w:rsidRPr="00B4301D">
        <w:t xml:space="preserve"> in novel ways. Problem-solving has been argued to be a core component of creativity, where the problem represents a gap in knowledge and creativity represents the strategies or actions required to overcome it </w:t>
      </w:r>
      <w:r w:rsidRPr="00B4301D">
        <w:fldChar w:fldCharType="begin" w:fldLock="1"/>
      </w:r>
      <w:r w:rsidRPr="00B4301D">
        <w:instrText>ADDIN CSL_CITATION {"citationItems":[{"id":"ITEM-1","itemData":{"DOI":"10.1016/j.lindif.2007.11.007","abstract":"More than five decades of research and development have focused on making the Creative Problem Solving process and tools accessible across a wide range of ages and contexts. Recent evidence indicates that when individuals, in both school and corporate settings, understand their own style of problem solving, they are able to learn and apply process tools more effectively, and when teams appreciate the styles of their individual members, their problem solving efforts are enhanced. We summarize recent studies and report new data supporting the conclusion that individual style differences provide an important key to understanding the interaction of person, process, product, and press when managing change. The purpose of this article is to examine briefly the emerging construct of problem-solving style in relation to recent advances in research, theory, and practice on Creative Problem Solving (CPS). We review and update models for understanding CPS and problem-solving style. We also discuss an assessment tool for problem-solving style and identify the implications of problem-solving style and its interaction with CPS for research and practice relating to effective learning and teaching of creativity and problem solving.","author":[{"dropping-particle":"","family":"Treffinger","given":"Donald J.","non-dropping-particle":"","parse-names":false,"suffix":""},{"dropping-particle":"","family":"Selby","given":"Edwin C","non-dropping-particle":"","parse-names":false,"suffix":""},{"dropping-particle":"","family":"Isaksen","given":"Scott G","non-dropping-particle":"","parse-names":false,"suffix":""}],"container-title":"Learning and Individual Differences","id":"ITEM-1","issued":{"date-parts":[["2007"]]},"title":"Understanding individual problem-solving style: A key to learning and applying creative problem solving","type":"article-journal"},"uris":["http://www.mendeley.com/documents/?uuid=7d1982b3-25b9-3b11-8c53-c99f32672f8b"]}],"mendeley":{"formattedCitation":"(Treffinger, Selby, &amp; Isaksen, 2007)","plainTextFormattedCitation":"(Treffinger, Selby, &amp; Isaksen, 2007)","previouslyFormattedCitation":"(Treffinger, Selby, &amp; Isaksen, 2007)"},"properties":{"noteIndex":0},"schema":"https://github.com/citation-style-language/schema/raw/master/csl-citation.json"}</w:instrText>
      </w:r>
      <w:r w:rsidRPr="00B4301D">
        <w:fldChar w:fldCharType="separate"/>
      </w:r>
      <w:r w:rsidRPr="00B4301D">
        <w:rPr>
          <w:noProof/>
        </w:rPr>
        <w:t>(Treffinger, Selby, &amp; Isaksen, 2007)</w:t>
      </w:r>
      <w:r w:rsidRPr="00B4301D">
        <w:fldChar w:fldCharType="end"/>
      </w:r>
      <w:r w:rsidRPr="00B4301D">
        <w:t xml:space="preserve">. This view of creativity requires two conditions in that the solution needs to successfully solve the problem and the solution needs to be novel in relation to the individual. The same response may be creative for one individual whilst routine for another who is merely recycling a previously created solution </w:t>
      </w:r>
      <w:r w:rsidRPr="00B4301D">
        <w:fldChar w:fldCharType="begin" w:fldLock="1"/>
      </w:r>
      <w:r w:rsidRPr="00B4301D">
        <w:instrText>ADDIN CSL_CITATION {"citationItems":[{"id":"ITEM-1","itemData":{"author":[{"dropping-particle":"","family":"Mayer","given":"Richard E.","non-dropping-particle":"","parse-names":false,"suffix":""}],"id":"ITEM-1","issued":{"date-parts":[["1983"]]},"publisher":"Freeman","publisher-place":"New York","title":"Thinking, Problem Solving, Cognition","type":"book"},"uris":["http://www.mendeley.com/documents/?uuid=c9271b5d-9656-4f1f-99ca-23452899396c"]},{"id":"ITEM-2","itemData":{"DOI":"10.1002/acp.2350010112","ISBN":"0716717689; 9780716717683; 0716717697; 9780716717690","ISSN":"08884080","PMID":"4295767","abstract":"By bringing a broad range of topics and data together in a way that permits the reader to gain a fundamental understanding of the creative process, \"Creativity: Genius and Other Myths\" shows how much of what we unquestioningly believe about creativity is not true. Professor Weisberg presents a theory, originally developed from his laboratory research in problem solving, that organizes the analysis of artistic and scientific creativity. Starting with an example of a creative solution to a simple real-life problem, he shows that creative thinking does not necessarily involve great leaps of imagination and that creative individuals are not necessarily possessed of some special characteristic called \"genius.\" He provides an analysis of the traditional literature that argues that creative responses evolve through a straightforward series of conscious steps.","author":[{"dropping-particle":"","family":"Weisberg","given":"Robert W","non-dropping-particle":"","parse-names":false,"suffix":""}],"container-title":"Series of books in psychology","id":"ITEM-2","issued":{"date-parts":[["1986"]]},"number-of-pages":"169","publisher":"Freeman","publisher-place":"New York","title":"Creativity: genius and other myths","type":"book"},"uris":["http://www.mendeley.com/documents/?uuid=63677c6e-5860-439b-b177-0878683f4480"]}],"mendeley":{"formattedCitation":"(Mayer, 1983; Weisberg, 1986)","plainTextFormattedCitation":"(Mayer, 1983; Weisberg, 1986)","previouslyFormattedCitation":"(Mayer, 1983; Weisberg, 1986)"},"properties":{"noteIndex":0},"schema":"https://github.com/citation-style-language/schema/raw/master/csl-citation.json"}</w:instrText>
      </w:r>
      <w:r w:rsidRPr="00B4301D">
        <w:fldChar w:fldCharType="separate"/>
      </w:r>
      <w:r w:rsidRPr="00B4301D">
        <w:rPr>
          <w:noProof/>
        </w:rPr>
        <w:t>(Mayer, 1983; Weisberg, 1986)</w:t>
      </w:r>
      <w:r w:rsidRPr="00B4301D">
        <w:fldChar w:fldCharType="end"/>
      </w:r>
      <w:r w:rsidRPr="00B4301D">
        <w:t xml:space="preserve">. In line with other literature which mentions creative problem-solving in games (e.g. </w:t>
      </w:r>
      <w:r w:rsidRPr="00B4301D">
        <w:fldChar w:fldCharType="begin" w:fldLock="1"/>
      </w:r>
      <w:r w:rsidRPr="00B4301D">
        <w:instrText>ADDIN CSL_CITATION {"citationItems":[{"id":"ITEM-1","itemData":{"DOI":"10.1089/g4h.2012.0064","ISBN":"2161-7856(Electronic);2161-783X(Print)","ISSN":"2161-783X","abstract":"In our research on the relationship between videogame playing and cognitive outcomes we found that children (n = 481, 12 year olds) who played videogames more were more creative than those who played them less. Here we summarize these findings and propose new research to identify mediating cognitive factors influenced by videogame playing.","author":[{"dropping-particle":"","family":"Jackson","given":"Linda A.","non-dropping-particle":"","parse-names":false,"suffix":""}],"container-title":"Games for Health Journal","id":"ITEM-1","issue":"6","issued":{"date-parts":[["2012"]]},"page":"452-455","title":"The Upside of Videogame Playing","type":"article-journal","volume":"1"},"uris":["http://www.mendeley.com/documents/?uuid=18967373-96ca-4f65-a1e9-3f792250518a"]},{"id":"ITEM-2","itemData":{"abstract":"Video games are good for learning because, among other reasons, they have the following features: 1. They can create an embodied empathy for a complex system 2. They are action-and-goal-directed preparations for, and simulations of, embodied experience 3. They involve distributed intelligence via the creation of smart tools 4. They create opportunities for cross-functional affiliation 5. They allow meaning to be situated 6. They can be open-ended, allowing for goals and projects that meld the personal and the social","author":[{"dropping-particle":"","family":"Gee","given":"James Paul","non-dropping-particle":"","parse-names":false,"suffix":""}],"container-title":"Spectrum","id":"ITEM-2","issued":{"date-parts":[["2005"]]},"note":"NULL","page":"25-32","title":"Why are videogames good for learning?","type":"article-journal","volume":"32"},"uris":["http://www.mendeley.com/documents/?uuid=721b1ace-e99e-4a84-b8e2-35f6e3d59dec"]},{"id":"ITEM-3","itemData":{"DOI":"10.1016/j.iheduc.2004.12.001","ISBN":"1096-7516","ISSN":"10967516","abstract":"Online games satisfy the basic requirements of learning environments and can provide engaging learning experiences for students. However, a model that successfully integrates educational theory and game design aspects do not exist. Thus, in this paper an experiential gaming model that is based on experiential learning theory, flow theory and game design is presented. The model stresses the importance of providing the player with immediate feedback, clear goals and challenges that are matched to his/her skill level. The flow theory is used as a framework to facilitate positive user experience in order to maximize the impact of educational games. Especially, the factors that contribute to flow experience are discussed. The experiential gaming model can be used to design and analyse educational computer games. However, the model works only as a link between educational theory and game design and does not provide the means to a whole game design project. © 2005 Elsevier Inc. All rights reserved.","author":[{"dropping-particle":"","family":"Kiili","given":"Kristian","non-dropping-particle":"","parse-names":false,"suffix":""}],"container-title":"Internet and Higher Education","id":"ITEM-3","issue":"1","issued":{"date-parts":[["2005"]]},"page":"13-24","title":"Digital game-based learning: Towards an experiential gaming model","type":"article-journal","volume":"8"},"uris":["http://www.mendeley.com/documents/?uuid=42b2db3f-e3ca-49af-bf02-bbe5fc1932be"]}],"mendeley":{"formattedCitation":"(Gee, 2005; Jackson, 2012; Kiili, 2005)","manualFormatting":"Gee, 2005; Jackson, 2012; Kiili, 2005)","plainTextFormattedCitation":"(Gee, 2005; Jackson, 2012; Kiili, 2005)","previouslyFormattedCitation":"(Gee, 2005; Jackson, 2012; Kiili, 2005)"},"properties":{"noteIndex":0},"schema":"https://github.com/citation-style-language/schema/raw/master/csl-citation.json"}</w:instrText>
      </w:r>
      <w:r w:rsidRPr="00B4301D">
        <w:fldChar w:fldCharType="separate"/>
      </w:r>
      <w:r w:rsidRPr="00B4301D">
        <w:rPr>
          <w:noProof/>
        </w:rPr>
        <w:t>Gee, 2005; Jackson, 2012; Kiili, 2005)</w:t>
      </w:r>
      <w:r w:rsidRPr="00B4301D">
        <w:fldChar w:fldCharType="end"/>
      </w:r>
      <w:r w:rsidRPr="00B4301D">
        <w:t xml:space="preserve">, participants in this study frequently mentioned creating strategies or tactics to overcome gaming challenges. While these strategies may not have been universally novel, they were unique for the players who created them, something which echoes back to the notion of Little C creativity </w:t>
      </w:r>
      <w:r w:rsidRPr="00B4301D">
        <w:fldChar w:fldCharType="begin" w:fldLock="1"/>
      </w:r>
      <w:r w:rsidR="007904D4" w:rsidRPr="00B4301D">
        <w:instrText>ADDIN CSL_CITATION {"citationItems":[{"id":"ITEM-1","itemData":{"author":[{"dropping-particle":"","family":"Maslow","given":"A.","non-dropping-particle":"","parse-names":false,"suffix":""}],"id":"ITEM-1","issued":{"date-parts":[["1968"]]},"publisher":"Van Nostrand, D.","publisher-place":"Princeton, NJ","title":"Toward a psychology of being","type":"book"},"uris":["http://www.mendeley.com/documents/?uuid=cb8ed2b4-c234-4256-aacc-bde08dfb65bc"]},{"id":"ITEM-2","itemData":{"DOI":"10.1037//0022-3514.54.3.476","ISBN":"00223514 (ISSN)","ISSN":"0022-3514","abstract":"A new research tool, the Lifetime Creativity Scales (LCS), is presented, along with validation evi- dence based on three personally interviewed,independent samples totalling 541 subjects. The LCS provide broad-based assessment of original activity at work and leisure, without the requirement that activities be socially recognized or limited to particular fields of endeavor. The LCS therefore allow study of everyday creativity in unselected populations, and they open up new research possibili- ties. The scales show high intcrraler reliability and multiple indications of construct validity. Find- ings with the validation samples raise interesting questions, including the relationship between voca- tional and avocational creativity.","author":[{"dropping-particle":"","family":"Richards","given":"Ruth","non-dropping-particle":"","parse-names":false,"suffix":""},{"dropping-particle":"","family":"Kinney","given":"Dennis K.","non-dropping-particle":"","parse-names":false,"suffix":""},{"dropping-particle":"","family":"Benet","given":"Maria","non-dropping-particle":"","parse-names":false,"suffix":""},{"dropping-particle":"","family":"Merzel","given":"Ann P.","non-dropping-particle":"","parse-names":false,"suffix":""}],"container-title":"Journal of Personality and Social Psychology","id":"ITEM-2","issue":"3","issued":{"date-parts":[["1988"]]},"page":"476-485","title":"Assessing everyday creativity: Characteristics of the Lifetime Creativity Scales and validation with three large samples.","type":"article-journal","volume":"54"},"uris":["http://www.mendeley.com/documents/?uuid=381f8209-aff6-4a17-ad4c-9343a9a9325f"]}],"mendeley":{"formattedCitation":"(Maslow, 1968; Richards et al., 1988)","manualFormatting":"(Maslow, 1968; Richards et al., 1988)","plainTextFormattedCitation":"(Maslow, 1968; Richards et al., 1988)","previouslyFormattedCitation":"(Maslow, 1968; Richards et al., 1988)"},"properties":{"noteIndex":0},"schema":"https://github.com/citation-style-language/schema/raw/master/csl-citation.json"}</w:instrText>
      </w:r>
      <w:r w:rsidRPr="00B4301D">
        <w:fldChar w:fldCharType="separate"/>
      </w:r>
      <w:r w:rsidRPr="00B4301D">
        <w:rPr>
          <w:noProof/>
        </w:rPr>
        <w:t>(Maslow, 1968; Richards et al., 1988)</w:t>
      </w:r>
      <w:r w:rsidRPr="00B4301D">
        <w:fldChar w:fldCharType="end"/>
      </w:r>
      <w:r w:rsidRPr="00B4301D">
        <w:t xml:space="preserve"> which refers to the personally unique ways in which individuals solve everyday problems. </w:t>
      </w:r>
    </w:p>
    <w:p w14:paraId="75961A9D" w14:textId="33428A3E" w:rsidR="00315E1A" w:rsidRPr="00B4301D" w:rsidRDefault="00A46C9D" w:rsidP="00315E1A">
      <w:pPr>
        <w:spacing w:line="360" w:lineRule="auto"/>
        <w:ind w:firstLine="720"/>
        <w:rPr>
          <w:rFonts w:cstheme="minorHAnsi"/>
        </w:rPr>
      </w:pPr>
      <w:r w:rsidRPr="00B4301D">
        <w:t>Participants spoke about refining their strategies through “a process of elimination” and “picking apart” the outcome to determine what they did correctly and what went wrong. This</w:t>
      </w:r>
      <w:r w:rsidR="00315E1A" w:rsidRPr="00B4301D">
        <w:t xml:space="preserve"> process of constant reflection and refinement involved in the creative problem-solving process can be illuminated by </w:t>
      </w:r>
      <w:proofErr w:type="spellStart"/>
      <w:r w:rsidR="00315E1A" w:rsidRPr="006A4F78">
        <w:rPr>
          <w:color w:val="000000" w:themeColor="text1"/>
        </w:rPr>
        <w:t>Kiili’s</w:t>
      </w:r>
      <w:proofErr w:type="spellEnd"/>
      <w:r w:rsidR="00315E1A" w:rsidRPr="006A4F78">
        <w:rPr>
          <w:color w:val="000000" w:themeColor="text1"/>
        </w:rPr>
        <w:t xml:space="preserve"> (2005) Experiential Gaming Model (EGM) which describes how games may act as means of for players to develop their creative problem-solving skills. The EGM, created for the purposes of designing and studying games, suggests challenges are constantly provided to players at their optimal skill level</w:t>
      </w:r>
      <w:r w:rsidR="006C4459" w:rsidRPr="006A4F78">
        <w:rPr>
          <w:color w:val="000000" w:themeColor="text1"/>
        </w:rPr>
        <w:t>;</w:t>
      </w:r>
      <w:r w:rsidR="00C341B5" w:rsidRPr="006A4F78">
        <w:rPr>
          <w:color w:val="000000" w:themeColor="text1"/>
        </w:rPr>
        <w:t xml:space="preserve"> facilitating a flow state </w:t>
      </w:r>
      <w:r w:rsidR="00315E1A" w:rsidRPr="006A4F78">
        <w:rPr>
          <w:color w:val="000000" w:themeColor="text1"/>
        </w:rPr>
        <w:fldChar w:fldCharType="begin" w:fldLock="1"/>
      </w:r>
      <w:r w:rsidR="00DD5139" w:rsidRPr="006A4F78">
        <w:rPr>
          <w:color w:val="000000" w:themeColor="text1"/>
        </w:rPr>
        <w:instrText>ADDIN CSL_CITATION {"citationItems":[{"id":"ITEM-1","itemData":{"DOI":"10.1007/978-94-017-9088-8","ISBN":"978-94-017-9087-1","ISSN":"0022-1678","PMID":"4852177","abstract":"An analysis of the reported experiences of people involved in various play-forms (i.e., rock-climbing, chess, dance, basketball, music composi- tion) suggests that the qualities which make these activities enjoyable are the following: (a) a person is able to concentrate on a limited stimulus field, (o) in which he or she can use his or her skills to meet clear demands, (c) thereby forgetting his or her own problems, and (d) his or her own separate identity, (e) at the same time obtaining a feeling of control over the environment, Q which may result in a transcendence of ego-boundaries and consequent psychic integration with metapersonal systems A formal analysis is carried out to establish what are the characteristics that an activity must have to provide such intrinsically rewarding experiences. The implications of intrinsic rewards for the understanding of human motiva- tion are briefly discussed.","author":[{"dropping-particle":"","family":"Csikszentmihalyi","given":"M.","non-dropping-particle":"","parse-names":false,"suffix":""}],"container-title":"Journal of Humanistic Psychology","id":"ITEM-1","issue":"3","issued":{"date-parts":[["2014"]]},"page":"41-63","title":"Flow and the Foundations of Positive Psychology","type":"article-journal","volume":"15"},"uris":["http://www.mendeley.com/documents/?uuid=66374e90-96f0-4d9a-ba60-c2bbeabcb3a5"]}],"mendeley":{"formattedCitation":"(Csikszentmihalyi, 2014)","plainTextFormattedCitation":"(Csikszentmihalyi, 2014)","previouslyFormattedCitation":"(Csikszentmihalyi, 2014)"},"properties":{"noteIndex":0},"schema":"https://github.com/citation-style-language/schema/raw/master/csl-citation.json"}</w:instrText>
      </w:r>
      <w:r w:rsidR="00315E1A" w:rsidRPr="006A4F78">
        <w:rPr>
          <w:color w:val="000000" w:themeColor="text1"/>
        </w:rPr>
        <w:fldChar w:fldCharType="separate"/>
      </w:r>
      <w:r w:rsidR="00DD5139" w:rsidRPr="006A4F78">
        <w:rPr>
          <w:noProof/>
          <w:color w:val="000000" w:themeColor="text1"/>
        </w:rPr>
        <w:t>(Csikszentmihalyi, 2014)</w:t>
      </w:r>
      <w:r w:rsidR="00315E1A" w:rsidRPr="006A4F78">
        <w:rPr>
          <w:color w:val="000000" w:themeColor="text1"/>
        </w:rPr>
        <w:fldChar w:fldCharType="end"/>
      </w:r>
      <w:r w:rsidR="00C341B5" w:rsidRPr="006A4F78">
        <w:rPr>
          <w:color w:val="000000" w:themeColor="text1"/>
        </w:rPr>
        <w:t xml:space="preserve"> which</w:t>
      </w:r>
      <w:r w:rsidR="006C4459" w:rsidRPr="006A4F78">
        <w:rPr>
          <w:color w:val="000000" w:themeColor="text1"/>
        </w:rPr>
        <w:t xml:space="preserve"> in turn</w:t>
      </w:r>
      <w:r w:rsidR="00C341B5" w:rsidRPr="006A4F78">
        <w:rPr>
          <w:color w:val="000000" w:themeColor="text1"/>
        </w:rPr>
        <w:t xml:space="preserve"> acts as a </w:t>
      </w:r>
      <w:r w:rsidR="00C341B5" w:rsidRPr="006A4F78">
        <w:rPr>
          <w:color w:val="000000" w:themeColor="text1"/>
        </w:rPr>
        <w:lastRenderedPageBreak/>
        <w:t>motivator for creat</w:t>
      </w:r>
      <w:r w:rsidR="00CB1313" w:rsidRPr="006A4F78">
        <w:rPr>
          <w:color w:val="000000" w:themeColor="text1"/>
        </w:rPr>
        <w:t xml:space="preserve">ive </w:t>
      </w:r>
      <w:proofErr w:type="spellStart"/>
      <w:r w:rsidR="00CB1313" w:rsidRPr="006A4F78">
        <w:rPr>
          <w:color w:val="000000" w:themeColor="text1"/>
        </w:rPr>
        <w:t>behavior</w:t>
      </w:r>
      <w:proofErr w:type="spellEnd"/>
      <w:r w:rsidR="00315E1A" w:rsidRPr="006A4F78">
        <w:rPr>
          <w:color w:val="000000" w:themeColor="text1"/>
        </w:rPr>
        <w:t xml:space="preserve">. The creation of solutions to these challenges takes place twofold: firstly, within an unstructured and chaotic phase </w:t>
      </w:r>
      <w:r w:rsidR="00315E1A" w:rsidRPr="00B4301D">
        <w:t xml:space="preserve">where the player does not take notice of the wider restraints of the game world, and secondly, within a refinement phase, where ideas are contextualised in relation to the constraints, resources and limitations of the game world. Through such reflective observations, motivated by a flow state, players are able to hone their creativity by overcoming ill-structured challenges </w:t>
      </w:r>
      <w:r w:rsidR="00315E1A" w:rsidRPr="00B4301D">
        <w:fldChar w:fldCharType="begin" w:fldLock="1"/>
      </w:r>
      <w:r w:rsidR="00315E1A" w:rsidRPr="00B4301D">
        <w:instrText>ADDIN CSL_CITATION {"citationItems":[{"id":"ITEM-1","itemData":{"DOI":"10.1016/j.iheduc.2004.12.001","ISBN":"1096-7516","ISSN":"10967516","abstract":"Online games satisfy the basic requirements of learning environments and can provide engaging learning experiences for students. However, a model that successfully integrates educational theory and game design aspects do not exist. Thus, in this paper an experiential gaming model that is based on experiential learning theory, flow theory and game design is presented. The model stresses the importance of providing the player with immediate feedback, clear goals and challenges that are matched to his/her skill level. The flow theory is used as a framework to facilitate positive user experience in order to maximize the impact of educational games. Especially, the factors that contribute to flow experience are discussed. The experiential gaming model can be used to design and analyse educational computer games. However, the model works only as a link between educational theory and game design and does not provide the means to a whole game design project. © 2005 Elsevier Inc. All rights reserved.","author":[{"dropping-particle":"","family":"Kiili","given":"Kristian","non-dropping-particle":"","parse-names":false,"suffix":""}],"container-title":"Internet and Higher Education","id":"ITEM-1","issue":"1","issued":{"date-parts":[["2005"]]},"page":"13-24","title":"Digital game-based learning: Towards an experiential gaming model","type":"article-journal","volume":"8"},"uris":["http://www.mendeley.com/documents/?uuid=42b2db3f-e3ca-49af-bf02-bbe5fc1932be"]}],"mendeley":{"formattedCitation":"(Kiili, 2005)","plainTextFormattedCitation":"(Kiili, 2005)","previouslyFormattedCitation":"(Kiili, 2005)"},"properties":{"noteIndex":0},"schema":"https://github.com/citation-style-language/schema/raw/master/csl-citation.json"}</w:instrText>
      </w:r>
      <w:r w:rsidR="00315E1A" w:rsidRPr="00B4301D">
        <w:fldChar w:fldCharType="separate"/>
      </w:r>
      <w:r w:rsidR="00315E1A" w:rsidRPr="00B4301D">
        <w:rPr>
          <w:noProof/>
        </w:rPr>
        <w:t>(Kiili, 2005)</w:t>
      </w:r>
      <w:r w:rsidR="00315E1A" w:rsidRPr="00B4301D">
        <w:fldChar w:fldCharType="end"/>
      </w:r>
      <w:r w:rsidR="00315E1A" w:rsidRPr="00B4301D">
        <w:t>.</w:t>
      </w:r>
      <w:r w:rsidR="005B5E53">
        <w:t xml:space="preserve"> </w:t>
      </w:r>
      <w:r w:rsidR="00315E1A" w:rsidRPr="00B4301D">
        <w:t xml:space="preserve">Furthermore, the sense of achievement which comes from “working it out” may act as a motivator for creativity, something which is </w:t>
      </w:r>
      <w:r w:rsidR="00315E1A" w:rsidRPr="00B4301D">
        <w:rPr>
          <w:rFonts w:cstheme="minorHAnsi"/>
        </w:rPr>
        <w:t xml:space="preserve">in line with Gee’s </w:t>
      </w:r>
      <w:r w:rsidR="00315E1A" w:rsidRPr="00B4301D">
        <w:rPr>
          <w:rFonts w:cstheme="minorHAnsi"/>
        </w:rPr>
        <w:fldChar w:fldCharType="begin" w:fldLock="1"/>
      </w:r>
      <w:r w:rsidR="00315E1A" w:rsidRPr="00B4301D">
        <w:rPr>
          <w:rFonts w:cstheme="minorHAnsi"/>
        </w:rPr>
        <w:instrText>ADDIN CSL_CITATION {"citationItems":[{"id":"ITEM-1","itemData":{"DOI":"10.1145/950566.950595","ISBN":"1-4039-6538-2","ISSN":"15443574","PMID":"18482292","abstract":" \\t A controversial look at the positive things that can be learned from video games by a well known professor of education. James Paul Gee begins his new book with \"I want to talk about video games-yes, even violent video games-and say some positive things about them.\" With this simple but explosive beginning, one of America's most well-respected professors of education looks seriously at the good that can come from playing video games. Gee is interested in the cognitive development that can occur when someone is trying to escape a maze, find a hidden treasure and, even, blasting away an enemy with a high-powered rifle. Talking about his own video-gaming experience learning and using games as diverse as Lara Croft and Arcanum, Gee looks at major specific cognitive activities: How individuals develop a sense of identity; How one grasps meaning; How one evaluates and follows a command; How one picks a role model; How one perceives the world. This is a ground-breaking book that takes up a new electronic method of education and shows the positive upside it has for learning. A controversial look at the positive things that can be learned from video games.","author":[{"dropping-particle":"","family":"Gee","given":"James Paul","non-dropping-particle":"","parse-names":false,"suffix":""}],"container-title":"Computers in Entertainment","id":"ITEM-1","issue":"1","issued":{"date-parts":[["2003"]]},"page":"20","title":"What video games have to teach us about learning and literacy","type":"article-journal","volume":"1"},"uris":["http://www.mendeley.com/documents/?uuid=bd389d2c-7821-4163-ba53-4582280b7297"]}],"mendeley":{"formattedCitation":"(Gee, 2003)","manualFormatting":"(2003)","plainTextFormattedCitation":"(Gee, 2003)","previouslyFormattedCitation":"(Gee, 2003)"},"properties":{"noteIndex":0},"schema":"https://github.com/citation-style-language/schema/raw/master/csl-citation.json"}</w:instrText>
      </w:r>
      <w:r w:rsidR="00315E1A" w:rsidRPr="00B4301D">
        <w:rPr>
          <w:rFonts w:cstheme="minorHAnsi"/>
        </w:rPr>
        <w:fldChar w:fldCharType="separate"/>
      </w:r>
      <w:r w:rsidR="00315E1A" w:rsidRPr="00B4301D">
        <w:rPr>
          <w:rFonts w:cstheme="minorHAnsi"/>
          <w:noProof/>
        </w:rPr>
        <w:t>(2003)</w:t>
      </w:r>
      <w:r w:rsidR="00315E1A" w:rsidRPr="00B4301D">
        <w:rPr>
          <w:rFonts w:cstheme="minorHAnsi"/>
        </w:rPr>
        <w:fldChar w:fldCharType="end"/>
      </w:r>
      <w:r w:rsidR="00315E1A" w:rsidRPr="00B4301D">
        <w:rPr>
          <w:rFonts w:cstheme="minorHAnsi"/>
        </w:rPr>
        <w:t xml:space="preserve"> Discovery Principle which states that games are especially good at providing players with the opportunities to experiment and make their own discoveries.</w:t>
      </w:r>
    </w:p>
    <w:p w14:paraId="1A87DF2A" w14:textId="77777777" w:rsidR="00315E1A" w:rsidRPr="00B4301D" w:rsidRDefault="00315E1A" w:rsidP="00315E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right="567"/>
        <w:jc w:val="both"/>
        <w:rPr>
          <w:rFonts w:cstheme="minorHAnsi"/>
        </w:rPr>
      </w:pPr>
      <w:r w:rsidRPr="00B4301D">
        <w:rPr>
          <w:rFonts w:cstheme="minorHAnsi"/>
        </w:rPr>
        <w:tab/>
        <w:t xml:space="preserve">While references relating to </w:t>
      </w:r>
      <w:r w:rsidRPr="00B4301D">
        <w:rPr>
          <w:rFonts w:cstheme="minorHAnsi"/>
          <w:i/>
        </w:rPr>
        <w:t xml:space="preserve">creating strategies </w:t>
      </w:r>
      <w:r w:rsidRPr="00B4301D">
        <w:rPr>
          <w:rFonts w:cstheme="minorHAnsi"/>
        </w:rPr>
        <w:t xml:space="preserve">often took place in single player offline games, it was also cited in relation to MMORPGs. It has been argued that creativity is grounded in both individual and social experiences </w:t>
      </w:r>
      <w:r w:rsidRPr="00B4301D">
        <w:rPr>
          <w:rFonts w:cstheme="minorHAnsi"/>
        </w:rPr>
        <w:fldChar w:fldCharType="begin" w:fldLock="1"/>
      </w:r>
      <w:r w:rsidRPr="00B4301D">
        <w:rPr>
          <w:rFonts w:cstheme="minorHAnsi"/>
        </w:rPr>
        <w:instrText>ADDIN CSL_CITATION {"citationItems":[{"id":"ITEM-1","itemData":{"author":[{"dropping-particle":"","family":"Vygotsky","given":"L.S.","non-dropping-particle":"","parse-names":false,"suffix":""}],"container-title":"Journal of Russian and East European Psychology","id":"ITEM-1","issue":"1","issued":{"date-parts":[["2004"]]},"page":"7-97","title":"Imagination and Creativity in Childhood","type":"article-journal","volume":"42"},"uris":["http://www.mendeley.com/documents/?uuid=2a886fbe-cf0b-38a0-812b-73e258c9cd9e"]}],"mendeley":{"formattedCitation":"(Vygotsky, 2004)","plainTextFormattedCitation":"(Vygotsky, 2004)","previouslyFormattedCitation":"(Vygotsky, 2004)"},"properties":{"noteIndex":0},"schema":"https://github.com/citation-style-language/schema/raw/master/csl-citation.json"}</w:instrText>
      </w:r>
      <w:r w:rsidRPr="00B4301D">
        <w:rPr>
          <w:rFonts w:cstheme="minorHAnsi"/>
        </w:rPr>
        <w:fldChar w:fldCharType="separate"/>
      </w:r>
      <w:r w:rsidRPr="00B4301D">
        <w:rPr>
          <w:rFonts w:cstheme="minorHAnsi"/>
          <w:noProof/>
        </w:rPr>
        <w:t>(Vygotsky, 2004)</w:t>
      </w:r>
      <w:r w:rsidRPr="00B4301D">
        <w:rPr>
          <w:rFonts w:cstheme="minorHAnsi"/>
        </w:rPr>
        <w:fldChar w:fldCharType="end"/>
      </w:r>
      <w:r w:rsidRPr="00B4301D">
        <w:rPr>
          <w:rFonts w:cstheme="minorHAnsi"/>
        </w:rPr>
        <w:t xml:space="preserve"> and can be seen not only in solo contexts but also in the collaborative processes involving team-based problem-solving, communicating and blending and reconfiguring ideas </w:t>
      </w:r>
      <w:r w:rsidRPr="00B4301D">
        <w:rPr>
          <w:rFonts w:cstheme="minorHAnsi"/>
        </w:rPr>
        <w:fldChar w:fldCharType="begin" w:fldLock="1"/>
      </w:r>
      <w:r w:rsidRPr="00B4301D">
        <w:rPr>
          <w:rFonts w:cstheme="minorHAnsi"/>
        </w:rPr>
        <w:instrText>ADDIN CSL_CITATION {"citationItems":[{"id":"ITEM-1","itemData":{"DOI":"10.1016/j.tsc.2011.07.001","abstract":"a b s t r a c t Virtual worlds open new possibilities for learners, prompting a reconsideration of how learning takes place, and setting education in a context of playfulness, delight and cre-ativity. They provide environments in which it is not only possible but also necessary to generate and try out ideas. They therefore offer opportunities to explore new possibilities related to teaching and learning about creativity and to challenge assumptions about the creative capabilities of young learners. The research reported here focuses on a group of teenaged learners who worked together online in the virtual world of Second Life®, as well as using other online tools. It applies thematic analysis to a 120-post forum discussion carried out over two weeks, in which 19 learners and educators debated how to develop their virtual island, and sets this discussion in the context of ongoing interaction within this group. Their focus widened from building plans to cover the creation and maintenance of a community, creatively synthesising considerations relating to environment, ethics, gover-nance, aesthetics and purpose. The teenagers' creativity when dealing with this authentic problem extended well beyond the elements identified by England's National Curriculum, and was supported by staff's active and supportive engagement in the debate.","author":[{"dropping-particle":"","family":"Ferguson","given":"Rebecca","non-dropping-particle":"","parse-names":false,"suffix":""}],"container-title":"Thinking Skills and Creativity","id":"ITEM-1","issued":{"date-parts":[["2011"]]},"page":"169-178","title":"Meaningful learning and creativity in virtual worlds","type":"article-journal","volume":"6"},"uris":["http://www.mendeley.com/documents/?uuid=0a98d659-58c4-3696-a438-c64af17c6485"]},{"id":"ITEM-2","itemData":{"DOI":"10.11120/ital.2006.05030006org/10.11120/ital.2006.05030006","author":[{"dropping-particle":"","family":"Hobbs","given":"M","non-dropping-particle":"","parse-names":false,"suffix":""},{"dropping-particle":"","family":"Brown","given":"E","non-dropping-particle":"","parse-names":false,"suffix":""},{"dropping-particle":"","family":"Gordon","given":"M","non-dropping-particle":"","parse-names":false,"suffix":""}],"container-title":"nnovation in Teaching and Learning in Information and Computer Sciences","id":"ITEM-2","issue":"3","issued":{"date-parts":[["2006"]]},"page":"1-13","title":"Using A Virtual World For Transferable Skills in Gaming Education","type":"article-journal","volume":"5"},"uris":["http://www.mendeley.com/documents/?uuid=7f12e785-4a92-3933-ba46-56ab1aed3885"]}],"mendeley":{"formattedCitation":"(Ferguson, 2011; Hobbs, Brown, &amp; Gordon, 2006)","manualFormatting":"(Ferguson, 2011; Hobbs et al., 2006)","plainTextFormattedCitation":"(Ferguson, 2011; Hobbs, Brown, &amp; Gordon, 2006)","previouslyFormattedCitation":"(Ferguson, 2011; Hobbs, Brown, &amp; Gordon, 2006)"},"properties":{"noteIndex":0},"schema":"https://github.com/citation-style-language/schema/raw/master/csl-citation.json"}</w:instrText>
      </w:r>
      <w:r w:rsidRPr="00B4301D">
        <w:rPr>
          <w:rFonts w:cstheme="minorHAnsi"/>
        </w:rPr>
        <w:fldChar w:fldCharType="separate"/>
      </w:r>
      <w:r w:rsidRPr="00B4301D">
        <w:rPr>
          <w:rFonts w:cstheme="minorHAnsi"/>
          <w:noProof/>
        </w:rPr>
        <w:t>(Ferguson, 2011; Hobbs et al., 2006)</w:t>
      </w:r>
      <w:r w:rsidRPr="00B4301D">
        <w:rPr>
          <w:rFonts w:cstheme="minorHAnsi"/>
        </w:rPr>
        <w:fldChar w:fldCharType="end"/>
      </w:r>
      <w:r w:rsidRPr="00B4301D">
        <w:rPr>
          <w:rFonts w:cstheme="minorHAnsi"/>
        </w:rPr>
        <w:t xml:space="preserve">. As one participant illustrated in his example of a raid in </w:t>
      </w:r>
      <w:r w:rsidRPr="00B4301D">
        <w:rPr>
          <w:rFonts w:cstheme="minorHAnsi"/>
          <w:i/>
        </w:rPr>
        <w:t xml:space="preserve">World of Warcraft </w:t>
      </w:r>
      <w:r w:rsidRPr="00B4301D">
        <w:rPr>
          <w:rFonts w:cstheme="minorHAnsi"/>
          <w:i/>
        </w:rPr>
        <w:fldChar w:fldCharType="begin" w:fldLock="1"/>
      </w:r>
      <w:r w:rsidRPr="00B4301D">
        <w:rPr>
          <w:rFonts w:cstheme="minorHAnsi"/>
          <w:i/>
        </w:rPr>
        <w:instrText>ADDIN CSL_CITATION {"citationItems":[{"id":"ITEM-1","itemData":{"author":[{"dropping-particle":"","family":"Blizzard Entertainment","given":"","non-dropping-particle":"","parse-names":false,"suffix":""}],"id":"ITEM-1","issued":{"date-parts":[["2004"]]},"publisher":"Blizzard Entertainment","title":"World of Warcraft (WoW)","type":"book"},"uris":["http://www.mendeley.com/documents/?uuid=26d3f362-5b9d-493f-9b8c-dcffe58fe006"]}],"mendeley":{"formattedCitation":"(Blizzard Entertainment, 2004)","plainTextFormattedCitation":"(Blizzard Entertainment, 2004)","previouslyFormattedCitation":"(Blizzard Entertainment, 2004)"},"properties":{"noteIndex":0},"schema":"https://github.com/citation-style-language/schema/raw/master/csl-citation.json"}</w:instrText>
      </w:r>
      <w:r w:rsidRPr="00B4301D">
        <w:rPr>
          <w:rFonts w:cstheme="minorHAnsi"/>
          <w:i/>
        </w:rPr>
        <w:fldChar w:fldCharType="separate"/>
      </w:r>
      <w:r w:rsidRPr="00B4301D">
        <w:rPr>
          <w:rFonts w:cstheme="minorHAnsi"/>
          <w:noProof/>
        </w:rPr>
        <w:t>(Blizzard Entertainment, 2004)</w:t>
      </w:r>
      <w:r w:rsidRPr="00B4301D">
        <w:rPr>
          <w:rFonts w:cstheme="minorHAnsi"/>
          <w:i/>
        </w:rPr>
        <w:fldChar w:fldCharType="end"/>
      </w:r>
      <w:r w:rsidRPr="00B4301D">
        <w:rPr>
          <w:rFonts w:cstheme="minorHAnsi"/>
        </w:rPr>
        <w:t xml:space="preserve">, when a group shares a challenge and engages in collaborative brain storming, each member is able to expand and build on one another’s ideas, promoting creativity and “out-of-the-box thinking” </w:t>
      </w:r>
      <w:r w:rsidRPr="00B4301D">
        <w:rPr>
          <w:rFonts w:cstheme="minorHAnsi"/>
        </w:rPr>
        <w:fldChar w:fldCharType="begin" w:fldLock="1"/>
      </w:r>
      <w:r w:rsidRPr="00B4301D">
        <w:rPr>
          <w:rFonts w:cstheme="minorHAnsi"/>
        </w:rPr>
        <w:instrText>ADDIN CSL_CITATION {"citationItems":[{"id":"ITEM-1","itemData":{"DOI":"10.1080/00098650903505415","abstract":"Project-Based Learning (PBL) is an innovative approach to learning that teaches a multitude of strategies critical for success in the twenty-first century. Students drive their own learning through inquiry, as well as work collaboratively to research and create projects that reflect their knowledge. From gleaning new, viable technology skills, to becoming proficient communicators and advanced problem solvers, students benefit from this approach to instruction.","author":[{"dropping-particle":"","family":"Bell","given":"Stephanie","non-dropping-particle":"","parse-names":false,"suffix":""}],"container-title":"The Clearing House","id":"ITEM-1","issued":{"date-parts":[["2010"]]},"page":"39-43","title":"Project-Based Learning for the 21st Century: Skills for the Future","type":"article-journal","volume":"83"},"uris":["http://www.mendeley.com/documents/?uuid=3da924ce-c5ee-35d6-bf38-926acf85c822"]}],"mendeley":{"formattedCitation":"(Bell, 2010)","plainTextFormattedCitation":"(Bell, 2010)","previouslyFormattedCitation":"(Bell, 2010)"},"properties":{"noteIndex":0},"schema":"https://github.com/citation-style-language/schema/raw/master/csl-citation.json"}</w:instrText>
      </w:r>
      <w:r w:rsidRPr="00B4301D">
        <w:rPr>
          <w:rFonts w:cstheme="minorHAnsi"/>
        </w:rPr>
        <w:fldChar w:fldCharType="separate"/>
      </w:r>
      <w:r w:rsidRPr="00B4301D">
        <w:rPr>
          <w:rFonts w:cstheme="minorHAnsi"/>
          <w:noProof/>
        </w:rPr>
        <w:t>(Bell, 2010)</w:t>
      </w:r>
      <w:r w:rsidRPr="00B4301D">
        <w:rPr>
          <w:rFonts w:cstheme="minorHAnsi"/>
        </w:rPr>
        <w:fldChar w:fldCharType="end"/>
      </w:r>
      <w:r w:rsidRPr="00B4301D">
        <w:rPr>
          <w:rFonts w:cstheme="minorHAnsi"/>
        </w:rPr>
        <w:t xml:space="preserve">.  </w:t>
      </w:r>
    </w:p>
    <w:p w14:paraId="698917E9" w14:textId="6B5ECAC7" w:rsidR="00315E1A" w:rsidRPr="00B4301D" w:rsidRDefault="00315E1A" w:rsidP="00315E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right="567"/>
        <w:jc w:val="both"/>
        <w:rPr>
          <w:rFonts w:cstheme="minorHAnsi"/>
        </w:rPr>
      </w:pPr>
      <w:r w:rsidRPr="00B4301D">
        <w:rPr>
          <w:rFonts w:cstheme="minorHAnsi"/>
        </w:rPr>
        <w:tab/>
        <w:t xml:space="preserve">In terms of </w:t>
      </w:r>
      <w:r w:rsidRPr="00B4301D">
        <w:rPr>
          <w:rFonts w:cstheme="minorHAnsi"/>
          <w:i/>
        </w:rPr>
        <w:t>approaching problems</w:t>
      </w:r>
      <w:r w:rsidRPr="00B4301D">
        <w:rPr>
          <w:rFonts w:cstheme="minorHAnsi"/>
        </w:rPr>
        <w:t xml:space="preserve">, participants noted a variety of ways in which they prepared for difficult challenges and mitigated frustrating gaming experiences. Instead of giving up in such situations, participant’s referenced ways in which they managed </w:t>
      </w:r>
      <w:r w:rsidR="001B2F07" w:rsidRPr="00B4301D">
        <w:rPr>
          <w:rFonts w:cstheme="minorHAnsi"/>
        </w:rPr>
        <w:t>these instances such as “taking is slowly” and “taking a break”</w:t>
      </w:r>
      <w:r w:rsidRPr="00B4301D">
        <w:rPr>
          <w:rFonts w:cstheme="minorHAnsi"/>
        </w:rPr>
        <w:t xml:space="preserve"> – something which is echoed by previous work on gameplay breakdowns. </w:t>
      </w:r>
      <w:r w:rsidRPr="00B4301D">
        <w:t xml:space="preserve">Breakdowns include instances where existing strategies no longer work </w:t>
      </w:r>
      <w:r w:rsidRPr="00B4301D">
        <w:fldChar w:fldCharType="begin" w:fldLock="1"/>
      </w:r>
      <w:r w:rsidRPr="00B4301D">
        <w:instrText>ADDIN CSL_CITATION {"citationItems":[{"id":"ITEM-1","itemData":{"abstract":"This paper describes evaluating interactive entertainment by understanding embodied learning in games, which is a perspective that situates the learning that a player must go through to play a game in a skill-based environment. Our goal was to arrive at a tool for designers to improve learnability from this perspective. To study embodied learning, we use the concept of breakdown, which happens when our experience fails to aid our everyday actions and decision-making. We conducted a study to investigate learning in games from which we constructed a framework of 17 patterns of breakdown and a set of guidelines to aid heuristic evaluation of video games and to help designers support breakdown in interactions, which support players learning, so that they do not become breakdowns in illusion, which break players immersion.","author":[{"dropping-particle":"","family":"Ryan","given":"William","non-dropping-particle":"","parse-names":false,"suffix":""},{"dropping-particle":"","family":"Street","given":"E","non-dropping-particle":"","parse-names":false,"suffix":""},{"dropping-particle":"","family":"Siegel","given":"Martin A","non-dropping-particle":"","parse-names":false,"suffix":""}],"container-title":"DiGRA","id":"ITEM-1","issued":{"date-parts":[["2009"]]},"page":"1-9","title":"Evaluating Interactive Entertainment using Breakdown: Understanding Embodied Learning in Video Games","type":"article-journal"},"uris":["http://www.mendeley.com/documents/?uuid=9a7fa86b-3c9a-49c5-9257-8e05a5f48c63"]}],"mendeley":{"formattedCitation":"(Ryan, Street, &amp; Siegel, 2009)","plainTextFormattedCitation":"(Ryan, Street, &amp; Siegel, 2009)","previouslyFormattedCitation":"(Ryan, Street, &amp; Siegel, 2009)"},"properties":{"noteIndex":0},"schema":"https://github.com/citation-style-language/schema/raw/master/csl-citation.json"}</w:instrText>
      </w:r>
      <w:r w:rsidRPr="00B4301D">
        <w:fldChar w:fldCharType="separate"/>
      </w:r>
      <w:r w:rsidRPr="00B4301D">
        <w:rPr>
          <w:noProof/>
        </w:rPr>
        <w:t>(Ryan, Street, &amp; Siegel, 2009)</w:t>
      </w:r>
      <w:r w:rsidRPr="00B4301D">
        <w:fldChar w:fldCharType="end"/>
      </w:r>
      <w:r w:rsidRPr="00B4301D">
        <w:t xml:space="preserve"> and where the flow of gameplay is interrupted </w:t>
      </w:r>
      <w:r w:rsidRPr="00B4301D">
        <w:fldChar w:fldCharType="begin" w:fldLock="1"/>
      </w:r>
      <w:r w:rsidR="007904D4" w:rsidRPr="00B4301D">
        <w:instrText>ADDIN CSL_CITATION {"citationItems":[{"id":"ITEM-1","itemData":{"DOI":"10.1016/j.intcom.2006.08.008","ISSN":"09535438","abstract":"Video games are a form of software and thus an obvious object of study in Human-Computer Interaction (HCI). Interaction with video games differs from the usual understanding of HCI, however, because people play video games rather than use them. In this dissertation we ask: “How can we analyse human-computer interaction in video games when the interaction in question is play?” We propose video game values, defined as sustained beliefs about preferable conduct during play, as a basis for video game HCI. In order to describe and analyse play we use activity theory, focusing on how the interface mediates players’ beliefs about preferable conduct. Activity theory allows us to address the multiple levels of context and detail in play as well as the role of conflict. We employ a qualitative case study methodology to gather data about five popular video games: Civilization III, Fable, Grand Theft Auto: San Andreas, Half-Life 2, and The Sims 2. Our core data comes from observation and interview sessions with twenty-five experienced players of these games. We collected further data based on the games’ interfaces, participant observation, and documentation such as manuals and walkthroughs. We make three key contributions to video game HCI: 1)We introduce video game values as a means to analyse play as a form of human-computer interaction and show how the values of PAIDIA and LUDUS influence all aspects of play; 2) we develop a video game activity framework for describing and analysing video game play at multiple levels of detail and context; and 3) we extend the video game activity framework to include contradictions and breakdowns as a means to describe and analyse the role of conflict and challenge in video game play.","author":[{"dropping-particle":"","family":"Barr","given":"Pippin","non-dropping-particle":"","parse-names":false,"suffix":""},{"dropping-particle":"","family":"Noble","given":"James","non-dropping-particle":"","parse-names":false,"suffix":""},{"dropping-particle":"","family":"Biddle","given":"Robert","non-dropping-particle":"","parse-names":false,"suffix":""}],"container-title":"Interacting with Computers","id":"ITEM-1","issue":"2","issued":{"date-parts":[["2007"]]},"page":"180-195","title":"Video Game Values: Play as Human–Computer Interaction","type":"article-journal","volume":"19"},"uris":["http://www.mendeley.com/documents/?uuid=3ae31aad-8a35-41a6-aaa0-0db2d2913502"]}],"mendeley":{"formattedCitation":"(P. Barr, Noble, &amp; Biddle, 2007)","plainTextFormattedCitation":"(P. Barr, Noble, &amp; Biddle, 2007)","previouslyFormattedCitation":"(P. Barr, Noble, &amp; Biddle, 2007)"},"properties":{"noteIndex":0},"schema":"https://github.com/citation-style-language/schema/raw/master/csl-citation.json"}</w:instrText>
      </w:r>
      <w:r w:rsidRPr="00B4301D">
        <w:fldChar w:fldCharType="separate"/>
      </w:r>
      <w:r w:rsidR="00BD4DD6" w:rsidRPr="00B4301D">
        <w:rPr>
          <w:noProof/>
        </w:rPr>
        <w:t>(P. Barr, Noble, &amp; Biddle, 2007)</w:t>
      </w:r>
      <w:r w:rsidRPr="00B4301D">
        <w:fldChar w:fldCharType="end"/>
      </w:r>
      <w:r w:rsidRPr="00B4301D">
        <w:t xml:space="preserve">. Previous work on gameplay breakdowns by </w:t>
      </w:r>
      <w:r w:rsidRPr="00B4301D">
        <w:fldChar w:fldCharType="begin" w:fldLock="1"/>
      </w:r>
      <w:r w:rsidRPr="00B4301D">
        <w:instrText>ADDIN CSL_CITATION {"citationItems":[{"id":"ITEM-1","itemData":{"DOI":"10.1145/2658537.2658697","ISBN":"9781450330145","abstract":"Challenge is considered to be one of the key components of game-play, where game designers face the tricky task of getting the balance right so that game-play is neither too easy nor too difficult. Through attempting in-game challenges, players experience cycles of breakdown and breakthrough, where breakthroughs involve moments of insight in which learning occurs. However, little attention has been given to how players actually overcome challenges to progress during game-play. Across two studies, we explore the ways in which players attempt to achieve breakthroughs in relation to single-player and co-located multiplayer games. We identified a number of strategies that are used by players, which illustrate how learning occurs during play. For instance, while \"Experiment\" involves forming an informal hypothesis, \"Trial &amp; error\" occurs when the player tries to find out what, if anything, will happen when they carry out an action. These strategies are considered in relation to supporting player progress and engaging game-play when designing commercial and educational games.","author":[{"dropping-particle":"","family":"Iacovides","given":"Ioanna","non-dropping-particle":"","parse-names":false,"suffix":""},{"dropping-particle":"","family":"Cox","given":"Anna L.","non-dropping-particle":"","parse-names":false,"suffix":""},{"dropping-particle":"","family":"Avakian","given":"Ara","non-dropping-particle":"","parse-names":false,"suffix":""},{"dropping-particle":"","family":"Knoll","given":"Thomas","non-dropping-particle":"","parse-names":false,"suffix":""}],"container-title":"Proceedings of the first ACM SIGCHI annual symposium on Computer-human interaction in play - CHI PLAY '14","id":"ITEM-1","issued":{"date-parts":[["2014"]]},"page":"131-140","title":"Player Strategies: Achieving Breakthroughs and Progressing in Single-Player and Cooperative Games","type":"article-journal"},"uris":["http://www.mendeley.com/documents/?uuid=88becf32-e616-4a57-8002-9f6a434b145f"]}],"mendeley":{"formattedCitation":"(Iacovides, Cox, Avakian, &amp; Knoll, 2014)","manualFormatting":"Iacovides et al. (2014)","plainTextFormattedCitation":"(Iacovides, Cox, Avakian, &amp; Knoll, 2014)","previouslyFormattedCitation":"(Iacovides, Cox, Avakian, &amp; Knoll, 2014)"},"properties":{"noteIndex":0},"schema":"https://github.com/citation-style-language/schema/raw/master/csl-citation.json"}</w:instrText>
      </w:r>
      <w:r w:rsidRPr="00B4301D">
        <w:fldChar w:fldCharType="separate"/>
      </w:r>
      <w:r w:rsidRPr="00B4301D">
        <w:rPr>
          <w:noProof/>
        </w:rPr>
        <w:t>Iacovides et al. (2014)</w:t>
      </w:r>
      <w:r w:rsidRPr="00B4301D">
        <w:fldChar w:fldCharType="end"/>
      </w:r>
      <w:r w:rsidRPr="00B4301D">
        <w:t xml:space="preserve"> found participants invoked strategies such as taking a break when things became too frustrating, or consulting external resources such as guides, videos and friends. Strategies such as taking a break allowed for reflection on the particular challenge, as well as being able to provide the space for the creative incubation period and subsequent insight moments. In the incubation period time is taken away from the issue at hand, allowing both the conscious and unconscious mind to “incubate” on the problem. Especially with ill-structured problems such as those in games, the solution is suddenly discovered in a moment of creative insight </w:t>
      </w:r>
      <w:r w:rsidRPr="00B4301D">
        <w:fldChar w:fldCharType="begin" w:fldLock="1"/>
      </w:r>
      <w:r w:rsidRPr="00B4301D">
        <w:instrText>ADDIN CSL_CITATION {"citationItems":[{"id":"ITEM-1","itemData":{"URL":"https://www.psychologytoday.com/gb/blog/zig-zag/201304/enhancing-creative-incubation","accessed":{"date-parts":[["2018","9","6"]]},"author":[{"dropping-particle":"","family":"Sawyer","given":"R. K.","non-dropping-particle":"","parse-names":false,"suffix":""}],"container-title":"Psychology Today UK","id":"ITEM-1","issued":{"date-parts":[["2013"]]},"title":"Enhancing Creative Incubation","type":"webpage"},"uris":["http://www.mendeley.com/documents/?uuid=83077f4d-d575-346d-a300-dc3f45edf1a4"]},{"id":"ITEM-2","itemData":{"author":[{"dropping-particle":"","family":"Pols","given":"A.J.K.","non-dropping-particle":"","parse-names":false,"suffix":""}],"id":"ITEM-2","issued":{"date-parts":[["2002"]]},"publisher":"University of Utrecht,","title":"Insight Problem Solving","type":"thesis"},"uris":["http://www.mendeley.com/documents/?uuid=43f3594e-614c-4089-97d4-16bfd5e7c23a"]}],"mendeley":{"formattedCitation":"(Pols, 2002; Sawyer, 2013)","plainTextFormattedCitation":"(Pols, 2002; Sawyer, 2013)","previouslyFormattedCitation":"(Pols, 2002; Sawyer, 2013)"},"properties":{"noteIndex":0},"schema":"https://github.com/citation-style-language/schema/raw/master/csl-citation.json"}</w:instrText>
      </w:r>
      <w:r w:rsidRPr="00B4301D">
        <w:fldChar w:fldCharType="separate"/>
      </w:r>
      <w:r w:rsidRPr="00B4301D">
        <w:rPr>
          <w:noProof/>
        </w:rPr>
        <w:t>(Pols, 2002; Sawyer, 2013)</w:t>
      </w:r>
      <w:r w:rsidRPr="00B4301D">
        <w:fldChar w:fldCharType="end"/>
      </w:r>
      <w:r w:rsidRPr="00B4301D">
        <w:t xml:space="preserve">. </w:t>
      </w:r>
      <w:r w:rsidR="00E52E34" w:rsidRPr="00B4301D">
        <w:t xml:space="preserve">Furthermore, </w:t>
      </w:r>
      <w:r w:rsidR="0089417A" w:rsidRPr="00B4301D">
        <w:t xml:space="preserve">it has been suggested that frustrating experiences in games may contribute </w:t>
      </w:r>
      <w:r w:rsidR="0089417A" w:rsidRPr="00B4301D">
        <w:lastRenderedPageBreak/>
        <w:t xml:space="preserve">to an increase in emotional intelligence by allowing players to “learn new coping strategies when in a negative emotional state” </w:t>
      </w:r>
      <w:r w:rsidR="0089417A" w:rsidRPr="00B4301D">
        <w:fldChar w:fldCharType="begin" w:fldLock="1"/>
      </w:r>
      <w:r w:rsidR="00D968A7" w:rsidRPr="00B4301D">
        <w:instrText>ADDIN CSL_CITATION {"citationItems":[{"id":"ITEM-1","itemData":{"DOI":"10.1145/2677758.2677770","ISBN":"9781450327909","abstract":"In this paper videogames and transmedia are examined from the perspectives of both creation (game design) and audience reception (gameplay experience), in light of the theories of the DPFi (Domain, Person Field interaction) systems model of creativity","author":[{"dropping-particle":"","family":"Velikovsky","given":"J.T.","non-dropping-particle":"","parse-names":false,"suffix":""}],"container-title":"Proceedings of the 2014 Conference on Interactive Entertainment. ACM.","id":"ITEM-1","issued":{"date-parts":[["2014"]]},"publisher":"Popper","title":"Flow Theory, Evolution and Creativity: or, ‘Fun and Games","type":"paper-conference"},"locator":"7","uris":["http://www.mendeley.com/documents/?uuid=5035b31a-445d-3a80-a11e-c38b9c53d9c5"]}],"mendeley":{"formattedCitation":"(Velikovsky, 2014, p. 7)","plainTextFormattedCitation":"(Velikovsky, 2014, p. 7)","previouslyFormattedCitation":"(Velikovsky, 2014, p. 7)"},"properties":{"noteIndex":0},"schema":"https://github.com/citation-style-language/schema/raw/master/csl-citation.json"}</w:instrText>
      </w:r>
      <w:r w:rsidR="0089417A" w:rsidRPr="00B4301D">
        <w:fldChar w:fldCharType="separate"/>
      </w:r>
      <w:r w:rsidR="0089417A" w:rsidRPr="00B4301D">
        <w:rPr>
          <w:noProof/>
        </w:rPr>
        <w:t>(Velikovsky, 2014, p. 7)</w:t>
      </w:r>
      <w:r w:rsidR="0089417A" w:rsidRPr="00B4301D">
        <w:fldChar w:fldCharType="end"/>
      </w:r>
      <w:r w:rsidR="0089417A" w:rsidRPr="00B4301D">
        <w:t xml:space="preserve">. </w:t>
      </w:r>
    </w:p>
    <w:p w14:paraId="1F493B41" w14:textId="025D1AC6" w:rsidR="005100B4" w:rsidRPr="00B4301D" w:rsidRDefault="00F81E7E" w:rsidP="00F81E7E">
      <w:pPr>
        <w:spacing w:line="360" w:lineRule="auto"/>
        <w:ind w:firstLine="720"/>
      </w:pPr>
      <w:r w:rsidRPr="00B4301D">
        <w:rPr>
          <w:i/>
        </w:rPr>
        <w:t>C</w:t>
      </w:r>
      <w:r w:rsidR="00315E1A" w:rsidRPr="00B4301D">
        <w:rPr>
          <w:i/>
        </w:rPr>
        <w:t>reativity as appropriation</w:t>
      </w:r>
      <w:r w:rsidRPr="00B4301D">
        <w:t xml:space="preserve"> included the different ways in which gameplay could be appropriated and included finding </w:t>
      </w:r>
      <w:r w:rsidRPr="00B4301D">
        <w:rPr>
          <w:i/>
        </w:rPr>
        <w:t>new uses for existing game mechanics</w:t>
      </w:r>
      <w:r w:rsidRPr="00B4301D">
        <w:t xml:space="preserve">, </w:t>
      </w:r>
      <w:r w:rsidRPr="00B4301D">
        <w:rPr>
          <w:i/>
        </w:rPr>
        <w:t xml:space="preserve">creating new challenges </w:t>
      </w:r>
      <w:r w:rsidRPr="00B4301D">
        <w:t xml:space="preserve">and using </w:t>
      </w:r>
      <w:r w:rsidRPr="00B4301D">
        <w:rPr>
          <w:i/>
        </w:rPr>
        <w:t>glitches</w:t>
      </w:r>
      <w:r w:rsidRPr="00B4301D">
        <w:t>.</w:t>
      </w:r>
      <w:r w:rsidR="00315E1A" w:rsidRPr="00B4301D">
        <w:t xml:space="preserve"> </w:t>
      </w:r>
      <w:r w:rsidRPr="00B4301D">
        <w:t>I</w:t>
      </w:r>
      <w:r w:rsidR="00315E1A" w:rsidRPr="00B4301D">
        <w:t xml:space="preserve">t has been argued that appropriation and creativity go hand in hand, where appropriation is a creative process in which users are able to go beyond the affordances of a particular technology, defining and reinventing the user experience </w:t>
      </w:r>
      <w:r w:rsidR="00315E1A" w:rsidRPr="00B4301D">
        <w:fldChar w:fldCharType="begin" w:fldLock="1"/>
      </w:r>
      <w:r w:rsidR="00315E1A" w:rsidRPr="00B4301D">
        <w:instrText>ADDIN CSL_CITATION {"citationItems":[{"id":"ITEM-1","itemData":{"DOI":"10.1111/1467-8691.00054","ISSN":"0963-1690","author":[{"dropping-particle":"","family":"Degele","given":"Nina","non-dropping-particle":"","parse-names":false,"suffix":""}],"container-title":"Creativity and Innovation Management","id":"ITEM-1","issue":"2","issued":{"date-parts":[["1997","6","1"]]},"page":"89-93","publisher":"Wiley/Blackwell (10.1111)","title":"Appropriation of Technology as a Creative Process","type":"article-journal","volume":"6"},"uris":["http://www.mendeley.com/documents/?uuid=40a537ae-5140-3c5c-969a-4386af5d0364"]}],"mendeley":{"formattedCitation":"(Degele, 1997)","plainTextFormattedCitation":"(Degele, 1997)","previouslyFormattedCitation":"(Degele, 1997)"},"properties":{"noteIndex":0},"schema":"https://github.com/citation-style-language/schema/raw/master/csl-citation.json"}</w:instrText>
      </w:r>
      <w:r w:rsidR="00315E1A" w:rsidRPr="00B4301D">
        <w:fldChar w:fldCharType="separate"/>
      </w:r>
      <w:r w:rsidR="00315E1A" w:rsidRPr="00B4301D">
        <w:rPr>
          <w:noProof/>
        </w:rPr>
        <w:t>(Degele, 1997)</w:t>
      </w:r>
      <w:r w:rsidR="00315E1A" w:rsidRPr="00B4301D">
        <w:fldChar w:fldCharType="end"/>
      </w:r>
      <w:r w:rsidR="00315E1A" w:rsidRPr="00B4301D">
        <w:t xml:space="preserve">. Finding </w:t>
      </w:r>
      <w:r w:rsidR="00315E1A" w:rsidRPr="00B4301D">
        <w:rPr>
          <w:i/>
        </w:rPr>
        <w:t xml:space="preserve">new uses for existing game mechanics </w:t>
      </w:r>
      <w:r w:rsidR="00315E1A" w:rsidRPr="00B4301D">
        <w:t xml:space="preserve">was one example of how gameplay was appropriated by players. Such combinations of game variables are not strictly cheats but can be classified as “emergent exploits” which are “actions that are ‘found’ by players within the existing code of a game and appropriated towards succeeding at the game in new and often contentious ways” </w:t>
      </w:r>
      <w:r w:rsidR="00DD5139">
        <w:fldChar w:fldCharType="begin" w:fldLock="1"/>
      </w:r>
      <w:r w:rsidR="00574E1F">
        <w:instrText>ADDIN CSL_CITATION {"citationItems":[{"id":"ITEM-1","itemData":{"abstract":"The role of playful innovations in the Multiplayer Online Battle Arena (MOBA) genre has become a hugely important, contested and under studied activity. Through a case study of the 'fountain hook' and an exploration of exploitative and emergent notions of play, this paper explores how the dynamics of co-creativity function in online play spaces such as the MOBA genre. In what ways these co-creative dynamics impact different stakeholders of the play space and open up critical questions similar to that of wider participatory platforms is a particular focus here. Informed by online ethnographic research that forms part of a wider PhD project this paper also touches upon specific themes related to the unexplored genre of MOBAs such as why they are so appealing and what it is that makes them so challenging to study.","author":[{"dropping-particle":"","family":"Jarrett","given":"Josh","non-dropping-particle":"","parse-names":false,"suffix":""}],"container-title":"Videogame Cultures and the Future of Interactive Entertainment 6th Global Conference, July 19th 2014","id":"ITEM-1","issued":{"date-parts":[["2014"]]},"publisher-place":"Oxford","title":"Fountain Hooks, Emergent Exploits and the Playful Co-Creativity of MOBAs","type":"paper-conference"},"locator":"4","uris":["http://www.mendeley.com/documents/?uuid=669469aa-d3d9-3fd1-b277-5c453f251e40"]}],"mendeley":{"formattedCitation":"(Jarrett, 2014, p. 4)","plainTextFormattedCitation":"(Jarrett, 2014, p. 4)","previouslyFormattedCitation":"(Jarrett, 2014, p. 4)"},"properties":{"noteIndex":0},"schema":"https://github.com/citation-style-language/schema/raw/master/csl-citation.json"}</w:instrText>
      </w:r>
      <w:r w:rsidR="00DD5139">
        <w:fldChar w:fldCharType="separate"/>
      </w:r>
      <w:r w:rsidR="00DD5139" w:rsidRPr="00DD5139">
        <w:rPr>
          <w:noProof/>
        </w:rPr>
        <w:t>(Jarrett, 2014, p. 4)</w:t>
      </w:r>
      <w:r w:rsidR="00DD5139">
        <w:fldChar w:fldCharType="end"/>
      </w:r>
      <w:r w:rsidR="00DD5139">
        <w:t>.</w:t>
      </w:r>
    </w:p>
    <w:p w14:paraId="3027750F" w14:textId="77777777" w:rsidR="005100B4" w:rsidRPr="00B4301D" w:rsidRDefault="005100B4" w:rsidP="005100B4">
      <w:pPr>
        <w:spacing w:line="360" w:lineRule="auto"/>
        <w:ind w:firstLine="720"/>
      </w:pPr>
      <w:r w:rsidRPr="00B4301D">
        <w:t>T</w:t>
      </w:r>
      <w:r w:rsidR="007900AA" w:rsidRPr="00B4301D">
        <w:t xml:space="preserve">he structure of a game </w:t>
      </w:r>
      <w:r w:rsidR="00893EA1" w:rsidRPr="00B4301D">
        <w:t>appeared to influence how players appropriated their gameplay</w:t>
      </w:r>
      <w:r w:rsidRPr="00B4301D">
        <w:t xml:space="preserve">, with references to finding </w:t>
      </w:r>
      <w:r w:rsidRPr="00B4301D">
        <w:rPr>
          <w:i/>
        </w:rPr>
        <w:t>new uses for</w:t>
      </w:r>
      <w:r w:rsidRPr="00B4301D">
        <w:t xml:space="preserve"> </w:t>
      </w:r>
      <w:r w:rsidRPr="00B4301D">
        <w:rPr>
          <w:i/>
        </w:rPr>
        <w:t>existing game mechanics</w:t>
      </w:r>
      <w:r w:rsidRPr="00B4301D">
        <w:t xml:space="preserve"> occurring mainly in openly structured games, and the </w:t>
      </w:r>
      <w:r w:rsidRPr="00B4301D">
        <w:rPr>
          <w:i/>
        </w:rPr>
        <w:t>creating new challenges</w:t>
      </w:r>
      <w:r w:rsidRPr="00B4301D">
        <w:t xml:space="preserve"> in more linearly structured games</w:t>
      </w:r>
      <w:r w:rsidR="00893EA1" w:rsidRPr="00B4301D">
        <w:t xml:space="preserve">. </w:t>
      </w:r>
      <w:r w:rsidR="00A46C9D" w:rsidRPr="00B4301D">
        <w:t xml:space="preserve">According to </w:t>
      </w:r>
      <w:proofErr w:type="spellStart"/>
      <w:r w:rsidR="00A46C9D" w:rsidRPr="00B4301D">
        <w:t>Caillois</w:t>
      </w:r>
      <w:proofErr w:type="spellEnd"/>
      <w:r w:rsidR="00A46C9D" w:rsidRPr="00B4301D">
        <w:t xml:space="preserve"> </w:t>
      </w:r>
      <w:r w:rsidR="00A46C9D" w:rsidRPr="00B4301D">
        <w:fldChar w:fldCharType="begin" w:fldLock="1"/>
      </w:r>
      <w:r w:rsidR="00A46C9D" w:rsidRPr="00B4301D">
        <w:instrText>ADDIN CSL_CITATION {"citationItems":[{"id":"ITEM-1","itemData":{"ISBN":"025207033X","abstract":"Translation of: Les jeux et les hommes. pt. 1. Play and games: theme -- 1. The definition of play -- 2. The classification of games -- 3. The social function of games -- 4. The corruption of games -- 5. Toward a sociology derived from games -- pt. 2. Play and games: variations -- 6. An expanded theory of games -- 7. Simulation and vertigo -- 8. Competition and chance -- Revivals in the modern world -- Appendix: 1. The importance of games of chance ; 2. Psychological and mathematical approaches.","author":[{"dropping-particle":"","family":"Caillois","given":"Roger","non-dropping-particle":"","parse-names":false,"suffix":""},{"dropping-particle":"","family":"Barash","given":"Meyer","non-dropping-particle":"","parse-names":false,"suffix":""}],"id":"ITEM-1","issued":{"date-parts":[["1958"]]},"number-of-pages":"208","publisher":"University of Illinois Press","title":"Man, play, and games","type":"book"},"uris":["http://www.mendeley.com/documents/?uuid=ec3c6349-0c6a-311d-94f0-fc326a9ef20d"]}],"mendeley":{"formattedCitation":"(Caillois &amp; Barash, 1958)","manualFormatting":"(1958)","plainTextFormattedCitation":"(Caillois &amp; Barash, 1958)","previouslyFormattedCitation":"(Caillois &amp; Barash, 1958)"},"properties":{"noteIndex":0},"schema":"https://github.com/citation-style-language/schema/raw/master/csl-citation.json"}</w:instrText>
      </w:r>
      <w:r w:rsidR="00A46C9D" w:rsidRPr="00B4301D">
        <w:fldChar w:fldCharType="separate"/>
      </w:r>
      <w:r w:rsidR="00A46C9D" w:rsidRPr="00B4301D">
        <w:rPr>
          <w:noProof/>
        </w:rPr>
        <w:t>(1958)</w:t>
      </w:r>
      <w:r w:rsidR="00A46C9D" w:rsidRPr="00B4301D">
        <w:fldChar w:fldCharType="end"/>
      </w:r>
      <w:r w:rsidR="00A46C9D" w:rsidRPr="00B4301D">
        <w:t xml:space="preserve"> the move from </w:t>
      </w:r>
      <w:proofErr w:type="spellStart"/>
      <w:r w:rsidR="00A46C9D" w:rsidRPr="00B4301D">
        <w:rPr>
          <w:i/>
        </w:rPr>
        <w:t>ludus</w:t>
      </w:r>
      <w:proofErr w:type="spellEnd"/>
      <w:r w:rsidR="00A46C9D" w:rsidRPr="00B4301D">
        <w:t xml:space="preserve"> (highly structured play) to </w:t>
      </w:r>
      <w:proofErr w:type="spellStart"/>
      <w:r w:rsidR="00A46C9D" w:rsidRPr="00B4301D">
        <w:rPr>
          <w:i/>
        </w:rPr>
        <w:t>paidia</w:t>
      </w:r>
      <w:proofErr w:type="spellEnd"/>
      <w:r w:rsidR="00A46C9D" w:rsidRPr="00B4301D">
        <w:t xml:space="preserve"> (loosely structured play) affords improvisation and creativity to players. This “openness” allows for greater player interactivity and personalisation in terms of gameplay </w:t>
      </w:r>
      <w:r w:rsidR="00A46C9D" w:rsidRPr="00B4301D">
        <w:fldChar w:fldCharType="begin" w:fldLock="1"/>
      </w:r>
      <w:r w:rsidR="00A46C9D" w:rsidRPr="00B4301D">
        <w:instrText>ADDIN CSL_CITATION {"citationItems":[{"id":"ITEM-1","itemData":{"abstract":"</w:instrText>
      </w:r>
      <w:r w:rsidR="00A46C9D" w:rsidRPr="00B4301D">
        <w:instrText></w:instrText>
      </w:r>
      <w:r w:rsidR="00A46C9D" w:rsidRPr="00B4301D">
        <w:instrText>Christothea Herodotou 2 DECLARATION I hereby declare that, except where explicit attribution is made, the work presented in this thesis is entirely my own. Word count (exclusive of appendices and list of reference): 82,128 words. ___________________ Christothea Herodotou 3 ABSTRACT The socio-technological transformation of digital games means that they are no longer single-player, co-located game experiences but instead are multiplayer socially-oriented ones (e.g. World of Warcraft). This change underpins the central concern of this thesis, to understand game appropriation and the intrinsically motivating nature of gaming. Game appropriation is defined as the broad incorporation of Massively Multiplayer Online Role-Playing Games (MMORPGs) into gamers' daily practices, including the nature of their gameplay. Gaming is not viewed as a set of defined moments of participation but as a dynamic activity, directly interrelated with a gamers' everyday life. Therefore, a broad perspective on motivation and gaming is adopted, incorporating not only reinforcing aspects of","author":[{"dropping-particle":"","family":"Herodotou","given":"C.","non-dropping-particle":"","parse-names":false,"suffix":""}],"id":"ITEM-1","issued":{"date-parts":[["2009"]]},"publisher":"University of London","title":"Game Appropriation: Where does the gamer fit?","type":"thesis"},"uris":["http://www.mendeley.com/documents/?uuid=3ca877e0-369a-3de2-80af-a1e512d9e629"]}],"mendeley":{"formattedCitation":"(Herodotou, 2009)","plainTextFormattedCitation":"(Herodotou, 2009)","previouslyFormattedCitation":"(Herodotou, 2009)"},"properties":{"noteIndex":0},"schema":"https://github.com/citation-style-language/schema/raw/master/csl-citation.json"}</w:instrText>
      </w:r>
      <w:r w:rsidR="00A46C9D" w:rsidRPr="00B4301D">
        <w:fldChar w:fldCharType="separate"/>
      </w:r>
      <w:r w:rsidR="00A46C9D" w:rsidRPr="00B4301D">
        <w:rPr>
          <w:noProof/>
        </w:rPr>
        <w:t>(Herodotou, 2009)</w:t>
      </w:r>
      <w:r w:rsidR="00A46C9D" w:rsidRPr="00B4301D">
        <w:fldChar w:fldCharType="end"/>
      </w:r>
      <w:r w:rsidR="00A46C9D" w:rsidRPr="00B4301D">
        <w:t xml:space="preserve">. Openly structured games provide players with a variety of different ways to play, tools to utilise and environments to explore. While participants cited discovering new game mechanics and combinations, many suggested newer games were far more “polished” and presented little opportunities for playing in ways unintended by developers. </w:t>
      </w:r>
    </w:p>
    <w:p w14:paraId="7190C03E" w14:textId="44599248" w:rsidR="00A46C9D" w:rsidRPr="00B4301D" w:rsidRDefault="00A46C9D" w:rsidP="005100B4">
      <w:pPr>
        <w:spacing w:line="360" w:lineRule="auto"/>
        <w:ind w:firstLine="720"/>
      </w:pPr>
      <w:r w:rsidRPr="00B4301D">
        <w:t xml:space="preserve">Using </w:t>
      </w:r>
      <w:proofErr w:type="spellStart"/>
      <w:r w:rsidRPr="00B4301D">
        <w:t>Aarseth’s</w:t>
      </w:r>
      <w:proofErr w:type="spellEnd"/>
      <w:r w:rsidRPr="00B4301D">
        <w:t xml:space="preserve"> </w:t>
      </w:r>
      <w:r w:rsidRPr="00B4301D">
        <w:fldChar w:fldCharType="begin" w:fldLock="1"/>
      </w:r>
      <w:r w:rsidRPr="00B4301D">
        <w:instrText>ADDIN CSL_CITATION {"citationItems":[{"id":"ITEM-1","itemData":{"author":[{"dropping-particle":"","family":"Aarseth","given":"E.","non-dropping-particle":"","parse-names":false,"suffix":""}],"container-title":"Situated Play, Proceedings of DiGRA 2007 Conference","id":"ITEM-1","issued":{"date-parts":[["2007"]]},"title":"I Fought the Law: Transgressive Play and The Implied Player","type":"paper-conference"},"uris":["http://www.mendeley.com/documents/?uuid=6a7cb9e1-7c81-3d1c-805c-82083db2fcd4"]}],"mendeley":{"formattedCitation":"(Aarseth, 2007)","manualFormatting":"(2007)","plainTextFormattedCitation":"(Aarseth, 2007)","previouslyFormattedCitation":"(Aarseth, 2007)"},"properties":{"noteIndex":0},"schema":"https://github.com/citation-style-language/schema/raw/master/csl-citation.json"}</w:instrText>
      </w:r>
      <w:r w:rsidRPr="00B4301D">
        <w:fldChar w:fldCharType="separate"/>
      </w:r>
      <w:r w:rsidRPr="00B4301D">
        <w:rPr>
          <w:noProof/>
        </w:rPr>
        <w:t>(2007)</w:t>
      </w:r>
      <w:r w:rsidRPr="00B4301D">
        <w:fldChar w:fldCharType="end"/>
      </w:r>
      <w:r w:rsidRPr="00B4301D">
        <w:t xml:space="preserve"> notion of the implied player, newer games are structured towards a set of expectations on how the player will behave. In order to progress in the game, the player has to complete these expectations, thus imposing a “limitation to the playing person’s freedom of movement and choice” </w:t>
      </w:r>
      <w:r w:rsidRPr="00B4301D">
        <w:fldChar w:fldCharType="begin" w:fldLock="1"/>
      </w:r>
      <w:r w:rsidRPr="00B4301D">
        <w:instrText>ADDIN CSL_CITATION {"citationItems":[{"id":"ITEM-1","itemData":{"author":[{"dropping-particle":"","family":"Aarseth","given":"E.","non-dropping-particle":"","parse-names":false,"suffix":""}],"container-title":"Situated Play, Proceedings of DiGRA 2007 Conference","id":"ITEM-1","issued":{"date-parts":[["2007"]]},"title":"I Fought the Law: Transgressive Play and The Implied Player","type":"paper-conference"},"locator":"132","uris":["http://www.mendeley.com/documents/?uuid=6a7cb9e1-7c81-3d1c-805c-82083db2fcd4"]}],"mendeley":{"formattedCitation":"(Aarseth, 2007, p. 132)","plainTextFormattedCitation":"(Aarseth, 2007, p. 132)","previouslyFormattedCitation":"(Aarseth, 2007, p. 132)"},"properties":{"noteIndex":0},"schema":"https://github.com/citation-style-language/schema/raw/master/csl-citation.json"}</w:instrText>
      </w:r>
      <w:r w:rsidRPr="00B4301D">
        <w:fldChar w:fldCharType="separate"/>
      </w:r>
      <w:r w:rsidRPr="00B4301D">
        <w:rPr>
          <w:noProof/>
        </w:rPr>
        <w:t>(Aarseth, 2007, p. 132)</w:t>
      </w:r>
      <w:r w:rsidRPr="00B4301D">
        <w:fldChar w:fldCharType="end"/>
      </w:r>
      <w:r w:rsidRPr="00B4301D">
        <w:t xml:space="preserve">. </w:t>
      </w:r>
      <w:r w:rsidR="00E41CCE" w:rsidRPr="00B4301D">
        <w:t xml:space="preserve">Actual </w:t>
      </w:r>
      <w:r w:rsidRPr="00B4301D">
        <w:t>player behaviour on the other hand, often go</w:t>
      </w:r>
      <w:r w:rsidR="00E41CCE" w:rsidRPr="00B4301D">
        <w:t>es</w:t>
      </w:r>
      <w:r w:rsidRPr="00B4301D">
        <w:t xml:space="preserve"> beyond how the game is supposed to be played, leading to transgression of the implied player model. These instances of transgressive play</w:t>
      </w:r>
      <w:r w:rsidRPr="00B4301D">
        <w:rPr>
          <w:i/>
        </w:rPr>
        <w:t xml:space="preserve"> </w:t>
      </w:r>
      <w:r w:rsidRPr="00B4301D">
        <w:t xml:space="preserve">involve gameplay which is not within the games intended repertoire and can involve emergent elements such as exploits. </w:t>
      </w:r>
      <w:r w:rsidRPr="00B4301D">
        <w:rPr>
          <w:rFonts w:ascii="Calibri" w:hAnsi="Calibri" w:cs="Calibri"/>
          <w:lang w:val="en"/>
        </w:rPr>
        <w:t xml:space="preserve">Modern games subscribe to an underlying ideology of “meritocracy” between players and developers, with developers constantly striving for a perfect balance of gaming variables </w:t>
      </w:r>
      <w:r w:rsidRPr="00B4301D">
        <w:rPr>
          <w:rFonts w:ascii="Calibri" w:hAnsi="Calibri" w:cs="Calibri"/>
          <w:lang w:val="en"/>
        </w:rPr>
        <w:fldChar w:fldCharType="begin" w:fldLock="1"/>
      </w:r>
      <w:r w:rsidRPr="00B4301D">
        <w:rPr>
          <w:rFonts w:ascii="Calibri" w:hAnsi="Calibri" w:cs="Calibri"/>
          <w:lang w:val="en"/>
        </w:rPr>
        <w:instrText>ADDIN CSL_CITATION {"citationItems":[{"id":"ITEM-1","itemData":{"author":[{"dropping-particle":"","family":"Paul","given":"A.C.","non-dropping-particle":"","parse-names":false,"suffix":""}],"id":"ITEM-1","issued":{"date-parts":[["2012"]]},"publisher":"Routledge","publisher-place":"New York","title":"Wordplay and the Discourse of Video Games: Analysing Words, Design, and Play","type":"book"},"uris":["http://www.mendeley.com/documents/?uuid=98ee8a2f-72a0-47cf-ac22-df037f1e33e3"]}],"mendeley":{"formattedCitation":"(Paul, 2012)","plainTextFormattedCitation":"(Paul, 2012)","previouslyFormattedCitation":"(Paul, 2012)"},"properties":{"noteIndex":0},"schema":"https://github.com/citation-style-language/schema/raw/master/csl-citation.json"}</w:instrText>
      </w:r>
      <w:r w:rsidRPr="00B4301D">
        <w:rPr>
          <w:rFonts w:ascii="Calibri" w:hAnsi="Calibri" w:cs="Calibri"/>
          <w:lang w:val="en"/>
        </w:rPr>
        <w:fldChar w:fldCharType="separate"/>
      </w:r>
      <w:r w:rsidRPr="00B4301D">
        <w:rPr>
          <w:rFonts w:ascii="Calibri" w:hAnsi="Calibri" w:cs="Calibri"/>
          <w:noProof/>
          <w:lang w:val="en"/>
        </w:rPr>
        <w:t>(Paul, 2012)</w:t>
      </w:r>
      <w:r w:rsidRPr="00B4301D">
        <w:rPr>
          <w:rFonts w:ascii="Calibri" w:hAnsi="Calibri" w:cs="Calibri"/>
          <w:lang w:val="en"/>
        </w:rPr>
        <w:fldChar w:fldCharType="end"/>
      </w:r>
      <w:r w:rsidRPr="00B4301D">
        <w:rPr>
          <w:rFonts w:ascii="Calibri" w:hAnsi="Calibri" w:cs="Calibri"/>
          <w:lang w:val="en"/>
        </w:rPr>
        <w:t>. However, this imposed balance often limits such opportunities for transgressive and creative forms of play.</w:t>
      </w:r>
    </w:p>
    <w:p w14:paraId="032C127F" w14:textId="6C3E6008" w:rsidR="00893EA1" w:rsidRPr="00B4301D" w:rsidRDefault="00893EA1" w:rsidP="00F81E7E">
      <w:pPr>
        <w:spacing w:line="360" w:lineRule="auto"/>
        <w:ind w:firstLine="720"/>
        <w:rPr>
          <w:rFonts w:ascii="Calibri" w:hAnsi="Calibri" w:cs="Calibri"/>
        </w:rPr>
      </w:pPr>
      <w:r w:rsidRPr="00B4301D">
        <w:t xml:space="preserve">More linearly structured games were most often referenced in terms of </w:t>
      </w:r>
      <w:r w:rsidRPr="00B4301D">
        <w:rPr>
          <w:i/>
        </w:rPr>
        <w:t>creating new challenges</w:t>
      </w:r>
      <w:r w:rsidRPr="00B4301D">
        <w:t xml:space="preserve">, with the most common examples involving </w:t>
      </w:r>
      <w:proofErr w:type="spellStart"/>
      <w:r w:rsidRPr="00B4301D">
        <w:t>speedrunning</w:t>
      </w:r>
      <w:proofErr w:type="spellEnd"/>
      <w:r w:rsidRPr="00B4301D">
        <w:t xml:space="preserve">. </w:t>
      </w:r>
      <w:r w:rsidR="00E41CCE" w:rsidRPr="00B4301D">
        <w:t xml:space="preserve">As with </w:t>
      </w:r>
      <w:r w:rsidRPr="00B4301D">
        <w:rPr>
          <w:rFonts w:ascii="Calibri" w:hAnsi="Calibri" w:cs="Calibri"/>
        </w:rPr>
        <w:t xml:space="preserve">Schäfer’s </w:t>
      </w:r>
      <w:r w:rsidRPr="00B4301D">
        <w:rPr>
          <w:rFonts w:ascii="Calibri" w:hAnsi="Calibri" w:cs="Calibri"/>
        </w:rPr>
        <w:fldChar w:fldCharType="begin" w:fldLock="1"/>
      </w:r>
      <w:r w:rsidR="00982706" w:rsidRPr="00B4301D">
        <w:rPr>
          <w:rFonts w:ascii="Calibri" w:hAnsi="Calibri" w:cs="Calibri"/>
        </w:rPr>
        <w:instrText>ADDIN CSL_CITATION {"citationItems":[{"id":"ITEM-1","itemData":{"DOI":"10.5117/9789089642561","ISBN":"0415251826 9780415251822 0415251834 9780415251839","ISSN":"48513154","abstract":"The aim of this book is to reveal the constituents of the emerging participatory culture and provide an analysis that is not blurred by either utopian or cultural pessimistic assumptions. I will briefly map the discourses shaping the public un­ derstanding of participation and show to what extent it affects the perception and development of technology. Analysing the role of technology reveals discursive elements inscribed into technical design and how it can either repress or stimulate certain media practices. These practices are then analysed in case studies, which clarify to what extent users actually participate in design development, and to what extent companies, users, and technology are interconnected.","author":[{"dropping-particle":"","family":"Schäfer","given":"Mirko Tobias","non-dropping-particle":"","parse-names":false,"suffix":""}],"container-title":"Most","id":"ITEM-1","issued":{"date-parts":[["2011"]]},"title":"Bastard Culture!","type":"article-journal"},"suppress-author":1,"uris":["http://www.mendeley.com/documents/?uuid=565aec18-f92a-4d00-abab-cc9f9a17a0e3"]}],"mendeley":{"formattedCitation":"(2011)","plainTextFormattedCitation":"(2011)","previouslyFormattedCitation":"(2011)"},"properties":{"noteIndex":0},"schema":"https://github.com/citation-style-language/schema/raw/master/csl-citation.json"}</w:instrText>
      </w:r>
      <w:r w:rsidRPr="00B4301D">
        <w:rPr>
          <w:rFonts w:ascii="Calibri" w:hAnsi="Calibri" w:cs="Calibri"/>
        </w:rPr>
        <w:fldChar w:fldCharType="separate"/>
      </w:r>
      <w:r w:rsidRPr="00B4301D">
        <w:rPr>
          <w:rFonts w:ascii="Calibri" w:hAnsi="Calibri" w:cs="Calibri"/>
          <w:noProof/>
        </w:rPr>
        <w:t>(2011)</w:t>
      </w:r>
      <w:r w:rsidRPr="00B4301D">
        <w:rPr>
          <w:rFonts w:ascii="Calibri" w:hAnsi="Calibri" w:cs="Calibri"/>
        </w:rPr>
        <w:fldChar w:fldCharType="end"/>
      </w:r>
      <w:r w:rsidRPr="00B4301D">
        <w:rPr>
          <w:rFonts w:ascii="Calibri" w:hAnsi="Calibri" w:cs="Calibri"/>
        </w:rPr>
        <w:t xml:space="preserve"> </w:t>
      </w:r>
      <w:r w:rsidRPr="00B4301D">
        <w:rPr>
          <w:rFonts w:ascii="Calibri" w:hAnsi="Calibri" w:cs="Calibri"/>
        </w:rPr>
        <w:lastRenderedPageBreak/>
        <w:t>distinction between implicit and explicit participation</w:t>
      </w:r>
      <w:r w:rsidR="00E41CCE" w:rsidRPr="00B4301D">
        <w:rPr>
          <w:rFonts w:ascii="Calibri" w:hAnsi="Calibri" w:cs="Calibri"/>
        </w:rPr>
        <w:t xml:space="preserve">, it seems that implicit </w:t>
      </w:r>
      <w:proofErr w:type="spellStart"/>
      <w:r w:rsidR="00E41CCE" w:rsidRPr="00B4301D">
        <w:rPr>
          <w:rFonts w:ascii="Calibri" w:hAnsi="Calibri" w:cs="Calibri"/>
        </w:rPr>
        <w:t>participant</w:t>
      </w:r>
      <w:r w:rsidR="007230F8" w:rsidRPr="00B4301D">
        <w:rPr>
          <w:rFonts w:ascii="Calibri" w:hAnsi="Calibri" w:cs="Calibri"/>
        </w:rPr>
        <w:t>ion</w:t>
      </w:r>
      <w:proofErr w:type="spellEnd"/>
      <w:r w:rsidR="00E41CCE" w:rsidRPr="00B4301D">
        <w:rPr>
          <w:rFonts w:ascii="Calibri" w:hAnsi="Calibri" w:cs="Calibri"/>
        </w:rPr>
        <w:t xml:space="preserve"> may be more likely </w:t>
      </w:r>
      <w:r w:rsidRPr="00B4301D">
        <w:rPr>
          <w:rFonts w:ascii="Calibri" w:hAnsi="Calibri" w:cs="Calibri"/>
        </w:rPr>
        <w:t xml:space="preserve"> in openly structured games. This type of creative expression is already within the constraints of the game, such as object creation in </w:t>
      </w:r>
      <w:r w:rsidRPr="00B4301D">
        <w:rPr>
          <w:rFonts w:ascii="Calibri" w:hAnsi="Calibri" w:cs="Calibri"/>
          <w:i/>
        </w:rPr>
        <w:t>Minecraft</w:t>
      </w:r>
      <w:r w:rsidRPr="00B4301D">
        <w:rPr>
          <w:rFonts w:ascii="Calibri" w:hAnsi="Calibri" w:cs="Calibri"/>
        </w:rPr>
        <w:t xml:space="preserve"> or creating different outfits using </w:t>
      </w:r>
      <w:proofErr w:type="spellStart"/>
      <w:r w:rsidRPr="00B4301D">
        <w:rPr>
          <w:rFonts w:ascii="Calibri" w:hAnsi="Calibri" w:cs="Calibri"/>
        </w:rPr>
        <w:t>armor</w:t>
      </w:r>
      <w:proofErr w:type="spellEnd"/>
      <w:r w:rsidRPr="00B4301D">
        <w:rPr>
          <w:rFonts w:ascii="Calibri" w:hAnsi="Calibri" w:cs="Calibri"/>
        </w:rPr>
        <w:t xml:space="preserve"> in </w:t>
      </w:r>
      <w:r w:rsidRPr="00B4301D">
        <w:rPr>
          <w:rFonts w:ascii="Calibri" w:hAnsi="Calibri" w:cs="Calibri"/>
          <w:i/>
        </w:rPr>
        <w:t>Monster Hunter: World</w:t>
      </w:r>
      <w:r w:rsidRPr="00B4301D">
        <w:rPr>
          <w:rFonts w:ascii="Calibri" w:hAnsi="Calibri" w:cs="Calibri"/>
        </w:rPr>
        <w:t xml:space="preserve">. The opportunities for these actions are already available to players, although the combination of such actions can be unintended. More restricted and structured games involve explicit participation, such as </w:t>
      </w:r>
      <w:proofErr w:type="spellStart"/>
      <w:r w:rsidRPr="00B4301D">
        <w:rPr>
          <w:rFonts w:ascii="Calibri" w:hAnsi="Calibri" w:cs="Calibri"/>
        </w:rPr>
        <w:t>speedrunning</w:t>
      </w:r>
      <w:proofErr w:type="spellEnd"/>
      <w:r w:rsidRPr="00B4301D">
        <w:rPr>
          <w:rFonts w:ascii="Calibri" w:hAnsi="Calibri" w:cs="Calibri"/>
        </w:rPr>
        <w:t xml:space="preserve"> whereby an entirely new goal is created through adaptation of the game’s rules, involving the use of glitches which were never intended by developers. </w:t>
      </w:r>
    </w:p>
    <w:p w14:paraId="515D251E" w14:textId="5A802FED" w:rsidR="00315E1A" w:rsidRPr="00B4301D" w:rsidRDefault="005100B4" w:rsidP="00893EA1">
      <w:pPr>
        <w:spacing w:line="360" w:lineRule="auto"/>
        <w:ind w:firstLine="720"/>
        <w:rPr>
          <w:rFonts w:ascii="Calibri" w:hAnsi="Calibri" w:cs="Calibri"/>
          <w:lang w:val="en"/>
        </w:rPr>
      </w:pPr>
      <w:r w:rsidRPr="00B4301D">
        <w:rPr>
          <w:rFonts w:ascii="Calibri" w:hAnsi="Calibri" w:cs="Calibri"/>
          <w:i/>
          <w:lang w:val="en"/>
        </w:rPr>
        <w:t>Glitches</w:t>
      </w:r>
      <w:r w:rsidRPr="00B4301D">
        <w:rPr>
          <w:rFonts w:ascii="Calibri" w:hAnsi="Calibri" w:cs="Calibri"/>
          <w:lang w:val="en"/>
        </w:rPr>
        <w:t xml:space="preserve"> were cited in both openly and linearly structured games, however, several participants referenced using glitches mostly in older games such as </w:t>
      </w:r>
      <w:proofErr w:type="spellStart"/>
      <w:r w:rsidRPr="00B4301D">
        <w:rPr>
          <w:rFonts w:ascii="Calibri" w:hAnsi="Calibri" w:cs="Calibri"/>
          <w:i/>
          <w:lang w:val="en"/>
        </w:rPr>
        <w:t>Pokemon</w:t>
      </w:r>
      <w:proofErr w:type="spellEnd"/>
      <w:r w:rsidRPr="00B4301D">
        <w:rPr>
          <w:rFonts w:ascii="Calibri" w:hAnsi="Calibri" w:cs="Calibri"/>
          <w:i/>
          <w:lang w:val="en"/>
        </w:rPr>
        <w:t xml:space="preserve"> Red and Blue </w:t>
      </w:r>
      <w:r w:rsidRPr="00B4301D">
        <w:rPr>
          <w:rFonts w:ascii="Calibri" w:hAnsi="Calibri" w:cs="Calibri"/>
          <w:i/>
          <w:lang w:val="en"/>
        </w:rPr>
        <w:fldChar w:fldCharType="begin" w:fldLock="1"/>
      </w:r>
      <w:r w:rsidR="003459BD" w:rsidRPr="00B4301D">
        <w:rPr>
          <w:rFonts w:ascii="Calibri" w:hAnsi="Calibri" w:cs="Calibri"/>
          <w:i/>
          <w:lang w:val="en"/>
        </w:rPr>
        <w:instrText>ADDIN CSL_CITATION {"citationItems":[{"id":"ITEM-1","itemData":{"author":[{"dropping-particle":"","family":"Game Freak","given":"","non-dropping-particle":"","parse-names":false,"suffix":""}],"id":"ITEM-1","issued":{"date-parts":[["1996"]]},"publisher":"Nintendo","title":"Pokemon Red and Blue","type":"book"},"uris":["http://www.mendeley.com/documents/?uuid=a553c0f0-9ffe-447c-b314-90c624881ba7"]}],"mendeley":{"formattedCitation":"(Game Freak, 1996)","plainTextFormattedCitation":"(Game Freak, 1996)","previouslyFormattedCitation":"(Game Freak, 1996)"},"properties":{"noteIndex":0},"schema":"https://github.com/citation-style-language/schema/raw/master/csl-citation.json"}</w:instrText>
      </w:r>
      <w:r w:rsidRPr="00B4301D">
        <w:rPr>
          <w:rFonts w:ascii="Calibri" w:hAnsi="Calibri" w:cs="Calibri"/>
          <w:i/>
          <w:lang w:val="en"/>
        </w:rPr>
        <w:fldChar w:fldCharType="separate"/>
      </w:r>
      <w:r w:rsidRPr="00B4301D">
        <w:rPr>
          <w:rFonts w:ascii="Calibri" w:hAnsi="Calibri" w:cs="Calibri"/>
          <w:noProof/>
          <w:lang w:val="en"/>
        </w:rPr>
        <w:t>(Game Freak, 1996)</w:t>
      </w:r>
      <w:r w:rsidRPr="00B4301D">
        <w:rPr>
          <w:rFonts w:ascii="Calibri" w:hAnsi="Calibri" w:cs="Calibri"/>
          <w:i/>
          <w:lang w:val="en"/>
        </w:rPr>
        <w:fldChar w:fldCharType="end"/>
      </w:r>
      <w:r w:rsidRPr="00B4301D">
        <w:rPr>
          <w:rFonts w:ascii="Calibri" w:hAnsi="Calibri" w:cs="Calibri"/>
          <w:lang w:val="en"/>
        </w:rPr>
        <w:t>.</w:t>
      </w:r>
      <w:r w:rsidR="00315E1A" w:rsidRPr="00B4301D">
        <w:rPr>
          <w:rFonts w:ascii="Calibri" w:hAnsi="Calibri" w:cs="Calibri"/>
          <w:lang w:val="en"/>
        </w:rPr>
        <w:t xml:space="preserve"> </w:t>
      </w:r>
      <w:r w:rsidRPr="00B4301D">
        <w:rPr>
          <w:rFonts w:ascii="Calibri" w:hAnsi="Calibri" w:cs="Calibri"/>
          <w:lang w:val="en"/>
        </w:rPr>
        <w:t>P</w:t>
      </w:r>
      <w:r w:rsidR="00315E1A" w:rsidRPr="00B4301D">
        <w:rPr>
          <w:rFonts w:ascii="Calibri" w:hAnsi="Calibri" w:cs="Calibri"/>
          <w:lang w:val="en"/>
        </w:rPr>
        <w:t>articipants views</w:t>
      </w:r>
      <w:r w:rsidRPr="00B4301D">
        <w:rPr>
          <w:rFonts w:ascii="Calibri" w:hAnsi="Calibri" w:cs="Calibri"/>
          <w:lang w:val="en"/>
        </w:rPr>
        <w:t xml:space="preserve"> on using glitches</w:t>
      </w:r>
      <w:r w:rsidR="00315E1A" w:rsidRPr="00B4301D">
        <w:rPr>
          <w:rFonts w:ascii="Calibri" w:hAnsi="Calibri" w:cs="Calibri"/>
          <w:lang w:val="en"/>
        </w:rPr>
        <w:t xml:space="preserve"> suggested a dichotomy between using glitches in a non-serious way and using them as an exploit </w:t>
      </w:r>
      <w:r w:rsidR="00315E1A" w:rsidRPr="00B4301D">
        <w:rPr>
          <w:rFonts w:ascii="Calibri" w:hAnsi="Calibri" w:cs="Calibri"/>
          <w:lang w:val="en"/>
        </w:rPr>
        <w:fldChar w:fldCharType="begin" w:fldLock="1"/>
      </w:r>
      <w:r w:rsidR="00315E1A" w:rsidRPr="00B4301D">
        <w:rPr>
          <w:rFonts w:ascii="Calibri" w:hAnsi="Calibri" w:cs="Calibri"/>
          <w:lang w:val="en"/>
        </w:rPr>
        <w:instrText>ADDIN CSL_CITATION {"citationItems":[{"id":"ITEM-1","itemData":{"author":[{"dropping-particle":"","family":"Consalvo","given":"Mia","non-dropping-particle":"","parse-names":false,"suffix":""}],"id":"ITEM-1","issued":{"date-parts":[["2009"]]},"publisher":"MIT Press","publisher-place":"London","title":"Cheating: Gaining Advantage in Videogames","type":"book"},"uris":["http://www.mendeley.com/documents/?uuid=aead1b54-5223-4afc-bd5d-08ac9d13fdc8"]}],"mendeley":{"formattedCitation":"(Consalvo, 2009)","plainTextFormattedCitation":"(Consalvo, 2009)","previouslyFormattedCitation":"(Consalvo, 2009)"},"properties":{"noteIndex":0},"schema":"https://github.com/citation-style-language/schema/raw/master/csl-citation.json"}</w:instrText>
      </w:r>
      <w:r w:rsidR="00315E1A" w:rsidRPr="00B4301D">
        <w:rPr>
          <w:rFonts w:ascii="Calibri" w:hAnsi="Calibri" w:cs="Calibri"/>
          <w:lang w:val="en"/>
        </w:rPr>
        <w:fldChar w:fldCharType="separate"/>
      </w:r>
      <w:r w:rsidR="00315E1A" w:rsidRPr="00B4301D">
        <w:rPr>
          <w:rFonts w:ascii="Calibri" w:hAnsi="Calibri" w:cs="Calibri"/>
          <w:noProof/>
          <w:lang w:val="en"/>
        </w:rPr>
        <w:t>(Consalvo, 2009)</w:t>
      </w:r>
      <w:r w:rsidR="00315E1A" w:rsidRPr="00B4301D">
        <w:rPr>
          <w:rFonts w:ascii="Calibri" w:hAnsi="Calibri" w:cs="Calibri"/>
          <w:lang w:val="en"/>
        </w:rPr>
        <w:fldChar w:fldCharType="end"/>
      </w:r>
      <w:r w:rsidR="00315E1A" w:rsidRPr="00B4301D">
        <w:rPr>
          <w:rFonts w:ascii="Calibri" w:hAnsi="Calibri" w:cs="Calibri"/>
          <w:lang w:val="en"/>
        </w:rPr>
        <w:t xml:space="preserve">. This illustrates the shifting meaning of what is defined as acceptable forms of creativity within the game. For example, in the </w:t>
      </w:r>
      <w:proofErr w:type="spellStart"/>
      <w:r w:rsidR="00315E1A" w:rsidRPr="00B4301D">
        <w:rPr>
          <w:rFonts w:ascii="Calibri" w:hAnsi="Calibri" w:cs="Calibri"/>
          <w:lang w:val="en"/>
        </w:rPr>
        <w:t>speedrunning</w:t>
      </w:r>
      <w:proofErr w:type="spellEnd"/>
      <w:r w:rsidR="00315E1A" w:rsidRPr="00B4301D">
        <w:rPr>
          <w:rFonts w:ascii="Calibri" w:hAnsi="Calibri" w:cs="Calibri"/>
          <w:lang w:val="en"/>
        </w:rPr>
        <w:t xml:space="preserve"> community the use of glitches to bypass areas of the game is textbook behavior in certain types of “runs”, however, in others such as “</w:t>
      </w:r>
      <w:proofErr w:type="spellStart"/>
      <w:r w:rsidR="00315E1A" w:rsidRPr="00B4301D">
        <w:rPr>
          <w:rFonts w:ascii="Calibri" w:hAnsi="Calibri" w:cs="Calibri"/>
          <w:lang w:val="en"/>
        </w:rPr>
        <w:t>glitchless</w:t>
      </w:r>
      <w:proofErr w:type="spellEnd"/>
      <w:r w:rsidR="00315E1A" w:rsidRPr="00B4301D">
        <w:rPr>
          <w:rFonts w:ascii="Calibri" w:hAnsi="Calibri" w:cs="Calibri"/>
          <w:lang w:val="en"/>
        </w:rPr>
        <w:t xml:space="preserve"> runs” their use is prohibited. </w:t>
      </w:r>
    </w:p>
    <w:p w14:paraId="485A6268" w14:textId="37BB039C" w:rsidR="00315E1A" w:rsidRPr="00B4301D" w:rsidRDefault="00315E1A" w:rsidP="00315E1A">
      <w:pPr>
        <w:spacing w:line="360" w:lineRule="auto"/>
        <w:ind w:firstLine="720"/>
        <w:rPr>
          <w:rFonts w:ascii="Calibri" w:hAnsi="Calibri" w:cs="Calibri"/>
          <w:lang w:val="en"/>
        </w:rPr>
      </w:pPr>
      <w:r w:rsidRPr="00B4301D">
        <w:rPr>
          <w:rFonts w:ascii="Calibri" w:hAnsi="Calibri" w:cs="Calibri"/>
          <w:i/>
          <w:lang w:val="en"/>
        </w:rPr>
        <w:t xml:space="preserve">Creativity as affective change </w:t>
      </w:r>
      <w:r w:rsidRPr="00B4301D">
        <w:rPr>
          <w:rFonts w:ascii="Calibri" w:hAnsi="Calibri" w:cs="Calibri"/>
          <w:lang w:val="en"/>
        </w:rPr>
        <w:t>was an inductive theme developed during the analysis</w:t>
      </w:r>
      <w:r w:rsidR="00F81E7E" w:rsidRPr="00B4301D">
        <w:rPr>
          <w:rFonts w:ascii="Calibri" w:hAnsi="Calibri" w:cs="Calibri"/>
          <w:lang w:val="en"/>
        </w:rPr>
        <w:t xml:space="preserve"> and included the ways in which games impacted upon or altered players perceptions, beliefs and viewpoints</w:t>
      </w:r>
      <w:r w:rsidRPr="00B4301D">
        <w:rPr>
          <w:rFonts w:ascii="Calibri" w:hAnsi="Calibri" w:cs="Calibri"/>
          <w:lang w:val="en"/>
        </w:rPr>
        <w:t xml:space="preserve">. </w:t>
      </w:r>
      <w:r w:rsidRPr="00B4301D">
        <w:t xml:space="preserve">While not immediately an obvious expression of creativity, the concept of Kaufman </w:t>
      </w:r>
      <w:r w:rsidRPr="00B4301D">
        <w:fldChar w:fldCharType="begin" w:fldLock="1"/>
      </w:r>
      <w:r w:rsidRPr="00B4301D">
        <w:instrText>ADDIN CSL_CITATION {"citationItems":[{"id":"ITEM-1","itemData":{"DOI":"10.1037/a0013688","ISBN":"1089-2680\\r1939-1552","ISSN":"1089-2680","PMID":"20854159","abstract":"Most investigations of creativity tend to take one of two directions: everyday creativity (also called “little-c”), which can be found in nearly all people, and eminent creativity (also called “Big-C”), which is reserved for the great. In this paper, the authors propose a Four C model of creativity that expands this dichotomy. Specifically, the authors add the idea of “mini-c,” creativity inherent in the learning process, and Pro-c, the developmental and effortful progression beyond little-c that represents professional-level expertise in any creative area. The authors include different transitions and gradations of these four dimensions of creativity, and then discuss advantages and examples of the Four C Model. (PsycINFO Database Record (c) 2012 APA, all rights reserved). (journal abstract)","author":[{"dropping-particle":"","family":"Kaufman","given":"James C.","non-dropping-particle":"","parse-names":false,"suffix":""},{"dropping-particle":"","family":"Beghetto","given":"Ronald a.","non-dropping-particle":"","parse-names":false,"suffix":""}],"container-title":"Review of General Psychology","id":"ITEM-1","issue":"1","issued":{"date-parts":[["2009"]]},"page":"1-12","title":"Beyond Big and Little: The Four C Model of Creativity.","type":"article-journal","volume":"13"},"uris":["http://www.mendeley.com/documents/?uuid=9d229fbb-caf4-444e-a3c5-694942a41679"]}],"mendeley":{"formattedCitation":"(Kaufman &amp; Beghetto, 2009)","manualFormatting":"(2009)","plainTextFormattedCitation":"(Kaufman &amp; Beghetto, 2009)","previouslyFormattedCitation":"(Kaufman &amp; Beghetto, 2009)"},"properties":{"noteIndex":0},"schema":"https://github.com/citation-style-language/schema/raw/master/csl-citation.json"}</w:instrText>
      </w:r>
      <w:r w:rsidRPr="00B4301D">
        <w:fldChar w:fldCharType="separate"/>
      </w:r>
      <w:r w:rsidRPr="00B4301D">
        <w:rPr>
          <w:noProof/>
        </w:rPr>
        <w:t>(2009)</w:t>
      </w:r>
      <w:r w:rsidRPr="00B4301D">
        <w:fldChar w:fldCharType="end"/>
      </w:r>
      <w:r w:rsidRPr="00B4301D">
        <w:t xml:space="preserve"> and </w:t>
      </w:r>
      <w:proofErr w:type="spellStart"/>
      <w:r w:rsidRPr="00B4301D">
        <w:t>Beghetto’s</w:t>
      </w:r>
      <w:proofErr w:type="spellEnd"/>
      <w:r w:rsidRPr="00B4301D">
        <w:t xml:space="preserve"> Mini C serves as illumination of how creativity not only involves creating something (whether that be an object or a set of abstract solutions), but can also involve personally meaningful change</w:t>
      </w:r>
      <w:r w:rsidR="005100B4" w:rsidRPr="00B4301D">
        <w:t xml:space="preserve"> and insights</w:t>
      </w:r>
      <w:r w:rsidRPr="00B4301D">
        <w:t xml:space="preserve">. Based on the Vygotskian notion of cognitive and creative development, this view argues that all individuals have creative potential through </w:t>
      </w:r>
      <w:r w:rsidRPr="00B4301D">
        <w:rPr>
          <w:rFonts w:ascii="Calibri" w:hAnsi="Calibri" w:cs="Calibri"/>
          <w:lang w:val="en"/>
        </w:rPr>
        <w:t xml:space="preserve">the “internalization or appropriation of cultural tools and social interaction” </w:t>
      </w:r>
      <w:r w:rsidRPr="00B4301D">
        <w:rPr>
          <w:rFonts w:ascii="Calibri" w:hAnsi="Calibri" w:cs="Calibri"/>
          <w:lang w:val="en"/>
        </w:rPr>
        <w:fldChar w:fldCharType="begin" w:fldLock="1"/>
      </w:r>
      <w:r w:rsidRPr="00B4301D">
        <w:rPr>
          <w:rFonts w:ascii="Calibri" w:hAnsi="Calibri" w:cs="Calibri"/>
          <w:lang w:val="en"/>
        </w:rPr>
        <w:instrText>ADDIN CSL_CITATION {"citationItems":[{"id":"ITEM-1","itemData":{"ISBN":"9780195148992","author":[{"dropping-particle":"","family":"Moran","given":"Seana","non-dropping-particle":"","parse-names":false,"suffix":""},{"dropping-particle":"","family":"John-Steiner","given":"Vera","non-dropping-particle":"","parse-names":false,"suffix":""}],"container-title":"Creativity and Development","id":"ITEM-1","issued":{"date-parts":[["2003"]]},"page":"81 - 90","title":"Creativity in the Making: Vygotsky's Contemporary Contribution to the Dialectic of Development and Creativity","type":"chapter"},"uris":["http://www.mendeley.com/documents/?uuid=1d9df1e3-3773-4d7f-8761-dc2ac5293339"]}],"mendeley":{"formattedCitation":"(Moran &amp; John-Steiner, 2003)","manualFormatting":"(Moran &amp; John-Steiner, 2003, p.63)","plainTextFormattedCitation":"(Moran &amp; John-Steiner, 2003)","previouslyFormattedCitation":"(Moran &amp; John-Steiner, 2003)"},"properties":{"noteIndex":0},"schema":"https://github.com/citation-style-language/schema/raw/master/csl-citation.json"}</w:instrText>
      </w:r>
      <w:r w:rsidRPr="00B4301D">
        <w:rPr>
          <w:rFonts w:ascii="Calibri" w:hAnsi="Calibri" w:cs="Calibri"/>
          <w:lang w:val="en"/>
        </w:rPr>
        <w:fldChar w:fldCharType="separate"/>
      </w:r>
      <w:r w:rsidRPr="00B4301D">
        <w:rPr>
          <w:rFonts w:ascii="Calibri" w:hAnsi="Calibri" w:cs="Calibri"/>
          <w:noProof/>
          <w:lang w:val="en"/>
        </w:rPr>
        <w:t>(Moran &amp; John-Steiner, 2003, p.63)</w:t>
      </w:r>
      <w:r w:rsidRPr="00B4301D">
        <w:rPr>
          <w:rFonts w:ascii="Calibri" w:hAnsi="Calibri" w:cs="Calibri"/>
          <w:lang w:val="en"/>
        </w:rPr>
        <w:fldChar w:fldCharType="end"/>
      </w:r>
      <w:r w:rsidRPr="00B4301D">
        <w:rPr>
          <w:rFonts w:ascii="Calibri" w:hAnsi="Calibri" w:cs="Calibri"/>
          <w:lang w:val="en"/>
        </w:rPr>
        <w:t xml:space="preserve"> where they can reorganize and transform information and mental structures based on their own characteristics and pre-existing knowledge. Thus, Mini C creativity occurs through the fluid and interpretive process of creating personal knowledge within a particular milieu. In this way, one expression of creativity in games can involve a player’s reflection on the game’s narrative and as a result, the alteration of thought patterns, beliefs and perspectives. </w:t>
      </w:r>
    </w:p>
    <w:p w14:paraId="4E7DFC6F" w14:textId="300A5FF2" w:rsidR="00315E1A" w:rsidRPr="00B4301D" w:rsidRDefault="00315E1A" w:rsidP="00315E1A">
      <w:pPr>
        <w:spacing w:line="360" w:lineRule="auto"/>
        <w:ind w:firstLine="720"/>
        <w:rPr>
          <w:rFonts w:ascii="Calibri" w:hAnsi="Calibri" w:cs="Calibri"/>
          <w:lang w:val="en"/>
        </w:rPr>
      </w:pPr>
      <w:r w:rsidRPr="00B4301D">
        <w:t xml:space="preserve">These shifts in </w:t>
      </w:r>
      <w:r w:rsidR="00644331" w:rsidRPr="00B4301D">
        <w:t>perception</w:t>
      </w:r>
      <w:r w:rsidRPr="00B4301D">
        <w:t xml:space="preserve"> could be seen as a response to the emotional challenges</w:t>
      </w:r>
      <w:r w:rsidRPr="00B4301D">
        <w:rPr>
          <w:i/>
        </w:rPr>
        <w:t xml:space="preserve"> </w:t>
      </w:r>
      <w:r w:rsidRPr="00B4301D">
        <w:t xml:space="preserve">which some games provide </w:t>
      </w:r>
      <w:r w:rsidRPr="00B4301D">
        <w:fldChar w:fldCharType="begin" w:fldLock="1"/>
      </w:r>
      <w:r w:rsidRPr="00B4301D">
        <w:instrText>ADDIN CSL_CITATION {"citationItems":[{"id":"ITEM-1","itemData":{"DOI":"10.1177/0093650214565921","abstract":"Recent approaches in entertainment research highlight the distinction between hedonic (pleasure-seeking) and eudaimonic (truth-seeking) entertainment experiences. However, insights into the underlying processes that give rise to these different types of entertainment experiences are still scarce. This study examines the assumption that individuals' entertainment experience varies by the level of cognitive and affective challenge posed by the media content. We tested this assumption in a 2 × 2 experiment in which we examined the effects of cognitive and affective challenge on individuals' entertainment experience (fun, suspense, and appreciation). Cognitive and affective challenges resulted in stronger appreciation of the movie, affective challenges resulted in heightened suspense, whereas the absence of both cognitive and affective challenges fostered the experience of fun. These results further the theoretical understanding of hedonic and eudaimonic entertainment in that they support the idea that fun is linked to recreation, whereas appreciation is linked to cognitive challenge and personal growth.","author":[{"dropping-particle":"","family":"Bartsch","given":"Anne","non-dropping-particle":"","parse-names":false,"suffix":""},{"dropping-particle":"","family":"Hartmann","given":"Tilo","non-dropping-particle":"","parse-names":false,"suffix":""}],"container-title":"Communication Research","id":"ITEM-1","issue":"1","issued":{"date-parts":[["2017"]]},"page":"29-53","title":"The Role of Cognitive and Affective Challenge in Entertainment Experience","type":"article-journal","volume":"44"},"uris":["http://www.mendeley.com/documents/?uuid=ac728079-2cf7-311f-8ea2-d6ac054c683f"]},{"id":"ITEM-2","itemData":{"DOI":"10.1145/2793107.2793147","ISBN":"9781450334662","abstract":"Digital games are a wide, diverse and fast developing art form, and it is important to analyse games that are pushing the medium forward to see what design lessons can be learned. However, there are no established criteria to determine which games show these more progressive qualities. Grounded theory methodology was used to analyse language used in games reviews by critics of both 'core gamer' titles and those titles with more avant-garde properties. This showed there were two kinds of challenge being discussed-emotional and functional which appear to be, at least partially, mutually exclusive. Reviews of 'core' and 'avant-garde' games had different measures of purchase value, primary emotions, and modalities of language used to discuss the role of audiovisual qualities. Emotional challenge, ambiguity and solitude are suggested as useful devices for eliciting emotion from the player and for use in developing more 'avant-garde' games, as well as providing a basis for further lines of inquiry.","author":[{"dropping-particle":"","family":"Cole","given":"Tom","non-dropping-particle":"","parse-names":false,"suffix":""},{"dropping-particle":"","family":"Cairns","given":"Paul","non-dropping-particle":"","parse-names":false,"suffix":""},{"dropping-particle":"","family":"Gillies","given":"Marco","non-dropping-particle":"","parse-names":false,"suffix":""}],"container-title":"CHI Play 2015 October 3-7","id":"ITEM-2","issued":{"date-parts":[["2015"]]},"publisher-place":"London, UK","title":"Emotional and Functional Challenge in Core and Avant-garde Games","type":"paper-conference"},"uris":["http://www.mendeley.com/documents/?uuid=1ee9bf1a-01cf-325b-98d3-1daae4c2c560"]},{"id":"ITEM-3","itemData":{"DOI":"10.1145/3027063.3053209","ISBN":"9781450346566","author":[{"dropping-particle":"","family":"Denisova","given":"Alena","non-dropping-particle":"","parse-names":false,"suffix":""},{"dropping-particle":"","family":"Guckelsberger","given":"Christian","non-dropping-particle":"","parse-names":false,"suffix":""},{"dropping-particle":"","family":"Zendle","given":"David","non-dropping-particle":"","parse-names":false,"suffix":""}],"container-title":"Proceedings of the 2017 CHI Conference Extended Abstracts on Human Factors in Computing Systems  - CHI EA '17","id":"ITEM-3","issued":{"date-parts":[["2017"]]},"page":"2511-2519","publisher":"ACM Press","publisher-place":"New York, New York, USA","title":"Challenge in Digital Games","type":"paper-conference"},"uris":["http://www.mendeley.com/documents/?uuid=d7501255-c7d6-32d3-883d-56f6f097356e"]}],"mendeley":{"formattedCitation":"(Bartsch &amp; Hartmann, 2017; Cole, Cairns, &amp; Gillies, 2015; Denisova, Guckelsberger, &amp; Zendle, 2017)","manualFormatting":"(Bartsch &amp; Hartmann, 2017)","plainTextFormattedCitation":"(Bartsch &amp; Hartmann, 2017; Cole, Cairns, &amp; Gillies, 2015; Denisova, Guckelsberger, &amp; Zendle, 2017)","previouslyFormattedCitation":"(Bartsch &amp; Hartmann, 2017; Cole, Cairns, &amp; Gillies, 2015; Denisova, Guckelsberger, &amp; Zendle, 2017)"},"properties":{"noteIndex":0},"schema":"https://github.com/citation-style-language/schema/raw/master/csl-citation.json"}</w:instrText>
      </w:r>
      <w:r w:rsidRPr="00B4301D">
        <w:fldChar w:fldCharType="separate"/>
      </w:r>
      <w:r w:rsidRPr="00B4301D">
        <w:rPr>
          <w:noProof/>
        </w:rPr>
        <w:t>(Bartsch &amp; Hartmann, 2017)</w:t>
      </w:r>
      <w:r w:rsidRPr="00B4301D">
        <w:fldChar w:fldCharType="end"/>
      </w:r>
      <w:r w:rsidRPr="00B4301D">
        <w:t xml:space="preserve">. Emotional challenges can </w:t>
      </w:r>
      <w:r w:rsidRPr="00B4301D">
        <w:rPr>
          <w:rFonts w:ascii="Calibri" w:hAnsi="Calibri" w:cs="Calibri"/>
          <w:lang w:val="en"/>
        </w:rPr>
        <w:t xml:space="preserve">“confront the player with emotionally salient material or the use of strong characters, and a captivating story” </w:t>
      </w:r>
      <w:r w:rsidRPr="00B4301D">
        <w:rPr>
          <w:rFonts w:ascii="Calibri" w:hAnsi="Calibri" w:cs="Calibri"/>
          <w:lang w:val="en"/>
        </w:rPr>
        <w:fldChar w:fldCharType="begin" w:fldLock="1"/>
      </w:r>
      <w:r w:rsidRPr="00B4301D">
        <w:rPr>
          <w:rFonts w:ascii="Calibri" w:hAnsi="Calibri" w:cs="Calibri"/>
          <w:lang w:val="en"/>
        </w:rPr>
        <w:instrText>ADDIN CSL_CITATION {"citationItems":[{"id":"ITEM-1","itemData":{"DOI":"10.1145/3027063.3053209","ISBN":"9781450346566","author":[{"dropping-particle":"","family":"Denisova","given":"Alena","non-dropping-particle":"","parse-names":false,"suffix":""},{"dropping-particle":"","family":"Guckelsberger","given":"Christian","non-dropping-particle":"","parse-names":false,"suffix":""},{"dropping-particle":"","family":"Zendle","given":"David","non-dropping-particle":"","parse-names":false,"suffix":""}],"container-title":"Proceedings of the 2017 CHI Conference Extended Abstracts on Human Factors in Computing Systems  - CHI EA '17","id":"ITEM-1","issued":{"date-parts":[["2017"]]},"page":"2511-2519","publisher":"ACM Press","publisher-place":"New York, New York, USA","title":"Challenge in Digital Games","type":"paper-conference"},"locator":"2513","uris":["http://www.mendeley.com/documents/?uuid=d7501255-c7d6-32d3-883d-56f6f097356e"]}],"mendeley":{"formattedCitation":"(Denisova et al., 2017, p. 2513)","plainTextFormattedCitation":"(Denisova et al., 2017, p. 2513)","previouslyFormattedCitation":"(Denisova et al., 2017, p. 2513)"},"properties":{"noteIndex":0},"schema":"https://github.com/citation-style-language/schema/raw/master/csl-citation.json"}</w:instrText>
      </w:r>
      <w:r w:rsidRPr="00B4301D">
        <w:rPr>
          <w:rFonts w:ascii="Calibri" w:hAnsi="Calibri" w:cs="Calibri"/>
          <w:lang w:val="en"/>
        </w:rPr>
        <w:fldChar w:fldCharType="separate"/>
      </w:r>
      <w:r w:rsidRPr="00B4301D">
        <w:rPr>
          <w:rFonts w:ascii="Calibri" w:hAnsi="Calibri" w:cs="Calibri"/>
          <w:noProof/>
          <w:lang w:val="en"/>
        </w:rPr>
        <w:t>(Denisova et al., 2017, p. 2513)</w:t>
      </w:r>
      <w:r w:rsidRPr="00B4301D">
        <w:rPr>
          <w:rFonts w:ascii="Calibri" w:hAnsi="Calibri" w:cs="Calibri"/>
          <w:lang w:val="en"/>
        </w:rPr>
        <w:fldChar w:fldCharType="end"/>
      </w:r>
      <w:r w:rsidRPr="00B4301D">
        <w:rPr>
          <w:rFonts w:ascii="Calibri" w:hAnsi="Calibri" w:cs="Calibri"/>
          <w:lang w:val="en"/>
        </w:rPr>
        <w:t xml:space="preserve">. Unlike functional challenges in games which require feats of problem-solving, dexterity or physical skills </w:t>
      </w:r>
      <w:r w:rsidRPr="00B4301D">
        <w:rPr>
          <w:rFonts w:ascii="Calibri" w:hAnsi="Calibri" w:cs="Calibri"/>
          <w:lang w:val="en"/>
        </w:rPr>
        <w:fldChar w:fldCharType="begin" w:fldLock="1"/>
      </w:r>
      <w:r w:rsidRPr="00B4301D">
        <w:rPr>
          <w:rFonts w:ascii="Calibri" w:hAnsi="Calibri" w:cs="Calibri"/>
          <w:lang w:val="en"/>
        </w:rPr>
        <w:instrText>ADDIN CSL_CITATION {"citationItems":[{"id":"ITEM-1","itemData":{"DOI":"10.1145/2793107.2793147","ISBN":"9781450334662","abstract":"Digital games are a wide, diverse and fast developing art form, and it is important to analyse games that are pushing the medium forward to see what design lessons can be learned. However, there are no established criteria to determine which games show these more progressive qualities. Grounded theory methodology was used to analyse language used in games reviews by critics of both 'core gamer' titles and those titles with more avant-garde properties. This showed there were two kinds of challenge being discussed-emotional and functional which appear to be, at least partially, mutually exclusive. Reviews of 'core' and 'avant-garde' games had different measures of purchase value, primary emotions, and modalities of language used to discuss the role of audiovisual qualities. Emotional challenge, ambiguity and solitude are suggested as useful devices for eliciting emotion from the player and for use in developing more 'avant-garde' games, as well as providing a basis for further lines of inquiry.","author":[{"dropping-particle":"","family":"Cole","given":"Tom","non-dropping-particle":"","parse-names":false,"suffix":""},{"dropping-particle":"","family":"Cairns","given":"Paul","non-dropping-particle":"","parse-names":false,"suffix":""},{"dropping-particle":"","family":"Gillies","given":"Marco","non-dropping-particle":"","parse-names":false,"suffix":""}],"container-title":"CHI Play 2015 October 3-7","id":"ITEM-1","issued":{"date-parts":[["2015"]]},"publisher-place":"London, UK","title":"Emotional and Functional Challenge in Core and Avant-garde Games","type":"paper-conference"},"uris":["http://www.mendeley.com/documents/?uuid=1ee9bf1a-01cf-325b-98d3-1daae4c2c560"]}],"mendeley":{"formattedCitation":"(Cole et al., 2015)","plainTextFormattedCitation":"(Cole et al., 2015)","previouslyFormattedCitation":"(Cole et al., 2015)"},"properties":{"noteIndex":0},"schema":"https://github.com/citation-style-language/schema/raw/master/csl-citation.json"}</w:instrText>
      </w:r>
      <w:r w:rsidRPr="00B4301D">
        <w:rPr>
          <w:rFonts w:ascii="Calibri" w:hAnsi="Calibri" w:cs="Calibri"/>
          <w:lang w:val="en"/>
        </w:rPr>
        <w:fldChar w:fldCharType="separate"/>
      </w:r>
      <w:r w:rsidRPr="00B4301D">
        <w:rPr>
          <w:rFonts w:ascii="Calibri" w:hAnsi="Calibri" w:cs="Calibri"/>
          <w:noProof/>
          <w:lang w:val="en"/>
        </w:rPr>
        <w:t>(Cole et al., 2015)</w:t>
      </w:r>
      <w:r w:rsidRPr="00B4301D">
        <w:rPr>
          <w:rFonts w:ascii="Calibri" w:hAnsi="Calibri" w:cs="Calibri"/>
          <w:lang w:val="en"/>
        </w:rPr>
        <w:fldChar w:fldCharType="end"/>
      </w:r>
      <w:r w:rsidRPr="00B4301D">
        <w:rPr>
          <w:rFonts w:ascii="Calibri" w:hAnsi="Calibri" w:cs="Calibri"/>
          <w:lang w:val="en"/>
        </w:rPr>
        <w:t xml:space="preserve">, emotional challenges cannot be overcome by </w:t>
      </w:r>
      <w:r w:rsidRPr="00B4301D">
        <w:rPr>
          <w:rFonts w:ascii="Calibri" w:hAnsi="Calibri" w:cs="Calibri"/>
          <w:lang w:val="en"/>
        </w:rPr>
        <w:lastRenderedPageBreak/>
        <w:t xml:space="preserve">conventional means. Instead such challenges are tied closely to the game narrative and involve resolving tensions built up by characters, story and exploration of emotional states </w:t>
      </w:r>
      <w:r w:rsidRPr="00B4301D">
        <w:rPr>
          <w:rFonts w:ascii="Calibri" w:hAnsi="Calibri" w:cs="Calibri"/>
          <w:lang w:val="en"/>
        </w:rPr>
        <w:fldChar w:fldCharType="begin" w:fldLock="1"/>
      </w:r>
      <w:r w:rsidR="007904D4" w:rsidRPr="00B4301D">
        <w:rPr>
          <w:rFonts w:ascii="Calibri" w:hAnsi="Calibri" w:cs="Calibri"/>
          <w:lang w:val="en"/>
        </w:rPr>
        <w:instrText>ADDIN CSL_CITATION {"citationItems":[{"id":"ITEM-1","itemData":{"DOI":"10.1145/3173574.3173615","abstract":"Recent work introduced the notion of emotional challenge as a means to afford more unique and diverse gaming experien-ces. However, players' experience of emotional challenge has received little empirical attention. It remains unclear whether players enjoy it and what exactly constitutes the challenge thereof. We surveyed 171 players about a challenging or an emotionally challenging experience, and analyzed their re-sponses with regards to what made the experience challen-ging, their emotional response, and the relation to core play-er experience constructs. We found that emotional challen-ge manifested itself in different ways, by confronting play-ers with difficult themes or decisions, as well as having them deal with intense emotions. In contrast to more 'conventio-nal' challenge, emotional challenge evoked a wider range of negative emotions and was appreciated significantly more by players. Our findings showcase the appeal of uncomfortable gaming experiences, and extend current conceptualizations of challenge in games.","author":[{"dropping-particle":"","family":"Bopp","given":"Julia Ayumi","non-dropping-particle":"","parse-names":false,"suffix":""},{"dropping-particle":"","family":"Opwis","given":"Klaus","non-dropping-particle":"","parse-names":false,"suffix":""},{"dropping-particle":"","family":"Mekler","given":"Elisa D","non-dropping-particle":"","parse-names":false,"suffix":""}],"container-title":"CHI 2018 April 21-26","id":"ITEM-1","issued":{"date-parts":[["2018"]]},"publisher-place":"Montreal","title":"An Odd Kind of Pleasure: Differentiating Emotional Challenge in Digital Games","type":"paper-conference"},"uris":["http://www.mendeley.com/documents/?uuid=f822117a-976d-30c2-9f61-98173c982307"]}],"mendeley":{"formattedCitation":"(Bopp et al., 2018)","manualFormatting":"(Bopp et al., 2018)","plainTextFormattedCitation":"(Bopp et al., 2018)","previouslyFormattedCitation":"(Bopp et al., 2018)"},"properties":{"noteIndex":0},"schema":"https://github.com/citation-style-language/schema/raw/master/csl-citation.json"}</w:instrText>
      </w:r>
      <w:r w:rsidRPr="00B4301D">
        <w:rPr>
          <w:rFonts w:ascii="Calibri" w:hAnsi="Calibri" w:cs="Calibri"/>
          <w:lang w:val="en"/>
        </w:rPr>
        <w:fldChar w:fldCharType="separate"/>
      </w:r>
      <w:r w:rsidRPr="00B4301D">
        <w:rPr>
          <w:rFonts w:ascii="Calibri" w:hAnsi="Calibri" w:cs="Calibri"/>
          <w:noProof/>
          <w:lang w:val="en"/>
        </w:rPr>
        <w:t>(Bopp et al., 2018)</w:t>
      </w:r>
      <w:r w:rsidRPr="00B4301D">
        <w:rPr>
          <w:rFonts w:ascii="Calibri" w:hAnsi="Calibri" w:cs="Calibri"/>
          <w:lang w:val="en"/>
        </w:rPr>
        <w:fldChar w:fldCharType="end"/>
      </w:r>
      <w:r w:rsidRPr="00B4301D">
        <w:rPr>
          <w:rFonts w:ascii="Calibri" w:hAnsi="Calibri" w:cs="Calibri"/>
          <w:lang w:val="en"/>
        </w:rPr>
        <w:t xml:space="preserve">. In the current study, participants who cited games </w:t>
      </w:r>
      <w:r w:rsidR="00E41CCE" w:rsidRPr="00B4301D">
        <w:rPr>
          <w:rFonts w:ascii="Calibri" w:hAnsi="Calibri" w:cs="Calibri"/>
          <w:lang w:val="en"/>
        </w:rPr>
        <w:t>with</w:t>
      </w:r>
      <w:r w:rsidRPr="00B4301D">
        <w:rPr>
          <w:rFonts w:ascii="Calibri" w:hAnsi="Calibri" w:cs="Calibri"/>
          <w:lang w:val="en"/>
        </w:rPr>
        <w:t xml:space="preserve"> emotional challenge</w:t>
      </w:r>
      <w:r w:rsidR="00E41CCE" w:rsidRPr="00B4301D">
        <w:rPr>
          <w:rFonts w:ascii="Calibri" w:hAnsi="Calibri" w:cs="Calibri"/>
          <w:lang w:val="en"/>
        </w:rPr>
        <w:t>s</w:t>
      </w:r>
      <w:r w:rsidRPr="00B4301D">
        <w:rPr>
          <w:rFonts w:ascii="Calibri" w:hAnsi="Calibri" w:cs="Calibri"/>
          <w:lang w:val="en"/>
        </w:rPr>
        <w:t xml:space="preserve"> often recounted the experiences as being highly valued and enjoyable due to the range of emotions they elicited and how such challenges made them “question” things; a finding similar to a recent study by </w:t>
      </w:r>
      <w:r w:rsidRPr="00B4301D">
        <w:rPr>
          <w:rFonts w:ascii="Calibri" w:hAnsi="Calibri" w:cs="Calibri"/>
          <w:lang w:val="en"/>
        </w:rPr>
        <w:fldChar w:fldCharType="begin" w:fldLock="1"/>
      </w:r>
      <w:r w:rsidR="007904D4" w:rsidRPr="00B4301D">
        <w:rPr>
          <w:rFonts w:ascii="Calibri" w:hAnsi="Calibri" w:cs="Calibri"/>
          <w:lang w:val="en"/>
        </w:rPr>
        <w:instrText>ADDIN CSL_CITATION {"citationItems":[{"id":"ITEM-1","itemData":{"ISBN":"9781450356244","author":[{"dropping-particle":"","family":"Mekler","given":"Elisa D","non-dropping-particle":"","parse-names":false,"suffix":""},{"dropping-particle":"","family":"Iacovides","given":"Ioanna","non-dropping-particle":"","parse-names":false,"suffix":""},{"dropping-particle":"","family":"Bopp","given":"Julia Ayumi","non-dropping-particle":"","parse-names":false,"suffix":""}],"container-title":"CHI PLAY '18 Proceedings of the 2018 Annual Symposium on Computer-Human Interaction in Play","id":"ITEM-1","issued":{"date-parts":[["2018"]]},"page":"315-327","publisher-place":"Melbourne, Australia","title":"“ A Game that Makes You Question ...” Exploring the Role of Reflection for the Player Experience","type":"paper-conference"},"uris":["http://www.mendeley.com/documents/?uuid=9ec344d1-82cb-45d6-9ce6-564c155fde5f"]}],"mendeley":{"formattedCitation":"(Mekler et al., 2018)","manualFormatting":"Mekler et al. (2018)","plainTextFormattedCitation":"(Mekler et al., 2018)","previouslyFormattedCitation":"(Mekler et al., 2018)"},"properties":{"noteIndex":0},"schema":"https://github.com/citation-style-language/schema/raw/master/csl-citation.json"}</w:instrText>
      </w:r>
      <w:r w:rsidRPr="00B4301D">
        <w:rPr>
          <w:rFonts w:ascii="Calibri" w:hAnsi="Calibri" w:cs="Calibri"/>
          <w:lang w:val="en"/>
        </w:rPr>
        <w:fldChar w:fldCharType="separate"/>
      </w:r>
      <w:r w:rsidRPr="00B4301D">
        <w:rPr>
          <w:rFonts w:ascii="Calibri" w:hAnsi="Calibri" w:cs="Calibri"/>
          <w:noProof/>
          <w:lang w:val="en"/>
        </w:rPr>
        <w:t>Mekler et al. (2018)</w:t>
      </w:r>
      <w:r w:rsidRPr="00B4301D">
        <w:rPr>
          <w:rFonts w:ascii="Calibri" w:hAnsi="Calibri" w:cs="Calibri"/>
          <w:lang w:val="en"/>
        </w:rPr>
        <w:fldChar w:fldCharType="end"/>
      </w:r>
      <w:r w:rsidRPr="00B4301D">
        <w:rPr>
          <w:rFonts w:ascii="Calibri" w:hAnsi="Calibri" w:cs="Calibri"/>
          <w:lang w:val="en"/>
        </w:rPr>
        <w:t xml:space="preserve"> which found that players considered reflection on and around games to be a worthwhile activity in itself. </w:t>
      </w:r>
    </w:p>
    <w:p w14:paraId="524A0132" w14:textId="77777777" w:rsidR="00315E1A" w:rsidRPr="00B4301D" w:rsidRDefault="00315E1A" w:rsidP="00315E1A">
      <w:pPr>
        <w:spacing w:line="360" w:lineRule="auto"/>
        <w:ind w:firstLine="720"/>
        <w:rPr>
          <w:rFonts w:ascii="Calibri" w:hAnsi="Calibri" w:cs="Calibri"/>
          <w:lang w:val="en"/>
        </w:rPr>
      </w:pPr>
      <w:r w:rsidRPr="00B4301D">
        <w:rPr>
          <w:rFonts w:ascii="Calibri" w:hAnsi="Calibri" w:cs="Calibri"/>
          <w:lang w:val="en"/>
        </w:rPr>
        <w:t xml:space="preserve">Where affective change occurred from drawing parallels between the game narrative and real-life suggested transformative reflection whereby behaviors or assumptions are altered and new insights are gained </w:t>
      </w:r>
      <w:r w:rsidRPr="00B4301D">
        <w:rPr>
          <w:rFonts w:ascii="Calibri" w:hAnsi="Calibri" w:cs="Calibri"/>
          <w:lang w:val="en"/>
        </w:rPr>
        <w:fldChar w:fldCharType="begin" w:fldLock="1"/>
      </w:r>
      <w:r w:rsidRPr="00B4301D">
        <w:rPr>
          <w:rFonts w:ascii="Calibri" w:hAnsi="Calibri" w:cs="Calibri"/>
          <w:lang w:val="en"/>
        </w:rPr>
        <w:instrText>ADDIN CSL_CITATION {"citationItems":[{"id":"ITEM-1","itemData":{"ISBN":"9781450356244","author":[{"dropping-particle":"","family":"Mekler","given":"Elisa D","non-dropping-particle":"","parse-names":false,"suffix":""},{"dropping-particle":"","family":"Iacovides","given":"Ioanna","non-dropping-particle":"","parse-names":false,"suffix":""},{"dropping-particle":"","family":"Bopp","given":"Julia Ayumi","non-dropping-particle":"","parse-names":false,"suffix":""}],"container-title":"CHI PLAY '18 Proceedings of the 2018 Annual Symposium on Computer-Human Interaction in Play","id":"ITEM-1","issued":{"date-parts":[["2018"]]},"page":"315-327","publisher-place":"Melbourne, Australia","title":"“ A Game that Makes You Question ...” Exploring the Role of Reflection for the Player Experience","type":"paper-conference"},"uris":["http://www.mendeley.com/documents/?uuid=9ec344d1-82cb-45d6-9ce6-564c155fde5f"]}],"mendeley":{"formattedCitation":"(Mekler et al., 2018)","plainTextFormattedCitation":"(Mekler et al., 2018)","previouslyFormattedCitation":"(Mekler et al., 2018)"},"properties":{"noteIndex":0},"schema":"https://github.com/citation-style-language/schema/raw/master/csl-citation.json"}</w:instrText>
      </w:r>
      <w:r w:rsidRPr="00B4301D">
        <w:rPr>
          <w:rFonts w:ascii="Calibri" w:hAnsi="Calibri" w:cs="Calibri"/>
          <w:lang w:val="en"/>
        </w:rPr>
        <w:fldChar w:fldCharType="separate"/>
      </w:r>
      <w:r w:rsidRPr="00B4301D">
        <w:rPr>
          <w:rFonts w:ascii="Calibri" w:hAnsi="Calibri" w:cs="Calibri"/>
          <w:noProof/>
          <w:lang w:val="en"/>
        </w:rPr>
        <w:t>(Mekler et al., 2018)</w:t>
      </w:r>
      <w:r w:rsidRPr="00B4301D">
        <w:rPr>
          <w:rFonts w:ascii="Calibri" w:hAnsi="Calibri" w:cs="Calibri"/>
          <w:lang w:val="en"/>
        </w:rPr>
        <w:fldChar w:fldCharType="end"/>
      </w:r>
      <w:r w:rsidRPr="00B4301D">
        <w:rPr>
          <w:rFonts w:ascii="Calibri" w:hAnsi="Calibri" w:cs="Calibri"/>
          <w:lang w:val="en"/>
        </w:rPr>
        <w:t>. The negative feelings of sadness, shock and betrayal elicited by games with strong emotionally challenging narratives was a finding similar to Bopp et al.’s (2018) study which found that games which presented players with difficult decisions often elicited feeling of negative valence. However, through confronting such challenges players are able to analyze and reflect on why they experience such emotions and derive personally meaningful insights as a result.</w:t>
      </w:r>
    </w:p>
    <w:p w14:paraId="7C1CB0F4" w14:textId="6DA21743" w:rsidR="00315E1A" w:rsidRPr="00B4301D" w:rsidRDefault="00315E1A" w:rsidP="00315E1A">
      <w:pPr>
        <w:spacing w:line="360" w:lineRule="auto"/>
        <w:ind w:firstLine="720"/>
        <w:rPr>
          <w:rFonts w:ascii="Calibri" w:hAnsi="Calibri" w:cs="Calibri"/>
          <w:lang w:val="en"/>
        </w:rPr>
      </w:pPr>
      <w:r w:rsidRPr="00B4301D">
        <w:rPr>
          <w:rFonts w:ascii="Calibri" w:hAnsi="Calibri" w:cs="Calibri"/>
          <w:lang w:val="en"/>
        </w:rPr>
        <w:t xml:space="preserve">Instances of affective change also occurred in relation to gameplay itself, most notably in terms of dying or failing. Several participants spoke of challenging games in which they had come to view failure as an opportunity to refine and improve their strategies. </w:t>
      </w:r>
      <w:r w:rsidRPr="00B4301D">
        <w:rPr>
          <w:rFonts w:cstheme="minorHAnsi"/>
        </w:rPr>
        <w:t xml:space="preserve">The ability to view failure as an opportunity has been described as an important aspect of creativity </w:t>
      </w:r>
      <w:r w:rsidRPr="00B4301D">
        <w:rPr>
          <w:rFonts w:cstheme="minorHAnsi"/>
        </w:rPr>
        <w:fldChar w:fldCharType="begin" w:fldLock="1"/>
      </w:r>
      <w:r w:rsidRPr="00B4301D">
        <w:rPr>
          <w:rFonts w:cstheme="minorHAnsi"/>
        </w:rPr>
        <w:instrText>ADDIN CSL_CITATION {"citationItems":[{"id":"ITEM-1","itemData":{"author":[{"dropping-particle":"","family":"Binkley","given":"M.","non-dropping-particle":"","parse-names":false,"suffix":""},{"dropping-particle":"","family":"Erstad","given":"O.","non-dropping-particle":"","parse-names":false,"suffix":""},{"dropping-particle":"","family":"Herman","given":"J.","non-dropping-particle":"","parse-names":false,"suffix":""},{"dropping-particle":"","family":"Raizen","given":"S.","non-dropping-particle":"","parse-names":false,"suffix":""},{"dropping-particle":"","family":"Ripley","given":"M.","non-dropping-particle":"","parse-names":false,"suffix":""},{"dropping-particle":"","family":"Runmble","given":"M.","non-dropping-particle":"","parse-names":false,"suffix":""}],"id":"ITEM-1","issued":{"date-parts":[["2014"]]},"title":"Partnership for 21st Century Skills","type":"article-journal"},"uris":["http://www.mendeley.com/documents/?uuid=1cbb4987-cf3a-4394-90d6-bcdb3a3053d5"]}],"mendeley":{"formattedCitation":"(Binkley et al., 2014)","plainTextFormattedCitation":"(Binkley et al., 2014)","previouslyFormattedCitation":"(Binkley et al., 2014)"},"properties":{"noteIndex":0},"schema":"https://github.com/citation-style-language/schema/raw/master/csl-citation.json"}</w:instrText>
      </w:r>
      <w:r w:rsidRPr="00B4301D">
        <w:rPr>
          <w:rFonts w:cstheme="minorHAnsi"/>
        </w:rPr>
        <w:fldChar w:fldCharType="separate"/>
      </w:r>
      <w:r w:rsidRPr="00B4301D">
        <w:rPr>
          <w:rFonts w:cstheme="minorHAnsi"/>
          <w:noProof/>
        </w:rPr>
        <w:t>(Binkley et al., 2014)</w:t>
      </w:r>
      <w:r w:rsidRPr="00B4301D">
        <w:rPr>
          <w:rFonts w:cstheme="minorHAnsi"/>
        </w:rPr>
        <w:fldChar w:fldCharType="end"/>
      </w:r>
      <w:r w:rsidRPr="00B4301D">
        <w:rPr>
          <w:rFonts w:cstheme="minorHAnsi"/>
        </w:rPr>
        <w:t xml:space="preserve">. In this way failure can promote self-inquiry, personal growth and allows such instances to be converted into learning experiences </w:t>
      </w:r>
      <w:r w:rsidRPr="00B4301D">
        <w:rPr>
          <w:rFonts w:cstheme="minorHAnsi"/>
        </w:rPr>
        <w:fldChar w:fldCharType="begin" w:fldLock="1"/>
      </w:r>
      <w:r w:rsidRPr="00B4301D">
        <w:rPr>
          <w:rFonts w:cstheme="minorHAnsi"/>
        </w:rPr>
        <w:instrText>ADDIN CSL_CITATION {"citationItems":[{"id":"ITEM-1","itemData":{"ISBN":"9789264096653","abstract":"Preparing students for work, citizenship, and life in the 21st century is complicated. Globalization, technology, migration, international competition, changing markets, and transnational environmental and political challenges add a new urgency to develop the skills and knowledge students need for success in the 21st century context. Educators, education ministries and governments, foundations, employers, and researchers refer to these abilities with terms that include “21st century skills,” “higher-order thinking skills,” “deeper learning outcomes,” and “complex thinking and communication skills.” Interest in these skills is not new. For example, for more than 40 years, researchers at Harvard University’s Project Zero have been studying how students learn and how to teach these skills. In this paper, we focus on what research tells us about how students learn 21st century skills and how teachers can effectively teach them. Although all countries believe that the knowledge and skills that students need in the 21st century are different from what they have needed in the past, terminology differs between countries, as does the emphasized composition of knowledge, skills, and values. We use the term 21st century skills because we believe that it is currently the most widely recognized and used term internationally, though we could just as easily substitute any of the previously mentioned terms for 21st century skills. Critics denounce the term for being vague and overused,1 for endorsing the idea of teaching skills apart from knowledge, and for promoting skills that have been encouraged for centuries yet are now emphasized with a new sense of urgency that could lead to rapid and unsuccessful reforms.2 In the following sections, we briefly summarize current efforts to define 21st century skills and explain the economic, civic, and global rationales for why they are important. We attend to the criticisms leveled against 21st century skills by examining why these skills must be taught primarily through disciplinary content, taking care not to “trivialize subject matter”3 and then identifying specific ways to do so. The majority of the paper thus focuses on explaining how these skills should be taught, given what we know about how students learn. We then discuss the assessment of 21st century skills and conclude with an overview of the teacher capacity implications of institutionalizing “new” teaching and learning processes.","author":[{"dropping-particle":"","family":"Saavedra","given":"Anna Rosefsky","non-dropping-particle":"","parse-names":false,"suffix":""},{"dropping-particle":"","family":"Opfer","given":"V. Darleen","non-dropping-particle":"","parse-names":false,"suffix":""}],"id":"ITEM-1","issued":{"date-parts":[["2012"]]},"page":"35","title":"Teaching and Learning 21st Century Skills: Lessons from the Learning Sciences","type":"article-journal"},"uris":["http://www.mendeley.com/documents/?uuid=b207bee4-f45b-43e5-8f53-791086b8c1c8"]}],"mendeley":{"formattedCitation":"(Saavedra &amp; Opfer, 2012)","plainTextFormattedCitation":"(Saavedra &amp; Opfer, 2012)","previouslyFormattedCitation":"(Saavedra &amp; Opfer, 2012)"},"properties":{"noteIndex":0},"schema":"https://github.com/citation-style-language/schema/raw/master/csl-citation.json"}</w:instrText>
      </w:r>
      <w:r w:rsidRPr="00B4301D">
        <w:rPr>
          <w:rFonts w:cstheme="minorHAnsi"/>
        </w:rPr>
        <w:fldChar w:fldCharType="separate"/>
      </w:r>
      <w:r w:rsidRPr="00B4301D">
        <w:rPr>
          <w:rFonts w:cstheme="minorHAnsi"/>
          <w:noProof/>
        </w:rPr>
        <w:t>(Saavedra &amp; Opfer, 2012)</w:t>
      </w:r>
      <w:r w:rsidRPr="00B4301D">
        <w:rPr>
          <w:rFonts w:cstheme="minorHAnsi"/>
        </w:rPr>
        <w:fldChar w:fldCharType="end"/>
      </w:r>
      <w:r w:rsidRPr="00B4301D">
        <w:rPr>
          <w:rFonts w:cstheme="minorHAnsi"/>
        </w:rPr>
        <w:t>.</w:t>
      </w:r>
      <w:r w:rsidRPr="00B4301D">
        <w:rPr>
          <w:rFonts w:ascii="Calibri" w:hAnsi="Calibri" w:cs="Calibri"/>
          <w:lang w:val="en"/>
        </w:rPr>
        <w:t xml:space="preserve"> </w:t>
      </w:r>
    </w:p>
    <w:p w14:paraId="7E634851" w14:textId="41DA49AE" w:rsidR="00B21430" w:rsidRPr="00B4301D" w:rsidRDefault="00B21430" w:rsidP="00B21430">
      <w:pPr>
        <w:spacing w:line="360" w:lineRule="auto"/>
        <w:rPr>
          <w:rFonts w:ascii="Calibri" w:hAnsi="Calibri" w:cs="Calibri"/>
          <w:lang w:val="en"/>
        </w:rPr>
      </w:pPr>
    </w:p>
    <w:p w14:paraId="6E497498" w14:textId="7BE6033C" w:rsidR="00B21430" w:rsidRPr="00B4301D" w:rsidRDefault="00B21430" w:rsidP="00B21430">
      <w:pPr>
        <w:pStyle w:val="Heading2"/>
        <w:spacing w:line="360" w:lineRule="auto"/>
        <w:rPr>
          <w:color w:val="auto"/>
          <w:lang w:val="en"/>
        </w:rPr>
      </w:pPr>
      <w:r w:rsidRPr="00B4301D">
        <w:rPr>
          <w:color w:val="auto"/>
          <w:lang w:val="en"/>
        </w:rPr>
        <w:t>4.2 Design Considerations for Creativity</w:t>
      </w:r>
    </w:p>
    <w:p w14:paraId="2F9FDF89" w14:textId="28E73D93" w:rsidR="00644331" w:rsidRPr="00B4301D" w:rsidRDefault="00B21430" w:rsidP="00B21430">
      <w:pPr>
        <w:spacing w:line="360" w:lineRule="auto"/>
      </w:pPr>
      <w:r w:rsidRPr="00B4301D">
        <w:rPr>
          <w:rFonts w:ascii="Calibri" w:hAnsi="Calibri" w:cs="Calibri"/>
          <w:i/>
          <w:lang w:val="en"/>
        </w:rPr>
        <w:t>D</w:t>
      </w:r>
      <w:r w:rsidR="00315E1A" w:rsidRPr="00B4301D">
        <w:rPr>
          <w:rFonts w:ascii="Calibri" w:hAnsi="Calibri" w:cs="Calibri"/>
          <w:i/>
          <w:lang w:val="en"/>
        </w:rPr>
        <w:t xml:space="preserve">esign considerations </w:t>
      </w:r>
      <w:r w:rsidR="00315E1A" w:rsidRPr="00B4301D">
        <w:rPr>
          <w:rFonts w:ascii="Calibri" w:hAnsi="Calibri" w:cs="Calibri"/>
          <w:lang w:val="en"/>
        </w:rPr>
        <w:t xml:space="preserve">was an inductive theme which centered on the specific design elements which facilitated the </w:t>
      </w:r>
      <w:r w:rsidR="00822E48" w:rsidRPr="006A4F78">
        <w:rPr>
          <w:rFonts w:ascii="Calibri" w:hAnsi="Calibri" w:cs="Calibri"/>
          <w:color w:val="000000" w:themeColor="text1"/>
          <w:lang w:val="en"/>
        </w:rPr>
        <w:t>different forms</w:t>
      </w:r>
      <w:r w:rsidR="00315E1A" w:rsidRPr="006A4F78">
        <w:rPr>
          <w:rFonts w:ascii="Calibri" w:hAnsi="Calibri" w:cs="Calibri"/>
          <w:color w:val="000000" w:themeColor="text1"/>
          <w:lang w:val="en"/>
        </w:rPr>
        <w:t xml:space="preserve"> of creativity. The most common sub-theme was </w:t>
      </w:r>
      <w:r w:rsidR="00315E1A" w:rsidRPr="006A4F78">
        <w:rPr>
          <w:rFonts w:ascii="Calibri" w:hAnsi="Calibri" w:cs="Calibri"/>
          <w:i/>
          <w:color w:val="000000" w:themeColor="text1"/>
          <w:lang w:val="en"/>
        </w:rPr>
        <w:t xml:space="preserve">freedom of play </w:t>
      </w:r>
      <w:r w:rsidR="00315E1A" w:rsidRPr="006A4F78">
        <w:rPr>
          <w:rFonts w:ascii="Calibri" w:hAnsi="Calibri" w:cs="Calibri"/>
          <w:color w:val="000000" w:themeColor="text1"/>
          <w:lang w:val="en"/>
        </w:rPr>
        <w:t xml:space="preserve">which related to a game’s propensity to accommodate different player motivations and playstyles. Allowing the player freedom in terms of how to play, what routes to take and what other activities to include in the gaming experience ties in with </w:t>
      </w:r>
      <w:r w:rsidR="00315E1A" w:rsidRPr="006A4F78">
        <w:rPr>
          <w:color w:val="000000" w:themeColor="text1"/>
        </w:rPr>
        <w:t>Craft</w:t>
      </w:r>
      <w:r w:rsidR="00574E1F" w:rsidRPr="006A4F78">
        <w:rPr>
          <w:color w:val="000000" w:themeColor="text1"/>
        </w:rPr>
        <w:t xml:space="preserve"> et al.’s </w:t>
      </w:r>
      <w:r w:rsidR="00574E1F" w:rsidRPr="006A4F78">
        <w:rPr>
          <w:color w:val="000000" w:themeColor="text1"/>
        </w:rPr>
        <w:fldChar w:fldCharType="begin" w:fldLock="1"/>
      </w:r>
      <w:r w:rsidR="00171F32" w:rsidRPr="006A4F78">
        <w:rPr>
          <w:color w:val="000000" w:themeColor="text1"/>
        </w:rPr>
        <w:instrText>ADDIN CSL_CITATION {"citationItems":[{"id":"ITEM-1","itemData":{"author":[{"dropping-particle":"","family":"Craft","given":"A.","non-dropping-particle":"","parse-names":false,"suffix":""},{"dropping-particle":"","family":"Drugal","given":"J.","non-dropping-particle":"","parse-names":false,"suffix":""},{"dropping-particle":"","family":"Dyer","given":"G.","non-dropping-particle":"","parse-names":false,"suffix":""},{"dropping-particle":"","family":"Jeffrey","given":"B.","non-dropping-particle":"","parse-names":false,"suffix":""},{"dropping-particle":"","family":"Lyons","given":"T.","non-dropping-particle":"","parse-names":false,"suffix":""}],"id":"ITEM-1","issued":{"date-parts":[["1997"]]},"publisher":"Education Now","title":"Can you Teach Creativity?","type":"book"},"suppress-author":1,"uris":["http://www.mendeley.com/documents/?uuid=efe49b4a-9463-4e58-bac5-ebac825ea59d"]}],"mendeley":{"formattedCitation":"(1997)","plainTextFormattedCitation":"(1997)","previouslyFormattedCitation":"(1997)"},"properties":{"noteIndex":0},"schema":"https://github.com/citation-style-language/schema/raw/master/csl-citation.json"}</w:instrText>
      </w:r>
      <w:r w:rsidR="00574E1F" w:rsidRPr="006A4F78">
        <w:rPr>
          <w:color w:val="000000" w:themeColor="text1"/>
        </w:rPr>
        <w:fldChar w:fldCharType="separate"/>
      </w:r>
      <w:r w:rsidR="00574E1F" w:rsidRPr="006A4F78">
        <w:rPr>
          <w:noProof/>
          <w:color w:val="000000" w:themeColor="text1"/>
        </w:rPr>
        <w:t>(1997)</w:t>
      </w:r>
      <w:r w:rsidR="00574E1F" w:rsidRPr="006A4F78">
        <w:rPr>
          <w:color w:val="000000" w:themeColor="text1"/>
        </w:rPr>
        <w:fldChar w:fldCharType="end"/>
      </w:r>
      <w:r w:rsidR="00315E1A" w:rsidRPr="006A4F78">
        <w:rPr>
          <w:color w:val="000000" w:themeColor="text1"/>
        </w:rPr>
        <w:t xml:space="preserve"> argument that a core element of creativity is “possibility thinking”, involving experimentation through play and asking “what if” questions </w:t>
      </w:r>
      <w:r w:rsidR="00315E1A" w:rsidRPr="006A4F78">
        <w:rPr>
          <w:color w:val="000000" w:themeColor="text1"/>
        </w:rPr>
        <w:fldChar w:fldCharType="begin" w:fldLock="1"/>
      </w:r>
      <w:r w:rsidR="00171F32" w:rsidRPr="006A4F78">
        <w:rPr>
          <w:color w:val="000000" w:themeColor="text1"/>
        </w:rPr>
        <w:instrText>ADDIN CSL_CITATION {"citationItems":[{"id":"ITEM-1","itemData":{"author":[{"dropping-particle":"","family":"Craft","given":"A.","non-dropping-particle":"","parse-names":false,"suffix":""},{"dropping-particle":"","family":"Drugal","given":"J.","non-dropping-particle":"","parse-names":false,"suffix":""},{"dropping-particle":"","family":"Dyer","given":"G.","non-dropping-particle":"","parse-names":false,"suffix":""},{"dropping-particle":"","family":"Jeffrey","given":"B.","non-dropping-particle":"","parse-names":false,"suffix":""},{"dropping-particle":"","family":"Lyons","given":"T.","non-dropping-particle":"","parse-names":false,"suffix":""}],"id":"ITEM-1","issued":{"date-parts":[["1997"]]},"publisher":"Education Now","title":"Can you Teach Creativity?","type":"book"},"uris":["http://www.mendeley.com/documents/?uuid=efe49b4a-9463-4e58-bac5-ebac825ea59d"]}],"mendeley":{"formattedCitation":"(Craft et al., 1997)","manualFormatting":"(Craft et al., 1997)","plainTextFormattedCitation":"(Craft et al., 1997)","previouslyFormattedCitation":"(Craft et al., 1997)"},"properties":{"noteIndex":0},"schema":"https://github.com/citation-style-language/schema/raw/master/csl-citation.json"}</w:instrText>
      </w:r>
      <w:r w:rsidR="00315E1A" w:rsidRPr="006A4F78">
        <w:rPr>
          <w:color w:val="000000" w:themeColor="text1"/>
        </w:rPr>
        <w:fldChar w:fldCharType="separate"/>
      </w:r>
      <w:r w:rsidR="00315E1A" w:rsidRPr="006A4F78">
        <w:rPr>
          <w:noProof/>
          <w:color w:val="000000" w:themeColor="text1"/>
        </w:rPr>
        <w:t>(Craft et al., 1997)</w:t>
      </w:r>
      <w:r w:rsidR="00315E1A" w:rsidRPr="006A4F78">
        <w:rPr>
          <w:color w:val="000000" w:themeColor="text1"/>
        </w:rPr>
        <w:fldChar w:fldCharType="end"/>
      </w:r>
      <w:r w:rsidR="00315E1A" w:rsidRPr="006A4F78">
        <w:rPr>
          <w:color w:val="000000" w:themeColor="text1"/>
        </w:rPr>
        <w:t>. In this way, there is no convergent “A-Z</w:t>
      </w:r>
      <w:r w:rsidR="00315E1A" w:rsidRPr="00B4301D">
        <w:t xml:space="preserve">” solution; instead there are numerous game variables which can be combined in multiple different ways, promoting creative cognition skills such as divergent thinking </w:t>
      </w:r>
      <w:r w:rsidR="00315E1A" w:rsidRPr="00B4301D">
        <w:fldChar w:fldCharType="begin" w:fldLock="1"/>
      </w:r>
      <w:r w:rsidR="007904D4" w:rsidRPr="00B4301D">
        <w:instrText>ADDIN CSL_CITATION {"citationItems":[{"id":"ITEM-1","itemData":{"author":[{"dropping-particle":"","family":"Finke","given":"R.A.","non-dropping-particle":"","parse-names":false,"suffix":""},{"dropping-particle":"","family":"Ward","given":"T.B.","non-dropping-particle":"","parse-names":false,"suffix":""},{"dropping-particle":"","family":"Smith","given":"S.M.","non-dropping-particle":"","parse-names":false,"suffix":""}],"container-title":"Handbook of Creativity","editor":[{"dropping-particle":"","family":"Sternberg","given":"R. J.","non-dropping-particle":"","parse-names":false,"suffix":""}],"id":"ITEM-1","issued":{"date-parts":[["1999"]]},"page":"189-212","publisher":"Cambridge University Press","title":"Creative Cognition","type":"chapter"},"uris":["http://www.mendeley.com/documents/?uuid=df0a1664-1a24-42b6-b9ef-91784bd6a49f"]}],"mendeley":{"formattedCitation":"(Finke et al., 1999)","plainTextFormattedCitation":"(Finke et al., 1999)","previouslyFormattedCitation":"(Finke et al., 1999)"},"properties":{"noteIndex":0},"schema":"https://github.com/citation-style-language/schema/raw/master/csl-citation.json"}</w:instrText>
      </w:r>
      <w:r w:rsidR="00315E1A" w:rsidRPr="00B4301D">
        <w:fldChar w:fldCharType="separate"/>
      </w:r>
      <w:r w:rsidR="00BD4DD6" w:rsidRPr="00B4301D">
        <w:rPr>
          <w:noProof/>
        </w:rPr>
        <w:t>(Finke et al., 1999)</w:t>
      </w:r>
      <w:r w:rsidR="00315E1A" w:rsidRPr="00B4301D">
        <w:fldChar w:fldCharType="end"/>
      </w:r>
      <w:r w:rsidR="00315E1A" w:rsidRPr="00B4301D">
        <w:t xml:space="preserve">. </w:t>
      </w:r>
      <w:r w:rsidR="00644331" w:rsidRPr="00B4301D">
        <w:t xml:space="preserve">In terms of the current study, the majority of participants cited enjoying games where they could experiment and try different things to see what the outcomes would be.  </w:t>
      </w:r>
    </w:p>
    <w:p w14:paraId="73BD8004" w14:textId="4E9E7DD5" w:rsidR="00315E1A" w:rsidRPr="00B4301D" w:rsidRDefault="00644331" w:rsidP="00315E1A">
      <w:pPr>
        <w:spacing w:line="360" w:lineRule="auto"/>
        <w:ind w:firstLine="720"/>
      </w:pPr>
      <w:r w:rsidRPr="00B4301D">
        <w:lastRenderedPageBreak/>
        <w:t xml:space="preserve">While linearly structured games offer </w:t>
      </w:r>
      <w:r w:rsidRPr="00B4301D">
        <w:rPr>
          <w:i/>
        </w:rPr>
        <w:t xml:space="preserve">freedom of play </w:t>
      </w:r>
      <w:r w:rsidRPr="00B4301D">
        <w:t>to a certain extent, the predominant type of game referenced was game</w:t>
      </w:r>
      <w:r w:rsidR="00BD4DD6" w:rsidRPr="00B4301D">
        <w:t>s</w:t>
      </w:r>
      <w:r w:rsidRPr="00B4301D">
        <w:t xml:space="preserve"> designed with an open-world structure. For these types of games, players are allowed almost complete freedom on a variety of levels, with choices for play constantly evolving. Participants cited games which afforded the most possibilities to be the most engaging, something which could be illustrated by Salisbury and Tomlinson’s (2016) tenth condition for Flow which states that “an activity must present an opportunity for meaningful growth of the self which is valued by the individual” </w:t>
      </w:r>
      <w:r w:rsidRPr="00B4301D">
        <w:fldChar w:fldCharType="begin" w:fldLock="1"/>
      </w:r>
      <w:r w:rsidRPr="00B4301D">
        <w:instrText>ADDIN CSL_CITATION {"citationItems":[{"id":"ITEM-1","itemData":{"abstract":"The aim of this paper is to put forward an additional condition to the characteristics of ‘Flow’ (Csikszentmihalyi, 1975) that addresses the idea that the “meaningful experiences” Csikszentmihalyi is talking about rely on constructions of value drawn from our personal cultural context and not from some absolute set of invariant cultural values. Although this may be seen as broadly applicable to all discussions of ‘Flow’ type experiences the focus here is on Mihaly Csikszentmihalyi’s discussion of his concept of optimal engagement known as ‘Flow’ (Csikszentmihalyi, 1975, 1979, 1990, 1996, and Kubey, R., &amp; Csikszentmihalyi, M. 2002) as it relates to existing and future uses of ‘Flow’ in design and analysis of digital games.","author":[{"dropping-particle":"","family":"Salisbury","given":"J. H.","non-dropping-particle":"","parse-names":false,"suffix":""},{"dropping-particle":"","family":"Tomlinson","given":"P.","non-dropping-particle":"","parse-names":false,"suffix":""}],"container-title":"Transactions of the Digital Game Research Association","id":"ITEM-1","issue":"2","issued":{"date-parts":[["2016"]]},"page":"55-77","title":"Reconciling Csikszentmihalyi ’ s Broader Flow Theory","type":"article-journal","volume":"2"},"uris":["http://www.mendeley.com/documents/?uuid=772d7c47-74b3-4603-b028-031d6fe0cd36"]}],"mendeley":{"formattedCitation":"(Salisbury &amp; Tomlinson, 2016)","manualFormatting":"(Salisbury &amp; Tomlinson, 2016, p.72)","plainTextFormattedCitation":"(Salisbury &amp; Tomlinson, 2016)","previouslyFormattedCitation":"(Salisbury &amp; Tomlinson, 2016)"},"properties":{"noteIndex":0},"schema":"https://github.com/citation-style-language/schema/raw/master/csl-citation.json"}</w:instrText>
      </w:r>
      <w:r w:rsidRPr="00B4301D">
        <w:fldChar w:fldCharType="separate"/>
      </w:r>
      <w:r w:rsidRPr="00B4301D">
        <w:rPr>
          <w:noProof/>
        </w:rPr>
        <w:t>(Salisbury &amp; Tomlinson, 2016, p.72)</w:t>
      </w:r>
      <w:r w:rsidRPr="00B4301D">
        <w:fldChar w:fldCharType="end"/>
      </w:r>
      <w:r w:rsidRPr="00B4301D">
        <w:t xml:space="preserve">. Referencing Alan Cooper’s </w:t>
      </w:r>
      <w:r w:rsidRPr="00B4301D">
        <w:fldChar w:fldCharType="begin" w:fldLock="1"/>
      </w:r>
      <w:r w:rsidRPr="00B4301D">
        <w:instrText>ADDIN CSL_CITATION {"citationItems":[{"id":"ITEM-1","itemData":{"ISBN":"0672326140","author":[{"dropping-particle":"","family":"Cooper","given":"Alan","non-dropping-particle":"","parse-names":false,"suffix":""}],"edition":"Second (20","id":"ITEM-1","issued":{"date-parts":[["1999"]]},"number-of-pages":"288","publisher":"Sams","publisher-place":"Indianapolis","title":"The inmates are running the asulum. Why high-tech products drive us crazy and how to restore the sanity","type":"book"},"uris":["http://www.mendeley.com/documents/?uuid=caf7089f-9817-479d-a910-80a6d2906ad1"]}],"mendeley":{"formattedCitation":"(Cooper, 1999)","manualFormatting":"(1999)","plainTextFormattedCitation":"(Cooper, 1999)","previouslyFormattedCitation":"(Cooper, 1999)"},"properties":{"noteIndex":0},"schema":"https://github.com/citation-style-language/schema/raw/master/csl-citation.json"}</w:instrText>
      </w:r>
      <w:r w:rsidRPr="00B4301D">
        <w:fldChar w:fldCharType="separate"/>
      </w:r>
      <w:r w:rsidRPr="00B4301D">
        <w:rPr>
          <w:noProof/>
        </w:rPr>
        <w:t>(1999)</w:t>
      </w:r>
      <w:r w:rsidRPr="00B4301D">
        <w:fldChar w:fldCharType="end"/>
      </w:r>
      <w:r w:rsidRPr="00B4301D">
        <w:t xml:space="preserve"> concept of the idealised persona, they argue that games which are designed to cater for different personas (e.g. playstyles) such as open-world games are able to meet this requirement most easily</w:t>
      </w:r>
      <w:r w:rsidR="00F81E7E" w:rsidRPr="00B4301D">
        <w:t xml:space="preserve">. </w:t>
      </w:r>
    </w:p>
    <w:p w14:paraId="5AB885D8" w14:textId="0F672E2A" w:rsidR="00982706" w:rsidRPr="00B4301D" w:rsidRDefault="00BD4DD6" w:rsidP="00982706">
      <w:pPr>
        <w:spacing w:line="360" w:lineRule="auto"/>
        <w:ind w:firstLine="720"/>
        <w:rPr>
          <w:rFonts w:cstheme="minorHAnsi"/>
        </w:rPr>
      </w:pPr>
      <w:r w:rsidRPr="00B4301D">
        <w:rPr>
          <w:rFonts w:cstheme="minorHAnsi"/>
        </w:rPr>
        <w:t xml:space="preserve">While game structure impacted upon player creativity, the game </w:t>
      </w:r>
      <w:r w:rsidRPr="00B4301D">
        <w:rPr>
          <w:rFonts w:cstheme="minorHAnsi"/>
          <w:i/>
        </w:rPr>
        <w:t>narrative</w:t>
      </w:r>
      <w:r w:rsidRPr="00B4301D">
        <w:rPr>
          <w:rFonts w:cstheme="minorHAnsi"/>
        </w:rPr>
        <w:t xml:space="preserve"> also proved to be an area which contributed to creativity</w:t>
      </w:r>
      <w:r w:rsidR="005100B4" w:rsidRPr="00B4301D">
        <w:rPr>
          <w:rFonts w:cstheme="minorHAnsi"/>
        </w:rPr>
        <w:t>;</w:t>
      </w:r>
      <w:r w:rsidR="00CF1BD2" w:rsidRPr="00B4301D">
        <w:rPr>
          <w:rFonts w:cstheme="minorHAnsi"/>
        </w:rPr>
        <w:t xml:space="preserve"> most notably in the form of affective change</w:t>
      </w:r>
      <w:r w:rsidRPr="00B4301D">
        <w:rPr>
          <w:rFonts w:cstheme="minorHAnsi"/>
        </w:rPr>
        <w:t>. G</w:t>
      </w:r>
      <w:r w:rsidR="00315E1A" w:rsidRPr="00B4301D">
        <w:rPr>
          <w:rFonts w:cstheme="minorHAnsi"/>
        </w:rPr>
        <w:t>ames where players are provided with a malleable game narrative</w:t>
      </w:r>
      <w:r w:rsidRPr="00B4301D">
        <w:rPr>
          <w:rFonts w:cstheme="minorHAnsi"/>
        </w:rPr>
        <w:t xml:space="preserve"> such as </w:t>
      </w:r>
      <w:r w:rsidRPr="00B4301D">
        <w:rPr>
          <w:rFonts w:cstheme="minorHAnsi"/>
          <w:i/>
        </w:rPr>
        <w:t>The Witcher 2</w:t>
      </w:r>
      <w:r w:rsidR="00CF1BD2" w:rsidRPr="00B4301D">
        <w:rPr>
          <w:rFonts w:cstheme="minorHAnsi"/>
          <w:i/>
        </w:rPr>
        <w:t>: Assassin of Kings</w:t>
      </w:r>
      <w:r w:rsidRPr="00B4301D">
        <w:rPr>
          <w:rFonts w:cstheme="minorHAnsi"/>
          <w:i/>
        </w:rPr>
        <w:t xml:space="preserve"> </w:t>
      </w:r>
      <w:r w:rsidRPr="00B4301D">
        <w:rPr>
          <w:rFonts w:cstheme="minorHAnsi"/>
          <w:i/>
        </w:rPr>
        <w:fldChar w:fldCharType="begin" w:fldLock="1"/>
      </w:r>
      <w:r w:rsidR="007904D4" w:rsidRPr="00B4301D">
        <w:rPr>
          <w:rFonts w:cstheme="minorHAnsi"/>
          <w:i/>
        </w:rPr>
        <w:instrText>ADDIN CSL_CITATION {"citationItems":[{"id":"ITEM-1","itemData":{"author":[{"dropping-particle":"","family":"CD Projekt Red","given":"","non-dropping-particle":"","parse-names":false,"suffix":""}],"id":"ITEM-1","issued":{"date-parts":[["2011"]]},"publisher":"CD Projekt Red","title":"The Witcher 2: Assassins of Kings","type":"book"},"uris":["http://www.mendeley.com/documents/?uuid=18dd6621-7626-4615-8e65-9579c0fbe1a5"]}],"mendeley":{"formattedCitation":"(CD Projekt Red, 2011)","plainTextFormattedCitation":"(CD Projekt Red, 2011)","previouslyFormattedCitation":"(CD Projekt Red, 2011)"},"properties":{"noteIndex":0},"schema":"https://github.com/citation-style-language/schema/raw/master/csl-citation.json"}</w:instrText>
      </w:r>
      <w:r w:rsidRPr="00B4301D">
        <w:rPr>
          <w:rFonts w:cstheme="minorHAnsi"/>
          <w:i/>
        </w:rPr>
        <w:fldChar w:fldCharType="separate"/>
      </w:r>
      <w:r w:rsidRPr="00B4301D">
        <w:rPr>
          <w:rFonts w:cstheme="minorHAnsi"/>
          <w:noProof/>
        </w:rPr>
        <w:t>(CD Projekt Red, 2011)</w:t>
      </w:r>
      <w:r w:rsidRPr="00B4301D">
        <w:rPr>
          <w:rFonts w:cstheme="minorHAnsi"/>
          <w:i/>
        </w:rPr>
        <w:fldChar w:fldCharType="end"/>
      </w:r>
      <w:r w:rsidR="00315E1A" w:rsidRPr="00B4301D">
        <w:rPr>
          <w:rFonts w:cstheme="minorHAnsi"/>
        </w:rPr>
        <w:t xml:space="preserve">, highlights the distinction between games and other more closed and complete creative mediums such as film and literature. As Collins </w:t>
      </w:r>
      <w:r w:rsidR="00315E1A" w:rsidRPr="00B4301D">
        <w:rPr>
          <w:rFonts w:cstheme="minorHAnsi"/>
        </w:rPr>
        <w:fldChar w:fldCharType="begin" w:fldLock="1"/>
      </w:r>
      <w:r w:rsidR="00315E1A" w:rsidRPr="00B4301D">
        <w:rPr>
          <w:rFonts w:cstheme="minorHAnsi"/>
        </w:rPr>
        <w:instrText>ADDIN CSL_CITATION {"citationItems":[{"id":"ITEM-1","itemData":{"DOI":"10.1017/S0261143014000178","ISBN":"9780262018678","ISSN":"0261-1430","author":[{"dropping-particle":"","family":"Collins","given":"K.","non-dropping-particle":"","parse-names":false,"suffix":""}],"id":"ITEM-1","issued":{"date-parts":[["2013"]]},"publisher":"MIT Press","publisher-place":"Cambridge, MA","title":"Playing With Sound: A Theory of Interacting with Sound and Music in Video Games","type":"book"},"uris":["http://www.mendeley.com/documents/?uuid=7fe9b370-af2f-4f6e-b11a-9400b3d69077"]}],"mendeley":{"formattedCitation":"(Collins, 2013)","manualFormatting":"(2013)","plainTextFormattedCitation":"(Collins, 2013)","previouslyFormattedCitation":"(Collins, 2013)"},"properties":{"noteIndex":0},"schema":"https://github.com/citation-style-language/schema/raw/master/csl-citation.json"}</w:instrText>
      </w:r>
      <w:r w:rsidR="00315E1A" w:rsidRPr="00B4301D">
        <w:rPr>
          <w:rFonts w:cstheme="minorHAnsi"/>
        </w:rPr>
        <w:fldChar w:fldCharType="separate"/>
      </w:r>
      <w:r w:rsidR="00315E1A" w:rsidRPr="00B4301D">
        <w:rPr>
          <w:rFonts w:cstheme="minorHAnsi"/>
          <w:noProof/>
        </w:rPr>
        <w:t>(2013)</w:t>
      </w:r>
      <w:r w:rsidR="00315E1A" w:rsidRPr="00B4301D">
        <w:rPr>
          <w:rFonts w:cstheme="minorHAnsi"/>
        </w:rPr>
        <w:fldChar w:fldCharType="end"/>
      </w:r>
      <w:r w:rsidR="00315E1A" w:rsidRPr="00B4301D">
        <w:rPr>
          <w:rFonts w:cstheme="minorHAnsi"/>
        </w:rPr>
        <w:t xml:space="preserve"> points out, games require an active role from the player in order to be fully experienced. Both the ability and creativity of the player is what enables each gameplay experience to be so diverse </w:t>
      </w:r>
      <w:r w:rsidR="00315E1A" w:rsidRPr="00B4301D">
        <w:rPr>
          <w:rFonts w:cstheme="minorHAnsi"/>
        </w:rPr>
        <w:fldChar w:fldCharType="begin" w:fldLock="1"/>
      </w:r>
      <w:r w:rsidR="00C341B5">
        <w:rPr>
          <w:rFonts w:cstheme="minorHAnsi"/>
        </w:rPr>
        <w:instrText>ADDIN CSL_CITATION {"citationItems":[{"id":"ITEM-1","itemData":{"DOI":"10.1016/B978-0-12-801462-2.00002-3","ISBN":"9780128014622","abstract":"The impact of video games on society has been debated for decades. In this chapter, we examine the potential impact of video games, both violent and nonviolent, on players' creativity. We examine video games as a play activity that can foster creativity. We examine how the unique environment of video games makes them particularly well suited for fostering creativity and how examining darker material can create a safe space for examining the darker side of life creatively.","author":[{"dropping-particle":"","family":"Bowman","given":"Nicholas D.","non-dropping-particle":"","parse-names":false,"suffix":""},{"dropping-particle":"","family":"Kowert","given":"Rachel","non-dropping-particle":"","parse-names":false,"suffix":""},{"dropping-particle":"","family":"Ferguson","given":"Christopher J.","non-dropping-particle":"","parse-names":false,"suffix":""}],"container-title":"Video Games and Creativity","id":"ITEM-1","issue":"March 2018","issued":{"date-parts":[["2015"]]},"page":"39-60","title":"The Impact of Video Game Play on Human (and Orc) Creativity","type":"article-journal"},"uris":["http://www.mendeley.com/documents/?uuid=a856f71b-6345-49c5-8141-436e6e4a4c70"]}],"mendeley":{"formattedCitation":"(Bowman et al., 2015)","plainTextFormattedCitation":"(Bowman et al., 2015)","previouslyFormattedCitation":"(Bowman et al., 2015)"},"properties":{"noteIndex":0},"schema":"https://github.com/citation-style-language/schema/raw/master/csl-citation.json"}</w:instrText>
      </w:r>
      <w:r w:rsidR="00315E1A" w:rsidRPr="00B4301D">
        <w:rPr>
          <w:rFonts w:cstheme="minorHAnsi"/>
        </w:rPr>
        <w:fldChar w:fldCharType="separate"/>
      </w:r>
      <w:r w:rsidR="00171F32" w:rsidRPr="00171F32">
        <w:rPr>
          <w:rFonts w:cstheme="minorHAnsi"/>
          <w:noProof/>
        </w:rPr>
        <w:t>(Bowman et al., 2015)</w:t>
      </w:r>
      <w:r w:rsidR="00315E1A" w:rsidRPr="00B4301D">
        <w:rPr>
          <w:rFonts w:cstheme="minorHAnsi"/>
        </w:rPr>
        <w:fldChar w:fldCharType="end"/>
      </w:r>
      <w:r w:rsidR="00315E1A" w:rsidRPr="00B4301D">
        <w:rPr>
          <w:rFonts w:cstheme="minorHAnsi"/>
        </w:rPr>
        <w:t xml:space="preserve">. Just as some have argued that theatre requires an active audience to be fully realised </w:t>
      </w:r>
      <w:r w:rsidR="00315E1A" w:rsidRPr="00B4301D">
        <w:rPr>
          <w:rFonts w:cstheme="minorHAnsi"/>
        </w:rPr>
        <w:fldChar w:fldCharType="begin" w:fldLock="1"/>
      </w:r>
      <w:r w:rsidR="00315E1A" w:rsidRPr="00B4301D">
        <w:rPr>
          <w:rFonts w:cstheme="minorHAnsi"/>
        </w:rPr>
        <w:instrText>ADDIN CSL_CITATION {"citationItems":[{"id":"ITEM-1","itemData":{"author":[{"dropping-particle":"","family":"Balcerzan","given":"E.","non-dropping-particle":"","parse-names":false,"suffix":""},{"dropping-particle":"","family":"Osinkski","given":"Z.","non-dropping-particle":"","parse-names":false,"suffix":""}],"container-title":"Zagadnienia Rodzaj Literackich, Tom VIII","id":"ITEM-1","issue":"15","issued":{"date-parts":[["1966"]]},"page":"65-88","title":"Die theatralische Schaustellung im Lichte der Informationstheorie","type":"article-journal","volume":"2"},"uris":["http://www.mendeley.com/documents/?uuid=44274f41-f78e-47b6-afcc-e6348a34cfc0"]}],"mendeley":{"formattedCitation":"(Balcerzan &amp; Osinkski, 1966)","manualFormatting":"(e.g. Balcerzan &amp; Osinkski, 1966)","plainTextFormattedCitation":"(Balcerzan &amp; Osinkski, 1966)","previouslyFormattedCitation":"(Balcerzan &amp; Osinkski, 1966)"},"properties":{"noteIndex":0},"schema":"https://github.com/citation-style-language/schema/raw/master/csl-citation.json"}</w:instrText>
      </w:r>
      <w:r w:rsidR="00315E1A" w:rsidRPr="00B4301D">
        <w:rPr>
          <w:rFonts w:cstheme="minorHAnsi"/>
        </w:rPr>
        <w:fldChar w:fldCharType="separate"/>
      </w:r>
      <w:r w:rsidR="00315E1A" w:rsidRPr="00B4301D">
        <w:rPr>
          <w:rFonts w:cstheme="minorHAnsi"/>
          <w:noProof/>
        </w:rPr>
        <w:t>(e.g. Balcerzan &amp; Osinkski, 1966)</w:t>
      </w:r>
      <w:r w:rsidR="00315E1A" w:rsidRPr="00B4301D">
        <w:rPr>
          <w:rFonts w:cstheme="minorHAnsi"/>
        </w:rPr>
        <w:fldChar w:fldCharType="end"/>
      </w:r>
      <w:r w:rsidR="00315E1A" w:rsidRPr="00B4301D">
        <w:rPr>
          <w:rFonts w:cstheme="minorHAnsi"/>
        </w:rPr>
        <w:t xml:space="preserve">, digital games can also be seen as a form of co-authorship between players and game designers as creative input from both parties is required in order for games to be fully finished products </w:t>
      </w:r>
      <w:r w:rsidR="00315E1A" w:rsidRPr="00B4301D">
        <w:rPr>
          <w:rFonts w:cstheme="minorHAnsi"/>
        </w:rPr>
        <w:fldChar w:fldCharType="begin" w:fldLock="1"/>
      </w:r>
      <w:r w:rsidR="00315E1A" w:rsidRPr="00B4301D">
        <w:rPr>
          <w:rFonts w:cstheme="minorHAnsi"/>
        </w:rPr>
        <w:instrText>ADDIN CSL_CITATION {"citationItems":[{"id":"ITEM-1","itemData":{"author":[{"dropping-particle":"","family":"Bowman","given":"Nicholas D.","non-dropping-particle":"","parse-names":false,"suffix":""},{"dropping-particle":"","family":"Banks","given":"J.","non-dropping-particle":"","parse-names":false,"suffix":""}],"container-title":"Philosophy for multisensory communication","editor":[{"dropping-particle":"","family":"Kenney","given":"K.","non-dropping-particle":"","parse-names":false,"suffix":""}],"id":"ITEM-1","issued":{"date-parts":[["2016"]]},"publisher":"Peter Lang","publisher-place":"New York","title":"Playing the zombie author: Machinima through the lens of Barthes","type":"chapter"},"uris":["http://www.mendeley.com/documents/?uuid=bbb9db28-2b96-42cb-8718-950f05b60d1e"]}],"mendeley":{"formattedCitation":"(Bowman &amp; Banks, 2016)","plainTextFormattedCitation":"(Bowman &amp; Banks, 2016)","previouslyFormattedCitation":"(Bowman &amp; Banks, 2016)"},"properties":{"noteIndex":0},"schema":"https://github.com/citation-style-language/schema/raw/master/csl-citation.json"}</w:instrText>
      </w:r>
      <w:r w:rsidR="00315E1A" w:rsidRPr="00B4301D">
        <w:rPr>
          <w:rFonts w:cstheme="minorHAnsi"/>
        </w:rPr>
        <w:fldChar w:fldCharType="separate"/>
      </w:r>
      <w:r w:rsidR="00315E1A" w:rsidRPr="00B4301D">
        <w:rPr>
          <w:rFonts w:cstheme="minorHAnsi"/>
          <w:noProof/>
        </w:rPr>
        <w:t>(Bowman &amp; Banks, 2016)</w:t>
      </w:r>
      <w:r w:rsidR="00315E1A" w:rsidRPr="00B4301D">
        <w:rPr>
          <w:rFonts w:cstheme="minorHAnsi"/>
        </w:rPr>
        <w:fldChar w:fldCharType="end"/>
      </w:r>
      <w:r w:rsidR="00315E1A" w:rsidRPr="00B4301D">
        <w:rPr>
          <w:rFonts w:cstheme="minorHAnsi"/>
        </w:rPr>
        <w:t>.</w:t>
      </w:r>
    </w:p>
    <w:p w14:paraId="18FEBB1D" w14:textId="6B6A52B6" w:rsidR="00F81E7E" w:rsidRPr="00B4301D" w:rsidRDefault="00A37BD2" w:rsidP="00982706">
      <w:pPr>
        <w:spacing w:line="360" w:lineRule="auto"/>
        <w:ind w:firstLine="720"/>
        <w:rPr>
          <w:rFonts w:cstheme="minorHAnsi"/>
        </w:rPr>
      </w:pPr>
      <w:r w:rsidRPr="00B4301D">
        <w:rPr>
          <w:rFonts w:cstheme="minorHAnsi"/>
        </w:rPr>
        <w:t>Furthermore,</w:t>
      </w:r>
      <w:r w:rsidR="00F81E7E" w:rsidRPr="00B4301D">
        <w:rPr>
          <w:rFonts w:cstheme="minorHAnsi"/>
        </w:rPr>
        <w:t xml:space="preserve"> the structure of the game (e.g. open versus linear) and the structure of the narrative (e.g. divergent versus linear) determined opportunities for </w:t>
      </w:r>
      <w:proofErr w:type="spellStart"/>
      <w:r w:rsidR="00F81E7E" w:rsidRPr="00B4301D">
        <w:rPr>
          <w:rFonts w:cstheme="minorHAnsi"/>
          <w:i/>
        </w:rPr>
        <w:t>replayability</w:t>
      </w:r>
      <w:proofErr w:type="spellEnd"/>
      <w:r w:rsidR="00F81E7E" w:rsidRPr="00B4301D">
        <w:rPr>
          <w:rFonts w:cstheme="minorHAnsi"/>
        </w:rPr>
        <w:t>. In the case of this study, the majority of references relating to multiple playthroughs related to games wh</w:t>
      </w:r>
      <w:r w:rsidR="00CF1BD2" w:rsidRPr="00B4301D">
        <w:rPr>
          <w:rFonts w:cstheme="minorHAnsi"/>
        </w:rPr>
        <w:t>ich encompasses different endings</w:t>
      </w:r>
      <w:r w:rsidR="00CF1BD2" w:rsidRPr="00B4301D">
        <w:t xml:space="preserve"> and divergent narratives. Such opportunities allowed players to not only explore the game differently each time in terms of new </w:t>
      </w:r>
      <w:r w:rsidRPr="00B4301D">
        <w:t xml:space="preserve">environmental </w:t>
      </w:r>
      <w:r w:rsidR="00CF1BD2" w:rsidRPr="00B4301D">
        <w:t xml:space="preserve">areas, but also, </w:t>
      </w:r>
      <w:r w:rsidRPr="00B4301D">
        <w:t>in terms of the multiple</w:t>
      </w:r>
      <w:r w:rsidR="00CF1BD2" w:rsidRPr="00B4301D">
        <w:t xml:space="preserve"> ways the narrative could unfold. </w:t>
      </w:r>
      <w:r w:rsidRPr="00B4301D">
        <w:t xml:space="preserve">Such narrative exploration can be realised through branching storylines allowing for different possible outcomes in the game. Young and Cardona-Rivera </w:t>
      </w:r>
      <w:r w:rsidRPr="00B4301D">
        <w:fldChar w:fldCharType="begin" w:fldLock="1"/>
      </w:r>
      <w:r w:rsidRPr="00B4301D">
        <w:instrText>ADDIN CSL_CITATION {"citationItems":[{"id":"ITEM-1","itemData":{"abstract":"A growing body of work in games research, both generative and analytic, seeks to characterize the relationship between a player's understanding of an interactive narrative and her options for action within it. This paper provides several definitions that collectively serve as a basis for a model of the user's comprehension of an unfolding story in a game. Central to this approach, we define the notion of narrative affordance. In essence, a game provides a narrative affordance for some course of action when a player can imagine that course of action as part of a story that completes their current story experience. To define narrative affordance, we draw links from cognitive models of narrative comprehension and a range of research on affordance, which we couple with planning approaches to story and discourse generation. In our approach, we view the creation of an interactive narrative that provides a high degree of agency as a discourse generation problem. We posit that an interactive narrative system must reason about the content and organization of its communication with a player in order to prompt a player's understanding about the game's story and her role in it. This paper ends by pointing toward a research direction intended to provide insight into a range of aspects of interactive narrative, including role, genre, choice and agency.","author":[{"dropping-particle":"","family":"Young","given":"R.M.","non-dropping-particle":"","parse-names":false,"suffix":""},{"dropping-particle":"","family":"Cardona-Rivera","given":"R.E.","non-dropping-particle":"","parse-names":false,"suffix":""}],"container-title":"Proceedings of the 4th Workshop on Intelligent Narrative Technologies","id":"ITEM-1","issued":{"date-parts":[["2011"]]},"page":"123-130","title":"Approaching a Player Model of Game Story Comprehension Through Affordance in Interactive Narrative","type":"paper-conference"},"suppress-author":1,"uris":["http://www.mendeley.com/documents/?uuid=eed5f824-27ee-38d4-b44b-f1d5826134c1"]}],"mendeley":{"formattedCitation":"(2011)","plainTextFormattedCitation":"(2011)","previouslyFormattedCitation":"(2011)"},"properties":{"noteIndex":0},"schema":"https://github.com/citation-style-language/schema/raw/master/csl-citation.json"}</w:instrText>
      </w:r>
      <w:r w:rsidRPr="00B4301D">
        <w:fldChar w:fldCharType="separate"/>
      </w:r>
      <w:r w:rsidRPr="00B4301D">
        <w:rPr>
          <w:noProof/>
        </w:rPr>
        <w:t>(2011)</w:t>
      </w:r>
      <w:r w:rsidRPr="00B4301D">
        <w:fldChar w:fldCharType="end"/>
      </w:r>
      <w:r w:rsidRPr="00B4301D">
        <w:t xml:space="preserve"> argue that narrative affordances comprise of narrative events which encourage players to envisage possible outcomes to the story. In relation to such divergent narratives, player creativity is encouraged by providing a selection of possible outcomes- each of which may correspond differently to the players’ current cognitive state. </w:t>
      </w:r>
    </w:p>
    <w:p w14:paraId="09D586FF" w14:textId="031071E8" w:rsidR="00982706" w:rsidRPr="00B4301D" w:rsidRDefault="00982706" w:rsidP="00315E1A">
      <w:pPr>
        <w:spacing w:line="360" w:lineRule="auto"/>
        <w:ind w:firstLine="720"/>
      </w:pPr>
      <w:r w:rsidRPr="00B4301D">
        <w:rPr>
          <w:rFonts w:cstheme="minorHAnsi"/>
        </w:rPr>
        <w:lastRenderedPageBreak/>
        <w:t xml:space="preserve">The game </w:t>
      </w:r>
      <w:r w:rsidRPr="00B4301D">
        <w:rPr>
          <w:rFonts w:cstheme="minorHAnsi"/>
          <w:i/>
        </w:rPr>
        <w:t>environment</w:t>
      </w:r>
      <w:r w:rsidRPr="00B4301D">
        <w:rPr>
          <w:rFonts w:cstheme="minorHAnsi"/>
        </w:rPr>
        <w:t xml:space="preserve"> was also cited to be an important design consideration, with opportunities to both explore and interact with the environment being conductive to player creativity. The propensity of games to offer opportunities for environmental exploration could be illustrated through the concept of ludic space. </w:t>
      </w:r>
      <w:r w:rsidRPr="00B4301D">
        <w:t xml:space="preserve">According to </w:t>
      </w:r>
      <w:proofErr w:type="spellStart"/>
      <w:r w:rsidRPr="00B4301D">
        <w:t>Aarseth</w:t>
      </w:r>
      <w:proofErr w:type="spellEnd"/>
      <w:r w:rsidRPr="00B4301D">
        <w:t xml:space="preserve"> </w:t>
      </w:r>
      <w:r w:rsidRPr="00B4301D">
        <w:fldChar w:fldCharType="begin" w:fldLock="1"/>
      </w:r>
      <w:r w:rsidRPr="00B4301D">
        <w:instrText>ADDIN CSL_CITATION {"citationItems":[{"id":"ITEM-1","itemData":{"DOI":"10.1145/2282338.2282365","ISBN":"9781450313339","abstract":"This paper presents a narrative theory of games, building on standard narratology, as a solution to the conundrum that has haunted computer game studies from the start: How to approach software that combines games and stories?","author":[{"dropping-particle":"","family":"Aarseth","given":"E.","non-dropping-particle":"","parse-names":false,"suffix":""}],"container-title":"FDG'12 May 29-June 1","id":"ITEM-1","issued":{"date-parts":[["2012"]]},"publisher-place":"Raleigh, NC, USA","title":"A Narrative Theory of Games","type":"paper-conference"},"suppress-author":1,"uris":["http://www.mendeley.com/documents/?uuid=cd8245e4-747e-374a-a0fb-20d8d8250d48"]}],"mendeley":{"formattedCitation":"(2012)","plainTextFormattedCitation":"(2012)","previouslyFormattedCitation":"(2012)"},"properties":{"noteIndex":0},"schema":"https://github.com/citation-style-language/schema/raw/master/csl-citation.json"}</w:instrText>
      </w:r>
      <w:r w:rsidRPr="00B4301D">
        <w:fldChar w:fldCharType="separate"/>
      </w:r>
      <w:r w:rsidRPr="00B4301D">
        <w:rPr>
          <w:noProof/>
        </w:rPr>
        <w:t>(2012)</w:t>
      </w:r>
      <w:r w:rsidRPr="00B4301D">
        <w:fldChar w:fldCharType="end"/>
      </w:r>
      <w:r w:rsidR="00E41CCE" w:rsidRPr="00B4301D">
        <w:t>,</w:t>
      </w:r>
      <w:r w:rsidRPr="00B4301D">
        <w:t xml:space="preserve"> games contain two types of space – the ludic space and the extra-ludic space. The ludic space relates to the area which is playable, while he latter refers to the surrounding space where the player cannot explore. Depending on the type of game, the two types of space vary e.g. in a linearly structured game the majority of space is extra-ludic, whereas in an openly structured game the opposite would be true. The majority of references relating to </w:t>
      </w:r>
      <w:r w:rsidR="001B2F07" w:rsidRPr="00B4301D">
        <w:t>exploration of</w:t>
      </w:r>
      <w:r w:rsidRPr="00B4301D">
        <w:t xml:space="preserve"> the environment concerned open-world games, suggesting that extending the ludic space available to players provides greater opportunities for creative action. </w:t>
      </w:r>
    </w:p>
    <w:p w14:paraId="65F47EC4" w14:textId="3DF8951E" w:rsidR="00982706" w:rsidRPr="00B4301D" w:rsidRDefault="00676AF2" w:rsidP="00982706">
      <w:pPr>
        <w:spacing w:line="360" w:lineRule="auto"/>
        <w:ind w:firstLine="720"/>
        <w:rPr>
          <w:rFonts w:cstheme="minorHAnsi"/>
        </w:rPr>
      </w:pPr>
      <w:r w:rsidRPr="00B4301D">
        <w:t>O</w:t>
      </w:r>
      <w:r w:rsidR="00982706" w:rsidRPr="00B4301D">
        <w:t xml:space="preserve">pportunities to interact with the environment, as well as a variety of </w:t>
      </w:r>
      <w:r w:rsidR="00982706" w:rsidRPr="00B4301D">
        <w:rPr>
          <w:i/>
        </w:rPr>
        <w:t>tools</w:t>
      </w:r>
      <w:r w:rsidR="00982706" w:rsidRPr="00B4301D">
        <w:t xml:space="preserve"> such as items, weapons and abilities provided greater scope for creativity as problem-solving and appropriation; something which may be illuminated by </w:t>
      </w:r>
      <w:proofErr w:type="spellStart"/>
      <w:r w:rsidR="00982706" w:rsidRPr="00B4301D">
        <w:t>Linderoth</w:t>
      </w:r>
      <w:r w:rsidR="008308CA">
        <w:t>’s</w:t>
      </w:r>
      <w:proofErr w:type="spellEnd"/>
      <w:r w:rsidR="008308CA">
        <w:t xml:space="preserve"> </w:t>
      </w:r>
      <w:r w:rsidR="008308CA">
        <w:fldChar w:fldCharType="begin" w:fldLock="1"/>
      </w:r>
      <w:r w:rsidR="008308CA">
        <w:instrText>ADDIN CSL_CITATION {"citationItems":[{"id":"ITEM-1","itemData":{"author":[{"dropping-particle":"","family":"Linderoth","given":"Jonas","non-dropping-particle":"","parse-names":false,"suffix":""}],"container-title":"Transactions of the Digital Games Research Association","id":"ITEM-1","issue":"1","issued":{"date-parts":[["2013"]]},"title":"Beyond the digital divide: An ecological approach to gameplay","type":"article-journal","volume":"1"},"suppress-author":1,"uris":["http://www.mendeley.com/documents/?uuid=b9202812-6df9-4094-b845-60b47a595f52"]}],"mendeley":{"formattedCitation":"(2013)","plainTextFormattedCitation":"(2013)","previouslyFormattedCitation":"(2013)"},"properties":{"noteIndex":0},"schema":"https://github.com/citation-style-language/schema/raw/master/csl-citation.json"}</w:instrText>
      </w:r>
      <w:r w:rsidR="008308CA">
        <w:fldChar w:fldCharType="separate"/>
      </w:r>
      <w:r w:rsidR="008308CA" w:rsidRPr="008308CA">
        <w:rPr>
          <w:noProof/>
        </w:rPr>
        <w:t>(2013)</w:t>
      </w:r>
      <w:r w:rsidR="008308CA">
        <w:fldChar w:fldCharType="end"/>
      </w:r>
      <w:r w:rsidR="00982706" w:rsidRPr="00B4301D">
        <w:rPr>
          <w:rFonts w:cstheme="minorHAnsi"/>
        </w:rPr>
        <w:t xml:space="preserve"> ecological approach to digital games whereby players are able to perceive affordances for interaction within their perceptual field. The perception of such affordances undergoes further refinement with the player making “more and more complex distinctions in her/his perceptual field” </w:t>
      </w:r>
      <w:r w:rsidR="00982706" w:rsidRPr="00B4301D">
        <w:rPr>
          <w:rFonts w:cstheme="minorHAnsi"/>
        </w:rPr>
        <w:fldChar w:fldCharType="begin" w:fldLock="1"/>
      </w:r>
      <w:r w:rsidR="00982706" w:rsidRPr="00B4301D">
        <w:rPr>
          <w:rFonts w:cstheme="minorHAnsi"/>
        </w:rPr>
        <w:instrText>ADDIN CSL_CITATION {"citationItems":[{"id":"ITEM-1","itemData":{"abstract":"In this chapter we outline an ecological approach to computer games and test out how the theory of ecological psychology can be used for understanding digital games and game-play. Ecological psychology holds that learning is a process of differentiating and not of interpreting or construing. Therefore semiotic/cognitive views on learning and perception with computer games, were the perceptual act is thought to be adding experiences to the things we see in a game in order to make meaning, can be questioned. The theoretical points are illustrated with data from an interaction study made on players playing the game Timesplitters 2 on an X-box.","author":[{"dropping-particle":"","family":"Linderoth","given":"Jonas","non-dropping-particle":"","parse-names":false,"suffix":""},{"dropping-particle":"","family":"Bennerstedt","given":"Ulrika","non-dropping-particle":"","parse-names":false,"suffix":""}],"container-title":"Situated Play, Proceedings of DiGRA 2007 Conference ","id":"ITEM-1","issued":{"date-parts":[["2007"]]},"page":"600-609","title":"This is not a Door: an Ecological approach to Computer Games","type":"paper-conference"},"locator":"608","uris":["http://www.mendeley.com/documents/?uuid=93ccb1f7-336a-324e-b90f-7dcc5972003c"]}],"mendeley":{"formattedCitation":"(Linderoth &amp; Bennerstedt, 2007, p. 608)","plainTextFormattedCitation":"(Linderoth &amp; Bennerstedt, 2007, p. 608)","previouslyFormattedCitation":"(Linderoth &amp; Bennerstedt, 2007, p. 608)"},"properties":{"noteIndex":0},"schema":"https://github.com/citation-style-language/schema/raw/master/csl-citation.json"}</w:instrText>
      </w:r>
      <w:r w:rsidR="00982706" w:rsidRPr="00B4301D">
        <w:rPr>
          <w:rFonts w:cstheme="minorHAnsi"/>
        </w:rPr>
        <w:fldChar w:fldCharType="separate"/>
      </w:r>
      <w:r w:rsidR="00982706" w:rsidRPr="00B4301D">
        <w:rPr>
          <w:rFonts w:cstheme="minorHAnsi"/>
          <w:noProof/>
        </w:rPr>
        <w:t>(Linderoth &amp; Bennerstedt, 2007, p. 608)</w:t>
      </w:r>
      <w:r w:rsidR="00982706" w:rsidRPr="00B4301D">
        <w:rPr>
          <w:rFonts w:cstheme="minorHAnsi"/>
        </w:rPr>
        <w:fldChar w:fldCharType="end"/>
      </w:r>
      <w:r w:rsidR="00982706" w:rsidRPr="00B4301D">
        <w:rPr>
          <w:rFonts w:cstheme="minorHAnsi"/>
        </w:rPr>
        <w:t xml:space="preserve">. However, while such refinement of the perceptual field may result in creative actions (e.g. such as in the combination of environmental variables), as </w:t>
      </w:r>
      <w:proofErr w:type="spellStart"/>
      <w:r w:rsidR="00982706" w:rsidRPr="00B4301D">
        <w:rPr>
          <w:rFonts w:cstheme="minorHAnsi"/>
        </w:rPr>
        <w:t>Linderoth</w:t>
      </w:r>
      <w:proofErr w:type="spellEnd"/>
      <w:r w:rsidR="00982706" w:rsidRPr="00B4301D">
        <w:rPr>
          <w:rFonts w:cstheme="minorHAnsi"/>
        </w:rPr>
        <w:t xml:space="preserve"> </w:t>
      </w:r>
      <w:r w:rsidR="008308CA">
        <w:rPr>
          <w:rFonts w:cstheme="minorHAnsi"/>
        </w:rPr>
        <w:fldChar w:fldCharType="begin" w:fldLock="1"/>
      </w:r>
      <w:r w:rsidR="00A50B56">
        <w:rPr>
          <w:rFonts w:cstheme="minorHAnsi"/>
        </w:rPr>
        <w:instrText>ADDIN CSL_CITATION {"citationItems":[{"id":"ITEM-1","itemData":{"author":[{"dropping-particle":"","family":"Linderoth","given":"Jonas","non-dropping-particle":"","parse-names":false,"suffix":""}],"container-title":"Transactions of the Digital Games Research Association","id":"ITEM-1","issue":"1","issued":{"date-parts":[["2013"]]},"title":"Beyond the digital divide: An ecological approach to gameplay","type":"article-journal","volume":"1"},"suppress-author":1,"uris":["http://www.mendeley.com/documents/?uuid=b9202812-6df9-4094-b845-60b47a595f52"]}],"mendeley":{"formattedCitation":"(2013)","plainTextFormattedCitation":"(2013)","previouslyFormattedCitation":"(2013)"},"properties":{"noteIndex":0},"schema":"https://github.com/citation-style-language/schema/raw/master/csl-citation.json"}</w:instrText>
      </w:r>
      <w:r w:rsidR="008308CA">
        <w:rPr>
          <w:rFonts w:cstheme="minorHAnsi"/>
        </w:rPr>
        <w:fldChar w:fldCharType="separate"/>
      </w:r>
      <w:r w:rsidR="008308CA" w:rsidRPr="008308CA">
        <w:rPr>
          <w:rFonts w:cstheme="minorHAnsi"/>
          <w:noProof/>
        </w:rPr>
        <w:t>(2013)</w:t>
      </w:r>
      <w:r w:rsidR="008308CA">
        <w:rPr>
          <w:rFonts w:cstheme="minorHAnsi"/>
        </w:rPr>
        <w:fldChar w:fldCharType="end"/>
      </w:r>
      <w:r w:rsidR="008308CA">
        <w:rPr>
          <w:rFonts w:cstheme="minorHAnsi"/>
        </w:rPr>
        <w:t xml:space="preserve"> </w:t>
      </w:r>
      <w:r w:rsidR="00982706" w:rsidRPr="00B4301D">
        <w:rPr>
          <w:rFonts w:cstheme="minorHAnsi"/>
        </w:rPr>
        <w:t>point</w:t>
      </w:r>
      <w:r w:rsidR="008308CA">
        <w:rPr>
          <w:rFonts w:cstheme="minorHAnsi"/>
        </w:rPr>
        <w:t>s</w:t>
      </w:r>
      <w:r w:rsidR="00982706" w:rsidRPr="00B4301D">
        <w:rPr>
          <w:rFonts w:cstheme="minorHAnsi"/>
        </w:rPr>
        <w:t xml:space="preserve"> out by simply perceiving the interactable value of the environment, the “real” objects which the game is meant to depict may become peripheral. However, as was the case in the example provided in section 3.4 relating to the participant who used balls of moss to defeat a foe in </w:t>
      </w:r>
      <w:r w:rsidR="00982706" w:rsidRPr="00B4301D">
        <w:rPr>
          <w:rFonts w:cstheme="minorHAnsi"/>
          <w:i/>
        </w:rPr>
        <w:t xml:space="preserve">Monster Hunter: World </w:t>
      </w:r>
      <w:r w:rsidR="00982706" w:rsidRPr="00B4301D">
        <w:rPr>
          <w:rFonts w:cstheme="minorHAnsi"/>
          <w:i/>
        </w:rPr>
        <w:fldChar w:fldCharType="begin" w:fldLock="1"/>
      </w:r>
      <w:r w:rsidR="00DB3EA4" w:rsidRPr="00B4301D">
        <w:rPr>
          <w:rFonts w:cstheme="minorHAnsi"/>
          <w:i/>
        </w:rPr>
        <w:instrText>ADDIN CSL_CITATION {"citationItems":[{"id":"ITEM-1","itemData":{"author":[{"dropping-particle":"","family":"Capcom","given":"","non-dropping-particle":"","parse-names":false,"suffix":""}],"id":"ITEM-1","issued":{"date-parts":[["2018"]]},"title":"Monster Hunter: World","type":"book"},"uris":["http://www.mendeley.com/documents/?uuid=006ffda9-fd90-4d7a-be1f-494020c3dc10"]}],"mendeley":{"formattedCitation":"(Capcom, 2018)","plainTextFormattedCitation":"(Capcom, 2018)","previouslyFormattedCitation":"(Capcom, 2018)"},"properties":{"noteIndex":0},"schema":"https://github.com/citation-style-language/schema/raw/master/csl-citation.json"}</w:instrText>
      </w:r>
      <w:r w:rsidR="00982706" w:rsidRPr="00B4301D">
        <w:rPr>
          <w:rFonts w:cstheme="minorHAnsi"/>
          <w:i/>
        </w:rPr>
        <w:fldChar w:fldCharType="separate"/>
      </w:r>
      <w:r w:rsidR="00982706" w:rsidRPr="00B4301D">
        <w:rPr>
          <w:rFonts w:cstheme="minorHAnsi"/>
          <w:noProof/>
        </w:rPr>
        <w:t>(Capcom, 2018)</w:t>
      </w:r>
      <w:r w:rsidR="00982706" w:rsidRPr="00B4301D">
        <w:rPr>
          <w:rFonts w:cstheme="minorHAnsi"/>
          <w:i/>
        </w:rPr>
        <w:fldChar w:fldCharType="end"/>
      </w:r>
      <w:r w:rsidR="00982706" w:rsidRPr="00B4301D">
        <w:rPr>
          <w:rFonts w:cstheme="minorHAnsi"/>
        </w:rPr>
        <w:t xml:space="preserve">, the role of cognition was crucial in establishing why throwing balls of moss allowed the monster to be defeated (e.g. the moss washed away the heavy mud protecting the monster). In this way, some recognition of the “real” objects may occur which links the cognitive processes associated with understanding (e.g. the mechanics of the game), comprehension (e.g. engaging and following the game narrative) and retrieval of prior knowledge (e.g. using strategies from similar games) </w:t>
      </w:r>
      <w:r w:rsidR="00982706" w:rsidRPr="00B4301D">
        <w:rPr>
          <w:rFonts w:cstheme="minorHAnsi"/>
        </w:rPr>
        <w:fldChar w:fldCharType="begin" w:fldLock="1"/>
      </w:r>
      <w:r w:rsidR="00982706" w:rsidRPr="00B4301D">
        <w:rPr>
          <w:rFonts w:cstheme="minorHAnsi"/>
        </w:rPr>
        <w:instrText>ADDIN CSL_CITATION {"citationItems":[{"id":"ITEM-1","itemData":{"author":[{"dropping-particle":"","family":"Shuell","given":"T.","non-dropping-particle":"","parse-names":false,"suffix":""}],"container-title":"Review of Educational Research","id":"ITEM-1","issue":"4","issued":{"date-parts":[["1986"]]},"page":"411-436","title":"Cognitive Conceptions of Learning","type":"article-journal","volume":"56"},"uris":["http://www.mendeley.com/documents/?uuid=92153233-fbac-4e46-96ba-f6ea4793c81c"]},{"id":"ITEM-2","itemData":{"abstract":"Affordances, broadly construed as opportunities for action, have been used to explain game-related phenomena in a variety of different contexts. This paper presents a cognitivist theory of affordances, which is general enough that it subsumes several related theories, yet precise enough that it provides a useful lens through which to view games. The framework is a re-contextualization of older work that unifies approaches taken in the fields of ecological psychology, interaction design, and human-computer interaction. The Cognitivist Theory of Affordances in Games is thus a theoretical contribution, which synthesizes several views by presenting three independent manipulable entities that are relevant to the study of games: 1) real affordances, what actions are possible in a game, 2) perceived affordances, what actions players perceive possible in a game, and 3) feedback, perceptual information introduced in the game by its designers to advertise real affordances in the hopes of eliciting accurate perceived affordances.","author":[{"dropping-particle":"","family":"Cardona-Rivera","given":"R.E.","non-dropping-particle":"","parse-names":false,"suffix":""},{"dropping-particle":"","family":"Young","given":"R.M.","non-dropping-particle":"","parse-names":false,"suffix":""}],"container-title":"Proceedings of DiGRA 2013","id":"ITEM-2","issued":{"date-parts":[["2013"]]},"title":"A Cognitivist Theory of Affordances for Games","type":"paper-conference"},"uris":["http://www.mendeley.com/documents/?uuid=4790b3b5-a7f1-35e2-8f88-43081f22064a"]}],"mendeley":{"formattedCitation":"(Cardona-Rivera &amp; Young, 2013; Shuell, 1986)","plainTextFormattedCitation":"(Cardona-Rivera &amp; Young, 2013; Shuell, 1986)","previouslyFormattedCitation":"(Cardona-Rivera &amp; Young, 2013; Shuell, 1986)"},"properties":{"noteIndex":0},"schema":"https://github.com/citation-style-language/schema/raw/master/csl-citation.json"}</w:instrText>
      </w:r>
      <w:r w:rsidR="00982706" w:rsidRPr="00B4301D">
        <w:rPr>
          <w:rFonts w:cstheme="minorHAnsi"/>
        </w:rPr>
        <w:fldChar w:fldCharType="separate"/>
      </w:r>
      <w:r w:rsidR="00982706" w:rsidRPr="00B4301D">
        <w:rPr>
          <w:rFonts w:cstheme="minorHAnsi"/>
          <w:noProof/>
        </w:rPr>
        <w:t>(Cardona-Rivera &amp; Young, 2013; Shuell, 1986)</w:t>
      </w:r>
      <w:r w:rsidR="00982706" w:rsidRPr="00B4301D">
        <w:rPr>
          <w:rFonts w:cstheme="minorHAnsi"/>
        </w:rPr>
        <w:fldChar w:fldCharType="end"/>
      </w:r>
      <w:r w:rsidR="00982706" w:rsidRPr="00B4301D">
        <w:rPr>
          <w:rFonts w:cstheme="minorHAnsi"/>
        </w:rPr>
        <w:t>.</w:t>
      </w:r>
    </w:p>
    <w:p w14:paraId="7D694814" w14:textId="3C21E63B" w:rsidR="00315E1A" w:rsidRPr="00B4301D" w:rsidRDefault="00CF1BD2" w:rsidP="00563EE3">
      <w:pPr>
        <w:spacing w:line="360" w:lineRule="auto"/>
        <w:ind w:firstLine="720"/>
        <w:rPr>
          <w:lang w:val="en"/>
        </w:rPr>
      </w:pPr>
      <w:r w:rsidRPr="00B4301D">
        <w:rPr>
          <w:rFonts w:cstheme="minorHAnsi"/>
        </w:rPr>
        <w:t>Finally, in</w:t>
      </w:r>
      <w:r w:rsidR="00315E1A" w:rsidRPr="00B4301D">
        <w:rPr>
          <w:rFonts w:cstheme="minorHAnsi"/>
        </w:rPr>
        <w:t xml:space="preserve"> terms of </w:t>
      </w:r>
      <w:r w:rsidR="004631B8" w:rsidRPr="00B4301D">
        <w:rPr>
          <w:rFonts w:cstheme="minorHAnsi"/>
        </w:rPr>
        <w:t xml:space="preserve">opportunities for the </w:t>
      </w:r>
      <w:r w:rsidR="00315E1A" w:rsidRPr="00B4301D">
        <w:rPr>
          <w:rFonts w:cstheme="minorHAnsi"/>
          <w:i/>
        </w:rPr>
        <w:t>creation</w:t>
      </w:r>
      <w:r w:rsidR="004631B8" w:rsidRPr="00B4301D">
        <w:rPr>
          <w:rFonts w:cstheme="minorHAnsi"/>
          <w:i/>
        </w:rPr>
        <w:t xml:space="preserve"> </w:t>
      </w:r>
      <w:r w:rsidR="004631B8" w:rsidRPr="00B4301D">
        <w:rPr>
          <w:rFonts w:cstheme="minorHAnsi"/>
        </w:rPr>
        <w:t>of game content</w:t>
      </w:r>
      <w:r w:rsidR="00315E1A" w:rsidRPr="00B4301D">
        <w:rPr>
          <w:rFonts w:cstheme="minorHAnsi"/>
        </w:rPr>
        <w:t xml:space="preserve">, participants cited instances in which they had created </w:t>
      </w:r>
      <w:r w:rsidR="004631B8" w:rsidRPr="00B4301D">
        <w:rPr>
          <w:rFonts w:cstheme="minorHAnsi"/>
        </w:rPr>
        <w:t>objects</w:t>
      </w:r>
      <w:r w:rsidR="00315E1A" w:rsidRPr="00B4301D">
        <w:rPr>
          <w:rFonts w:cstheme="minorHAnsi"/>
        </w:rPr>
        <w:t xml:space="preserve"> or implemented modifications. The most common type of </w:t>
      </w:r>
      <w:r w:rsidR="00315E1A" w:rsidRPr="00B4301D">
        <w:rPr>
          <w:rFonts w:cstheme="minorHAnsi"/>
          <w:i/>
        </w:rPr>
        <w:t xml:space="preserve">creation </w:t>
      </w:r>
      <w:r w:rsidR="00315E1A" w:rsidRPr="00B4301D">
        <w:rPr>
          <w:rFonts w:cstheme="minorHAnsi"/>
        </w:rPr>
        <w:t xml:space="preserve">involved building in-game structures such as in sandbox style games like </w:t>
      </w:r>
      <w:r w:rsidR="00315E1A" w:rsidRPr="00B4301D">
        <w:rPr>
          <w:rFonts w:cstheme="minorHAnsi"/>
          <w:i/>
        </w:rPr>
        <w:t xml:space="preserve">Minecraft </w:t>
      </w:r>
      <w:r w:rsidR="00315E1A" w:rsidRPr="00B4301D">
        <w:rPr>
          <w:rFonts w:cstheme="minorHAnsi"/>
          <w:i/>
        </w:rPr>
        <w:fldChar w:fldCharType="begin" w:fldLock="1"/>
      </w:r>
      <w:r w:rsidR="00BD4DD6" w:rsidRPr="00B4301D">
        <w:rPr>
          <w:rFonts w:cstheme="minorHAnsi"/>
          <w:i/>
        </w:rPr>
        <w:instrText>ADDIN CSL_CITATION {"citationItems":[{"id":"ITEM-1","itemData":{"author":[{"dropping-particle":"","family":"Mojang","given":"","non-dropping-particle":"","parse-names":false,"suffix":""}],"id":"ITEM-1","issued":{"date-parts":[["2011"]]},"publisher":"Mojang","title":"Minecraft","type":"book"},"uris":["http://www.mendeley.com/documents/?uuid=1dafb1a5-2518-48e3-be18-486298b77f71"]}],"mendeley":{"formattedCitation":"(Mojang, 2011)","plainTextFormattedCitation":"(Mojang, 2011)","previouslyFormattedCitation":"(Mojang, 2011)"},"properties":{"noteIndex":0},"schema":"https://github.com/citation-style-language/schema/raw/master/csl-citation.json"}</w:instrText>
      </w:r>
      <w:r w:rsidR="00315E1A" w:rsidRPr="00B4301D">
        <w:rPr>
          <w:rFonts w:cstheme="minorHAnsi"/>
          <w:i/>
        </w:rPr>
        <w:fldChar w:fldCharType="separate"/>
      </w:r>
      <w:r w:rsidR="00315E1A" w:rsidRPr="00B4301D">
        <w:rPr>
          <w:rFonts w:cstheme="minorHAnsi"/>
          <w:noProof/>
        </w:rPr>
        <w:t>(Mojang, 2011)</w:t>
      </w:r>
      <w:r w:rsidR="00315E1A" w:rsidRPr="00B4301D">
        <w:rPr>
          <w:rFonts w:cstheme="minorHAnsi"/>
          <w:i/>
        </w:rPr>
        <w:fldChar w:fldCharType="end"/>
      </w:r>
      <w:r w:rsidR="00563EE3" w:rsidRPr="00B4301D">
        <w:rPr>
          <w:rFonts w:cstheme="minorHAnsi"/>
          <w:i/>
        </w:rPr>
        <w:t>.</w:t>
      </w:r>
      <w:r w:rsidR="00315E1A" w:rsidRPr="00B4301D">
        <w:rPr>
          <w:rFonts w:cstheme="minorHAnsi"/>
          <w:i/>
        </w:rPr>
        <w:t xml:space="preserve"> </w:t>
      </w:r>
      <w:r w:rsidR="00315E1A" w:rsidRPr="00B4301D">
        <w:rPr>
          <w:rFonts w:cstheme="minorHAnsi"/>
        </w:rPr>
        <w:t xml:space="preserve">Games which allowed players freedom to create often involved appropriation, where players </w:t>
      </w:r>
      <w:r w:rsidR="00315E1A" w:rsidRPr="00B4301D">
        <w:rPr>
          <w:lang w:val="en"/>
        </w:rPr>
        <w:t xml:space="preserve">experiment with and personalize their gaming experience. </w:t>
      </w:r>
      <w:r w:rsidR="00563EE3" w:rsidRPr="00B4301D">
        <w:rPr>
          <w:lang w:val="en"/>
        </w:rPr>
        <w:t xml:space="preserve">Linking back to Little C approaches which refer to everyday creative activities which the average person is able to </w:t>
      </w:r>
      <w:r w:rsidR="00563EE3" w:rsidRPr="00B4301D">
        <w:rPr>
          <w:lang w:val="en"/>
        </w:rPr>
        <w:lastRenderedPageBreak/>
        <w:t xml:space="preserve">participate in </w:t>
      </w:r>
      <w:r w:rsidR="00563EE3" w:rsidRPr="00B4301D">
        <w:rPr>
          <w:lang w:val="en"/>
        </w:rPr>
        <w:fldChar w:fldCharType="begin" w:fldLock="1"/>
      </w:r>
      <w:r w:rsidR="00563EE3" w:rsidRPr="00B4301D">
        <w:rPr>
          <w:lang w:val="en"/>
        </w:rPr>
        <w:instrText>ADDIN CSL_CITATION {"citationItems":[{"id":"ITEM-1","itemData":{"DOI":"10.1080/10400419009534363","ISSN":"1040-0419","author":[{"dropping-particle":"","family":"Richards","given":"Ruth","non-dropping-particle":"","parse-names":false,"suffix":""}],"container-title":"Creativity Research Journal","id":"ITEM-1","issue":"4","issued":{"date-parts":[["1990","1"]]},"page":"300-326","publisher":" Taylor &amp; Francis Group ","title":"Everyday creativity, eminent creativity, and health: “Afterview”; for CRJ Issues on creativity and health","type":"article-journal","volume":"3"},"uris":["http://www.mendeley.com/documents/?uuid=4bd6a18f-e1a1-39f4-a415-bbb5380b9eb2"]}],"mendeley":{"formattedCitation":"(Richards, 1990)","plainTextFormattedCitation":"(Richards, 1990)","previouslyFormattedCitation":"(Richards, 1990)"},"properties":{"noteIndex":0},"schema":"https://github.com/citation-style-language/schema/raw/master/csl-citation.json"}</w:instrText>
      </w:r>
      <w:r w:rsidR="00563EE3" w:rsidRPr="00B4301D">
        <w:rPr>
          <w:lang w:val="en"/>
        </w:rPr>
        <w:fldChar w:fldCharType="separate"/>
      </w:r>
      <w:r w:rsidR="00563EE3" w:rsidRPr="00B4301D">
        <w:rPr>
          <w:noProof/>
          <w:lang w:val="en"/>
        </w:rPr>
        <w:t>(Richards, 1990)</w:t>
      </w:r>
      <w:r w:rsidR="00563EE3" w:rsidRPr="00B4301D">
        <w:rPr>
          <w:lang w:val="en"/>
        </w:rPr>
        <w:fldChar w:fldCharType="end"/>
      </w:r>
      <w:r w:rsidR="00563EE3" w:rsidRPr="00B4301D">
        <w:rPr>
          <w:lang w:val="en"/>
        </w:rPr>
        <w:t xml:space="preserve">, participants who referenced using map and level editors predominantly spoke of using them in a explorative manner. It could be that </w:t>
      </w:r>
      <w:r w:rsidR="00315E1A" w:rsidRPr="00B4301D">
        <w:rPr>
          <w:lang w:val="en"/>
        </w:rPr>
        <w:t xml:space="preserve">games that </w:t>
      </w:r>
      <w:r w:rsidR="00563EE3" w:rsidRPr="00B4301D">
        <w:rPr>
          <w:lang w:val="en"/>
        </w:rPr>
        <w:t>include</w:t>
      </w:r>
      <w:r w:rsidR="00315E1A" w:rsidRPr="00B4301D">
        <w:rPr>
          <w:lang w:val="en"/>
        </w:rPr>
        <w:t xml:space="preserve"> </w:t>
      </w:r>
      <w:r w:rsidR="00563EE3" w:rsidRPr="00B4301D">
        <w:rPr>
          <w:lang w:val="en"/>
        </w:rPr>
        <w:t>packaged map/level</w:t>
      </w:r>
      <w:r w:rsidR="00315E1A" w:rsidRPr="00B4301D">
        <w:rPr>
          <w:lang w:val="en"/>
        </w:rPr>
        <w:t xml:space="preserve"> editors support this this type of creativity by providing players with the opportunity to pursue their curiosity and dabble in elements of game design. </w:t>
      </w:r>
      <w:r w:rsidR="00315E1A" w:rsidRPr="00B4301D">
        <w:rPr>
          <w:rFonts w:cstheme="minorHAnsi"/>
        </w:rPr>
        <w:t xml:space="preserve">Furthermore, by permitting the implementing modifications the possibilities of play are extended, providing players who were often already familiar with the original game, with a new gaming experience. Such examples often fell under </w:t>
      </w:r>
      <w:proofErr w:type="spellStart"/>
      <w:r w:rsidR="00315E1A" w:rsidRPr="00B4301D">
        <w:rPr>
          <w:rFonts w:cstheme="minorHAnsi"/>
        </w:rPr>
        <w:t>Burri’s</w:t>
      </w:r>
      <w:proofErr w:type="spellEnd"/>
      <w:r w:rsidR="00315E1A" w:rsidRPr="00B4301D">
        <w:rPr>
          <w:rFonts w:cstheme="minorHAnsi"/>
        </w:rPr>
        <w:t xml:space="preserve"> </w:t>
      </w:r>
      <w:r w:rsidR="00315E1A" w:rsidRPr="00B4301D">
        <w:rPr>
          <w:rFonts w:cstheme="minorHAnsi"/>
        </w:rPr>
        <w:fldChar w:fldCharType="begin" w:fldLock="1"/>
      </w:r>
      <w:r w:rsidR="00315E1A" w:rsidRPr="00B4301D">
        <w:rPr>
          <w:rFonts w:cstheme="minorHAnsi"/>
        </w:rPr>
        <w:instrText>ADDIN CSL_CITATION {"citationItems":[{"id":"ITEM-1","itemData":{"abstract":"Virtual worlds have moved from being a geek topic to one of mainstream academic interest. This transition is contingent not only on the augmented economic, societal and cultural value of these virtual realities and their effect upon real life but also on their convenience as fields for experimentation, for testing models and paradigms. User creation is however not something that has been transplanted from the real to the virtual world but a phenomenon and a dynamic process that happens from within and is defined through complex relationships between commercial and non-commercial, commodified and not commodified, individual and of the community, amateur and professional, art and not art. Accounting for this complex environment, the present paper explores user created content in virtual worlds, its dimensions and value and above all, its constraints by code and law. It puts forward suggestions for better understanding and harnessing this creativity.","author":[{"dropping-particle":"","family":"Burri","given":"Mira","non-dropping-particle":"","parse-names":false,"suffix":""}],"container-title":"International Journal of Communications Law &amp; Policy","id":"ITEM-1","issue":"March","issued":{"date-parts":[["2011"]]},"page":"1-28","title":"Misunderstanding Creativity: User Created Content in Virtual Worlds and Its Constraints by Code and Law","type":"article-journal","volume":"14"},"uris":["http://www.mendeley.com/documents/?uuid=2fae0be9-1a0b-4079-8854-c367f924511e"]}],"mendeley":{"formattedCitation":"(Burri, 2011)","manualFormatting":"(2011)","plainTextFormattedCitation":"(Burri, 2011)","previouslyFormattedCitation":"(Burri, 2011)"},"properties":{"noteIndex":0},"schema":"https://github.com/citation-style-language/schema/raw/master/csl-citation.json"}</w:instrText>
      </w:r>
      <w:r w:rsidR="00315E1A" w:rsidRPr="00B4301D">
        <w:rPr>
          <w:rFonts w:cstheme="minorHAnsi"/>
        </w:rPr>
        <w:fldChar w:fldCharType="separate"/>
      </w:r>
      <w:r w:rsidR="00315E1A" w:rsidRPr="00B4301D">
        <w:rPr>
          <w:rFonts w:cstheme="minorHAnsi"/>
          <w:noProof/>
        </w:rPr>
        <w:t>(2011)</w:t>
      </w:r>
      <w:r w:rsidR="00315E1A" w:rsidRPr="00B4301D">
        <w:rPr>
          <w:rFonts w:cstheme="minorHAnsi"/>
        </w:rPr>
        <w:fldChar w:fldCharType="end"/>
      </w:r>
      <w:r w:rsidR="00315E1A" w:rsidRPr="00B4301D">
        <w:rPr>
          <w:rFonts w:cstheme="minorHAnsi"/>
        </w:rPr>
        <w:t xml:space="preserve"> third category for user created content, whereby player creations and modifications are freely allowed and, in some cases, form the core of the game.</w:t>
      </w:r>
    </w:p>
    <w:p w14:paraId="657AC903" w14:textId="5E8D66F2" w:rsidR="00FA7FF0" w:rsidRPr="00B4301D" w:rsidRDefault="00FA7FF0" w:rsidP="00FA7FF0">
      <w:pPr>
        <w:spacing w:line="360" w:lineRule="auto"/>
        <w:ind w:firstLine="720"/>
        <w:rPr>
          <w:rFonts w:cstheme="minorHAnsi"/>
        </w:rPr>
      </w:pPr>
    </w:p>
    <w:p w14:paraId="00D3C371" w14:textId="39212775" w:rsidR="00AE5C10" w:rsidRPr="00B4301D" w:rsidRDefault="00315E1A" w:rsidP="00D52861">
      <w:pPr>
        <w:pStyle w:val="Heading1"/>
        <w:spacing w:line="360" w:lineRule="auto"/>
        <w:rPr>
          <w:color w:val="auto"/>
        </w:rPr>
      </w:pPr>
      <w:r w:rsidRPr="00B4301D">
        <w:rPr>
          <w:color w:val="auto"/>
        </w:rPr>
        <w:t>5</w:t>
      </w:r>
      <w:r w:rsidR="00AE5C10" w:rsidRPr="00B4301D">
        <w:rPr>
          <w:color w:val="auto"/>
        </w:rPr>
        <w:t xml:space="preserve">. </w:t>
      </w:r>
      <w:r w:rsidR="00D73362" w:rsidRPr="00B4301D">
        <w:rPr>
          <w:color w:val="auto"/>
        </w:rPr>
        <w:t>Implications and Future Research</w:t>
      </w:r>
    </w:p>
    <w:p w14:paraId="52ACE00D" w14:textId="63D5EDE9" w:rsidR="00AE5C10" w:rsidRPr="00B4301D" w:rsidRDefault="00315E1A" w:rsidP="00D52861">
      <w:pPr>
        <w:pStyle w:val="Heading2"/>
        <w:spacing w:line="360" w:lineRule="auto"/>
        <w:rPr>
          <w:color w:val="auto"/>
        </w:rPr>
      </w:pPr>
      <w:r w:rsidRPr="00B4301D">
        <w:rPr>
          <w:color w:val="auto"/>
        </w:rPr>
        <w:t>5</w:t>
      </w:r>
      <w:r w:rsidR="00AE5C10" w:rsidRPr="00B4301D">
        <w:rPr>
          <w:color w:val="auto"/>
        </w:rPr>
        <w:t>.</w:t>
      </w:r>
      <w:r w:rsidR="00E86E75" w:rsidRPr="00B4301D">
        <w:rPr>
          <w:color w:val="auto"/>
        </w:rPr>
        <w:t>1.</w:t>
      </w:r>
      <w:r w:rsidR="00AE5C10" w:rsidRPr="00B4301D">
        <w:rPr>
          <w:color w:val="auto"/>
        </w:rPr>
        <w:t xml:space="preserve"> Implications</w:t>
      </w:r>
    </w:p>
    <w:p w14:paraId="31E79792" w14:textId="66835846" w:rsidR="00FC4A03" w:rsidRPr="00B4301D" w:rsidRDefault="00D83898" w:rsidP="00D83898">
      <w:pPr>
        <w:spacing w:line="360" w:lineRule="auto"/>
      </w:pPr>
      <w:r w:rsidRPr="00B4301D">
        <w:t xml:space="preserve">The implications of this study are </w:t>
      </w:r>
      <w:r w:rsidR="007D1418" w:rsidRPr="00B4301D">
        <w:t>four</w:t>
      </w:r>
      <w:r w:rsidR="00DA0B58" w:rsidRPr="00B4301D">
        <w:t>fold</w:t>
      </w:r>
      <w:r w:rsidRPr="00B4301D">
        <w:t>. Firstly, the findings add to the currently under-researched area of creativity in digital games. Previous studies have focused on the problem-solving</w:t>
      </w:r>
      <w:r w:rsidR="005F4510" w:rsidRPr="00B4301D">
        <w:t xml:space="preserve"> </w:t>
      </w:r>
      <w:r w:rsidR="005F4510" w:rsidRPr="00B4301D">
        <w:fldChar w:fldCharType="begin" w:fldLock="1"/>
      </w:r>
      <w:r w:rsidR="0006615A" w:rsidRPr="00B4301D">
        <w:instrText>ADDIN CSL_CITATION {"citationItems":[{"id":"ITEM-1","itemData":{"DOI":"10.1016/j.iheduc.2004.12.001","ISBN":"1096-7516","ISSN":"10967516","abstract":"Online games satisfy the basic requirements of learning environments and can provide engaging learning experiences for students. However, a model that successfully integrates educational theory and game design aspects do not exist. Thus, in this paper an experiential gaming model that is based on experiential learning theory, flow theory and game design is presented. The model stresses the importance of providing the player with immediate feedback, clear goals and challenges that are matched to his/her skill level. The flow theory is used as a framework to facilitate positive user experience in order to maximize the impact of educational games. Especially, the factors that contribute to flow experience are discussed. The experiential gaming model can be used to design and analyse educational computer games. However, the model works only as a link between educational theory and game design and does not provide the means to a whole game design project. © 2005 Elsevier Inc. All rights reserved.","author":[{"dropping-particle":"","family":"Kiili","given":"Kristian","non-dropping-particle":"","parse-names":false,"suffix":""}],"container-title":"Internet and Higher Education","id":"ITEM-1","issue":"1","issued":{"date-parts":[["2005"]]},"page":"13-24","title":"Digital game-based learning: Towards an experiential gaming model","type":"article-journal","volume":"8"},"uris":["http://www.mendeley.com/documents/?uuid=42b2db3f-e3ca-49af-bf02-bbe5fc1932be"]}],"mendeley":{"formattedCitation":"(Kiili, 2005)","manualFormatting":"(e.g. Kiili, 2005)","plainTextFormattedCitation":"(Kiili, 2005)","previouslyFormattedCitation":"(Kiili, 2005)"},"properties":{"noteIndex":0},"schema":"https://github.com/citation-style-language/schema/raw/master/csl-citation.json"}</w:instrText>
      </w:r>
      <w:r w:rsidR="005F4510" w:rsidRPr="00B4301D">
        <w:fldChar w:fldCharType="separate"/>
      </w:r>
      <w:r w:rsidR="005F4510" w:rsidRPr="00B4301D">
        <w:rPr>
          <w:noProof/>
        </w:rPr>
        <w:t>(</w:t>
      </w:r>
      <w:r w:rsidR="0006615A" w:rsidRPr="00B4301D">
        <w:rPr>
          <w:noProof/>
        </w:rPr>
        <w:t xml:space="preserve">e.g. </w:t>
      </w:r>
      <w:r w:rsidR="005F4510" w:rsidRPr="00B4301D">
        <w:rPr>
          <w:noProof/>
        </w:rPr>
        <w:t>Kiili, 2005)</w:t>
      </w:r>
      <w:r w:rsidR="005F4510" w:rsidRPr="00B4301D">
        <w:fldChar w:fldCharType="end"/>
      </w:r>
      <w:r w:rsidR="0006615A" w:rsidRPr="00B4301D">
        <w:t xml:space="preserve"> and </w:t>
      </w:r>
      <w:r w:rsidRPr="00B4301D">
        <w:t>appropriation</w:t>
      </w:r>
      <w:r w:rsidR="0006615A" w:rsidRPr="00B4301D">
        <w:t xml:space="preserve"> </w:t>
      </w:r>
      <w:r w:rsidR="0006615A" w:rsidRPr="00B4301D">
        <w:fldChar w:fldCharType="begin" w:fldLock="1"/>
      </w:r>
      <w:r w:rsidR="00B4301D">
        <w:instrText>ADDIN CSL_CITATION {"citationItems":[{"id":"ITEM-1","itemData":{"abstract":"The role of playful innovations in the Multiplayer Online Battle Arena (MOBA) genre has become a hugely important, contested and under studied activity. Through a case study of the 'fountain hook' and an exploration of exploitative and emergent notions of play, this paper explores how the dynamics of co-creativity function in online play spaces such as the MOBA genre. In what ways these co-creative dynamics impact different stakeholders of the play space and open up critical questions similar to that of wider participatory platforms is a particular focus here. Informed by online ethnographic research that forms part of a wider PhD project this paper also touches upon specific themes related to the unexplored genre of MOBAs such as why they are so appealing and what it is that makes them so challenging to study.","author":[{"dropping-particle":"","family":"Jarrett","given":"Josh","non-dropping-particle":"","parse-names":false,"suffix":""}],"container-title":"Videogame Cultures and the Future of Interactive Entertainment 6th Global Conference, July 19th 2014","id":"ITEM-1","issued":{"date-parts":[["2014"]]},"publisher-place":"Oxford","title":"Fountain Hooks, Emergent Exploits and the Playful Co-Creativity of MOBAs","type":"paper-conference"},"uris":["http://www.mendeley.com/documents/?uuid=669469aa-d3d9-3fd1-b277-5c453f251e40"]},{"id":"ITEM-2","itemData":{"abstract":"‘It is common knowledge that what to begin with seems to be a situation\r\nsusceptible to indefinite repetition turns out to be capable of producing ever new\r\ncombinations.’ (Caillois, 1958: 30)\r\n‘TL; DR: Don't nerf something when it is played differently to how it was intended,\r\nbecause that innovation is the beautiful thing about competing within system like a\r\nvideogame: You look at what is known and you try to prove it wrong.’ (1)\r\nThe two above statements describe a central dynamic that underpins the appeal and\r\ncontinual reinvention of the Multiplayer Online Battle Arena (MOBA) genre. As\r\nCaillios noted in 1958, even in closed rule systems that encourage a competitive or\r\n‘agon’ mode of play and are therefore strict in their ludic boundaries such as Chess, Go\r\nor Bridge there is an almost ‘indefinite’ depth of playful variation. The emergence of\r\nnew play styles or strategies represent a development of the rules by players who play\r\nthese games as rule sets that are far more open to exploration than their seemingly rigid\r\nform suggests.","author":[{"dropping-particle":"","family":"Jarrett","given":"Josh","non-dropping-particle":"","parse-names":false,"suffix":""}],"container-title":"DiGRA 2015: Diversity of Play","id":"ITEM-2","issued":{"date-parts":[["2015"]]},"title":"Playing Between Rules : Negotiating the Ludic Innovations of the MOBA genre","type":"article-journal"},"uris":["http://www.mendeley.com/documents/?uuid=b19e286e-a820-4849-b316-bbac3ad897e5"]},{"id":"ITEM-3","itemData":{"author":[{"dropping-particle":"","family":"Wright","given":"Talmadge","non-dropping-particle":"","parse-names":false,"suffix":""},{"dropping-particle":"","family":"Boria","given":"Eric","non-dropping-particle":"","parse-names":false,"suffix":""},{"dropping-particle":"","family":"Breidenbach","given":"Paul","non-dropping-particle":"","parse-names":false,"suffix":""}],"container-title":"Game Studies","id":"ITEM-3","issued":{"date-parts":[["2002"]]},"title":"Creative Player Actions in FPS Online Video Games Playing Counter-Strike","type":"article-journal","volume":"2"},"uris":["http://www.mendeley.com/documents/?uuid=26c94281-7fed-344e-9705-50e4f807916c"]}],"mendeley":{"formattedCitation":"(Jarrett, 2014, 2015; Wright et al., 2002)","manualFormatting":"(e.g. Jarrett, 2014, 2015; Wright et al., 2002)","plainTextFormattedCitation":"(Jarrett, 2014, 2015; Wright et al., 2002)","previouslyFormattedCitation":"(Jarrett, 2014, 2015; Wright et al., 2002)"},"properties":{"noteIndex":0},"schema":"https://github.com/citation-style-language/schema/raw/master/csl-citation.json"}</w:instrText>
      </w:r>
      <w:r w:rsidR="0006615A" w:rsidRPr="00B4301D">
        <w:fldChar w:fldCharType="separate"/>
      </w:r>
      <w:r w:rsidR="0006615A" w:rsidRPr="00B4301D">
        <w:rPr>
          <w:noProof/>
        </w:rPr>
        <w:t>(e.g. Jarrett, 2014, 2015; Wright et al., 2002)</w:t>
      </w:r>
      <w:r w:rsidR="0006615A" w:rsidRPr="00B4301D">
        <w:fldChar w:fldCharType="end"/>
      </w:r>
      <w:r w:rsidRPr="00B4301D">
        <w:t xml:space="preserve"> aspects of creativity in digital games</w:t>
      </w:r>
      <w:r w:rsidR="00FC4A03" w:rsidRPr="00B4301D">
        <w:t xml:space="preserve">. The findings from our study </w:t>
      </w:r>
      <w:r w:rsidR="000926EF" w:rsidRPr="00B4301D">
        <w:t>confirm</w:t>
      </w:r>
      <w:r w:rsidR="00FC4A03" w:rsidRPr="00B4301D">
        <w:t xml:space="preserve"> previous research in these areas, but also categorise these forms of creativity into main and sub-categories. Several additional elements of both problem-solving and appropriation were discovered. In terms of problem-solving, the unique ways players approach and plan for difficult challenges (</w:t>
      </w:r>
      <w:r w:rsidR="00620459" w:rsidRPr="00B4301D">
        <w:rPr>
          <w:i/>
        </w:rPr>
        <w:t>A</w:t>
      </w:r>
      <w:r w:rsidR="00FC4A03" w:rsidRPr="00B4301D">
        <w:rPr>
          <w:i/>
        </w:rPr>
        <w:t xml:space="preserve">pproaching </w:t>
      </w:r>
      <w:r w:rsidR="00620459" w:rsidRPr="00B4301D">
        <w:rPr>
          <w:i/>
        </w:rPr>
        <w:t>P</w:t>
      </w:r>
      <w:r w:rsidR="00FC4A03" w:rsidRPr="00B4301D">
        <w:rPr>
          <w:i/>
        </w:rPr>
        <w:t>roblems</w:t>
      </w:r>
      <w:r w:rsidR="00FC4A03" w:rsidRPr="00B4301D">
        <w:t>) were illuminated, adding to the existing body of literature on how games facilitate creative problem-solving. In terms of appropriation, it was found that players could create additional challenges</w:t>
      </w:r>
      <w:r w:rsidR="00620459" w:rsidRPr="00B4301D">
        <w:t xml:space="preserve"> (</w:t>
      </w:r>
      <w:r w:rsidR="00620459" w:rsidRPr="00B4301D">
        <w:rPr>
          <w:i/>
        </w:rPr>
        <w:t>Creating New Challenges</w:t>
      </w:r>
      <w:r w:rsidR="00620459" w:rsidRPr="00B4301D">
        <w:t>)</w:t>
      </w:r>
      <w:r w:rsidR="00FC4A03" w:rsidRPr="00B4301D">
        <w:t xml:space="preserve"> not intended by developers such as </w:t>
      </w:r>
      <w:proofErr w:type="spellStart"/>
      <w:r w:rsidR="00FC4A03" w:rsidRPr="00B4301D">
        <w:t>speedrunning</w:t>
      </w:r>
      <w:proofErr w:type="spellEnd"/>
      <w:r w:rsidR="004B2E5D" w:rsidRPr="00B4301D">
        <w:t>;</w:t>
      </w:r>
      <w:r w:rsidR="00FC4A03" w:rsidRPr="00B4301D">
        <w:t xml:space="preserve"> something which has not, as far as the authors</w:t>
      </w:r>
      <w:r w:rsidR="00620459" w:rsidRPr="00B4301D">
        <w:t>’</w:t>
      </w:r>
      <w:r w:rsidR="00FC4A03" w:rsidRPr="00B4301D">
        <w:t xml:space="preserve"> knowledge, been addressed in previous research.</w:t>
      </w:r>
      <w:r w:rsidRPr="00B4301D">
        <w:t xml:space="preserve"> </w:t>
      </w:r>
    </w:p>
    <w:p w14:paraId="7DA0DA80" w14:textId="3E8B402E" w:rsidR="00DA0B58" w:rsidRPr="00B4301D" w:rsidRDefault="00620459" w:rsidP="00620459">
      <w:pPr>
        <w:spacing w:line="360" w:lineRule="auto"/>
        <w:ind w:firstLine="720"/>
      </w:pPr>
      <w:r w:rsidRPr="00B4301D">
        <w:t>Secondly,</w:t>
      </w:r>
      <w:r w:rsidR="000B325C" w:rsidRPr="00B4301D">
        <w:t xml:space="preserve"> we used a definition of creativity which is extensive and includes not only creativity in terms of novel solutions and ideas, but also personally meaningful interpretations and viewpoints</w:t>
      </w:r>
      <w:r w:rsidR="00961A43" w:rsidRPr="00B4301D">
        <w:t xml:space="preserve"> </w:t>
      </w:r>
      <w:r w:rsidR="000B325C" w:rsidRPr="00B4301D">
        <w:fldChar w:fldCharType="begin" w:fldLock="1"/>
      </w:r>
      <w:r w:rsidR="00B21430" w:rsidRPr="00B4301D">
        <w:instrText>ADDIN CSL_CITATION {"citationItems":[{"id":"ITEM-1","itemData":{"DOI":"10.1037/a0013688","ISBN":"1089-2680\\r1939-1552","ISSN":"1089-2680","PMID":"20854159","abstract":"Most investigations of creativity tend to take one of two directions: everyday creativity (also called “little-c”), which can be found in nearly all people, and eminent creativity (also called “Big-C”), which is reserved for the great. In this paper, the authors propose a Four C model of creativity that expands this dichotomy. Specifically, the authors add the idea of “mini-c,” creativity inherent in the learning process, and Pro-c, the developmental and effortful progression beyond little-c that represents professional-level expertise in any creative area. The authors include different transitions and gradations of these four dimensions of creativity, and then discuss advantages and examples of the Four C Model. (PsycINFO Database Record (c) 2012 APA, all rights reserved). (journal abstract)","author":[{"dropping-particle":"","family":"Kaufman","given":"James C.","non-dropping-particle":"","parse-names":false,"suffix":""},{"dropping-particle":"","family":"Beghetto","given":"Ronald a.","non-dropping-particle":"","parse-names":false,"suffix":""}],"container-title":"Review of General Psychology","id":"ITEM-1","issue":"1","issued":{"date-parts":[["2009"]]},"page":"1-12","title":"Beyond Big and Little: The Four C Model of Creativity.","type":"article-journal","volume":"13"},"uris":["http://www.mendeley.com/documents/?uuid=9d229fbb-caf4-444e-a3c5-694942a41679"]},{"id":"ITEM-2","itemData":{"author":[{"dropping-particle":"","family":"Young","given":"J.G.","non-dropping-particle":"","parse-names":false,"suffix":""}],"container-title":"Journal of Creative Behavior","id":"ITEM-2","issue":"2","issued":{"date-parts":[["1985"]]},"page":"77-87","title":"What is creativity?","type":"article-journal","volume":"19"},"uris":["http://www.mendeley.com/documents/?uuid=ebb275a9-d49f-4e0e-ba51-aa20b00a6364"]}],"mendeley":{"formattedCitation":"(Kaufman &amp; Beghetto, 2009; J. G. Young, 1985)","plainTextFormattedCitation":"(Kaufman &amp; Beghetto, 2009; J. G. Young, 1985)","previouslyFormattedCitation":"(Kaufman &amp; Beghetto, 2009; J. G. Young, 1985)"},"properties":{"noteIndex":0},"schema":"https://github.com/citation-style-language/schema/raw/master/csl-citation.json"}</w:instrText>
      </w:r>
      <w:r w:rsidR="000B325C" w:rsidRPr="00B4301D">
        <w:fldChar w:fldCharType="separate"/>
      </w:r>
      <w:r w:rsidR="00836F44" w:rsidRPr="00B4301D">
        <w:rPr>
          <w:noProof/>
        </w:rPr>
        <w:t>(Kaufman &amp; Beghetto, 2009; J. G. Young, 1985)</w:t>
      </w:r>
      <w:r w:rsidR="000B325C" w:rsidRPr="00B4301D">
        <w:fldChar w:fldCharType="end"/>
      </w:r>
      <w:r w:rsidR="000B325C" w:rsidRPr="00B4301D">
        <w:t>.</w:t>
      </w:r>
      <w:r w:rsidRPr="00B4301D">
        <w:t xml:space="preserve"> </w:t>
      </w:r>
      <w:r w:rsidR="00961A43" w:rsidRPr="00B4301D">
        <w:t>F</w:t>
      </w:r>
      <w:r w:rsidR="00C06A54" w:rsidRPr="00B4301D">
        <w:t xml:space="preserve">ew studies have examined creativity from an affective change perspective and </w:t>
      </w:r>
      <w:r w:rsidR="007D1418" w:rsidRPr="00B4301D">
        <w:t xml:space="preserve">little </w:t>
      </w:r>
      <w:r w:rsidR="00C06A54" w:rsidRPr="00B4301D">
        <w:t xml:space="preserve">is known about how particular </w:t>
      </w:r>
      <w:r w:rsidR="003D3F6D" w:rsidRPr="00B4301D">
        <w:t>design considerations</w:t>
      </w:r>
      <w:r w:rsidR="00C06A54" w:rsidRPr="00B4301D">
        <w:t xml:space="preserve"> such as being able to choose the playable character’s personality may contribute to affective change in players. </w:t>
      </w:r>
      <w:r w:rsidR="009C2CA5" w:rsidRPr="00B4301D">
        <w:t xml:space="preserve">Previous studies which examined aspects of affective change such as reflection found both the narrative and mechanics of the game could facilitate both self-reflection and reflection of past experiences </w:t>
      </w:r>
      <w:r w:rsidR="009C2CA5" w:rsidRPr="00B4301D">
        <w:fldChar w:fldCharType="begin" w:fldLock="1"/>
      </w:r>
      <w:r w:rsidR="00357F49" w:rsidRPr="00B4301D">
        <w:instrText>ADDIN CSL_CITATION {"citationItems":[{"id":"ITEM-1","itemData":{"ISBN":"9781450356244","author":[{"dropping-particle":"","family":"Mekler","given":"Elisa D","non-dropping-particle":"","parse-names":false,"suffix":""},{"dropping-particle":"","family":"Iacovides","given":"Ioanna","non-dropping-particle":"","parse-names":false,"suffix":""},{"dropping-particle":"","family":"Bopp","given":"Julia Ayumi","non-dropping-particle":"","parse-names":false,"suffix":""}],"container-title":"CHI PLAY '18 Proceedings of the 2018 Annual Symposium on Computer-Human Interaction in Play","id":"ITEM-1","issued":{"date-parts":[["2018"]]},"page":"315-327","publisher-place":"Melbourne, Australia","title":"“ A Game that Makes You Question ...” Exploring the Role of Reflection for the Player Experience","type":"paper-conference"},"uris":["http://www.mendeley.com/documents/?uuid=9ec344d1-82cb-45d6-9ce6-564c155fde5f"]}],"mendeley":{"formattedCitation":"(Mekler et al., 2018)","plainTextFormattedCitation":"(Mekler et al., 2018)","previouslyFormattedCitation":"(Mekler et al., 2018)"},"properties":{"noteIndex":0},"schema":"https://github.com/citation-style-language/schema/raw/master/csl-citation.json"}</w:instrText>
      </w:r>
      <w:r w:rsidR="009C2CA5" w:rsidRPr="00B4301D">
        <w:fldChar w:fldCharType="separate"/>
      </w:r>
      <w:r w:rsidR="009C2CA5" w:rsidRPr="00B4301D">
        <w:rPr>
          <w:noProof/>
        </w:rPr>
        <w:t>(Mekler et al., 2018)</w:t>
      </w:r>
      <w:r w:rsidR="009C2CA5" w:rsidRPr="00B4301D">
        <w:fldChar w:fldCharType="end"/>
      </w:r>
      <w:r w:rsidR="009C2CA5" w:rsidRPr="00B4301D">
        <w:t>,</w:t>
      </w:r>
      <w:r w:rsidR="00DA0B58" w:rsidRPr="00B4301D">
        <w:t xml:space="preserve"> something which this study is able to confirm</w:t>
      </w:r>
      <w:r w:rsidRPr="00B4301D">
        <w:t xml:space="preserve">. </w:t>
      </w:r>
      <w:r w:rsidR="00DA0B58" w:rsidRPr="00B4301D">
        <w:t>Additionally, similar to both Mekler et al. (2018) and Bopp et al. (2018), it was found that despite presenting players with emotionally challenging narratives which involved instances of reflection</w:t>
      </w:r>
      <w:r w:rsidR="00961A43" w:rsidRPr="00B4301D">
        <w:t xml:space="preserve"> and</w:t>
      </w:r>
      <w:r w:rsidR="004B2E5D" w:rsidRPr="00B4301D">
        <w:t>/or</w:t>
      </w:r>
      <w:r w:rsidR="00961A43" w:rsidRPr="00B4301D">
        <w:t xml:space="preserve"> </w:t>
      </w:r>
      <w:r w:rsidR="00961A43" w:rsidRPr="00B4301D">
        <w:lastRenderedPageBreak/>
        <w:t>emotional</w:t>
      </w:r>
      <w:r w:rsidR="002C0317" w:rsidRPr="00B4301D">
        <w:t xml:space="preserve"> discomfort</w:t>
      </w:r>
      <w:r w:rsidR="00DA0B58" w:rsidRPr="00B4301D">
        <w:t xml:space="preserve">, many participants cited these experiences as enjoyable. This highlights the importance of design </w:t>
      </w:r>
      <w:r w:rsidR="003D3F6D" w:rsidRPr="00B4301D">
        <w:t>considerations</w:t>
      </w:r>
      <w:r w:rsidR="000B325C" w:rsidRPr="00B4301D">
        <w:t xml:space="preserve"> such as </w:t>
      </w:r>
      <w:r w:rsidR="00CF1BD2" w:rsidRPr="00B4301D">
        <w:rPr>
          <w:i/>
        </w:rPr>
        <w:t>a</w:t>
      </w:r>
      <w:r w:rsidR="000B325C" w:rsidRPr="00B4301D">
        <w:rPr>
          <w:i/>
        </w:rPr>
        <w:t>vatar</w:t>
      </w:r>
      <w:r w:rsidR="00CF1BD2" w:rsidRPr="00B4301D">
        <w:rPr>
          <w:i/>
        </w:rPr>
        <w:t xml:space="preserve">, narrative </w:t>
      </w:r>
      <w:r w:rsidR="00CF1BD2" w:rsidRPr="00B4301D">
        <w:t xml:space="preserve">and </w:t>
      </w:r>
      <w:proofErr w:type="spellStart"/>
      <w:r w:rsidR="00CF1BD2" w:rsidRPr="00B4301D">
        <w:rPr>
          <w:i/>
        </w:rPr>
        <w:t>r</w:t>
      </w:r>
      <w:r w:rsidR="000B325C" w:rsidRPr="00B4301D">
        <w:rPr>
          <w:i/>
        </w:rPr>
        <w:t>epla</w:t>
      </w:r>
      <w:r w:rsidR="007D1418" w:rsidRPr="00B4301D">
        <w:rPr>
          <w:i/>
        </w:rPr>
        <w:t>ya</w:t>
      </w:r>
      <w:r w:rsidR="000B325C" w:rsidRPr="00B4301D">
        <w:rPr>
          <w:i/>
        </w:rPr>
        <w:t>bility</w:t>
      </w:r>
      <w:proofErr w:type="spellEnd"/>
      <w:r w:rsidR="00DA0B58" w:rsidRPr="00B4301D">
        <w:t xml:space="preserve"> which support </w:t>
      </w:r>
      <w:r w:rsidR="002C0317" w:rsidRPr="00B4301D">
        <w:t>creativity as affective change</w:t>
      </w:r>
      <w:r w:rsidR="00DA0B58" w:rsidRPr="00B4301D">
        <w:t xml:space="preserve">. </w:t>
      </w:r>
    </w:p>
    <w:p w14:paraId="0DAA2278" w14:textId="6A5AC81E" w:rsidR="009C2CA5" w:rsidRPr="00B4301D" w:rsidRDefault="007D1418" w:rsidP="00D52861">
      <w:pPr>
        <w:spacing w:line="360" w:lineRule="auto"/>
        <w:ind w:firstLine="720"/>
      </w:pPr>
      <w:r w:rsidRPr="00B4301D">
        <w:t>Thirdly</w:t>
      </w:r>
      <w:r w:rsidR="00DA0B58" w:rsidRPr="00B4301D">
        <w:t xml:space="preserve">, </w:t>
      </w:r>
      <w:r w:rsidR="0006615A" w:rsidRPr="00B4301D">
        <w:t xml:space="preserve">although not the main focus of this study, </w:t>
      </w:r>
      <w:r w:rsidR="00DA0B58" w:rsidRPr="00B4301D">
        <w:t>t</w:t>
      </w:r>
      <w:r w:rsidR="00C06A54" w:rsidRPr="00B4301D">
        <w:t xml:space="preserve">he ability of games to inspire </w:t>
      </w:r>
      <w:r w:rsidR="0006615A" w:rsidRPr="00B4301D">
        <w:t xml:space="preserve">experiential </w:t>
      </w:r>
      <w:r w:rsidR="00C06A54" w:rsidRPr="00B4301D">
        <w:t>learning</w:t>
      </w:r>
      <w:r w:rsidR="0066736A" w:rsidRPr="00B4301D">
        <w:t xml:space="preserve"> and aid skill development</w:t>
      </w:r>
      <w:r w:rsidR="00C06A54" w:rsidRPr="00B4301D">
        <w:t xml:space="preserve"> </w:t>
      </w:r>
      <w:r w:rsidR="00EA47F4" w:rsidRPr="00B4301D">
        <w:t>has been well documented</w:t>
      </w:r>
      <w:r w:rsidR="00E52E45" w:rsidRPr="00B4301D">
        <w:t xml:space="preserve"> </w:t>
      </w:r>
      <w:r w:rsidR="00E52E45" w:rsidRPr="00B4301D">
        <w:fldChar w:fldCharType="begin" w:fldLock="1"/>
      </w:r>
      <w:r w:rsidR="003B17E9" w:rsidRPr="00B4301D">
        <w:instrText>ADDIN CSL_CITATION {"citationItems":[{"id":"ITEM-1","itemData":{"DOI":"10.1016/j.chb.2017.11.030","ISBN":"01708406","ISSN":"07475632","PMID":"5953223","abstract":"Qualitative interview data is presented in support of previously-published quantitative evidence that suggests commercial video games may be used to develop useful skills and competencies in undergraduate students. The purpose of the work described here was to document the attitudes of those students involved in the quantitative study and to explore how the game-based intervention was perceived. To this end, student attitudes to the use of specified games to develop communication skill, resourcefulness and adaptability are examined. A broadly positive perception of the games' efficacy for skills development is revealed, and the aspects of game play that students believe contribute to skills development are discussed. These aspects include the need to communicate with team mates in order to succeed, and the fluid, unpredictable nature of in-game challenges. It is suggested that while the games played an important role in skills development, interaction between students, facilitated by game play, was also a significant factor.","author":[{"dropping-particle":"","family":"Barr","given":"Matthew","non-dropping-particle":"","parse-names":false,"suffix":""}],"container-title":"Computers in Human Behavior","id":"ITEM-1","issued":{"date-parts":[["2018"]]},"page":"283-294","publisher":"Elsevier Ltd","title":"Student attitudes to games-based skills development: Learning from video games in higher education","type":"article-journal","volume":"80"},"uris":["http://www.mendeley.com/documents/?uuid=d6b4efb3-c1f1-499e-b37e-2a65933b410a"]},{"id":"ITEM-2","itemData":{"DOI":"10.1016/j.chb.2016.10.020","ISSN":"07475632","abstract":"In the past decade, there has been increasing interest in studying the educational affordances of Multiplayer Online Role Playing Games (MMORPGs). Using the KSAVE (Knowledge, Skills, Attitudes, Values, Ethics) 21st Century Skills framework, this paper presents the current state of the art in MMORPGs empirical research from 2010 to 2016, considering the latest overview reported in 2010. This review sought to determine the level of maturity of the body of MMORPGs research and to identify lacks of knowledge, with respect to 10 types of 21st Century Skills. The current work considered 120 research publications and categorized 49 empirical studies according to their research foci and results on one or more types of 21st Century Skills. The results revealed a strong body of evidence suggesting that MMORPGs are spaces in which a variety of 21st Century Skills can be fostered. Yet, most MMORPGs research focuses on the investigation of the communication skill (22% of the skills examined), whilst creativity and innovation as well as problem solving and information literacy are largely unexplored in this context. The discussion focuses on understudied areas in MMORPGs research aiming to advance future inquiry that addresses current challenges.","author":[{"dropping-particle":"","family":"Sourmelis","given":"Theodoros","non-dropping-particle":"","parse-names":false,"suffix":""},{"dropping-particle":"","family":"Ioannou","given":"Andri","non-dropping-particle":"","parse-names":false,"suffix":""},{"dropping-particle":"","family":"Zaphiris","given":"Panayiotis","non-dropping-particle":"","parse-names":false,"suffix":""}],"container-title":"Computers in Human Behavior","id":"ITEM-2","issued":{"date-parts":[["2017"]]},"page":"41-48","publisher":"Elsevier Ltd","title":"Massively Multiplayer Online Role Playing Games (MMORPGs) and the 21st century skills: A comprehensive research review from 2010 to 2016","type":"article-journal","volume":"67"},"uris":["http://www.mendeley.com/documents/?uuid=fc14cd73-f045-4a74-aa69-57ab508283a5"]},{"id":"ITEM-3","itemData":{"DOI":"10.1016/j.chb.2016.05.023","ISSN":"07475632","abstract":"Game-based learning and 21st century skills have been gaining an enormous amount of attention from researchers and practitioners. Given numerous studies support the positive effects of games on learning, a growing number of researchers are committed to developing educational games to promote students' 21st century skill development in schools. However, little is known regarding how games may influence student acquisition of 21st century skills. This paper examines the most recent literature in regard to game-based learning and identified 29 studies which targeted 21st century skills as outcomes. The range of game genres and game design elements as well as learning theories used in these studies are discussed, together with the range of indicators, measures and outcomes for impacts on 21st century skills. The findings suggest that a game-based learning approach might be effective in facilitating students' 21st century skill development. The paper also provides valuable insights for researchers, game designers, and educators in issues related to educational game design and implementation in general.","author":[{"dropping-particle":"","family":"Qian","given":"Meihua","non-dropping-particle":"","parse-names":false,"suffix":""},{"dropping-particle":"","family":"Clark","given":"Karen R.","non-dropping-particle":"","parse-names":false,"suffix":""}],"container-title":"Computers in Human Behavior","id":"ITEM-3","issued":{"date-parts":[["2016"]]},"page":"50-58","publisher":"Elsevier Ltd","title":"Game-based Learning and 21st century skills: A review of recent research","type":"article-journal","volume":"63"},"uris":["http://www.mendeley.com/documents/?uuid=3fdca8c9-9501-4958-a453-75a43abecd3f"]}],"mendeley":{"formattedCitation":"(M. Barr, 2018; Qian &amp; Clark, 2016; Sourmelis, Ioannou, &amp; Zaphiris, 2017)","manualFormatting":"(e.g. Barr, 2018; Qian &amp; Clark, 2016; Sourmelis et al., 2017)","plainTextFormattedCitation":"(M. Barr, 2018; Qian &amp; Clark, 2016; Sourmelis, Ioannou, &amp; Zaphiris, 2017)","previouslyFormattedCitation":"(M. Barr, 2018; Qian &amp; Clark, 2016; Sourmelis, Ioannou, &amp; Zaphiris, 2017)"},"properties":{"noteIndex":0},"schema":"https://github.com/citation-style-language/schema/raw/master/csl-citation.json"}</w:instrText>
      </w:r>
      <w:r w:rsidR="00E52E45" w:rsidRPr="00B4301D">
        <w:fldChar w:fldCharType="separate"/>
      </w:r>
      <w:r w:rsidR="0066736A" w:rsidRPr="00B4301D">
        <w:rPr>
          <w:noProof/>
        </w:rPr>
        <w:t>(e.g. Barr, 2018; Qian &amp; Clark, 2016; Sourmelis</w:t>
      </w:r>
      <w:r w:rsidR="00FB3ECC" w:rsidRPr="00B4301D">
        <w:rPr>
          <w:noProof/>
        </w:rPr>
        <w:t xml:space="preserve"> et al.</w:t>
      </w:r>
      <w:r w:rsidR="0066736A" w:rsidRPr="00B4301D">
        <w:rPr>
          <w:noProof/>
        </w:rPr>
        <w:t>, 2017)</w:t>
      </w:r>
      <w:r w:rsidR="00E52E45" w:rsidRPr="00B4301D">
        <w:fldChar w:fldCharType="end"/>
      </w:r>
      <w:r w:rsidR="009C2CA5" w:rsidRPr="00B4301D">
        <w:t>. While the findings outline the different forms of creative expression in digital games, little is known</w:t>
      </w:r>
      <w:r w:rsidR="00A50222" w:rsidRPr="00B4301D">
        <w:t>, still,</w:t>
      </w:r>
      <w:r w:rsidR="009C2CA5" w:rsidRPr="00B4301D">
        <w:t xml:space="preserve"> about what specific </w:t>
      </w:r>
      <w:r w:rsidR="00653355" w:rsidRPr="00B4301D">
        <w:t xml:space="preserve">creative </w:t>
      </w:r>
      <w:r w:rsidR="009C2CA5" w:rsidRPr="00B4301D">
        <w:t xml:space="preserve">skills players may develop from engaging in these different forms of creativity. As such, one implication of this study is to provide the groundwork for future </w:t>
      </w:r>
      <w:r w:rsidR="00A50222" w:rsidRPr="00B4301D">
        <w:t>investigations into</w:t>
      </w:r>
      <w:r w:rsidR="009C2CA5" w:rsidRPr="00B4301D">
        <w:t xml:space="preserve"> explor</w:t>
      </w:r>
      <w:r w:rsidR="00A50222" w:rsidRPr="00B4301D">
        <w:t>ing</w:t>
      </w:r>
      <w:r w:rsidR="009C2CA5" w:rsidRPr="00B4301D">
        <w:t xml:space="preserve"> this area and establish</w:t>
      </w:r>
      <w:r w:rsidR="00A50222" w:rsidRPr="00B4301D">
        <w:t>ing</w:t>
      </w:r>
      <w:r w:rsidR="009C2CA5" w:rsidRPr="00B4301D">
        <w:t xml:space="preserve"> what links there may be with different creative expressions and learning outcomes.</w:t>
      </w:r>
      <w:r w:rsidRPr="00B4301D">
        <w:t xml:space="preserve"> </w:t>
      </w:r>
    </w:p>
    <w:p w14:paraId="65099E12" w14:textId="703A7BE5" w:rsidR="00AE5C10" w:rsidRPr="00B4301D" w:rsidRDefault="009C2CA5" w:rsidP="00D52861">
      <w:pPr>
        <w:spacing w:line="360" w:lineRule="auto"/>
      </w:pPr>
      <w:r w:rsidRPr="00B4301D">
        <w:tab/>
      </w:r>
      <w:bookmarkStart w:id="4" w:name="_Hlk528071380"/>
      <w:r w:rsidR="007D1418" w:rsidRPr="00B4301D">
        <w:t>Finally</w:t>
      </w:r>
      <w:r w:rsidRPr="00B4301D">
        <w:t>, the findings of this study aim to inform game design both within entertainment and educational contexts</w:t>
      </w:r>
      <w:bookmarkEnd w:id="4"/>
      <w:r w:rsidRPr="00B4301D">
        <w:t>.</w:t>
      </w:r>
      <w:r w:rsidR="003B17E9" w:rsidRPr="00B4301D">
        <w:t xml:space="preserve"> This would benefit game developers and educators in providing a framework of the particular design </w:t>
      </w:r>
      <w:r w:rsidR="003D3F6D" w:rsidRPr="00B4301D">
        <w:t>considerations</w:t>
      </w:r>
      <w:r w:rsidR="003B17E9" w:rsidRPr="00B4301D">
        <w:t xml:space="preserve"> </w:t>
      </w:r>
      <w:r w:rsidR="0046142B" w:rsidRPr="00B4301D">
        <w:t>which</w:t>
      </w:r>
      <w:r w:rsidR="003B17E9" w:rsidRPr="00B4301D">
        <w:t xml:space="preserve"> support creativity.</w:t>
      </w:r>
      <w:r w:rsidRPr="00B4301D">
        <w:t xml:space="preserve"> </w:t>
      </w:r>
      <w:r w:rsidR="003B17E9" w:rsidRPr="00B4301D">
        <w:t xml:space="preserve">Mapping design </w:t>
      </w:r>
      <w:r w:rsidR="003D3F6D" w:rsidRPr="00B4301D">
        <w:t>considerations</w:t>
      </w:r>
      <w:r w:rsidR="003B17E9" w:rsidRPr="00B4301D">
        <w:t xml:space="preserve"> </w:t>
      </w:r>
      <w:r w:rsidR="0037567E" w:rsidRPr="00B4301D">
        <w:t xml:space="preserve">specific </w:t>
      </w:r>
      <w:r w:rsidR="003B17E9" w:rsidRPr="00B4301D">
        <w:t>to creativity can inform the design of future games that explicitly support creative play. It can also inform the design of formal learning experiences such as online learning courses that are structured around problem-solving</w:t>
      </w:r>
      <w:r w:rsidR="00904241" w:rsidRPr="00B4301D">
        <w:t>,</w:t>
      </w:r>
      <w:r w:rsidR="003B17E9" w:rsidRPr="00B4301D">
        <w:t xml:space="preserve"> appropriation</w:t>
      </w:r>
      <w:r w:rsidR="00904241" w:rsidRPr="00B4301D">
        <w:t xml:space="preserve"> and affective change</w:t>
      </w:r>
      <w:r w:rsidR="003B17E9" w:rsidRPr="00B4301D">
        <w:t>. As shown in this study, these elements can foster creative expression, which is one of the so-called 21</w:t>
      </w:r>
      <w:r w:rsidR="003B17E9" w:rsidRPr="00B4301D">
        <w:rPr>
          <w:vertAlign w:val="superscript"/>
        </w:rPr>
        <w:t>st</w:t>
      </w:r>
      <w:r w:rsidR="003B17E9" w:rsidRPr="00B4301D">
        <w:t xml:space="preserve"> century skills </w:t>
      </w:r>
      <w:r w:rsidR="003B17E9" w:rsidRPr="00B4301D">
        <w:fldChar w:fldCharType="begin" w:fldLock="1"/>
      </w:r>
      <w:r w:rsidR="00357F49" w:rsidRPr="00B4301D">
        <w:instrText>ADDIN CSL_CITATION {"citationItems":[{"id":"ITEM-1","itemData":{"DOI":"10.1007/978-94-007-2324-5_2","author":[{"dropping-particle":"","family":"Binkley","given":"M.","non-dropping-particle":"","parse-names":false,"suffix":""},{"dropping-particle":"","family":"Erstad","given":"O.","non-dropping-particle":"","parse-names":false,"suffix":""},{"dropping-particle":"","family":"Herman","given":"J.","non-dropping-particle":"","parse-names":false,"suffix":""},{"dropping-particle":"","family":"Raizen","given":"S.","non-dropping-particle":"","parse-names":false,"suffix":""},{"dropping-particle":"","family":"Ripley","given":"M.","non-dropping-particle":"","parse-names":false,"suffix":""},{"dropping-particle":"","family":"Miller-Ricci","given":"M.","non-dropping-particle":"","parse-names":false,"suffix":""},{"dropping-particle":"","family":"Rumble","given":"M.","non-dropping-particle":"","parse-names":false,"suffix":""}],"container-title":"Assessment and Teaching of 21st Century Skills","editor":[{"dropping-particle":"","family":"Griffin","given":"P.","non-dropping-particle":"","parse-names":false,"suffix":""},{"dropping-particle":"","family":"McGraw","given":"B.","non-dropping-particle":"","parse-names":false,"suffix":""},{"dropping-particle":"","family":"Care","given":"E.","non-dropping-particle":"","parse-names":false,"suffix":""}],"id":"ITEM-1","issued":{"date-parts":[["2012"]]},"page":"17-66","publisher":"Springer","publisher-place":"Australia","title":"Defining twenty-first century skills","type":"chapter"},"uris":["http://www.mendeley.com/documents/?uuid=d82dc4bb-325b-447e-baa5-19f8e2ebcba0"]},{"id":"ITEM-2","itemData":{"ISBN":"978-0-309-25649-0","author":[{"dropping-particle":"","family":"Pellegrino","given":"James W","non-dropping-particle":"","parse-names":false,"suffix":""},{"dropping-particle":"","family":"Hilton","given":"Margaret L","non-dropping-particle":"","parse-names":false,"suffix":""}],"id":"ITEM-2","issued":{"date-parts":[["2012"]]},"publisher":"THE NATIONAL ACADEMIES PRESS","publisher-place":"Washington, DC","title":"Education for Life and Work: Developing Transferable Knowledge and Skills in the 21st Century","type":"book"},"uris":["http://www.mendeley.com/documents/?uuid=aefbaa22-1560-3674-b255-1b07ca61f636"]}],"mendeley":{"formattedCitation":"(Binkley et al., 2012; Pellegrino &amp; Hilton, 2012)","manualFormatting":"(e.g. Binkley et al., 2012; Pellegrino &amp; Hilton, 2012)","plainTextFormattedCitation":"(Binkley et al., 2012; Pellegrino &amp; Hilton, 2012)","previouslyFormattedCitation":"(Binkley et al., 2012; Pellegrino &amp; Hilton, 2012)"},"properties":{"noteIndex":0},"schema":"https://github.com/citation-style-language/schema/raw/master/csl-citation.json"}</w:instrText>
      </w:r>
      <w:r w:rsidR="003B17E9" w:rsidRPr="00B4301D">
        <w:fldChar w:fldCharType="separate"/>
      </w:r>
      <w:r w:rsidR="003B17E9" w:rsidRPr="00B4301D">
        <w:rPr>
          <w:noProof/>
        </w:rPr>
        <w:t>(e.g. Binkley et al., 2012; Pellegrino &amp; Hilton, 2012)</w:t>
      </w:r>
      <w:r w:rsidR="003B17E9" w:rsidRPr="00B4301D">
        <w:fldChar w:fldCharType="end"/>
      </w:r>
      <w:r w:rsidR="003B17E9" w:rsidRPr="00B4301D">
        <w:t xml:space="preserve"> that educational systems should seek to nurture.</w:t>
      </w:r>
    </w:p>
    <w:p w14:paraId="084E1134" w14:textId="77777777" w:rsidR="00DA27BC" w:rsidRPr="00B4301D" w:rsidRDefault="00DA27BC" w:rsidP="00D52861">
      <w:pPr>
        <w:spacing w:line="360" w:lineRule="auto"/>
      </w:pPr>
    </w:p>
    <w:p w14:paraId="556408B7" w14:textId="3879101C" w:rsidR="005B7F4C" w:rsidRPr="00B4301D" w:rsidRDefault="00315E1A" w:rsidP="00D52861">
      <w:pPr>
        <w:pStyle w:val="Heading2"/>
        <w:spacing w:line="360" w:lineRule="auto"/>
        <w:rPr>
          <w:color w:val="auto"/>
          <w:lang w:val="en"/>
        </w:rPr>
      </w:pPr>
      <w:r w:rsidRPr="00B4301D">
        <w:rPr>
          <w:color w:val="auto"/>
          <w:lang w:val="en"/>
        </w:rPr>
        <w:t>5</w:t>
      </w:r>
      <w:r w:rsidR="00AE5C10" w:rsidRPr="00B4301D">
        <w:rPr>
          <w:color w:val="auto"/>
          <w:lang w:val="en"/>
        </w:rPr>
        <w:t>.</w:t>
      </w:r>
      <w:r w:rsidR="00E86E75" w:rsidRPr="00B4301D">
        <w:rPr>
          <w:color w:val="auto"/>
          <w:lang w:val="en"/>
        </w:rPr>
        <w:t>2.</w:t>
      </w:r>
      <w:r w:rsidR="00AE5C10" w:rsidRPr="00B4301D">
        <w:rPr>
          <w:color w:val="auto"/>
          <w:lang w:val="en"/>
        </w:rPr>
        <w:t xml:space="preserve"> </w:t>
      </w:r>
      <w:r w:rsidR="005B7F4C" w:rsidRPr="00B4301D">
        <w:rPr>
          <w:color w:val="auto"/>
          <w:lang w:val="en"/>
        </w:rPr>
        <w:t>Limitations and Future Recommendations</w:t>
      </w:r>
    </w:p>
    <w:p w14:paraId="79AF324A" w14:textId="2F21AFEE" w:rsidR="005B7F4C" w:rsidRPr="00B4301D" w:rsidRDefault="005B7F4C" w:rsidP="005B7F4C">
      <w:pPr>
        <w:spacing w:line="360" w:lineRule="auto"/>
        <w:rPr>
          <w:rFonts w:ascii="Calibri" w:hAnsi="Calibri" w:cs="Calibri"/>
          <w:lang w:val="en"/>
        </w:rPr>
      </w:pPr>
      <w:r w:rsidRPr="00B4301D">
        <w:rPr>
          <w:rFonts w:ascii="Calibri" w:hAnsi="Calibri" w:cs="Calibri"/>
          <w:lang w:val="en"/>
        </w:rPr>
        <w:t xml:space="preserve">Firstly, it has been argued that </w:t>
      </w:r>
      <w:r w:rsidRPr="00B4301D">
        <w:t xml:space="preserve">qualitative studies should gather data from 30 or more participants due to the “central limit theorem” where the more cases acquired correlate to how generalisable the conclusion can be </w:t>
      </w:r>
      <w:r w:rsidRPr="00B4301D">
        <w:fldChar w:fldCharType="begin" w:fldLock="1"/>
      </w:r>
      <w:r w:rsidRPr="00B4301D">
        <w:instrText>ADDIN CSL_CITATION {"citationItems":[{"id":"ITEM-1","itemData":{"DOI":"http://nbn-resolving.de/urn:nbn:de:0114-fqs0703262","ISBN":"1438-5627","ISSN":"14385627","PMID":"869241257","abstract":"In this article, I open a debate about the importance and possibilities of generalization in qualitative oriented research. Generalization traditionally is seen as a central aim of science, as a process of theory formulation for further applications. Others criticize the concept in general, either because of the insufficiency of inductive arguments (POPPER, 1959) or because of context specificity of all scientific findings (LINCOLN &amp; GUBA, 1985). In this paper, I argue that general- ization is necessary in qualitative research, but we have to differentiate different aims of generaliza- tion: laws, rules, context specific statements, similarities and differences, and procedures. There are different possibilities to arrive at a generalization: analysis of total population, falsification, random or stratified samples, argumentative generalization, theoretical sampling, variation, and triangulation. Depending on the type of research or research design some of those strategies of generalization can be important for qualitative oriented research. This is discussed especially in respect to single case analysis.","author":[{"dropping-particle":"","family":"Mayring","given":"Philipp","non-dropping-particle":"","parse-names":false,"suffix":""}],"container-title":"Forum Qualitative Sozialforschung","id":"ITEM-1","issue":"3","issued":{"date-parts":[["2007"]]},"title":"On generalization in qualitatively oriented research","type":"article-journal","volume":"8"},"uris":["http://www.mendeley.com/documents/?uuid=10af7373-2107-4854-b83d-6d2212d1dca2"]}],"mendeley":{"formattedCitation":"(Mayring, 2007)","plainTextFormattedCitation":"(Mayring, 2007)","previouslyFormattedCitation":"(Mayring, 2007)"},"properties":{"noteIndex":0},"schema":"https://github.com/citation-style-language/schema/raw/master/csl-citation.json"}</w:instrText>
      </w:r>
      <w:r w:rsidRPr="00B4301D">
        <w:fldChar w:fldCharType="separate"/>
      </w:r>
      <w:r w:rsidRPr="00B4301D">
        <w:rPr>
          <w:noProof/>
        </w:rPr>
        <w:t>(Mayring, 2007)</w:t>
      </w:r>
      <w:r w:rsidRPr="00B4301D">
        <w:fldChar w:fldCharType="end"/>
      </w:r>
      <w:r w:rsidRPr="00B4301D">
        <w:t xml:space="preserve">. </w:t>
      </w:r>
      <w:r w:rsidRPr="00B4301D">
        <w:rPr>
          <w:rFonts w:ascii="Calibri" w:hAnsi="Calibri" w:cs="Calibri"/>
          <w:lang w:val="en"/>
        </w:rPr>
        <w:t xml:space="preserve"> The data from a total of 38 participants was collected for this study using two different collection methods</w:t>
      </w:r>
      <w:r w:rsidR="00C727E9" w:rsidRPr="00B4301D">
        <w:rPr>
          <w:rFonts w:ascii="Calibri" w:hAnsi="Calibri" w:cs="Calibri"/>
          <w:lang w:val="en"/>
        </w:rPr>
        <w:t xml:space="preserve"> to allow</w:t>
      </w:r>
      <w:r w:rsidRPr="00B4301D">
        <w:rPr>
          <w:rFonts w:ascii="Calibri" w:hAnsi="Calibri" w:cs="Calibri"/>
          <w:lang w:val="en"/>
        </w:rPr>
        <w:t xml:space="preserve"> for data triangulation. Triangulation of data sources facilitates greater reflexivity during analysis </w:t>
      </w:r>
      <w:r w:rsidRPr="00B4301D">
        <w:rPr>
          <w:rFonts w:ascii="Calibri" w:hAnsi="Calibri" w:cs="Calibri"/>
          <w:lang w:val="en"/>
        </w:rPr>
        <w:fldChar w:fldCharType="begin" w:fldLock="1"/>
      </w:r>
      <w:r w:rsidRPr="00B4301D">
        <w:rPr>
          <w:rFonts w:ascii="Calibri" w:hAnsi="Calibri" w:cs="Calibri"/>
          <w:lang w:val="en"/>
        </w:rPr>
        <w:instrText>ADDIN CSL_CITATION {"citationItems":[{"id":"ITEM-1","itemData":{"author":[{"dropping-particle":"","family":"Mays","given":"N.","non-dropping-particle":"","parse-names":false,"suffix":""},{"dropping-particle":"","family":"Pope","given":"C.","non-dropping-particle":"","parse-names":false,"suffix":""}],"container-title":"BMJ: British Medical Journal","id":"ITEM-1","issue":"7226","issued":{"date-parts":[["2000"]]},"page":"50","title":"Qualitative research in health care: Assessing quality in qualitative research","type":"article-journal","volume":"320"},"uris":["http://www.mendeley.com/documents/?uuid=f6d43899-655e-477c-982b-44fc60d42432"]}],"mendeley":{"formattedCitation":"(Mays &amp; Pope, 2000)","plainTextFormattedCitation":"(Mays &amp; Pope, 2000)","previouslyFormattedCitation":"(Mays &amp; Pope, 2000)"},"properties":{"noteIndex":0},"schema":"https://github.com/citation-style-language/schema/raw/master/csl-citation.json"}</w:instrText>
      </w:r>
      <w:r w:rsidRPr="00B4301D">
        <w:rPr>
          <w:rFonts w:ascii="Calibri" w:hAnsi="Calibri" w:cs="Calibri"/>
          <w:lang w:val="en"/>
        </w:rPr>
        <w:fldChar w:fldCharType="separate"/>
      </w:r>
      <w:r w:rsidRPr="00B4301D">
        <w:rPr>
          <w:rFonts w:ascii="Calibri" w:hAnsi="Calibri" w:cs="Calibri"/>
          <w:noProof/>
          <w:lang w:val="en"/>
        </w:rPr>
        <w:t>(Mays &amp; Pope, 2000)</w:t>
      </w:r>
      <w:r w:rsidRPr="00B4301D">
        <w:rPr>
          <w:rFonts w:ascii="Calibri" w:hAnsi="Calibri" w:cs="Calibri"/>
          <w:lang w:val="en"/>
        </w:rPr>
        <w:fldChar w:fldCharType="end"/>
      </w:r>
      <w:r w:rsidRPr="00B4301D">
        <w:rPr>
          <w:rFonts w:ascii="Calibri" w:hAnsi="Calibri" w:cs="Calibri"/>
          <w:lang w:val="en"/>
        </w:rPr>
        <w:t xml:space="preserve"> and by utilizing semi-structured interviews and a narrative survey, data </w:t>
      </w:r>
      <w:r w:rsidR="0037567E" w:rsidRPr="00B4301D">
        <w:rPr>
          <w:rFonts w:ascii="Calibri" w:hAnsi="Calibri" w:cs="Calibri"/>
          <w:lang w:val="en"/>
        </w:rPr>
        <w:t>could</w:t>
      </w:r>
      <w:r w:rsidRPr="00B4301D">
        <w:rPr>
          <w:rFonts w:ascii="Calibri" w:hAnsi="Calibri" w:cs="Calibri"/>
          <w:lang w:val="en"/>
        </w:rPr>
        <w:t xml:space="preserve"> be compared and contrasted. Both methods were qualitative and further studies could benefit from </w:t>
      </w:r>
      <w:r w:rsidR="0037567E" w:rsidRPr="00B4301D">
        <w:rPr>
          <w:rFonts w:ascii="Calibri" w:hAnsi="Calibri" w:cs="Calibri"/>
          <w:lang w:val="en"/>
        </w:rPr>
        <w:t xml:space="preserve">adding </w:t>
      </w:r>
      <w:r w:rsidRPr="00B4301D">
        <w:rPr>
          <w:rFonts w:ascii="Calibri" w:hAnsi="Calibri" w:cs="Calibri"/>
          <w:lang w:val="en"/>
        </w:rPr>
        <w:t>quantitative methodologies to enable further validation. Additionally,</w:t>
      </w:r>
      <w:r w:rsidR="00867E86" w:rsidRPr="00B4301D">
        <w:rPr>
          <w:rFonts w:ascii="Calibri" w:hAnsi="Calibri" w:cs="Calibri"/>
          <w:lang w:val="en"/>
        </w:rPr>
        <w:t xml:space="preserve"> while</w:t>
      </w:r>
      <w:r w:rsidR="000160EA" w:rsidRPr="00B4301D">
        <w:rPr>
          <w:rFonts w:ascii="Calibri" w:hAnsi="Calibri" w:cs="Calibri"/>
          <w:lang w:val="en"/>
        </w:rPr>
        <w:t xml:space="preserve"> investigator triangulation was achieved through</w:t>
      </w:r>
      <w:r w:rsidR="00867E86" w:rsidRPr="00B4301D">
        <w:rPr>
          <w:rFonts w:ascii="Calibri" w:hAnsi="Calibri" w:cs="Calibri"/>
          <w:lang w:val="en"/>
        </w:rPr>
        <w:t xml:space="preserve"> cross-checking of thematic codes by three colleagues (involving going through the initial codes developed by the principal researcher for consistency and accurate portrayal of concepts),</w:t>
      </w:r>
      <w:r w:rsidRPr="00B4301D">
        <w:rPr>
          <w:rFonts w:ascii="Calibri" w:hAnsi="Calibri" w:cs="Calibri"/>
          <w:lang w:val="en"/>
        </w:rPr>
        <w:t xml:space="preserve"> the use of multiple </w:t>
      </w:r>
      <w:r w:rsidR="00867E86" w:rsidRPr="00B4301D">
        <w:rPr>
          <w:rFonts w:ascii="Calibri" w:hAnsi="Calibri" w:cs="Calibri"/>
          <w:lang w:val="en"/>
        </w:rPr>
        <w:t xml:space="preserve">independent </w:t>
      </w:r>
      <w:r w:rsidRPr="00B4301D">
        <w:rPr>
          <w:rFonts w:ascii="Calibri" w:hAnsi="Calibri" w:cs="Calibri"/>
          <w:lang w:val="en"/>
        </w:rPr>
        <w:t xml:space="preserve">coders to achieve “intersubjective consensus” </w:t>
      </w:r>
      <w:r w:rsidRPr="00B4301D">
        <w:rPr>
          <w:rFonts w:ascii="Calibri" w:hAnsi="Calibri" w:cs="Calibri"/>
          <w:lang w:val="en"/>
        </w:rPr>
        <w:fldChar w:fldCharType="begin" w:fldLock="1"/>
      </w:r>
      <w:r w:rsidR="00005F2C" w:rsidRPr="00B4301D">
        <w:rPr>
          <w:rFonts w:ascii="Calibri" w:hAnsi="Calibri" w:cs="Calibri"/>
          <w:lang w:val="en"/>
        </w:rPr>
        <w:instrText>ADDIN CSL_CITATION {"citationItems":[{"id":"ITEM-1","itemData":{"author":[{"dropping-particle":"","family":"Miles","given":"M. B.","non-dropping-particle":"","parse-names":false,"suffix":""},{"dropping-particle":"","family":"Huberman","given":"A. M.","non-dropping-particle":"","parse-names":false,"suffix":""}],"id":"ITEM-1","issued":{"date-parts":[["1994"]]},"publisher":"Sage Publications","title":"Qualitative data analysis: An expanded sourcebook","type":"book"},"uris":["http://www.mendeley.com/documents/?uuid=1444016c-1a93-4b5a-8f6d-56b8d75c2c1a"]}],"mendeley":{"formattedCitation":"(Miles &amp; Huberman, 1994)","manualFormatting":"(Miles &amp; Huberman, 1994, p.11)","plainTextFormattedCitation":"(Miles &amp; Huberman, 1994)","previouslyFormattedCitation":"(Miles &amp; Huberman, 1994)"},"properties":{"noteIndex":0},"schema":"https://github.com/citation-style-language/schema/raw/master/csl-citation.json"}</w:instrText>
      </w:r>
      <w:r w:rsidRPr="00B4301D">
        <w:rPr>
          <w:rFonts w:ascii="Calibri" w:hAnsi="Calibri" w:cs="Calibri"/>
          <w:lang w:val="en"/>
        </w:rPr>
        <w:fldChar w:fldCharType="separate"/>
      </w:r>
      <w:r w:rsidRPr="00B4301D">
        <w:rPr>
          <w:rFonts w:ascii="Calibri" w:hAnsi="Calibri" w:cs="Calibri"/>
          <w:noProof/>
          <w:lang w:val="en"/>
        </w:rPr>
        <w:t>(Miles &amp; Huberman, 1994, p.11)</w:t>
      </w:r>
      <w:r w:rsidRPr="00B4301D">
        <w:rPr>
          <w:rFonts w:ascii="Calibri" w:hAnsi="Calibri" w:cs="Calibri"/>
          <w:lang w:val="en"/>
        </w:rPr>
        <w:fldChar w:fldCharType="end"/>
      </w:r>
      <w:r w:rsidRPr="00B4301D">
        <w:rPr>
          <w:rFonts w:ascii="Calibri" w:hAnsi="Calibri" w:cs="Calibri"/>
          <w:lang w:val="en"/>
        </w:rPr>
        <w:t xml:space="preserve"> </w:t>
      </w:r>
      <w:r w:rsidR="00867E86" w:rsidRPr="00B4301D">
        <w:rPr>
          <w:rFonts w:ascii="Calibri" w:hAnsi="Calibri" w:cs="Calibri"/>
          <w:lang w:val="en"/>
        </w:rPr>
        <w:t>would</w:t>
      </w:r>
      <w:r w:rsidRPr="00B4301D">
        <w:rPr>
          <w:rFonts w:ascii="Calibri" w:hAnsi="Calibri" w:cs="Calibri"/>
          <w:lang w:val="en"/>
        </w:rPr>
        <w:t xml:space="preserve"> further aid external validation in subsequent qualitative studies. </w:t>
      </w:r>
    </w:p>
    <w:p w14:paraId="046BE376" w14:textId="52E2D707" w:rsidR="009A5A52" w:rsidRPr="006A4F78" w:rsidRDefault="00C727E9" w:rsidP="005B7F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color w:val="000000" w:themeColor="text1"/>
        </w:rPr>
      </w:pPr>
      <w:r w:rsidRPr="00B4301D">
        <w:lastRenderedPageBreak/>
        <w:tab/>
      </w:r>
      <w:r w:rsidR="005B7F4C" w:rsidRPr="00B4301D">
        <w:t xml:space="preserve">Secondly, </w:t>
      </w:r>
      <w:r w:rsidR="00B54943" w:rsidRPr="00B4301D">
        <w:t>it may be</w:t>
      </w:r>
      <w:r w:rsidR="005B7F4C" w:rsidRPr="00B4301D">
        <w:t xml:space="preserve"> that creative individuals are more drawn to games in general and that as a result they may become more creative </w:t>
      </w:r>
      <w:r w:rsidR="005B7F4C" w:rsidRPr="00B4301D">
        <w:fldChar w:fldCharType="begin" w:fldLock="1"/>
      </w:r>
      <w:r w:rsidR="005B7F4C" w:rsidRPr="00B4301D">
        <w:instrText>ADDIN CSL_CITATION {"citationItems":[{"id":"ITEM-1","itemData":{"DOI":"10.1089/g4h.2012.0064","ISBN":"2161-7856(Electronic);2161-783X(Print)","ISSN":"2161-783X","abstract":"In our research on the relationship between videogame playing and cognitive outcomes we found that children (n = 481, 12 year olds) who played videogames more were more creative than those who played them less. Here we summarize these findings and propose new research to identify mediating cognitive factors influenced by videogame playing.","author":[{"dropping-particle":"","family":"Jackson","given":"Linda A.","non-dropping-particle":"","parse-names":false,"suffix":""}],"container-title":"Games for Health Journal","id":"ITEM-1","issue":"6","issued":{"date-parts":[["2012"]]},"page":"452-455","title":"The Upside of Videogame Playing","type":"article-journal","volume":"1"},"uris":["http://www.mendeley.com/documents/?uuid=18967373-96ca-4f65-a1e9-3f792250518a"]},{"id":"ITEM-2","itemData":{"DOI":"10.1016/j.chb.2011.10.006","ISSN":"07475632","author":[{"dropping-particle":"","family":"Jackson","given":"Linda A.","non-dropping-particle":"","parse-names":false,"suffix":""},{"dropping-particle":"","family":"Witt","given":"Edward A.","non-dropping-particle":"","parse-names":false,"suffix":""},{"dropping-particle":"","family":"Games","given":"Alexander Ivan","non-dropping-particle":"","parse-names":false,"suffix":""},{"dropping-particle":"","family":"Fitzgerald","given":"Hiram E.","non-dropping-particle":"","parse-names":false,"suffix":""},{"dropping-particle":"","family":"Eye","given":"Alexander","non-dropping-particle":"von","parse-names":false,"suffix":""},{"dropping-particle":"","family":"Zhao","given":"Yong","non-dropping-particle":"","parse-names":false,"suffix":""}],"container-title":"Computers in Human Behavior","id":"ITEM-2","issue":"2","issued":{"date-parts":[["2012","3"]]},"page":"370-376","title":"Information technology use and creativity: Findings from the Children and Technology Project","type":"article-journal","volume":"28"},"uris":["http://www.mendeley.com/documents/?uuid=2c544de6-6e2b-375e-96cc-c13fc3b05b9c"]},{"id":"ITEM-3","itemData":{"DOI":"10.1080/0144929X.2010.526148","ISBN":"0144-929X","ISSN":"0144929X","PMID":"79987983","abstract":"This article deals with the issue of creativity and the way this can be supported within technology-enhanced learning experiments. Drawing on a long-term research project in the field of games-based learning, the article describes the methodology adopted during the in-field experiments carried out with the aim of developing young children’s creativity. The results of the study, which are presented and discussed, confirm the hypothesis that digital tools can contribute to fostering creativity. As a matter of fact, the analysis of the available data showed that during the 3-year study, students’ creative skills and attitudes appreciably increased, in particular those related to figuring out and enacting original solution strategies for the digital games at hand.","author":[{"dropping-particle":"","family":"Ott","given":"Michela","non-dropping-particle":"","parse-names":false,"suffix":""},{"dropping-particle":"","family":"Pozzi","given":"Francesca","non-dropping-particle":"","parse-names":false,"suffix":""}],"container-title":"Behaviour and Information Technology","id":"ITEM-3","issue":"10","issued":{"date-parts":[["2012"]]},"page":"1011-1019","title":"Digital games as creativity enablers for children","type":"article-journal","volume":"31"},"uris":["http://www.mendeley.com/documents/?uuid=a556832b-c4c7-4176-bcb4-b68899e803f7"]}],"mendeley":{"formattedCitation":"(Jackson, 2012; Jackson et al., 2012; Ott &amp; Pozzi, 2012)","plainTextFormattedCitation":"(Jackson, 2012; Jackson et al., 2012; Ott &amp; Pozzi, 2012)","previouslyFormattedCitation":"(Jackson, 2012; Jackson et al., 2012; Ott &amp; Pozzi, 2012)"},"properties":{"noteIndex":0},"schema":"https://github.com/citation-style-language/schema/raw/master/csl-citation.json"}</w:instrText>
      </w:r>
      <w:r w:rsidR="005B7F4C" w:rsidRPr="00B4301D">
        <w:fldChar w:fldCharType="separate"/>
      </w:r>
      <w:r w:rsidR="005B7F4C" w:rsidRPr="00B4301D">
        <w:rPr>
          <w:noProof/>
        </w:rPr>
        <w:t>(Jackson, 2012; Jackson et al., 2012; Ott &amp; Pozzi, 2012)</w:t>
      </w:r>
      <w:r w:rsidR="005B7F4C" w:rsidRPr="00B4301D">
        <w:fldChar w:fldCharType="end"/>
      </w:r>
      <w:r w:rsidR="005B7F4C" w:rsidRPr="00B4301D">
        <w:t>. The majority of participants in this study were already engaged in other creative pursuits such as writing fiction, playing</w:t>
      </w:r>
      <w:r w:rsidR="0037567E" w:rsidRPr="00B4301D">
        <w:t xml:space="preserve"> and </w:t>
      </w:r>
      <w:r w:rsidR="005B7F4C" w:rsidRPr="00B4301D">
        <w:t>composing music and creating arts</w:t>
      </w:r>
      <w:r w:rsidR="0037567E" w:rsidRPr="00B4301D">
        <w:t xml:space="preserve"> and </w:t>
      </w:r>
      <w:r w:rsidR="005B7F4C" w:rsidRPr="00B4301D">
        <w:t xml:space="preserve">crafts which may have made them pre-disposed to being creative in </w:t>
      </w:r>
      <w:r w:rsidR="00681EDC" w:rsidRPr="00B4301D">
        <w:t>digital games</w:t>
      </w:r>
      <w:r w:rsidR="0037567E" w:rsidRPr="00B4301D">
        <w:t xml:space="preserve"> to a higher degree</w:t>
      </w:r>
      <w:r w:rsidR="005B7F4C" w:rsidRPr="00B4301D">
        <w:t xml:space="preserve">, or at least more aware of their own creativity when </w:t>
      </w:r>
      <w:r w:rsidR="005B7F4C" w:rsidRPr="006A4F78">
        <w:rPr>
          <w:color w:val="000000" w:themeColor="text1"/>
        </w:rPr>
        <w:t xml:space="preserve">playing. As such, a comparative study of </w:t>
      </w:r>
      <w:r w:rsidR="00681EDC" w:rsidRPr="006A4F78">
        <w:rPr>
          <w:color w:val="000000" w:themeColor="text1"/>
        </w:rPr>
        <w:t>gamers</w:t>
      </w:r>
      <w:r w:rsidR="005B7F4C" w:rsidRPr="006A4F78">
        <w:rPr>
          <w:color w:val="000000" w:themeColor="text1"/>
        </w:rPr>
        <w:t xml:space="preserve"> and non-gamers </w:t>
      </w:r>
      <w:r w:rsidR="00B54943" w:rsidRPr="006A4F78">
        <w:rPr>
          <w:color w:val="000000" w:themeColor="text1"/>
        </w:rPr>
        <w:t xml:space="preserve">could help </w:t>
      </w:r>
      <w:r w:rsidR="005B7F4C" w:rsidRPr="006A4F78">
        <w:rPr>
          <w:color w:val="000000" w:themeColor="text1"/>
        </w:rPr>
        <w:t>to determine</w:t>
      </w:r>
      <w:r w:rsidR="00B54943" w:rsidRPr="006A4F78">
        <w:rPr>
          <w:color w:val="000000" w:themeColor="text1"/>
        </w:rPr>
        <w:t xml:space="preserve"> whether their</w:t>
      </w:r>
      <w:r w:rsidR="005B7F4C" w:rsidRPr="006A4F78">
        <w:rPr>
          <w:color w:val="000000" w:themeColor="text1"/>
        </w:rPr>
        <w:t xml:space="preserve"> perceptions of creativity</w:t>
      </w:r>
      <w:r w:rsidR="00B54943" w:rsidRPr="006A4F78">
        <w:rPr>
          <w:color w:val="000000" w:themeColor="text1"/>
        </w:rPr>
        <w:t xml:space="preserve"> differ</w:t>
      </w:r>
      <w:r w:rsidR="005B7F4C" w:rsidRPr="006A4F78">
        <w:rPr>
          <w:color w:val="000000" w:themeColor="text1"/>
        </w:rPr>
        <w:t xml:space="preserve">, as well as aspects of creativity that </w:t>
      </w:r>
      <w:r w:rsidR="00B54943" w:rsidRPr="006A4F78">
        <w:rPr>
          <w:color w:val="000000" w:themeColor="text1"/>
        </w:rPr>
        <w:t xml:space="preserve">may </w:t>
      </w:r>
      <w:r w:rsidR="005B7F4C" w:rsidRPr="006A4F78">
        <w:rPr>
          <w:color w:val="000000" w:themeColor="text1"/>
        </w:rPr>
        <w:t xml:space="preserve">transfer between domains. </w:t>
      </w:r>
      <w:r w:rsidR="0037567E" w:rsidRPr="006A4F78">
        <w:rPr>
          <w:color w:val="000000" w:themeColor="text1"/>
        </w:rPr>
        <w:t>Furthermore</w:t>
      </w:r>
      <w:r w:rsidR="005B7F4C" w:rsidRPr="006A4F78">
        <w:rPr>
          <w:color w:val="000000" w:themeColor="text1"/>
        </w:rPr>
        <w:t>, it would be beneficial to compare</w:t>
      </w:r>
      <w:r w:rsidRPr="006A4F78">
        <w:rPr>
          <w:color w:val="000000" w:themeColor="text1"/>
        </w:rPr>
        <w:t xml:space="preserve"> between</w:t>
      </w:r>
      <w:r w:rsidR="005B7F4C" w:rsidRPr="006A4F78">
        <w:rPr>
          <w:color w:val="000000" w:themeColor="text1"/>
        </w:rPr>
        <w:t xml:space="preserve"> those who currently engage in other creative pursuits and those who do not</w:t>
      </w:r>
      <w:r w:rsidRPr="006A4F78">
        <w:rPr>
          <w:color w:val="000000" w:themeColor="text1"/>
        </w:rPr>
        <w:t>.</w:t>
      </w:r>
    </w:p>
    <w:p w14:paraId="636003ED" w14:textId="276136E2" w:rsidR="003E0AF4" w:rsidRPr="00B4301D" w:rsidRDefault="003E0AF4" w:rsidP="005B7F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pPr>
      <w:r w:rsidRPr="006A4F78">
        <w:rPr>
          <w:color w:val="000000" w:themeColor="text1"/>
        </w:rPr>
        <w:tab/>
        <w:t xml:space="preserve">Finally, </w:t>
      </w:r>
      <w:r w:rsidR="00BD208B" w:rsidRPr="006A4F78">
        <w:rPr>
          <w:color w:val="000000" w:themeColor="text1"/>
        </w:rPr>
        <w:t xml:space="preserve">according to the Entertainment Software Association (ESA) in the US 46% of gamers are female and 54% male </w:t>
      </w:r>
      <w:r w:rsidR="00BD208B" w:rsidRPr="006A4F78">
        <w:rPr>
          <w:color w:val="000000" w:themeColor="text1"/>
        </w:rPr>
        <w:fldChar w:fldCharType="begin" w:fldLock="1"/>
      </w:r>
      <w:r w:rsidR="00BD208B" w:rsidRPr="006A4F78">
        <w:rPr>
          <w:color w:val="000000" w:themeColor="text1"/>
        </w:rPr>
        <w:instrText>ADDIN CSL_CITATION {"citationItems":[{"id":"ITEM-1","itemData":{"author":[{"dropping-particle":"","family":"ESA","given":"","non-dropping-particle":"","parse-names":false,"suffix":""}],"id":"ITEM-1","issued":{"date-parts":[["2019"]]},"title":"2019 Essential Facts About the Computer and Video Game Industry","type":"report"},"uris":["http://www.mendeley.com/documents/?uuid=0700ad1b-081f-3be1-8134-b09abdd65311"]}],"mendeley":{"formattedCitation":"(ESA, 2019)","plainTextFormattedCitation":"(ESA, 2019)","previouslyFormattedCitation":"(ESA, 2019)"},"properties":{"noteIndex":0},"schema":"https://github.com/citation-style-language/schema/raw/master/csl-citation.json"}</w:instrText>
      </w:r>
      <w:r w:rsidR="00BD208B" w:rsidRPr="006A4F78">
        <w:rPr>
          <w:color w:val="000000" w:themeColor="text1"/>
        </w:rPr>
        <w:fldChar w:fldCharType="separate"/>
      </w:r>
      <w:r w:rsidR="00BD208B" w:rsidRPr="006A4F78">
        <w:rPr>
          <w:noProof/>
          <w:color w:val="000000" w:themeColor="text1"/>
        </w:rPr>
        <w:t>(ESA, 2019)</w:t>
      </w:r>
      <w:r w:rsidR="00BD208B" w:rsidRPr="006A4F78">
        <w:rPr>
          <w:color w:val="000000" w:themeColor="text1"/>
        </w:rPr>
        <w:fldChar w:fldCharType="end"/>
      </w:r>
      <w:r w:rsidR="00BD208B" w:rsidRPr="006A4F78">
        <w:rPr>
          <w:color w:val="000000" w:themeColor="text1"/>
        </w:rPr>
        <w:t xml:space="preserve">. In Europe the numbers are the same </w:t>
      </w:r>
      <w:r w:rsidR="00BD208B" w:rsidRPr="006A4F78">
        <w:rPr>
          <w:color w:val="000000" w:themeColor="text1"/>
        </w:rPr>
        <w:fldChar w:fldCharType="begin" w:fldLock="1"/>
      </w:r>
      <w:r w:rsidR="00BD208B" w:rsidRPr="006A4F78">
        <w:rPr>
          <w:color w:val="000000" w:themeColor="text1"/>
        </w:rPr>
        <w:instrText>ADDIN CSL_CITATION {"citationItems":[{"id":"ITEM-1","itemData":{"DOI":"10.3389/fnhum.2018.00047","URL":"http://journal.frontiersin.org/article/10.3389/fnhum.2018.00047/full","accessed":{"date-parts":[["2019","9","12"]]},"author":[{"dropping-particle":"","family":"ISFE","given":"","non-dropping-particle":"","parse-names":false,"suffix":""}],"id":"ITEM-1","issued":{"date-parts":[["2019","9","12"]]},"title":"Games in Society","type":"webpage"},"uris":["http://www.mendeley.com/documents/?uuid=fa35d849-02fe-3a6a-a809-5eae02ef8f07"]}],"mendeley":{"formattedCitation":"(ISFE, 2019)","plainTextFormattedCitation":"(ISFE, 2019)","previouslyFormattedCitation":"(ISFE, 2019)"},"properties":{"noteIndex":0},"schema":"https://github.com/citation-style-language/schema/raw/master/csl-citation.json"}</w:instrText>
      </w:r>
      <w:r w:rsidR="00BD208B" w:rsidRPr="006A4F78">
        <w:rPr>
          <w:color w:val="000000" w:themeColor="text1"/>
        </w:rPr>
        <w:fldChar w:fldCharType="separate"/>
      </w:r>
      <w:r w:rsidR="00BD208B" w:rsidRPr="006A4F78">
        <w:rPr>
          <w:noProof/>
          <w:color w:val="000000" w:themeColor="text1"/>
        </w:rPr>
        <w:t>(ISFE, 2019)</w:t>
      </w:r>
      <w:r w:rsidR="00BD208B" w:rsidRPr="006A4F78">
        <w:rPr>
          <w:color w:val="000000" w:themeColor="text1"/>
        </w:rPr>
        <w:fldChar w:fldCharType="end"/>
      </w:r>
      <w:r w:rsidR="00BD208B" w:rsidRPr="006A4F78">
        <w:rPr>
          <w:color w:val="000000" w:themeColor="text1"/>
        </w:rPr>
        <w:t xml:space="preserve"> and in the UK the numbers are similar with 42% of gamers being female and 58% being male </w:t>
      </w:r>
      <w:r w:rsidR="00BD208B" w:rsidRPr="006A4F78">
        <w:rPr>
          <w:color w:val="000000" w:themeColor="text1"/>
        </w:rPr>
        <w:fldChar w:fldCharType="begin" w:fldLock="1"/>
      </w:r>
      <w:r w:rsidR="00BD208B" w:rsidRPr="006A4F78">
        <w:rPr>
          <w:color w:val="000000" w:themeColor="text1"/>
        </w:rPr>
        <w:instrText>ADDIN CSL_CITATION {"citationItems":[{"id":"ITEM-1","itemData":{"DOI":"10.1192/bjp.112.483.211-a","ISSN":"0007-1250","author":[{"dropping-particle":"","family":"Ukie","given":"","non-dropping-particle":"","parse-names":false,"suffix":""}],"container-title":"The Association for UK Interactice Entertainment","id":"ITEM-1","issued":{"date-parts":[["2018"]]},"title":"UK Video Games Fact Sheet","type":"report"},"uris":["http://www.mendeley.com/documents/?uuid=afcd16d7-bc80-419a-ac19-31cd6625863e"]}],"mendeley":{"formattedCitation":"(Ukie, 2018)","plainTextFormattedCitation":"(Ukie, 2018)","previouslyFormattedCitation":"(Ukie, 2018)"},"properties":{"noteIndex":0},"schema":"https://github.com/citation-style-language/schema/raw/master/csl-citation.json"}</w:instrText>
      </w:r>
      <w:r w:rsidR="00BD208B" w:rsidRPr="006A4F78">
        <w:rPr>
          <w:color w:val="000000" w:themeColor="text1"/>
        </w:rPr>
        <w:fldChar w:fldCharType="separate"/>
      </w:r>
      <w:r w:rsidR="00BD208B" w:rsidRPr="006A4F78">
        <w:rPr>
          <w:noProof/>
          <w:color w:val="000000" w:themeColor="text1"/>
        </w:rPr>
        <w:t>(Ukie, 2018)</w:t>
      </w:r>
      <w:r w:rsidR="00BD208B" w:rsidRPr="006A4F78">
        <w:rPr>
          <w:color w:val="000000" w:themeColor="text1"/>
        </w:rPr>
        <w:fldChar w:fldCharType="end"/>
      </w:r>
      <w:r w:rsidR="00BD208B" w:rsidRPr="006A4F78">
        <w:rPr>
          <w:color w:val="000000" w:themeColor="text1"/>
        </w:rPr>
        <w:t>. W</w:t>
      </w:r>
      <w:r w:rsidRPr="006A4F78">
        <w:rPr>
          <w:color w:val="000000" w:themeColor="text1"/>
        </w:rPr>
        <w:t>hile the narrative survey contained an equal number of both genders, the interview participants (including pilot) consisted of 16 males to 8 females. As such the views presented in this paper may be</w:t>
      </w:r>
      <w:r w:rsidR="008C76E8" w:rsidRPr="006A4F78">
        <w:rPr>
          <w:color w:val="000000" w:themeColor="text1"/>
        </w:rPr>
        <w:t xml:space="preserve"> somewhat</w:t>
      </w:r>
      <w:r w:rsidRPr="006A4F78">
        <w:rPr>
          <w:color w:val="000000" w:themeColor="text1"/>
        </w:rPr>
        <w:t xml:space="preserve"> biased in favour of male opinions. Wh</w:t>
      </w:r>
      <w:bookmarkStart w:id="5" w:name="_GoBack"/>
      <w:bookmarkEnd w:id="5"/>
      <w:r w:rsidRPr="006A4F78">
        <w:rPr>
          <w:color w:val="000000" w:themeColor="text1"/>
        </w:rPr>
        <w:t>ile measures were taken to try and equalise the numbers of male and female participants</w:t>
      </w:r>
      <w:r w:rsidRPr="00B4301D">
        <w:t>, predominantly male volunteers responded to the recruitment emails and went on to schedule interviews. Due to time restrictions on this study it was not possible to recruit additional female participants for interviews. For future studies it would be worth attempting to gain an equal number of both genders.</w:t>
      </w:r>
    </w:p>
    <w:p w14:paraId="472EADD2" w14:textId="77777777" w:rsidR="005B7F4C" w:rsidRPr="00B4301D" w:rsidRDefault="005B7F4C" w:rsidP="005B7F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cstheme="minorHAnsi"/>
        </w:rPr>
      </w:pPr>
    </w:p>
    <w:p w14:paraId="48D55D29" w14:textId="1BED7E6B" w:rsidR="00EB1647" w:rsidRPr="00B4301D" w:rsidRDefault="00315E1A" w:rsidP="00D52861">
      <w:pPr>
        <w:pStyle w:val="Heading2"/>
        <w:spacing w:line="360" w:lineRule="auto"/>
        <w:rPr>
          <w:color w:val="auto"/>
          <w:lang w:val="en"/>
        </w:rPr>
      </w:pPr>
      <w:r w:rsidRPr="00B4301D">
        <w:rPr>
          <w:color w:val="auto"/>
          <w:lang w:val="en"/>
        </w:rPr>
        <w:t>6</w:t>
      </w:r>
      <w:r w:rsidR="00AE5C10" w:rsidRPr="00B4301D">
        <w:rPr>
          <w:color w:val="auto"/>
          <w:lang w:val="en"/>
        </w:rPr>
        <w:t xml:space="preserve">. </w:t>
      </w:r>
      <w:r w:rsidR="00EB1647" w:rsidRPr="00B4301D">
        <w:rPr>
          <w:color w:val="auto"/>
          <w:lang w:val="en"/>
        </w:rPr>
        <w:t>Conclusions</w:t>
      </w:r>
    </w:p>
    <w:p w14:paraId="3127F9D3" w14:textId="65A7D404" w:rsidR="00B438A6" w:rsidRPr="00B4301D" w:rsidRDefault="004B0EF2">
      <w:pPr>
        <w:spacing w:line="360" w:lineRule="auto"/>
        <w:rPr>
          <w:rFonts w:ascii="Calibri" w:hAnsi="Calibri" w:cs="Calibri"/>
          <w:lang w:val="en"/>
        </w:rPr>
      </w:pPr>
      <w:r w:rsidRPr="00B4301D">
        <w:rPr>
          <w:rFonts w:ascii="Calibri" w:hAnsi="Calibri" w:cs="Calibri"/>
          <w:lang w:val="en"/>
        </w:rPr>
        <w:t>A qualitative methodology was adopted consisting of explorative semi-structured interviews and a narrative survey to explore what expressions of creativity occur across different types of digital games, and</w:t>
      </w:r>
      <w:r w:rsidR="008C2A2B" w:rsidRPr="00B4301D">
        <w:rPr>
          <w:rFonts w:ascii="Calibri" w:hAnsi="Calibri" w:cs="Calibri"/>
          <w:lang w:val="en"/>
        </w:rPr>
        <w:t>,</w:t>
      </w:r>
      <w:r w:rsidRPr="00B4301D">
        <w:rPr>
          <w:rFonts w:ascii="Calibri" w:hAnsi="Calibri" w:cs="Calibri"/>
          <w:lang w:val="en"/>
        </w:rPr>
        <w:t xml:space="preserve"> what game design </w:t>
      </w:r>
      <w:r w:rsidR="008C2A2B" w:rsidRPr="00B4301D">
        <w:rPr>
          <w:rFonts w:ascii="Calibri" w:hAnsi="Calibri" w:cs="Calibri"/>
          <w:lang w:val="en"/>
        </w:rPr>
        <w:t xml:space="preserve">considerations </w:t>
      </w:r>
      <w:r w:rsidRPr="00B4301D">
        <w:rPr>
          <w:rFonts w:ascii="Calibri" w:hAnsi="Calibri" w:cs="Calibri"/>
          <w:lang w:val="en"/>
        </w:rPr>
        <w:t xml:space="preserve">facilitate player creativity. Participants who took part were regular gamers and played a variety of different games on various gaming mediums. In total the data from 24 interviews and 14 narrative surveys was analyzed using </w:t>
      </w:r>
      <w:r w:rsidR="005F4510" w:rsidRPr="00B4301D">
        <w:rPr>
          <w:rFonts w:ascii="Calibri" w:hAnsi="Calibri" w:cs="Calibri"/>
          <w:lang w:val="en"/>
        </w:rPr>
        <w:t>a hybrid thematic approach consisting of both</w:t>
      </w:r>
      <w:r w:rsidRPr="00B4301D">
        <w:rPr>
          <w:rFonts w:ascii="Calibri" w:hAnsi="Calibri" w:cs="Calibri"/>
          <w:lang w:val="en"/>
        </w:rPr>
        <w:t xml:space="preserve"> deductive and inductive </w:t>
      </w:r>
      <w:r w:rsidR="005F4510" w:rsidRPr="00B4301D">
        <w:rPr>
          <w:rFonts w:ascii="Calibri" w:hAnsi="Calibri" w:cs="Calibri"/>
          <w:lang w:val="en"/>
        </w:rPr>
        <w:t>phases</w:t>
      </w:r>
      <w:r w:rsidR="00F47C00" w:rsidRPr="00B4301D">
        <w:rPr>
          <w:rFonts w:ascii="Calibri" w:hAnsi="Calibri" w:cs="Calibri"/>
          <w:lang w:val="en"/>
        </w:rPr>
        <w:t>.</w:t>
      </w:r>
    </w:p>
    <w:p w14:paraId="32A4C62E" w14:textId="28EE8F79" w:rsidR="00C62D16" w:rsidRPr="00B4301D" w:rsidRDefault="00035F4B" w:rsidP="00CE74C2">
      <w:pPr>
        <w:spacing w:line="360" w:lineRule="auto"/>
        <w:rPr>
          <w:rFonts w:ascii="Calibri" w:hAnsi="Calibri" w:cs="Calibri"/>
          <w:lang w:val="en"/>
        </w:rPr>
      </w:pPr>
      <w:r w:rsidRPr="00B4301D">
        <w:rPr>
          <w:rFonts w:ascii="Calibri" w:hAnsi="Calibri" w:cs="Calibri"/>
          <w:lang w:val="en"/>
        </w:rPr>
        <w:tab/>
      </w:r>
      <w:r w:rsidR="00867086" w:rsidRPr="00B4301D">
        <w:rPr>
          <w:rFonts w:ascii="Calibri" w:hAnsi="Calibri" w:cs="Calibri"/>
          <w:lang w:val="en"/>
        </w:rPr>
        <w:t xml:space="preserve">Three </w:t>
      </w:r>
      <w:r w:rsidRPr="00B4301D">
        <w:rPr>
          <w:rFonts w:ascii="Calibri" w:hAnsi="Calibri" w:cs="Calibri"/>
          <w:lang w:val="en"/>
        </w:rPr>
        <w:t xml:space="preserve">main </w:t>
      </w:r>
      <w:r w:rsidR="00C62D16" w:rsidRPr="00B4301D">
        <w:rPr>
          <w:rFonts w:ascii="Calibri" w:hAnsi="Calibri" w:cs="Calibri"/>
          <w:lang w:val="en"/>
        </w:rPr>
        <w:t>forms</w:t>
      </w:r>
      <w:r w:rsidRPr="00B4301D">
        <w:rPr>
          <w:rFonts w:ascii="Calibri" w:hAnsi="Calibri" w:cs="Calibri"/>
          <w:lang w:val="en"/>
        </w:rPr>
        <w:t xml:space="preserve"> of creative expression</w:t>
      </w:r>
      <w:r w:rsidR="00867086" w:rsidRPr="00B4301D">
        <w:rPr>
          <w:rFonts w:ascii="Calibri" w:hAnsi="Calibri" w:cs="Calibri"/>
          <w:lang w:val="en"/>
        </w:rPr>
        <w:t xml:space="preserve"> were identified</w:t>
      </w:r>
      <w:r w:rsidR="00C57435" w:rsidRPr="00B4301D">
        <w:rPr>
          <w:rFonts w:ascii="Calibri" w:hAnsi="Calibri" w:cs="Calibri"/>
          <w:lang w:val="en"/>
        </w:rPr>
        <w:t>, along with seven</w:t>
      </w:r>
      <w:r w:rsidR="00C62D16" w:rsidRPr="00B4301D">
        <w:rPr>
          <w:rFonts w:ascii="Calibri" w:hAnsi="Calibri" w:cs="Calibri"/>
          <w:lang w:val="en"/>
        </w:rPr>
        <w:t xml:space="preserve"> design considerations which supported them. Please see </w:t>
      </w:r>
      <w:r w:rsidR="008C76E8" w:rsidRPr="00B4301D">
        <w:rPr>
          <w:rFonts w:ascii="Calibri" w:hAnsi="Calibri" w:cs="Calibri"/>
          <w:lang w:val="en"/>
        </w:rPr>
        <w:t xml:space="preserve">Figure </w:t>
      </w:r>
      <w:r w:rsidR="00C62D16" w:rsidRPr="00B4301D">
        <w:rPr>
          <w:rFonts w:ascii="Calibri" w:hAnsi="Calibri" w:cs="Calibri"/>
          <w:lang w:val="en"/>
        </w:rPr>
        <w:t>1 for an illustration.</w:t>
      </w:r>
    </w:p>
    <w:p w14:paraId="02D5F17C" w14:textId="280DA1F3" w:rsidR="00C62D16" w:rsidRPr="00B4301D" w:rsidRDefault="00C62D16" w:rsidP="00CE74C2">
      <w:pPr>
        <w:spacing w:line="360" w:lineRule="auto"/>
        <w:rPr>
          <w:rFonts w:ascii="Calibri" w:hAnsi="Calibri" w:cs="Calibri"/>
          <w:lang w:val="en"/>
        </w:rPr>
      </w:pPr>
      <w:r w:rsidRPr="00B4301D">
        <w:rPr>
          <w:rFonts w:ascii="Calibri" w:hAnsi="Calibri" w:cs="Calibri"/>
          <w:noProof/>
          <w:lang w:eastAsia="en-GB"/>
        </w:rPr>
        <w:lastRenderedPageBreak/>
        <w:drawing>
          <wp:inline distT="0" distB="0" distL="0" distR="0" wp14:anchorId="56D3C452" wp14:editId="583C8035">
            <wp:extent cx="5323388" cy="3371499"/>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53679" cy="3390684"/>
                    </a:xfrm>
                    <a:prstGeom prst="rect">
                      <a:avLst/>
                    </a:prstGeom>
                    <a:noFill/>
                    <a:ln>
                      <a:noFill/>
                    </a:ln>
                  </pic:spPr>
                </pic:pic>
              </a:graphicData>
            </a:graphic>
          </wp:inline>
        </w:drawing>
      </w:r>
    </w:p>
    <w:p w14:paraId="675C7308" w14:textId="16904FAF" w:rsidR="00C62D16" w:rsidRPr="00B4301D" w:rsidRDefault="008708E2" w:rsidP="00DE3B7D">
      <w:pPr>
        <w:spacing w:line="360" w:lineRule="auto"/>
        <w:ind w:firstLine="720"/>
        <w:rPr>
          <w:rFonts w:ascii="Calibri" w:hAnsi="Calibri" w:cs="Calibri"/>
          <w:i/>
          <w:sz w:val="18"/>
          <w:szCs w:val="18"/>
          <w:lang w:val="en"/>
        </w:rPr>
      </w:pPr>
      <w:r w:rsidRPr="00B4301D">
        <w:rPr>
          <w:rFonts w:ascii="Calibri" w:hAnsi="Calibri" w:cs="Calibri"/>
          <w:i/>
          <w:sz w:val="18"/>
          <w:szCs w:val="18"/>
          <w:lang w:val="en"/>
        </w:rPr>
        <w:t>Figure</w:t>
      </w:r>
      <w:r w:rsidR="00C62D16" w:rsidRPr="00B4301D">
        <w:rPr>
          <w:rFonts w:ascii="Calibri" w:hAnsi="Calibri" w:cs="Calibri"/>
          <w:i/>
          <w:sz w:val="18"/>
          <w:szCs w:val="18"/>
          <w:lang w:val="en"/>
        </w:rPr>
        <w:t xml:space="preserve"> 1: Forms of Creative Expression and Supporting Design Considerations</w:t>
      </w:r>
    </w:p>
    <w:p w14:paraId="5B5A35A3" w14:textId="464F32CB" w:rsidR="00241D95" w:rsidRPr="00B4301D" w:rsidRDefault="00035F4B" w:rsidP="00C62D16">
      <w:pPr>
        <w:spacing w:line="360" w:lineRule="auto"/>
        <w:ind w:firstLine="720"/>
        <w:rPr>
          <w:rFonts w:ascii="Calibri" w:hAnsi="Calibri" w:cs="Calibri"/>
          <w:lang w:val="en"/>
        </w:rPr>
      </w:pPr>
      <w:r w:rsidRPr="00B4301D">
        <w:rPr>
          <w:rFonts w:ascii="Calibri" w:hAnsi="Calibri" w:cs="Calibri"/>
          <w:lang w:val="en"/>
        </w:rPr>
        <w:t xml:space="preserve">Creativity as problem-solving involved the creation of novel strategies, usually via an experiential approach involving reflection and further refinement. When strategies were not successful or led to </w:t>
      </w:r>
      <w:r w:rsidR="000B5178" w:rsidRPr="00B4301D">
        <w:rPr>
          <w:rFonts w:ascii="Calibri" w:hAnsi="Calibri" w:cs="Calibri"/>
          <w:lang w:val="en"/>
        </w:rPr>
        <w:t>a gameplay</w:t>
      </w:r>
      <w:r w:rsidRPr="00B4301D">
        <w:rPr>
          <w:rFonts w:ascii="Calibri" w:hAnsi="Calibri" w:cs="Calibri"/>
          <w:lang w:val="en"/>
        </w:rPr>
        <w:t xml:space="preserve"> breakdown, participants mentioned various ways in which they managed such instances.</w:t>
      </w:r>
      <w:r w:rsidR="00727FFA" w:rsidRPr="00B4301D">
        <w:rPr>
          <w:rFonts w:ascii="Calibri" w:hAnsi="Calibri" w:cs="Calibri"/>
          <w:lang w:val="en"/>
        </w:rPr>
        <w:t xml:space="preserve"> Creativity as problem-solving was promoted by design </w:t>
      </w:r>
      <w:r w:rsidR="003D3F6D" w:rsidRPr="00B4301D">
        <w:rPr>
          <w:rFonts w:ascii="Calibri" w:hAnsi="Calibri" w:cs="Calibri"/>
          <w:lang w:val="en"/>
        </w:rPr>
        <w:t>considerations</w:t>
      </w:r>
      <w:r w:rsidR="00727FFA" w:rsidRPr="00B4301D">
        <w:rPr>
          <w:rFonts w:ascii="Calibri" w:hAnsi="Calibri" w:cs="Calibri"/>
          <w:lang w:val="en"/>
        </w:rPr>
        <w:t xml:space="preserve"> for </w:t>
      </w:r>
      <w:r w:rsidR="00727FFA" w:rsidRPr="00B4301D">
        <w:rPr>
          <w:rFonts w:ascii="Calibri" w:hAnsi="Calibri" w:cs="Calibri"/>
          <w:i/>
          <w:lang w:val="en"/>
        </w:rPr>
        <w:t xml:space="preserve">freedom of play, tools </w:t>
      </w:r>
      <w:r w:rsidR="00727FFA" w:rsidRPr="00B4301D">
        <w:rPr>
          <w:rFonts w:ascii="Calibri" w:hAnsi="Calibri" w:cs="Calibri"/>
          <w:lang w:val="en"/>
        </w:rPr>
        <w:t xml:space="preserve">and </w:t>
      </w:r>
      <w:r w:rsidR="00727FFA" w:rsidRPr="00B4301D">
        <w:rPr>
          <w:rFonts w:ascii="Calibri" w:hAnsi="Calibri" w:cs="Calibri"/>
          <w:i/>
          <w:lang w:val="en"/>
        </w:rPr>
        <w:t>environment</w:t>
      </w:r>
      <w:r w:rsidR="00241D95" w:rsidRPr="00B4301D">
        <w:rPr>
          <w:rFonts w:ascii="Calibri" w:hAnsi="Calibri" w:cs="Calibri"/>
          <w:i/>
          <w:lang w:val="en"/>
        </w:rPr>
        <w:t xml:space="preserve"> </w:t>
      </w:r>
      <w:r w:rsidR="00241D95" w:rsidRPr="00B4301D">
        <w:rPr>
          <w:rFonts w:ascii="Calibri" w:hAnsi="Calibri" w:cs="Calibri"/>
          <w:lang w:val="en"/>
        </w:rPr>
        <w:t>which allowed players the opportunity to try out different ways of doing things, combine different game variables to form novel strategies and use the game terrain to their advantage</w:t>
      </w:r>
      <w:r w:rsidR="00727FFA" w:rsidRPr="00B4301D">
        <w:rPr>
          <w:rFonts w:ascii="Calibri" w:hAnsi="Calibri" w:cs="Calibri"/>
          <w:i/>
          <w:lang w:val="en"/>
        </w:rPr>
        <w:t>.</w:t>
      </w:r>
      <w:r w:rsidRPr="00B4301D">
        <w:rPr>
          <w:rFonts w:ascii="Calibri" w:hAnsi="Calibri" w:cs="Calibri"/>
          <w:lang w:val="en"/>
        </w:rPr>
        <w:t xml:space="preserve"> </w:t>
      </w:r>
    </w:p>
    <w:p w14:paraId="60F27D5F" w14:textId="70EB7190" w:rsidR="00241D95" w:rsidRPr="00B4301D" w:rsidRDefault="00035F4B" w:rsidP="00CE74C2">
      <w:pPr>
        <w:spacing w:line="360" w:lineRule="auto"/>
        <w:ind w:firstLine="720"/>
        <w:rPr>
          <w:rFonts w:ascii="Calibri" w:hAnsi="Calibri" w:cs="Calibri"/>
          <w:lang w:val="en"/>
        </w:rPr>
      </w:pPr>
      <w:r w:rsidRPr="00B4301D">
        <w:rPr>
          <w:rFonts w:ascii="Calibri" w:hAnsi="Calibri" w:cs="Calibri"/>
          <w:lang w:val="en"/>
        </w:rPr>
        <w:t xml:space="preserve">Creativity as appropriation included the ways in which players engaged in emergent and transgressive forms of play, often deviating from the way the game was “meant” to be played. Examples of this included finding alternate uses for existing game mechanics, using glitches both as a form of exploration and progression, and creating additional challenges such as altering the overall goal of the game in the case of </w:t>
      </w:r>
      <w:proofErr w:type="spellStart"/>
      <w:r w:rsidRPr="00B4301D">
        <w:rPr>
          <w:rFonts w:ascii="Calibri" w:hAnsi="Calibri" w:cs="Calibri"/>
          <w:lang w:val="en"/>
        </w:rPr>
        <w:t>speedrunning</w:t>
      </w:r>
      <w:proofErr w:type="spellEnd"/>
      <w:r w:rsidRPr="00B4301D">
        <w:rPr>
          <w:rFonts w:ascii="Calibri" w:hAnsi="Calibri" w:cs="Calibri"/>
          <w:lang w:val="en"/>
        </w:rPr>
        <w:t xml:space="preserve">. </w:t>
      </w:r>
      <w:r w:rsidR="00241D95" w:rsidRPr="00B4301D">
        <w:rPr>
          <w:rFonts w:ascii="Calibri" w:hAnsi="Calibri" w:cs="Calibri"/>
          <w:lang w:val="en"/>
        </w:rPr>
        <w:t xml:space="preserve">Design </w:t>
      </w:r>
      <w:r w:rsidR="003D3F6D" w:rsidRPr="00B4301D">
        <w:rPr>
          <w:rFonts w:ascii="Calibri" w:hAnsi="Calibri" w:cs="Calibri"/>
          <w:lang w:val="en"/>
        </w:rPr>
        <w:t>considerations</w:t>
      </w:r>
      <w:r w:rsidR="00241D95" w:rsidRPr="00B4301D">
        <w:rPr>
          <w:rFonts w:ascii="Calibri" w:hAnsi="Calibri" w:cs="Calibri"/>
          <w:lang w:val="en"/>
        </w:rPr>
        <w:t xml:space="preserve"> for creativity as appropriation included </w:t>
      </w:r>
      <w:r w:rsidR="00C62D16" w:rsidRPr="00B4301D">
        <w:rPr>
          <w:rFonts w:ascii="Calibri" w:hAnsi="Calibri" w:cs="Calibri"/>
          <w:lang w:val="en"/>
        </w:rPr>
        <w:t xml:space="preserve">testing the boundaries of permitted gameplay through </w:t>
      </w:r>
      <w:r w:rsidR="00C62D16" w:rsidRPr="00B4301D">
        <w:rPr>
          <w:rFonts w:ascii="Calibri" w:hAnsi="Calibri" w:cs="Calibri"/>
          <w:i/>
          <w:lang w:val="en"/>
        </w:rPr>
        <w:t>freedom of play</w:t>
      </w:r>
      <w:r w:rsidR="00C62D16" w:rsidRPr="00B4301D">
        <w:rPr>
          <w:rFonts w:ascii="Calibri" w:hAnsi="Calibri" w:cs="Calibri"/>
          <w:lang w:val="en"/>
        </w:rPr>
        <w:t xml:space="preserve">, </w:t>
      </w:r>
      <w:r w:rsidR="00241D95" w:rsidRPr="00B4301D">
        <w:rPr>
          <w:rFonts w:ascii="Calibri" w:hAnsi="Calibri" w:cs="Calibri"/>
          <w:lang w:val="en"/>
        </w:rPr>
        <w:t xml:space="preserve">fostering emergent forms of play </w:t>
      </w:r>
      <w:r w:rsidR="00C62D16" w:rsidRPr="00B4301D">
        <w:rPr>
          <w:rFonts w:ascii="Calibri" w:hAnsi="Calibri" w:cs="Calibri"/>
          <w:lang w:val="en"/>
        </w:rPr>
        <w:t>by</w:t>
      </w:r>
      <w:r w:rsidR="00241D95" w:rsidRPr="00B4301D">
        <w:rPr>
          <w:rFonts w:ascii="Calibri" w:hAnsi="Calibri" w:cs="Calibri"/>
          <w:lang w:val="en"/>
        </w:rPr>
        <w:t xml:space="preserve"> providing a variety of </w:t>
      </w:r>
      <w:r w:rsidR="00241D95" w:rsidRPr="00B4301D">
        <w:rPr>
          <w:rFonts w:ascii="Calibri" w:hAnsi="Calibri" w:cs="Calibri"/>
          <w:i/>
          <w:lang w:val="en"/>
        </w:rPr>
        <w:t>tools</w:t>
      </w:r>
      <w:r w:rsidR="00241D95" w:rsidRPr="00B4301D">
        <w:rPr>
          <w:rFonts w:ascii="Calibri" w:hAnsi="Calibri" w:cs="Calibri"/>
          <w:lang w:val="en"/>
        </w:rPr>
        <w:t xml:space="preserve"> an</w:t>
      </w:r>
      <w:r w:rsidR="009A5A52" w:rsidRPr="00B4301D">
        <w:rPr>
          <w:rFonts w:ascii="Calibri" w:hAnsi="Calibri" w:cs="Calibri"/>
          <w:lang w:val="en"/>
        </w:rPr>
        <w:t xml:space="preserve">d allowing games to be open to player </w:t>
      </w:r>
      <w:r w:rsidR="009A5A52" w:rsidRPr="00B4301D">
        <w:rPr>
          <w:rFonts w:ascii="Calibri" w:hAnsi="Calibri" w:cs="Calibri"/>
          <w:i/>
          <w:lang w:val="en"/>
        </w:rPr>
        <w:t>creation</w:t>
      </w:r>
      <w:r w:rsidR="009A5A52" w:rsidRPr="00B4301D">
        <w:rPr>
          <w:rFonts w:ascii="Calibri" w:hAnsi="Calibri" w:cs="Calibri"/>
          <w:lang w:val="en"/>
        </w:rPr>
        <w:t xml:space="preserve"> by encouraging and permitting player modif</w:t>
      </w:r>
      <w:r w:rsidR="00273681" w:rsidRPr="00B4301D">
        <w:rPr>
          <w:rFonts w:ascii="Calibri" w:hAnsi="Calibri" w:cs="Calibri"/>
          <w:lang w:val="en"/>
        </w:rPr>
        <w:t>i</w:t>
      </w:r>
      <w:r w:rsidR="009A5A52" w:rsidRPr="00B4301D">
        <w:rPr>
          <w:rFonts w:ascii="Calibri" w:hAnsi="Calibri" w:cs="Calibri"/>
          <w:lang w:val="en"/>
        </w:rPr>
        <w:t>cations.</w:t>
      </w:r>
    </w:p>
    <w:p w14:paraId="76BB2C13" w14:textId="4AC0898B" w:rsidR="00AE19A7" w:rsidRPr="00B4301D" w:rsidRDefault="00EA492C">
      <w:pPr>
        <w:spacing w:line="360" w:lineRule="auto"/>
        <w:ind w:firstLine="720"/>
      </w:pPr>
      <w:r w:rsidRPr="00B4301D">
        <w:rPr>
          <w:rFonts w:ascii="Calibri" w:hAnsi="Calibri" w:cs="Calibri"/>
          <w:lang w:val="en"/>
        </w:rPr>
        <w:t>Finally, c</w:t>
      </w:r>
      <w:r w:rsidR="00035F4B" w:rsidRPr="00B4301D">
        <w:rPr>
          <w:rFonts w:ascii="Calibri" w:hAnsi="Calibri" w:cs="Calibri"/>
          <w:lang w:val="en"/>
        </w:rPr>
        <w:t xml:space="preserve">reativity as affective change involved interpretations of the </w:t>
      </w:r>
      <w:r w:rsidR="00C62D16" w:rsidRPr="00B4301D">
        <w:rPr>
          <w:rFonts w:ascii="Calibri" w:hAnsi="Calibri" w:cs="Calibri"/>
          <w:lang w:val="en"/>
        </w:rPr>
        <w:t>game</w:t>
      </w:r>
      <w:r w:rsidR="0037567E" w:rsidRPr="00B4301D">
        <w:rPr>
          <w:rFonts w:ascii="Calibri" w:hAnsi="Calibri" w:cs="Calibri"/>
          <w:lang w:val="en"/>
        </w:rPr>
        <w:t xml:space="preserve"> that became personally meaningful</w:t>
      </w:r>
      <w:r w:rsidR="00035F4B" w:rsidRPr="00B4301D">
        <w:rPr>
          <w:rFonts w:ascii="Calibri" w:hAnsi="Calibri" w:cs="Calibri"/>
          <w:lang w:val="en"/>
        </w:rPr>
        <w:t>, evoking reflection and personal change</w:t>
      </w:r>
      <w:r w:rsidR="00727FFA" w:rsidRPr="00B4301D">
        <w:rPr>
          <w:rFonts w:ascii="Calibri" w:hAnsi="Calibri" w:cs="Calibri"/>
          <w:lang w:val="en"/>
        </w:rPr>
        <w:t xml:space="preserve"> and </w:t>
      </w:r>
      <w:r w:rsidR="00C62D16" w:rsidRPr="00B4301D">
        <w:rPr>
          <w:rFonts w:ascii="Calibri" w:hAnsi="Calibri" w:cs="Calibri"/>
          <w:lang w:val="en"/>
        </w:rPr>
        <w:t xml:space="preserve">was </w:t>
      </w:r>
      <w:r w:rsidR="00727FFA" w:rsidRPr="00B4301D">
        <w:rPr>
          <w:rFonts w:ascii="Calibri" w:hAnsi="Calibri" w:cs="Calibri"/>
          <w:lang w:val="en"/>
        </w:rPr>
        <w:t xml:space="preserve">often fostered by </w:t>
      </w:r>
      <w:r w:rsidR="00836F44" w:rsidRPr="00B4301D">
        <w:rPr>
          <w:rFonts w:ascii="Calibri" w:hAnsi="Calibri" w:cs="Calibri"/>
          <w:lang w:val="en"/>
        </w:rPr>
        <w:t xml:space="preserve">emotional challenges presented by the game </w:t>
      </w:r>
      <w:r w:rsidR="00836F44" w:rsidRPr="00B4301D">
        <w:rPr>
          <w:rFonts w:ascii="Calibri" w:hAnsi="Calibri" w:cs="Calibri"/>
          <w:i/>
          <w:lang w:val="en"/>
        </w:rPr>
        <w:t>narrative</w:t>
      </w:r>
      <w:r w:rsidR="00836F44" w:rsidRPr="00B4301D">
        <w:rPr>
          <w:rFonts w:ascii="Calibri" w:hAnsi="Calibri" w:cs="Calibri"/>
          <w:lang w:val="en"/>
        </w:rPr>
        <w:t xml:space="preserve">, through </w:t>
      </w:r>
      <w:proofErr w:type="spellStart"/>
      <w:r w:rsidR="00836F44" w:rsidRPr="00B4301D">
        <w:rPr>
          <w:rFonts w:ascii="Calibri" w:hAnsi="Calibri" w:cs="Calibri"/>
          <w:i/>
          <w:lang w:val="en"/>
        </w:rPr>
        <w:t>replayability</w:t>
      </w:r>
      <w:proofErr w:type="spellEnd"/>
      <w:r w:rsidR="00836F44" w:rsidRPr="00B4301D">
        <w:rPr>
          <w:rFonts w:ascii="Calibri" w:hAnsi="Calibri" w:cs="Calibri"/>
          <w:i/>
          <w:lang w:val="en"/>
        </w:rPr>
        <w:t xml:space="preserve"> </w:t>
      </w:r>
      <w:r w:rsidR="00836F44" w:rsidRPr="00B4301D">
        <w:rPr>
          <w:rFonts w:ascii="Calibri" w:hAnsi="Calibri" w:cs="Calibri"/>
          <w:lang w:val="en"/>
        </w:rPr>
        <w:t>involving exploration of different game endings</w:t>
      </w:r>
      <w:r w:rsidR="00727FFA" w:rsidRPr="00B4301D">
        <w:rPr>
          <w:rFonts w:ascii="Calibri" w:hAnsi="Calibri" w:cs="Calibri"/>
          <w:lang w:val="en"/>
        </w:rPr>
        <w:t xml:space="preserve"> and</w:t>
      </w:r>
      <w:r w:rsidR="00B438A6" w:rsidRPr="00B4301D">
        <w:rPr>
          <w:rFonts w:ascii="Calibri" w:hAnsi="Calibri" w:cs="Calibri"/>
          <w:lang w:val="en"/>
        </w:rPr>
        <w:t>, finally,</w:t>
      </w:r>
      <w:r w:rsidR="00C62D16" w:rsidRPr="00B4301D">
        <w:rPr>
          <w:rFonts w:ascii="Calibri" w:hAnsi="Calibri" w:cs="Calibri"/>
          <w:lang w:val="en"/>
        </w:rPr>
        <w:t xml:space="preserve"> </w:t>
      </w:r>
      <w:r w:rsidR="00727FFA" w:rsidRPr="00B4301D">
        <w:rPr>
          <w:rFonts w:ascii="Calibri" w:hAnsi="Calibri" w:cs="Calibri"/>
          <w:lang w:val="en"/>
        </w:rPr>
        <w:t xml:space="preserve">personality exploration through </w:t>
      </w:r>
      <w:r w:rsidR="00727FFA" w:rsidRPr="00B4301D">
        <w:rPr>
          <w:rFonts w:ascii="Calibri" w:hAnsi="Calibri" w:cs="Calibri"/>
          <w:i/>
          <w:lang w:val="en"/>
        </w:rPr>
        <w:t>avatar</w:t>
      </w:r>
      <w:r w:rsidR="00727FFA" w:rsidRPr="00B4301D">
        <w:rPr>
          <w:rFonts w:ascii="Calibri" w:hAnsi="Calibri" w:cs="Calibri"/>
          <w:lang w:val="en"/>
        </w:rPr>
        <w:t xml:space="preserve"> </w:t>
      </w:r>
      <w:r w:rsidR="00C42694" w:rsidRPr="00B4301D">
        <w:rPr>
          <w:rFonts w:ascii="Calibri" w:hAnsi="Calibri" w:cs="Calibri"/>
          <w:lang w:val="en"/>
        </w:rPr>
        <w:t>customization</w:t>
      </w:r>
      <w:r w:rsidR="00035F4B" w:rsidRPr="00B4301D">
        <w:rPr>
          <w:rFonts w:ascii="Calibri" w:hAnsi="Calibri" w:cs="Calibri"/>
          <w:lang w:val="en"/>
        </w:rPr>
        <w:t xml:space="preserve">. </w:t>
      </w:r>
      <w:r w:rsidR="0037567E" w:rsidRPr="00B4301D">
        <w:rPr>
          <w:rFonts w:ascii="Calibri" w:hAnsi="Calibri" w:cs="Calibri"/>
          <w:lang w:val="en"/>
        </w:rPr>
        <w:t>Furthermore</w:t>
      </w:r>
      <w:r w:rsidR="00035F4B" w:rsidRPr="00B4301D">
        <w:rPr>
          <w:rFonts w:ascii="Calibri" w:hAnsi="Calibri" w:cs="Calibri"/>
          <w:lang w:val="en"/>
        </w:rPr>
        <w:t xml:space="preserve">, the </w:t>
      </w:r>
      <w:r w:rsidR="00035F4B" w:rsidRPr="00B4301D">
        <w:rPr>
          <w:rFonts w:ascii="Calibri" w:hAnsi="Calibri" w:cs="Calibri"/>
          <w:lang w:val="en"/>
        </w:rPr>
        <w:lastRenderedPageBreak/>
        <w:t>mechanics of gameplay allowed participants to reflect</w:t>
      </w:r>
      <w:r w:rsidR="0037567E" w:rsidRPr="00B4301D">
        <w:rPr>
          <w:rFonts w:ascii="Calibri" w:hAnsi="Calibri" w:cs="Calibri"/>
          <w:lang w:val="en"/>
        </w:rPr>
        <w:t xml:space="preserve"> on</w:t>
      </w:r>
      <w:r w:rsidR="00035F4B" w:rsidRPr="00B4301D">
        <w:rPr>
          <w:rFonts w:ascii="Calibri" w:hAnsi="Calibri" w:cs="Calibri"/>
          <w:lang w:val="en"/>
        </w:rPr>
        <w:t xml:space="preserve"> and come to terms with failure</w:t>
      </w:r>
      <w:r w:rsidR="009E0F3E" w:rsidRPr="00B4301D">
        <w:rPr>
          <w:rFonts w:ascii="Calibri" w:hAnsi="Calibri" w:cs="Calibri"/>
          <w:lang w:val="en"/>
        </w:rPr>
        <w:t>, instead</w:t>
      </w:r>
      <w:r w:rsidR="00321A26" w:rsidRPr="00B4301D">
        <w:rPr>
          <w:rFonts w:ascii="Calibri" w:hAnsi="Calibri" w:cs="Calibri"/>
          <w:lang w:val="en"/>
        </w:rPr>
        <w:t xml:space="preserve"> see</w:t>
      </w:r>
      <w:r w:rsidR="009E0F3E" w:rsidRPr="00B4301D">
        <w:rPr>
          <w:rFonts w:ascii="Calibri" w:hAnsi="Calibri" w:cs="Calibri"/>
          <w:lang w:val="en"/>
        </w:rPr>
        <w:t>ing</w:t>
      </w:r>
      <w:r w:rsidR="00321A26" w:rsidRPr="00B4301D">
        <w:rPr>
          <w:rFonts w:ascii="Calibri" w:hAnsi="Calibri" w:cs="Calibri"/>
          <w:lang w:val="en"/>
        </w:rPr>
        <w:t xml:space="preserve"> it as an opportunity for improvement and learning.</w:t>
      </w:r>
      <w:r w:rsidR="00321A26" w:rsidRPr="00B4301D">
        <w:rPr>
          <w:rFonts w:ascii="Calibri" w:hAnsi="Calibri" w:cs="Calibri"/>
          <w:lang w:val="en"/>
        </w:rPr>
        <w:tab/>
      </w:r>
      <w:r w:rsidR="00AE19A7" w:rsidRPr="00B4301D">
        <w:br w:type="page"/>
      </w:r>
    </w:p>
    <w:p w14:paraId="018E3D5F" w14:textId="5B511E7A" w:rsidR="00C82789" w:rsidRPr="00B4301D" w:rsidRDefault="00AE19A7" w:rsidP="00D52861">
      <w:pPr>
        <w:pStyle w:val="Heading1"/>
        <w:spacing w:line="360" w:lineRule="auto"/>
        <w:rPr>
          <w:color w:val="auto"/>
        </w:rPr>
      </w:pPr>
      <w:r w:rsidRPr="00B4301D">
        <w:rPr>
          <w:color w:val="auto"/>
        </w:rPr>
        <w:lastRenderedPageBreak/>
        <w:t xml:space="preserve">References </w:t>
      </w:r>
    </w:p>
    <w:p w14:paraId="16004585" w14:textId="017BD4A9" w:rsidR="001B7A4A" w:rsidRPr="001B7A4A" w:rsidRDefault="00AE19A7" w:rsidP="001B7A4A">
      <w:pPr>
        <w:widowControl w:val="0"/>
        <w:autoSpaceDE w:val="0"/>
        <w:autoSpaceDN w:val="0"/>
        <w:adjustRightInd w:val="0"/>
        <w:spacing w:line="360" w:lineRule="auto"/>
        <w:ind w:left="480" w:hanging="480"/>
        <w:rPr>
          <w:rFonts w:ascii="Calibri" w:hAnsi="Calibri" w:cs="Calibri"/>
          <w:noProof/>
          <w:szCs w:val="24"/>
        </w:rPr>
      </w:pPr>
      <w:r w:rsidRPr="00B4301D">
        <w:rPr>
          <w:b/>
        </w:rPr>
        <w:fldChar w:fldCharType="begin" w:fldLock="1"/>
      </w:r>
      <w:r w:rsidRPr="00B4301D">
        <w:rPr>
          <w:b/>
        </w:rPr>
        <w:instrText xml:space="preserve">ADDIN Mendeley Bibliography CSL_BIBLIOGRAPHY </w:instrText>
      </w:r>
      <w:r w:rsidRPr="00B4301D">
        <w:rPr>
          <w:b/>
        </w:rPr>
        <w:fldChar w:fldCharType="separate"/>
      </w:r>
      <w:r w:rsidR="001B7A4A" w:rsidRPr="001B7A4A">
        <w:rPr>
          <w:rFonts w:ascii="Calibri" w:hAnsi="Calibri" w:cs="Calibri"/>
          <w:noProof/>
          <w:szCs w:val="24"/>
        </w:rPr>
        <w:t xml:space="preserve">11 Bit Studios. (2014). This War of Mine. </w:t>
      </w:r>
      <w:r w:rsidR="001B7A4A" w:rsidRPr="001B7A4A">
        <w:rPr>
          <w:rFonts w:ascii="Calibri" w:hAnsi="Calibri" w:cs="Calibri"/>
          <w:i/>
          <w:iCs/>
          <w:noProof/>
          <w:szCs w:val="24"/>
        </w:rPr>
        <w:t>11 Bit Studios</w:t>
      </w:r>
      <w:r w:rsidR="001B7A4A" w:rsidRPr="001B7A4A">
        <w:rPr>
          <w:rFonts w:ascii="Calibri" w:hAnsi="Calibri" w:cs="Calibri"/>
          <w:noProof/>
          <w:szCs w:val="24"/>
        </w:rPr>
        <w:t>.</w:t>
      </w:r>
    </w:p>
    <w:p w14:paraId="2377B797" w14:textId="77777777" w:rsidR="001B7A4A" w:rsidRPr="001B7A4A" w:rsidRDefault="001B7A4A" w:rsidP="001B7A4A">
      <w:pPr>
        <w:widowControl w:val="0"/>
        <w:autoSpaceDE w:val="0"/>
        <w:autoSpaceDN w:val="0"/>
        <w:adjustRightInd w:val="0"/>
        <w:spacing w:line="360" w:lineRule="auto"/>
        <w:ind w:left="480" w:hanging="480"/>
        <w:rPr>
          <w:rFonts w:ascii="Calibri" w:hAnsi="Calibri" w:cs="Calibri"/>
          <w:noProof/>
          <w:szCs w:val="24"/>
        </w:rPr>
      </w:pPr>
      <w:r w:rsidRPr="001B7A4A">
        <w:rPr>
          <w:rFonts w:ascii="Calibri" w:hAnsi="Calibri" w:cs="Calibri"/>
          <w:noProof/>
          <w:szCs w:val="24"/>
        </w:rPr>
        <w:t xml:space="preserve">Aarseth, E. (2007). I Fought the Law: Transgressive Play and The Implied Player. </w:t>
      </w:r>
      <w:r w:rsidRPr="001B7A4A">
        <w:rPr>
          <w:rFonts w:ascii="Calibri" w:hAnsi="Calibri" w:cs="Calibri"/>
          <w:i/>
          <w:iCs/>
          <w:noProof/>
          <w:szCs w:val="24"/>
        </w:rPr>
        <w:t>Situated Play, Proceedings of DiGRA 2007 Conference</w:t>
      </w:r>
      <w:r w:rsidRPr="001B7A4A">
        <w:rPr>
          <w:rFonts w:ascii="Calibri" w:hAnsi="Calibri" w:cs="Calibri"/>
          <w:noProof/>
          <w:szCs w:val="24"/>
        </w:rPr>
        <w:t>. Retrieved from http://www.digra.org/wp-content/uploads/digital-library/07313.03489.pdf</w:t>
      </w:r>
    </w:p>
    <w:p w14:paraId="42CADF24" w14:textId="77777777" w:rsidR="001B7A4A" w:rsidRPr="001B7A4A" w:rsidRDefault="001B7A4A" w:rsidP="001B7A4A">
      <w:pPr>
        <w:widowControl w:val="0"/>
        <w:autoSpaceDE w:val="0"/>
        <w:autoSpaceDN w:val="0"/>
        <w:adjustRightInd w:val="0"/>
        <w:spacing w:line="360" w:lineRule="auto"/>
        <w:ind w:left="480" w:hanging="480"/>
        <w:rPr>
          <w:rFonts w:ascii="Calibri" w:hAnsi="Calibri" w:cs="Calibri"/>
          <w:noProof/>
          <w:szCs w:val="24"/>
        </w:rPr>
      </w:pPr>
      <w:r w:rsidRPr="001B7A4A">
        <w:rPr>
          <w:rFonts w:ascii="Calibri" w:hAnsi="Calibri" w:cs="Calibri"/>
          <w:noProof/>
          <w:szCs w:val="24"/>
        </w:rPr>
        <w:t xml:space="preserve">Aarseth, E. (2012). A Narrative Theory of Games. </w:t>
      </w:r>
      <w:r w:rsidRPr="001B7A4A">
        <w:rPr>
          <w:rFonts w:ascii="Calibri" w:hAnsi="Calibri" w:cs="Calibri"/>
          <w:i/>
          <w:iCs/>
          <w:noProof/>
          <w:szCs w:val="24"/>
        </w:rPr>
        <w:t>FDG’12 May 29-June 1</w:t>
      </w:r>
      <w:r w:rsidRPr="001B7A4A">
        <w:rPr>
          <w:rFonts w:ascii="Calibri" w:hAnsi="Calibri" w:cs="Calibri"/>
          <w:noProof/>
          <w:szCs w:val="24"/>
        </w:rPr>
        <w:t>. https://doi.org/10.1145/2282338.2282365</w:t>
      </w:r>
    </w:p>
    <w:p w14:paraId="7BDF4642" w14:textId="77777777" w:rsidR="001B7A4A" w:rsidRPr="001B7A4A" w:rsidRDefault="001B7A4A" w:rsidP="001B7A4A">
      <w:pPr>
        <w:widowControl w:val="0"/>
        <w:autoSpaceDE w:val="0"/>
        <w:autoSpaceDN w:val="0"/>
        <w:adjustRightInd w:val="0"/>
        <w:spacing w:line="360" w:lineRule="auto"/>
        <w:ind w:left="480" w:hanging="480"/>
        <w:rPr>
          <w:rFonts w:ascii="Calibri" w:hAnsi="Calibri" w:cs="Calibri"/>
          <w:noProof/>
          <w:szCs w:val="24"/>
        </w:rPr>
      </w:pPr>
      <w:r w:rsidRPr="001B7A4A">
        <w:rPr>
          <w:rFonts w:ascii="Calibri" w:hAnsi="Calibri" w:cs="Calibri"/>
          <w:noProof/>
          <w:szCs w:val="24"/>
        </w:rPr>
        <w:t xml:space="preserve">Amabile, T. M. (1990). Within you, without you: The social psycholgy of creativity, and beyond. </w:t>
      </w:r>
      <w:r w:rsidRPr="001B7A4A">
        <w:rPr>
          <w:rFonts w:ascii="Calibri" w:hAnsi="Calibri" w:cs="Calibri"/>
          <w:i/>
          <w:iCs/>
          <w:noProof/>
          <w:szCs w:val="24"/>
        </w:rPr>
        <w:t>Theories of Creativity</w:t>
      </w:r>
      <w:r w:rsidRPr="001B7A4A">
        <w:rPr>
          <w:rFonts w:ascii="Calibri" w:hAnsi="Calibri" w:cs="Calibri"/>
          <w:noProof/>
          <w:szCs w:val="24"/>
        </w:rPr>
        <w:t>.</w:t>
      </w:r>
    </w:p>
    <w:p w14:paraId="3F975E8B" w14:textId="77777777" w:rsidR="001B7A4A" w:rsidRPr="001B7A4A" w:rsidRDefault="001B7A4A" w:rsidP="001B7A4A">
      <w:pPr>
        <w:widowControl w:val="0"/>
        <w:autoSpaceDE w:val="0"/>
        <w:autoSpaceDN w:val="0"/>
        <w:adjustRightInd w:val="0"/>
        <w:spacing w:line="360" w:lineRule="auto"/>
        <w:ind w:left="480" w:hanging="480"/>
        <w:rPr>
          <w:rFonts w:ascii="Calibri" w:hAnsi="Calibri" w:cs="Calibri"/>
          <w:noProof/>
          <w:szCs w:val="24"/>
        </w:rPr>
      </w:pPr>
      <w:r w:rsidRPr="001B7A4A">
        <w:rPr>
          <w:rFonts w:ascii="Calibri" w:hAnsi="Calibri" w:cs="Calibri"/>
          <w:noProof/>
          <w:szCs w:val="24"/>
        </w:rPr>
        <w:t xml:space="preserve">Amabile, T. M., &amp; Gryskiewicz, N. D. (1989). The creative environment scales: Work environment inventory. </w:t>
      </w:r>
      <w:r w:rsidRPr="001B7A4A">
        <w:rPr>
          <w:rFonts w:ascii="Calibri" w:hAnsi="Calibri" w:cs="Calibri"/>
          <w:i/>
          <w:iCs/>
          <w:noProof/>
          <w:szCs w:val="24"/>
        </w:rPr>
        <w:t>Creativity Research Journal</w:t>
      </w:r>
      <w:r w:rsidRPr="001B7A4A">
        <w:rPr>
          <w:rFonts w:ascii="Calibri" w:hAnsi="Calibri" w:cs="Calibri"/>
          <w:noProof/>
          <w:szCs w:val="24"/>
        </w:rPr>
        <w:t xml:space="preserve">, </w:t>
      </w:r>
      <w:r w:rsidRPr="001B7A4A">
        <w:rPr>
          <w:rFonts w:ascii="Calibri" w:hAnsi="Calibri" w:cs="Calibri"/>
          <w:i/>
          <w:iCs/>
          <w:noProof/>
          <w:szCs w:val="24"/>
        </w:rPr>
        <w:t>2</w:t>
      </w:r>
      <w:r w:rsidRPr="001B7A4A">
        <w:rPr>
          <w:rFonts w:ascii="Calibri" w:hAnsi="Calibri" w:cs="Calibri"/>
          <w:noProof/>
          <w:szCs w:val="24"/>
        </w:rPr>
        <w:t>(4), 231–253. https://doi.org/10.1080/10400418909534321</w:t>
      </w:r>
    </w:p>
    <w:p w14:paraId="2D12CB0C" w14:textId="77777777" w:rsidR="001B7A4A" w:rsidRPr="001B7A4A" w:rsidRDefault="001B7A4A" w:rsidP="001B7A4A">
      <w:pPr>
        <w:widowControl w:val="0"/>
        <w:autoSpaceDE w:val="0"/>
        <w:autoSpaceDN w:val="0"/>
        <w:adjustRightInd w:val="0"/>
        <w:spacing w:line="360" w:lineRule="auto"/>
        <w:ind w:left="480" w:hanging="480"/>
        <w:rPr>
          <w:rFonts w:ascii="Calibri" w:hAnsi="Calibri" w:cs="Calibri"/>
          <w:noProof/>
          <w:szCs w:val="24"/>
        </w:rPr>
      </w:pPr>
      <w:r w:rsidRPr="001B7A4A">
        <w:rPr>
          <w:rFonts w:ascii="Calibri" w:hAnsi="Calibri" w:cs="Calibri"/>
          <w:noProof/>
          <w:szCs w:val="24"/>
        </w:rPr>
        <w:t xml:space="preserve">Balcerzan, E., &amp; Osinkski, Z. (1966). Die theatralische Schaustellung im Lichte der Informationstheorie. </w:t>
      </w:r>
      <w:r w:rsidRPr="001B7A4A">
        <w:rPr>
          <w:rFonts w:ascii="Calibri" w:hAnsi="Calibri" w:cs="Calibri"/>
          <w:i/>
          <w:iCs/>
          <w:noProof/>
          <w:szCs w:val="24"/>
        </w:rPr>
        <w:t>Zagadnienia Rodzaj Literackich, Tom VIII</w:t>
      </w:r>
      <w:r w:rsidRPr="001B7A4A">
        <w:rPr>
          <w:rFonts w:ascii="Calibri" w:hAnsi="Calibri" w:cs="Calibri"/>
          <w:noProof/>
          <w:szCs w:val="24"/>
        </w:rPr>
        <w:t xml:space="preserve">, </w:t>
      </w:r>
      <w:r w:rsidRPr="001B7A4A">
        <w:rPr>
          <w:rFonts w:ascii="Calibri" w:hAnsi="Calibri" w:cs="Calibri"/>
          <w:i/>
          <w:iCs/>
          <w:noProof/>
          <w:szCs w:val="24"/>
        </w:rPr>
        <w:t>2</w:t>
      </w:r>
      <w:r w:rsidRPr="001B7A4A">
        <w:rPr>
          <w:rFonts w:ascii="Calibri" w:hAnsi="Calibri" w:cs="Calibri"/>
          <w:noProof/>
          <w:szCs w:val="24"/>
        </w:rPr>
        <w:t>(15), 65–88.</w:t>
      </w:r>
    </w:p>
    <w:p w14:paraId="450448F3" w14:textId="77777777" w:rsidR="001B7A4A" w:rsidRPr="001B7A4A" w:rsidRDefault="001B7A4A" w:rsidP="001B7A4A">
      <w:pPr>
        <w:widowControl w:val="0"/>
        <w:autoSpaceDE w:val="0"/>
        <w:autoSpaceDN w:val="0"/>
        <w:adjustRightInd w:val="0"/>
        <w:spacing w:line="360" w:lineRule="auto"/>
        <w:ind w:left="480" w:hanging="480"/>
        <w:rPr>
          <w:rFonts w:ascii="Calibri" w:hAnsi="Calibri" w:cs="Calibri"/>
          <w:noProof/>
          <w:szCs w:val="24"/>
        </w:rPr>
      </w:pPr>
      <w:r w:rsidRPr="001B7A4A">
        <w:rPr>
          <w:rFonts w:ascii="Calibri" w:hAnsi="Calibri" w:cs="Calibri"/>
          <w:noProof/>
          <w:szCs w:val="24"/>
        </w:rPr>
        <w:t xml:space="preserve">Banks, J. (2013). </w:t>
      </w:r>
      <w:r w:rsidRPr="001B7A4A">
        <w:rPr>
          <w:rFonts w:ascii="Calibri" w:hAnsi="Calibri" w:cs="Calibri"/>
          <w:i/>
          <w:iCs/>
          <w:noProof/>
          <w:szCs w:val="24"/>
        </w:rPr>
        <w:t>Human-technology relationality and self-network organization: Players and avatars in World of Warcraft</w:t>
      </w:r>
      <w:r w:rsidRPr="001B7A4A">
        <w:rPr>
          <w:rFonts w:ascii="Calibri" w:hAnsi="Calibri" w:cs="Calibri"/>
          <w:noProof/>
          <w:szCs w:val="24"/>
        </w:rPr>
        <w:t>. Fort Collins, CO: Colorado State University.</w:t>
      </w:r>
    </w:p>
    <w:p w14:paraId="506F77F4" w14:textId="77777777" w:rsidR="001B7A4A" w:rsidRPr="001B7A4A" w:rsidRDefault="001B7A4A" w:rsidP="001B7A4A">
      <w:pPr>
        <w:widowControl w:val="0"/>
        <w:autoSpaceDE w:val="0"/>
        <w:autoSpaceDN w:val="0"/>
        <w:adjustRightInd w:val="0"/>
        <w:spacing w:line="360" w:lineRule="auto"/>
        <w:ind w:left="480" w:hanging="480"/>
        <w:rPr>
          <w:rFonts w:ascii="Calibri" w:hAnsi="Calibri" w:cs="Calibri"/>
          <w:noProof/>
          <w:szCs w:val="24"/>
        </w:rPr>
      </w:pPr>
      <w:r w:rsidRPr="001B7A4A">
        <w:rPr>
          <w:rFonts w:ascii="Calibri" w:hAnsi="Calibri" w:cs="Calibri"/>
          <w:noProof/>
          <w:szCs w:val="24"/>
        </w:rPr>
        <w:t xml:space="preserve">Barkhuizen, G. (2011). Home Tutor Cognitions and the Nature of Tutor—Learner Relationships. In </w:t>
      </w:r>
      <w:r w:rsidRPr="001B7A4A">
        <w:rPr>
          <w:rFonts w:ascii="Calibri" w:hAnsi="Calibri" w:cs="Calibri"/>
          <w:i/>
          <w:iCs/>
          <w:noProof/>
          <w:szCs w:val="24"/>
        </w:rPr>
        <w:t>Beyond the Language Classroom</w:t>
      </w:r>
      <w:r w:rsidRPr="001B7A4A">
        <w:rPr>
          <w:rFonts w:ascii="Calibri" w:hAnsi="Calibri" w:cs="Calibri"/>
          <w:noProof/>
          <w:szCs w:val="24"/>
        </w:rPr>
        <w:t xml:space="preserve"> (pp. 161–174). https://doi.org/10.1057/9780230306790_13</w:t>
      </w:r>
    </w:p>
    <w:p w14:paraId="5F59B823" w14:textId="77777777" w:rsidR="001B7A4A" w:rsidRPr="001B7A4A" w:rsidRDefault="001B7A4A" w:rsidP="001B7A4A">
      <w:pPr>
        <w:widowControl w:val="0"/>
        <w:autoSpaceDE w:val="0"/>
        <w:autoSpaceDN w:val="0"/>
        <w:adjustRightInd w:val="0"/>
        <w:spacing w:line="360" w:lineRule="auto"/>
        <w:ind w:left="480" w:hanging="480"/>
        <w:rPr>
          <w:rFonts w:ascii="Calibri" w:hAnsi="Calibri" w:cs="Calibri"/>
          <w:noProof/>
          <w:szCs w:val="24"/>
        </w:rPr>
      </w:pPr>
      <w:r w:rsidRPr="001B7A4A">
        <w:rPr>
          <w:rFonts w:ascii="Calibri" w:hAnsi="Calibri" w:cs="Calibri"/>
          <w:noProof/>
          <w:szCs w:val="24"/>
        </w:rPr>
        <w:t xml:space="preserve">Barkhuizen, G. (2014). Revisiting narrative frames: An instrument for investigating language teaching and learning. </w:t>
      </w:r>
      <w:r w:rsidRPr="001B7A4A">
        <w:rPr>
          <w:rFonts w:ascii="Calibri" w:hAnsi="Calibri" w:cs="Calibri"/>
          <w:i/>
          <w:iCs/>
          <w:noProof/>
          <w:szCs w:val="24"/>
        </w:rPr>
        <w:t>System</w:t>
      </w:r>
      <w:r w:rsidRPr="001B7A4A">
        <w:rPr>
          <w:rFonts w:ascii="Calibri" w:hAnsi="Calibri" w:cs="Calibri"/>
          <w:noProof/>
          <w:szCs w:val="24"/>
        </w:rPr>
        <w:t xml:space="preserve">, </w:t>
      </w:r>
      <w:r w:rsidRPr="001B7A4A">
        <w:rPr>
          <w:rFonts w:ascii="Calibri" w:hAnsi="Calibri" w:cs="Calibri"/>
          <w:i/>
          <w:iCs/>
          <w:noProof/>
          <w:szCs w:val="24"/>
        </w:rPr>
        <w:t>47</w:t>
      </w:r>
      <w:r w:rsidRPr="001B7A4A">
        <w:rPr>
          <w:rFonts w:ascii="Calibri" w:hAnsi="Calibri" w:cs="Calibri"/>
          <w:noProof/>
          <w:szCs w:val="24"/>
        </w:rPr>
        <w:t>, 12–27. https://doi.org/10.1016/j.system.2014.09.014</w:t>
      </w:r>
    </w:p>
    <w:p w14:paraId="0FF9F128" w14:textId="77777777" w:rsidR="001B7A4A" w:rsidRPr="001B7A4A" w:rsidRDefault="001B7A4A" w:rsidP="001B7A4A">
      <w:pPr>
        <w:widowControl w:val="0"/>
        <w:autoSpaceDE w:val="0"/>
        <w:autoSpaceDN w:val="0"/>
        <w:adjustRightInd w:val="0"/>
        <w:spacing w:line="360" w:lineRule="auto"/>
        <w:ind w:left="480" w:hanging="480"/>
        <w:rPr>
          <w:rFonts w:ascii="Calibri" w:hAnsi="Calibri" w:cs="Calibri"/>
          <w:noProof/>
          <w:szCs w:val="24"/>
        </w:rPr>
      </w:pPr>
      <w:r w:rsidRPr="001B7A4A">
        <w:rPr>
          <w:rFonts w:ascii="Calibri" w:hAnsi="Calibri" w:cs="Calibri"/>
          <w:noProof/>
          <w:szCs w:val="24"/>
        </w:rPr>
        <w:t xml:space="preserve">Barr, M. (2018). Student attitudes to games-based skills development: Learning from video games in higher education. </w:t>
      </w:r>
      <w:r w:rsidRPr="001B7A4A">
        <w:rPr>
          <w:rFonts w:ascii="Calibri" w:hAnsi="Calibri" w:cs="Calibri"/>
          <w:i/>
          <w:iCs/>
          <w:noProof/>
          <w:szCs w:val="24"/>
        </w:rPr>
        <w:t>Computers in Human Behavior</w:t>
      </w:r>
      <w:r w:rsidRPr="001B7A4A">
        <w:rPr>
          <w:rFonts w:ascii="Calibri" w:hAnsi="Calibri" w:cs="Calibri"/>
          <w:noProof/>
          <w:szCs w:val="24"/>
        </w:rPr>
        <w:t xml:space="preserve">, </w:t>
      </w:r>
      <w:r w:rsidRPr="001B7A4A">
        <w:rPr>
          <w:rFonts w:ascii="Calibri" w:hAnsi="Calibri" w:cs="Calibri"/>
          <w:i/>
          <w:iCs/>
          <w:noProof/>
          <w:szCs w:val="24"/>
        </w:rPr>
        <w:t>80</w:t>
      </w:r>
      <w:r w:rsidRPr="001B7A4A">
        <w:rPr>
          <w:rFonts w:ascii="Calibri" w:hAnsi="Calibri" w:cs="Calibri"/>
          <w:noProof/>
          <w:szCs w:val="24"/>
        </w:rPr>
        <w:t>, 283–294. https://doi.org/10.1016/j.chb.2017.11.030</w:t>
      </w:r>
    </w:p>
    <w:p w14:paraId="02A5483A" w14:textId="77777777" w:rsidR="001B7A4A" w:rsidRPr="001B7A4A" w:rsidRDefault="001B7A4A" w:rsidP="001B7A4A">
      <w:pPr>
        <w:widowControl w:val="0"/>
        <w:autoSpaceDE w:val="0"/>
        <w:autoSpaceDN w:val="0"/>
        <w:adjustRightInd w:val="0"/>
        <w:spacing w:line="360" w:lineRule="auto"/>
        <w:ind w:left="480" w:hanging="480"/>
        <w:rPr>
          <w:rFonts w:ascii="Calibri" w:hAnsi="Calibri" w:cs="Calibri"/>
          <w:noProof/>
          <w:szCs w:val="24"/>
        </w:rPr>
      </w:pPr>
      <w:r w:rsidRPr="001B7A4A">
        <w:rPr>
          <w:rFonts w:ascii="Calibri" w:hAnsi="Calibri" w:cs="Calibri"/>
          <w:noProof/>
          <w:szCs w:val="24"/>
        </w:rPr>
        <w:t xml:space="preserve">Barr, P., Noble, J., &amp; Biddle, R. (2007). Video Game Values: Play as Human–Computer Interaction. </w:t>
      </w:r>
      <w:r w:rsidRPr="001B7A4A">
        <w:rPr>
          <w:rFonts w:ascii="Calibri" w:hAnsi="Calibri" w:cs="Calibri"/>
          <w:i/>
          <w:iCs/>
          <w:noProof/>
          <w:szCs w:val="24"/>
        </w:rPr>
        <w:t>Interacting with Computers</w:t>
      </w:r>
      <w:r w:rsidRPr="001B7A4A">
        <w:rPr>
          <w:rFonts w:ascii="Calibri" w:hAnsi="Calibri" w:cs="Calibri"/>
          <w:noProof/>
          <w:szCs w:val="24"/>
        </w:rPr>
        <w:t xml:space="preserve">, </w:t>
      </w:r>
      <w:r w:rsidRPr="001B7A4A">
        <w:rPr>
          <w:rFonts w:ascii="Calibri" w:hAnsi="Calibri" w:cs="Calibri"/>
          <w:i/>
          <w:iCs/>
          <w:noProof/>
          <w:szCs w:val="24"/>
        </w:rPr>
        <w:t>19</w:t>
      </w:r>
      <w:r w:rsidRPr="001B7A4A">
        <w:rPr>
          <w:rFonts w:ascii="Calibri" w:hAnsi="Calibri" w:cs="Calibri"/>
          <w:noProof/>
          <w:szCs w:val="24"/>
        </w:rPr>
        <w:t>(2), 180–195. https://doi.org/10.1016/j.intcom.2006.08.008</w:t>
      </w:r>
    </w:p>
    <w:p w14:paraId="19D0917E" w14:textId="77777777" w:rsidR="001B7A4A" w:rsidRPr="001B7A4A" w:rsidRDefault="001B7A4A" w:rsidP="001B7A4A">
      <w:pPr>
        <w:widowControl w:val="0"/>
        <w:autoSpaceDE w:val="0"/>
        <w:autoSpaceDN w:val="0"/>
        <w:adjustRightInd w:val="0"/>
        <w:spacing w:line="360" w:lineRule="auto"/>
        <w:ind w:left="480" w:hanging="480"/>
        <w:rPr>
          <w:rFonts w:ascii="Calibri" w:hAnsi="Calibri" w:cs="Calibri"/>
          <w:noProof/>
          <w:szCs w:val="24"/>
        </w:rPr>
      </w:pPr>
      <w:r w:rsidRPr="001B7A4A">
        <w:rPr>
          <w:rFonts w:ascii="Calibri" w:hAnsi="Calibri" w:cs="Calibri"/>
          <w:noProof/>
          <w:szCs w:val="24"/>
        </w:rPr>
        <w:t xml:space="preserve">Bartsch, A., &amp; Hartmann, T. (2017). The Role of Cognitive and Affective Challenge in Entertainment Experience. </w:t>
      </w:r>
      <w:r w:rsidRPr="001B7A4A">
        <w:rPr>
          <w:rFonts w:ascii="Calibri" w:hAnsi="Calibri" w:cs="Calibri"/>
          <w:i/>
          <w:iCs/>
          <w:noProof/>
          <w:szCs w:val="24"/>
        </w:rPr>
        <w:t>Communication Research</w:t>
      </w:r>
      <w:r w:rsidRPr="001B7A4A">
        <w:rPr>
          <w:rFonts w:ascii="Calibri" w:hAnsi="Calibri" w:cs="Calibri"/>
          <w:noProof/>
          <w:szCs w:val="24"/>
        </w:rPr>
        <w:t xml:space="preserve">, </w:t>
      </w:r>
      <w:r w:rsidRPr="001B7A4A">
        <w:rPr>
          <w:rFonts w:ascii="Calibri" w:hAnsi="Calibri" w:cs="Calibri"/>
          <w:i/>
          <w:iCs/>
          <w:noProof/>
          <w:szCs w:val="24"/>
        </w:rPr>
        <w:t>44</w:t>
      </w:r>
      <w:r w:rsidRPr="001B7A4A">
        <w:rPr>
          <w:rFonts w:ascii="Calibri" w:hAnsi="Calibri" w:cs="Calibri"/>
          <w:noProof/>
          <w:szCs w:val="24"/>
        </w:rPr>
        <w:t>(1), 29–53. https://doi.org/10.1177/0093650214565921</w:t>
      </w:r>
    </w:p>
    <w:p w14:paraId="716A5FFF" w14:textId="77777777" w:rsidR="001B7A4A" w:rsidRPr="001B7A4A" w:rsidRDefault="001B7A4A" w:rsidP="001B7A4A">
      <w:pPr>
        <w:widowControl w:val="0"/>
        <w:autoSpaceDE w:val="0"/>
        <w:autoSpaceDN w:val="0"/>
        <w:adjustRightInd w:val="0"/>
        <w:spacing w:line="360" w:lineRule="auto"/>
        <w:ind w:left="480" w:hanging="480"/>
        <w:rPr>
          <w:rFonts w:ascii="Calibri" w:hAnsi="Calibri" w:cs="Calibri"/>
          <w:noProof/>
          <w:szCs w:val="24"/>
        </w:rPr>
      </w:pPr>
      <w:r w:rsidRPr="001B7A4A">
        <w:rPr>
          <w:rFonts w:ascii="Calibri" w:hAnsi="Calibri" w:cs="Calibri"/>
          <w:noProof/>
          <w:szCs w:val="24"/>
        </w:rPr>
        <w:t xml:space="preserve">Basak, C., Boot, W. R., Voss, M. W., &amp; Kramer, A. F. (2008). Can training in a real-time strategy video </w:t>
      </w:r>
      <w:r w:rsidRPr="001B7A4A">
        <w:rPr>
          <w:rFonts w:ascii="Calibri" w:hAnsi="Calibri" w:cs="Calibri"/>
          <w:noProof/>
          <w:szCs w:val="24"/>
        </w:rPr>
        <w:lastRenderedPageBreak/>
        <w:t xml:space="preserve">game attenuate cognitive decline in older adults? </w:t>
      </w:r>
      <w:r w:rsidRPr="001B7A4A">
        <w:rPr>
          <w:rFonts w:ascii="Calibri" w:hAnsi="Calibri" w:cs="Calibri"/>
          <w:i/>
          <w:iCs/>
          <w:noProof/>
          <w:szCs w:val="24"/>
        </w:rPr>
        <w:t>Psychology and Aging</w:t>
      </w:r>
      <w:r w:rsidRPr="001B7A4A">
        <w:rPr>
          <w:rFonts w:ascii="Calibri" w:hAnsi="Calibri" w:cs="Calibri"/>
          <w:noProof/>
          <w:szCs w:val="24"/>
        </w:rPr>
        <w:t xml:space="preserve">, </w:t>
      </w:r>
      <w:r w:rsidRPr="001B7A4A">
        <w:rPr>
          <w:rFonts w:ascii="Calibri" w:hAnsi="Calibri" w:cs="Calibri"/>
          <w:i/>
          <w:iCs/>
          <w:noProof/>
          <w:szCs w:val="24"/>
        </w:rPr>
        <w:t>23</w:t>
      </w:r>
      <w:r w:rsidRPr="001B7A4A">
        <w:rPr>
          <w:rFonts w:ascii="Calibri" w:hAnsi="Calibri" w:cs="Calibri"/>
          <w:noProof/>
          <w:szCs w:val="24"/>
        </w:rPr>
        <w:t>(4), 765–777. https://doi.org/10.1037/a0013494</w:t>
      </w:r>
    </w:p>
    <w:p w14:paraId="18F1A696" w14:textId="77777777" w:rsidR="001B7A4A" w:rsidRPr="001B7A4A" w:rsidRDefault="001B7A4A" w:rsidP="001B7A4A">
      <w:pPr>
        <w:widowControl w:val="0"/>
        <w:autoSpaceDE w:val="0"/>
        <w:autoSpaceDN w:val="0"/>
        <w:adjustRightInd w:val="0"/>
        <w:spacing w:line="360" w:lineRule="auto"/>
        <w:ind w:left="480" w:hanging="480"/>
        <w:rPr>
          <w:rFonts w:ascii="Calibri" w:hAnsi="Calibri" w:cs="Calibri"/>
          <w:noProof/>
          <w:szCs w:val="24"/>
        </w:rPr>
      </w:pPr>
      <w:r w:rsidRPr="001B7A4A">
        <w:rPr>
          <w:rFonts w:ascii="Calibri" w:hAnsi="Calibri" w:cs="Calibri"/>
          <w:noProof/>
          <w:szCs w:val="24"/>
        </w:rPr>
        <w:t xml:space="preserve">Bell, S. (2010). Project-Based Learning for the 21st Century: Skills for the Future. </w:t>
      </w:r>
      <w:r w:rsidRPr="001B7A4A">
        <w:rPr>
          <w:rFonts w:ascii="Calibri" w:hAnsi="Calibri" w:cs="Calibri"/>
          <w:i/>
          <w:iCs/>
          <w:noProof/>
          <w:szCs w:val="24"/>
        </w:rPr>
        <w:t>The Clearing House</w:t>
      </w:r>
      <w:r w:rsidRPr="001B7A4A">
        <w:rPr>
          <w:rFonts w:ascii="Calibri" w:hAnsi="Calibri" w:cs="Calibri"/>
          <w:noProof/>
          <w:szCs w:val="24"/>
        </w:rPr>
        <w:t xml:space="preserve">, </w:t>
      </w:r>
      <w:r w:rsidRPr="001B7A4A">
        <w:rPr>
          <w:rFonts w:ascii="Calibri" w:hAnsi="Calibri" w:cs="Calibri"/>
          <w:i/>
          <w:iCs/>
          <w:noProof/>
          <w:szCs w:val="24"/>
        </w:rPr>
        <w:t>83</w:t>
      </w:r>
      <w:r w:rsidRPr="001B7A4A">
        <w:rPr>
          <w:rFonts w:ascii="Calibri" w:hAnsi="Calibri" w:cs="Calibri"/>
          <w:noProof/>
          <w:szCs w:val="24"/>
        </w:rPr>
        <w:t>, 39–43. https://doi.org/10.1080/00098650903505415</w:t>
      </w:r>
    </w:p>
    <w:p w14:paraId="0990802B" w14:textId="77777777" w:rsidR="001B7A4A" w:rsidRPr="001B7A4A" w:rsidRDefault="001B7A4A" w:rsidP="001B7A4A">
      <w:pPr>
        <w:widowControl w:val="0"/>
        <w:autoSpaceDE w:val="0"/>
        <w:autoSpaceDN w:val="0"/>
        <w:adjustRightInd w:val="0"/>
        <w:spacing w:line="360" w:lineRule="auto"/>
        <w:ind w:left="480" w:hanging="480"/>
        <w:rPr>
          <w:rFonts w:ascii="Calibri" w:hAnsi="Calibri" w:cs="Calibri"/>
          <w:noProof/>
          <w:szCs w:val="24"/>
        </w:rPr>
      </w:pPr>
      <w:r w:rsidRPr="001B7A4A">
        <w:rPr>
          <w:rFonts w:ascii="Calibri" w:hAnsi="Calibri" w:cs="Calibri"/>
          <w:noProof/>
          <w:szCs w:val="24"/>
        </w:rPr>
        <w:t xml:space="preserve">Bethesda Game Studios. (2011). </w:t>
      </w:r>
      <w:r w:rsidRPr="001B7A4A">
        <w:rPr>
          <w:rFonts w:ascii="Calibri" w:hAnsi="Calibri" w:cs="Calibri"/>
          <w:i/>
          <w:iCs/>
          <w:noProof/>
          <w:szCs w:val="24"/>
        </w:rPr>
        <w:t>The Elder Scrolls V: Skyrim</w:t>
      </w:r>
      <w:r w:rsidRPr="001B7A4A">
        <w:rPr>
          <w:rFonts w:ascii="Calibri" w:hAnsi="Calibri" w:cs="Calibri"/>
          <w:noProof/>
          <w:szCs w:val="24"/>
        </w:rPr>
        <w:t>.</w:t>
      </w:r>
    </w:p>
    <w:p w14:paraId="0791A387" w14:textId="77777777" w:rsidR="001B7A4A" w:rsidRPr="001B7A4A" w:rsidRDefault="001B7A4A" w:rsidP="001B7A4A">
      <w:pPr>
        <w:widowControl w:val="0"/>
        <w:autoSpaceDE w:val="0"/>
        <w:autoSpaceDN w:val="0"/>
        <w:adjustRightInd w:val="0"/>
        <w:spacing w:line="360" w:lineRule="auto"/>
        <w:ind w:left="480" w:hanging="480"/>
        <w:rPr>
          <w:rFonts w:ascii="Calibri" w:hAnsi="Calibri" w:cs="Calibri"/>
          <w:noProof/>
          <w:szCs w:val="24"/>
        </w:rPr>
      </w:pPr>
      <w:r w:rsidRPr="001B7A4A">
        <w:rPr>
          <w:rFonts w:ascii="Calibri" w:hAnsi="Calibri" w:cs="Calibri"/>
          <w:noProof/>
          <w:szCs w:val="24"/>
        </w:rPr>
        <w:t xml:space="preserve">Bethesda Game Studios. (2015). </w:t>
      </w:r>
      <w:r w:rsidRPr="001B7A4A">
        <w:rPr>
          <w:rFonts w:ascii="Calibri" w:hAnsi="Calibri" w:cs="Calibri"/>
          <w:i/>
          <w:iCs/>
          <w:noProof/>
          <w:szCs w:val="24"/>
        </w:rPr>
        <w:t>Fallout 4</w:t>
      </w:r>
      <w:r w:rsidRPr="001B7A4A">
        <w:rPr>
          <w:rFonts w:ascii="Calibri" w:hAnsi="Calibri" w:cs="Calibri"/>
          <w:noProof/>
          <w:szCs w:val="24"/>
        </w:rPr>
        <w:t>. Bethseda Softworks.</w:t>
      </w:r>
    </w:p>
    <w:p w14:paraId="793B2477" w14:textId="77777777" w:rsidR="001B7A4A" w:rsidRPr="001B7A4A" w:rsidRDefault="001B7A4A" w:rsidP="001B7A4A">
      <w:pPr>
        <w:widowControl w:val="0"/>
        <w:autoSpaceDE w:val="0"/>
        <w:autoSpaceDN w:val="0"/>
        <w:adjustRightInd w:val="0"/>
        <w:spacing w:line="360" w:lineRule="auto"/>
        <w:ind w:left="480" w:hanging="480"/>
        <w:rPr>
          <w:rFonts w:ascii="Calibri" w:hAnsi="Calibri" w:cs="Calibri"/>
          <w:noProof/>
          <w:szCs w:val="24"/>
        </w:rPr>
      </w:pPr>
      <w:r w:rsidRPr="001B7A4A">
        <w:rPr>
          <w:rFonts w:ascii="Calibri" w:hAnsi="Calibri" w:cs="Calibri"/>
          <w:noProof/>
          <w:szCs w:val="24"/>
        </w:rPr>
        <w:t xml:space="preserve">Binkley, M., Erstad, O., Herman, J., Raizen, S., Ripley, M., Miller-Ricci, M., &amp; Rumble, M. (2012). Defining twenty-first century skills. In P. Griffin, B. McGraw, &amp; E. Care (Eds.), </w:t>
      </w:r>
      <w:r w:rsidRPr="001B7A4A">
        <w:rPr>
          <w:rFonts w:ascii="Calibri" w:hAnsi="Calibri" w:cs="Calibri"/>
          <w:i/>
          <w:iCs/>
          <w:noProof/>
          <w:szCs w:val="24"/>
        </w:rPr>
        <w:t>Assessment and Teaching of 21st Century Skills</w:t>
      </w:r>
      <w:r w:rsidRPr="001B7A4A">
        <w:rPr>
          <w:rFonts w:ascii="Calibri" w:hAnsi="Calibri" w:cs="Calibri"/>
          <w:noProof/>
          <w:szCs w:val="24"/>
        </w:rPr>
        <w:t xml:space="preserve"> (pp. 17–66). https://doi.org/10.1007/978-94-007-2324-5_2</w:t>
      </w:r>
    </w:p>
    <w:p w14:paraId="6CF2F2CC" w14:textId="77777777" w:rsidR="001B7A4A" w:rsidRPr="001B7A4A" w:rsidRDefault="001B7A4A" w:rsidP="001B7A4A">
      <w:pPr>
        <w:widowControl w:val="0"/>
        <w:autoSpaceDE w:val="0"/>
        <w:autoSpaceDN w:val="0"/>
        <w:adjustRightInd w:val="0"/>
        <w:spacing w:line="360" w:lineRule="auto"/>
        <w:ind w:left="480" w:hanging="480"/>
        <w:rPr>
          <w:rFonts w:ascii="Calibri" w:hAnsi="Calibri" w:cs="Calibri"/>
          <w:noProof/>
          <w:szCs w:val="24"/>
        </w:rPr>
      </w:pPr>
      <w:r w:rsidRPr="001B7A4A">
        <w:rPr>
          <w:rFonts w:ascii="Calibri" w:hAnsi="Calibri" w:cs="Calibri"/>
          <w:noProof/>
          <w:szCs w:val="24"/>
        </w:rPr>
        <w:t xml:space="preserve">Binkley, M., Erstad, O., Herman, J., Raizen, S., Ripley, M., &amp; Runmble, M. (2014). </w:t>
      </w:r>
      <w:r w:rsidRPr="001B7A4A">
        <w:rPr>
          <w:rFonts w:ascii="Calibri" w:hAnsi="Calibri" w:cs="Calibri"/>
          <w:i/>
          <w:iCs/>
          <w:noProof/>
          <w:szCs w:val="24"/>
        </w:rPr>
        <w:t>Partnership for 21st Century Skills</w:t>
      </w:r>
      <w:r w:rsidRPr="001B7A4A">
        <w:rPr>
          <w:rFonts w:ascii="Calibri" w:hAnsi="Calibri" w:cs="Calibri"/>
          <w:noProof/>
          <w:szCs w:val="24"/>
        </w:rPr>
        <w:t>.</w:t>
      </w:r>
    </w:p>
    <w:p w14:paraId="3F5968D5" w14:textId="77777777" w:rsidR="001B7A4A" w:rsidRPr="001B7A4A" w:rsidRDefault="001B7A4A" w:rsidP="001B7A4A">
      <w:pPr>
        <w:widowControl w:val="0"/>
        <w:autoSpaceDE w:val="0"/>
        <w:autoSpaceDN w:val="0"/>
        <w:adjustRightInd w:val="0"/>
        <w:spacing w:line="360" w:lineRule="auto"/>
        <w:ind w:left="480" w:hanging="480"/>
        <w:rPr>
          <w:rFonts w:ascii="Calibri" w:hAnsi="Calibri" w:cs="Calibri"/>
          <w:noProof/>
          <w:szCs w:val="24"/>
        </w:rPr>
      </w:pPr>
      <w:r w:rsidRPr="001B7A4A">
        <w:rPr>
          <w:rFonts w:ascii="Calibri" w:hAnsi="Calibri" w:cs="Calibri"/>
          <w:noProof/>
          <w:szCs w:val="24"/>
        </w:rPr>
        <w:t xml:space="preserve">Bioware. (2007). Mass Effect. </w:t>
      </w:r>
      <w:r w:rsidRPr="001B7A4A">
        <w:rPr>
          <w:rFonts w:ascii="Calibri" w:hAnsi="Calibri" w:cs="Calibri"/>
          <w:i/>
          <w:iCs/>
          <w:noProof/>
          <w:szCs w:val="24"/>
        </w:rPr>
        <w:t>Electronic Arts</w:t>
      </w:r>
      <w:r w:rsidRPr="001B7A4A">
        <w:rPr>
          <w:rFonts w:ascii="Calibri" w:hAnsi="Calibri" w:cs="Calibri"/>
          <w:noProof/>
          <w:szCs w:val="24"/>
        </w:rPr>
        <w:t>.</w:t>
      </w:r>
    </w:p>
    <w:p w14:paraId="64177C6F" w14:textId="77777777" w:rsidR="001B7A4A" w:rsidRPr="001B7A4A" w:rsidRDefault="001B7A4A" w:rsidP="001B7A4A">
      <w:pPr>
        <w:widowControl w:val="0"/>
        <w:autoSpaceDE w:val="0"/>
        <w:autoSpaceDN w:val="0"/>
        <w:adjustRightInd w:val="0"/>
        <w:spacing w:line="360" w:lineRule="auto"/>
        <w:ind w:left="480" w:hanging="480"/>
        <w:rPr>
          <w:rFonts w:ascii="Calibri" w:hAnsi="Calibri" w:cs="Calibri"/>
          <w:noProof/>
          <w:szCs w:val="24"/>
        </w:rPr>
      </w:pPr>
      <w:r w:rsidRPr="001B7A4A">
        <w:rPr>
          <w:rFonts w:ascii="Calibri" w:hAnsi="Calibri" w:cs="Calibri"/>
          <w:noProof/>
          <w:szCs w:val="24"/>
        </w:rPr>
        <w:t xml:space="preserve">Blanco-Herrera, J. A., Gentile, D. A., &amp; Rokkum, J. N. (2019). Video Games can Increase Creativity, but with Caveats. </w:t>
      </w:r>
      <w:r w:rsidRPr="001B7A4A">
        <w:rPr>
          <w:rFonts w:ascii="Calibri" w:hAnsi="Calibri" w:cs="Calibri"/>
          <w:i/>
          <w:iCs/>
          <w:noProof/>
          <w:szCs w:val="24"/>
        </w:rPr>
        <w:t>Creativity Research Journal</w:t>
      </w:r>
      <w:r w:rsidRPr="001B7A4A">
        <w:rPr>
          <w:rFonts w:ascii="Calibri" w:hAnsi="Calibri" w:cs="Calibri"/>
          <w:noProof/>
          <w:szCs w:val="24"/>
        </w:rPr>
        <w:t xml:space="preserve">, </w:t>
      </w:r>
      <w:r w:rsidRPr="001B7A4A">
        <w:rPr>
          <w:rFonts w:ascii="Calibri" w:hAnsi="Calibri" w:cs="Calibri"/>
          <w:i/>
          <w:iCs/>
          <w:noProof/>
          <w:szCs w:val="24"/>
        </w:rPr>
        <w:t>31</w:t>
      </w:r>
      <w:r w:rsidRPr="001B7A4A">
        <w:rPr>
          <w:rFonts w:ascii="Calibri" w:hAnsi="Calibri" w:cs="Calibri"/>
          <w:noProof/>
          <w:szCs w:val="24"/>
        </w:rPr>
        <w:t>(2), 119–131. https://doi.org/10.1080/10400419.2019.1594524</w:t>
      </w:r>
    </w:p>
    <w:p w14:paraId="740D8BFB" w14:textId="77777777" w:rsidR="001B7A4A" w:rsidRPr="001B7A4A" w:rsidRDefault="001B7A4A" w:rsidP="001B7A4A">
      <w:pPr>
        <w:widowControl w:val="0"/>
        <w:autoSpaceDE w:val="0"/>
        <w:autoSpaceDN w:val="0"/>
        <w:adjustRightInd w:val="0"/>
        <w:spacing w:line="360" w:lineRule="auto"/>
        <w:ind w:left="480" w:hanging="480"/>
        <w:rPr>
          <w:rFonts w:ascii="Calibri" w:hAnsi="Calibri" w:cs="Calibri"/>
          <w:noProof/>
          <w:szCs w:val="24"/>
        </w:rPr>
      </w:pPr>
      <w:r w:rsidRPr="001B7A4A">
        <w:rPr>
          <w:rFonts w:ascii="Calibri" w:hAnsi="Calibri" w:cs="Calibri"/>
          <w:noProof/>
          <w:szCs w:val="24"/>
        </w:rPr>
        <w:t xml:space="preserve">Blandford, A. (2013). Semi-Structured Qualitative Studies. </w:t>
      </w:r>
      <w:r w:rsidRPr="001B7A4A">
        <w:rPr>
          <w:rFonts w:ascii="Calibri" w:hAnsi="Calibri" w:cs="Calibri"/>
          <w:i/>
          <w:iCs/>
          <w:noProof/>
          <w:szCs w:val="24"/>
        </w:rPr>
        <w:t>The Encyclopedia of Human-Computer Intreraction</w:t>
      </w:r>
      <w:r w:rsidRPr="001B7A4A">
        <w:rPr>
          <w:rFonts w:ascii="Calibri" w:hAnsi="Calibri" w:cs="Calibri"/>
          <w:noProof/>
          <w:szCs w:val="24"/>
        </w:rPr>
        <w:t xml:space="preserve">, </w:t>
      </w:r>
      <w:r w:rsidRPr="001B7A4A">
        <w:rPr>
          <w:rFonts w:ascii="Calibri" w:hAnsi="Calibri" w:cs="Calibri"/>
          <w:i/>
          <w:iCs/>
          <w:noProof/>
          <w:szCs w:val="24"/>
        </w:rPr>
        <w:t>2</w:t>
      </w:r>
      <w:r w:rsidRPr="001B7A4A">
        <w:rPr>
          <w:rFonts w:ascii="Calibri" w:hAnsi="Calibri" w:cs="Calibri"/>
          <w:noProof/>
          <w:szCs w:val="24"/>
        </w:rPr>
        <w:t>, 53. Retrieved from http://www.interaction-design.org/encyclopedia/semi-structured_qualitative_studies.html</w:t>
      </w:r>
    </w:p>
    <w:p w14:paraId="46C01E55" w14:textId="77777777" w:rsidR="001B7A4A" w:rsidRPr="001B7A4A" w:rsidRDefault="001B7A4A" w:rsidP="001B7A4A">
      <w:pPr>
        <w:widowControl w:val="0"/>
        <w:autoSpaceDE w:val="0"/>
        <w:autoSpaceDN w:val="0"/>
        <w:adjustRightInd w:val="0"/>
        <w:spacing w:line="360" w:lineRule="auto"/>
        <w:ind w:left="480" w:hanging="480"/>
        <w:rPr>
          <w:rFonts w:ascii="Calibri" w:hAnsi="Calibri" w:cs="Calibri"/>
          <w:noProof/>
          <w:szCs w:val="24"/>
        </w:rPr>
      </w:pPr>
      <w:r w:rsidRPr="001B7A4A">
        <w:rPr>
          <w:rFonts w:ascii="Calibri" w:hAnsi="Calibri" w:cs="Calibri"/>
          <w:noProof/>
          <w:szCs w:val="24"/>
        </w:rPr>
        <w:t xml:space="preserve">Blizzard Entertainment. (2004). </w:t>
      </w:r>
      <w:r w:rsidRPr="001B7A4A">
        <w:rPr>
          <w:rFonts w:ascii="Calibri" w:hAnsi="Calibri" w:cs="Calibri"/>
          <w:i/>
          <w:iCs/>
          <w:noProof/>
          <w:szCs w:val="24"/>
        </w:rPr>
        <w:t>World of Warcraft (WoW)</w:t>
      </w:r>
      <w:r w:rsidRPr="001B7A4A">
        <w:rPr>
          <w:rFonts w:ascii="Calibri" w:hAnsi="Calibri" w:cs="Calibri"/>
          <w:noProof/>
          <w:szCs w:val="24"/>
        </w:rPr>
        <w:t>. Blizzard Entertainment.</w:t>
      </w:r>
    </w:p>
    <w:p w14:paraId="53589059" w14:textId="77777777" w:rsidR="001B7A4A" w:rsidRPr="001B7A4A" w:rsidRDefault="001B7A4A" w:rsidP="001B7A4A">
      <w:pPr>
        <w:widowControl w:val="0"/>
        <w:autoSpaceDE w:val="0"/>
        <w:autoSpaceDN w:val="0"/>
        <w:adjustRightInd w:val="0"/>
        <w:spacing w:line="360" w:lineRule="auto"/>
        <w:ind w:left="480" w:hanging="480"/>
        <w:rPr>
          <w:rFonts w:ascii="Calibri" w:hAnsi="Calibri" w:cs="Calibri"/>
          <w:noProof/>
          <w:szCs w:val="24"/>
        </w:rPr>
      </w:pPr>
      <w:r w:rsidRPr="001B7A4A">
        <w:rPr>
          <w:rFonts w:ascii="Calibri" w:hAnsi="Calibri" w:cs="Calibri"/>
          <w:noProof/>
          <w:szCs w:val="24"/>
        </w:rPr>
        <w:t xml:space="preserve">Blizzard Entertainment. (2010). </w:t>
      </w:r>
      <w:r w:rsidRPr="001B7A4A">
        <w:rPr>
          <w:rFonts w:ascii="Calibri" w:hAnsi="Calibri" w:cs="Calibri"/>
          <w:i/>
          <w:iCs/>
          <w:noProof/>
          <w:szCs w:val="24"/>
        </w:rPr>
        <w:t>Starcraft II</w:t>
      </w:r>
      <w:r w:rsidRPr="001B7A4A">
        <w:rPr>
          <w:rFonts w:ascii="Calibri" w:hAnsi="Calibri" w:cs="Calibri"/>
          <w:noProof/>
          <w:szCs w:val="24"/>
        </w:rPr>
        <w:t>. Blizzard Entertainment.</w:t>
      </w:r>
    </w:p>
    <w:p w14:paraId="07A68EA3" w14:textId="77777777" w:rsidR="001B7A4A" w:rsidRPr="001B7A4A" w:rsidRDefault="001B7A4A" w:rsidP="001B7A4A">
      <w:pPr>
        <w:widowControl w:val="0"/>
        <w:autoSpaceDE w:val="0"/>
        <w:autoSpaceDN w:val="0"/>
        <w:adjustRightInd w:val="0"/>
        <w:spacing w:line="360" w:lineRule="auto"/>
        <w:ind w:left="480" w:hanging="480"/>
        <w:rPr>
          <w:rFonts w:ascii="Calibri" w:hAnsi="Calibri" w:cs="Calibri"/>
          <w:noProof/>
          <w:szCs w:val="24"/>
        </w:rPr>
      </w:pPr>
      <w:r w:rsidRPr="001B7A4A">
        <w:rPr>
          <w:rFonts w:ascii="Calibri" w:hAnsi="Calibri" w:cs="Calibri"/>
          <w:noProof/>
          <w:szCs w:val="24"/>
        </w:rPr>
        <w:t xml:space="preserve">Bopp, J. A., Opwis, K., &amp; Mekler, E. D. (2018). An Odd Kind of Pleasure: Differentiating Emotional Challenge in Digital Games. </w:t>
      </w:r>
      <w:r w:rsidRPr="001B7A4A">
        <w:rPr>
          <w:rFonts w:ascii="Calibri" w:hAnsi="Calibri" w:cs="Calibri"/>
          <w:i/>
          <w:iCs/>
          <w:noProof/>
          <w:szCs w:val="24"/>
        </w:rPr>
        <w:t>CHI 2018 April 21-26</w:t>
      </w:r>
      <w:r w:rsidRPr="001B7A4A">
        <w:rPr>
          <w:rFonts w:ascii="Calibri" w:hAnsi="Calibri" w:cs="Calibri"/>
          <w:noProof/>
          <w:szCs w:val="24"/>
        </w:rPr>
        <w:t>. https://doi.org/10.1145/3173574.3173615</w:t>
      </w:r>
    </w:p>
    <w:p w14:paraId="1BBAB0B3" w14:textId="77777777" w:rsidR="001B7A4A" w:rsidRPr="001B7A4A" w:rsidRDefault="001B7A4A" w:rsidP="001B7A4A">
      <w:pPr>
        <w:widowControl w:val="0"/>
        <w:autoSpaceDE w:val="0"/>
        <w:autoSpaceDN w:val="0"/>
        <w:adjustRightInd w:val="0"/>
        <w:spacing w:line="360" w:lineRule="auto"/>
        <w:ind w:left="480" w:hanging="480"/>
        <w:rPr>
          <w:rFonts w:ascii="Calibri" w:hAnsi="Calibri" w:cs="Calibri"/>
          <w:noProof/>
          <w:szCs w:val="24"/>
        </w:rPr>
      </w:pPr>
      <w:r w:rsidRPr="001B7A4A">
        <w:rPr>
          <w:rFonts w:ascii="Calibri" w:hAnsi="Calibri" w:cs="Calibri"/>
          <w:noProof/>
          <w:szCs w:val="24"/>
        </w:rPr>
        <w:t xml:space="preserve">Borowiecki, K. J., &amp; Bakhshi, H. (2017). Did you really take a hit? Understanding how video games playing affects individuals. In </w:t>
      </w:r>
      <w:r w:rsidRPr="001B7A4A">
        <w:rPr>
          <w:rFonts w:ascii="Calibri" w:hAnsi="Calibri" w:cs="Calibri"/>
          <w:i/>
          <w:iCs/>
          <w:noProof/>
          <w:szCs w:val="24"/>
        </w:rPr>
        <w:t>Nesta</w:t>
      </w:r>
      <w:r w:rsidRPr="001B7A4A">
        <w:rPr>
          <w:rFonts w:ascii="Calibri" w:hAnsi="Calibri" w:cs="Calibri"/>
          <w:noProof/>
          <w:szCs w:val="24"/>
        </w:rPr>
        <w:t>. https://doi.org/10.1016/j.rie.2017.06.004</w:t>
      </w:r>
    </w:p>
    <w:p w14:paraId="64198051" w14:textId="77777777" w:rsidR="001B7A4A" w:rsidRPr="001B7A4A" w:rsidRDefault="001B7A4A" w:rsidP="001B7A4A">
      <w:pPr>
        <w:widowControl w:val="0"/>
        <w:autoSpaceDE w:val="0"/>
        <w:autoSpaceDN w:val="0"/>
        <w:adjustRightInd w:val="0"/>
        <w:spacing w:line="360" w:lineRule="auto"/>
        <w:ind w:left="480" w:hanging="480"/>
        <w:rPr>
          <w:rFonts w:ascii="Calibri" w:hAnsi="Calibri" w:cs="Calibri"/>
          <w:noProof/>
          <w:szCs w:val="24"/>
        </w:rPr>
      </w:pPr>
      <w:r w:rsidRPr="001B7A4A">
        <w:rPr>
          <w:rFonts w:ascii="Calibri" w:hAnsi="Calibri" w:cs="Calibri"/>
          <w:noProof/>
          <w:szCs w:val="24"/>
        </w:rPr>
        <w:t xml:space="preserve">Bowman, N. D., &amp; Banks, J. (2016). Playing the zombie author: Machinima through the lens of Barthes. In K. Kenney (Ed.), </w:t>
      </w:r>
      <w:r w:rsidRPr="001B7A4A">
        <w:rPr>
          <w:rFonts w:ascii="Calibri" w:hAnsi="Calibri" w:cs="Calibri"/>
          <w:i/>
          <w:iCs/>
          <w:noProof/>
          <w:szCs w:val="24"/>
        </w:rPr>
        <w:t>Philosophy for multisensory communication</w:t>
      </w:r>
      <w:r w:rsidRPr="001B7A4A">
        <w:rPr>
          <w:rFonts w:ascii="Calibri" w:hAnsi="Calibri" w:cs="Calibri"/>
          <w:noProof/>
          <w:szCs w:val="24"/>
        </w:rPr>
        <w:t>. New York: Peter Lang.</w:t>
      </w:r>
    </w:p>
    <w:p w14:paraId="415C9398" w14:textId="77777777" w:rsidR="001B7A4A" w:rsidRPr="001B7A4A" w:rsidRDefault="001B7A4A" w:rsidP="001B7A4A">
      <w:pPr>
        <w:widowControl w:val="0"/>
        <w:autoSpaceDE w:val="0"/>
        <w:autoSpaceDN w:val="0"/>
        <w:adjustRightInd w:val="0"/>
        <w:spacing w:line="360" w:lineRule="auto"/>
        <w:ind w:left="480" w:hanging="480"/>
        <w:rPr>
          <w:rFonts w:ascii="Calibri" w:hAnsi="Calibri" w:cs="Calibri"/>
          <w:noProof/>
          <w:szCs w:val="24"/>
        </w:rPr>
      </w:pPr>
      <w:r w:rsidRPr="001B7A4A">
        <w:rPr>
          <w:rFonts w:ascii="Calibri" w:hAnsi="Calibri" w:cs="Calibri"/>
          <w:noProof/>
          <w:szCs w:val="24"/>
        </w:rPr>
        <w:t xml:space="preserve">Bowman, N. D., Kowert, R., &amp; Ferguson, C. J. (2015). The Impact of Video Game Play on Human (and Orc) Creativity. </w:t>
      </w:r>
      <w:r w:rsidRPr="001B7A4A">
        <w:rPr>
          <w:rFonts w:ascii="Calibri" w:hAnsi="Calibri" w:cs="Calibri"/>
          <w:i/>
          <w:iCs/>
          <w:noProof/>
          <w:szCs w:val="24"/>
        </w:rPr>
        <w:t>Video Games and Creativity</w:t>
      </w:r>
      <w:r w:rsidRPr="001B7A4A">
        <w:rPr>
          <w:rFonts w:ascii="Calibri" w:hAnsi="Calibri" w:cs="Calibri"/>
          <w:noProof/>
          <w:szCs w:val="24"/>
        </w:rPr>
        <w:t>, (March 2018), 39–60. https://doi.org/10.1016/B978-0-12-801462-2.00002-3</w:t>
      </w:r>
    </w:p>
    <w:p w14:paraId="179704D7" w14:textId="77777777" w:rsidR="001B7A4A" w:rsidRPr="001B7A4A" w:rsidRDefault="001B7A4A" w:rsidP="001B7A4A">
      <w:pPr>
        <w:widowControl w:val="0"/>
        <w:autoSpaceDE w:val="0"/>
        <w:autoSpaceDN w:val="0"/>
        <w:adjustRightInd w:val="0"/>
        <w:spacing w:line="360" w:lineRule="auto"/>
        <w:ind w:left="480" w:hanging="480"/>
        <w:rPr>
          <w:rFonts w:ascii="Calibri" w:hAnsi="Calibri" w:cs="Calibri"/>
          <w:noProof/>
          <w:szCs w:val="24"/>
        </w:rPr>
      </w:pPr>
      <w:r w:rsidRPr="001B7A4A">
        <w:rPr>
          <w:rFonts w:ascii="Calibri" w:hAnsi="Calibri" w:cs="Calibri"/>
          <w:noProof/>
          <w:szCs w:val="24"/>
        </w:rPr>
        <w:lastRenderedPageBreak/>
        <w:t xml:space="preserve">Braun, V., &amp; Clarke, V. (2006). Using thematic analysis in psychology. </w:t>
      </w:r>
      <w:r w:rsidRPr="001B7A4A">
        <w:rPr>
          <w:rFonts w:ascii="Calibri" w:hAnsi="Calibri" w:cs="Calibri"/>
          <w:i/>
          <w:iCs/>
          <w:noProof/>
          <w:szCs w:val="24"/>
        </w:rPr>
        <w:t>Qualitative Research in Psychology</w:t>
      </w:r>
      <w:r w:rsidRPr="001B7A4A">
        <w:rPr>
          <w:rFonts w:ascii="Calibri" w:hAnsi="Calibri" w:cs="Calibri"/>
          <w:noProof/>
          <w:szCs w:val="24"/>
        </w:rPr>
        <w:t xml:space="preserve">, </w:t>
      </w:r>
      <w:r w:rsidRPr="001B7A4A">
        <w:rPr>
          <w:rFonts w:ascii="Calibri" w:hAnsi="Calibri" w:cs="Calibri"/>
          <w:i/>
          <w:iCs/>
          <w:noProof/>
          <w:szCs w:val="24"/>
        </w:rPr>
        <w:t>3</w:t>
      </w:r>
      <w:r w:rsidRPr="001B7A4A">
        <w:rPr>
          <w:rFonts w:ascii="Calibri" w:hAnsi="Calibri" w:cs="Calibri"/>
          <w:noProof/>
          <w:szCs w:val="24"/>
        </w:rPr>
        <w:t>(2), 77–101. https://doi.org/10.1191/1478088706qp063oa</w:t>
      </w:r>
    </w:p>
    <w:p w14:paraId="17A15EAF" w14:textId="77777777" w:rsidR="001B7A4A" w:rsidRPr="001B7A4A" w:rsidRDefault="001B7A4A" w:rsidP="001B7A4A">
      <w:pPr>
        <w:widowControl w:val="0"/>
        <w:autoSpaceDE w:val="0"/>
        <w:autoSpaceDN w:val="0"/>
        <w:adjustRightInd w:val="0"/>
        <w:spacing w:line="360" w:lineRule="auto"/>
        <w:ind w:left="480" w:hanging="480"/>
        <w:rPr>
          <w:rFonts w:ascii="Calibri" w:hAnsi="Calibri" w:cs="Calibri"/>
          <w:noProof/>
          <w:szCs w:val="24"/>
        </w:rPr>
      </w:pPr>
      <w:r w:rsidRPr="001B7A4A">
        <w:rPr>
          <w:rFonts w:ascii="Calibri" w:hAnsi="Calibri" w:cs="Calibri"/>
          <w:noProof/>
          <w:szCs w:val="24"/>
        </w:rPr>
        <w:t xml:space="preserve">Burri, M. (2011). Misunderstanding Creativity: User Created Content in Virtual Worlds and Its Constraints by Code and Law. </w:t>
      </w:r>
      <w:r w:rsidRPr="001B7A4A">
        <w:rPr>
          <w:rFonts w:ascii="Calibri" w:hAnsi="Calibri" w:cs="Calibri"/>
          <w:i/>
          <w:iCs/>
          <w:noProof/>
          <w:szCs w:val="24"/>
        </w:rPr>
        <w:t>International Journal of Communications Law &amp; Policy</w:t>
      </w:r>
      <w:r w:rsidRPr="001B7A4A">
        <w:rPr>
          <w:rFonts w:ascii="Calibri" w:hAnsi="Calibri" w:cs="Calibri"/>
          <w:noProof/>
          <w:szCs w:val="24"/>
        </w:rPr>
        <w:t xml:space="preserve">, </w:t>
      </w:r>
      <w:r w:rsidRPr="001B7A4A">
        <w:rPr>
          <w:rFonts w:ascii="Calibri" w:hAnsi="Calibri" w:cs="Calibri"/>
          <w:i/>
          <w:iCs/>
          <w:noProof/>
          <w:szCs w:val="24"/>
        </w:rPr>
        <w:t>14</w:t>
      </w:r>
      <w:r w:rsidRPr="001B7A4A">
        <w:rPr>
          <w:rFonts w:ascii="Calibri" w:hAnsi="Calibri" w:cs="Calibri"/>
          <w:noProof/>
          <w:szCs w:val="24"/>
        </w:rPr>
        <w:t>(March), 1–28.</w:t>
      </w:r>
    </w:p>
    <w:p w14:paraId="24BA2A5B" w14:textId="77777777" w:rsidR="001B7A4A" w:rsidRPr="001B7A4A" w:rsidRDefault="001B7A4A" w:rsidP="001B7A4A">
      <w:pPr>
        <w:widowControl w:val="0"/>
        <w:autoSpaceDE w:val="0"/>
        <w:autoSpaceDN w:val="0"/>
        <w:adjustRightInd w:val="0"/>
        <w:spacing w:line="360" w:lineRule="auto"/>
        <w:ind w:left="480" w:hanging="480"/>
        <w:rPr>
          <w:rFonts w:ascii="Calibri" w:hAnsi="Calibri" w:cs="Calibri"/>
          <w:noProof/>
          <w:szCs w:val="24"/>
        </w:rPr>
      </w:pPr>
      <w:r w:rsidRPr="001B7A4A">
        <w:rPr>
          <w:rFonts w:ascii="Calibri" w:hAnsi="Calibri" w:cs="Calibri"/>
          <w:noProof/>
          <w:szCs w:val="24"/>
        </w:rPr>
        <w:t xml:space="preserve">Caillois, R., &amp; Barash, M. (1958). </w:t>
      </w:r>
      <w:r w:rsidRPr="001B7A4A">
        <w:rPr>
          <w:rFonts w:ascii="Calibri" w:hAnsi="Calibri" w:cs="Calibri"/>
          <w:i/>
          <w:iCs/>
          <w:noProof/>
          <w:szCs w:val="24"/>
        </w:rPr>
        <w:t>Man, play, and games</w:t>
      </w:r>
      <w:r w:rsidRPr="001B7A4A">
        <w:rPr>
          <w:rFonts w:ascii="Calibri" w:hAnsi="Calibri" w:cs="Calibri"/>
          <w:noProof/>
          <w:szCs w:val="24"/>
        </w:rPr>
        <w:t>. University of Illinois Press.</w:t>
      </w:r>
    </w:p>
    <w:p w14:paraId="14F7A32D" w14:textId="77777777" w:rsidR="001B7A4A" w:rsidRPr="001B7A4A" w:rsidRDefault="001B7A4A" w:rsidP="001B7A4A">
      <w:pPr>
        <w:widowControl w:val="0"/>
        <w:autoSpaceDE w:val="0"/>
        <w:autoSpaceDN w:val="0"/>
        <w:adjustRightInd w:val="0"/>
        <w:spacing w:line="360" w:lineRule="auto"/>
        <w:ind w:left="480" w:hanging="480"/>
        <w:rPr>
          <w:rFonts w:ascii="Calibri" w:hAnsi="Calibri" w:cs="Calibri"/>
          <w:noProof/>
          <w:szCs w:val="24"/>
        </w:rPr>
      </w:pPr>
      <w:r w:rsidRPr="001B7A4A">
        <w:rPr>
          <w:rFonts w:ascii="Calibri" w:hAnsi="Calibri" w:cs="Calibri"/>
          <w:noProof/>
          <w:szCs w:val="24"/>
        </w:rPr>
        <w:t xml:space="preserve">Capcom. (2018). </w:t>
      </w:r>
      <w:r w:rsidRPr="001B7A4A">
        <w:rPr>
          <w:rFonts w:ascii="Calibri" w:hAnsi="Calibri" w:cs="Calibri"/>
          <w:i/>
          <w:iCs/>
          <w:noProof/>
          <w:szCs w:val="24"/>
        </w:rPr>
        <w:t>Monster Hunter: World</w:t>
      </w:r>
      <w:r w:rsidRPr="001B7A4A">
        <w:rPr>
          <w:rFonts w:ascii="Calibri" w:hAnsi="Calibri" w:cs="Calibri"/>
          <w:noProof/>
          <w:szCs w:val="24"/>
        </w:rPr>
        <w:t>.</w:t>
      </w:r>
    </w:p>
    <w:p w14:paraId="7B3BBF13" w14:textId="77777777" w:rsidR="001B7A4A" w:rsidRPr="001B7A4A" w:rsidRDefault="001B7A4A" w:rsidP="001B7A4A">
      <w:pPr>
        <w:widowControl w:val="0"/>
        <w:autoSpaceDE w:val="0"/>
        <w:autoSpaceDN w:val="0"/>
        <w:adjustRightInd w:val="0"/>
        <w:spacing w:line="360" w:lineRule="auto"/>
        <w:ind w:left="480" w:hanging="480"/>
        <w:rPr>
          <w:rFonts w:ascii="Calibri" w:hAnsi="Calibri" w:cs="Calibri"/>
          <w:noProof/>
          <w:szCs w:val="24"/>
        </w:rPr>
      </w:pPr>
      <w:r w:rsidRPr="001B7A4A">
        <w:rPr>
          <w:rFonts w:ascii="Calibri" w:hAnsi="Calibri" w:cs="Calibri"/>
          <w:noProof/>
          <w:szCs w:val="24"/>
        </w:rPr>
        <w:t xml:space="preserve">Capcom, &amp; Double Helix Games. (2014). </w:t>
      </w:r>
      <w:r w:rsidRPr="001B7A4A">
        <w:rPr>
          <w:rFonts w:ascii="Calibri" w:hAnsi="Calibri" w:cs="Calibri"/>
          <w:i/>
          <w:iCs/>
          <w:noProof/>
          <w:szCs w:val="24"/>
        </w:rPr>
        <w:t>Strider</w:t>
      </w:r>
      <w:r w:rsidRPr="001B7A4A">
        <w:rPr>
          <w:rFonts w:ascii="Calibri" w:hAnsi="Calibri" w:cs="Calibri"/>
          <w:noProof/>
          <w:szCs w:val="24"/>
        </w:rPr>
        <w:t>. Capcom, Double Helix Games.</w:t>
      </w:r>
    </w:p>
    <w:p w14:paraId="3E1E31EA" w14:textId="77777777" w:rsidR="001B7A4A" w:rsidRPr="001B7A4A" w:rsidRDefault="001B7A4A" w:rsidP="001B7A4A">
      <w:pPr>
        <w:widowControl w:val="0"/>
        <w:autoSpaceDE w:val="0"/>
        <w:autoSpaceDN w:val="0"/>
        <w:adjustRightInd w:val="0"/>
        <w:spacing w:line="360" w:lineRule="auto"/>
        <w:ind w:left="480" w:hanging="480"/>
        <w:rPr>
          <w:rFonts w:ascii="Calibri" w:hAnsi="Calibri" w:cs="Calibri"/>
          <w:noProof/>
          <w:szCs w:val="24"/>
        </w:rPr>
      </w:pPr>
      <w:r w:rsidRPr="001B7A4A">
        <w:rPr>
          <w:rFonts w:ascii="Calibri" w:hAnsi="Calibri" w:cs="Calibri"/>
          <w:noProof/>
          <w:szCs w:val="24"/>
        </w:rPr>
        <w:t xml:space="preserve">Cardona-Rivera, R. E., &amp; Young, R. M. (2013). A Cognitivist Theory of Affordances for Games. </w:t>
      </w:r>
      <w:r w:rsidRPr="001B7A4A">
        <w:rPr>
          <w:rFonts w:ascii="Calibri" w:hAnsi="Calibri" w:cs="Calibri"/>
          <w:i/>
          <w:iCs/>
          <w:noProof/>
          <w:szCs w:val="24"/>
        </w:rPr>
        <w:t>Proceedings of DiGRA 2013</w:t>
      </w:r>
      <w:r w:rsidRPr="001B7A4A">
        <w:rPr>
          <w:rFonts w:ascii="Calibri" w:hAnsi="Calibri" w:cs="Calibri"/>
          <w:noProof/>
          <w:szCs w:val="24"/>
        </w:rPr>
        <w:t>. Retrieved from http://www.digra.org/wp-content/uploads/digital-library/paper_74b.pdf.pdf</w:t>
      </w:r>
    </w:p>
    <w:p w14:paraId="276DBB25" w14:textId="77777777" w:rsidR="001B7A4A" w:rsidRPr="001B7A4A" w:rsidRDefault="001B7A4A" w:rsidP="001B7A4A">
      <w:pPr>
        <w:widowControl w:val="0"/>
        <w:autoSpaceDE w:val="0"/>
        <w:autoSpaceDN w:val="0"/>
        <w:adjustRightInd w:val="0"/>
        <w:spacing w:line="360" w:lineRule="auto"/>
        <w:ind w:left="480" w:hanging="480"/>
        <w:rPr>
          <w:rFonts w:ascii="Calibri" w:hAnsi="Calibri" w:cs="Calibri"/>
          <w:noProof/>
          <w:szCs w:val="24"/>
        </w:rPr>
      </w:pPr>
      <w:r w:rsidRPr="001B7A4A">
        <w:rPr>
          <w:rFonts w:ascii="Calibri" w:hAnsi="Calibri" w:cs="Calibri"/>
          <w:noProof/>
          <w:szCs w:val="24"/>
        </w:rPr>
        <w:t xml:space="preserve">Carvalho, M. B., Bellotti, F., Berta, R., De Gloria, A., Sedano, C. I., Hauge, J. B., … Rauterberg, M. (2015). An activity theory-based model for serious games analysis and conceptual design. </w:t>
      </w:r>
      <w:r w:rsidRPr="001B7A4A">
        <w:rPr>
          <w:rFonts w:ascii="Calibri" w:hAnsi="Calibri" w:cs="Calibri"/>
          <w:i/>
          <w:iCs/>
          <w:noProof/>
          <w:szCs w:val="24"/>
        </w:rPr>
        <w:t>Computers and Education</w:t>
      </w:r>
      <w:r w:rsidRPr="001B7A4A">
        <w:rPr>
          <w:rFonts w:ascii="Calibri" w:hAnsi="Calibri" w:cs="Calibri"/>
          <w:noProof/>
          <w:szCs w:val="24"/>
        </w:rPr>
        <w:t xml:space="preserve">, </w:t>
      </w:r>
      <w:r w:rsidRPr="001B7A4A">
        <w:rPr>
          <w:rFonts w:ascii="Calibri" w:hAnsi="Calibri" w:cs="Calibri"/>
          <w:i/>
          <w:iCs/>
          <w:noProof/>
          <w:szCs w:val="24"/>
        </w:rPr>
        <w:t>87</w:t>
      </w:r>
      <w:r w:rsidRPr="001B7A4A">
        <w:rPr>
          <w:rFonts w:ascii="Calibri" w:hAnsi="Calibri" w:cs="Calibri"/>
          <w:noProof/>
          <w:szCs w:val="24"/>
        </w:rPr>
        <w:t>, 166–181. https://doi.org/10.1016/j.compedu.2015.03.023</w:t>
      </w:r>
    </w:p>
    <w:p w14:paraId="37B14BD0" w14:textId="77777777" w:rsidR="001B7A4A" w:rsidRPr="001B7A4A" w:rsidRDefault="001B7A4A" w:rsidP="001B7A4A">
      <w:pPr>
        <w:widowControl w:val="0"/>
        <w:autoSpaceDE w:val="0"/>
        <w:autoSpaceDN w:val="0"/>
        <w:adjustRightInd w:val="0"/>
        <w:spacing w:line="360" w:lineRule="auto"/>
        <w:ind w:left="480" w:hanging="480"/>
        <w:rPr>
          <w:rFonts w:ascii="Calibri" w:hAnsi="Calibri" w:cs="Calibri"/>
          <w:noProof/>
          <w:szCs w:val="24"/>
        </w:rPr>
      </w:pPr>
      <w:r w:rsidRPr="001B7A4A">
        <w:rPr>
          <w:rFonts w:ascii="Calibri" w:hAnsi="Calibri" w:cs="Calibri"/>
          <w:noProof/>
          <w:szCs w:val="24"/>
        </w:rPr>
        <w:t xml:space="preserve">CD Projekt Red. (2011). </w:t>
      </w:r>
      <w:r w:rsidRPr="001B7A4A">
        <w:rPr>
          <w:rFonts w:ascii="Calibri" w:hAnsi="Calibri" w:cs="Calibri"/>
          <w:i/>
          <w:iCs/>
          <w:noProof/>
          <w:szCs w:val="24"/>
        </w:rPr>
        <w:t>The Witcher 2: Assassins of Kings</w:t>
      </w:r>
      <w:r w:rsidRPr="001B7A4A">
        <w:rPr>
          <w:rFonts w:ascii="Calibri" w:hAnsi="Calibri" w:cs="Calibri"/>
          <w:noProof/>
          <w:szCs w:val="24"/>
        </w:rPr>
        <w:t>. CD Projekt Red.</w:t>
      </w:r>
    </w:p>
    <w:p w14:paraId="27B64E72" w14:textId="77777777" w:rsidR="001B7A4A" w:rsidRPr="001B7A4A" w:rsidRDefault="001B7A4A" w:rsidP="001B7A4A">
      <w:pPr>
        <w:widowControl w:val="0"/>
        <w:autoSpaceDE w:val="0"/>
        <w:autoSpaceDN w:val="0"/>
        <w:adjustRightInd w:val="0"/>
        <w:spacing w:line="360" w:lineRule="auto"/>
        <w:ind w:left="480" w:hanging="480"/>
        <w:rPr>
          <w:rFonts w:ascii="Calibri" w:hAnsi="Calibri" w:cs="Calibri"/>
          <w:noProof/>
          <w:szCs w:val="24"/>
        </w:rPr>
      </w:pPr>
      <w:r w:rsidRPr="001B7A4A">
        <w:rPr>
          <w:rFonts w:ascii="Calibri" w:hAnsi="Calibri" w:cs="Calibri"/>
          <w:noProof/>
          <w:szCs w:val="24"/>
        </w:rPr>
        <w:t xml:space="preserve">Clough, G., &amp; Ferguson, R. (2010). Virtual worlds are authentic sites for learning. </w:t>
      </w:r>
      <w:r w:rsidRPr="001B7A4A">
        <w:rPr>
          <w:rFonts w:ascii="Calibri" w:hAnsi="Calibri" w:cs="Calibri"/>
          <w:i/>
          <w:iCs/>
          <w:noProof/>
          <w:szCs w:val="24"/>
        </w:rPr>
        <w:t>Virtual Worlds: Controversies at the Frontier of Education</w:t>
      </w:r>
      <w:r w:rsidRPr="001B7A4A">
        <w:rPr>
          <w:rFonts w:ascii="Calibri" w:hAnsi="Calibri" w:cs="Calibri"/>
          <w:noProof/>
          <w:szCs w:val="24"/>
        </w:rPr>
        <w:t>. Retrieved from https://www.novapublishers.com/catalog/product</w:t>
      </w:r>
    </w:p>
    <w:p w14:paraId="17EC23C3" w14:textId="77777777" w:rsidR="001B7A4A" w:rsidRPr="001B7A4A" w:rsidRDefault="001B7A4A" w:rsidP="001B7A4A">
      <w:pPr>
        <w:widowControl w:val="0"/>
        <w:autoSpaceDE w:val="0"/>
        <w:autoSpaceDN w:val="0"/>
        <w:adjustRightInd w:val="0"/>
        <w:spacing w:line="360" w:lineRule="auto"/>
        <w:ind w:left="480" w:hanging="480"/>
        <w:rPr>
          <w:rFonts w:ascii="Calibri" w:hAnsi="Calibri" w:cs="Calibri"/>
          <w:noProof/>
          <w:szCs w:val="24"/>
        </w:rPr>
      </w:pPr>
      <w:r w:rsidRPr="001B7A4A">
        <w:rPr>
          <w:rFonts w:ascii="Calibri" w:hAnsi="Calibri" w:cs="Calibri"/>
          <w:noProof/>
          <w:szCs w:val="24"/>
        </w:rPr>
        <w:t xml:space="preserve">Cole, T., Cairns, P., &amp; Gillies, M. (2015). Emotional and Functional Challenge in Core and Avant-garde Games. </w:t>
      </w:r>
      <w:r w:rsidRPr="001B7A4A">
        <w:rPr>
          <w:rFonts w:ascii="Calibri" w:hAnsi="Calibri" w:cs="Calibri"/>
          <w:i/>
          <w:iCs/>
          <w:noProof/>
          <w:szCs w:val="24"/>
        </w:rPr>
        <w:t>CHI Play 2015 October 3-7</w:t>
      </w:r>
      <w:r w:rsidRPr="001B7A4A">
        <w:rPr>
          <w:rFonts w:ascii="Calibri" w:hAnsi="Calibri" w:cs="Calibri"/>
          <w:noProof/>
          <w:szCs w:val="24"/>
        </w:rPr>
        <w:t>. https://doi.org/10.1145/2793107.2793147</w:t>
      </w:r>
    </w:p>
    <w:p w14:paraId="5924BA18" w14:textId="77777777" w:rsidR="001B7A4A" w:rsidRPr="001B7A4A" w:rsidRDefault="001B7A4A" w:rsidP="001B7A4A">
      <w:pPr>
        <w:widowControl w:val="0"/>
        <w:autoSpaceDE w:val="0"/>
        <w:autoSpaceDN w:val="0"/>
        <w:adjustRightInd w:val="0"/>
        <w:spacing w:line="360" w:lineRule="auto"/>
        <w:ind w:left="480" w:hanging="480"/>
        <w:rPr>
          <w:rFonts w:ascii="Calibri" w:hAnsi="Calibri" w:cs="Calibri"/>
          <w:noProof/>
          <w:szCs w:val="24"/>
        </w:rPr>
      </w:pPr>
      <w:r w:rsidRPr="001B7A4A">
        <w:rPr>
          <w:rFonts w:ascii="Calibri" w:hAnsi="Calibri" w:cs="Calibri"/>
          <w:noProof/>
          <w:szCs w:val="24"/>
        </w:rPr>
        <w:t xml:space="preserve">Collins, K. (2013). </w:t>
      </w:r>
      <w:r w:rsidRPr="001B7A4A">
        <w:rPr>
          <w:rFonts w:ascii="Calibri" w:hAnsi="Calibri" w:cs="Calibri"/>
          <w:i/>
          <w:iCs/>
          <w:noProof/>
          <w:szCs w:val="24"/>
        </w:rPr>
        <w:t>Playing With Sound: A Theory of Interacting with Sound and Music in Video Games</w:t>
      </w:r>
      <w:r w:rsidRPr="001B7A4A">
        <w:rPr>
          <w:rFonts w:ascii="Calibri" w:hAnsi="Calibri" w:cs="Calibri"/>
          <w:noProof/>
          <w:szCs w:val="24"/>
        </w:rPr>
        <w:t>. https://doi.org/10.1017/S0261143014000178</w:t>
      </w:r>
    </w:p>
    <w:p w14:paraId="710404C8" w14:textId="77777777" w:rsidR="001B7A4A" w:rsidRPr="001B7A4A" w:rsidRDefault="001B7A4A" w:rsidP="001B7A4A">
      <w:pPr>
        <w:widowControl w:val="0"/>
        <w:autoSpaceDE w:val="0"/>
        <w:autoSpaceDN w:val="0"/>
        <w:adjustRightInd w:val="0"/>
        <w:spacing w:line="360" w:lineRule="auto"/>
        <w:ind w:left="480" w:hanging="480"/>
        <w:rPr>
          <w:rFonts w:ascii="Calibri" w:hAnsi="Calibri" w:cs="Calibri"/>
          <w:noProof/>
          <w:szCs w:val="24"/>
        </w:rPr>
      </w:pPr>
      <w:r w:rsidRPr="001B7A4A">
        <w:rPr>
          <w:rFonts w:ascii="Calibri" w:hAnsi="Calibri" w:cs="Calibri"/>
          <w:noProof/>
          <w:szCs w:val="24"/>
        </w:rPr>
        <w:t xml:space="preserve">Consalvo, M. (2009). </w:t>
      </w:r>
      <w:r w:rsidRPr="001B7A4A">
        <w:rPr>
          <w:rFonts w:ascii="Calibri" w:hAnsi="Calibri" w:cs="Calibri"/>
          <w:i/>
          <w:iCs/>
          <w:noProof/>
          <w:szCs w:val="24"/>
        </w:rPr>
        <w:t>Cheating: Gaining Advantage in Videogames</w:t>
      </w:r>
      <w:r w:rsidRPr="001B7A4A">
        <w:rPr>
          <w:rFonts w:ascii="Calibri" w:hAnsi="Calibri" w:cs="Calibri"/>
          <w:noProof/>
          <w:szCs w:val="24"/>
        </w:rPr>
        <w:t>. London: MIT Press.</w:t>
      </w:r>
    </w:p>
    <w:p w14:paraId="4238533C" w14:textId="77777777" w:rsidR="001B7A4A" w:rsidRPr="001B7A4A" w:rsidRDefault="001B7A4A" w:rsidP="001B7A4A">
      <w:pPr>
        <w:widowControl w:val="0"/>
        <w:autoSpaceDE w:val="0"/>
        <w:autoSpaceDN w:val="0"/>
        <w:adjustRightInd w:val="0"/>
        <w:spacing w:line="360" w:lineRule="auto"/>
        <w:ind w:left="480" w:hanging="480"/>
        <w:rPr>
          <w:rFonts w:ascii="Calibri" w:hAnsi="Calibri" w:cs="Calibri"/>
          <w:noProof/>
          <w:szCs w:val="24"/>
        </w:rPr>
      </w:pPr>
      <w:r w:rsidRPr="001B7A4A">
        <w:rPr>
          <w:rFonts w:ascii="Calibri" w:hAnsi="Calibri" w:cs="Calibri"/>
          <w:noProof/>
          <w:szCs w:val="24"/>
        </w:rPr>
        <w:t xml:space="preserve">Cooper, A. (1999). </w:t>
      </w:r>
      <w:r w:rsidRPr="001B7A4A">
        <w:rPr>
          <w:rFonts w:ascii="Calibri" w:hAnsi="Calibri" w:cs="Calibri"/>
          <w:i/>
          <w:iCs/>
          <w:noProof/>
          <w:szCs w:val="24"/>
        </w:rPr>
        <w:t>The inmates are running the asulum. Why high-tech products drive us crazy and how to restore the sanity</w:t>
      </w:r>
      <w:r w:rsidRPr="001B7A4A">
        <w:rPr>
          <w:rFonts w:ascii="Calibri" w:hAnsi="Calibri" w:cs="Calibri"/>
          <w:noProof/>
          <w:szCs w:val="24"/>
        </w:rPr>
        <w:t xml:space="preserve"> (Second (20). Indianapolis: Sams.</w:t>
      </w:r>
    </w:p>
    <w:p w14:paraId="05DDF1E7" w14:textId="77777777" w:rsidR="001B7A4A" w:rsidRPr="001B7A4A" w:rsidRDefault="001B7A4A" w:rsidP="001B7A4A">
      <w:pPr>
        <w:widowControl w:val="0"/>
        <w:autoSpaceDE w:val="0"/>
        <w:autoSpaceDN w:val="0"/>
        <w:adjustRightInd w:val="0"/>
        <w:spacing w:line="360" w:lineRule="auto"/>
        <w:ind w:left="480" w:hanging="480"/>
        <w:rPr>
          <w:rFonts w:ascii="Calibri" w:hAnsi="Calibri" w:cs="Calibri"/>
          <w:noProof/>
          <w:szCs w:val="24"/>
        </w:rPr>
      </w:pPr>
      <w:r w:rsidRPr="001B7A4A">
        <w:rPr>
          <w:rFonts w:ascii="Calibri" w:hAnsi="Calibri" w:cs="Calibri"/>
          <w:noProof/>
          <w:szCs w:val="24"/>
        </w:rPr>
        <w:t xml:space="preserve">Craft, A., Drugal, J., Dyer, G., Jeffrey, B., &amp; Lyons, T. (1997). </w:t>
      </w:r>
      <w:r w:rsidRPr="001B7A4A">
        <w:rPr>
          <w:rFonts w:ascii="Calibri" w:hAnsi="Calibri" w:cs="Calibri"/>
          <w:i/>
          <w:iCs/>
          <w:noProof/>
          <w:szCs w:val="24"/>
        </w:rPr>
        <w:t>Can you Teach Creativity?</w:t>
      </w:r>
      <w:r w:rsidRPr="001B7A4A">
        <w:rPr>
          <w:rFonts w:ascii="Calibri" w:hAnsi="Calibri" w:cs="Calibri"/>
          <w:noProof/>
          <w:szCs w:val="24"/>
        </w:rPr>
        <w:t xml:space="preserve"> Education Now.</w:t>
      </w:r>
    </w:p>
    <w:p w14:paraId="2E95DAE0" w14:textId="77777777" w:rsidR="001B7A4A" w:rsidRPr="001B7A4A" w:rsidRDefault="001B7A4A" w:rsidP="001B7A4A">
      <w:pPr>
        <w:widowControl w:val="0"/>
        <w:autoSpaceDE w:val="0"/>
        <w:autoSpaceDN w:val="0"/>
        <w:adjustRightInd w:val="0"/>
        <w:spacing w:line="360" w:lineRule="auto"/>
        <w:ind w:left="480" w:hanging="480"/>
        <w:rPr>
          <w:rFonts w:ascii="Calibri" w:hAnsi="Calibri" w:cs="Calibri"/>
          <w:noProof/>
          <w:szCs w:val="24"/>
        </w:rPr>
      </w:pPr>
      <w:r w:rsidRPr="001B7A4A">
        <w:rPr>
          <w:rFonts w:ascii="Calibri" w:hAnsi="Calibri" w:cs="Calibri"/>
          <w:noProof/>
          <w:szCs w:val="24"/>
        </w:rPr>
        <w:t xml:space="preserve">Csikszentmihalyi, M. (1999). Implications of a Systems Perspective for the Study of Creativity. In R. J. Sternberg (Ed.), </w:t>
      </w:r>
      <w:r w:rsidRPr="001B7A4A">
        <w:rPr>
          <w:rFonts w:ascii="Calibri" w:hAnsi="Calibri" w:cs="Calibri"/>
          <w:i/>
          <w:iCs/>
          <w:noProof/>
          <w:szCs w:val="24"/>
        </w:rPr>
        <w:t>Handbook of Creativity</w:t>
      </w:r>
      <w:r w:rsidRPr="001B7A4A">
        <w:rPr>
          <w:rFonts w:ascii="Calibri" w:hAnsi="Calibri" w:cs="Calibri"/>
          <w:noProof/>
          <w:szCs w:val="24"/>
        </w:rPr>
        <w:t xml:space="preserve"> (pp. 313–335). Cambridge, NY: Cambridge University </w:t>
      </w:r>
      <w:r w:rsidRPr="001B7A4A">
        <w:rPr>
          <w:rFonts w:ascii="Calibri" w:hAnsi="Calibri" w:cs="Calibri"/>
          <w:noProof/>
          <w:szCs w:val="24"/>
        </w:rPr>
        <w:lastRenderedPageBreak/>
        <w:t>Press.</w:t>
      </w:r>
    </w:p>
    <w:p w14:paraId="45FA8071" w14:textId="77777777" w:rsidR="001B7A4A" w:rsidRPr="001B7A4A" w:rsidRDefault="001B7A4A" w:rsidP="001B7A4A">
      <w:pPr>
        <w:widowControl w:val="0"/>
        <w:autoSpaceDE w:val="0"/>
        <w:autoSpaceDN w:val="0"/>
        <w:adjustRightInd w:val="0"/>
        <w:spacing w:line="360" w:lineRule="auto"/>
        <w:ind w:left="480" w:hanging="480"/>
        <w:rPr>
          <w:rFonts w:ascii="Calibri" w:hAnsi="Calibri" w:cs="Calibri"/>
          <w:noProof/>
          <w:szCs w:val="24"/>
        </w:rPr>
      </w:pPr>
      <w:r w:rsidRPr="001B7A4A">
        <w:rPr>
          <w:rFonts w:ascii="Calibri" w:hAnsi="Calibri" w:cs="Calibri"/>
          <w:noProof/>
          <w:szCs w:val="24"/>
        </w:rPr>
        <w:t xml:space="preserve">Csikszentmihalyi, M. (2014). Flow and the Foundations of Positive Psychology. </w:t>
      </w:r>
      <w:r w:rsidRPr="001B7A4A">
        <w:rPr>
          <w:rFonts w:ascii="Calibri" w:hAnsi="Calibri" w:cs="Calibri"/>
          <w:i/>
          <w:iCs/>
          <w:noProof/>
          <w:szCs w:val="24"/>
        </w:rPr>
        <w:t>Journal of Humanistic Psychology</w:t>
      </w:r>
      <w:r w:rsidRPr="001B7A4A">
        <w:rPr>
          <w:rFonts w:ascii="Calibri" w:hAnsi="Calibri" w:cs="Calibri"/>
          <w:noProof/>
          <w:szCs w:val="24"/>
        </w:rPr>
        <w:t xml:space="preserve">, </w:t>
      </w:r>
      <w:r w:rsidRPr="001B7A4A">
        <w:rPr>
          <w:rFonts w:ascii="Calibri" w:hAnsi="Calibri" w:cs="Calibri"/>
          <w:i/>
          <w:iCs/>
          <w:noProof/>
          <w:szCs w:val="24"/>
        </w:rPr>
        <w:t>15</w:t>
      </w:r>
      <w:r w:rsidRPr="001B7A4A">
        <w:rPr>
          <w:rFonts w:ascii="Calibri" w:hAnsi="Calibri" w:cs="Calibri"/>
          <w:noProof/>
          <w:szCs w:val="24"/>
        </w:rPr>
        <w:t>(3), 41–63. https://doi.org/10.1007/978-94-017-9088-8</w:t>
      </w:r>
    </w:p>
    <w:p w14:paraId="361E4A50" w14:textId="77777777" w:rsidR="001B7A4A" w:rsidRPr="001B7A4A" w:rsidRDefault="001B7A4A" w:rsidP="001B7A4A">
      <w:pPr>
        <w:widowControl w:val="0"/>
        <w:autoSpaceDE w:val="0"/>
        <w:autoSpaceDN w:val="0"/>
        <w:adjustRightInd w:val="0"/>
        <w:spacing w:line="360" w:lineRule="auto"/>
        <w:ind w:left="480" w:hanging="480"/>
        <w:rPr>
          <w:rFonts w:ascii="Calibri" w:hAnsi="Calibri" w:cs="Calibri"/>
          <w:noProof/>
          <w:szCs w:val="24"/>
        </w:rPr>
      </w:pPr>
      <w:r w:rsidRPr="001B7A4A">
        <w:rPr>
          <w:rFonts w:ascii="Calibri" w:hAnsi="Calibri" w:cs="Calibri"/>
          <w:noProof/>
          <w:szCs w:val="24"/>
        </w:rPr>
        <w:t xml:space="preserve">Degele, N. (1997). Appropriation of Technology as a Creative Process. </w:t>
      </w:r>
      <w:r w:rsidRPr="001B7A4A">
        <w:rPr>
          <w:rFonts w:ascii="Calibri" w:hAnsi="Calibri" w:cs="Calibri"/>
          <w:i/>
          <w:iCs/>
          <w:noProof/>
          <w:szCs w:val="24"/>
        </w:rPr>
        <w:t>Creativity and Innovation Management</w:t>
      </w:r>
      <w:r w:rsidRPr="001B7A4A">
        <w:rPr>
          <w:rFonts w:ascii="Calibri" w:hAnsi="Calibri" w:cs="Calibri"/>
          <w:noProof/>
          <w:szCs w:val="24"/>
        </w:rPr>
        <w:t xml:space="preserve">, </w:t>
      </w:r>
      <w:r w:rsidRPr="001B7A4A">
        <w:rPr>
          <w:rFonts w:ascii="Calibri" w:hAnsi="Calibri" w:cs="Calibri"/>
          <w:i/>
          <w:iCs/>
          <w:noProof/>
          <w:szCs w:val="24"/>
        </w:rPr>
        <w:t>6</w:t>
      </w:r>
      <w:r w:rsidRPr="001B7A4A">
        <w:rPr>
          <w:rFonts w:ascii="Calibri" w:hAnsi="Calibri" w:cs="Calibri"/>
          <w:noProof/>
          <w:szCs w:val="24"/>
        </w:rPr>
        <w:t>(2), 89–93. https://doi.org/10.1111/1467-8691.00054</w:t>
      </w:r>
    </w:p>
    <w:p w14:paraId="4315C20B" w14:textId="77777777" w:rsidR="001B7A4A" w:rsidRPr="001B7A4A" w:rsidRDefault="001B7A4A" w:rsidP="001B7A4A">
      <w:pPr>
        <w:widowControl w:val="0"/>
        <w:autoSpaceDE w:val="0"/>
        <w:autoSpaceDN w:val="0"/>
        <w:adjustRightInd w:val="0"/>
        <w:spacing w:line="360" w:lineRule="auto"/>
        <w:ind w:left="480" w:hanging="480"/>
        <w:rPr>
          <w:rFonts w:ascii="Calibri" w:hAnsi="Calibri" w:cs="Calibri"/>
          <w:noProof/>
          <w:szCs w:val="24"/>
        </w:rPr>
      </w:pPr>
      <w:r w:rsidRPr="001B7A4A">
        <w:rPr>
          <w:rFonts w:ascii="Calibri" w:hAnsi="Calibri" w:cs="Calibri"/>
          <w:noProof/>
          <w:szCs w:val="24"/>
        </w:rPr>
        <w:t xml:space="preserve">Denisova, A., Guckelsberger, C., &amp; Zendle, D. (2017). Challenge in Digital Games. </w:t>
      </w:r>
      <w:r w:rsidRPr="001B7A4A">
        <w:rPr>
          <w:rFonts w:ascii="Calibri" w:hAnsi="Calibri" w:cs="Calibri"/>
          <w:i/>
          <w:iCs/>
          <w:noProof/>
          <w:szCs w:val="24"/>
        </w:rPr>
        <w:t>Proceedings of the 2017 CHI Conference Extended Abstracts on Human Factors in Computing Systems  - CHI EA ’17</w:t>
      </w:r>
      <w:r w:rsidRPr="001B7A4A">
        <w:rPr>
          <w:rFonts w:ascii="Calibri" w:hAnsi="Calibri" w:cs="Calibri"/>
          <w:noProof/>
          <w:szCs w:val="24"/>
        </w:rPr>
        <w:t>, 2511–2519. https://doi.org/10.1145/3027063.3053209</w:t>
      </w:r>
    </w:p>
    <w:p w14:paraId="34C1F7D0" w14:textId="77777777" w:rsidR="001B7A4A" w:rsidRPr="001B7A4A" w:rsidRDefault="001B7A4A" w:rsidP="001B7A4A">
      <w:pPr>
        <w:widowControl w:val="0"/>
        <w:autoSpaceDE w:val="0"/>
        <w:autoSpaceDN w:val="0"/>
        <w:adjustRightInd w:val="0"/>
        <w:spacing w:line="360" w:lineRule="auto"/>
        <w:ind w:left="480" w:hanging="480"/>
        <w:rPr>
          <w:rFonts w:ascii="Calibri" w:hAnsi="Calibri" w:cs="Calibri"/>
          <w:noProof/>
          <w:szCs w:val="24"/>
        </w:rPr>
      </w:pPr>
      <w:r w:rsidRPr="001B7A4A">
        <w:rPr>
          <w:rFonts w:ascii="Calibri" w:hAnsi="Calibri" w:cs="Calibri"/>
          <w:noProof/>
          <w:szCs w:val="24"/>
        </w:rPr>
        <w:t xml:space="preserve">ESA. (2019). </w:t>
      </w:r>
      <w:r w:rsidRPr="001B7A4A">
        <w:rPr>
          <w:rFonts w:ascii="Calibri" w:hAnsi="Calibri" w:cs="Calibri"/>
          <w:i/>
          <w:iCs/>
          <w:noProof/>
          <w:szCs w:val="24"/>
        </w:rPr>
        <w:t>2019 Essential Facts About the Computer and Video Game Industry</w:t>
      </w:r>
      <w:r w:rsidRPr="001B7A4A">
        <w:rPr>
          <w:rFonts w:ascii="Calibri" w:hAnsi="Calibri" w:cs="Calibri"/>
          <w:noProof/>
          <w:szCs w:val="24"/>
        </w:rPr>
        <w:t>. Retrieved from https://www.theesa.com/wp-content/uploads/2019/05/ESA_Essential_facts_2019_final.pdf</w:t>
      </w:r>
    </w:p>
    <w:p w14:paraId="104CBBE9" w14:textId="77777777" w:rsidR="001B7A4A" w:rsidRPr="001B7A4A" w:rsidRDefault="001B7A4A" w:rsidP="001B7A4A">
      <w:pPr>
        <w:widowControl w:val="0"/>
        <w:autoSpaceDE w:val="0"/>
        <w:autoSpaceDN w:val="0"/>
        <w:adjustRightInd w:val="0"/>
        <w:spacing w:line="360" w:lineRule="auto"/>
        <w:ind w:left="480" w:hanging="480"/>
        <w:rPr>
          <w:rFonts w:ascii="Calibri" w:hAnsi="Calibri" w:cs="Calibri"/>
          <w:noProof/>
          <w:szCs w:val="24"/>
        </w:rPr>
      </w:pPr>
      <w:r w:rsidRPr="001B7A4A">
        <w:rPr>
          <w:rFonts w:ascii="Calibri" w:hAnsi="Calibri" w:cs="Calibri"/>
          <w:noProof/>
          <w:szCs w:val="24"/>
        </w:rPr>
        <w:t xml:space="preserve">Ferguson, R. (2011). Meaningful learning and creativity in virtual worlds. </w:t>
      </w:r>
      <w:r w:rsidRPr="001B7A4A">
        <w:rPr>
          <w:rFonts w:ascii="Calibri" w:hAnsi="Calibri" w:cs="Calibri"/>
          <w:i/>
          <w:iCs/>
          <w:noProof/>
          <w:szCs w:val="24"/>
        </w:rPr>
        <w:t>Thinking Skills and Creativity</w:t>
      </w:r>
      <w:r w:rsidRPr="001B7A4A">
        <w:rPr>
          <w:rFonts w:ascii="Calibri" w:hAnsi="Calibri" w:cs="Calibri"/>
          <w:noProof/>
          <w:szCs w:val="24"/>
        </w:rPr>
        <w:t xml:space="preserve">, </w:t>
      </w:r>
      <w:r w:rsidRPr="001B7A4A">
        <w:rPr>
          <w:rFonts w:ascii="Calibri" w:hAnsi="Calibri" w:cs="Calibri"/>
          <w:i/>
          <w:iCs/>
          <w:noProof/>
          <w:szCs w:val="24"/>
        </w:rPr>
        <w:t>6</w:t>
      </w:r>
      <w:r w:rsidRPr="001B7A4A">
        <w:rPr>
          <w:rFonts w:ascii="Calibri" w:hAnsi="Calibri" w:cs="Calibri"/>
          <w:noProof/>
          <w:szCs w:val="24"/>
        </w:rPr>
        <w:t>, 169–178. https://doi.org/10.1016/j.tsc.2011.07.001</w:t>
      </w:r>
    </w:p>
    <w:p w14:paraId="6AD188D9" w14:textId="77777777" w:rsidR="001B7A4A" w:rsidRPr="001B7A4A" w:rsidRDefault="001B7A4A" w:rsidP="001B7A4A">
      <w:pPr>
        <w:widowControl w:val="0"/>
        <w:autoSpaceDE w:val="0"/>
        <w:autoSpaceDN w:val="0"/>
        <w:adjustRightInd w:val="0"/>
        <w:spacing w:line="360" w:lineRule="auto"/>
        <w:ind w:left="480" w:hanging="480"/>
        <w:rPr>
          <w:rFonts w:ascii="Calibri" w:hAnsi="Calibri" w:cs="Calibri"/>
          <w:noProof/>
          <w:szCs w:val="24"/>
        </w:rPr>
      </w:pPr>
      <w:r w:rsidRPr="001B7A4A">
        <w:rPr>
          <w:rFonts w:ascii="Calibri" w:hAnsi="Calibri" w:cs="Calibri"/>
          <w:noProof/>
          <w:szCs w:val="24"/>
        </w:rPr>
        <w:t xml:space="preserve">Finke, R. A., Ward, T. B., &amp; Smith, S. M. (1999). Creative Cognition. In R. J. Sternberg (Ed.), </w:t>
      </w:r>
      <w:r w:rsidRPr="001B7A4A">
        <w:rPr>
          <w:rFonts w:ascii="Calibri" w:hAnsi="Calibri" w:cs="Calibri"/>
          <w:i/>
          <w:iCs/>
          <w:noProof/>
          <w:szCs w:val="24"/>
        </w:rPr>
        <w:t>Handbook of Creativity</w:t>
      </w:r>
      <w:r w:rsidRPr="001B7A4A">
        <w:rPr>
          <w:rFonts w:ascii="Calibri" w:hAnsi="Calibri" w:cs="Calibri"/>
          <w:noProof/>
          <w:szCs w:val="24"/>
        </w:rPr>
        <w:t xml:space="preserve"> (pp. 189–212). Cambridge University Press.</w:t>
      </w:r>
    </w:p>
    <w:p w14:paraId="037BD74F" w14:textId="77777777" w:rsidR="001B7A4A" w:rsidRPr="001B7A4A" w:rsidRDefault="001B7A4A" w:rsidP="001B7A4A">
      <w:pPr>
        <w:widowControl w:val="0"/>
        <w:autoSpaceDE w:val="0"/>
        <w:autoSpaceDN w:val="0"/>
        <w:adjustRightInd w:val="0"/>
        <w:spacing w:line="360" w:lineRule="auto"/>
        <w:ind w:left="480" w:hanging="480"/>
        <w:rPr>
          <w:rFonts w:ascii="Calibri" w:hAnsi="Calibri" w:cs="Calibri"/>
          <w:noProof/>
          <w:szCs w:val="24"/>
        </w:rPr>
      </w:pPr>
      <w:r w:rsidRPr="001B7A4A">
        <w:rPr>
          <w:rFonts w:ascii="Calibri" w:hAnsi="Calibri" w:cs="Calibri"/>
          <w:noProof/>
          <w:szCs w:val="24"/>
        </w:rPr>
        <w:t xml:space="preserve">Forgeard, M. J. C., &amp; Elstein, J. G. (2014). Advancing the clinical science of creativity. </w:t>
      </w:r>
      <w:r w:rsidRPr="001B7A4A">
        <w:rPr>
          <w:rFonts w:ascii="Calibri" w:hAnsi="Calibri" w:cs="Calibri"/>
          <w:i/>
          <w:iCs/>
          <w:noProof/>
          <w:szCs w:val="24"/>
        </w:rPr>
        <w:t>Frontiers in Psychology</w:t>
      </w:r>
      <w:r w:rsidRPr="001B7A4A">
        <w:rPr>
          <w:rFonts w:ascii="Calibri" w:hAnsi="Calibri" w:cs="Calibri"/>
          <w:noProof/>
          <w:szCs w:val="24"/>
        </w:rPr>
        <w:t xml:space="preserve">, </w:t>
      </w:r>
      <w:r w:rsidRPr="001B7A4A">
        <w:rPr>
          <w:rFonts w:ascii="Calibri" w:hAnsi="Calibri" w:cs="Calibri"/>
          <w:i/>
          <w:iCs/>
          <w:noProof/>
          <w:szCs w:val="24"/>
        </w:rPr>
        <w:t>5</w:t>
      </w:r>
      <w:r w:rsidRPr="001B7A4A">
        <w:rPr>
          <w:rFonts w:ascii="Calibri" w:hAnsi="Calibri" w:cs="Calibri"/>
          <w:noProof/>
          <w:szCs w:val="24"/>
        </w:rPr>
        <w:t>(JUN), 1–4. https://doi.org/10.3389/fpsyg.2014.00613</w:t>
      </w:r>
    </w:p>
    <w:p w14:paraId="40FFA985" w14:textId="77777777" w:rsidR="001B7A4A" w:rsidRPr="001B7A4A" w:rsidRDefault="001B7A4A" w:rsidP="001B7A4A">
      <w:pPr>
        <w:widowControl w:val="0"/>
        <w:autoSpaceDE w:val="0"/>
        <w:autoSpaceDN w:val="0"/>
        <w:adjustRightInd w:val="0"/>
        <w:spacing w:line="360" w:lineRule="auto"/>
        <w:ind w:left="480" w:hanging="480"/>
        <w:rPr>
          <w:rFonts w:ascii="Calibri" w:hAnsi="Calibri" w:cs="Calibri"/>
          <w:noProof/>
          <w:szCs w:val="24"/>
        </w:rPr>
      </w:pPr>
      <w:r w:rsidRPr="001B7A4A">
        <w:rPr>
          <w:rFonts w:ascii="Calibri" w:hAnsi="Calibri" w:cs="Calibri"/>
          <w:noProof/>
          <w:szCs w:val="24"/>
        </w:rPr>
        <w:t xml:space="preserve">Fresco, D. M., Williams, N. L., &amp; Nugent, N. R. (2006). Flexibility and negative affect: Examining the associations of explanatory flexibility and coping flexibility to each other and to depression and anxiety. </w:t>
      </w:r>
      <w:r w:rsidRPr="001B7A4A">
        <w:rPr>
          <w:rFonts w:ascii="Calibri" w:hAnsi="Calibri" w:cs="Calibri"/>
          <w:i/>
          <w:iCs/>
          <w:noProof/>
          <w:szCs w:val="24"/>
        </w:rPr>
        <w:t>Cognitive Therapy and Research</w:t>
      </w:r>
      <w:r w:rsidRPr="001B7A4A">
        <w:rPr>
          <w:rFonts w:ascii="Calibri" w:hAnsi="Calibri" w:cs="Calibri"/>
          <w:noProof/>
          <w:szCs w:val="24"/>
        </w:rPr>
        <w:t xml:space="preserve">, </w:t>
      </w:r>
      <w:r w:rsidRPr="001B7A4A">
        <w:rPr>
          <w:rFonts w:ascii="Calibri" w:hAnsi="Calibri" w:cs="Calibri"/>
          <w:i/>
          <w:iCs/>
          <w:noProof/>
          <w:szCs w:val="24"/>
        </w:rPr>
        <w:t>30</w:t>
      </w:r>
      <w:r w:rsidRPr="001B7A4A">
        <w:rPr>
          <w:rFonts w:ascii="Calibri" w:hAnsi="Calibri" w:cs="Calibri"/>
          <w:noProof/>
          <w:szCs w:val="24"/>
        </w:rPr>
        <w:t>(2), 201–210. https://doi.org/10.1007/s10608-006-9019-8</w:t>
      </w:r>
    </w:p>
    <w:p w14:paraId="2B173985" w14:textId="77777777" w:rsidR="001B7A4A" w:rsidRPr="001B7A4A" w:rsidRDefault="001B7A4A" w:rsidP="001B7A4A">
      <w:pPr>
        <w:widowControl w:val="0"/>
        <w:autoSpaceDE w:val="0"/>
        <w:autoSpaceDN w:val="0"/>
        <w:adjustRightInd w:val="0"/>
        <w:spacing w:line="360" w:lineRule="auto"/>
        <w:ind w:left="480" w:hanging="480"/>
        <w:rPr>
          <w:rFonts w:ascii="Calibri" w:hAnsi="Calibri" w:cs="Calibri"/>
          <w:noProof/>
          <w:szCs w:val="24"/>
        </w:rPr>
      </w:pPr>
      <w:r w:rsidRPr="001B7A4A">
        <w:rPr>
          <w:rFonts w:ascii="Calibri" w:hAnsi="Calibri" w:cs="Calibri"/>
          <w:noProof/>
          <w:szCs w:val="24"/>
        </w:rPr>
        <w:t xml:space="preserve">Game Freak. (1996). </w:t>
      </w:r>
      <w:r w:rsidRPr="001B7A4A">
        <w:rPr>
          <w:rFonts w:ascii="Calibri" w:hAnsi="Calibri" w:cs="Calibri"/>
          <w:i/>
          <w:iCs/>
          <w:noProof/>
          <w:szCs w:val="24"/>
        </w:rPr>
        <w:t>Pokemon Red and Blue</w:t>
      </w:r>
      <w:r w:rsidRPr="001B7A4A">
        <w:rPr>
          <w:rFonts w:ascii="Calibri" w:hAnsi="Calibri" w:cs="Calibri"/>
          <w:noProof/>
          <w:szCs w:val="24"/>
        </w:rPr>
        <w:t>. Nintendo.</w:t>
      </w:r>
    </w:p>
    <w:p w14:paraId="350673DE" w14:textId="77777777" w:rsidR="001B7A4A" w:rsidRPr="001B7A4A" w:rsidRDefault="001B7A4A" w:rsidP="001B7A4A">
      <w:pPr>
        <w:widowControl w:val="0"/>
        <w:autoSpaceDE w:val="0"/>
        <w:autoSpaceDN w:val="0"/>
        <w:adjustRightInd w:val="0"/>
        <w:spacing w:line="360" w:lineRule="auto"/>
        <w:ind w:left="480" w:hanging="480"/>
        <w:rPr>
          <w:rFonts w:ascii="Calibri" w:hAnsi="Calibri" w:cs="Calibri"/>
          <w:noProof/>
          <w:szCs w:val="24"/>
        </w:rPr>
      </w:pPr>
      <w:r w:rsidRPr="001B7A4A">
        <w:rPr>
          <w:rFonts w:ascii="Calibri" w:hAnsi="Calibri" w:cs="Calibri"/>
          <w:noProof/>
          <w:szCs w:val="24"/>
        </w:rPr>
        <w:t xml:space="preserve">Gardner, H. (1993). </w:t>
      </w:r>
      <w:r w:rsidRPr="001B7A4A">
        <w:rPr>
          <w:rFonts w:ascii="Calibri" w:hAnsi="Calibri" w:cs="Calibri"/>
          <w:i/>
          <w:iCs/>
          <w:noProof/>
          <w:szCs w:val="24"/>
        </w:rPr>
        <w:t>Creating minds.</w:t>
      </w:r>
      <w:r w:rsidRPr="001B7A4A">
        <w:rPr>
          <w:rFonts w:ascii="Calibri" w:hAnsi="Calibri" w:cs="Calibri"/>
          <w:noProof/>
          <w:szCs w:val="24"/>
        </w:rPr>
        <w:t xml:space="preserve"> New York: Basic Books.</w:t>
      </w:r>
    </w:p>
    <w:p w14:paraId="5397C93D" w14:textId="77777777" w:rsidR="001B7A4A" w:rsidRPr="001B7A4A" w:rsidRDefault="001B7A4A" w:rsidP="001B7A4A">
      <w:pPr>
        <w:widowControl w:val="0"/>
        <w:autoSpaceDE w:val="0"/>
        <w:autoSpaceDN w:val="0"/>
        <w:adjustRightInd w:val="0"/>
        <w:spacing w:line="360" w:lineRule="auto"/>
        <w:ind w:left="480" w:hanging="480"/>
        <w:rPr>
          <w:rFonts w:ascii="Calibri" w:hAnsi="Calibri" w:cs="Calibri"/>
          <w:noProof/>
          <w:szCs w:val="24"/>
        </w:rPr>
      </w:pPr>
      <w:r w:rsidRPr="001B7A4A">
        <w:rPr>
          <w:rFonts w:ascii="Calibri" w:hAnsi="Calibri" w:cs="Calibri"/>
          <w:noProof/>
          <w:szCs w:val="24"/>
        </w:rPr>
        <w:t xml:space="preserve">Gee, J. P. (2003). What video games have to teach us about learning and literacy. </w:t>
      </w:r>
      <w:r w:rsidRPr="001B7A4A">
        <w:rPr>
          <w:rFonts w:ascii="Calibri" w:hAnsi="Calibri" w:cs="Calibri"/>
          <w:i/>
          <w:iCs/>
          <w:noProof/>
          <w:szCs w:val="24"/>
        </w:rPr>
        <w:t>Computers in Entertainment</w:t>
      </w:r>
      <w:r w:rsidRPr="001B7A4A">
        <w:rPr>
          <w:rFonts w:ascii="Calibri" w:hAnsi="Calibri" w:cs="Calibri"/>
          <w:noProof/>
          <w:szCs w:val="24"/>
        </w:rPr>
        <w:t xml:space="preserve">, </w:t>
      </w:r>
      <w:r w:rsidRPr="001B7A4A">
        <w:rPr>
          <w:rFonts w:ascii="Calibri" w:hAnsi="Calibri" w:cs="Calibri"/>
          <w:i/>
          <w:iCs/>
          <w:noProof/>
          <w:szCs w:val="24"/>
        </w:rPr>
        <w:t>1</w:t>
      </w:r>
      <w:r w:rsidRPr="001B7A4A">
        <w:rPr>
          <w:rFonts w:ascii="Calibri" w:hAnsi="Calibri" w:cs="Calibri"/>
          <w:noProof/>
          <w:szCs w:val="24"/>
        </w:rPr>
        <w:t>(1), 20. https://doi.org/10.1145/950566.950595</w:t>
      </w:r>
    </w:p>
    <w:p w14:paraId="01100ED8" w14:textId="77777777" w:rsidR="001B7A4A" w:rsidRPr="001B7A4A" w:rsidRDefault="001B7A4A" w:rsidP="001B7A4A">
      <w:pPr>
        <w:widowControl w:val="0"/>
        <w:autoSpaceDE w:val="0"/>
        <w:autoSpaceDN w:val="0"/>
        <w:adjustRightInd w:val="0"/>
        <w:spacing w:line="360" w:lineRule="auto"/>
        <w:ind w:left="480" w:hanging="480"/>
        <w:rPr>
          <w:rFonts w:ascii="Calibri" w:hAnsi="Calibri" w:cs="Calibri"/>
          <w:noProof/>
          <w:szCs w:val="24"/>
        </w:rPr>
      </w:pPr>
      <w:r w:rsidRPr="001B7A4A">
        <w:rPr>
          <w:rFonts w:ascii="Calibri" w:hAnsi="Calibri" w:cs="Calibri"/>
          <w:noProof/>
          <w:szCs w:val="24"/>
        </w:rPr>
        <w:t xml:space="preserve">Gee, J. P. (2005). Why are videogames good for learning? </w:t>
      </w:r>
      <w:r w:rsidRPr="001B7A4A">
        <w:rPr>
          <w:rFonts w:ascii="Calibri" w:hAnsi="Calibri" w:cs="Calibri"/>
          <w:i/>
          <w:iCs/>
          <w:noProof/>
          <w:szCs w:val="24"/>
        </w:rPr>
        <w:t>Spectrum</w:t>
      </w:r>
      <w:r w:rsidRPr="001B7A4A">
        <w:rPr>
          <w:rFonts w:ascii="Calibri" w:hAnsi="Calibri" w:cs="Calibri"/>
          <w:noProof/>
          <w:szCs w:val="24"/>
        </w:rPr>
        <w:t xml:space="preserve">, </w:t>
      </w:r>
      <w:r w:rsidRPr="001B7A4A">
        <w:rPr>
          <w:rFonts w:ascii="Calibri" w:hAnsi="Calibri" w:cs="Calibri"/>
          <w:i/>
          <w:iCs/>
          <w:noProof/>
          <w:szCs w:val="24"/>
        </w:rPr>
        <w:t>32</w:t>
      </w:r>
      <w:r w:rsidRPr="001B7A4A">
        <w:rPr>
          <w:rFonts w:ascii="Calibri" w:hAnsi="Calibri" w:cs="Calibri"/>
          <w:noProof/>
          <w:szCs w:val="24"/>
        </w:rPr>
        <w:t>, 25–32. Retrieved from http://cmslive.curriculum.edu.au/leader/default.asp?id=16866&amp;issueID=10696</w:t>
      </w:r>
    </w:p>
    <w:p w14:paraId="6016143D" w14:textId="77777777" w:rsidR="001B7A4A" w:rsidRPr="001B7A4A" w:rsidRDefault="001B7A4A" w:rsidP="001B7A4A">
      <w:pPr>
        <w:widowControl w:val="0"/>
        <w:autoSpaceDE w:val="0"/>
        <w:autoSpaceDN w:val="0"/>
        <w:adjustRightInd w:val="0"/>
        <w:spacing w:line="360" w:lineRule="auto"/>
        <w:ind w:left="480" w:hanging="480"/>
        <w:rPr>
          <w:rFonts w:ascii="Calibri" w:hAnsi="Calibri" w:cs="Calibri"/>
          <w:noProof/>
          <w:szCs w:val="24"/>
        </w:rPr>
      </w:pPr>
      <w:r w:rsidRPr="001B7A4A">
        <w:rPr>
          <w:rFonts w:ascii="Calibri" w:hAnsi="Calibri" w:cs="Calibri"/>
          <w:noProof/>
          <w:szCs w:val="24"/>
        </w:rPr>
        <w:t xml:space="preserve">Glass, B. D., Maddox, W. T., &amp; Love, B. C. (2013). Real-Time Strategy Game Training: Emergence of a Cognitive Flexibility Trait. </w:t>
      </w:r>
      <w:r w:rsidRPr="001B7A4A">
        <w:rPr>
          <w:rFonts w:ascii="Calibri" w:hAnsi="Calibri" w:cs="Calibri"/>
          <w:i/>
          <w:iCs/>
          <w:noProof/>
          <w:szCs w:val="24"/>
        </w:rPr>
        <w:t>PLoS ONE</w:t>
      </w:r>
      <w:r w:rsidRPr="001B7A4A">
        <w:rPr>
          <w:rFonts w:ascii="Calibri" w:hAnsi="Calibri" w:cs="Calibri"/>
          <w:noProof/>
          <w:szCs w:val="24"/>
        </w:rPr>
        <w:t xml:space="preserve">, </w:t>
      </w:r>
      <w:r w:rsidRPr="001B7A4A">
        <w:rPr>
          <w:rFonts w:ascii="Calibri" w:hAnsi="Calibri" w:cs="Calibri"/>
          <w:i/>
          <w:iCs/>
          <w:noProof/>
          <w:szCs w:val="24"/>
        </w:rPr>
        <w:t>8</w:t>
      </w:r>
      <w:r w:rsidRPr="001B7A4A">
        <w:rPr>
          <w:rFonts w:ascii="Calibri" w:hAnsi="Calibri" w:cs="Calibri"/>
          <w:noProof/>
          <w:szCs w:val="24"/>
        </w:rPr>
        <w:t>(8). Retrieved from http://www.plosone.org/article/fetchObjectAttachment.action%5Cnjsessionid=D3145D5A9DA</w:t>
      </w:r>
      <w:r w:rsidRPr="001B7A4A">
        <w:rPr>
          <w:rFonts w:ascii="Calibri" w:hAnsi="Calibri" w:cs="Calibri"/>
          <w:noProof/>
          <w:szCs w:val="24"/>
        </w:rPr>
        <w:lastRenderedPageBreak/>
        <w:t>440B78145B2EEFECBAAD8?uri=info:doi/10.1371/journal.pone.0070350&amp;representation=PDF%5Cnhttp://ovidsp.ovid.com/ovidweb.cgi?T=JS&amp;PAGE=reference&amp;D=emed11&amp;NEWS=N&amp;AN=2013502326</w:t>
      </w:r>
    </w:p>
    <w:p w14:paraId="4A134299" w14:textId="77777777" w:rsidR="001B7A4A" w:rsidRPr="001B7A4A" w:rsidRDefault="001B7A4A" w:rsidP="001B7A4A">
      <w:pPr>
        <w:widowControl w:val="0"/>
        <w:autoSpaceDE w:val="0"/>
        <w:autoSpaceDN w:val="0"/>
        <w:adjustRightInd w:val="0"/>
        <w:spacing w:line="360" w:lineRule="auto"/>
        <w:ind w:left="480" w:hanging="480"/>
        <w:rPr>
          <w:rFonts w:ascii="Calibri" w:hAnsi="Calibri" w:cs="Calibri"/>
          <w:noProof/>
          <w:szCs w:val="24"/>
        </w:rPr>
      </w:pPr>
      <w:r w:rsidRPr="001B7A4A">
        <w:rPr>
          <w:rFonts w:ascii="Calibri" w:hAnsi="Calibri" w:cs="Calibri"/>
          <w:noProof/>
          <w:szCs w:val="24"/>
        </w:rPr>
        <w:t xml:space="preserve">Harvey, A. G., Watkins, E., Mansell, W., &amp; Shafran, R. (2004). Cognitive behavioural processes across psychological disorders: A transdiagnostic approach to research and treatment. In </w:t>
      </w:r>
      <w:r w:rsidRPr="001B7A4A">
        <w:rPr>
          <w:rFonts w:ascii="Calibri" w:hAnsi="Calibri" w:cs="Calibri"/>
          <w:i/>
          <w:iCs/>
          <w:noProof/>
          <w:szCs w:val="24"/>
        </w:rPr>
        <w:t>Oxford Oxford University Press</w:t>
      </w:r>
      <w:r w:rsidRPr="001B7A4A">
        <w:rPr>
          <w:rFonts w:ascii="Calibri" w:hAnsi="Calibri" w:cs="Calibri"/>
          <w:noProof/>
          <w:szCs w:val="24"/>
        </w:rPr>
        <w:t>. https://doi.org/10.1002/erv.647</w:t>
      </w:r>
    </w:p>
    <w:p w14:paraId="5FEED61A" w14:textId="77777777" w:rsidR="001B7A4A" w:rsidRPr="001B7A4A" w:rsidRDefault="001B7A4A" w:rsidP="001B7A4A">
      <w:pPr>
        <w:widowControl w:val="0"/>
        <w:autoSpaceDE w:val="0"/>
        <w:autoSpaceDN w:val="0"/>
        <w:adjustRightInd w:val="0"/>
        <w:spacing w:line="360" w:lineRule="auto"/>
        <w:ind w:left="480" w:hanging="480"/>
        <w:rPr>
          <w:rFonts w:ascii="Calibri" w:hAnsi="Calibri" w:cs="Calibri"/>
          <w:noProof/>
          <w:szCs w:val="24"/>
        </w:rPr>
      </w:pPr>
      <w:r w:rsidRPr="001B7A4A">
        <w:rPr>
          <w:rFonts w:ascii="Calibri" w:hAnsi="Calibri" w:cs="Calibri"/>
          <w:noProof/>
          <w:szCs w:val="24"/>
        </w:rPr>
        <w:t xml:space="preserve">Herodotou, C. (2009). </w:t>
      </w:r>
      <w:r w:rsidRPr="001B7A4A">
        <w:rPr>
          <w:rFonts w:ascii="Calibri" w:hAnsi="Calibri" w:cs="Calibri"/>
          <w:i/>
          <w:iCs/>
          <w:noProof/>
          <w:szCs w:val="24"/>
        </w:rPr>
        <w:t>Game Appropriation: Where does the gamer fit?</w:t>
      </w:r>
      <w:r w:rsidRPr="001B7A4A">
        <w:rPr>
          <w:rFonts w:ascii="Calibri" w:hAnsi="Calibri" w:cs="Calibri"/>
          <w:noProof/>
          <w:szCs w:val="24"/>
        </w:rPr>
        <w:t xml:space="preserve"> (University of London). Retrieved from http://oro.open.ac.uk/49459/1/My thesis FINAL_april2009.pdf</w:t>
      </w:r>
    </w:p>
    <w:p w14:paraId="68987A36" w14:textId="77777777" w:rsidR="001B7A4A" w:rsidRPr="001B7A4A" w:rsidRDefault="001B7A4A" w:rsidP="001B7A4A">
      <w:pPr>
        <w:widowControl w:val="0"/>
        <w:autoSpaceDE w:val="0"/>
        <w:autoSpaceDN w:val="0"/>
        <w:adjustRightInd w:val="0"/>
        <w:spacing w:line="360" w:lineRule="auto"/>
        <w:ind w:left="480" w:hanging="480"/>
        <w:rPr>
          <w:rFonts w:ascii="Calibri" w:hAnsi="Calibri" w:cs="Calibri"/>
          <w:noProof/>
          <w:szCs w:val="24"/>
        </w:rPr>
      </w:pPr>
      <w:r w:rsidRPr="001B7A4A">
        <w:rPr>
          <w:rFonts w:ascii="Calibri" w:hAnsi="Calibri" w:cs="Calibri"/>
          <w:noProof/>
          <w:szCs w:val="24"/>
        </w:rPr>
        <w:t xml:space="preserve">Herodotou, C., Winters, N., &amp; Kambouri, M. (2012). A Motivationally Oriented Approach to Understanding Game Appropriation. </w:t>
      </w:r>
      <w:r w:rsidRPr="001B7A4A">
        <w:rPr>
          <w:rFonts w:ascii="Calibri" w:hAnsi="Calibri" w:cs="Calibri"/>
          <w:i/>
          <w:iCs/>
          <w:noProof/>
          <w:szCs w:val="24"/>
        </w:rPr>
        <w:t>International Journal of Human-Computer Interaction</w:t>
      </w:r>
      <w:r w:rsidRPr="001B7A4A">
        <w:rPr>
          <w:rFonts w:ascii="Calibri" w:hAnsi="Calibri" w:cs="Calibri"/>
          <w:noProof/>
          <w:szCs w:val="24"/>
        </w:rPr>
        <w:t xml:space="preserve">, </w:t>
      </w:r>
      <w:r w:rsidRPr="001B7A4A">
        <w:rPr>
          <w:rFonts w:ascii="Calibri" w:hAnsi="Calibri" w:cs="Calibri"/>
          <w:i/>
          <w:iCs/>
          <w:noProof/>
          <w:szCs w:val="24"/>
        </w:rPr>
        <w:t>28</w:t>
      </w:r>
      <w:r w:rsidRPr="001B7A4A">
        <w:rPr>
          <w:rFonts w:ascii="Calibri" w:hAnsi="Calibri" w:cs="Calibri"/>
          <w:noProof/>
          <w:szCs w:val="24"/>
        </w:rPr>
        <w:t>(1), 34–47. https://doi.org/10.1080/10447318.2011.566108</w:t>
      </w:r>
    </w:p>
    <w:p w14:paraId="3C95507F" w14:textId="77777777" w:rsidR="001B7A4A" w:rsidRPr="001B7A4A" w:rsidRDefault="001B7A4A" w:rsidP="001B7A4A">
      <w:pPr>
        <w:widowControl w:val="0"/>
        <w:autoSpaceDE w:val="0"/>
        <w:autoSpaceDN w:val="0"/>
        <w:adjustRightInd w:val="0"/>
        <w:spacing w:line="360" w:lineRule="auto"/>
        <w:ind w:left="480" w:hanging="480"/>
        <w:rPr>
          <w:rFonts w:ascii="Calibri" w:hAnsi="Calibri" w:cs="Calibri"/>
          <w:noProof/>
          <w:szCs w:val="24"/>
        </w:rPr>
      </w:pPr>
      <w:r w:rsidRPr="001B7A4A">
        <w:rPr>
          <w:rFonts w:ascii="Calibri" w:hAnsi="Calibri" w:cs="Calibri"/>
          <w:noProof/>
          <w:szCs w:val="24"/>
        </w:rPr>
        <w:t xml:space="preserve">Hobbs, M., Brown, E., &amp; Gordon, M. (2006). Using A Virtual World For Transferable Skills in Gaming Education. </w:t>
      </w:r>
      <w:r w:rsidRPr="001B7A4A">
        <w:rPr>
          <w:rFonts w:ascii="Calibri" w:hAnsi="Calibri" w:cs="Calibri"/>
          <w:i/>
          <w:iCs/>
          <w:noProof/>
          <w:szCs w:val="24"/>
        </w:rPr>
        <w:t>Nnovation in Teaching and Learning in Information and Computer Sciences</w:t>
      </w:r>
      <w:r w:rsidRPr="001B7A4A">
        <w:rPr>
          <w:rFonts w:ascii="Calibri" w:hAnsi="Calibri" w:cs="Calibri"/>
          <w:noProof/>
          <w:szCs w:val="24"/>
        </w:rPr>
        <w:t xml:space="preserve">, </w:t>
      </w:r>
      <w:r w:rsidRPr="001B7A4A">
        <w:rPr>
          <w:rFonts w:ascii="Calibri" w:hAnsi="Calibri" w:cs="Calibri"/>
          <w:i/>
          <w:iCs/>
          <w:noProof/>
          <w:szCs w:val="24"/>
        </w:rPr>
        <w:t>5</w:t>
      </w:r>
      <w:r w:rsidRPr="001B7A4A">
        <w:rPr>
          <w:rFonts w:ascii="Calibri" w:hAnsi="Calibri" w:cs="Calibri"/>
          <w:noProof/>
          <w:szCs w:val="24"/>
        </w:rPr>
        <w:t>(3), 1–13. https://doi.org/10.11120/ital.2006.05030006org/10.11120/ital.2006.05030006</w:t>
      </w:r>
    </w:p>
    <w:p w14:paraId="473DDAAC" w14:textId="77777777" w:rsidR="001B7A4A" w:rsidRPr="001B7A4A" w:rsidRDefault="001B7A4A" w:rsidP="001B7A4A">
      <w:pPr>
        <w:widowControl w:val="0"/>
        <w:autoSpaceDE w:val="0"/>
        <w:autoSpaceDN w:val="0"/>
        <w:adjustRightInd w:val="0"/>
        <w:spacing w:line="360" w:lineRule="auto"/>
        <w:ind w:left="480" w:hanging="480"/>
        <w:rPr>
          <w:rFonts w:ascii="Calibri" w:hAnsi="Calibri" w:cs="Calibri"/>
          <w:noProof/>
          <w:szCs w:val="24"/>
        </w:rPr>
      </w:pPr>
      <w:r w:rsidRPr="001B7A4A">
        <w:rPr>
          <w:rFonts w:ascii="Calibri" w:hAnsi="Calibri" w:cs="Calibri"/>
          <w:noProof/>
          <w:szCs w:val="24"/>
        </w:rPr>
        <w:t xml:space="preserve">Iacovides, I., Cox, A. L., Avakian, A., &amp; Knoll, T. (2014). Player Strategies: Achieving Breakthroughs and Progressing in Single-Player and Cooperative Games. </w:t>
      </w:r>
      <w:r w:rsidRPr="001B7A4A">
        <w:rPr>
          <w:rFonts w:ascii="Calibri" w:hAnsi="Calibri" w:cs="Calibri"/>
          <w:i/>
          <w:iCs/>
          <w:noProof/>
          <w:szCs w:val="24"/>
        </w:rPr>
        <w:t>Proceedings of the First ACM SIGCHI Annual Symposium on Computer-Human Interaction in Play - CHI PLAY ’14</w:t>
      </w:r>
      <w:r w:rsidRPr="001B7A4A">
        <w:rPr>
          <w:rFonts w:ascii="Calibri" w:hAnsi="Calibri" w:cs="Calibri"/>
          <w:noProof/>
          <w:szCs w:val="24"/>
        </w:rPr>
        <w:t>, 131–140. https://doi.org/10.1145/2658537.2658697</w:t>
      </w:r>
    </w:p>
    <w:p w14:paraId="2AFADDB7" w14:textId="77777777" w:rsidR="001B7A4A" w:rsidRPr="001B7A4A" w:rsidRDefault="001B7A4A" w:rsidP="001B7A4A">
      <w:pPr>
        <w:widowControl w:val="0"/>
        <w:autoSpaceDE w:val="0"/>
        <w:autoSpaceDN w:val="0"/>
        <w:adjustRightInd w:val="0"/>
        <w:spacing w:line="360" w:lineRule="auto"/>
        <w:ind w:left="480" w:hanging="480"/>
        <w:rPr>
          <w:rFonts w:ascii="Calibri" w:hAnsi="Calibri" w:cs="Calibri"/>
          <w:noProof/>
          <w:szCs w:val="24"/>
        </w:rPr>
      </w:pPr>
      <w:r w:rsidRPr="001B7A4A">
        <w:rPr>
          <w:rFonts w:ascii="Calibri" w:hAnsi="Calibri" w:cs="Calibri"/>
          <w:noProof/>
          <w:szCs w:val="24"/>
        </w:rPr>
        <w:t>ISFE. (2019, September 12). Games in Society. https://doi.org/10.3389/fnhum.2018.00047</w:t>
      </w:r>
    </w:p>
    <w:p w14:paraId="7518782A" w14:textId="77777777" w:rsidR="001B7A4A" w:rsidRPr="001B7A4A" w:rsidRDefault="001B7A4A" w:rsidP="001B7A4A">
      <w:pPr>
        <w:widowControl w:val="0"/>
        <w:autoSpaceDE w:val="0"/>
        <w:autoSpaceDN w:val="0"/>
        <w:adjustRightInd w:val="0"/>
        <w:spacing w:line="360" w:lineRule="auto"/>
        <w:ind w:left="480" w:hanging="480"/>
        <w:rPr>
          <w:rFonts w:ascii="Calibri" w:hAnsi="Calibri" w:cs="Calibri"/>
          <w:noProof/>
          <w:szCs w:val="24"/>
        </w:rPr>
      </w:pPr>
      <w:r w:rsidRPr="001B7A4A">
        <w:rPr>
          <w:rFonts w:ascii="Calibri" w:hAnsi="Calibri" w:cs="Calibri"/>
          <w:noProof/>
          <w:szCs w:val="24"/>
        </w:rPr>
        <w:t xml:space="preserve">Jackson, L. A. (2012). The Upside of Videogame Playing. </w:t>
      </w:r>
      <w:r w:rsidRPr="001B7A4A">
        <w:rPr>
          <w:rFonts w:ascii="Calibri" w:hAnsi="Calibri" w:cs="Calibri"/>
          <w:i/>
          <w:iCs/>
          <w:noProof/>
          <w:szCs w:val="24"/>
        </w:rPr>
        <w:t>Games for Health Journal</w:t>
      </w:r>
      <w:r w:rsidRPr="001B7A4A">
        <w:rPr>
          <w:rFonts w:ascii="Calibri" w:hAnsi="Calibri" w:cs="Calibri"/>
          <w:noProof/>
          <w:szCs w:val="24"/>
        </w:rPr>
        <w:t xml:space="preserve">, </w:t>
      </w:r>
      <w:r w:rsidRPr="001B7A4A">
        <w:rPr>
          <w:rFonts w:ascii="Calibri" w:hAnsi="Calibri" w:cs="Calibri"/>
          <w:i/>
          <w:iCs/>
          <w:noProof/>
          <w:szCs w:val="24"/>
        </w:rPr>
        <w:t>1</w:t>
      </w:r>
      <w:r w:rsidRPr="001B7A4A">
        <w:rPr>
          <w:rFonts w:ascii="Calibri" w:hAnsi="Calibri" w:cs="Calibri"/>
          <w:noProof/>
          <w:szCs w:val="24"/>
        </w:rPr>
        <w:t>(6), 452–455. https://doi.org/10.1089/g4h.2012.0064</w:t>
      </w:r>
    </w:p>
    <w:p w14:paraId="46C6D66C" w14:textId="77777777" w:rsidR="001B7A4A" w:rsidRPr="001B7A4A" w:rsidRDefault="001B7A4A" w:rsidP="001B7A4A">
      <w:pPr>
        <w:widowControl w:val="0"/>
        <w:autoSpaceDE w:val="0"/>
        <w:autoSpaceDN w:val="0"/>
        <w:adjustRightInd w:val="0"/>
        <w:spacing w:line="360" w:lineRule="auto"/>
        <w:ind w:left="480" w:hanging="480"/>
        <w:rPr>
          <w:rFonts w:ascii="Calibri" w:hAnsi="Calibri" w:cs="Calibri"/>
          <w:noProof/>
          <w:szCs w:val="24"/>
        </w:rPr>
      </w:pPr>
      <w:r w:rsidRPr="001B7A4A">
        <w:rPr>
          <w:rFonts w:ascii="Calibri" w:hAnsi="Calibri" w:cs="Calibri"/>
          <w:noProof/>
          <w:szCs w:val="24"/>
        </w:rPr>
        <w:t xml:space="preserve">Jackson, L. A., Witt, E. A., Games, A. I., Fitzgerald, H. E., von Eye, A., &amp; Zhao, Y. (2012). Information technology use and creativity: Findings from the Children and Technology Project. </w:t>
      </w:r>
      <w:r w:rsidRPr="001B7A4A">
        <w:rPr>
          <w:rFonts w:ascii="Calibri" w:hAnsi="Calibri" w:cs="Calibri"/>
          <w:i/>
          <w:iCs/>
          <w:noProof/>
          <w:szCs w:val="24"/>
        </w:rPr>
        <w:t>Computers in Human Behavior</w:t>
      </w:r>
      <w:r w:rsidRPr="001B7A4A">
        <w:rPr>
          <w:rFonts w:ascii="Calibri" w:hAnsi="Calibri" w:cs="Calibri"/>
          <w:noProof/>
          <w:szCs w:val="24"/>
        </w:rPr>
        <w:t xml:space="preserve">, </w:t>
      </w:r>
      <w:r w:rsidRPr="001B7A4A">
        <w:rPr>
          <w:rFonts w:ascii="Calibri" w:hAnsi="Calibri" w:cs="Calibri"/>
          <w:i/>
          <w:iCs/>
          <w:noProof/>
          <w:szCs w:val="24"/>
        </w:rPr>
        <w:t>28</w:t>
      </w:r>
      <w:r w:rsidRPr="001B7A4A">
        <w:rPr>
          <w:rFonts w:ascii="Calibri" w:hAnsi="Calibri" w:cs="Calibri"/>
          <w:noProof/>
          <w:szCs w:val="24"/>
        </w:rPr>
        <w:t>(2), 370–376. https://doi.org/10.1016/j.chb.2011.10.006</w:t>
      </w:r>
    </w:p>
    <w:p w14:paraId="551CCE1E" w14:textId="77777777" w:rsidR="001B7A4A" w:rsidRPr="001B7A4A" w:rsidRDefault="001B7A4A" w:rsidP="001B7A4A">
      <w:pPr>
        <w:widowControl w:val="0"/>
        <w:autoSpaceDE w:val="0"/>
        <w:autoSpaceDN w:val="0"/>
        <w:adjustRightInd w:val="0"/>
        <w:spacing w:line="360" w:lineRule="auto"/>
        <w:ind w:left="480" w:hanging="480"/>
        <w:rPr>
          <w:rFonts w:ascii="Calibri" w:hAnsi="Calibri" w:cs="Calibri"/>
          <w:noProof/>
          <w:szCs w:val="24"/>
        </w:rPr>
      </w:pPr>
      <w:r w:rsidRPr="001B7A4A">
        <w:rPr>
          <w:rFonts w:ascii="Calibri" w:hAnsi="Calibri" w:cs="Calibri"/>
          <w:noProof/>
          <w:szCs w:val="24"/>
        </w:rPr>
        <w:t xml:space="preserve">Jarrett, J. (2014). Fountain Hooks, Emergent Exploits and the Playful Co-Creativity of MOBAs. </w:t>
      </w:r>
      <w:r w:rsidRPr="001B7A4A">
        <w:rPr>
          <w:rFonts w:ascii="Calibri" w:hAnsi="Calibri" w:cs="Calibri"/>
          <w:i/>
          <w:iCs/>
          <w:noProof/>
          <w:szCs w:val="24"/>
        </w:rPr>
        <w:t>Videogame Cultures and the Future of Interactive Entertainment 6th Global Conference, July 19th 2014</w:t>
      </w:r>
      <w:r w:rsidRPr="001B7A4A">
        <w:rPr>
          <w:rFonts w:ascii="Calibri" w:hAnsi="Calibri" w:cs="Calibri"/>
          <w:noProof/>
          <w:szCs w:val="24"/>
        </w:rPr>
        <w:t>. Oxford.</w:t>
      </w:r>
    </w:p>
    <w:p w14:paraId="4D1C296B" w14:textId="77777777" w:rsidR="001B7A4A" w:rsidRPr="001B7A4A" w:rsidRDefault="001B7A4A" w:rsidP="001B7A4A">
      <w:pPr>
        <w:widowControl w:val="0"/>
        <w:autoSpaceDE w:val="0"/>
        <w:autoSpaceDN w:val="0"/>
        <w:adjustRightInd w:val="0"/>
        <w:spacing w:line="360" w:lineRule="auto"/>
        <w:ind w:left="480" w:hanging="480"/>
        <w:rPr>
          <w:rFonts w:ascii="Calibri" w:hAnsi="Calibri" w:cs="Calibri"/>
          <w:noProof/>
          <w:szCs w:val="24"/>
        </w:rPr>
      </w:pPr>
      <w:r w:rsidRPr="001B7A4A">
        <w:rPr>
          <w:rFonts w:ascii="Calibri" w:hAnsi="Calibri" w:cs="Calibri"/>
          <w:noProof/>
          <w:szCs w:val="24"/>
        </w:rPr>
        <w:t xml:space="preserve">Jarrett, J. (2015). Playing Between Rules : Negotiating the Ludic Innovations of the MOBA genre. </w:t>
      </w:r>
      <w:r w:rsidRPr="001B7A4A">
        <w:rPr>
          <w:rFonts w:ascii="Calibri" w:hAnsi="Calibri" w:cs="Calibri"/>
          <w:i/>
          <w:iCs/>
          <w:noProof/>
          <w:szCs w:val="24"/>
        </w:rPr>
        <w:t>DiGRA 2015: Diversity of Play</w:t>
      </w:r>
      <w:r w:rsidRPr="001B7A4A">
        <w:rPr>
          <w:rFonts w:ascii="Calibri" w:hAnsi="Calibri" w:cs="Calibri"/>
          <w:noProof/>
          <w:szCs w:val="24"/>
        </w:rPr>
        <w:t>.</w:t>
      </w:r>
    </w:p>
    <w:p w14:paraId="4C6DC384" w14:textId="77777777" w:rsidR="001B7A4A" w:rsidRPr="001B7A4A" w:rsidRDefault="001B7A4A" w:rsidP="001B7A4A">
      <w:pPr>
        <w:widowControl w:val="0"/>
        <w:autoSpaceDE w:val="0"/>
        <w:autoSpaceDN w:val="0"/>
        <w:adjustRightInd w:val="0"/>
        <w:spacing w:line="360" w:lineRule="auto"/>
        <w:ind w:left="480" w:hanging="480"/>
        <w:rPr>
          <w:rFonts w:ascii="Calibri" w:hAnsi="Calibri" w:cs="Calibri"/>
          <w:noProof/>
          <w:szCs w:val="24"/>
        </w:rPr>
      </w:pPr>
      <w:r w:rsidRPr="001B7A4A">
        <w:rPr>
          <w:rFonts w:ascii="Calibri" w:hAnsi="Calibri" w:cs="Calibri"/>
          <w:noProof/>
          <w:szCs w:val="24"/>
        </w:rPr>
        <w:t xml:space="preserve">Juul, J. (2002). The Open and the Closed: Game of emergence and games of progression. </w:t>
      </w:r>
      <w:r w:rsidRPr="001B7A4A">
        <w:rPr>
          <w:rFonts w:ascii="Calibri" w:hAnsi="Calibri" w:cs="Calibri"/>
          <w:i/>
          <w:iCs/>
          <w:noProof/>
          <w:szCs w:val="24"/>
        </w:rPr>
        <w:t xml:space="preserve">In Proc. </w:t>
      </w:r>
      <w:r w:rsidRPr="001B7A4A">
        <w:rPr>
          <w:rFonts w:ascii="Calibri" w:hAnsi="Calibri" w:cs="Calibri"/>
          <w:i/>
          <w:iCs/>
          <w:noProof/>
          <w:szCs w:val="24"/>
        </w:rPr>
        <w:lastRenderedPageBreak/>
        <w:t>Computer Game and Digital Cultures</w:t>
      </w:r>
      <w:r w:rsidRPr="001B7A4A">
        <w:rPr>
          <w:rFonts w:ascii="Calibri" w:hAnsi="Calibri" w:cs="Calibri"/>
          <w:noProof/>
          <w:szCs w:val="24"/>
        </w:rPr>
        <w:t>, 323–329.</w:t>
      </w:r>
    </w:p>
    <w:p w14:paraId="29F26A08" w14:textId="77777777" w:rsidR="001B7A4A" w:rsidRPr="001B7A4A" w:rsidRDefault="001B7A4A" w:rsidP="001B7A4A">
      <w:pPr>
        <w:widowControl w:val="0"/>
        <w:autoSpaceDE w:val="0"/>
        <w:autoSpaceDN w:val="0"/>
        <w:adjustRightInd w:val="0"/>
        <w:spacing w:line="360" w:lineRule="auto"/>
        <w:ind w:left="480" w:hanging="480"/>
        <w:rPr>
          <w:rFonts w:ascii="Calibri" w:hAnsi="Calibri" w:cs="Calibri"/>
          <w:noProof/>
          <w:szCs w:val="24"/>
        </w:rPr>
      </w:pPr>
      <w:r w:rsidRPr="001B7A4A">
        <w:rPr>
          <w:rFonts w:ascii="Calibri" w:hAnsi="Calibri" w:cs="Calibri"/>
          <w:noProof/>
          <w:szCs w:val="24"/>
        </w:rPr>
        <w:t xml:space="preserve">Kashdan, T. B., &amp; Rottenberg, J. (2010). Psychological flexibility as a fundamental aspect of health. </w:t>
      </w:r>
      <w:r w:rsidRPr="001B7A4A">
        <w:rPr>
          <w:rFonts w:ascii="Calibri" w:hAnsi="Calibri" w:cs="Calibri"/>
          <w:i/>
          <w:iCs/>
          <w:noProof/>
          <w:szCs w:val="24"/>
        </w:rPr>
        <w:t>Clinical Psychology Review</w:t>
      </w:r>
      <w:r w:rsidRPr="001B7A4A">
        <w:rPr>
          <w:rFonts w:ascii="Calibri" w:hAnsi="Calibri" w:cs="Calibri"/>
          <w:noProof/>
          <w:szCs w:val="24"/>
        </w:rPr>
        <w:t xml:space="preserve">, </w:t>
      </w:r>
      <w:r w:rsidRPr="001B7A4A">
        <w:rPr>
          <w:rFonts w:ascii="Calibri" w:hAnsi="Calibri" w:cs="Calibri"/>
          <w:i/>
          <w:iCs/>
          <w:noProof/>
          <w:szCs w:val="24"/>
        </w:rPr>
        <w:t>30</w:t>
      </w:r>
      <w:r w:rsidRPr="001B7A4A">
        <w:rPr>
          <w:rFonts w:ascii="Calibri" w:hAnsi="Calibri" w:cs="Calibri"/>
          <w:noProof/>
          <w:szCs w:val="24"/>
        </w:rPr>
        <w:t>(4), 865–878. https://doi.org/10.1016/j.cpr.2010.03.001</w:t>
      </w:r>
    </w:p>
    <w:p w14:paraId="53DA8EE5" w14:textId="77777777" w:rsidR="001B7A4A" w:rsidRPr="001B7A4A" w:rsidRDefault="001B7A4A" w:rsidP="001B7A4A">
      <w:pPr>
        <w:widowControl w:val="0"/>
        <w:autoSpaceDE w:val="0"/>
        <w:autoSpaceDN w:val="0"/>
        <w:adjustRightInd w:val="0"/>
        <w:spacing w:line="360" w:lineRule="auto"/>
        <w:ind w:left="480" w:hanging="480"/>
        <w:rPr>
          <w:rFonts w:ascii="Calibri" w:hAnsi="Calibri" w:cs="Calibri"/>
          <w:noProof/>
          <w:szCs w:val="24"/>
        </w:rPr>
      </w:pPr>
      <w:r w:rsidRPr="001B7A4A">
        <w:rPr>
          <w:rFonts w:ascii="Calibri" w:hAnsi="Calibri" w:cs="Calibri"/>
          <w:noProof/>
          <w:szCs w:val="24"/>
        </w:rPr>
        <w:t xml:space="preserve">Kaufman, J. C., &amp; Beghetto, R. a. (2009). Beyond Big and Little: The Four C Model of Creativity. </w:t>
      </w:r>
      <w:r w:rsidRPr="001B7A4A">
        <w:rPr>
          <w:rFonts w:ascii="Calibri" w:hAnsi="Calibri" w:cs="Calibri"/>
          <w:i/>
          <w:iCs/>
          <w:noProof/>
          <w:szCs w:val="24"/>
        </w:rPr>
        <w:t>Review of General Psychology</w:t>
      </w:r>
      <w:r w:rsidRPr="001B7A4A">
        <w:rPr>
          <w:rFonts w:ascii="Calibri" w:hAnsi="Calibri" w:cs="Calibri"/>
          <w:noProof/>
          <w:szCs w:val="24"/>
        </w:rPr>
        <w:t xml:space="preserve">, </w:t>
      </w:r>
      <w:r w:rsidRPr="001B7A4A">
        <w:rPr>
          <w:rFonts w:ascii="Calibri" w:hAnsi="Calibri" w:cs="Calibri"/>
          <w:i/>
          <w:iCs/>
          <w:noProof/>
          <w:szCs w:val="24"/>
        </w:rPr>
        <w:t>13</w:t>
      </w:r>
      <w:r w:rsidRPr="001B7A4A">
        <w:rPr>
          <w:rFonts w:ascii="Calibri" w:hAnsi="Calibri" w:cs="Calibri"/>
          <w:noProof/>
          <w:szCs w:val="24"/>
        </w:rPr>
        <w:t>(1), 1–12. https://doi.org/10.1037/a0013688</w:t>
      </w:r>
    </w:p>
    <w:p w14:paraId="02A8C6CE" w14:textId="77777777" w:rsidR="001B7A4A" w:rsidRPr="001B7A4A" w:rsidRDefault="001B7A4A" w:rsidP="001B7A4A">
      <w:pPr>
        <w:widowControl w:val="0"/>
        <w:autoSpaceDE w:val="0"/>
        <w:autoSpaceDN w:val="0"/>
        <w:adjustRightInd w:val="0"/>
        <w:spacing w:line="360" w:lineRule="auto"/>
        <w:ind w:left="480" w:hanging="480"/>
        <w:rPr>
          <w:rFonts w:ascii="Calibri" w:hAnsi="Calibri" w:cs="Calibri"/>
          <w:noProof/>
          <w:szCs w:val="24"/>
        </w:rPr>
      </w:pPr>
      <w:r w:rsidRPr="001B7A4A">
        <w:rPr>
          <w:rFonts w:ascii="Calibri" w:hAnsi="Calibri" w:cs="Calibri"/>
          <w:noProof/>
          <w:szCs w:val="24"/>
        </w:rPr>
        <w:t xml:space="preserve">Kiili, K. (2005). Digital game-based learning: Towards an experiential gaming model. </w:t>
      </w:r>
      <w:r w:rsidRPr="001B7A4A">
        <w:rPr>
          <w:rFonts w:ascii="Calibri" w:hAnsi="Calibri" w:cs="Calibri"/>
          <w:i/>
          <w:iCs/>
          <w:noProof/>
          <w:szCs w:val="24"/>
        </w:rPr>
        <w:t>Internet and Higher Education</w:t>
      </w:r>
      <w:r w:rsidRPr="001B7A4A">
        <w:rPr>
          <w:rFonts w:ascii="Calibri" w:hAnsi="Calibri" w:cs="Calibri"/>
          <w:noProof/>
          <w:szCs w:val="24"/>
        </w:rPr>
        <w:t xml:space="preserve">, </w:t>
      </w:r>
      <w:r w:rsidRPr="001B7A4A">
        <w:rPr>
          <w:rFonts w:ascii="Calibri" w:hAnsi="Calibri" w:cs="Calibri"/>
          <w:i/>
          <w:iCs/>
          <w:noProof/>
          <w:szCs w:val="24"/>
        </w:rPr>
        <w:t>8</w:t>
      </w:r>
      <w:r w:rsidRPr="001B7A4A">
        <w:rPr>
          <w:rFonts w:ascii="Calibri" w:hAnsi="Calibri" w:cs="Calibri"/>
          <w:noProof/>
          <w:szCs w:val="24"/>
        </w:rPr>
        <w:t>(1), 13–24. https://doi.org/10.1016/j.iheduc.2004.12.001</w:t>
      </w:r>
    </w:p>
    <w:p w14:paraId="1FDF779F" w14:textId="77777777" w:rsidR="001B7A4A" w:rsidRPr="001B7A4A" w:rsidRDefault="001B7A4A" w:rsidP="001B7A4A">
      <w:pPr>
        <w:widowControl w:val="0"/>
        <w:autoSpaceDE w:val="0"/>
        <w:autoSpaceDN w:val="0"/>
        <w:adjustRightInd w:val="0"/>
        <w:spacing w:line="360" w:lineRule="auto"/>
        <w:ind w:left="480" w:hanging="480"/>
        <w:rPr>
          <w:rFonts w:ascii="Calibri" w:hAnsi="Calibri" w:cs="Calibri"/>
          <w:noProof/>
          <w:szCs w:val="24"/>
        </w:rPr>
      </w:pPr>
      <w:r w:rsidRPr="001B7A4A">
        <w:rPr>
          <w:rFonts w:ascii="Calibri" w:hAnsi="Calibri" w:cs="Calibri"/>
          <w:noProof/>
          <w:szCs w:val="24"/>
        </w:rPr>
        <w:t xml:space="preserve">Kluzer, S., Pujol Priego, L., Carretero, S., Punie, Y., Vuorikari, R., &amp; Cabrera, Marcelino; Keeffe, W. (2018). </w:t>
      </w:r>
      <w:r w:rsidRPr="001B7A4A">
        <w:rPr>
          <w:rFonts w:ascii="Calibri" w:hAnsi="Calibri" w:cs="Calibri"/>
          <w:i/>
          <w:iCs/>
          <w:noProof/>
          <w:szCs w:val="24"/>
        </w:rPr>
        <w:t>DigComp into action, get inspired make it happen: A user guide to the European Digital Competence framework.</w:t>
      </w:r>
      <w:r w:rsidRPr="001B7A4A">
        <w:rPr>
          <w:rFonts w:ascii="Calibri" w:hAnsi="Calibri" w:cs="Calibri"/>
          <w:noProof/>
          <w:szCs w:val="24"/>
        </w:rPr>
        <w:t xml:space="preserve"> https://doi.org/10.2760/112945</w:t>
      </w:r>
    </w:p>
    <w:p w14:paraId="5AFCDDBD" w14:textId="77777777" w:rsidR="001B7A4A" w:rsidRPr="001B7A4A" w:rsidRDefault="001B7A4A" w:rsidP="001B7A4A">
      <w:pPr>
        <w:widowControl w:val="0"/>
        <w:autoSpaceDE w:val="0"/>
        <w:autoSpaceDN w:val="0"/>
        <w:adjustRightInd w:val="0"/>
        <w:spacing w:line="360" w:lineRule="auto"/>
        <w:ind w:left="480" w:hanging="480"/>
        <w:rPr>
          <w:rFonts w:ascii="Calibri" w:hAnsi="Calibri" w:cs="Calibri"/>
          <w:noProof/>
          <w:szCs w:val="24"/>
        </w:rPr>
      </w:pPr>
      <w:r w:rsidRPr="001B7A4A">
        <w:rPr>
          <w:rFonts w:ascii="Calibri" w:hAnsi="Calibri" w:cs="Calibri"/>
          <w:noProof/>
          <w:szCs w:val="24"/>
        </w:rPr>
        <w:t xml:space="preserve">Larian Studios. (2014). </w:t>
      </w:r>
      <w:r w:rsidRPr="001B7A4A">
        <w:rPr>
          <w:rFonts w:ascii="Calibri" w:hAnsi="Calibri" w:cs="Calibri"/>
          <w:i/>
          <w:iCs/>
          <w:noProof/>
          <w:szCs w:val="24"/>
        </w:rPr>
        <w:t>Divinity: Original Sin</w:t>
      </w:r>
      <w:r w:rsidRPr="001B7A4A">
        <w:rPr>
          <w:rFonts w:ascii="Calibri" w:hAnsi="Calibri" w:cs="Calibri"/>
          <w:noProof/>
          <w:szCs w:val="24"/>
        </w:rPr>
        <w:t>.</w:t>
      </w:r>
    </w:p>
    <w:p w14:paraId="31D37760" w14:textId="77777777" w:rsidR="001B7A4A" w:rsidRPr="001B7A4A" w:rsidRDefault="001B7A4A" w:rsidP="001B7A4A">
      <w:pPr>
        <w:widowControl w:val="0"/>
        <w:autoSpaceDE w:val="0"/>
        <w:autoSpaceDN w:val="0"/>
        <w:adjustRightInd w:val="0"/>
        <w:spacing w:line="360" w:lineRule="auto"/>
        <w:ind w:left="480" w:hanging="480"/>
        <w:rPr>
          <w:rFonts w:ascii="Calibri" w:hAnsi="Calibri" w:cs="Calibri"/>
          <w:noProof/>
          <w:szCs w:val="24"/>
        </w:rPr>
      </w:pPr>
      <w:r w:rsidRPr="001B7A4A">
        <w:rPr>
          <w:rFonts w:ascii="Calibri" w:hAnsi="Calibri" w:cs="Calibri"/>
          <w:noProof/>
          <w:szCs w:val="24"/>
        </w:rPr>
        <w:t xml:space="preserve">Leng, E. Y., Zah, W., Ali, W., Mahmud, R. B., &amp; Baki, R. (2010). Computer games development experience and appreciative learning approach for creative process enhancement. </w:t>
      </w:r>
      <w:r w:rsidRPr="001B7A4A">
        <w:rPr>
          <w:rFonts w:ascii="Calibri" w:hAnsi="Calibri" w:cs="Calibri"/>
          <w:i/>
          <w:iCs/>
          <w:noProof/>
          <w:szCs w:val="24"/>
        </w:rPr>
        <w:t>Computers &amp; Education</w:t>
      </w:r>
      <w:r w:rsidRPr="001B7A4A">
        <w:rPr>
          <w:rFonts w:ascii="Calibri" w:hAnsi="Calibri" w:cs="Calibri"/>
          <w:noProof/>
          <w:szCs w:val="24"/>
        </w:rPr>
        <w:t xml:space="preserve">, </w:t>
      </w:r>
      <w:r w:rsidRPr="001B7A4A">
        <w:rPr>
          <w:rFonts w:ascii="Calibri" w:hAnsi="Calibri" w:cs="Calibri"/>
          <w:i/>
          <w:iCs/>
          <w:noProof/>
          <w:szCs w:val="24"/>
        </w:rPr>
        <w:t>55</w:t>
      </w:r>
      <w:r w:rsidRPr="001B7A4A">
        <w:rPr>
          <w:rFonts w:ascii="Calibri" w:hAnsi="Calibri" w:cs="Calibri"/>
          <w:noProof/>
          <w:szCs w:val="24"/>
        </w:rPr>
        <w:t>, 1131–1144. https://doi.org/10.1016/j.compedu.2010.05.011</w:t>
      </w:r>
    </w:p>
    <w:p w14:paraId="18975DF1" w14:textId="77777777" w:rsidR="001B7A4A" w:rsidRPr="001B7A4A" w:rsidRDefault="001B7A4A" w:rsidP="001B7A4A">
      <w:pPr>
        <w:widowControl w:val="0"/>
        <w:autoSpaceDE w:val="0"/>
        <w:autoSpaceDN w:val="0"/>
        <w:adjustRightInd w:val="0"/>
        <w:spacing w:line="360" w:lineRule="auto"/>
        <w:ind w:left="480" w:hanging="480"/>
        <w:rPr>
          <w:rFonts w:ascii="Calibri" w:hAnsi="Calibri" w:cs="Calibri"/>
          <w:noProof/>
          <w:szCs w:val="24"/>
        </w:rPr>
      </w:pPr>
      <w:r w:rsidRPr="001B7A4A">
        <w:rPr>
          <w:rFonts w:ascii="Calibri" w:hAnsi="Calibri" w:cs="Calibri"/>
          <w:noProof/>
          <w:szCs w:val="24"/>
        </w:rPr>
        <w:t xml:space="preserve">Linden Labs. (2005). </w:t>
      </w:r>
      <w:r w:rsidRPr="001B7A4A">
        <w:rPr>
          <w:rFonts w:ascii="Calibri" w:hAnsi="Calibri" w:cs="Calibri"/>
          <w:i/>
          <w:iCs/>
          <w:noProof/>
          <w:szCs w:val="24"/>
        </w:rPr>
        <w:t>Teen Second Life</w:t>
      </w:r>
      <w:r w:rsidRPr="001B7A4A">
        <w:rPr>
          <w:rFonts w:ascii="Calibri" w:hAnsi="Calibri" w:cs="Calibri"/>
          <w:noProof/>
          <w:szCs w:val="24"/>
        </w:rPr>
        <w:t>. Linden Labs.</w:t>
      </w:r>
    </w:p>
    <w:p w14:paraId="01FBA5A5" w14:textId="77777777" w:rsidR="001B7A4A" w:rsidRPr="001B7A4A" w:rsidRDefault="001B7A4A" w:rsidP="001B7A4A">
      <w:pPr>
        <w:widowControl w:val="0"/>
        <w:autoSpaceDE w:val="0"/>
        <w:autoSpaceDN w:val="0"/>
        <w:adjustRightInd w:val="0"/>
        <w:spacing w:line="360" w:lineRule="auto"/>
        <w:ind w:left="480" w:hanging="480"/>
        <w:rPr>
          <w:rFonts w:ascii="Calibri" w:hAnsi="Calibri" w:cs="Calibri"/>
          <w:noProof/>
          <w:szCs w:val="24"/>
        </w:rPr>
      </w:pPr>
      <w:r w:rsidRPr="001B7A4A">
        <w:rPr>
          <w:rFonts w:ascii="Calibri" w:hAnsi="Calibri" w:cs="Calibri"/>
          <w:noProof/>
          <w:szCs w:val="24"/>
        </w:rPr>
        <w:t xml:space="preserve">Linderoth, J. (2013). Beyond the digital divide: An ecological approach to gameplay. </w:t>
      </w:r>
      <w:r w:rsidRPr="001B7A4A">
        <w:rPr>
          <w:rFonts w:ascii="Calibri" w:hAnsi="Calibri" w:cs="Calibri"/>
          <w:i/>
          <w:iCs/>
          <w:noProof/>
          <w:szCs w:val="24"/>
        </w:rPr>
        <w:t>Transactions of the Digital Games Research Association</w:t>
      </w:r>
      <w:r w:rsidRPr="001B7A4A">
        <w:rPr>
          <w:rFonts w:ascii="Calibri" w:hAnsi="Calibri" w:cs="Calibri"/>
          <w:noProof/>
          <w:szCs w:val="24"/>
        </w:rPr>
        <w:t xml:space="preserve">, </w:t>
      </w:r>
      <w:r w:rsidRPr="001B7A4A">
        <w:rPr>
          <w:rFonts w:ascii="Calibri" w:hAnsi="Calibri" w:cs="Calibri"/>
          <w:i/>
          <w:iCs/>
          <w:noProof/>
          <w:szCs w:val="24"/>
        </w:rPr>
        <w:t>1</w:t>
      </w:r>
      <w:r w:rsidRPr="001B7A4A">
        <w:rPr>
          <w:rFonts w:ascii="Calibri" w:hAnsi="Calibri" w:cs="Calibri"/>
          <w:noProof/>
          <w:szCs w:val="24"/>
        </w:rPr>
        <w:t>(1).</w:t>
      </w:r>
    </w:p>
    <w:p w14:paraId="2E0E5C2C" w14:textId="77777777" w:rsidR="001B7A4A" w:rsidRPr="001B7A4A" w:rsidRDefault="001B7A4A" w:rsidP="001B7A4A">
      <w:pPr>
        <w:widowControl w:val="0"/>
        <w:autoSpaceDE w:val="0"/>
        <w:autoSpaceDN w:val="0"/>
        <w:adjustRightInd w:val="0"/>
        <w:spacing w:line="360" w:lineRule="auto"/>
        <w:ind w:left="480" w:hanging="480"/>
        <w:rPr>
          <w:rFonts w:ascii="Calibri" w:hAnsi="Calibri" w:cs="Calibri"/>
          <w:noProof/>
          <w:szCs w:val="24"/>
        </w:rPr>
      </w:pPr>
      <w:r w:rsidRPr="001B7A4A">
        <w:rPr>
          <w:rFonts w:ascii="Calibri" w:hAnsi="Calibri" w:cs="Calibri"/>
          <w:noProof/>
          <w:szCs w:val="24"/>
        </w:rPr>
        <w:t xml:space="preserve">Linderoth, J., &amp; Bennerstedt, U. (2007). This is not a Door: an Ecological approach to Computer Games. </w:t>
      </w:r>
      <w:r w:rsidRPr="001B7A4A">
        <w:rPr>
          <w:rFonts w:ascii="Calibri" w:hAnsi="Calibri" w:cs="Calibri"/>
          <w:i/>
          <w:iCs/>
          <w:noProof/>
          <w:szCs w:val="24"/>
        </w:rPr>
        <w:t xml:space="preserve">Situated Play, Proceedings of DiGRA 2007 Conference </w:t>
      </w:r>
      <w:r w:rsidRPr="001B7A4A">
        <w:rPr>
          <w:rFonts w:ascii="Calibri" w:hAnsi="Calibri" w:cs="Calibri"/>
          <w:noProof/>
          <w:szCs w:val="24"/>
        </w:rPr>
        <w:t>, 600–609. Retrieved from http://www.digra.org/wp-content/uploads/digital-library/07312.51011.pdf</w:t>
      </w:r>
    </w:p>
    <w:p w14:paraId="77F2C46C" w14:textId="77777777" w:rsidR="001B7A4A" w:rsidRPr="001B7A4A" w:rsidRDefault="001B7A4A" w:rsidP="001B7A4A">
      <w:pPr>
        <w:widowControl w:val="0"/>
        <w:autoSpaceDE w:val="0"/>
        <w:autoSpaceDN w:val="0"/>
        <w:adjustRightInd w:val="0"/>
        <w:spacing w:line="360" w:lineRule="auto"/>
        <w:ind w:left="480" w:hanging="480"/>
        <w:rPr>
          <w:rFonts w:ascii="Calibri" w:hAnsi="Calibri" w:cs="Calibri"/>
          <w:noProof/>
          <w:szCs w:val="24"/>
        </w:rPr>
      </w:pPr>
      <w:r w:rsidRPr="001B7A4A">
        <w:rPr>
          <w:rFonts w:ascii="Calibri" w:hAnsi="Calibri" w:cs="Calibri"/>
          <w:noProof/>
          <w:szCs w:val="24"/>
        </w:rPr>
        <w:t xml:space="preserve">MachineGames. (2014). </w:t>
      </w:r>
      <w:r w:rsidRPr="001B7A4A">
        <w:rPr>
          <w:rFonts w:ascii="Calibri" w:hAnsi="Calibri" w:cs="Calibri"/>
          <w:i/>
          <w:iCs/>
          <w:noProof/>
          <w:szCs w:val="24"/>
        </w:rPr>
        <w:t>Wolfenstein: The New Order</w:t>
      </w:r>
      <w:r w:rsidRPr="001B7A4A">
        <w:rPr>
          <w:rFonts w:ascii="Calibri" w:hAnsi="Calibri" w:cs="Calibri"/>
          <w:noProof/>
          <w:szCs w:val="24"/>
        </w:rPr>
        <w:t>. Bethesda Softworks,.</w:t>
      </w:r>
    </w:p>
    <w:p w14:paraId="37665C2B" w14:textId="77777777" w:rsidR="001B7A4A" w:rsidRPr="001B7A4A" w:rsidRDefault="001B7A4A" w:rsidP="001B7A4A">
      <w:pPr>
        <w:widowControl w:val="0"/>
        <w:autoSpaceDE w:val="0"/>
        <w:autoSpaceDN w:val="0"/>
        <w:adjustRightInd w:val="0"/>
        <w:spacing w:line="360" w:lineRule="auto"/>
        <w:ind w:left="480" w:hanging="480"/>
        <w:rPr>
          <w:rFonts w:ascii="Calibri" w:hAnsi="Calibri" w:cs="Calibri"/>
          <w:noProof/>
          <w:szCs w:val="24"/>
        </w:rPr>
      </w:pPr>
      <w:r w:rsidRPr="001B7A4A">
        <w:rPr>
          <w:rFonts w:ascii="Calibri" w:hAnsi="Calibri" w:cs="Calibri"/>
          <w:noProof/>
          <w:szCs w:val="24"/>
        </w:rPr>
        <w:t xml:space="preserve">Maslow, A. (1968). </w:t>
      </w:r>
      <w:r w:rsidRPr="001B7A4A">
        <w:rPr>
          <w:rFonts w:ascii="Calibri" w:hAnsi="Calibri" w:cs="Calibri"/>
          <w:i/>
          <w:iCs/>
          <w:noProof/>
          <w:szCs w:val="24"/>
        </w:rPr>
        <w:t>Toward a psychology of being</w:t>
      </w:r>
      <w:r w:rsidRPr="001B7A4A">
        <w:rPr>
          <w:rFonts w:ascii="Calibri" w:hAnsi="Calibri" w:cs="Calibri"/>
          <w:noProof/>
          <w:szCs w:val="24"/>
        </w:rPr>
        <w:t>. Princeton, NJ: Van Nostrand, D.</w:t>
      </w:r>
    </w:p>
    <w:p w14:paraId="6CEABE0D" w14:textId="77777777" w:rsidR="001B7A4A" w:rsidRPr="001B7A4A" w:rsidRDefault="001B7A4A" w:rsidP="001B7A4A">
      <w:pPr>
        <w:widowControl w:val="0"/>
        <w:autoSpaceDE w:val="0"/>
        <w:autoSpaceDN w:val="0"/>
        <w:adjustRightInd w:val="0"/>
        <w:spacing w:line="360" w:lineRule="auto"/>
        <w:ind w:left="480" w:hanging="480"/>
        <w:rPr>
          <w:rFonts w:ascii="Calibri" w:hAnsi="Calibri" w:cs="Calibri"/>
          <w:noProof/>
          <w:szCs w:val="24"/>
        </w:rPr>
      </w:pPr>
      <w:r w:rsidRPr="001B7A4A">
        <w:rPr>
          <w:rFonts w:ascii="Calibri" w:hAnsi="Calibri" w:cs="Calibri"/>
          <w:noProof/>
          <w:szCs w:val="24"/>
        </w:rPr>
        <w:t xml:space="preserve">Maxis. (2000). </w:t>
      </w:r>
      <w:r w:rsidRPr="001B7A4A">
        <w:rPr>
          <w:rFonts w:ascii="Calibri" w:hAnsi="Calibri" w:cs="Calibri"/>
          <w:i/>
          <w:iCs/>
          <w:noProof/>
          <w:szCs w:val="24"/>
        </w:rPr>
        <w:t>The Sims</w:t>
      </w:r>
      <w:r w:rsidRPr="001B7A4A">
        <w:rPr>
          <w:rFonts w:ascii="Calibri" w:hAnsi="Calibri" w:cs="Calibri"/>
          <w:noProof/>
          <w:szCs w:val="24"/>
        </w:rPr>
        <w:t>. Electronic Arts.</w:t>
      </w:r>
    </w:p>
    <w:p w14:paraId="0489F02A" w14:textId="77777777" w:rsidR="001B7A4A" w:rsidRPr="001B7A4A" w:rsidRDefault="001B7A4A" w:rsidP="001B7A4A">
      <w:pPr>
        <w:widowControl w:val="0"/>
        <w:autoSpaceDE w:val="0"/>
        <w:autoSpaceDN w:val="0"/>
        <w:adjustRightInd w:val="0"/>
        <w:spacing w:line="360" w:lineRule="auto"/>
        <w:ind w:left="480" w:hanging="480"/>
        <w:rPr>
          <w:rFonts w:ascii="Calibri" w:hAnsi="Calibri" w:cs="Calibri"/>
          <w:noProof/>
          <w:szCs w:val="24"/>
        </w:rPr>
      </w:pPr>
      <w:r w:rsidRPr="001B7A4A">
        <w:rPr>
          <w:rFonts w:ascii="Calibri" w:hAnsi="Calibri" w:cs="Calibri"/>
          <w:noProof/>
          <w:szCs w:val="24"/>
        </w:rPr>
        <w:t xml:space="preserve">Mayer, R. E. (1983). </w:t>
      </w:r>
      <w:r w:rsidRPr="001B7A4A">
        <w:rPr>
          <w:rFonts w:ascii="Calibri" w:hAnsi="Calibri" w:cs="Calibri"/>
          <w:i/>
          <w:iCs/>
          <w:noProof/>
          <w:szCs w:val="24"/>
        </w:rPr>
        <w:t>Thinking, Problem Solving, Cognition</w:t>
      </w:r>
      <w:r w:rsidRPr="001B7A4A">
        <w:rPr>
          <w:rFonts w:ascii="Calibri" w:hAnsi="Calibri" w:cs="Calibri"/>
          <w:noProof/>
          <w:szCs w:val="24"/>
        </w:rPr>
        <w:t>. New York: Freeman.</w:t>
      </w:r>
    </w:p>
    <w:p w14:paraId="3ACF1D0D" w14:textId="77777777" w:rsidR="001B7A4A" w:rsidRPr="001B7A4A" w:rsidRDefault="001B7A4A" w:rsidP="001B7A4A">
      <w:pPr>
        <w:widowControl w:val="0"/>
        <w:autoSpaceDE w:val="0"/>
        <w:autoSpaceDN w:val="0"/>
        <w:adjustRightInd w:val="0"/>
        <w:spacing w:line="360" w:lineRule="auto"/>
        <w:ind w:left="480" w:hanging="480"/>
        <w:rPr>
          <w:rFonts w:ascii="Calibri" w:hAnsi="Calibri" w:cs="Calibri"/>
          <w:noProof/>
          <w:szCs w:val="24"/>
        </w:rPr>
      </w:pPr>
      <w:r w:rsidRPr="001B7A4A">
        <w:rPr>
          <w:rFonts w:ascii="Calibri" w:hAnsi="Calibri" w:cs="Calibri"/>
          <w:noProof/>
          <w:szCs w:val="24"/>
        </w:rPr>
        <w:t xml:space="preserve">Mayer, R. E. (1989). Cognitive views of creativity: Creative teaching for creative learning. </w:t>
      </w:r>
      <w:r w:rsidRPr="001B7A4A">
        <w:rPr>
          <w:rFonts w:ascii="Calibri" w:hAnsi="Calibri" w:cs="Calibri"/>
          <w:i/>
          <w:iCs/>
          <w:noProof/>
          <w:szCs w:val="24"/>
        </w:rPr>
        <w:t>Contemporary Educational Psychology</w:t>
      </w:r>
      <w:r w:rsidRPr="001B7A4A">
        <w:rPr>
          <w:rFonts w:ascii="Calibri" w:hAnsi="Calibri" w:cs="Calibri"/>
          <w:noProof/>
          <w:szCs w:val="24"/>
        </w:rPr>
        <w:t xml:space="preserve">, </w:t>
      </w:r>
      <w:r w:rsidRPr="001B7A4A">
        <w:rPr>
          <w:rFonts w:ascii="Calibri" w:hAnsi="Calibri" w:cs="Calibri"/>
          <w:i/>
          <w:iCs/>
          <w:noProof/>
          <w:szCs w:val="24"/>
        </w:rPr>
        <w:t>14</w:t>
      </w:r>
      <w:r w:rsidRPr="001B7A4A">
        <w:rPr>
          <w:rFonts w:ascii="Calibri" w:hAnsi="Calibri" w:cs="Calibri"/>
          <w:noProof/>
          <w:szCs w:val="24"/>
        </w:rPr>
        <w:t>(3), 203–211. https://doi.org/10.1016/0361-476X(89)90010-6</w:t>
      </w:r>
    </w:p>
    <w:p w14:paraId="369A527E" w14:textId="77777777" w:rsidR="001B7A4A" w:rsidRPr="001B7A4A" w:rsidRDefault="001B7A4A" w:rsidP="001B7A4A">
      <w:pPr>
        <w:widowControl w:val="0"/>
        <w:autoSpaceDE w:val="0"/>
        <w:autoSpaceDN w:val="0"/>
        <w:adjustRightInd w:val="0"/>
        <w:spacing w:line="360" w:lineRule="auto"/>
        <w:ind w:left="480" w:hanging="480"/>
        <w:rPr>
          <w:rFonts w:ascii="Calibri" w:hAnsi="Calibri" w:cs="Calibri"/>
          <w:noProof/>
          <w:szCs w:val="24"/>
        </w:rPr>
      </w:pPr>
      <w:r w:rsidRPr="001B7A4A">
        <w:rPr>
          <w:rFonts w:ascii="Calibri" w:hAnsi="Calibri" w:cs="Calibri"/>
          <w:noProof/>
          <w:szCs w:val="24"/>
        </w:rPr>
        <w:t xml:space="preserve">Mayring, P. (2007). On generalization in qualitatively oriented research. </w:t>
      </w:r>
      <w:r w:rsidRPr="001B7A4A">
        <w:rPr>
          <w:rFonts w:ascii="Calibri" w:hAnsi="Calibri" w:cs="Calibri"/>
          <w:i/>
          <w:iCs/>
          <w:noProof/>
          <w:szCs w:val="24"/>
        </w:rPr>
        <w:t>Forum Qualitative Sozialforschung</w:t>
      </w:r>
      <w:r w:rsidRPr="001B7A4A">
        <w:rPr>
          <w:rFonts w:ascii="Calibri" w:hAnsi="Calibri" w:cs="Calibri"/>
          <w:noProof/>
          <w:szCs w:val="24"/>
        </w:rPr>
        <w:t xml:space="preserve">, </w:t>
      </w:r>
      <w:r w:rsidRPr="001B7A4A">
        <w:rPr>
          <w:rFonts w:ascii="Calibri" w:hAnsi="Calibri" w:cs="Calibri"/>
          <w:i/>
          <w:iCs/>
          <w:noProof/>
          <w:szCs w:val="24"/>
        </w:rPr>
        <w:t>8</w:t>
      </w:r>
      <w:r w:rsidRPr="001B7A4A">
        <w:rPr>
          <w:rFonts w:ascii="Calibri" w:hAnsi="Calibri" w:cs="Calibri"/>
          <w:noProof/>
          <w:szCs w:val="24"/>
        </w:rPr>
        <w:t>(3). https://doi.org/http://nbn-resolving.de/urn:nbn:de:0114-fqs0703262</w:t>
      </w:r>
    </w:p>
    <w:p w14:paraId="595B6C49" w14:textId="77777777" w:rsidR="001B7A4A" w:rsidRPr="001B7A4A" w:rsidRDefault="001B7A4A" w:rsidP="001B7A4A">
      <w:pPr>
        <w:widowControl w:val="0"/>
        <w:autoSpaceDE w:val="0"/>
        <w:autoSpaceDN w:val="0"/>
        <w:adjustRightInd w:val="0"/>
        <w:spacing w:line="360" w:lineRule="auto"/>
        <w:ind w:left="480" w:hanging="480"/>
        <w:rPr>
          <w:rFonts w:ascii="Calibri" w:hAnsi="Calibri" w:cs="Calibri"/>
          <w:noProof/>
          <w:szCs w:val="24"/>
        </w:rPr>
      </w:pPr>
      <w:r w:rsidRPr="001B7A4A">
        <w:rPr>
          <w:rFonts w:ascii="Calibri" w:hAnsi="Calibri" w:cs="Calibri"/>
          <w:noProof/>
          <w:szCs w:val="24"/>
        </w:rPr>
        <w:lastRenderedPageBreak/>
        <w:t xml:space="preserve">Mays, N., &amp; Pope, C. (2000). Qualitative research in health care: Assessing quality in qualitative research. </w:t>
      </w:r>
      <w:r w:rsidRPr="001B7A4A">
        <w:rPr>
          <w:rFonts w:ascii="Calibri" w:hAnsi="Calibri" w:cs="Calibri"/>
          <w:i/>
          <w:iCs/>
          <w:noProof/>
          <w:szCs w:val="24"/>
        </w:rPr>
        <w:t>BMJ: British Medical Journal</w:t>
      </w:r>
      <w:r w:rsidRPr="001B7A4A">
        <w:rPr>
          <w:rFonts w:ascii="Calibri" w:hAnsi="Calibri" w:cs="Calibri"/>
          <w:noProof/>
          <w:szCs w:val="24"/>
        </w:rPr>
        <w:t xml:space="preserve">, </w:t>
      </w:r>
      <w:r w:rsidRPr="001B7A4A">
        <w:rPr>
          <w:rFonts w:ascii="Calibri" w:hAnsi="Calibri" w:cs="Calibri"/>
          <w:i/>
          <w:iCs/>
          <w:noProof/>
          <w:szCs w:val="24"/>
        </w:rPr>
        <w:t>320</w:t>
      </w:r>
      <w:r w:rsidRPr="001B7A4A">
        <w:rPr>
          <w:rFonts w:ascii="Calibri" w:hAnsi="Calibri" w:cs="Calibri"/>
          <w:noProof/>
          <w:szCs w:val="24"/>
        </w:rPr>
        <w:t>(7226), 50.</w:t>
      </w:r>
    </w:p>
    <w:p w14:paraId="2356156C" w14:textId="77777777" w:rsidR="001B7A4A" w:rsidRPr="001B7A4A" w:rsidRDefault="001B7A4A" w:rsidP="001B7A4A">
      <w:pPr>
        <w:widowControl w:val="0"/>
        <w:autoSpaceDE w:val="0"/>
        <w:autoSpaceDN w:val="0"/>
        <w:adjustRightInd w:val="0"/>
        <w:spacing w:line="360" w:lineRule="auto"/>
        <w:ind w:left="480" w:hanging="480"/>
        <w:rPr>
          <w:rFonts w:ascii="Calibri" w:hAnsi="Calibri" w:cs="Calibri"/>
          <w:noProof/>
          <w:szCs w:val="24"/>
        </w:rPr>
      </w:pPr>
      <w:r w:rsidRPr="001B7A4A">
        <w:rPr>
          <w:rFonts w:ascii="Calibri" w:hAnsi="Calibri" w:cs="Calibri"/>
          <w:noProof/>
          <w:szCs w:val="24"/>
        </w:rPr>
        <w:t xml:space="preserve">Mekler, E. D., Iacovides, I., &amp; Bopp, J. A. (2018). “ A Game that Makes You Question ...” Exploring the Role of Reflection for the Player Experience. </w:t>
      </w:r>
      <w:r w:rsidRPr="001B7A4A">
        <w:rPr>
          <w:rFonts w:ascii="Calibri" w:hAnsi="Calibri" w:cs="Calibri"/>
          <w:i/>
          <w:iCs/>
          <w:noProof/>
          <w:szCs w:val="24"/>
        </w:rPr>
        <w:t>CHI PLAY ’18 Proceedings of the 2018 Annual Symposium on Computer-Human Interaction in Play</w:t>
      </w:r>
      <w:r w:rsidRPr="001B7A4A">
        <w:rPr>
          <w:rFonts w:ascii="Calibri" w:hAnsi="Calibri" w:cs="Calibri"/>
          <w:noProof/>
          <w:szCs w:val="24"/>
        </w:rPr>
        <w:t>, 315–327. Melbourne, Australia.</w:t>
      </w:r>
    </w:p>
    <w:p w14:paraId="38808F1A" w14:textId="77777777" w:rsidR="001B7A4A" w:rsidRPr="001B7A4A" w:rsidRDefault="001B7A4A" w:rsidP="001B7A4A">
      <w:pPr>
        <w:widowControl w:val="0"/>
        <w:autoSpaceDE w:val="0"/>
        <w:autoSpaceDN w:val="0"/>
        <w:adjustRightInd w:val="0"/>
        <w:spacing w:line="360" w:lineRule="auto"/>
        <w:ind w:left="480" w:hanging="480"/>
        <w:rPr>
          <w:rFonts w:ascii="Calibri" w:hAnsi="Calibri" w:cs="Calibri"/>
          <w:noProof/>
          <w:szCs w:val="24"/>
        </w:rPr>
      </w:pPr>
      <w:r w:rsidRPr="001B7A4A">
        <w:rPr>
          <w:rFonts w:ascii="Calibri" w:hAnsi="Calibri" w:cs="Calibri"/>
          <w:noProof/>
          <w:szCs w:val="24"/>
        </w:rPr>
        <w:t xml:space="preserve">Miles, M. B., &amp; Huberman, A. M. (1994). </w:t>
      </w:r>
      <w:r w:rsidRPr="001B7A4A">
        <w:rPr>
          <w:rFonts w:ascii="Calibri" w:hAnsi="Calibri" w:cs="Calibri"/>
          <w:i/>
          <w:iCs/>
          <w:noProof/>
          <w:szCs w:val="24"/>
        </w:rPr>
        <w:t>Qualitative data analysis: An expanded sourcebook</w:t>
      </w:r>
      <w:r w:rsidRPr="001B7A4A">
        <w:rPr>
          <w:rFonts w:ascii="Calibri" w:hAnsi="Calibri" w:cs="Calibri"/>
          <w:noProof/>
          <w:szCs w:val="24"/>
        </w:rPr>
        <w:t>. Sage Publications.</w:t>
      </w:r>
    </w:p>
    <w:p w14:paraId="36FE9B22" w14:textId="77777777" w:rsidR="001B7A4A" w:rsidRPr="001B7A4A" w:rsidRDefault="001B7A4A" w:rsidP="001B7A4A">
      <w:pPr>
        <w:widowControl w:val="0"/>
        <w:autoSpaceDE w:val="0"/>
        <w:autoSpaceDN w:val="0"/>
        <w:adjustRightInd w:val="0"/>
        <w:spacing w:line="360" w:lineRule="auto"/>
        <w:ind w:left="480" w:hanging="480"/>
        <w:rPr>
          <w:rFonts w:ascii="Calibri" w:hAnsi="Calibri" w:cs="Calibri"/>
          <w:noProof/>
          <w:szCs w:val="24"/>
        </w:rPr>
      </w:pPr>
      <w:r w:rsidRPr="001B7A4A">
        <w:rPr>
          <w:rFonts w:ascii="Calibri" w:hAnsi="Calibri" w:cs="Calibri"/>
          <w:noProof/>
          <w:szCs w:val="24"/>
        </w:rPr>
        <w:t xml:space="preserve">Moffat, D. ., Crombie, W., &amp; Shabalina, O. (2017). Some Video Games Can Increase the Player’s Creativity. </w:t>
      </w:r>
      <w:r w:rsidRPr="001B7A4A">
        <w:rPr>
          <w:rFonts w:ascii="Calibri" w:hAnsi="Calibri" w:cs="Calibri"/>
          <w:i/>
          <w:iCs/>
          <w:noProof/>
          <w:szCs w:val="24"/>
        </w:rPr>
        <w:t>International Journal of Game-Based Learning (IJGBL)</w:t>
      </w:r>
      <w:r w:rsidRPr="001B7A4A">
        <w:rPr>
          <w:rFonts w:ascii="Calibri" w:hAnsi="Calibri" w:cs="Calibri"/>
          <w:noProof/>
          <w:szCs w:val="24"/>
        </w:rPr>
        <w:t xml:space="preserve">, </w:t>
      </w:r>
      <w:r w:rsidRPr="001B7A4A">
        <w:rPr>
          <w:rFonts w:ascii="Calibri" w:hAnsi="Calibri" w:cs="Calibri"/>
          <w:i/>
          <w:iCs/>
          <w:noProof/>
          <w:szCs w:val="24"/>
        </w:rPr>
        <w:t>7</w:t>
      </w:r>
      <w:r w:rsidRPr="001B7A4A">
        <w:rPr>
          <w:rFonts w:ascii="Calibri" w:hAnsi="Calibri" w:cs="Calibri"/>
          <w:noProof/>
          <w:szCs w:val="24"/>
        </w:rPr>
        <w:t>(2).</w:t>
      </w:r>
    </w:p>
    <w:p w14:paraId="60923427" w14:textId="77777777" w:rsidR="001B7A4A" w:rsidRPr="001B7A4A" w:rsidRDefault="001B7A4A" w:rsidP="001B7A4A">
      <w:pPr>
        <w:widowControl w:val="0"/>
        <w:autoSpaceDE w:val="0"/>
        <w:autoSpaceDN w:val="0"/>
        <w:adjustRightInd w:val="0"/>
        <w:spacing w:line="360" w:lineRule="auto"/>
        <w:ind w:left="480" w:hanging="480"/>
        <w:rPr>
          <w:rFonts w:ascii="Calibri" w:hAnsi="Calibri" w:cs="Calibri"/>
          <w:noProof/>
          <w:szCs w:val="24"/>
        </w:rPr>
      </w:pPr>
      <w:r w:rsidRPr="001B7A4A">
        <w:rPr>
          <w:rFonts w:ascii="Calibri" w:hAnsi="Calibri" w:cs="Calibri"/>
          <w:noProof/>
          <w:szCs w:val="24"/>
        </w:rPr>
        <w:t xml:space="preserve">Mojang. (2011). </w:t>
      </w:r>
      <w:r w:rsidRPr="001B7A4A">
        <w:rPr>
          <w:rFonts w:ascii="Calibri" w:hAnsi="Calibri" w:cs="Calibri"/>
          <w:i/>
          <w:iCs/>
          <w:noProof/>
          <w:szCs w:val="24"/>
        </w:rPr>
        <w:t>Minecraft</w:t>
      </w:r>
      <w:r w:rsidRPr="001B7A4A">
        <w:rPr>
          <w:rFonts w:ascii="Calibri" w:hAnsi="Calibri" w:cs="Calibri"/>
          <w:noProof/>
          <w:szCs w:val="24"/>
        </w:rPr>
        <w:t>. Mojang.</w:t>
      </w:r>
    </w:p>
    <w:p w14:paraId="63E79CF9" w14:textId="77777777" w:rsidR="001B7A4A" w:rsidRPr="001B7A4A" w:rsidRDefault="001B7A4A" w:rsidP="001B7A4A">
      <w:pPr>
        <w:widowControl w:val="0"/>
        <w:autoSpaceDE w:val="0"/>
        <w:autoSpaceDN w:val="0"/>
        <w:adjustRightInd w:val="0"/>
        <w:spacing w:line="360" w:lineRule="auto"/>
        <w:ind w:left="480" w:hanging="480"/>
        <w:rPr>
          <w:rFonts w:ascii="Calibri" w:hAnsi="Calibri" w:cs="Calibri"/>
          <w:noProof/>
          <w:szCs w:val="24"/>
        </w:rPr>
      </w:pPr>
      <w:r w:rsidRPr="001B7A4A">
        <w:rPr>
          <w:rFonts w:ascii="Calibri" w:hAnsi="Calibri" w:cs="Calibri"/>
          <w:noProof/>
          <w:szCs w:val="24"/>
        </w:rPr>
        <w:t xml:space="preserve">Moran, S., &amp; John-Steiner, V. (2003). Creativity in the Making: Vygotsky’s Contemporary Contribution to the Dialectic of Development and Creativity. In </w:t>
      </w:r>
      <w:r w:rsidRPr="001B7A4A">
        <w:rPr>
          <w:rFonts w:ascii="Calibri" w:hAnsi="Calibri" w:cs="Calibri"/>
          <w:i/>
          <w:iCs/>
          <w:noProof/>
          <w:szCs w:val="24"/>
        </w:rPr>
        <w:t>Creativity and Development</w:t>
      </w:r>
      <w:r w:rsidRPr="001B7A4A">
        <w:rPr>
          <w:rFonts w:ascii="Calibri" w:hAnsi="Calibri" w:cs="Calibri"/>
          <w:noProof/>
          <w:szCs w:val="24"/>
        </w:rPr>
        <w:t xml:space="preserve"> (pp. 81–90).</w:t>
      </w:r>
    </w:p>
    <w:p w14:paraId="477DF05F" w14:textId="77777777" w:rsidR="001B7A4A" w:rsidRPr="001B7A4A" w:rsidRDefault="001B7A4A" w:rsidP="001B7A4A">
      <w:pPr>
        <w:widowControl w:val="0"/>
        <w:autoSpaceDE w:val="0"/>
        <w:autoSpaceDN w:val="0"/>
        <w:adjustRightInd w:val="0"/>
        <w:spacing w:line="360" w:lineRule="auto"/>
        <w:ind w:left="480" w:hanging="480"/>
        <w:rPr>
          <w:rFonts w:ascii="Calibri" w:hAnsi="Calibri" w:cs="Calibri"/>
          <w:noProof/>
          <w:szCs w:val="24"/>
        </w:rPr>
      </w:pPr>
      <w:r w:rsidRPr="001B7A4A">
        <w:rPr>
          <w:rFonts w:ascii="Calibri" w:hAnsi="Calibri" w:cs="Calibri"/>
          <w:noProof/>
          <w:szCs w:val="24"/>
        </w:rPr>
        <w:t xml:space="preserve">Nintendo. (2017). Legend of Zelda: Breath of the Wild. </w:t>
      </w:r>
      <w:r w:rsidRPr="001B7A4A">
        <w:rPr>
          <w:rFonts w:ascii="Calibri" w:hAnsi="Calibri" w:cs="Calibri"/>
          <w:i/>
          <w:iCs/>
          <w:noProof/>
          <w:szCs w:val="24"/>
        </w:rPr>
        <w:t>Nintendo</w:t>
      </w:r>
      <w:r w:rsidRPr="001B7A4A">
        <w:rPr>
          <w:rFonts w:ascii="Calibri" w:hAnsi="Calibri" w:cs="Calibri"/>
          <w:noProof/>
          <w:szCs w:val="24"/>
        </w:rPr>
        <w:t>.</w:t>
      </w:r>
    </w:p>
    <w:p w14:paraId="457B4647" w14:textId="77777777" w:rsidR="001B7A4A" w:rsidRPr="001B7A4A" w:rsidRDefault="001B7A4A" w:rsidP="001B7A4A">
      <w:pPr>
        <w:widowControl w:val="0"/>
        <w:autoSpaceDE w:val="0"/>
        <w:autoSpaceDN w:val="0"/>
        <w:adjustRightInd w:val="0"/>
        <w:spacing w:line="360" w:lineRule="auto"/>
        <w:ind w:left="480" w:hanging="480"/>
        <w:rPr>
          <w:rFonts w:ascii="Calibri" w:hAnsi="Calibri" w:cs="Calibri"/>
          <w:noProof/>
          <w:szCs w:val="24"/>
        </w:rPr>
      </w:pPr>
      <w:r w:rsidRPr="001B7A4A">
        <w:rPr>
          <w:rFonts w:ascii="Calibri" w:hAnsi="Calibri" w:cs="Calibri"/>
          <w:noProof/>
          <w:szCs w:val="24"/>
        </w:rPr>
        <w:t xml:space="preserve">Ochse, R. (1990). </w:t>
      </w:r>
      <w:r w:rsidRPr="001B7A4A">
        <w:rPr>
          <w:rFonts w:ascii="Calibri" w:hAnsi="Calibri" w:cs="Calibri"/>
          <w:i/>
          <w:iCs/>
          <w:noProof/>
          <w:szCs w:val="24"/>
        </w:rPr>
        <w:t>Before the gates of excellence: The determinants of creative genius</w:t>
      </w:r>
      <w:r w:rsidRPr="001B7A4A">
        <w:rPr>
          <w:rFonts w:ascii="Calibri" w:hAnsi="Calibri" w:cs="Calibri"/>
          <w:noProof/>
          <w:szCs w:val="24"/>
        </w:rPr>
        <w:t>. Cambridge, MA: Cambridge University Press.</w:t>
      </w:r>
    </w:p>
    <w:p w14:paraId="2543DC80" w14:textId="77777777" w:rsidR="001B7A4A" w:rsidRPr="001B7A4A" w:rsidRDefault="001B7A4A" w:rsidP="001B7A4A">
      <w:pPr>
        <w:widowControl w:val="0"/>
        <w:autoSpaceDE w:val="0"/>
        <w:autoSpaceDN w:val="0"/>
        <w:adjustRightInd w:val="0"/>
        <w:spacing w:line="360" w:lineRule="auto"/>
        <w:ind w:left="480" w:hanging="480"/>
        <w:rPr>
          <w:rFonts w:ascii="Calibri" w:hAnsi="Calibri" w:cs="Calibri"/>
          <w:noProof/>
          <w:szCs w:val="24"/>
        </w:rPr>
      </w:pPr>
      <w:r w:rsidRPr="001B7A4A">
        <w:rPr>
          <w:rFonts w:ascii="Calibri" w:hAnsi="Calibri" w:cs="Calibri"/>
          <w:noProof/>
          <w:szCs w:val="24"/>
        </w:rPr>
        <w:t xml:space="preserve">Ott, M., &amp; Pozzi, F. (2012). Digital games as creativity enablers for children. </w:t>
      </w:r>
      <w:r w:rsidRPr="001B7A4A">
        <w:rPr>
          <w:rFonts w:ascii="Calibri" w:hAnsi="Calibri" w:cs="Calibri"/>
          <w:i/>
          <w:iCs/>
          <w:noProof/>
          <w:szCs w:val="24"/>
        </w:rPr>
        <w:t>Behaviour and Information Technology</w:t>
      </w:r>
      <w:r w:rsidRPr="001B7A4A">
        <w:rPr>
          <w:rFonts w:ascii="Calibri" w:hAnsi="Calibri" w:cs="Calibri"/>
          <w:noProof/>
          <w:szCs w:val="24"/>
        </w:rPr>
        <w:t xml:space="preserve">, </w:t>
      </w:r>
      <w:r w:rsidRPr="001B7A4A">
        <w:rPr>
          <w:rFonts w:ascii="Calibri" w:hAnsi="Calibri" w:cs="Calibri"/>
          <w:i/>
          <w:iCs/>
          <w:noProof/>
          <w:szCs w:val="24"/>
        </w:rPr>
        <w:t>31</w:t>
      </w:r>
      <w:r w:rsidRPr="001B7A4A">
        <w:rPr>
          <w:rFonts w:ascii="Calibri" w:hAnsi="Calibri" w:cs="Calibri"/>
          <w:noProof/>
          <w:szCs w:val="24"/>
        </w:rPr>
        <w:t>(10), 1011–1019. https://doi.org/10.1080/0144929X.2010.526148</w:t>
      </w:r>
    </w:p>
    <w:p w14:paraId="376ED1A6" w14:textId="77777777" w:rsidR="001B7A4A" w:rsidRPr="001B7A4A" w:rsidRDefault="001B7A4A" w:rsidP="001B7A4A">
      <w:pPr>
        <w:widowControl w:val="0"/>
        <w:autoSpaceDE w:val="0"/>
        <w:autoSpaceDN w:val="0"/>
        <w:adjustRightInd w:val="0"/>
        <w:spacing w:line="360" w:lineRule="auto"/>
        <w:ind w:left="480" w:hanging="480"/>
        <w:rPr>
          <w:rFonts w:ascii="Calibri" w:hAnsi="Calibri" w:cs="Calibri"/>
          <w:noProof/>
          <w:szCs w:val="24"/>
        </w:rPr>
      </w:pPr>
      <w:r w:rsidRPr="001B7A4A">
        <w:rPr>
          <w:rFonts w:ascii="Calibri" w:hAnsi="Calibri" w:cs="Calibri"/>
          <w:noProof/>
          <w:szCs w:val="24"/>
        </w:rPr>
        <w:t xml:space="preserve">Partnership for 21st Century Skills. (2019). </w:t>
      </w:r>
      <w:r w:rsidRPr="001B7A4A">
        <w:rPr>
          <w:rFonts w:ascii="Calibri" w:hAnsi="Calibri" w:cs="Calibri"/>
          <w:i/>
          <w:iCs/>
          <w:noProof/>
          <w:szCs w:val="24"/>
        </w:rPr>
        <w:t>Partnership for 21st Century Learning: A Network of Battelle for Kids</w:t>
      </w:r>
      <w:r w:rsidRPr="001B7A4A">
        <w:rPr>
          <w:rFonts w:ascii="Calibri" w:hAnsi="Calibri" w:cs="Calibri"/>
          <w:noProof/>
          <w:szCs w:val="24"/>
        </w:rPr>
        <w:t>. Retrieved from http://www.battelleforkids.org/networks/p21</w:t>
      </w:r>
    </w:p>
    <w:p w14:paraId="316D9B28" w14:textId="77777777" w:rsidR="001B7A4A" w:rsidRPr="001B7A4A" w:rsidRDefault="001B7A4A" w:rsidP="001B7A4A">
      <w:pPr>
        <w:widowControl w:val="0"/>
        <w:autoSpaceDE w:val="0"/>
        <w:autoSpaceDN w:val="0"/>
        <w:adjustRightInd w:val="0"/>
        <w:spacing w:line="360" w:lineRule="auto"/>
        <w:ind w:left="480" w:hanging="480"/>
        <w:rPr>
          <w:rFonts w:ascii="Calibri" w:hAnsi="Calibri" w:cs="Calibri"/>
          <w:noProof/>
          <w:szCs w:val="24"/>
        </w:rPr>
      </w:pPr>
      <w:r w:rsidRPr="001B7A4A">
        <w:rPr>
          <w:rFonts w:ascii="Calibri" w:hAnsi="Calibri" w:cs="Calibri"/>
          <w:noProof/>
          <w:szCs w:val="24"/>
        </w:rPr>
        <w:t xml:space="preserve">Paul, A. C. (2012). </w:t>
      </w:r>
      <w:r w:rsidRPr="001B7A4A">
        <w:rPr>
          <w:rFonts w:ascii="Calibri" w:hAnsi="Calibri" w:cs="Calibri"/>
          <w:i/>
          <w:iCs/>
          <w:noProof/>
          <w:szCs w:val="24"/>
        </w:rPr>
        <w:t>Wordplay and the Discourse of Video Games: Analysing Words, Design, and Play</w:t>
      </w:r>
      <w:r w:rsidRPr="001B7A4A">
        <w:rPr>
          <w:rFonts w:ascii="Calibri" w:hAnsi="Calibri" w:cs="Calibri"/>
          <w:noProof/>
          <w:szCs w:val="24"/>
        </w:rPr>
        <w:t>. New York: Routledge.</w:t>
      </w:r>
    </w:p>
    <w:p w14:paraId="54E61CCE" w14:textId="77777777" w:rsidR="001B7A4A" w:rsidRPr="001B7A4A" w:rsidRDefault="001B7A4A" w:rsidP="001B7A4A">
      <w:pPr>
        <w:widowControl w:val="0"/>
        <w:autoSpaceDE w:val="0"/>
        <w:autoSpaceDN w:val="0"/>
        <w:adjustRightInd w:val="0"/>
        <w:spacing w:line="360" w:lineRule="auto"/>
        <w:ind w:left="480" w:hanging="480"/>
        <w:rPr>
          <w:rFonts w:ascii="Calibri" w:hAnsi="Calibri" w:cs="Calibri"/>
          <w:noProof/>
          <w:szCs w:val="24"/>
        </w:rPr>
      </w:pPr>
      <w:r w:rsidRPr="001B7A4A">
        <w:rPr>
          <w:rFonts w:ascii="Calibri" w:hAnsi="Calibri" w:cs="Calibri"/>
          <w:noProof/>
          <w:szCs w:val="24"/>
        </w:rPr>
        <w:t xml:space="preserve">Pellegrino, J. W., &amp; Hilton, M. L. (2012). </w:t>
      </w:r>
      <w:r w:rsidRPr="001B7A4A">
        <w:rPr>
          <w:rFonts w:ascii="Calibri" w:hAnsi="Calibri" w:cs="Calibri"/>
          <w:i/>
          <w:iCs/>
          <w:noProof/>
          <w:szCs w:val="24"/>
        </w:rPr>
        <w:t>Education for Life and Work: Developing Transferable Knowledge and Skills in the 21st Century</w:t>
      </w:r>
      <w:r w:rsidRPr="001B7A4A">
        <w:rPr>
          <w:rFonts w:ascii="Calibri" w:hAnsi="Calibri" w:cs="Calibri"/>
          <w:noProof/>
          <w:szCs w:val="24"/>
        </w:rPr>
        <w:t>. Retrieved from http://www.nap.edu/catalog.php?record_id=13398</w:t>
      </w:r>
    </w:p>
    <w:p w14:paraId="1AEBEB6C" w14:textId="77777777" w:rsidR="001B7A4A" w:rsidRPr="001B7A4A" w:rsidRDefault="001B7A4A" w:rsidP="001B7A4A">
      <w:pPr>
        <w:widowControl w:val="0"/>
        <w:autoSpaceDE w:val="0"/>
        <w:autoSpaceDN w:val="0"/>
        <w:adjustRightInd w:val="0"/>
        <w:spacing w:line="360" w:lineRule="auto"/>
        <w:ind w:left="480" w:hanging="480"/>
        <w:rPr>
          <w:rFonts w:ascii="Calibri" w:hAnsi="Calibri" w:cs="Calibri"/>
          <w:noProof/>
          <w:szCs w:val="24"/>
        </w:rPr>
      </w:pPr>
      <w:r w:rsidRPr="001B7A4A">
        <w:rPr>
          <w:rFonts w:ascii="Calibri" w:hAnsi="Calibri" w:cs="Calibri"/>
          <w:noProof/>
          <w:szCs w:val="24"/>
        </w:rPr>
        <w:t xml:space="preserve">Pols, A. J. K. (2002). </w:t>
      </w:r>
      <w:r w:rsidRPr="001B7A4A">
        <w:rPr>
          <w:rFonts w:ascii="Calibri" w:hAnsi="Calibri" w:cs="Calibri"/>
          <w:i/>
          <w:iCs/>
          <w:noProof/>
          <w:szCs w:val="24"/>
        </w:rPr>
        <w:t>Insight Problem Solving</w:t>
      </w:r>
      <w:r w:rsidRPr="001B7A4A">
        <w:rPr>
          <w:rFonts w:ascii="Calibri" w:hAnsi="Calibri" w:cs="Calibri"/>
          <w:noProof/>
          <w:szCs w:val="24"/>
        </w:rPr>
        <w:t>. University of Utrecht,.</w:t>
      </w:r>
    </w:p>
    <w:p w14:paraId="67B346E1" w14:textId="77777777" w:rsidR="001B7A4A" w:rsidRPr="001B7A4A" w:rsidRDefault="001B7A4A" w:rsidP="001B7A4A">
      <w:pPr>
        <w:widowControl w:val="0"/>
        <w:autoSpaceDE w:val="0"/>
        <w:autoSpaceDN w:val="0"/>
        <w:adjustRightInd w:val="0"/>
        <w:spacing w:line="360" w:lineRule="auto"/>
        <w:ind w:left="480" w:hanging="480"/>
        <w:rPr>
          <w:rFonts w:ascii="Calibri" w:hAnsi="Calibri" w:cs="Calibri"/>
          <w:noProof/>
          <w:szCs w:val="24"/>
        </w:rPr>
      </w:pPr>
      <w:r w:rsidRPr="001B7A4A">
        <w:rPr>
          <w:rFonts w:ascii="Calibri" w:hAnsi="Calibri" w:cs="Calibri"/>
          <w:noProof/>
          <w:szCs w:val="24"/>
        </w:rPr>
        <w:t xml:space="preserve">Qian, M., &amp; Clark, K. R. (2016). Game-based Learning and 21st century skills: A review of recent research. </w:t>
      </w:r>
      <w:r w:rsidRPr="001B7A4A">
        <w:rPr>
          <w:rFonts w:ascii="Calibri" w:hAnsi="Calibri" w:cs="Calibri"/>
          <w:i/>
          <w:iCs/>
          <w:noProof/>
          <w:szCs w:val="24"/>
        </w:rPr>
        <w:t>Computers in Human Behavior</w:t>
      </w:r>
      <w:r w:rsidRPr="001B7A4A">
        <w:rPr>
          <w:rFonts w:ascii="Calibri" w:hAnsi="Calibri" w:cs="Calibri"/>
          <w:noProof/>
          <w:szCs w:val="24"/>
        </w:rPr>
        <w:t xml:space="preserve">, </w:t>
      </w:r>
      <w:r w:rsidRPr="001B7A4A">
        <w:rPr>
          <w:rFonts w:ascii="Calibri" w:hAnsi="Calibri" w:cs="Calibri"/>
          <w:i/>
          <w:iCs/>
          <w:noProof/>
          <w:szCs w:val="24"/>
        </w:rPr>
        <w:t>63</w:t>
      </w:r>
      <w:r w:rsidRPr="001B7A4A">
        <w:rPr>
          <w:rFonts w:ascii="Calibri" w:hAnsi="Calibri" w:cs="Calibri"/>
          <w:noProof/>
          <w:szCs w:val="24"/>
        </w:rPr>
        <w:t>, 50–58. https://doi.org/10.1016/j.chb.2016.05.023</w:t>
      </w:r>
    </w:p>
    <w:p w14:paraId="63B30BDD" w14:textId="77777777" w:rsidR="001B7A4A" w:rsidRPr="001B7A4A" w:rsidRDefault="001B7A4A" w:rsidP="001B7A4A">
      <w:pPr>
        <w:widowControl w:val="0"/>
        <w:autoSpaceDE w:val="0"/>
        <w:autoSpaceDN w:val="0"/>
        <w:adjustRightInd w:val="0"/>
        <w:spacing w:line="360" w:lineRule="auto"/>
        <w:ind w:left="480" w:hanging="480"/>
        <w:rPr>
          <w:rFonts w:ascii="Calibri" w:hAnsi="Calibri" w:cs="Calibri"/>
          <w:noProof/>
          <w:szCs w:val="24"/>
        </w:rPr>
      </w:pPr>
      <w:r w:rsidRPr="001B7A4A">
        <w:rPr>
          <w:rFonts w:ascii="Calibri" w:hAnsi="Calibri" w:cs="Calibri"/>
          <w:noProof/>
          <w:szCs w:val="24"/>
        </w:rPr>
        <w:t xml:space="preserve">Rhodes, M. (1961). An Analysis of Creativity. </w:t>
      </w:r>
      <w:r w:rsidRPr="001B7A4A">
        <w:rPr>
          <w:rFonts w:ascii="Calibri" w:hAnsi="Calibri" w:cs="Calibri"/>
          <w:i/>
          <w:iCs/>
          <w:noProof/>
          <w:szCs w:val="24"/>
        </w:rPr>
        <w:t>The Phi Delta Kappan</w:t>
      </w:r>
      <w:r w:rsidRPr="001B7A4A">
        <w:rPr>
          <w:rFonts w:ascii="Calibri" w:hAnsi="Calibri" w:cs="Calibri"/>
          <w:noProof/>
          <w:szCs w:val="24"/>
        </w:rPr>
        <w:t xml:space="preserve">, </w:t>
      </w:r>
      <w:r w:rsidRPr="001B7A4A">
        <w:rPr>
          <w:rFonts w:ascii="Calibri" w:hAnsi="Calibri" w:cs="Calibri"/>
          <w:i/>
          <w:iCs/>
          <w:noProof/>
          <w:szCs w:val="24"/>
        </w:rPr>
        <w:t>42</w:t>
      </w:r>
      <w:r w:rsidRPr="001B7A4A">
        <w:rPr>
          <w:rFonts w:ascii="Calibri" w:hAnsi="Calibri" w:cs="Calibri"/>
          <w:noProof/>
          <w:szCs w:val="24"/>
        </w:rPr>
        <w:t xml:space="preserve">(7), 305–310. </w:t>
      </w:r>
      <w:r w:rsidRPr="001B7A4A">
        <w:rPr>
          <w:rFonts w:ascii="Calibri" w:hAnsi="Calibri" w:cs="Calibri"/>
          <w:noProof/>
          <w:szCs w:val="24"/>
        </w:rPr>
        <w:lastRenderedPageBreak/>
        <w:t>https://doi.org/10.2307/20342603</w:t>
      </w:r>
    </w:p>
    <w:p w14:paraId="66DB0D3A" w14:textId="77777777" w:rsidR="001B7A4A" w:rsidRPr="001B7A4A" w:rsidRDefault="001B7A4A" w:rsidP="001B7A4A">
      <w:pPr>
        <w:widowControl w:val="0"/>
        <w:autoSpaceDE w:val="0"/>
        <w:autoSpaceDN w:val="0"/>
        <w:adjustRightInd w:val="0"/>
        <w:spacing w:line="360" w:lineRule="auto"/>
        <w:ind w:left="480" w:hanging="480"/>
        <w:rPr>
          <w:rFonts w:ascii="Calibri" w:hAnsi="Calibri" w:cs="Calibri"/>
          <w:noProof/>
          <w:szCs w:val="24"/>
        </w:rPr>
      </w:pPr>
      <w:r w:rsidRPr="001B7A4A">
        <w:rPr>
          <w:rFonts w:ascii="Calibri" w:hAnsi="Calibri" w:cs="Calibri"/>
          <w:noProof/>
          <w:szCs w:val="24"/>
        </w:rPr>
        <w:t xml:space="preserve">Richards, R. (1990). Everyday creativity, eminent creativity, and health: “Afterview”; for CRJ Issues on creativity and health. </w:t>
      </w:r>
      <w:r w:rsidRPr="001B7A4A">
        <w:rPr>
          <w:rFonts w:ascii="Calibri" w:hAnsi="Calibri" w:cs="Calibri"/>
          <w:i/>
          <w:iCs/>
          <w:noProof/>
          <w:szCs w:val="24"/>
        </w:rPr>
        <w:t>Creativity Research Journal</w:t>
      </w:r>
      <w:r w:rsidRPr="001B7A4A">
        <w:rPr>
          <w:rFonts w:ascii="Calibri" w:hAnsi="Calibri" w:cs="Calibri"/>
          <w:noProof/>
          <w:szCs w:val="24"/>
        </w:rPr>
        <w:t xml:space="preserve">, </w:t>
      </w:r>
      <w:r w:rsidRPr="001B7A4A">
        <w:rPr>
          <w:rFonts w:ascii="Calibri" w:hAnsi="Calibri" w:cs="Calibri"/>
          <w:i/>
          <w:iCs/>
          <w:noProof/>
          <w:szCs w:val="24"/>
        </w:rPr>
        <w:t>3</w:t>
      </w:r>
      <w:r w:rsidRPr="001B7A4A">
        <w:rPr>
          <w:rFonts w:ascii="Calibri" w:hAnsi="Calibri" w:cs="Calibri"/>
          <w:noProof/>
          <w:szCs w:val="24"/>
        </w:rPr>
        <w:t>(4), 300–326. https://doi.org/10.1080/10400419009534363</w:t>
      </w:r>
    </w:p>
    <w:p w14:paraId="7C975224" w14:textId="77777777" w:rsidR="001B7A4A" w:rsidRPr="001B7A4A" w:rsidRDefault="001B7A4A" w:rsidP="001B7A4A">
      <w:pPr>
        <w:widowControl w:val="0"/>
        <w:autoSpaceDE w:val="0"/>
        <w:autoSpaceDN w:val="0"/>
        <w:adjustRightInd w:val="0"/>
        <w:spacing w:line="360" w:lineRule="auto"/>
        <w:ind w:left="480" w:hanging="480"/>
        <w:rPr>
          <w:rFonts w:ascii="Calibri" w:hAnsi="Calibri" w:cs="Calibri"/>
          <w:noProof/>
          <w:szCs w:val="24"/>
        </w:rPr>
      </w:pPr>
      <w:r w:rsidRPr="001B7A4A">
        <w:rPr>
          <w:rFonts w:ascii="Calibri" w:hAnsi="Calibri" w:cs="Calibri"/>
          <w:noProof/>
          <w:szCs w:val="24"/>
        </w:rPr>
        <w:t xml:space="preserve">Richards, R. (2007). Everyday Creativity: Our Hidden Potential. </w:t>
      </w:r>
      <w:r w:rsidRPr="001B7A4A">
        <w:rPr>
          <w:rFonts w:ascii="Calibri" w:hAnsi="Calibri" w:cs="Calibri"/>
          <w:i/>
          <w:iCs/>
          <w:noProof/>
          <w:szCs w:val="24"/>
        </w:rPr>
        <w:t>Everyday Creativity and New Views of Human Nature: Psychological, Social, and Spiritual Perspectives.</w:t>
      </w:r>
      <w:r w:rsidRPr="001B7A4A">
        <w:rPr>
          <w:rFonts w:ascii="Calibri" w:hAnsi="Calibri" w:cs="Calibri"/>
          <w:noProof/>
          <w:szCs w:val="24"/>
        </w:rPr>
        <w:t>, 25–54. https://doi.org/10.1037/11595-001</w:t>
      </w:r>
    </w:p>
    <w:p w14:paraId="54373ABE" w14:textId="77777777" w:rsidR="001B7A4A" w:rsidRPr="001B7A4A" w:rsidRDefault="001B7A4A" w:rsidP="001B7A4A">
      <w:pPr>
        <w:widowControl w:val="0"/>
        <w:autoSpaceDE w:val="0"/>
        <w:autoSpaceDN w:val="0"/>
        <w:adjustRightInd w:val="0"/>
        <w:spacing w:line="360" w:lineRule="auto"/>
        <w:ind w:left="480" w:hanging="480"/>
        <w:rPr>
          <w:rFonts w:ascii="Calibri" w:hAnsi="Calibri" w:cs="Calibri"/>
          <w:noProof/>
          <w:szCs w:val="24"/>
        </w:rPr>
      </w:pPr>
      <w:r w:rsidRPr="001B7A4A">
        <w:rPr>
          <w:rFonts w:ascii="Calibri" w:hAnsi="Calibri" w:cs="Calibri"/>
          <w:noProof/>
          <w:szCs w:val="24"/>
        </w:rPr>
        <w:t xml:space="preserve">Richards, R. (2010). Process and Way of Life – Four Key Issues. </w:t>
      </w:r>
      <w:r w:rsidRPr="001B7A4A">
        <w:rPr>
          <w:rFonts w:ascii="Calibri" w:hAnsi="Calibri" w:cs="Calibri"/>
          <w:i/>
          <w:iCs/>
          <w:noProof/>
          <w:szCs w:val="24"/>
        </w:rPr>
        <w:t>The Cambridge Handbook of Creativity</w:t>
      </w:r>
      <w:r w:rsidRPr="001B7A4A">
        <w:rPr>
          <w:rFonts w:ascii="Calibri" w:hAnsi="Calibri" w:cs="Calibri"/>
          <w:noProof/>
          <w:szCs w:val="24"/>
        </w:rPr>
        <w:t>, 189–215.</w:t>
      </w:r>
    </w:p>
    <w:p w14:paraId="65D57B0A" w14:textId="77777777" w:rsidR="001B7A4A" w:rsidRPr="001B7A4A" w:rsidRDefault="001B7A4A" w:rsidP="001B7A4A">
      <w:pPr>
        <w:widowControl w:val="0"/>
        <w:autoSpaceDE w:val="0"/>
        <w:autoSpaceDN w:val="0"/>
        <w:adjustRightInd w:val="0"/>
        <w:spacing w:line="360" w:lineRule="auto"/>
        <w:ind w:left="480" w:hanging="480"/>
        <w:rPr>
          <w:rFonts w:ascii="Calibri" w:hAnsi="Calibri" w:cs="Calibri"/>
          <w:noProof/>
          <w:szCs w:val="24"/>
        </w:rPr>
      </w:pPr>
      <w:r w:rsidRPr="001B7A4A">
        <w:rPr>
          <w:rFonts w:ascii="Calibri" w:hAnsi="Calibri" w:cs="Calibri"/>
          <w:noProof/>
          <w:szCs w:val="24"/>
        </w:rPr>
        <w:t xml:space="preserve">Richards, R., Kinney, D. K., Benet, M., &amp; Merzel, A. P. (1988). Assessing everyday creativity: Characteristics of the Lifetime Creativity Scales and validation with three large samples. </w:t>
      </w:r>
      <w:r w:rsidRPr="001B7A4A">
        <w:rPr>
          <w:rFonts w:ascii="Calibri" w:hAnsi="Calibri" w:cs="Calibri"/>
          <w:i/>
          <w:iCs/>
          <w:noProof/>
          <w:szCs w:val="24"/>
        </w:rPr>
        <w:t>Journal of Personality and Social Psychology</w:t>
      </w:r>
      <w:r w:rsidRPr="001B7A4A">
        <w:rPr>
          <w:rFonts w:ascii="Calibri" w:hAnsi="Calibri" w:cs="Calibri"/>
          <w:noProof/>
          <w:szCs w:val="24"/>
        </w:rPr>
        <w:t xml:space="preserve">, </w:t>
      </w:r>
      <w:r w:rsidRPr="001B7A4A">
        <w:rPr>
          <w:rFonts w:ascii="Calibri" w:hAnsi="Calibri" w:cs="Calibri"/>
          <w:i/>
          <w:iCs/>
          <w:noProof/>
          <w:szCs w:val="24"/>
        </w:rPr>
        <w:t>54</w:t>
      </w:r>
      <w:r w:rsidRPr="001B7A4A">
        <w:rPr>
          <w:rFonts w:ascii="Calibri" w:hAnsi="Calibri" w:cs="Calibri"/>
          <w:noProof/>
          <w:szCs w:val="24"/>
        </w:rPr>
        <w:t>(3), 476–485. https://doi.org/10.1037//0022-3514.54.3.476</w:t>
      </w:r>
    </w:p>
    <w:p w14:paraId="49DE1DAD" w14:textId="77777777" w:rsidR="001B7A4A" w:rsidRPr="001B7A4A" w:rsidRDefault="001B7A4A" w:rsidP="001B7A4A">
      <w:pPr>
        <w:widowControl w:val="0"/>
        <w:autoSpaceDE w:val="0"/>
        <w:autoSpaceDN w:val="0"/>
        <w:adjustRightInd w:val="0"/>
        <w:spacing w:line="360" w:lineRule="auto"/>
        <w:ind w:left="480" w:hanging="480"/>
        <w:rPr>
          <w:rFonts w:ascii="Calibri" w:hAnsi="Calibri" w:cs="Calibri"/>
          <w:noProof/>
          <w:szCs w:val="24"/>
        </w:rPr>
      </w:pPr>
      <w:r w:rsidRPr="001B7A4A">
        <w:rPr>
          <w:rFonts w:ascii="Calibri" w:hAnsi="Calibri" w:cs="Calibri"/>
          <w:noProof/>
          <w:szCs w:val="24"/>
        </w:rPr>
        <w:t xml:space="preserve">Rogers, C. (1961). </w:t>
      </w:r>
      <w:r w:rsidRPr="001B7A4A">
        <w:rPr>
          <w:rFonts w:ascii="Calibri" w:hAnsi="Calibri" w:cs="Calibri"/>
          <w:i/>
          <w:iCs/>
          <w:noProof/>
          <w:szCs w:val="24"/>
        </w:rPr>
        <w:t>On Becomming a Person</w:t>
      </w:r>
      <w:r w:rsidRPr="001B7A4A">
        <w:rPr>
          <w:rFonts w:ascii="Calibri" w:hAnsi="Calibri" w:cs="Calibri"/>
          <w:noProof/>
          <w:szCs w:val="24"/>
        </w:rPr>
        <w:t>. Boston, MA: Houghton Mifflin.</w:t>
      </w:r>
    </w:p>
    <w:p w14:paraId="69255707" w14:textId="77777777" w:rsidR="001B7A4A" w:rsidRPr="001B7A4A" w:rsidRDefault="001B7A4A" w:rsidP="001B7A4A">
      <w:pPr>
        <w:widowControl w:val="0"/>
        <w:autoSpaceDE w:val="0"/>
        <w:autoSpaceDN w:val="0"/>
        <w:adjustRightInd w:val="0"/>
        <w:spacing w:line="360" w:lineRule="auto"/>
        <w:ind w:left="480" w:hanging="480"/>
        <w:rPr>
          <w:rFonts w:ascii="Calibri" w:hAnsi="Calibri" w:cs="Calibri"/>
          <w:noProof/>
          <w:szCs w:val="24"/>
        </w:rPr>
      </w:pPr>
      <w:r w:rsidRPr="001B7A4A">
        <w:rPr>
          <w:rFonts w:ascii="Calibri" w:hAnsi="Calibri" w:cs="Calibri"/>
          <w:noProof/>
          <w:szCs w:val="24"/>
        </w:rPr>
        <w:t xml:space="preserve">Runco, M. A. (2004). Creativity. </w:t>
      </w:r>
      <w:r w:rsidRPr="001B7A4A">
        <w:rPr>
          <w:rFonts w:ascii="Calibri" w:hAnsi="Calibri" w:cs="Calibri"/>
          <w:i/>
          <w:iCs/>
          <w:noProof/>
          <w:szCs w:val="24"/>
        </w:rPr>
        <w:t>Annu. Rev. Psychol</w:t>
      </w:r>
      <w:r w:rsidRPr="001B7A4A">
        <w:rPr>
          <w:rFonts w:ascii="Calibri" w:hAnsi="Calibri" w:cs="Calibri"/>
          <w:noProof/>
          <w:szCs w:val="24"/>
        </w:rPr>
        <w:t xml:space="preserve">, </w:t>
      </w:r>
      <w:r w:rsidRPr="001B7A4A">
        <w:rPr>
          <w:rFonts w:ascii="Calibri" w:hAnsi="Calibri" w:cs="Calibri"/>
          <w:i/>
          <w:iCs/>
          <w:noProof/>
          <w:szCs w:val="24"/>
        </w:rPr>
        <w:t>55</w:t>
      </w:r>
      <w:r w:rsidRPr="001B7A4A">
        <w:rPr>
          <w:rFonts w:ascii="Calibri" w:hAnsi="Calibri" w:cs="Calibri"/>
          <w:noProof/>
          <w:szCs w:val="24"/>
        </w:rPr>
        <w:t>, 657–687. https://doi.org/10.1146/annurev.psych.55.090902.141502</w:t>
      </w:r>
    </w:p>
    <w:p w14:paraId="588897EF" w14:textId="77777777" w:rsidR="001B7A4A" w:rsidRPr="001B7A4A" w:rsidRDefault="001B7A4A" w:rsidP="001B7A4A">
      <w:pPr>
        <w:widowControl w:val="0"/>
        <w:autoSpaceDE w:val="0"/>
        <w:autoSpaceDN w:val="0"/>
        <w:adjustRightInd w:val="0"/>
        <w:spacing w:line="360" w:lineRule="auto"/>
        <w:ind w:left="480" w:hanging="480"/>
        <w:rPr>
          <w:rFonts w:ascii="Calibri" w:hAnsi="Calibri" w:cs="Calibri"/>
          <w:noProof/>
          <w:szCs w:val="24"/>
        </w:rPr>
      </w:pPr>
      <w:r w:rsidRPr="001B7A4A">
        <w:rPr>
          <w:rFonts w:ascii="Calibri" w:hAnsi="Calibri" w:cs="Calibri"/>
          <w:noProof/>
          <w:szCs w:val="24"/>
        </w:rPr>
        <w:t xml:space="preserve">Ryan, W., Street, E., &amp; Siegel, M. A. (2009). Evaluating Interactive Entertainment using Breakdown: Understanding Embodied Learning in Video Games. </w:t>
      </w:r>
      <w:r w:rsidRPr="001B7A4A">
        <w:rPr>
          <w:rFonts w:ascii="Calibri" w:hAnsi="Calibri" w:cs="Calibri"/>
          <w:i/>
          <w:iCs/>
          <w:noProof/>
          <w:szCs w:val="24"/>
        </w:rPr>
        <w:t>DiGRA</w:t>
      </w:r>
      <w:r w:rsidRPr="001B7A4A">
        <w:rPr>
          <w:rFonts w:ascii="Calibri" w:hAnsi="Calibri" w:cs="Calibri"/>
          <w:noProof/>
          <w:szCs w:val="24"/>
        </w:rPr>
        <w:t>, 1–9. Retrieved from http://www.digra.org/dl/display_html?chid=http://www.digra.org/dl/db/09287.38300.pdf</w:t>
      </w:r>
    </w:p>
    <w:p w14:paraId="0B39975A" w14:textId="77777777" w:rsidR="001B7A4A" w:rsidRPr="001B7A4A" w:rsidRDefault="001B7A4A" w:rsidP="001B7A4A">
      <w:pPr>
        <w:widowControl w:val="0"/>
        <w:autoSpaceDE w:val="0"/>
        <w:autoSpaceDN w:val="0"/>
        <w:adjustRightInd w:val="0"/>
        <w:spacing w:line="360" w:lineRule="auto"/>
        <w:ind w:left="480" w:hanging="480"/>
        <w:rPr>
          <w:rFonts w:ascii="Calibri" w:hAnsi="Calibri" w:cs="Calibri"/>
          <w:noProof/>
          <w:szCs w:val="24"/>
        </w:rPr>
      </w:pPr>
      <w:r w:rsidRPr="001B7A4A">
        <w:rPr>
          <w:rFonts w:ascii="Calibri" w:hAnsi="Calibri" w:cs="Calibri"/>
          <w:noProof/>
          <w:szCs w:val="24"/>
        </w:rPr>
        <w:t xml:space="preserve">Saavedra, A. R., &amp; Opfer, V. D. (2012). </w:t>
      </w:r>
      <w:r w:rsidRPr="001B7A4A">
        <w:rPr>
          <w:rFonts w:ascii="Calibri" w:hAnsi="Calibri" w:cs="Calibri"/>
          <w:i/>
          <w:iCs/>
          <w:noProof/>
          <w:szCs w:val="24"/>
        </w:rPr>
        <w:t>Teaching and Learning 21st Century Skills: Lessons from the Learning Sciences</w:t>
      </w:r>
      <w:r w:rsidRPr="001B7A4A">
        <w:rPr>
          <w:rFonts w:ascii="Calibri" w:hAnsi="Calibri" w:cs="Calibri"/>
          <w:noProof/>
          <w:szCs w:val="24"/>
        </w:rPr>
        <w:t>. 35. Retrieved from http://asiasociety.org/files/rand-0512report.pdf</w:t>
      </w:r>
    </w:p>
    <w:p w14:paraId="3B6FFDE9" w14:textId="77777777" w:rsidR="001B7A4A" w:rsidRPr="001B7A4A" w:rsidRDefault="001B7A4A" w:rsidP="001B7A4A">
      <w:pPr>
        <w:widowControl w:val="0"/>
        <w:autoSpaceDE w:val="0"/>
        <w:autoSpaceDN w:val="0"/>
        <w:adjustRightInd w:val="0"/>
        <w:spacing w:line="360" w:lineRule="auto"/>
        <w:ind w:left="480" w:hanging="480"/>
        <w:rPr>
          <w:rFonts w:ascii="Calibri" w:hAnsi="Calibri" w:cs="Calibri"/>
          <w:noProof/>
          <w:szCs w:val="24"/>
        </w:rPr>
      </w:pPr>
      <w:r w:rsidRPr="001B7A4A">
        <w:rPr>
          <w:rFonts w:ascii="Calibri" w:hAnsi="Calibri" w:cs="Calibri"/>
          <w:noProof/>
          <w:szCs w:val="24"/>
        </w:rPr>
        <w:t xml:space="preserve">Salisbury, J. H., &amp; Tomlinson, P. (2016). Reconciling Csikszentmihalyi ’ s Broader Flow Theory. </w:t>
      </w:r>
      <w:r w:rsidRPr="001B7A4A">
        <w:rPr>
          <w:rFonts w:ascii="Calibri" w:hAnsi="Calibri" w:cs="Calibri"/>
          <w:i/>
          <w:iCs/>
          <w:noProof/>
          <w:szCs w:val="24"/>
        </w:rPr>
        <w:t>Transactions of the Digital Game Research Association</w:t>
      </w:r>
      <w:r w:rsidRPr="001B7A4A">
        <w:rPr>
          <w:rFonts w:ascii="Calibri" w:hAnsi="Calibri" w:cs="Calibri"/>
          <w:noProof/>
          <w:szCs w:val="24"/>
        </w:rPr>
        <w:t xml:space="preserve">, </w:t>
      </w:r>
      <w:r w:rsidRPr="001B7A4A">
        <w:rPr>
          <w:rFonts w:ascii="Calibri" w:hAnsi="Calibri" w:cs="Calibri"/>
          <w:i/>
          <w:iCs/>
          <w:noProof/>
          <w:szCs w:val="24"/>
        </w:rPr>
        <w:t>2</w:t>
      </w:r>
      <w:r w:rsidRPr="001B7A4A">
        <w:rPr>
          <w:rFonts w:ascii="Calibri" w:hAnsi="Calibri" w:cs="Calibri"/>
          <w:noProof/>
          <w:szCs w:val="24"/>
        </w:rPr>
        <w:t>(2), 55–77.</w:t>
      </w:r>
    </w:p>
    <w:p w14:paraId="526C9F8C" w14:textId="77777777" w:rsidR="001B7A4A" w:rsidRPr="001B7A4A" w:rsidRDefault="001B7A4A" w:rsidP="001B7A4A">
      <w:pPr>
        <w:widowControl w:val="0"/>
        <w:autoSpaceDE w:val="0"/>
        <w:autoSpaceDN w:val="0"/>
        <w:adjustRightInd w:val="0"/>
        <w:spacing w:line="360" w:lineRule="auto"/>
        <w:ind w:left="480" w:hanging="480"/>
        <w:rPr>
          <w:rFonts w:ascii="Calibri" w:hAnsi="Calibri" w:cs="Calibri"/>
          <w:noProof/>
          <w:szCs w:val="24"/>
        </w:rPr>
      </w:pPr>
      <w:r w:rsidRPr="001B7A4A">
        <w:rPr>
          <w:rFonts w:ascii="Calibri" w:hAnsi="Calibri" w:cs="Calibri"/>
          <w:noProof/>
          <w:szCs w:val="24"/>
        </w:rPr>
        <w:t>Sawyer, R. K. (2013). Enhancing Creative Incubation. Retrieved September 6, 2018, from Psychology Today UK website: https://www.psychologytoday.com/gb/blog/zig-zag/201304/enhancing-creative-incubation</w:t>
      </w:r>
    </w:p>
    <w:p w14:paraId="2C3197C6" w14:textId="77777777" w:rsidR="001B7A4A" w:rsidRPr="001B7A4A" w:rsidRDefault="001B7A4A" w:rsidP="001B7A4A">
      <w:pPr>
        <w:widowControl w:val="0"/>
        <w:autoSpaceDE w:val="0"/>
        <w:autoSpaceDN w:val="0"/>
        <w:adjustRightInd w:val="0"/>
        <w:spacing w:line="360" w:lineRule="auto"/>
        <w:ind w:left="480" w:hanging="480"/>
        <w:rPr>
          <w:rFonts w:ascii="Calibri" w:hAnsi="Calibri" w:cs="Calibri"/>
          <w:noProof/>
          <w:szCs w:val="24"/>
        </w:rPr>
      </w:pPr>
      <w:r w:rsidRPr="001B7A4A">
        <w:rPr>
          <w:rFonts w:ascii="Calibri" w:hAnsi="Calibri" w:cs="Calibri"/>
          <w:noProof/>
          <w:szCs w:val="24"/>
        </w:rPr>
        <w:t xml:space="preserve">Schäfer, M. T. (2011). Bastard Culture! </w:t>
      </w:r>
      <w:r w:rsidRPr="001B7A4A">
        <w:rPr>
          <w:rFonts w:ascii="Calibri" w:hAnsi="Calibri" w:cs="Calibri"/>
          <w:i/>
          <w:iCs/>
          <w:noProof/>
          <w:szCs w:val="24"/>
        </w:rPr>
        <w:t>Most</w:t>
      </w:r>
      <w:r w:rsidRPr="001B7A4A">
        <w:rPr>
          <w:rFonts w:ascii="Calibri" w:hAnsi="Calibri" w:cs="Calibri"/>
          <w:noProof/>
          <w:szCs w:val="24"/>
        </w:rPr>
        <w:t>. https://doi.org/10.5117/9789089642561</w:t>
      </w:r>
    </w:p>
    <w:p w14:paraId="05985F93" w14:textId="77777777" w:rsidR="001B7A4A" w:rsidRPr="001B7A4A" w:rsidRDefault="001B7A4A" w:rsidP="001B7A4A">
      <w:pPr>
        <w:widowControl w:val="0"/>
        <w:autoSpaceDE w:val="0"/>
        <w:autoSpaceDN w:val="0"/>
        <w:adjustRightInd w:val="0"/>
        <w:spacing w:line="360" w:lineRule="auto"/>
        <w:ind w:left="480" w:hanging="480"/>
        <w:rPr>
          <w:rFonts w:ascii="Calibri" w:hAnsi="Calibri" w:cs="Calibri"/>
          <w:noProof/>
          <w:szCs w:val="24"/>
        </w:rPr>
      </w:pPr>
      <w:r w:rsidRPr="001B7A4A">
        <w:rPr>
          <w:rFonts w:ascii="Calibri" w:hAnsi="Calibri" w:cs="Calibri"/>
          <w:noProof/>
          <w:szCs w:val="24"/>
        </w:rPr>
        <w:t xml:space="preserve">Shuell, T. (1986). Cognitive Conceptions of Learning. </w:t>
      </w:r>
      <w:r w:rsidRPr="001B7A4A">
        <w:rPr>
          <w:rFonts w:ascii="Calibri" w:hAnsi="Calibri" w:cs="Calibri"/>
          <w:i/>
          <w:iCs/>
          <w:noProof/>
          <w:szCs w:val="24"/>
        </w:rPr>
        <w:t>Review of Educational Research</w:t>
      </w:r>
      <w:r w:rsidRPr="001B7A4A">
        <w:rPr>
          <w:rFonts w:ascii="Calibri" w:hAnsi="Calibri" w:cs="Calibri"/>
          <w:noProof/>
          <w:szCs w:val="24"/>
        </w:rPr>
        <w:t xml:space="preserve">, </w:t>
      </w:r>
      <w:r w:rsidRPr="001B7A4A">
        <w:rPr>
          <w:rFonts w:ascii="Calibri" w:hAnsi="Calibri" w:cs="Calibri"/>
          <w:i/>
          <w:iCs/>
          <w:noProof/>
          <w:szCs w:val="24"/>
        </w:rPr>
        <w:t>56</w:t>
      </w:r>
      <w:r w:rsidRPr="001B7A4A">
        <w:rPr>
          <w:rFonts w:ascii="Calibri" w:hAnsi="Calibri" w:cs="Calibri"/>
          <w:noProof/>
          <w:szCs w:val="24"/>
        </w:rPr>
        <w:t>(4), 411–436. Retrieved from internal-pdf://shuell-4157868298/shuell.pdf</w:t>
      </w:r>
    </w:p>
    <w:p w14:paraId="4197394F" w14:textId="77777777" w:rsidR="001B7A4A" w:rsidRPr="001B7A4A" w:rsidRDefault="001B7A4A" w:rsidP="001B7A4A">
      <w:pPr>
        <w:widowControl w:val="0"/>
        <w:autoSpaceDE w:val="0"/>
        <w:autoSpaceDN w:val="0"/>
        <w:adjustRightInd w:val="0"/>
        <w:spacing w:line="360" w:lineRule="auto"/>
        <w:ind w:left="480" w:hanging="480"/>
        <w:rPr>
          <w:rFonts w:ascii="Calibri" w:hAnsi="Calibri" w:cs="Calibri"/>
          <w:noProof/>
          <w:szCs w:val="24"/>
        </w:rPr>
      </w:pPr>
      <w:r w:rsidRPr="001B7A4A">
        <w:rPr>
          <w:rFonts w:ascii="Calibri" w:hAnsi="Calibri" w:cs="Calibri"/>
          <w:noProof/>
          <w:szCs w:val="24"/>
        </w:rPr>
        <w:lastRenderedPageBreak/>
        <w:t xml:space="preserve">Silvia, P. J., Beaty, R. E., Nusbaum, E. C., Eddington, K. M., Levin-Aspenson, H., &amp; Kwapil, T. R. (2014). Everyday creativity in daily life: An experience-sampling study of “little c” creativity. </w:t>
      </w:r>
      <w:r w:rsidRPr="001B7A4A">
        <w:rPr>
          <w:rFonts w:ascii="Calibri" w:hAnsi="Calibri" w:cs="Calibri"/>
          <w:i/>
          <w:iCs/>
          <w:noProof/>
          <w:szCs w:val="24"/>
        </w:rPr>
        <w:t>Psychology of Aesthetics, Creativity, and the Arts</w:t>
      </w:r>
      <w:r w:rsidRPr="001B7A4A">
        <w:rPr>
          <w:rFonts w:ascii="Calibri" w:hAnsi="Calibri" w:cs="Calibri"/>
          <w:noProof/>
          <w:szCs w:val="24"/>
        </w:rPr>
        <w:t xml:space="preserve">, </w:t>
      </w:r>
      <w:r w:rsidRPr="001B7A4A">
        <w:rPr>
          <w:rFonts w:ascii="Calibri" w:hAnsi="Calibri" w:cs="Calibri"/>
          <w:i/>
          <w:iCs/>
          <w:noProof/>
          <w:szCs w:val="24"/>
        </w:rPr>
        <w:t>8</w:t>
      </w:r>
      <w:r w:rsidRPr="001B7A4A">
        <w:rPr>
          <w:rFonts w:ascii="Calibri" w:hAnsi="Calibri" w:cs="Calibri"/>
          <w:noProof/>
          <w:szCs w:val="24"/>
        </w:rPr>
        <w:t>(2), 183–188. https://doi.org/10.1037/a0035722</w:t>
      </w:r>
    </w:p>
    <w:p w14:paraId="617E5A4C" w14:textId="77777777" w:rsidR="001B7A4A" w:rsidRPr="001B7A4A" w:rsidRDefault="001B7A4A" w:rsidP="001B7A4A">
      <w:pPr>
        <w:widowControl w:val="0"/>
        <w:autoSpaceDE w:val="0"/>
        <w:autoSpaceDN w:val="0"/>
        <w:adjustRightInd w:val="0"/>
        <w:spacing w:line="360" w:lineRule="auto"/>
        <w:ind w:left="480" w:hanging="480"/>
        <w:rPr>
          <w:rFonts w:ascii="Calibri" w:hAnsi="Calibri" w:cs="Calibri"/>
          <w:noProof/>
          <w:szCs w:val="24"/>
        </w:rPr>
      </w:pPr>
      <w:r w:rsidRPr="001B7A4A">
        <w:rPr>
          <w:rFonts w:ascii="Calibri" w:hAnsi="Calibri" w:cs="Calibri"/>
          <w:noProof/>
          <w:szCs w:val="24"/>
        </w:rPr>
        <w:t xml:space="preserve">Sotamaa, O. (2007). Let me take you to the movies: Productive players, commodification and transformative play. </w:t>
      </w:r>
      <w:r w:rsidRPr="001B7A4A">
        <w:rPr>
          <w:rFonts w:ascii="Calibri" w:hAnsi="Calibri" w:cs="Calibri"/>
          <w:i/>
          <w:iCs/>
          <w:noProof/>
          <w:szCs w:val="24"/>
        </w:rPr>
        <w:t>Convergence</w:t>
      </w:r>
      <w:r w:rsidRPr="001B7A4A">
        <w:rPr>
          <w:rFonts w:ascii="Calibri" w:hAnsi="Calibri" w:cs="Calibri"/>
          <w:noProof/>
          <w:szCs w:val="24"/>
        </w:rPr>
        <w:t xml:space="preserve">, </w:t>
      </w:r>
      <w:r w:rsidRPr="001B7A4A">
        <w:rPr>
          <w:rFonts w:ascii="Calibri" w:hAnsi="Calibri" w:cs="Calibri"/>
          <w:i/>
          <w:iCs/>
          <w:noProof/>
          <w:szCs w:val="24"/>
        </w:rPr>
        <w:t>13</w:t>
      </w:r>
      <w:r w:rsidRPr="001B7A4A">
        <w:rPr>
          <w:rFonts w:ascii="Calibri" w:hAnsi="Calibri" w:cs="Calibri"/>
          <w:noProof/>
          <w:szCs w:val="24"/>
        </w:rPr>
        <w:t>(4), 383–401. https://doi.org/10.1177/1354856507081961</w:t>
      </w:r>
    </w:p>
    <w:p w14:paraId="475B0434" w14:textId="77777777" w:rsidR="001B7A4A" w:rsidRPr="001B7A4A" w:rsidRDefault="001B7A4A" w:rsidP="001B7A4A">
      <w:pPr>
        <w:widowControl w:val="0"/>
        <w:autoSpaceDE w:val="0"/>
        <w:autoSpaceDN w:val="0"/>
        <w:adjustRightInd w:val="0"/>
        <w:spacing w:line="360" w:lineRule="auto"/>
        <w:ind w:left="480" w:hanging="480"/>
        <w:rPr>
          <w:rFonts w:ascii="Calibri" w:hAnsi="Calibri" w:cs="Calibri"/>
          <w:noProof/>
          <w:szCs w:val="24"/>
        </w:rPr>
      </w:pPr>
      <w:r w:rsidRPr="001B7A4A">
        <w:rPr>
          <w:rFonts w:ascii="Calibri" w:hAnsi="Calibri" w:cs="Calibri"/>
          <w:noProof/>
          <w:szCs w:val="24"/>
        </w:rPr>
        <w:t xml:space="preserve">Sourmelis, T., Ioannou, A., &amp; Zaphiris, P. (2017). Massively Multiplayer Online Role Playing Games (MMORPGs) and the 21st century skills: A comprehensive research review from 2010 to 2016. </w:t>
      </w:r>
      <w:r w:rsidRPr="001B7A4A">
        <w:rPr>
          <w:rFonts w:ascii="Calibri" w:hAnsi="Calibri" w:cs="Calibri"/>
          <w:i/>
          <w:iCs/>
          <w:noProof/>
          <w:szCs w:val="24"/>
        </w:rPr>
        <w:t>Computers in Human Behavior</w:t>
      </w:r>
      <w:r w:rsidRPr="001B7A4A">
        <w:rPr>
          <w:rFonts w:ascii="Calibri" w:hAnsi="Calibri" w:cs="Calibri"/>
          <w:noProof/>
          <w:szCs w:val="24"/>
        </w:rPr>
        <w:t xml:space="preserve">, </w:t>
      </w:r>
      <w:r w:rsidRPr="001B7A4A">
        <w:rPr>
          <w:rFonts w:ascii="Calibri" w:hAnsi="Calibri" w:cs="Calibri"/>
          <w:i/>
          <w:iCs/>
          <w:noProof/>
          <w:szCs w:val="24"/>
        </w:rPr>
        <w:t>67</w:t>
      </w:r>
      <w:r w:rsidRPr="001B7A4A">
        <w:rPr>
          <w:rFonts w:ascii="Calibri" w:hAnsi="Calibri" w:cs="Calibri"/>
          <w:noProof/>
          <w:szCs w:val="24"/>
        </w:rPr>
        <w:t>, 41–48. https://doi.org/10.1016/j.chb.2016.10.020</w:t>
      </w:r>
    </w:p>
    <w:p w14:paraId="09BD1CA1" w14:textId="77777777" w:rsidR="001B7A4A" w:rsidRPr="001B7A4A" w:rsidRDefault="001B7A4A" w:rsidP="001B7A4A">
      <w:pPr>
        <w:widowControl w:val="0"/>
        <w:autoSpaceDE w:val="0"/>
        <w:autoSpaceDN w:val="0"/>
        <w:adjustRightInd w:val="0"/>
        <w:spacing w:line="360" w:lineRule="auto"/>
        <w:ind w:left="480" w:hanging="480"/>
        <w:rPr>
          <w:rFonts w:ascii="Calibri" w:hAnsi="Calibri" w:cs="Calibri"/>
          <w:noProof/>
          <w:szCs w:val="24"/>
        </w:rPr>
      </w:pPr>
      <w:r w:rsidRPr="001B7A4A">
        <w:rPr>
          <w:rFonts w:ascii="Calibri" w:hAnsi="Calibri" w:cs="Calibri"/>
          <w:noProof/>
          <w:szCs w:val="24"/>
        </w:rPr>
        <w:t xml:space="preserve">Sternberg, R. J. (2006). The Nature of Creativity. </w:t>
      </w:r>
      <w:r w:rsidRPr="001B7A4A">
        <w:rPr>
          <w:rFonts w:ascii="Calibri" w:hAnsi="Calibri" w:cs="Calibri"/>
          <w:i/>
          <w:iCs/>
          <w:noProof/>
          <w:szCs w:val="24"/>
        </w:rPr>
        <w:t>Creativity Research Journal</w:t>
      </w:r>
      <w:r w:rsidRPr="001B7A4A">
        <w:rPr>
          <w:rFonts w:ascii="Calibri" w:hAnsi="Calibri" w:cs="Calibri"/>
          <w:noProof/>
          <w:szCs w:val="24"/>
        </w:rPr>
        <w:t xml:space="preserve">, </w:t>
      </w:r>
      <w:r w:rsidRPr="001B7A4A">
        <w:rPr>
          <w:rFonts w:ascii="Calibri" w:hAnsi="Calibri" w:cs="Calibri"/>
          <w:i/>
          <w:iCs/>
          <w:noProof/>
          <w:szCs w:val="24"/>
        </w:rPr>
        <w:t>18</w:t>
      </w:r>
      <w:r w:rsidRPr="001B7A4A">
        <w:rPr>
          <w:rFonts w:ascii="Calibri" w:hAnsi="Calibri" w:cs="Calibri"/>
          <w:noProof/>
          <w:szCs w:val="24"/>
        </w:rPr>
        <w:t>(1), 87–98. https://doi.org/10.1207/s15326934crj1801_10org/10.1207/s15326934crj1801_10</w:t>
      </w:r>
    </w:p>
    <w:p w14:paraId="370008E2" w14:textId="77777777" w:rsidR="001B7A4A" w:rsidRPr="001B7A4A" w:rsidRDefault="001B7A4A" w:rsidP="001B7A4A">
      <w:pPr>
        <w:widowControl w:val="0"/>
        <w:autoSpaceDE w:val="0"/>
        <w:autoSpaceDN w:val="0"/>
        <w:adjustRightInd w:val="0"/>
        <w:spacing w:line="360" w:lineRule="auto"/>
        <w:ind w:left="480" w:hanging="480"/>
        <w:rPr>
          <w:rFonts w:ascii="Calibri" w:hAnsi="Calibri" w:cs="Calibri"/>
          <w:noProof/>
          <w:szCs w:val="24"/>
        </w:rPr>
      </w:pPr>
      <w:r w:rsidRPr="001B7A4A">
        <w:rPr>
          <w:rFonts w:ascii="Calibri" w:hAnsi="Calibri" w:cs="Calibri"/>
          <w:noProof/>
          <w:szCs w:val="24"/>
        </w:rPr>
        <w:t xml:space="preserve">Stohs, J. H. (1992). Intrinsic Motivation and Sustained Art Activity Among Male Fine and Applied Artists. </w:t>
      </w:r>
      <w:r w:rsidRPr="001B7A4A">
        <w:rPr>
          <w:rFonts w:ascii="Calibri" w:hAnsi="Calibri" w:cs="Calibri"/>
          <w:i/>
          <w:iCs/>
          <w:noProof/>
          <w:szCs w:val="24"/>
        </w:rPr>
        <w:t>Creativity Research Journal</w:t>
      </w:r>
      <w:r w:rsidRPr="001B7A4A">
        <w:rPr>
          <w:rFonts w:ascii="Calibri" w:hAnsi="Calibri" w:cs="Calibri"/>
          <w:noProof/>
          <w:szCs w:val="24"/>
        </w:rPr>
        <w:t xml:space="preserve">, </w:t>
      </w:r>
      <w:r w:rsidRPr="001B7A4A">
        <w:rPr>
          <w:rFonts w:ascii="Calibri" w:hAnsi="Calibri" w:cs="Calibri"/>
          <w:i/>
          <w:iCs/>
          <w:noProof/>
          <w:szCs w:val="24"/>
        </w:rPr>
        <w:t>5</w:t>
      </w:r>
      <w:r w:rsidRPr="001B7A4A">
        <w:rPr>
          <w:rFonts w:ascii="Calibri" w:hAnsi="Calibri" w:cs="Calibri"/>
          <w:noProof/>
          <w:szCs w:val="24"/>
        </w:rPr>
        <w:t>(3), 245–252. https://doi.org/10.1080/10400419209534438</w:t>
      </w:r>
    </w:p>
    <w:p w14:paraId="17618904" w14:textId="77777777" w:rsidR="001B7A4A" w:rsidRPr="001B7A4A" w:rsidRDefault="001B7A4A" w:rsidP="001B7A4A">
      <w:pPr>
        <w:widowControl w:val="0"/>
        <w:autoSpaceDE w:val="0"/>
        <w:autoSpaceDN w:val="0"/>
        <w:adjustRightInd w:val="0"/>
        <w:spacing w:line="360" w:lineRule="auto"/>
        <w:ind w:left="480" w:hanging="480"/>
        <w:rPr>
          <w:rFonts w:ascii="Calibri" w:hAnsi="Calibri" w:cs="Calibri"/>
          <w:noProof/>
          <w:szCs w:val="24"/>
        </w:rPr>
      </w:pPr>
      <w:r w:rsidRPr="001B7A4A">
        <w:rPr>
          <w:rFonts w:ascii="Calibri" w:hAnsi="Calibri" w:cs="Calibri"/>
          <w:noProof/>
          <w:szCs w:val="24"/>
        </w:rPr>
        <w:t xml:space="preserve">Swain, J. (2018). A Hybrid Approach to Thematic Analysis in Qualitative Research: Using a Practical Example. </w:t>
      </w:r>
      <w:r w:rsidRPr="001B7A4A">
        <w:rPr>
          <w:rFonts w:ascii="Calibri" w:hAnsi="Calibri" w:cs="Calibri"/>
          <w:i/>
          <w:iCs/>
          <w:noProof/>
          <w:szCs w:val="24"/>
        </w:rPr>
        <w:t>A Hybrid Approach to Thematic Analysis in Qualitative Research: Using a Practical Example</w:t>
      </w:r>
      <w:r w:rsidRPr="001B7A4A">
        <w:rPr>
          <w:rFonts w:ascii="Calibri" w:hAnsi="Calibri" w:cs="Calibri"/>
          <w:noProof/>
          <w:szCs w:val="24"/>
        </w:rPr>
        <w:t>. https://doi.org/10.4135/9781526435477</w:t>
      </w:r>
    </w:p>
    <w:p w14:paraId="13D219CD" w14:textId="77777777" w:rsidR="001B7A4A" w:rsidRPr="001B7A4A" w:rsidRDefault="001B7A4A" w:rsidP="001B7A4A">
      <w:pPr>
        <w:widowControl w:val="0"/>
        <w:autoSpaceDE w:val="0"/>
        <w:autoSpaceDN w:val="0"/>
        <w:adjustRightInd w:val="0"/>
        <w:spacing w:line="360" w:lineRule="auto"/>
        <w:ind w:left="480" w:hanging="480"/>
        <w:rPr>
          <w:rFonts w:ascii="Calibri" w:hAnsi="Calibri" w:cs="Calibri"/>
          <w:noProof/>
          <w:szCs w:val="24"/>
        </w:rPr>
      </w:pPr>
      <w:r w:rsidRPr="001B7A4A">
        <w:rPr>
          <w:rFonts w:ascii="Calibri" w:hAnsi="Calibri" w:cs="Calibri"/>
          <w:noProof/>
          <w:szCs w:val="24"/>
        </w:rPr>
        <w:t xml:space="preserve">Treffinger, D. J., Selby, E. C., &amp; Isaksen, S. G. (2007). Understanding individual problem-solving style: A key to learning and applying creative problem solving. </w:t>
      </w:r>
      <w:r w:rsidRPr="001B7A4A">
        <w:rPr>
          <w:rFonts w:ascii="Calibri" w:hAnsi="Calibri" w:cs="Calibri"/>
          <w:i/>
          <w:iCs/>
          <w:noProof/>
          <w:szCs w:val="24"/>
        </w:rPr>
        <w:t>Learning and Individual Differences</w:t>
      </w:r>
      <w:r w:rsidRPr="001B7A4A">
        <w:rPr>
          <w:rFonts w:ascii="Calibri" w:hAnsi="Calibri" w:cs="Calibri"/>
          <w:noProof/>
          <w:szCs w:val="24"/>
        </w:rPr>
        <w:t>. https://doi.org/10.1016/j.lindif.2007.11.007</w:t>
      </w:r>
    </w:p>
    <w:p w14:paraId="7E347B8D" w14:textId="77777777" w:rsidR="001B7A4A" w:rsidRPr="001B7A4A" w:rsidRDefault="001B7A4A" w:rsidP="001B7A4A">
      <w:pPr>
        <w:widowControl w:val="0"/>
        <w:autoSpaceDE w:val="0"/>
        <w:autoSpaceDN w:val="0"/>
        <w:adjustRightInd w:val="0"/>
        <w:spacing w:line="360" w:lineRule="auto"/>
        <w:ind w:left="480" w:hanging="480"/>
        <w:rPr>
          <w:rFonts w:ascii="Calibri" w:hAnsi="Calibri" w:cs="Calibri"/>
          <w:noProof/>
          <w:szCs w:val="24"/>
        </w:rPr>
      </w:pPr>
      <w:r w:rsidRPr="001B7A4A">
        <w:rPr>
          <w:rFonts w:ascii="Calibri" w:hAnsi="Calibri" w:cs="Calibri"/>
          <w:noProof/>
          <w:szCs w:val="24"/>
        </w:rPr>
        <w:t xml:space="preserve">Twining, P., Heller, R. S., Nussbaum, M., &amp; Tsai, C. C. (2017). Some guidance on conducting and reporting qualitative studies. </w:t>
      </w:r>
      <w:r w:rsidRPr="001B7A4A">
        <w:rPr>
          <w:rFonts w:ascii="Calibri" w:hAnsi="Calibri" w:cs="Calibri"/>
          <w:i/>
          <w:iCs/>
          <w:noProof/>
          <w:szCs w:val="24"/>
        </w:rPr>
        <w:t>Computers and Education</w:t>
      </w:r>
      <w:r w:rsidRPr="001B7A4A">
        <w:rPr>
          <w:rFonts w:ascii="Calibri" w:hAnsi="Calibri" w:cs="Calibri"/>
          <w:noProof/>
          <w:szCs w:val="24"/>
        </w:rPr>
        <w:t xml:space="preserve">, </w:t>
      </w:r>
      <w:r w:rsidRPr="001B7A4A">
        <w:rPr>
          <w:rFonts w:ascii="Calibri" w:hAnsi="Calibri" w:cs="Calibri"/>
          <w:i/>
          <w:iCs/>
          <w:noProof/>
          <w:szCs w:val="24"/>
        </w:rPr>
        <w:t>106</w:t>
      </w:r>
      <w:r w:rsidRPr="001B7A4A">
        <w:rPr>
          <w:rFonts w:ascii="Calibri" w:hAnsi="Calibri" w:cs="Calibri"/>
          <w:noProof/>
          <w:szCs w:val="24"/>
        </w:rPr>
        <w:t>, A1–A9. https://doi.org/10.1016/j.compedu.2016.12.002</w:t>
      </w:r>
    </w:p>
    <w:p w14:paraId="3E74C543" w14:textId="77777777" w:rsidR="001B7A4A" w:rsidRPr="001B7A4A" w:rsidRDefault="001B7A4A" w:rsidP="001B7A4A">
      <w:pPr>
        <w:widowControl w:val="0"/>
        <w:autoSpaceDE w:val="0"/>
        <w:autoSpaceDN w:val="0"/>
        <w:adjustRightInd w:val="0"/>
        <w:spacing w:line="360" w:lineRule="auto"/>
        <w:ind w:left="480" w:hanging="480"/>
        <w:rPr>
          <w:rFonts w:ascii="Calibri" w:hAnsi="Calibri" w:cs="Calibri"/>
          <w:noProof/>
          <w:szCs w:val="24"/>
        </w:rPr>
      </w:pPr>
      <w:r w:rsidRPr="001B7A4A">
        <w:rPr>
          <w:rFonts w:ascii="Calibri" w:hAnsi="Calibri" w:cs="Calibri"/>
          <w:noProof/>
          <w:szCs w:val="24"/>
        </w:rPr>
        <w:t xml:space="preserve">Ukie. (2018). UK Video Games Fact Sheet. In </w:t>
      </w:r>
      <w:r w:rsidRPr="001B7A4A">
        <w:rPr>
          <w:rFonts w:ascii="Calibri" w:hAnsi="Calibri" w:cs="Calibri"/>
          <w:i/>
          <w:iCs/>
          <w:noProof/>
          <w:szCs w:val="24"/>
        </w:rPr>
        <w:t>The Association for UK Interactice Entertainment</w:t>
      </w:r>
      <w:r w:rsidRPr="001B7A4A">
        <w:rPr>
          <w:rFonts w:ascii="Calibri" w:hAnsi="Calibri" w:cs="Calibri"/>
          <w:noProof/>
          <w:szCs w:val="24"/>
        </w:rPr>
        <w:t>. https://doi.org/10.1192/bjp.112.483.211-a</w:t>
      </w:r>
    </w:p>
    <w:p w14:paraId="20C06AB1" w14:textId="77777777" w:rsidR="001B7A4A" w:rsidRPr="001B7A4A" w:rsidRDefault="001B7A4A" w:rsidP="001B7A4A">
      <w:pPr>
        <w:widowControl w:val="0"/>
        <w:autoSpaceDE w:val="0"/>
        <w:autoSpaceDN w:val="0"/>
        <w:adjustRightInd w:val="0"/>
        <w:spacing w:line="360" w:lineRule="auto"/>
        <w:ind w:left="480" w:hanging="480"/>
        <w:rPr>
          <w:rFonts w:ascii="Calibri" w:hAnsi="Calibri" w:cs="Calibri"/>
          <w:noProof/>
          <w:szCs w:val="24"/>
        </w:rPr>
      </w:pPr>
      <w:r w:rsidRPr="001B7A4A">
        <w:rPr>
          <w:rFonts w:ascii="Calibri" w:hAnsi="Calibri" w:cs="Calibri"/>
          <w:noProof/>
          <w:szCs w:val="24"/>
        </w:rPr>
        <w:t xml:space="preserve">Valve. (2013). </w:t>
      </w:r>
      <w:r w:rsidRPr="001B7A4A">
        <w:rPr>
          <w:rFonts w:ascii="Calibri" w:hAnsi="Calibri" w:cs="Calibri"/>
          <w:i/>
          <w:iCs/>
          <w:noProof/>
          <w:szCs w:val="24"/>
        </w:rPr>
        <w:t>DoTA 2</w:t>
      </w:r>
      <w:r w:rsidRPr="001B7A4A">
        <w:rPr>
          <w:rFonts w:ascii="Calibri" w:hAnsi="Calibri" w:cs="Calibri"/>
          <w:noProof/>
          <w:szCs w:val="24"/>
        </w:rPr>
        <w:t>. Valve.</w:t>
      </w:r>
    </w:p>
    <w:p w14:paraId="10C9C97E" w14:textId="77777777" w:rsidR="001B7A4A" w:rsidRPr="001B7A4A" w:rsidRDefault="001B7A4A" w:rsidP="001B7A4A">
      <w:pPr>
        <w:widowControl w:val="0"/>
        <w:autoSpaceDE w:val="0"/>
        <w:autoSpaceDN w:val="0"/>
        <w:adjustRightInd w:val="0"/>
        <w:spacing w:line="360" w:lineRule="auto"/>
        <w:ind w:left="480" w:hanging="480"/>
        <w:rPr>
          <w:rFonts w:ascii="Calibri" w:hAnsi="Calibri" w:cs="Calibri"/>
          <w:noProof/>
          <w:szCs w:val="24"/>
        </w:rPr>
      </w:pPr>
      <w:r w:rsidRPr="001B7A4A">
        <w:rPr>
          <w:rFonts w:ascii="Calibri" w:hAnsi="Calibri" w:cs="Calibri"/>
          <w:noProof/>
          <w:szCs w:val="24"/>
        </w:rPr>
        <w:t xml:space="preserve">Valve, &amp; Turtle Rock Studios. (2000). </w:t>
      </w:r>
      <w:r w:rsidRPr="001B7A4A">
        <w:rPr>
          <w:rFonts w:ascii="Calibri" w:hAnsi="Calibri" w:cs="Calibri"/>
          <w:i/>
          <w:iCs/>
          <w:noProof/>
          <w:szCs w:val="24"/>
        </w:rPr>
        <w:t>Counter-Strike</w:t>
      </w:r>
      <w:r w:rsidRPr="001B7A4A">
        <w:rPr>
          <w:rFonts w:ascii="Calibri" w:hAnsi="Calibri" w:cs="Calibri"/>
          <w:noProof/>
          <w:szCs w:val="24"/>
        </w:rPr>
        <w:t>. Valve, Nexon, Sierra Entertainment.</w:t>
      </w:r>
    </w:p>
    <w:p w14:paraId="28439B4D" w14:textId="77777777" w:rsidR="001B7A4A" w:rsidRPr="001B7A4A" w:rsidRDefault="001B7A4A" w:rsidP="001B7A4A">
      <w:pPr>
        <w:widowControl w:val="0"/>
        <w:autoSpaceDE w:val="0"/>
        <w:autoSpaceDN w:val="0"/>
        <w:adjustRightInd w:val="0"/>
        <w:spacing w:line="360" w:lineRule="auto"/>
        <w:ind w:left="480" w:hanging="480"/>
        <w:rPr>
          <w:rFonts w:ascii="Calibri" w:hAnsi="Calibri" w:cs="Calibri"/>
          <w:noProof/>
          <w:szCs w:val="24"/>
        </w:rPr>
      </w:pPr>
      <w:r w:rsidRPr="001B7A4A">
        <w:rPr>
          <w:rFonts w:ascii="Calibri" w:hAnsi="Calibri" w:cs="Calibri"/>
          <w:noProof/>
          <w:szCs w:val="24"/>
        </w:rPr>
        <w:t xml:space="preserve">Van Vught, J., &amp; Glas, R. (2017). Considering play: From method to analysis. </w:t>
      </w:r>
      <w:r w:rsidRPr="001B7A4A">
        <w:rPr>
          <w:rFonts w:ascii="Calibri" w:hAnsi="Calibri" w:cs="Calibri"/>
          <w:i/>
          <w:iCs/>
          <w:noProof/>
          <w:szCs w:val="24"/>
        </w:rPr>
        <w:t>Proceedings of DiGRA 2017</w:t>
      </w:r>
      <w:r w:rsidRPr="001B7A4A">
        <w:rPr>
          <w:rFonts w:ascii="Calibri" w:hAnsi="Calibri" w:cs="Calibri"/>
          <w:noProof/>
          <w:szCs w:val="24"/>
        </w:rPr>
        <w:t>. Retrieved from http://www.digra.org/wp-content/uploads/digital-library/56_DIGRA2017_FP_Vught_Considering_Play.pdf</w:t>
      </w:r>
    </w:p>
    <w:p w14:paraId="44A9991C" w14:textId="77777777" w:rsidR="001B7A4A" w:rsidRPr="001B7A4A" w:rsidRDefault="001B7A4A" w:rsidP="001B7A4A">
      <w:pPr>
        <w:widowControl w:val="0"/>
        <w:autoSpaceDE w:val="0"/>
        <w:autoSpaceDN w:val="0"/>
        <w:adjustRightInd w:val="0"/>
        <w:spacing w:line="360" w:lineRule="auto"/>
        <w:ind w:left="480" w:hanging="480"/>
        <w:rPr>
          <w:rFonts w:ascii="Calibri" w:hAnsi="Calibri" w:cs="Calibri"/>
          <w:noProof/>
          <w:szCs w:val="24"/>
        </w:rPr>
      </w:pPr>
      <w:r w:rsidRPr="001B7A4A">
        <w:rPr>
          <w:rFonts w:ascii="Calibri" w:hAnsi="Calibri" w:cs="Calibri"/>
          <w:noProof/>
          <w:szCs w:val="24"/>
        </w:rPr>
        <w:lastRenderedPageBreak/>
        <w:t xml:space="preserve">Velikovsky, J. T. (2014). Flow Theory, Evolution and Creativity: or, ‘Fun and Games. </w:t>
      </w:r>
      <w:r w:rsidRPr="001B7A4A">
        <w:rPr>
          <w:rFonts w:ascii="Calibri" w:hAnsi="Calibri" w:cs="Calibri"/>
          <w:i/>
          <w:iCs/>
          <w:noProof/>
          <w:szCs w:val="24"/>
        </w:rPr>
        <w:t>Proceedings of the 2014 Conference on Interactive Entertainment. ACM.</w:t>
      </w:r>
      <w:r w:rsidRPr="001B7A4A">
        <w:rPr>
          <w:rFonts w:ascii="Calibri" w:hAnsi="Calibri" w:cs="Calibri"/>
          <w:noProof/>
          <w:szCs w:val="24"/>
        </w:rPr>
        <w:t xml:space="preserve"> https://doi.org/10.1145/2677758.2677770</w:t>
      </w:r>
    </w:p>
    <w:p w14:paraId="3963B398" w14:textId="77777777" w:rsidR="001B7A4A" w:rsidRPr="001B7A4A" w:rsidRDefault="001B7A4A" w:rsidP="001B7A4A">
      <w:pPr>
        <w:widowControl w:val="0"/>
        <w:autoSpaceDE w:val="0"/>
        <w:autoSpaceDN w:val="0"/>
        <w:adjustRightInd w:val="0"/>
        <w:spacing w:line="360" w:lineRule="auto"/>
        <w:ind w:left="480" w:hanging="480"/>
        <w:rPr>
          <w:rFonts w:ascii="Calibri" w:hAnsi="Calibri" w:cs="Calibri"/>
          <w:noProof/>
          <w:szCs w:val="24"/>
        </w:rPr>
      </w:pPr>
      <w:r w:rsidRPr="001B7A4A">
        <w:rPr>
          <w:rFonts w:ascii="Calibri" w:hAnsi="Calibri" w:cs="Calibri"/>
          <w:noProof/>
          <w:szCs w:val="24"/>
        </w:rPr>
        <w:t xml:space="preserve">Vygotsky, L. S. (2004). Imagination and Creativity in Childhood. </w:t>
      </w:r>
      <w:r w:rsidRPr="001B7A4A">
        <w:rPr>
          <w:rFonts w:ascii="Calibri" w:hAnsi="Calibri" w:cs="Calibri"/>
          <w:i/>
          <w:iCs/>
          <w:noProof/>
          <w:szCs w:val="24"/>
        </w:rPr>
        <w:t>Journal of Russian and East European Psychology</w:t>
      </w:r>
      <w:r w:rsidRPr="001B7A4A">
        <w:rPr>
          <w:rFonts w:ascii="Calibri" w:hAnsi="Calibri" w:cs="Calibri"/>
          <w:noProof/>
          <w:szCs w:val="24"/>
        </w:rPr>
        <w:t xml:space="preserve">, </w:t>
      </w:r>
      <w:r w:rsidRPr="001B7A4A">
        <w:rPr>
          <w:rFonts w:ascii="Calibri" w:hAnsi="Calibri" w:cs="Calibri"/>
          <w:i/>
          <w:iCs/>
          <w:noProof/>
          <w:szCs w:val="24"/>
        </w:rPr>
        <w:t>42</w:t>
      </w:r>
      <w:r w:rsidRPr="001B7A4A">
        <w:rPr>
          <w:rFonts w:ascii="Calibri" w:hAnsi="Calibri" w:cs="Calibri"/>
          <w:noProof/>
          <w:szCs w:val="24"/>
        </w:rPr>
        <w:t>(1), 7–97. Retrieved from http://lchc.ucsd.edu/mca/Mail/xmcamail.2008_03.dir/att-0189/Vygotsky__Imag___Creat_in_Childhood.pdf</w:t>
      </w:r>
    </w:p>
    <w:p w14:paraId="40EDA1B0" w14:textId="77777777" w:rsidR="001B7A4A" w:rsidRPr="001B7A4A" w:rsidRDefault="001B7A4A" w:rsidP="001B7A4A">
      <w:pPr>
        <w:widowControl w:val="0"/>
        <w:autoSpaceDE w:val="0"/>
        <w:autoSpaceDN w:val="0"/>
        <w:adjustRightInd w:val="0"/>
        <w:spacing w:line="360" w:lineRule="auto"/>
        <w:ind w:left="480" w:hanging="480"/>
        <w:rPr>
          <w:rFonts w:ascii="Calibri" w:hAnsi="Calibri" w:cs="Calibri"/>
          <w:noProof/>
          <w:szCs w:val="24"/>
        </w:rPr>
      </w:pPr>
      <w:r w:rsidRPr="001B7A4A">
        <w:rPr>
          <w:rFonts w:ascii="Calibri" w:hAnsi="Calibri" w:cs="Calibri"/>
          <w:noProof/>
          <w:szCs w:val="24"/>
        </w:rPr>
        <w:t xml:space="preserve">Weisberg, R. W. (1986). Creativity: genius and other myths. In </w:t>
      </w:r>
      <w:r w:rsidRPr="001B7A4A">
        <w:rPr>
          <w:rFonts w:ascii="Calibri" w:hAnsi="Calibri" w:cs="Calibri"/>
          <w:i/>
          <w:iCs/>
          <w:noProof/>
          <w:szCs w:val="24"/>
        </w:rPr>
        <w:t>Series of books in psychology</w:t>
      </w:r>
      <w:r w:rsidRPr="001B7A4A">
        <w:rPr>
          <w:rFonts w:ascii="Calibri" w:hAnsi="Calibri" w:cs="Calibri"/>
          <w:noProof/>
          <w:szCs w:val="24"/>
        </w:rPr>
        <w:t>. https://doi.org/10.1002/acp.2350010112</w:t>
      </w:r>
    </w:p>
    <w:p w14:paraId="7760C41C" w14:textId="77777777" w:rsidR="001B7A4A" w:rsidRPr="001B7A4A" w:rsidRDefault="001B7A4A" w:rsidP="001B7A4A">
      <w:pPr>
        <w:widowControl w:val="0"/>
        <w:autoSpaceDE w:val="0"/>
        <w:autoSpaceDN w:val="0"/>
        <w:adjustRightInd w:val="0"/>
        <w:spacing w:line="360" w:lineRule="auto"/>
        <w:ind w:left="480" w:hanging="480"/>
        <w:rPr>
          <w:rFonts w:ascii="Calibri" w:hAnsi="Calibri" w:cs="Calibri"/>
          <w:noProof/>
          <w:szCs w:val="24"/>
        </w:rPr>
      </w:pPr>
      <w:r w:rsidRPr="001B7A4A">
        <w:rPr>
          <w:rFonts w:ascii="Calibri" w:hAnsi="Calibri" w:cs="Calibri"/>
          <w:noProof/>
          <w:szCs w:val="24"/>
        </w:rPr>
        <w:t xml:space="preserve">Witt, L. A., &amp; Beorkrem, M. N. (1989). Climate for creative productivity as a predictor of research usefulness and organizational effectiveness in an r&amp;amp;d organization. </w:t>
      </w:r>
      <w:r w:rsidRPr="001B7A4A">
        <w:rPr>
          <w:rFonts w:ascii="Calibri" w:hAnsi="Calibri" w:cs="Calibri"/>
          <w:i/>
          <w:iCs/>
          <w:noProof/>
          <w:szCs w:val="24"/>
        </w:rPr>
        <w:t>Creativity Research Journal</w:t>
      </w:r>
      <w:r w:rsidRPr="001B7A4A">
        <w:rPr>
          <w:rFonts w:ascii="Calibri" w:hAnsi="Calibri" w:cs="Calibri"/>
          <w:noProof/>
          <w:szCs w:val="24"/>
        </w:rPr>
        <w:t xml:space="preserve">, </w:t>
      </w:r>
      <w:r w:rsidRPr="001B7A4A">
        <w:rPr>
          <w:rFonts w:ascii="Calibri" w:hAnsi="Calibri" w:cs="Calibri"/>
          <w:i/>
          <w:iCs/>
          <w:noProof/>
          <w:szCs w:val="24"/>
        </w:rPr>
        <w:t>2</w:t>
      </w:r>
      <w:r w:rsidRPr="001B7A4A">
        <w:rPr>
          <w:rFonts w:ascii="Calibri" w:hAnsi="Calibri" w:cs="Calibri"/>
          <w:noProof/>
          <w:szCs w:val="24"/>
        </w:rPr>
        <w:t>(1–2), 30–40. https://doi.org/10.1080/10400418909534298</w:t>
      </w:r>
    </w:p>
    <w:p w14:paraId="56506AF2" w14:textId="77777777" w:rsidR="001B7A4A" w:rsidRPr="001B7A4A" w:rsidRDefault="001B7A4A" w:rsidP="001B7A4A">
      <w:pPr>
        <w:widowControl w:val="0"/>
        <w:autoSpaceDE w:val="0"/>
        <w:autoSpaceDN w:val="0"/>
        <w:adjustRightInd w:val="0"/>
        <w:spacing w:line="360" w:lineRule="auto"/>
        <w:ind w:left="480" w:hanging="480"/>
        <w:rPr>
          <w:rFonts w:ascii="Calibri" w:hAnsi="Calibri" w:cs="Calibri"/>
          <w:noProof/>
          <w:szCs w:val="24"/>
        </w:rPr>
      </w:pPr>
      <w:r w:rsidRPr="001B7A4A">
        <w:rPr>
          <w:rFonts w:ascii="Calibri" w:hAnsi="Calibri" w:cs="Calibri"/>
          <w:noProof/>
          <w:szCs w:val="24"/>
        </w:rPr>
        <w:t xml:space="preserve">Wright, T., Boria, E., &amp; Breidenbach, P. (2002). Creative Player Actions in FPS Online Video Games Playing Counter-Strike. </w:t>
      </w:r>
      <w:r w:rsidRPr="001B7A4A">
        <w:rPr>
          <w:rFonts w:ascii="Calibri" w:hAnsi="Calibri" w:cs="Calibri"/>
          <w:i/>
          <w:iCs/>
          <w:noProof/>
          <w:szCs w:val="24"/>
        </w:rPr>
        <w:t>Game Studies</w:t>
      </w:r>
      <w:r w:rsidRPr="001B7A4A">
        <w:rPr>
          <w:rFonts w:ascii="Calibri" w:hAnsi="Calibri" w:cs="Calibri"/>
          <w:noProof/>
          <w:szCs w:val="24"/>
        </w:rPr>
        <w:t xml:space="preserve">, </w:t>
      </w:r>
      <w:r w:rsidRPr="001B7A4A">
        <w:rPr>
          <w:rFonts w:ascii="Calibri" w:hAnsi="Calibri" w:cs="Calibri"/>
          <w:i/>
          <w:iCs/>
          <w:noProof/>
          <w:szCs w:val="24"/>
        </w:rPr>
        <w:t>2</w:t>
      </w:r>
      <w:r w:rsidRPr="001B7A4A">
        <w:rPr>
          <w:rFonts w:ascii="Calibri" w:hAnsi="Calibri" w:cs="Calibri"/>
          <w:noProof/>
          <w:szCs w:val="24"/>
        </w:rPr>
        <w:t>. Retrieved from https://www.researchgate.net/profile/Talmadge_Wright/publication/220200729_Creative_Player_Actions_in_FPS_Online_Video_Games_-_Playing_Counter-Strike/links/0deec53566263ae497000000.pdf</w:t>
      </w:r>
    </w:p>
    <w:p w14:paraId="66239AA8" w14:textId="77777777" w:rsidR="001B7A4A" w:rsidRPr="001B7A4A" w:rsidRDefault="001B7A4A" w:rsidP="001B7A4A">
      <w:pPr>
        <w:widowControl w:val="0"/>
        <w:autoSpaceDE w:val="0"/>
        <w:autoSpaceDN w:val="0"/>
        <w:adjustRightInd w:val="0"/>
        <w:spacing w:line="360" w:lineRule="auto"/>
        <w:ind w:left="480" w:hanging="480"/>
        <w:rPr>
          <w:rFonts w:ascii="Calibri" w:hAnsi="Calibri" w:cs="Calibri"/>
          <w:noProof/>
          <w:szCs w:val="24"/>
        </w:rPr>
      </w:pPr>
      <w:r w:rsidRPr="001B7A4A">
        <w:rPr>
          <w:rFonts w:ascii="Calibri" w:hAnsi="Calibri" w:cs="Calibri"/>
          <w:noProof/>
          <w:szCs w:val="24"/>
        </w:rPr>
        <w:t xml:space="preserve">Yeh, Y. chu, Lai, S. C., &amp; Lin, C. W. (2016). The dynamic influence of emotions on game-based creativity: An integrated analysis of emotional valence, activation strength, and regulation focus. </w:t>
      </w:r>
      <w:r w:rsidRPr="001B7A4A">
        <w:rPr>
          <w:rFonts w:ascii="Calibri" w:hAnsi="Calibri" w:cs="Calibri"/>
          <w:i/>
          <w:iCs/>
          <w:noProof/>
          <w:szCs w:val="24"/>
        </w:rPr>
        <w:t>Computers in Human Behavior</w:t>
      </w:r>
      <w:r w:rsidRPr="001B7A4A">
        <w:rPr>
          <w:rFonts w:ascii="Calibri" w:hAnsi="Calibri" w:cs="Calibri"/>
          <w:noProof/>
          <w:szCs w:val="24"/>
        </w:rPr>
        <w:t xml:space="preserve">, </w:t>
      </w:r>
      <w:r w:rsidRPr="001B7A4A">
        <w:rPr>
          <w:rFonts w:ascii="Calibri" w:hAnsi="Calibri" w:cs="Calibri"/>
          <w:i/>
          <w:iCs/>
          <w:noProof/>
          <w:szCs w:val="24"/>
        </w:rPr>
        <w:t>55</w:t>
      </w:r>
      <w:r w:rsidRPr="001B7A4A">
        <w:rPr>
          <w:rFonts w:ascii="Calibri" w:hAnsi="Calibri" w:cs="Calibri"/>
          <w:noProof/>
          <w:szCs w:val="24"/>
        </w:rPr>
        <w:t>, 817–825. https://doi.org/10.1016/j.chb.2015.10.037</w:t>
      </w:r>
    </w:p>
    <w:p w14:paraId="7EF10993" w14:textId="77777777" w:rsidR="001B7A4A" w:rsidRPr="001B7A4A" w:rsidRDefault="001B7A4A" w:rsidP="001B7A4A">
      <w:pPr>
        <w:widowControl w:val="0"/>
        <w:autoSpaceDE w:val="0"/>
        <w:autoSpaceDN w:val="0"/>
        <w:adjustRightInd w:val="0"/>
        <w:spacing w:line="360" w:lineRule="auto"/>
        <w:ind w:left="480" w:hanging="480"/>
        <w:rPr>
          <w:rFonts w:ascii="Calibri" w:hAnsi="Calibri" w:cs="Calibri"/>
          <w:noProof/>
          <w:szCs w:val="24"/>
        </w:rPr>
      </w:pPr>
      <w:r w:rsidRPr="001B7A4A">
        <w:rPr>
          <w:rFonts w:ascii="Calibri" w:hAnsi="Calibri" w:cs="Calibri"/>
          <w:noProof/>
          <w:szCs w:val="24"/>
        </w:rPr>
        <w:t xml:space="preserve">Young, J. G. (1985). What is creativity? </w:t>
      </w:r>
      <w:r w:rsidRPr="001B7A4A">
        <w:rPr>
          <w:rFonts w:ascii="Calibri" w:hAnsi="Calibri" w:cs="Calibri"/>
          <w:i/>
          <w:iCs/>
          <w:noProof/>
          <w:szCs w:val="24"/>
        </w:rPr>
        <w:t>Journal of Creative Behavior</w:t>
      </w:r>
      <w:r w:rsidRPr="001B7A4A">
        <w:rPr>
          <w:rFonts w:ascii="Calibri" w:hAnsi="Calibri" w:cs="Calibri"/>
          <w:noProof/>
          <w:szCs w:val="24"/>
        </w:rPr>
        <w:t xml:space="preserve">, </w:t>
      </w:r>
      <w:r w:rsidRPr="001B7A4A">
        <w:rPr>
          <w:rFonts w:ascii="Calibri" w:hAnsi="Calibri" w:cs="Calibri"/>
          <w:i/>
          <w:iCs/>
          <w:noProof/>
          <w:szCs w:val="24"/>
        </w:rPr>
        <w:t>19</w:t>
      </w:r>
      <w:r w:rsidRPr="001B7A4A">
        <w:rPr>
          <w:rFonts w:ascii="Calibri" w:hAnsi="Calibri" w:cs="Calibri"/>
          <w:noProof/>
          <w:szCs w:val="24"/>
        </w:rPr>
        <w:t>(2), 77–87.</w:t>
      </w:r>
    </w:p>
    <w:p w14:paraId="000957D9" w14:textId="77777777" w:rsidR="001B7A4A" w:rsidRPr="001B7A4A" w:rsidRDefault="001B7A4A" w:rsidP="001B7A4A">
      <w:pPr>
        <w:widowControl w:val="0"/>
        <w:autoSpaceDE w:val="0"/>
        <w:autoSpaceDN w:val="0"/>
        <w:adjustRightInd w:val="0"/>
        <w:spacing w:line="360" w:lineRule="auto"/>
        <w:ind w:left="480" w:hanging="480"/>
        <w:rPr>
          <w:rFonts w:ascii="Calibri" w:hAnsi="Calibri" w:cs="Calibri"/>
          <w:noProof/>
        </w:rPr>
      </w:pPr>
      <w:r w:rsidRPr="001B7A4A">
        <w:rPr>
          <w:rFonts w:ascii="Calibri" w:hAnsi="Calibri" w:cs="Calibri"/>
          <w:noProof/>
          <w:szCs w:val="24"/>
        </w:rPr>
        <w:t xml:space="preserve">Young, R. M., &amp; Cardona-Rivera, R. E. (2011). Approaching a Player Model of Game Story Comprehension Through Affordance in Interactive Narrative. </w:t>
      </w:r>
      <w:r w:rsidRPr="001B7A4A">
        <w:rPr>
          <w:rFonts w:ascii="Calibri" w:hAnsi="Calibri" w:cs="Calibri"/>
          <w:i/>
          <w:iCs/>
          <w:noProof/>
          <w:szCs w:val="24"/>
        </w:rPr>
        <w:t>Proceedings of the 4th Workshop on Intelligent Narrative Technologies</w:t>
      </w:r>
      <w:r w:rsidRPr="001B7A4A">
        <w:rPr>
          <w:rFonts w:ascii="Calibri" w:hAnsi="Calibri" w:cs="Calibri"/>
          <w:noProof/>
          <w:szCs w:val="24"/>
        </w:rPr>
        <w:t>, 123–130. Retrieved from www.aaai.org</w:t>
      </w:r>
    </w:p>
    <w:p w14:paraId="51B8E832" w14:textId="629486F9" w:rsidR="00AE19A7" w:rsidRPr="00B4301D" w:rsidRDefault="00AE19A7" w:rsidP="00CE74C2">
      <w:pPr>
        <w:spacing w:line="360" w:lineRule="auto"/>
        <w:rPr>
          <w:b/>
        </w:rPr>
      </w:pPr>
      <w:r w:rsidRPr="00B4301D">
        <w:rPr>
          <w:b/>
        </w:rPr>
        <w:fldChar w:fldCharType="end"/>
      </w:r>
    </w:p>
    <w:p w14:paraId="66EA202A" w14:textId="77777777" w:rsidR="00F7588E" w:rsidRPr="00B4301D" w:rsidRDefault="00F7588E" w:rsidP="00CE74C2">
      <w:pPr>
        <w:spacing w:line="360" w:lineRule="auto"/>
      </w:pPr>
    </w:p>
    <w:p w14:paraId="2547F49D" w14:textId="547FE361" w:rsidR="0054042B" w:rsidRPr="00B4301D" w:rsidRDefault="0054042B" w:rsidP="00CE74C2">
      <w:pPr>
        <w:spacing w:line="360" w:lineRule="auto"/>
      </w:pPr>
    </w:p>
    <w:p w14:paraId="4942F0DB" w14:textId="77777777" w:rsidR="0054042B" w:rsidRPr="00B4301D" w:rsidRDefault="0054042B" w:rsidP="00CE74C2">
      <w:pPr>
        <w:spacing w:line="360" w:lineRule="auto"/>
      </w:pPr>
    </w:p>
    <w:sectPr w:rsidR="0054042B" w:rsidRPr="00B4301D">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80A594" w14:textId="77777777" w:rsidR="00F67247" w:rsidRDefault="00F67247" w:rsidP="00B304F3">
      <w:pPr>
        <w:spacing w:after="0" w:line="240" w:lineRule="auto"/>
      </w:pPr>
      <w:r>
        <w:separator/>
      </w:r>
    </w:p>
  </w:endnote>
  <w:endnote w:type="continuationSeparator" w:id="0">
    <w:p w14:paraId="7A985392" w14:textId="77777777" w:rsidR="00F67247" w:rsidRDefault="00F67247" w:rsidP="00B304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7751608"/>
      <w:docPartObj>
        <w:docPartGallery w:val="Page Numbers (Bottom of Page)"/>
        <w:docPartUnique/>
      </w:docPartObj>
    </w:sdtPr>
    <w:sdtEndPr>
      <w:rPr>
        <w:noProof/>
      </w:rPr>
    </w:sdtEndPr>
    <w:sdtContent>
      <w:p w14:paraId="6CA94818" w14:textId="27E105A6" w:rsidR="00171F32" w:rsidRDefault="00171F32">
        <w:pPr>
          <w:pStyle w:val="Footer"/>
          <w:jc w:val="right"/>
        </w:pPr>
        <w:r>
          <w:fldChar w:fldCharType="begin"/>
        </w:r>
        <w:r>
          <w:instrText xml:space="preserve"> PAGE   \* MERGEFORMAT </w:instrText>
        </w:r>
        <w:r>
          <w:fldChar w:fldCharType="separate"/>
        </w:r>
        <w:r w:rsidR="006A4F78">
          <w:rPr>
            <w:noProof/>
          </w:rPr>
          <w:t>40</w:t>
        </w:r>
        <w:r>
          <w:rPr>
            <w:noProof/>
          </w:rPr>
          <w:fldChar w:fldCharType="end"/>
        </w:r>
      </w:p>
    </w:sdtContent>
  </w:sdt>
  <w:p w14:paraId="042F67FC" w14:textId="77777777" w:rsidR="00171F32" w:rsidRDefault="00171F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C0228B" w14:textId="77777777" w:rsidR="00F67247" w:rsidRDefault="00F67247" w:rsidP="00B304F3">
      <w:pPr>
        <w:spacing w:after="0" w:line="240" w:lineRule="auto"/>
      </w:pPr>
      <w:r>
        <w:separator/>
      </w:r>
    </w:p>
  </w:footnote>
  <w:footnote w:type="continuationSeparator" w:id="0">
    <w:p w14:paraId="6090E9B3" w14:textId="77777777" w:rsidR="00F67247" w:rsidRDefault="00F67247" w:rsidP="00B304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A078C"/>
    <w:multiLevelType w:val="hybridMultilevel"/>
    <w:tmpl w:val="B44EA63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FA0283"/>
    <w:multiLevelType w:val="hybridMultilevel"/>
    <w:tmpl w:val="EF68ED5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994FB0"/>
    <w:multiLevelType w:val="hybridMultilevel"/>
    <w:tmpl w:val="0AB2C47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146BF7"/>
    <w:multiLevelType w:val="hybridMultilevel"/>
    <w:tmpl w:val="7AD2307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0E552C"/>
    <w:multiLevelType w:val="hybridMultilevel"/>
    <w:tmpl w:val="BEB0F66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B135EDB"/>
    <w:multiLevelType w:val="hybridMultilevel"/>
    <w:tmpl w:val="9FD421F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C382DC4"/>
    <w:multiLevelType w:val="hybridMultilevel"/>
    <w:tmpl w:val="925438C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CCF0625"/>
    <w:multiLevelType w:val="hybridMultilevel"/>
    <w:tmpl w:val="CD1669E6"/>
    <w:lvl w:ilvl="0" w:tplc="B6624BC2">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6A0ABD"/>
    <w:multiLevelType w:val="hybridMultilevel"/>
    <w:tmpl w:val="E350142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8EF0B19"/>
    <w:multiLevelType w:val="hybridMultilevel"/>
    <w:tmpl w:val="CDDC290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ABD5597"/>
    <w:multiLevelType w:val="hybridMultilevel"/>
    <w:tmpl w:val="31F26C98"/>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4DD3152"/>
    <w:multiLevelType w:val="hybridMultilevel"/>
    <w:tmpl w:val="A15A88D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3"/>
  </w:num>
  <w:num w:numId="3">
    <w:abstractNumId w:val="6"/>
  </w:num>
  <w:num w:numId="4">
    <w:abstractNumId w:val="4"/>
  </w:num>
  <w:num w:numId="5">
    <w:abstractNumId w:val="11"/>
  </w:num>
  <w:num w:numId="6">
    <w:abstractNumId w:val="9"/>
  </w:num>
  <w:num w:numId="7">
    <w:abstractNumId w:val="5"/>
  </w:num>
  <w:num w:numId="8">
    <w:abstractNumId w:val="2"/>
  </w:num>
  <w:num w:numId="9">
    <w:abstractNumId w:val="8"/>
  </w:num>
  <w:num w:numId="10">
    <w:abstractNumId w:val="0"/>
  </w:num>
  <w:num w:numId="11">
    <w:abstractNumId w:val="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42B"/>
    <w:rsid w:val="00005F2C"/>
    <w:rsid w:val="000160EA"/>
    <w:rsid w:val="000172F2"/>
    <w:rsid w:val="00031B8F"/>
    <w:rsid w:val="0003280E"/>
    <w:rsid w:val="00034507"/>
    <w:rsid w:val="00035F4B"/>
    <w:rsid w:val="00037055"/>
    <w:rsid w:val="00044A86"/>
    <w:rsid w:val="00051F85"/>
    <w:rsid w:val="0005570E"/>
    <w:rsid w:val="000615C7"/>
    <w:rsid w:val="0006615A"/>
    <w:rsid w:val="000677F1"/>
    <w:rsid w:val="000926EF"/>
    <w:rsid w:val="000A0D51"/>
    <w:rsid w:val="000A1FA6"/>
    <w:rsid w:val="000A6A4F"/>
    <w:rsid w:val="000A768C"/>
    <w:rsid w:val="000B325C"/>
    <w:rsid w:val="000B5178"/>
    <w:rsid w:val="000B6F3E"/>
    <w:rsid w:val="000C1A94"/>
    <w:rsid w:val="000D5CB7"/>
    <w:rsid w:val="000D7585"/>
    <w:rsid w:val="000E2C00"/>
    <w:rsid w:val="000E3343"/>
    <w:rsid w:val="000E7814"/>
    <w:rsid w:val="000F2FC7"/>
    <w:rsid w:val="001170D7"/>
    <w:rsid w:val="00121A9E"/>
    <w:rsid w:val="001404F0"/>
    <w:rsid w:val="0014657E"/>
    <w:rsid w:val="0014687B"/>
    <w:rsid w:val="00147BCD"/>
    <w:rsid w:val="001522ED"/>
    <w:rsid w:val="001640B6"/>
    <w:rsid w:val="00171F32"/>
    <w:rsid w:val="0017265C"/>
    <w:rsid w:val="001769DB"/>
    <w:rsid w:val="00182F06"/>
    <w:rsid w:val="0019453B"/>
    <w:rsid w:val="001A24F7"/>
    <w:rsid w:val="001A7D38"/>
    <w:rsid w:val="001B204A"/>
    <w:rsid w:val="001B2F07"/>
    <w:rsid w:val="001B7A4A"/>
    <w:rsid w:val="001C3D13"/>
    <w:rsid w:val="001D06C8"/>
    <w:rsid w:val="001E0F8A"/>
    <w:rsid w:val="001F328D"/>
    <w:rsid w:val="001F7C53"/>
    <w:rsid w:val="00201A28"/>
    <w:rsid w:val="0020493C"/>
    <w:rsid w:val="00204A01"/>
    <w:rsid w:val="002052CC"/>
    <w:rsid w:val="00221740"/>
    <w:rsid w:val="00224CDB"/>
    <w:rsid w:val="00231CFF"/>
    <w:rsid w:val="0023631A"/>
    <w:rsid w:val="00241D95"/>
    <w:rsid w:val="00251B31"/>
    <w:rsid w:val="00253292"/>
    <w:rsid w:val="00256872"/>
    <w:rsid w:val="002613EB"/>
    <w:rsid w:val="002716EA"/>
    <w:rsid w:val="00271E59"/>
    <w:rsid w:val="00273681"/>
    <w:rsid w:val="00282D8A"/>
    <w:rsid w:val="002857A7"/>
    <w:rsid w:val="0029096C"/>
    <w:rsid w:val="00297EBC"/>
    <w:rsid w:val="002A3B8C"/>
    <w:rsid w:val="002A666E"/>
    <w:rsid w:val="002A760B"/>
    <w:rsid w:val="002B1147"/>
    <w:rsid w:val="002B1AED"/>
    <w:rsid w:val="002C0317"/>
    <w:rsid w:val="002C1FFC"/>
    <w:rsid w:val="002C259A"/>
    <w:rsid w:val="002C277D"/>
    <w:rsid w:val="002D1428"/>
    <w:rsid w:val="002D22D8"/>
    <w:rsid w:val="002D39DE"/>
    <w:rsid w:val="002D3EB1"/>
    <w:rsid w:val="002D4AAC"/>
    <w:rsid w:val="002E00AF"/>
    <w:rsid w:val="002E4C86"/>
    <w:rsid w:val="002F2908"/>
    <w:rsid w:val="0030023E"/>
    <w:rsid w:val="0030365D"/>
    <w:rsid w:val="00304DF7"/>
    <w:rsid w:val="003077CD"/>
    <w:rsid w:val="003078AD"/>
    <w:rsid w:val="00310359"/>
    <w:rsid w:val="00313FF3"/>
    <w:rsid w:val="00315E1A"/>
    <w:rsid w:val="0031695B"/>
    <w:rsid w:val="00321A26"/>
    <w:rsid w:val="00325DCF"/>
    <w:rsid w:val="003343C9"/>
    <w:rsid w:val="003459BD"/>
    <w:rsid w:val="00346A76"/>
    <w:rsid w:val="00352518"/>
    <w:rsid w:val="00357F49"/>
    <w:rsid w:val="00364A99"/>
    <w:rsid w:val="00373205"/>
    <w:rsid w:val="00375312"/>
    <w:rsid w:val="00375540"/>
    <w:rsid w:val="0037567E"/>
    <w:rsid w:val="0038065A"/>
    <w:rsid w:val="00396F50"/>
    <w:rsid w:val="00397611"/>
    <w:rsid w:val="003B17E9"/>
    <w:rsid w:val="003B4958"/>
    <w:rsid w:val="003B49E6"/>
    <w:rsid w:val="003B51BF"/>
    <w:rsid w:val="003D3F6D"/>
    <w:rsid w:val="003D792B"/>
    <w:rsid w:val="003E0AF4"/>
    <w:rsid w:val="003E1F20"/>
    <w:rsid w:val="003F5758"/>
    <w:rsid w:val="0040095E"/>
    <w:rsid w:val="00412239"/>
    <w:rsid w:val="004130DF"/>
    <w:rsid w:val="004162A5"/>
    <w:rsid w:val="004267A5"/>
    <w:rsid w:val="004361AF"/>
    <w:rsid w:val="00437051"/>
    <w:rsid w:val="00447E04"/>
    <w:rsid w:val="0046142B"/>
    <w:rsid w:val="00462D2F"/>
    <w:rsid w:val="004631B8"/>
    <w:rsid w:val="00464F8C"/>
    <w:rsid w:val="00466ECE"/>
    <w:rsid w:val="00473FF1"/>
    <w:rsid w:val="00474055"/>
    <w:rsid w:val="00482091"/>
    <w:rsid w:val="00485D98"/>
    <w:rsid w:val="00487D36"/>
    <w:rsid w:val="004A1787"/>
    <w:rsid w:val="004A2F65"/>
    <w:rsid w:val="004A4DE5"/>
    <w:rsid w:val="004A4FBB"/>
    <w:rsid w:val="004A71AB"/>
    <w:rsid w:val="004A7201"/>
    <w:rsid w:val="004B0EF2"/>
    <w:rsid w:val="004B2E5D"/>
    <w:rsid w:val="004B6A21"/>
    <w:rsid w:val="004D0C16"/>
    <w:rsid w:val="004D4E11"/>
    <w:rsid w:val="004E0C26"/>
    <w:rsid w:val="004E1EA5"/>
    <w:rsid w:val="004E4E8C"/>
    <w:rsid w:val="004F1025"/>
    <w:rsid w:val="004F2F16"/>
    <w:rsid w:val="004F3F77"/>
    <w:rsid w:val="005012B5"/>
    <w:rsid w:val="005030C6"/>
    <w:rsid w:val="005100B4"/>
    <w:rsid w:val="00514A7E"/>
    <w:rsid w:val="00520608"/>
    <w:rsid w:val="0054042B"/>
    <w:rsid w:val="005463CF"/>
    <w:rsid w:val="00551704"/>
    <w:rsid w:val="00551B38"/>
    <w:rsid w:val="00552D31"/>
    <w:rsid w:val="00557CCB"/>
    <w:rsid w:val="00562736"/>
    <w:rsid w:val="00563EE3"/>
    <w:rsid w:val="00566017"/>
    <w:rsid w:val="0056624C"/>
    <w:rsid w:val="0056647E"/>
    <w:rsid w:val="005706F0"/>
    <w:rsid w:val="005746BF"/>
    <w:rsid w:val="00574E1F"/>
    <w:rsid w:val="00581E3B"/>
    <w:rsid w:val="00581FDA"/>
    <w:rsid w:val="00587EB7"/>
    <w:rsid w:val="00596332"/>
    <w:rsid w:val="005B5E53"/>
    <w:rsid w:val="005B63FB"/>
    <w:rsid w:val="005B640B"/>
    <w:rsid w:val="005B798B"/>
    <w:rsid w:val="005B7F4C"/>
    <w:rsid w:val="005D3F64"/>
    <w:rsid w:val="005D51AC"/>
    <w:rsid w:val="005E4E71"/>
    <w:rsid w:val="005E7216"/>
    <w:rsid w:val="005F2741"/>
    <w:rsid w:val="005F397C"/>
    <w:rsid w:val="005F4510"/>
    <w:rsid w:val="00603C2C"/>
    <w:rsid w:val="00605818"/>
    <w:rsid w:val="00611BF9"/>
    <w:rsid w:val="00614EC9"/>
    <w:rsid w:val="006169EC"/>
    <w:rsid w:val="00620459"/>
    <w:rsid w:val="00626427"/>
    <w:rsid w:val="00643752"/>
    <w:rsid w:val="00644331"/>
    <w:rsid w:val="00645B58"/>
    <w:rsid w:val="00653355"/>
    <w:rsid w:val="00664C06"/>
    <w:rsid w:val="0066736A"/>
    <w:rsid w:val="00676AF2"/>
    <w:rsid w:val="00681EDC"/>
    <w:rsid w:val="00683F97"/>
    <w:rsid w:val="00696FDF"/>
    <w:rsid w:val="006A4F78"/>
    <w:rsid w:val="006A5D84"/>
    <w:rsid w:val="006C4459"/>
    <w:rsid w:val="006C4942"/>
    <w:rsid w:val="006C7F17"/>
    <w:rsid w:val="006D3AEC"/>
    <w:rsid w:val="006F084A"/>
    <w:rsid w:val="006F3BAA"/>
    <w:rsid w:val="006F7278"/>
    <w:rsid w:val="006F78AE"/>
    <w:rsid w:val="00702096"/>
    <w:rsid w:val="00702351"/>
    <w:rsid w:val="007053D5"/>
    <w:rsid w:val="007058A2"/>
    <w:rsid w:val="00707480"/>
    <w:rsid w:val="007145CC"/>
    <w:rsid w:val="0072078A"/>
    <w:rsid w:val="007230F8"/>
    <w:rsid w:val="00727FFA"/>
    <w:rsid w:val="007355AC"/>
    <w:rsid w:val="00750CEA"/>
    <w:rsid w:val="00755303"/>
    <w:rsid w:val="00755570"/>
    <w:rsid w:val="00760DCA"/>
    <w:rsid w:val="00767D0B"/>
    <w:rsid w:val="0077084A"/>
    <w:rsid w:val="00776F2C"/>
    <w:rsid w:val="007900AA"/>
    <w:rsid w:val="007904D4"/>
    <w:rsid w:val="00795A13"/>
    <w:rsid w:val="007B0EDB"/>
    <w:rsid w:val="007B18BD"/>
    <w:rsid w:val="007C20C5"/>
    <w:rsid w:val="007C5BFF"/>
    <w:rsid w:val="007C689D"/>
    <w:rsid w:val="007C6930"/>
    <w:rsid w:val="007D1418"/>
    <w:rsid w:val="007E432E"/>
    <w:rsid w:val="007E6D2E"/>
    <w:rsid w:val="00800D68"/>
    <w:rsid w:val="00813D7B"/>
    <w:rsid w:val="00813FCB"/>
    <w:rsid w:val="00815412"/>
    <w:rsid w:val="00822E48"/>
    <w:rsid w:val="00825DA2"/>
    <w:rsid w:val="008308CA"/>
    <w:rsid w:val="00832F10"/>
    <w:rsid w:val="00835345"/>
    <w:rsid w:val="00836F44"/>
    <w:rsid w:val="00845B83"/>
    <w:rsid w:val="008500CD"/>
    <w:rsid w:val="00855335"/>
    <w:rsid w:val="008569C2"/>
    <w:rsid w:val="008573D9"/>
    <w:rsid w:val="00857A37"/>
    <w:rsid w:val="00866ED5"/>
    <w:rsid w:val="00867086"/>
    <w:rsid w:val="00867E86"/>
    <w:rsid w:val="008708E2"/>
    <w:rsid w:val="0087465A"/>
    <w:rsid w:val="0087761A"/>
    <w:rsid w:val="00880166"/>
    <w:rsid w:val="00880D87"/>
    <w:rsid w:val="00882981"/>
    <w:rsid w:val="00893EA1"/>
    <w:rsid w:val="0089417A"/>
    <w:rsid w:val="008A24C2"/>
    <w:rsid w:val="008A38F8"/>
    <w:rsid w:val="008A741B"/>
    <w:rsid w:val="008A789C"/>
    <w:rsid w:val="008C2A2B"/>
    <w:rsid w:val="008C76E8"/>
    <w:rsid w:val="008D226D"/>
    <w:rsid w:val="00903570"/>
    <w:rsid w:val="00904241"/>
    <w:rsid w:val="00905985"/>
    <w:rsid w:val="00915DAA"/>
    <w:rsid w:val="009462AA"/>
    <w:rsid w:val="009528B8"/>
    <w:rsid w:val="00955A01"/>
    <w:rsid w:val="00956660"/>
    <w:rsid w:val="009574D4"/>
    <w:rsid w:val="00961730"/>
    <w:rsid w:val="00961A43"/>
    <w:rsid w:val="00967100"/>
    <w:rsid w:val="00976CDF"/>
    <w:rsid w:val="00982706"/>
    <w:rsid w:val="009834BA"/>
    <w:rsid w:val="00987AED"/>
    <w:rsid w:val="009928DA"/>
    <w:rsid w:val="0099538A"/>
    <w:rsid w:val="009A037B"/>
    <w:rsid w:val="009A408E"/>
    <w:rsid w:val="009A5A52"/>
    <w:rsid w:val="009A7D2A"/>
    <w:rsid w:val="009B0771"/>
    <w:rsid w:val="009B2B2B"/>
    <w:rsid w:val="009B6289"/>
    <w:rsid w:val="009C2CA5"/>
    <w:rsid w:val="009C4A8E"/>
    <w:rsid w:val="009D2E93"/>
    <w:rsid w:val="009D4ADC"/>
    <w:rsid w:val="009D6A2E"/>
    <w:rsid w:val="009E0F3E"/>
    <w:rsid w:val="009E622F"/>
    <w:rsid w:val="009F075F"/>
    <w:rsid w:val="009F4C9A"/>
    <w:rsid w:val="00A00227"/>
    <w:rsid w:val="00A021A8"/>
    <w:rsid w:val="00A10E7B"/>
    <w:rsid w:val="00A14380"/>
    <w:rsid w:val="00A2515D"/>
    <w:rsid w:val="00A25BC6"/>
    <w:rsid w:val="00A37BD2"/>
    <w:rsid w:val="00A42303"/>
    <w:rsid w:val="00A44386"/>
    <w:rsid w:val="00A46C9D"/>
    <w:rsid w:val="00A50222"/>
    <w:rsid w:val="00A50B56"/>
    <w:rsid w:val="00A55EC2"/>
    <w:rsid w:val="00A57765"/>
    <w:rsid w:val="00A577CF"/>
    <w:rsid w:val="00A65622"/>
    <w:rsid w:val="00A705F5"/>
    <w:rsid w:val="00A74B59"/>
    <w:rsid w:val="00A80C29"/>
    <w:rsid w:val="00A84823"/>
    <w:rsid w:val="00A84A38"/>
    <w:rsid w:val="00A96716"/>
    <w:rsid w:val="00AA60C0"/>
    <w:rsid w:val="00AB31DE"/>
    <w:rsid w:val="00AC1222"/>
    <w:rsid w:val="00AC2696"/>
    <w:rsid w:val="00AC780B"/>
    <w:rsid w:val="00AD01F5"/>
    <w:rsid w:val="00AD3201"/>
    <w:rsid w:val="00AD37A2"/>
    <w:rsid w:val="00AD672A"/>
    <w:rsid w:val="00AE19A7"/>
    <w:rsid w:val="00AE5C10"/>
    <w:rsid w:val="00AF2275"/>
    <w:rsid w:val="00B05CCF"/>
    <w:rsid w:val="00B15921"/>
    <w:rsid w:val="00B1781E"/>
    <w:rsid w:val="00B21430"/>
    <w:rsid w:val="00B26D90"/>
    <w:rsid w:val="00B304F3"/>
    <w:rsid w:val="00B31044"/>
    <w:rsid w:val="00B31412"/>
    <w:rsid w:val="00B32AD1"/>
    <w:rsid w:val="00B4301D"/>
    <w:rsid w:val="00B438A6"/>
    <w:rsid w:val="00B45F53"/>
    <w:rsid w:val="00B47572"/>
    <w:rsid w:val="00B54943"/>
    <w:rsid w:val="00B54DA0"/>
    <w:rsid w:val="00B5742A"/>
    <w:rsid w:val="00B63644"/>
    <w:rsid w:val="00B63E8E"/>
    <w:rsid w:val="00B75B79"/>
    <w:rsid w:val="00B81CD0"/>
    <w:rsid w:val="00B871E3"/>
    <w:rsid w:val="00B97603"/>
    <w:rsid w:val="00BD17E3"/>
    <w:rsid w:val="00BD208B"/>
    <w:rsid w:val="00BD4DD6"/>
    <w:rsid w:val="00BD6242"/>
    <w:rsid w:val="00BE35E7"/>
    <w:rsid w:val="00BE3B98"/>
    <w:rsid w:val="00BE4929"/>
    <w:rsid w:val="00C06A54"/>
    <w:rsid w:val="00C108F3"/>
    <w:rsid w:val="00C1685D"/>
    <w:rsid w:val="00C1762F"/>
    <w:rsid w:val="00C341B5"/>
    <w:rsid w:val="00C35DF5"/>
    <w:rsid w:val="00C42694"/>
    <w:rsid w:val="00C47C74"/>
    <w:rsid w:val="00C539DE"/>
    <w:rsid w:val="00C57435"/>
    <w:rsid w:val="00C57D2E"/>
    <w:rsid w:val="00C62D16"/>
    <w:rsid w:val="00C656C0"/>
    <w:rsid w:val="00C727E9"/>
    <w:rsid w:val="00C762F2"/>
    <w:rsid w:val="00C82789"/>
    <w:rsid w:val="00C855C9"/>
    <w:rsid w:val="00C865E9"/>
    <w:rsid w:val="00C86896"/>
    <w:rsid w:val="00C86ABD"/>
    <w:rsid w:val="00C93055"/>
    <w:rsid w:val="00C93BB3"/>
    <w:rsid w:val="00CA2DA8"/>
    <w:rsid w:val="00CA421C"/>
    <w:rsid w:val="00CA471E"/>
    <w:rsid w:val="00CB1313"/>
    <w:rsid w:val="00CB598E"/>
    <w:rsid w:val="00CB7FD8"/>
    <w:rsid w:val="00CD0230"/>
    <w:rsid w:val="00CE6C22"/>
    <w:rsid w:val="00CE74C2"/>
    <w:rsid w:val="00CE7B5F"/>
    <w:rsid w:val="00CF1BD2"/>
    <w:rsid w:val="00CF264D"/>
    <w:rsid w:val="00CF5B90"/>
    <w:rsid w:val="00CF6FF4"/>
    <w:rsid w:val="00CF7EF2"/>
    <w:rsid w:val="00D01483"/>
    <w:rsid w:val="00D2246B"/>
    <w:rsid w:val="00D23216"/>
    <w:rsid w:val="00D24AE9"/>
    <w:rsid w:val="00D26ABC"/>
    <w:rsid w:val="00D37F5D"/>
    <w:rsid w:val="00D418D9"/>
    <w:rsid w:val="00D50755"/>
    <w:rsid w:val="00D52861"/>
    <w:rsid w:val="00D565C6"/>
    <w:rsid w:val="00D61D34"/>
    <w:rsid w:val="00D63C11"/>
    <w:rsid w:val="00D63C8B"/>
    <w:rsid w:val="00D64DC3"/>
    <w:rsid w:val="00D65139"/>
    <w:rsid w:val="00D67D98"/>
    <w:rsid w:val="00D718E3"/>
    <w:rsid w:val="00D73177"/>
    <w:rsid w:val="00D73362"/>
    <w:rsid w:val="00D734B8"/>
    <w:rsid w:val="00D741FA"/>
    <w:rsid w:val="00D83898"/>
    <w:rsid w:val="00D90B90"/>
    <w:rsid w:val="00D923B8"/>
    <w:rsid w:val="00D93B94"/>
    <w:rsid w:val="00D968A7"/>
    <w:rsid w:val="00DA07DF"/>
    <w:rsid w:val="00DA0B58"/>
    <w:rsid w:val="00DA0BB2"/>
    <w:rsid w:val="00DA27BC"/>
    <w:rsid w:val="00DB3EA4"/>
    <w:rsid w:val="00DD18A2"/>
    <w:rsid w:val="00DD5139"/>
    <w:rsid w:val="00DD6898"/>
    <w:rsid w:val="00DE3B7D"/>
    <w:rsid w:val="00DE3C69"/>
    <w:rsid w:val="00E00DAE"/>
    <w:rsid w:val="00E01EFF"/>
    <w:rsid w:val="00E067B9"/>
    <w:rsid w:val="00E205AD"/>
    <w:rsid w:val="00E245A6"/>
    <w:rsid w:val="00E3690D"/>
    <w:rsid w:val="00E40B86"/>
    <w:rsid w:val="00E41CCE"/>
    <w:rsid w:val="00E42F9D"/>
    <w:rsid w:val="00E52E34"/>
    <w:rsid w:val="00E52E45"/>
    <w:rsid w:val="00E56A27"/>
    <w:rsid w:val="00E634C1"/>
    <w:rsid w:val="00E6462E"/>
    <w:rsid w:val="00E646FF"/>
    <w:rsid w:val="00E72534"/>
    <w:rsid w:val="00E74DC0"/>
    <w:rsid w:val="00E82151"/>
    <w:rsid w:val="00E83416"/>
    <w:rsid w:val="00E83E94"/>
    <w:rsid w:val="00E8484B"/>
    <w:rsid w:val="00E86E75"/>
    <w:rsid w:val="00E91453"/>
    <w:rsid w:val="00EA0F79"/>
    <w:rsid w:val="00EA47F4"/>
    <w:rsid w:val="00EA492C"/>
    <w:rsid w:val="00EB1647"/>
    <w:rsid w:val="00EB635B"/>
    <w:rsid w:val="00EB6460"/>
    <w:rsid w:val="00ED141D"/>
    <w:rsid w:val="00ED69B1"/>
    <w:rsid w:val="00EE01F1"/>
    <w:rsid w:val="00EE1057"/>
    <w:rsid w:val="00EE3F9D"/>
    <w:rsid w:val="00EE4219"/>
    <w:rsid w:val="00F023B7"/>
    <w:rsid w:val="00F14B39"/>
    <w:rsid w:val="00F16371"/>
    <w:rsid w:val="00F16DCD"/>
    <w:rsid w:val="00F171A0"/>
    <w:rsid w:val="00F24CAB"/>
    <w:rsid w:val="00F26C59"/>
    <w:rsid w:val="00F26D16"/>
    <w:rsid w:val="00F271E5"/>
    <w:rsid w:val="00F2767A"/>
    <w:rsid w:val="00F47C00"/>
    <w:rsid w:val="00F53B54"/>
    <w:rsid w:val="00F57173"/>
    <w:rsid w:val="00F57632"/>
    <w:rsid w:val="00F63165"/>
    <w:rsid w:val="00F66125"/>
    <w:rsid w:val="00F67247"/>
    <w:rsid w:val="00F7588E"/>
    <w:rsid w:val="00F7759E"/>
    <w:rsid w:val="00F81E7E"/>
    <w:rsid w:val="00F833DB"/>
    <w:rsid w:val="00F83C71"/>
    <w:rsid w:val="00F84959"/>
    <w:rsid w:val="00F8703F"/>
    <w:rsid w:val="00F87FA1"/>
    <w:rsid w:val="00F900E4"/>
    <w:rsid w:val="00FA11B4"/>
    <w:rsid w:val="00FA2E4F"/>
    <w:rsid w:val="00FA4E93"/>
    <w:rsid w:val="00FA7FF0"/>
    <w:rsid w:val="00FB026E"/>
    <w:rsid w:val="00FB225A"/>
    <w:rsid w:val="00FB3ECC"/>
    <w:rsid w:val="00FC2342"/>
    <w:rsid w:val="00FC4A03"/>
    <w:rsid w:val="00FC5A54"/>
    <w:rsid w:val="00FD393F"/>
    <w:rsid w:val="00FE5E8E"/>
    <w:rsid w:val="00FE643C"/>
    <w:rsid w:val="00FE75DC"/>
    <w:rsid w:val="00FF08AC"/>
    <w:rsid w:val="00FF1E16"/>
    <w:rsid w:val="00FF3F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A47CC5"/>
  <w15:chartTrackingRefBased/>
  <w15:docId w15:val="{D5E34A22-E5C9-4F7D-B937-0E37126A8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B495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B495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F66125"/>
    <w:rPr>
      <w:i/>
      <w:iCs/>
    </w:rPr>
  </w:style>
  <w:style w:type="paragraph" w:styleId="FootnoteText">
    <w:name w:val="footnote text"/>
    <w:basedOn w:val="Normal"/>
    <w:link w:val="FootnoteTextChar"/>
    <w:uiPriority w:val="99"/>
    <w:semiHidden/>
    <w:unhideWhenUsed/>
    <w:rsid w:val="00B304F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304F3"/>
    <w:rPr>
      <w:sz w:val="20"/>
      <w:szCs w:val="20"/>
    </w:rPr>
  </w:style>
  <w:style w:type="character" w:styleId="FootnoteReference">
    <w:name w:val="footnote reference"/>
    <w:basedOn w:val="DefaultParagraphFont"/>
    <w:uiPriority w:val="99"/>
    <w:semiHidden/>
    <w:unhideWhenUsed/>
    <w:rsid w:val="00B304F3"/>
    <w:rPr>
      <w:vertAlign w:val="superscript"/>
    </w:rPr>
  </w:style>
  <w:style w:type="paragraph" w:styleId="Header">
    <w:name w:val="header"/>
    <w:basedOn w:val="Normal"/>
    <w:link w:val="HeaderChar"/>
    <w:uiPriority w:val="99"/>
    <w:unhideWhenUsed/>
    <w:rsid w:val="00AE19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19A7"/>
  </w:style>
  <w:style w:type="paragraph" w:styleId="Footer">
    <w:name w:val="footer"/>
    <w:basedOn w:val="Normal"/>
    <w:link w:val="FooterChar"/>
    <w:uiPriority w:val="99"/>
    <w:unhideWhenUsed/>
    <w:rsid w:val="00AE19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19A7"/>
  </w:style>
  <w:style w:type="paragraph" w:styleId="BalloonText">
    <w:name w:val="Balloon Text"/>
    <w:basedOn w:val="Normal"/>
    <w:link w:val="BalloonTextChar"/>
    <w:uiPriority w:val="99"/>
    <w:semiHidden/>
    <w:unhideWhenUsed/>
    <w:rsid w:val="00E067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67B9"/>
    <w:rPr>
      <w:rFonts w:ascii="Segoe UI" w:hAnsi="Segoe UI" w:cs="Segoe UI"/>
      <w:sz w:val="18"/>
      <w:szCs w:val="18"/>
    </w:rPr>
  </w:style>
  <w:style w:type="character" w:styleId="CommentReference">
    <w:name w:val="annotation reference"/>
    <w:basedOn w:val="DefaultParagraphFont"/>
    <w:uiPriority w:val="99"/>
    <w:semiHidden/>
    <w:unhideWhenUsed/>
    <w:rsid w:val="002052CC"/>
    <w:rPr>
      <w:sz w:val="16"/>
      <w:szCs w:val="16"/>
    </w:rPr>
  </w:style>
  <w:style w:type="paragraph" w:styleId="CommentText">
    <w:name w:val="annotation text"/>
    <w:basedOn w:val="Normal"/>
    <w:link w:val="CommentTextChar"/>
    <w:uiPriority w:val="99"/>
    <w:semiHidden/>
    <w:unhideWhenUsed/>
    <w:rsid w:val="002052CC"/>
    <w:pPr>
      <w:spacing w:line="240" w:lineRule="auto"/>
    </w:pPr>
    <w:rPr>
      <w:sz w:val="20"/>
      <w:szCs w:val="20"/>
    </w:rPr>
  </w:style>
  <w:style w:type="character" w:customStyle="1" w:styleId="CommentTextChar">
    <w:name w:val="Comment Text Char"/>
    <w:basedOn w:val="DefaultParagraphFont"/>
    <w:link w:val="CommentText"/>
    <w:uiPriority w:val="99"/>
    <w:semiHidden/>
    <w:rsid w:val="002052CC"/>
    <w:rPr>
      <w:sz w:val="20"/>
      <w:szCs w:val="20"/>
    </w:rPr>
  </w:style>
  <w:style w:type="paragraph" w:styleId="CommentSubject">
    <w:name w:val="annotation subject"/>
    <w:basedOn w:val="CommentText"/>
    <w:next w:val="CommentText"/>
    <w:link w:val="CommentSubjectChar"/>
    <w:uiPriority w:val="99"/>
    <w:semiHidden/>
    <w:unhideWhenUsed/>
    <w:rsid w:val="002052CC"/>
    <w:rPr>
      <w:b/>
      <w:bCs/>
    </w:rPr>
  </w:style>
  <w:style w:type="character" w:customStyle="1" w:styleId="CommentSubjectChar">
    <w:name w:val="Comment Subject Char"/>
    <w:basedOn w:val="CommentTextChar"/>
    <w:link w:val="CommentSubject"/>
    <w:uiPriority w:val="99"/>
    <w:semiHidden/>
    <w:rsid w:val="002052CC"/>
    <w:rPr>
      <w:b/>
      <w:bCs/>
      <w:sz w:val="20"/>
      <w:szCs w:val="20"/>
    </w:rPr>
  </w:style>
  <w:style w:type="paragraph" w:customStyle="1" w:styleId="Normal0">
    <w:name w:val="[Normal]"/>
    <w:uiPriority w:val="99"/>
    <w:rsid w:val="00857A37"/>
    <w:pPr>
      <w:widowControl w:val="0"/>
      <w:autoSpaceDE w:val="0"/>
      <w:autoSpaceDN w:val="0"/>
      <w:adjustRightInd w:val="0"/>
      <w:spacing w:after="0" w:line="240" w:lineRule="auto"/>
    </w:pPr>
    <w:rPr>
      <w:rFonts w:ascii="Arial" w:hAnsi="Arial" w:cs="Arial"/>
      <w:sz w:val="24"/>
      <w:szCs w:val="24"/>
    </w:rPr>
  </w:style>
  <w:style w:type="table" w:styleId="TableGrid">
    <w:name w:val="Table Grid"/>
    <w:basedOn w:val="TableNormal"/>
    <w:uiPriority w:val="39"/>
    <w:rsid w:val="00B81C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B495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B4958"/>
    <w:rPr>
      <w:rFonts w:asciiTheme="majorHAnsi" w:eastAsiaTheme="majorEastAsia" w:hAnsiTheme="majorHAnsi" w:cstheme="majorBidi"/>
      <w:color w:val="2F5496" w:themeColor="accent1" w:themeShade="BF"/>
      <w:sz w:val="26"/>
      <w:szCs w:val="26"/>
    </w:rPr>
  </w:style>
  <w:style w:type="paragraph" w:styleId="PlainText">
    <w:name w:val="Plain Text"/>
    <w:basedOn w:val="Normal"/>
    <w:link w:val="PlainTextChar"/>
    <w:uiPriority w:val="99"/>
    <w:unhideWhenUsed/>
    <w:rsid w:val="00C855C9"/>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C855C9"/>
    <w:rPr>
      <w:rFonts w:ascii="Calibri" w:hAnsi="Calibri"/>
      <w:szCs w:val="21"/>
    </w:rPr>
  </w:style>
  <w:style w:type="paragraph" w:styleId="ListParagraph">
    <w:name w:val="List Paragraph"/>
    <w:basedOn w:val="Normal"/>
    <w:uiPriority w:val="34"/>
    <w:qFormat/>
    <w:rsid w:val="00C93055"/>
    <w:pPr>
      <w:ind w:left="720"/>
      <w:contextualSpacing/>
    </w:pPr>
  </w:style>
  <w:style w:type="character" w:styleId="Hyperlink">
    <w:name w:val="Hyperlink"/>
    <w:basedOn w:val="DefaultParagraphFont"/>
    <w:uiPriority w:val="99"/>
    <w:semiHidden/>
    <w:unhideWhenUsed/>
    <w:rsid w:val="00E83E9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416340">
      <w:bodyDiv w:val="1"/>
      <w:marLeft w:val="0"/>
      <w:marRight w:val="0"/>
      <w:marTop w:val="0"/>
      <w:marBottom w:val="0"/>
      <w:divBdr>
        <w:top w:val="none" w:sz="0" w:space="0" w:color="auto"/>
        <w:left w:val="none" w:sz="0" w:space="0" w:color="auto"/>
        <w:bottom w:val="none" w:sz="0" w:space="0" w:color="auto"/>
        <w:right w:val="none" w:sz="0" w:space="0" w:color="auto"/>
      </w:divBdr>
    </w:div>
    <w:div w:id="222252369">
      <w:bodyDiv w:val="1"/>
      <w:marLeft w:val="0"/>
      <w:marRight w:val="0"/>
      <w:marTop w:val="0"/>
      <w:marBottom w:val="0"/>
      <w:divBdr>
        <w:top w:val="none" w:sz="0" w:space="0" w:color="auto"/>
        <w:left w:val="none" w:sz="0" w:space="0" w:color="auto"/>
        <w:bottom w:val="none" w:sz="0" w:space="0" w:color="auto"/>
        <w:right w:val="none" w:sz="0" w:space="0" w:color="auto"/>
      </w:divBdr>
    </w:div>
    <w:div w:id="417873804">
      <w:bodyDiv w:val="1"/>
      <w:marLeft w:val="0"/>
      <w:marRight w:val="0"/>
      <w:marTop w:val="0"/>
      <w:marBottom w:val="0"/>
      <w:divBdr>
        <w:top w:val="none" w:sz="0" w:space="0" w:color="auto"/>
        <w:left w:val="none" w:sz="0" w:space="0" w:color="auto"/>
        <w:bottom w:val="none" w:sz="0" w:space="0" w:color="auto"/>
        <w:right w:val="none" w:sz="0" w:space="0" w:color="auto"/>
      </w:divBdr>
    </w:div>
    <w:div w:id="638455319">
      <w:bodyDiv w:val="1"/>
      <w:marLeft w:val="0"/>
      <w:marRight w:val="0"/>
      <w:marTop w:val="0"/>
      <w:marBottom w:val="0"/>
      <w:divBdr>
        <w:top w:val="none" w:sz="0" w:space="0" w:color="auto"/>
        <w:left w:val="none" w:sz="0" w:space="0" w:color="auto"/>
        <w:bottom w:val="none" w:sz="0" w:space="0" w:color="auto"/>
        <w:right w:val="none" w:sz="0" w:space="0" w:color="auto"/>
      </w:divBdr>
    </w:div>
    <w:div w:id="674113503">
      <w:bodyDiv w:val="1"/>
      <w:marLeft w:val="0"/>
      <w:marRight w:val="0"/>
      <w:marTop w:val="0"/>
      <w:marBottom w:val="0"/>
      <w:divBdr>
        <w:top w:val="none" w:sz="0" w:space="0" w:color="auto"/>
        <w:left w:val="none" w:sz="0" w:space="0" w:color="auto"/>
        <w:bottom w:val="none" w:sz="0" w:space="0" w:color="auto"/>
        <w:right w:val="none" w:sz="0" w:space="0" w:color="auto"/>
      </w:divBdr>
    </w:div>
    <w:div w:id="788352925">
      <w:bodyDiv w:val="1"/>
      <w:marLeft w:val="0"/>
      <w:marRight w:val="0"/>
      <w:marTop w:val="0"/>
      <w:marBottom w:val="0"/>
      <w:divBdr>
        <w:top w:val="none" w:sz="0" w:space="0" w:color="auto"/>
        <w:left w:val="none" w:sz="0" w:space="0" w:color="auto"/>
        <w:bottom w:val="none" w:sz="0" w:space="0" w:color="auto"/>
        <w:right w:val="none" w:sz="0" w:space="0" w:color="auto"/>
      </w:divBdr>
    </w:div>
    <w:div w:id="1022240140">
      <w:bodyDiv w:val="1"/>
      <w:marLeft w:val="0"/>
      <w:marRight w:val="0"/>
      <w:marTop w:val="0"/>
      <w:marBottom w:val="0"/>
      <w:divBdr>
        <w:top w:val="none" w:sz="0" w:space="0" w:color="auto"/>
        <w:left w:val="none" w:sz="0" w:space="0" w:color="auto"/>
        <w:bottom w:val="none" w:sz="0" w:space="0" w:color="auto"/>
        <w:right w:val="none" w:sz="0" w:space="0" w:color="auto"/>
      </w:divBdr>
    </w:div>
    <w:div w:id="1065374914">
      <w:bodyDiv w:val="1"/>
      <w:marLeft w:val="0"/>
      <w:marRight w:val="0"/>
      <w:marTop w:val="0"/>
      <w:marBottom w:val="0"/>
      <w:divBdr>
        <w:top w:val="none" w:sz="0" w:space="0" w:color="auto"/>
        <w:left w:val="none" w:sz="0" w:space="0" w:color="auto"/>
        <w:bottom w:val="none" w:sz="0" w:space="0" w:color="auto"/>
        <w:right w:val="none" w:sz="0" w:space="0" w:color="auto"/>
      </w:divBdr>
    </w:div>
    <w:div w:id="1219823087">
      <w:bodyDiv w:val="1"/>
      <w:marLeft w:val="0"/>
      <w:marRight w:val="0"/>
      <w:marTop w:val="0"/>
      <w:marBottom w:val="0"/>
      <w:divBdr>
        <w:top w:val="none" w:sz="0" w:space="0" w:color="auto"/>
        <w:left w:val="none" w:sz="0" w:space="0" w:color="auto"/>
        <w:bottom w:val="none" w:sz="0" w:space="0" w:color="auto"/>
        <w:right w:val="none" w:sz="0" w:space="0" w:color="auto"/>
      </w:divBdr>
    </w:div>
    <w:div w:id="1263337760">
      <w:bodyDiv w:val="1"/>
      <w:marLeft w:val="0"/>
      <w:marRight w:val="0"/>
      <w:marTop w:val="0"/>
      <w:marBottom w:val="0"/>
      <w:divBdr>
        <w:top w:val="none" w:sz="0" w:space="0" w:color="auto"/>
        <w:left w:val="none" w:sz="0" w:space="0" w:color="auto"/>
        <w:bottom w:val="none" w:sz="0" w:space="0" w:color="auto"/>
        <w:right w:val="none" w:sz="0" w:space="0" w:color="auto"/>
      </w:divBdr>
    </w:div>
    <w:div w:id="1566524455">
      <w:bodyDiv w:val="1"/>
      <w:marLeft w:val="0"/>
      <w:marRight w:val="0"/>
      <w:marTop w:val="0"/>
      <w:marBottom w:val="0"/>
      <w:divBdr>
        <w:top w:val="none" w:sz="0" w:space="0" w:color="auto"/>
        <w:left w:val="none" w:sz="0" w:space="0" w:color="auto"/>
        <w:bottom w:val="none" w:sz="0" w:space="0" w:color="auto"/>
        <w:right w:val="none" w:sz="0" w:space="0" w:color="auto"/>
      </w:divBdr>
    </w:div>
    <w:div w:id="1872837384">
      <w:bodyDiv w:val="1"/>
      <w:marLeft w:val="0"/>
      <w:marRight w:val="0"/>
      <w:marTop w:val="0"/>
      <w:marBottom w:val="0"/>
      <w:divBdr>
        <w:top w:val="none" w:sz="0" w:space="0" w:color="auto"/>
        <w:left w:val="none" w:sz="0" w:space="0" w:color="auto"/>
        <w:bottom w:val="none" w:sz="0" w:space="0" w:color="auto"/>
        <w:right w:val="none" w:sz="0" w:space="0" w:color="auto"/>
      </w:divBdr>
    </w:div>
    <w:div w:id="2027558649">
      <w:bodyDiv w:val="1"/>
      <w:marLeft w:val="0"/>
      <w:marRight w:val="0"/>
      <w:marTop w:val="0"/>
      <w:marBottom w:val="0"/>
      <w:divBdr>
        <w:top w:val="none" w:sz="0" w:space="0" w:color="auto"/>
        <w:left w:val="none" w:sz="0" w:space="0" w:color="auto"/>
        <w:bottom w:val="none" w:sz="0" w:space="0" w:color="auto"/>
        <w:right w:val="none" w:sz="0" w:space="0" w:color="auto"/>
      </w:divBdr>
    </w:div>
    <w:div w:id="2028603955">
      <w:bodyDiv w:val="1"/>
      <w:marLeft w:val="0"/>
      <w:marRight w:val="0"/>
      <w:marTop w:val="0"/>
      <w:marBottom w:val="0"/>
      <w:divBdr>
        <w:top w:val="none" w:sz="0" w:space="0" w:color="auto"/>
        <w:left w:val="none" w:sz="0" w:space="0" w:color="auto"/>
        <w:bottom w:val="none" w:sz="0" w:space="0" w:color="auto"/>
        <w:right w:val="none" w:sz="0" w:space="0" w:color="auto"/>
      </w:divBdr>
    </w:div>
    <w:div w:id="2141220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E81813-BAAF-4810-A736-372909AEF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40</Pages>
  <Words>51791</Words>
  <Characters>295211</Characters>
  <Application>Microsoft Office Word</Application>
  <DocSecurity>0</DocSecurity>
  <Lines>2460</Lines>
  <Paragraphs>692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Hall</dc:creator>
  <cp:keywords/>
  <dc:description/>
  <cp:lastModifiedBy>Jo Iacovides</cp:lastModifiedBy>
  <cp:revision>11</cp:revision>
  <cp:lastPrinted>2018-10-24T21:57:00Z</cp:lastPrinted>
  <dcterms:created xsi:type="dcterms:W3CDTF">2019-10-13T22:23:00Z</dcterms:created>
  <dcterms:modified xsi:type="dcterms:W3CDTF">2019-11-21T12:52:00Z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https://csl.mendeley.com/styles/479934961/apa</vt:lpwstr>
  </property>
  <property fmtid="{D5CDD505-2E9C-101B-9397-08002B2CF9AE}" pid="9" name="Mendeley Recent Style Name 3_1">
    <vt:lpwstr>American Psychological Association 6th edition - Johanna Hall</vt:lpwstr>
  </property>
  <property fmtid="{D5CDD505-2E9C-101B-9397-08002B2CF9AE}" pid="10" name="Mendeley Recent Style Id 4_1">
    <vt:lpwstr>http://www.zotero.org/styles/american-sociological-association</vt:lpwstr>
  </property>
  <property fmtid="{D5CDD505-2E9C-101B-9397-08002B2CF9AE}" pid="11" name="Mendeley Recent Style Name 4_1">
    <vt:lpwstr>American Sociological Association</vt:lpwstr>
  </property>
  <property fmtid="{D5CDD505-2E9C-101B-9397-08002B2CF9AE}" pid="12" name="Mendeley Recent Style Id 5_1">
    <vt:lpwstr>http://www.zotero.org/styles/chicago-author-date</vt:lpwstr>
  </property>
  <property fmtid="{D5CDD505-2E9C-101B-9397-08002B2CF9AE}" pid="13" name="Mendeley Recent Style Name 5_1">
    <vt:lpwstr>Chicago Manual of Style 17th edition (author-date)</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http://www.zotero.org/styles/sage-harvard</vt:lpwstr>
  </property>
  <property fmtid="{D5CDD505-2E9C-101B-9397-08002B2CF9AE}" pid="21" name="Mendeley Recent Style Name 9_1">
    <vt:lpwstr>SAGE - Harvard</vt:lpwstr>
  </property>
  <property fmtid="{D5CDD505-2E9C-101B-9397-08002B2CF9AE}" pid="22" name="Mendeley Document_1">
    <vt:lpwstr>True</vt:lpwstr>
  </property>
  <property fmtid="{D5CDD505-2E9C-101B-9397-08002B2CF9AE}" pid="23" name="Mendeley Unique User Id_1">
    <vt:lpwstr>f7898a9d-2865-3801-a3a5-76c7471e7230</vt:lpwstr>
  </property>
  <property fmtid="{D5CDD505-2E9C-101B-9397-08002B2CF9AE}" pid="24" name="Mendeley Citation Style_1">
    <vt:lpwstr>http://www.zotero.org/styles/apa</vt:lpwstr>
  </property>
</Properties>
</file>